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C6" w:rsidRDefault="0008398C" w:rsidP="00066EC8">
      <w:pPr>
        <w:pStyle w:val="Heading1"/>
        <w:rPr>
          <w:lang w:val="en-AU"/>
        </w:rPr>
      </w:pPr>
      <w:bookmarkStart w:id="0" w:name="_Toc425500106"/>
      <w:bookmarkStart w:id="1" w:name="_Toc425761233"/>
      <w:bookmarkStart w:id="2" w:name="_Toc425839140"/>
      <w:bookmarkStart w:id="3" w:name="OLE_LINK1"/>
      <w:bookmarkStart w:id="4" w:name="_Toc425145190"/>
      <w:bookmarkStart w:id="5" w:name="_Toc425156676"/>
      <w:r>
        <w:t>Cost R</w:t>
      </w:r>
      <w:r w:rsidR="00066EC8">
        <w:t xml:space="preserve">ecovery </w:t>
      </w:r>
      <w:r>
        <w:t>I</w:t>
      </w:r>
      <w:r w:rsidR="00066EC8" w:rsidRPr="00066EC8">
        <w:t>mplementation</w:t>
      </w:r>
      <w:r>
        <w:t xml:space="preserve"> </w:t>
      </w:r>
      <w:bookmarkStart w:id="6" w:name="_Toc425500109"/>
      <w:bookmarkStart w:id="7" w:name="_Toc425761236"/>
      <w:bookmarkStart w:id="8" w:name="_Toc425839142"/>
      <w:bookmarkEnd w:id="0"/>
      <w:bookmarkEnd w:id="1"/>
      <w:bookmarkEnd w:id="2"/>
      <w:r w:rsidR="00025B2F">
        <w:rPr>
          <w:lang w:val="en-AU"/>
        </w:rPr>
        <w:t>Statement</w:t>
      </w:r>
      <w:r w:rsidR="00066EC8">
        <w:br/>
      </w:r>
      <w:r w:rsidR="001753C6">
        <w:t xml:space="preserve">Live </w:t>
      </w:r>
      <w:r w:rsidR="00F34390">
        <w:t>animal</w:t>
      </w:r>
      <w:r w:rsidR="001753C6">
        <w:t xml:space="preserve"> </w:t>
      </w:r>
      <w:bookmarkStart w:id="9" w:name="_Toc425500110"/>
      <w:bookmarkStart w:id="10" w:name="_Toc425761237"/>
      <w:bookmarkStart w:id="11" w:name="_Toc425839143"/>
      <w:bookmarkEnd w:id="6"/>
      <w:bookmarkEnd w:id="7"/>
      <w:bookmarkEnd w:id="8"/>
      <w:r w:rsidR="00F34390">
        <w:t>expor</w:t>
      </w:r>
      <w:r w:rsidR="00F34390">
        <w:rPr>
          <w:lang w:val="en-AU"/>
        </w:rPr>
        <w:t>ts</w:t>
      </w:r>
      <w:r w:rsidR="00066EC8">
        <w:rPr>
          <w:lang w:val="en-AU"/>
        </w:rPr>
        <w:t xml:space="preserve"> </w:t>
      </w:r>
      <w:r w:rsidR="001753C6">
        <w:t>2015–16</w:t>
      </w:r>
      <w:bookmarkEnd w:id="9"/>
      <w:bookmarkEnd w:id="10"/>
      <w:bookmarkEnd w:id="11"/>
      <w:bookmarkEnd w:id="3"/>
    </w:p>
    <w:p w:rsidR="001753C6" w:rsidRDefault="00066EC8">
      <w:pPr>
        <w:pStyle w:val="Picture"/>
      </w:pPr>
      <w:bookmarkStart w:id="12" w:name="_GoBack"/>
      <w:bookmarkEnd w:id="12"/>
      <w:r>
        <w:rPr>
          <w:noProof/>
          <w:lang w:eastAsia="en-AU"/>
        </w:rPr>
        <w:drawing>
          <wp:inline distT="0" distB="0" distL="0" distR="0" wp14:anchorId="0A98E6D9" wp14:editId="26DCC3FD">
            <wp:extent cx="5838825" cy="5705475"/>
            <wp:effectExtent l="0" t="0" r="9525" b="9525"/>
            <wp:docPr id="6" name="Picture 3" descr="Department of Agriculture and Water Resources" title="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_exp3_kaleid1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825" cy="5705475"/>
                    </a:xfrm>
                    <a:prstGeom prst="rect">
                      <a:avLst/>
                    </a:prstGeom>
                    <a:noFill/>
                    <a:ln>
                      <a:noFill/>
                    </a:ln>
                  </pic:spPr>
                </pic:pic>
              </a:graphicData>
            </a:graphic>
          </wp:inline>
        </w:drawing>
      </w:r>
    </w:p>
    <w:p w:rsidR="00CA7A62" w:rsidRPr="00AA5CCB" w:rsidRDefault="00CA7A62" w:rsidP="00CA7A62">
      <w:pPr>
        <w:keepNext/>
        <w:pageBreakBefore/>
        <w:rPr>
          <w:sz w:val="20"/>
          <w:szCs w:val="20"/>
        </w:rPr>
      </w:pPr>
      <w:r w:rsidRPr="00AA5CCB">
        <w:rPr>
          <w:sz w:val="20"/>
          <w:szCs w:val="20"/>
        </w:rPr>
        <w:lastRenderedPageBreak/>
        <w:t>© Commonwealth of Australia 2015</w:t>
      </w:r>
    </w:p>
    <w:p w:rsidR="00CA7A62" w:rsidRPr="00AA5CCB" w:rsidRDefault="00CA7A62" w:rsidP="00CA7A62">
      <w:pPr>
        <w:spacing w:after="0"/>
        <w:rPr>
          <w:rStyle w:val="Strong"/>
          <w:sz w:val="20"/>
          <w:szCs w:val="20"/>
        </w:rPr>
      </w:pPr>
      <w:r w:rsidRPr="00AA5CCB">
        <w:rPr>
          <w:rStyle w:val="Strong"/>
          <w:sz w:val="20"/>
          <w:szCs w:val="20"/>
        </w:rPr>
        <w:t>Ownership of intellectual property rights</w:t>
      </w:r>
    </w:p>
    <w:p w:rsidR="00CA7A62" w:rsidRPr="00AA5CCB" w:rsidRDefault="00CA7A62" w:rsidP="00CA7A62">
      <w:pPr>
        <w:rPr>
          <w:sz w:val="20"/>
          <w:szCs w:val="20"/>
        </w:rPr>
      </w:pPr>
      <w:r w:rsidRPr="00AA5CCB">
        <w:rPr>
          <w:sz w:val="20"/>
          <w:szCs w:val="20"/>
        </w:rPr>
        <w:t>Unless otherwise noted, copyright (and any other intellectual property rights, if any) in this publication is owned by the Commonwealth of Australia (referred to as the Commonwealth).</w:t>
      </w:r>
    </w:p>
    <w:p w:rsidR="00CA7A62" w:rsidRPr="00AA5CCB" w:rsidRDefault="00CA7A62" w:rsidP="00CA7A62">
      <w:pPr>
        <w:spacing w:after="0"/>
        <w:rPr>
          <w:rStyle w:val="Strong"/>
          <w:sz w:val="20"/>
          <w:szCs w:val="20"/>
        </w:rPr>
      </w:pPr>
      <w:r w:rsidRPr="00AA5CCB">
        <w:rPr>
          <w:rStyle w:val="Strong"/>
          <w:sz w:val="20"/>
          <w:szCs w:val="20"/>
        </w:rPr>
        <w:t>Creative Commons licence</w:t>
      </w:r>
    </w:p>
    <w:p w:rsidR="00CA7A62" w:rsidRPr="00AA5CCB" w:rsidRDefault="00CA7A62" w:rsidP="00CA7A62">
      <w:pPr>
        <w:rPr>
          <w:sz w:val="20"/>
          <w:szCs w:val="20"/>
        </w:rPr>
      </w:pPr>
      <w:r w:rsidRPr="00AA5CCB">
        <w:rPr>
          <w:sz w:val="20"/>
          <w:szCs w:val="20"/>
        </w:rPr>
        <w:t>All material in this publication is licensed under a Creative Commons Attribution 3.0 Australia Licence, save for content supplied by third parties, logos and the Commonwealth Coat of Arms.</w:t>
      </w:r>
    </w:p>
    <w:p w:rsidR="00CA7A62" w:rsidRPr="00AA5CCB" w:rsidRDefault="00CA7A62" w:rsidP="00CA7A62">
      <w:pPr>
        <w:rPr>
          <w:sz w:val="20"/>
          <w:szCs w:val="20"/>
        </w:rPr>
      </w:pPr>
      <w:r w:rsidRPr="00AA5CCB">
        <w:rPr>
          <w:noProof/>
          <w:sz w:val="20"/>
          <w:szCs w:val="20"/>
          <w:lang w:eastAsia="en-AU"/>
        </w:rPr>
        <w:drawing>
          <wp:inline distT="0" distB="0" distL="0" distR="0" wp14:anchorId="76802A6A" wp14:editId="2DE818DF">
            <wp:extent cx="724535" cy="255270"/>
            <wp:effectExtent l="0" t="0" r="0" b="0"/>
            <wp:docPr id="8" name="Picture 1"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9"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CA7A62" w:rsidRPr="00AA5CCB" w:rsidRDefault="00CA7A62" w:rsidP="00CA7A62">
      <w:pPr>
        <w:rPr>
          <w:sz w:val="20"/>
          <w:szCs w:val="20"/>
        </w:rPr>
      </w:pPr>
      <w:r w:rsidRPr="00AA5CCB">
        <w:rPr>
          <w:sz w:val="20"/>
          <w:szCs w:val="20"/>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0" w:history="1">
        <w:r w:rsidRPr="00AA5CCB">
          <w:rPr>
            <w:rStyle w:val="Hyperlink"/>
            <w:sz w:val="20"/>
            <w:szCs w:val="20"/>
          </w:rPr>
          <w:t>creativecommons.org/licenses/by/3.0/au/deed.en</w:t>
        </w:r>
      </w:hyperlink>
      <w:r w:rsidRPr="00AA5CCB">
        <w:rPr>
          <w:sz w:val="20"/>
          <w:szCs w:val="20"/>
        </w:rPr>
        <w:t xml:space="preserve">. The full licence terms are available from </w:t>
      </w:r>
      <w:hyperlink r:id="rId11" w:history="1">
        <w:r w:rsidRPr="00AA5CCB">
          <w:rPr>
            <w:rStyle w:val="Hyperlink"/>
            <w:sz w:val="20"/>
            <w:szCs w:val="20"/>
          </w:rPr>
          <w:t>creativecommons.org/licenses/by/3.0/au/legalcode</w:t>
        </w:r>
      </w:hyperlink>
      <w:r w:rsidRPr="00AA5CCB">
        <w:rPr>
          <w:sz w:val="20"/>
          <w:szCs w:val="20"/>
        </w:rPr>
        <w:t>.</w:t>
      </w:r>
    </w:p>
    <w:p w:rsidR="00CA7A62" w:rsidRDefault="00CA7A62" w:rsidP="00CA7A62">
      <w:pPr>
        <w:rPr>
          <w:sz w:val="20"/>
          <w:szCs w:val="20"/>
        </w:rPr>
      </w:pPr>
      <w:r w:rsidRPr="00AA5CCB">
        <w:rPr>
          <w:sz w:val="20"/>
          <w:szCs w:val="20"/>
        </w:rPr>
        <w:t xml:space="preserve">Inquiries about the licence and any use of this document should be sent to </w:t>
      </w:r>
      <w:hyperlink r:id="rId12" w:history="1">
        <w:r w:rsidRPr="00AA5CCB">
          <w:rPr>
            <w:rStyle w:val="Hyperlink"/>
            <w:sz w:val="20"/>
            <w:szCs w:val="20"/>
          </w:rPr>
          <w:t>copyright@agriculture.gov.au</w:t>
        </w:r>
      </w:hyperlink>
      <w:r w:rsidRPr="00AA5CCB">
        <w:rPr>
          <w:sz w:val="20"/>
          <w:szCs w:val="20"/>
        </w:rPr>
        <w:t>.</w:t>
      </w:r>
    </w:p>
    <w:p w:rsidR="00490C9D" w:rsidRPr="00AA5CCB" w:rsidRDefault="00490C9D" w:rsidP="00490C9D">
      <w:pPr>
        <w:spacing w:after="0"/>
        <w:rPr>
          <w:rStyle w:val="Strong"/>
          <w:sz w:val="20"/>
          <w:szCs w:val="20"/>
        </w:rPr>
      </w:pPr>
      <w:r w:rsidRPr="00AA5CCB">
        <w:rPr>
          <w:rStyle w:val="Strong"/>
          <w:sz w:val="20"/>
          <w:szCs w:val="20"/>
        </w:rPr>
        <w:t>Cataloguing data</w:t>
      </w:r>
    </w:p>
    <w:p w:rsidR="00490C9D" w:rsidRPr="00490C9D" w:rsidRDefault="00490C9D" w:rsidP="00490C9D">
      <w:pPr>
        <w:rPr>
          <w:i/>
          <w:sz w:val="20"/>
          <w:szCs w:val="20"/>
        </w:rPr>
      </w:pPr>
      <w:r w:rsidRPr="00AA5CCB">
        <w:rPr>
          <w:sz w:val="20"/>
          <w:szCs w:val="20"/>
        </w:rPr>
        <w:t xml:space="preserve">This publication (and any material sourced from it) should be attributed as: </w:t>
      </w:r>
      <w:r w:rsidRPr="00434A7B">
        <w:rPr>
          <w:sz w:val="20"/>
          <w:szCs w:val="20"/>
        </w:rPr>
        <w:t xml:space="preserve">DAWR 2015, </w:t>
      </w:r>
      <w:r>
        <w:rPr>
          <w:i/>
          <w:sz w:val="20"/>
          <w:szCs w:val="20"/>
        </w:rPr>
        <w:t>Cost R</w:t>
      </w:r>
      <w:r w:rsidRPr="00490C9D">
        <w:rPr>
          <w:i/>
          <w:sz w:val="20"/>
          <w:szCs w:val="20"/>
        </w:rPr>
        <w:t>e</w:t>
      </w:r>
      <w:r w:rsidR="00025B2F">
        <w:rPr>
          <w:i/>
          <w:sz w:val="20"/>
          <w:szCs w:val="20"/>
        </w:rPr>
        <w:t>covery Implementation Statement:</w:t>
      </w:r>
      <w:r>
        <w:rPr>
          <w:i/>
          <w:sz w:val="20"/>
          <w:szCs w:val="20"/>
        </w:rPr>
        <w:t xml:space="preserve"> </w:t>
      </w:r>
      <w:r w:rsidRPr="00490C9D">
        <w:rPr>
          <w:i/>
          <w:sz w:val="20"/>
          <w:szCs w:val="20"/>
        </w:rPr>
        <w:t>Live animal exports 2015–16</w:t>
      </w:r>
      <w:r w:rsidRPr="00AA5CCB">
        <w:rPr>
          <w:sz w:val="20"/>
          <w:szCs w:val="20"/>
        </w:rPr>
        <w:t>, Department of Agriculture and Water Resources, Canberra, October. CC BY 3.0.</w:t>
      </w:r>
    </w:p>
    <w:p w:rsidR="00490C9D" w:rsidRPr="00AA5CCB" w:rsidRDefault="00490C9D" w:rsidP="00490C9D">
      <w:pPr>
        <w:spacing w:after="0"/>
        <w:rPr>
          <w:sz w:val="20"/>
          <w:szCs w:val="20"/>
        </w:rPr>
      </w:pPr>
      <w:r w:rsidRPr="00AA5CCB">
        <w:rPr>
          <w:sz w:val="20"/>
          <w:szCs w:val="20"/>
        </w:rPr>
        <w:t xml:space="preserve">ISBN </w:t>
      </w:r>
      <w:r w:rsidRPr="00AD17C0">
        <w:rPr>
          <w:sz w:val="20"/>
          <w:szCs w:val="20"/>
        </w:rPr>
        <w:t>978</w:t>
      </w:r>
      <w:r>
        <w:rPr>
          <w:sz w:val="20"/>
          <w:szCs w:val="20"/>
        </w:rPr>
        <w:t>-</w:t>
      </w:r>
      <w:r w:rsidRPr="00AD17C0">
        <w:rPr>
          <w:sz w:val="20"/>
          <w:szCs w:val="20"/>
        </w:rPr>
        <w:t>1</w:t>
      </w:r>
      <w:r>
        <w:rPr>
          <w:sz w:val="20"/>
          <w:szCs w:val="20"/>
        </w:rPr>
        <w:t>-</w:t>
      </w:r>
      <w:r w:rsidRPr="00AD17C0">
        <w:rPr>
          <w:sz w:val="20"/>
          <w:szCs w:val="20"/>
        </w:rPr>
        <w:t>76003</w:t>
      </w:r>
      <w:r>
        <w:rPr>
          <w:sz w:val="20"/>
          <w:szCs w:val="20"/>
        </w:rPr>
        <w:t>-</w:t>
      </w:r>
      <w:r w:rsidRPr="00AD17C0">
        <w:rPr>
          <w:sz w:val="20"/>
          <w:szCs w:val="20"/>
        </w:rPr>
        <w:t>113</w:t>
      </w:r>
      <w:r>
        <w:rPr>
          <w:sz w:val="20"/>
          <w:szCs w:val="20"/>
        </w:rPr>
        <w:t>-</w:t>
      </w:r>
      <w:r w:rsidRPr="00AD17C0">
        <w:rPr>
          <w:sz w:val="20"/>
          <w:szCs w:val="20"/>
        </w:rPr>
        <w:t>8</w:t>
      </w:r>
      <w:r w:rsidRPr="00AA5CCB">
        <w:rPr>
          <w:sz w:val="20"/>
          <w:szCs w:val="20"/>
        </w:rPr>
        <w:t xml:space="preserve"> (online)</w:t>
      </w:r>
      <w:r>
        <w:rPr>
          <w:sz w:val="20"/>
          <w:szCs w:val="20"/>
        </w:rPr>
        <w:t xml:space="preserve"> </w:t>
      </w:r>
    </w:p>
    <w:p w:rsidR="00490C9D" w:rsidRPr="00AA5CCB" w:rsidRDefault="00490C9D" w:rsidP="00490C9D">
      <w:pPr>
        <w:spacing w:after="0"/>
        <w:rPr>
          <w:sz w:val="20"/>
          <w:szCs w:val="20"/>
        </w:rPr>
      </w:pPr>
      <w:r w:rsidRPr="00AA5CCB">
        <w:rPr>
          <w:sz w:val="20"/>
          <w:szCs w:val="20"/>
        </w:rPr>
        <w:t xml:space="preserve">This publication is available at </w:t>
      </w:r>
      <w:hyperlink r:id="rId13" w:history="1">
        <w:r w:rsidRPr="00AA5CCB">
          <w:rPr>
            <w:rStyle w:val="Hyperlink"/>
            <w:sz w:val="20"/>
            <w:szCs w:val="20"/>
          </w:rPr>
          <w:t>agriculture.gov.au/publications</w:t>
        </w:r>
      </w:hyperlink>
      <w:r w:rsidRPr="00AA5CCB">
        <w:rPr>
          <w:sz w:val="20"/>
          <w:szCs w:val="20"/>
        </w:rPr>
        <w:t>.</w:t>
      </w:r>
    </w:p>
    <w:p w:rsidR="00490C9D" w:rsidRPr="00AA5CCB" w:rsidRDefault="00490C9D" w:rsidP="00490C9D">
      <w:pPr>
        <w:spacing w:after="0"/>
        <w:rPr>
          <w:sz w:val="20"/>
          <w:szCs w:val="20"/>
        </w:rPr>
      </w:pPr>
      <w:r w:rsidRPr="00AA5CCB">
        <w:rPr>
          <w:sz w:val="20"/>
          <w:szCs w:val="20"/>
        </w:rPr>
        <w:t>Department of Agriculture and Water Resources</w:t>
      </w:r>
    </w:p>
    <w:p w:rsidR="00490C9D" w:rsidRPr="00AA5CCB" w:rsidRDefault="00490C9D" w:rsidP="00490C9D">
      <w:pPr>
        <w:spacing w:after="0"/>
        <w:rPr>
          <w:sz w:val="20"/>
          <w:szCs w:val="20"/>
        </w:rPr>
      </w:pPr>
      <w:r w:rsidRPr="00AA5CCB">
        <w:rPr>
          <w:sz w:val="20"/>
          <w:szCs w:val="20"/>
        </w:rPr>
        <w:t>Postal address GPO Box 858 Canberra ACT 2601</w:t>
      </w:r>
    </w:p>
    <w:p w:rsidR="00490C9D" w:rsidRPr="00AA5CCB" w:rsidRDefault="00490C9D" w:rsidP="00490C9D">
      <w:pPr>
        <w:spacing w:after="0"/>
        <w:rPr>
          <w:sz w:val="20"/>
          <w:szCs w:val="20"/>
        </w:rPr>
      </w:pPr>
      <w:r w:rsidRPr="00AA5CCB">
        <w:rPr>
          <w:sz w:val="20"/>
          <w:szCs w:val="20"/>
        </w:rPr>
        <w:t>Telephone 1800 900 090</w:t>
      </w:r>
    </w:p>
    <w:p w:rsidR="00490C9D" w:rsidRPr="00AA5CCB" w:rsidRDefault="00490C9D" w:rsidP="00490C9D">
      <w:pPr>
        <w:spacing w:after="120"/>
        <w:rPr>
          <w:sz w:val="20"/>
          <w:szCs w:val="20"/>
        </w:rPr>
      </w:pPr>
      <w:r w:rsidRPr="00AA5CCB">
        <w:rPr>
          <w:sz w:val="20"/>
          <w:szCs w:val="20"/>
        </w:rPr>
        <w:t xml:space="preserve">Web </w:t>
      </w:r>
      <w:hyperlink r:id="rId14" w:history="1">
        <w:r w:rsidRPr="00AA5CCB">
          <w:rPr>
            <w:rStyle w:val="Hyperlink"/>
            <w:sz w:val="20"/>
            <w:szCs w:val="20"/>
          </w:rPr>
          <w:t>agriculture.gov.au</w:t>
        </w:r>
      </w:hyperlink>
    </w:p>
    <w:p w:rsidR="00490C9D" w:rsidRPr="00AA5CCB" w:rsidRDefault="00490C9D" w:rsidP="00490C9D">
      <w:pPr>
        <w:rPr>
          <w:sz w:val="20"/>
          <w:szCs w:val="20"/>
        </w:rPr>
      </w:pPr>
      <w:r w:rsidRPr="00AA5CCB">
        <w:rPr>
          <w:sz w:val="20"/>
          <w:szCs w:val="20"/>
        </w:rPr>
        <w:t>The Australian Government acting through the Department of Agriculture and Water Resources has exercised due care and skill in preparing and compiling the information and data in this publication. Notwithstanding, the De</w:t>
      </w:r>
      <w:r w:rsidRPr="00AA5CCB">
        <w:rPr>
          <w:sz w:val="20"/>
          <w:szCs w:val="20"/>
        </w:rPr>
        <w:lastRenderedPageBreak/>
        <w:t>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rsidR="00490C9D" w:rsidRPr="00AA5CCB" w:rsidRDefault="00490C9D" w:rsidP="00CA7A62">
      <w:pPr>
        <w:rPr>
          <w:sz w:val="20"/>
          <w:szCs w:val="20"/>
        </w:rPr>
      </w:pPr>
    </w:p>
    <w:p w:rsidR="001753C6" w:rsidRDefault="001753C6">
      <w:pPr>
        <w:pStyle w:val="TOCHeading"/>
      </w:pPr>
      <w:r>
        <w:lastRenderedPageBreak/>
        <w:t>Contents</w:t>
      </w:r>
    </w:p>
    <w:p w:rsidR="00CD1FAE" w:rsidRDefault="00270376">
      <w:pPr>
        <w:pStyle w:val="TOC1"/>
        <w:rPr>
          <w:rFonts w:asciiTheme="minorHAnsi" w:eastAsiaTheme="minorEastAsia" w:hAnsiTheme="minorHAnsi" w:cstheme="minorBidi"/>
          <w:noProof/>
          <w:lang w:eastAsia="en-AU"/>
        </w:rPr>
      </w:pPr>
      <w:r>
        <w:rPr>
          <w:b/>
          <w:caps/>
        </w:rPr>
        <w:fldChar w:fldCharType="begin"/>
      </w:r>
      <w:r>
        <w:rPr>
          <w:b/>
          <w:caps/>
        </w:rPr>
        <w:instrText xml:space="preserve"> TOC \h \z \u \t "Heading 2,1,Heading 3,2" </w:instrText>
      </w:r>
      <w:r>
        <w:rPr>
          <w:b/>
          <w:caps/>
        </w:rPr>
        <w:fldChar w:fldCharType="separate"/>
      </w:r>
      <w:hyperlink w:anchor="_Toc433370160" w:history="1">
        <w:r w:rsidR="00CD1FAE" w:rsidRPr="0002165D">
          <w:rPr>
            <w:rStyle w:val="Hyperlink"/>
            <w:noProof/>
          </w:rPr>
          <w:t>Glossary</w:t>
        </w:r>
        <w:r w:rsidR="00CD1FAE">
          <w:rPr>
            <w:noProof/>
            <w:webHidden/>
          </w:rPr>
          <w:tab/>
        </w:r>
        <w:r w:rsidR="00CD1FAE">
          <w:rPr>
            <w:noProof/>
            <w:webHidden/>
          </w:rPr>
          <w:fldChar w:fldCharType="begin"/>
        </w:r>
        <w:r w:rsidR="00CD1FAE">
          <w:rPr>
            <w:noProof/>
            <w:webHidden/>
          </w:rPr>
          <w:instrText xml:space="preserve"> PAGEREF _Toc433370160 \h </w:instrText>
        </w:r>
        <w:r w:rsidR="00CD1FAE">
          <w:rPr>
            <w:noProof/>
            <w:webHidden/>
          </w:rPr>
        </w:r>
        <w:r w:rsidR="00CD1FAE">
          <w:rPr>
            <w:noProof/>
            <w:webHidden/>
          </w:rPr>
          <w:fldChar w:fldCharType="separate"/>
        </w:r>
        <w:r w:rsidR="007A657F">
          <w:rPr>
            <w:noProof/>
            <w:webHidden/>
          </w:rPr>
          <w:t>iv</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61" w:history="1">
        <w:r w:rsidR="00CD1FAE" w:rsidRPr="0002165D">
          <w:rPr>
            <w:rStyle w:val="Hyperlink"/>
            <w:noProof/>
          </w:rPr>
          <w:t>1</w:t>
        </w:r>
        <w:r w:rsidR="00CD1FAE">
          <w:rPr>
            <w:rFonts w:asciiTheme="minorHAnsi" w:eastAsiaTheme="minorEastAsia" w:hAnsiTheme="minorHAnsi" w:cstheme="minorBidi"/>
            <w:noProof/>
            <w:lang w:eastAsia="en-AU"/>
          </w:rPr>
          <w:tab/>
        </w:r>
        <w:r w:rsidR="00CD1FAE" w:rsidRPr="0002165D">
          <w:rPr>
            <w:rStyle w:val="Hyperlink"/>
            <w:noProof/>
          </w:rPr>
          <w:t>Purpose of the cost recovery implementation statement</w:t>
        </w:r>
        <w:r w:rsidR="00CD1FAE">
          <w:rPr>
            <w:noProof/>
            <w:webHidden/>
          </w:rPr>
          <w:tab/>
        </w:r>
        <w:r w:rsidR="00CD1FAE">
          <w:rPr>
            <w:noProof/>
            <w:webHidden/>
          </w:rPr>
          <w:fldChar w:fldCharType="begin"/>
        </w:r>
        <w:r w:rsidR="00CD1FAE">
          <w:rPr>
            <w:noProof/>
            <w:webHidden/>
          </w:rPr>
          <w:instrText xml:space="preserve"> PAGEREF _Toc433370161 \h </w:instrText>
        </w:r>
        <w:r w:rsidR="00CD1FAE">
          <w:rPr>
            <w:noProof/>
            <w:webHidden/>
          </w:rPr>
        </w:r>
        <w:r w:rsidR="00CD1FAE">
          <w:rPr>
            <w:noProof/>
            <w:webHidden/>
          </w:rPr>
          <w:fldChar w:fldCharType="separate"/>
        </w:r>
        <w:r>
          <w:rPr>
            <w:noProof/>
            <w:webHidden/>
          </w:rPr>
          <w:t>1</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62" w:history="1">
        <w:r w:rsidR="00CD1FAE" w:rsidRPr="0002165D">
          <w:rPr>
            <w:rStyle w:val="Hyperlink"/>
            <w:noProof/>
          </w:rPr>
          <w:t>1.1</w:t>
        </w:r>
        <w:r w:rsidR="00CD1FAE">
          <w:rPr>
            <w:rFonts w:asciiTheme="minorHAnsi" w:eastAsiaTheme="minorEastAsia" w:hAnsiTheme="minorHAnsi" w:cstheme="minorBidi"/>
            <w:noProof/>
            <w:lang w:eastAsia="en-AU"/>
          </w:rPr>
          <w:tab/>
        </w:r>
        <w:r w:rsidR="00CD1FAE" w:rsidRPr="0002165D">
          <w:rPr>
            <w:rStyle w:val="Hyperlink"/>
            <w:noProof/>
          </w:rPr>
          <w:t>Live animal exports</w:t>
        </w:r>
        <w:r w:rsidR="00CD1FAE">
          <w:rPr>
            <w:noProof/>
            <w:webHidden/>
          </w:rPr>
          <w:tab/>
        </w:r>
        <w:r w:rsidR="00CD1FAE">
          <w:rPr>
            <w:noProof/>
            <w:webHidden/>
          </w:rPr>
          <w:fldChar w:fldCharType="begin"/>
        </w:r>
        <w:r w:rsidR="00CD1FAE">
          <w:rPr>
            <w:noProof/>
            <w:webHidden/>
          </w:rPr>
          <w:instrText xml:space="preserve"> PAGEREF _Toc433370162 \h </w:instrText>
        </w:r>
        <w:r w:rsidR="00CD1FAE">
          <w:rPr>
            <w:noProof/>
            <w:webHidden/>
          </w:rPr>
        </w:r>
        <w:r w:rsidR="00CD1FAE">
          <w:rPr>
            <w:noProof/>
            <w:webHidden/>
          </w:rPr>
          <w:fldChar w:fldCharType="separate"/>
        </w:r>
        <w:r>
          <w:rPr>
            <w:noProof/>
            <w:webHidden/>
          </w:rPr>
          <w:t>1</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63" w:history="1">
        <w:r w:rsidR="00CD1FAE" w:rsidRPr="0002165D">
          <w:rPr>
            <w:rStyle w:val="Hyperlink"/>
            <w:noProof/>
          </w:rPr>
          <w:t>1.2</w:t>
        </w:r>
        <w:r w:rsidR="00CD1FAE">
          <w:rPr>
            <w:rFonts w:asciiTheme="minorHAnsi" w:eastAsiaTheme="minorEastAsia" w:hAnsiTheme="minorHAnsi" w:cstheme="minorBidi"/>
            <w:noProof/>
            <w:lang w:eastAsia="en-AU"/>
          </w:rPr>
          <w:tab/>
        </w:r>
        <w:r w:rsidR="00CD1FAE" w:rsidRPr="0002165D">
          <w:rPr>
            <w:rStyle w:val="Hyperlink"/>
            <w:noProof/>
          </w:rPr>
          <w:t>Why is cost recovery appropriate?</w:t>
        </w:r>
        <w:r w:rsidR="00CD1FAE">
          <w:rPr>
            <w:noProof/>
            <w:webHidden/>
          </w:rPr>
          <w:tab/>
        </w:r>
        <w:r w:rsidR="00CD1FAE">
          <w:rPr>
            <w:noProof/>
            <w:webHidden/>
          </w:rPr>
          <w:fldChar w:fldCharType="begin"/>
        </w:r>
        <w:r w:rsidR="00CD1FAE">
          <w:rPr>
            <w:noProof/>
            <w:webHidden/>
          </w:rPr>
          <w:instrText xml:space="preserve"> PAGEREF _Toc433370163 \h </w:instrText>
        </w:r>
        <w:r w:rsidR="00CD1FAE">
          <w:rPr>
            <w:noProof/>
            <w:webHidden/>
          </w:rPr>
        </w:r>
        <w:r w:rsidR="00CD1FAE">
          <w:rPr>
            <w:noProof/>
            <w:webHidden/>
          </w:rPr>
          <w:fldChar w:fldCharType="separate"/>
        </w:r>
        <w:r>
          <w:rPr>
            <w:noProof/>
            <w:webHidden/>
          </w:rPr>
          <w:t>1</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64" w:history="1">
        <w:r w:rsidR="00CD1FAE" w:rsidRPr="0002165D">
          <w:rPr>
            <w:rStyle w:val="Hyperlink"/>
            <w:noProof/>
          </w:rPr>
          <w:t>2</w:t>
        </w:r>
        <w:r w:rsidR="00CD1FAE">
          <w:rPr>
            <w:rFonts w:asciiTheme="minorHAnsi" w:eastAsiaTheme="minorEastAsia" w:hAnsiTheme="minorHAnsi" w:cstheme="minorBidi"/>
            <w:noProof/>
            <w:lang w:eastAsia="en-AU"/>
          </w:rPr>
          <w:tab/>
        </w:r>
        <w:r w:rsidR="00CD1FAE" w:rsidRPr="0002165D">
          <w:rPr>
            <w:rStyle w:val="Hyperlink"/>
            <w:noProof/>
          </w:rPr>
          <w:t>Authority to cost recover</w:t>
        </w:r>
        <w:r w:rsidR="00CD1FAE">
          <w:rPr>
            <w:noProof/>
            <w:webHidden/>
          </w:rPr>
          <w:tab/>
        </w:r>
        <w:r w:rsidR="00CD1FAE">
          <w:rPr>
            <w:noProof/>
            <w:webHidden/>
          </w:rPr>
          <w:fldChar w:fldCharType="begin"/>
        </w:r>
        <w:r w:rsidR="00CD1FAE">
          <w:rPr>
            <w:noProof/>
            <w:webHidden/>
          </w:rPr>
          <w:instrText xml:space="preserve"> PAGEREF _Toc433370164 \h </w:instrText>
        </w:r>
        <w:r w:rsidR="00CD1FAE">
          <w:rPr>
            <w:noProof/>
            <w:webHidden/>
          </w:rPr>
        </w:r>
        <w:r w:rsidR="00CD1FAE">
          <w:rPr>
            <w:noProof/>
            <w:webHidden/>
          </w:rPr>
          <w:fldChar w:fldCharType="separate"/>
        </w:r>
        <w:r>
          <w:rPr>
            <w:noProof/>
            <w:webHidden/>
          </w:rPr>
          <w:t>3</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65" w:history="1">
        <w:r w:rsidR="00CD1FAE" w:rsidRPr="0002165D">
          <w:rPr>
            <w:rStyle w:val="Hyperlink"/>
            <w:noProof/>
          </w:rPr>
          <w:t>2.1</w:t>
        </w:r>
        <w:r w:rsidR="00CD1FAE">
          <w:rPr>
            <w:rFonts w:asciiTheme="minorHAnsi" w:eastAsiaTheme="minorEastAsia" w:hAnsiTheme="minorHAnsi" w:cstheme="minorBidi"/>
            <w:noProof/>
            <w:lang w:eastAsia="en-AU"/>
          </w:rPr>
          <w:tab/>
        </w:r>
        <w:r w:rsidR="00CD1FAE" w:rsidRPr="0002165D">
          <w:rPr>
            <w:rStyle w:val="Hyperlink"/>
            <w:noProof/>
          </w:rPr>
          <w:t>Policy approval</w:t>
        </w:r>
        <w:r w:rsidR="00CD1FAE">
          <w:rPr>
            <w:noProof/>
            <w:webHidden/>
          </w:rPr>
          <w:tab/>
        </w:r>
        <w:r w:rsidR="00CD1FAE">
          <w:rPr>
            <w:noProof/>
            <w:webHidden/>
          </w:rPr>
          <w:fldChar w:fldCharType="begin"/>
        </w:r>
        <w:r w:rsidR="00CD1FAE">
          <w:rPr>
            <w:noProof/>
            <w:webHidden/>
          </w:rPr>
          <w:instrText xml:space="preserve"> PAGEREF _Toc433370165 \h </w:instrText>
        </w:r>
        <w:r w:rsidR="00CD1FAE">
          <w:rPr>
            <w:noProof/>
            <w:webHidden/>
          </w:rPr>
        </w:r>
        <w:r w:rsidR="00CD1FAE">
          <w:rPr>
            <w:noProof/>
            <w:webHidden/>
          </w:rPr>
          <w:fldChar w:fldCharType="separate"/>
        </w:r>
        <w:r>
          <w:rPr>
            <w:noProof/>
            <w:webHidden/>
          </w:rPr>
          <w:t>3</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66" w:history="1">
        <w:r w:rsidR="00CD1FAE" w:rsidRPr="0002165D">
          <w:rPr>
            <w:rStyle w:val="Hyperlink"/>
            <w:noProof/>
          </w:rPr>
          <w:t>2.2</w:t>
        </w:r>
        <w:r w:rsidR="00CD1FAE">
          <w:rPr>
            <w:rFonts w:asciiTheme="minorHAnsi" w:eastAsiaTheme="minorEastAsia" w:hAnsiTheme="minorHAnsi" w:cstheme="minorBidi"/>
            <w:noProof/>
            <w:lang w:eastAsia="en-AU"/>
          </w:rPr>
          <w:tab/>
        </w:r>
        <w:r w:rsidR="00CD1FAE" w:rsidRPr="0002165D">
          <w:rPr>
            <w:rStyle w:val="Hyperlink"/>
            <w:noProof/>
          </w:rPr>
          <w:t>Statutory authority</w:t>
        </w:r>
        <w:r w:rsidR="00CD1FAE">
          <w:rPr>
            <w:noProof/>
            <w:webHidden/>
          </w:rPr>
          <w:tab/>
        </w:r>
        <w:r w:rsidR="00CD1FAE">
          <w:rPr>
            <w:noProof/>
            <w:webHidden/>
          </w:rPr>
          <w:fldChar w:fldCharType="begin"/>
        </w:r>
        <w:r w:rsidR="00CD1FAE">
          <w:rPr>
            <w:noProof/>
            <w:webHidden/>
          </w:rPr>
          <w:instrText xml:space="preserve"> PAGEREF _Toc433370166 \h </w:instrText>
        </w:r>
        <w:r w:rsidR="00CD1FAE">
          <w:rPr>
            <w:noProof/>
            <w:webHidden/>
          </w:rPr>
        </w:r>
        <w:r w:rsidR="00CD1FAE">
          <w:rPr>
            <w:noProof/>
            <w:webHidden/>
          </w:rPr>
          <w:fldChar w:fldCharType="separate"/>
        </w:r>
        <w:r>
          <w:rPr>
            <w:noProof/>
            <w:webHidden/>
          </w:rPr>
          <w:t>3</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67" w:history="1">
        <w:r w:rsidR="00CD1FAE" w:rsidRPr="0002165D">
          <w:rPr>
            <w:rStyle w:val="Hyperlink"/>
            <w:noProof/>
          </w:rPr>
          <w:t>3</w:t>
        </w:r>
        <w:r w:rsidR="00CD1FAE">
          <w:rPr>
            <w:rFonts w:asciiTheme="minorHAnsi" w:eastAsiaTheme="minorEastAsia" w:hAnsiTheme="minorHAnsi" w:cstheme="minorBidi"/>
            <w:noProof/>
            <w:lang w:eastAsia="en-AU"/>
          </w:rPr>
          <w:tab/>
        </w:r>
        <w:r w:rsidR="00CD1FAE" w:rsidRPr="0002165D">
          <w:rPr>
            <w:rStyle w:val="Hyperlink"/>
            <w:noProof/>
          </w:rPr>
          <w:t>Changes to the live animal exports cost recovery arrangement</w:t>
        </w:r>
        <w:r w:rsidR="00CD1FAE">
          <w:rPr>
            <w:noProof/>
            <w:webHidden/>
          </w:rPr>
          <w:tab/>
        </w:r>
        <w:r w:rsidR="00CD1FAE">
          <w:rPr>
            <w:noProof/>
            <w:webHidden/>
          </w:rPr>
          <w:fldChar w:fldCharType="begin"/>
        </w:r>
        <w:r w:rsidR="00CD1FAE">
          <w:rPr>
            <w:noProof/>
            <w:webHidden/>
          </w:rPr>
          <w:instrText xml:space="preserve"> PAGEREF _Toc433370167 \h </w:instrText>
        </w:r>
        <w:r w:rsidR="00CD1FAE">
          <w:rPr>
            <w:noProof/>
            <w:webHidden/>
          </w:rPr>
        </w:r>
        <w:r w:rsidR="00CD1FAE">
          <w:rPr>
            <w:noProof/>
            <w:webHidden/>
          </w:rPr>
          <w:fldChar w:fldCharType="separate"/>
        </w:r>
        <w:r>
          <w:rPr>
            <w:noProof/>
            <w:webHidden/>
          </w:rPr>
          <w:t>5</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68" w:history="1">
        <w:r w:rsidR="00CD1FAE" w:rsidRPr="0002165D">
          <w:rPr>
            <w:rStyle w:val="Hyperlink"/>
            <w:noProof/>
          </w:rPr>
          <w:t>3.1</w:t>
        </w:r>
        <w:r w:rsidR="00CD1FAE">
          <w:rPr>
            <w:rFonts w:asciiTheme="minorHAnsi" w:eastAsiaTheme="minorEastAsia" w:hAnsiTheme="minorHAnsi" w:cstheme="minorBidi"/>
            <w:noProof/>
            <w:lang w:eastAsia="en-AU"/>
          </w:rPr>
          <w:tab/>
        </w:r>
        <w:r w:rsidR="00CD1FAE" w:rsidRPr="0002165D">
          <w:rPr>
            <w:rStyle w:val="Hyperlink"/>
            <w:noProof/>
          </w:rPr>
          <w:t>Fee and levy changes</w:t>
        </w:r>
        <w:r w:rsidR="00CD1FAE">
          <w:rPr>
            <w:noProof/>
            <w:webHidden/>
          </w:rPr>
          <w:tab/>
        </w:r>
        <w:r w:rsidR="00CD1FAE">
          <w:rPr>
            <w:noProof/>
            <w:webHidden/>
          </w:rPr>
          <w:fldChar w:fldCharType="begin"/>
        </w:r>
        <w:r w:rsidR="00CD1FAE">
          <w:rPr>
            <w:noProof/>
            <w:webHidden/>
          </w:rPr>
          <w:instrText xml:space="preserve"> PAGEREF _Toc433370168 \h </w:instrText>
        </w:r>
        <w:r w:rsidR="00CD1FAE">
          <w:rPr>
            <w:noProof/>
            <w:webHidden/>
          </w:rPr>
        </w:r>
        <w:r w:rsidR="00CD1FAE">
          <w:rPr>
            <w:noProof/>
            <w:webHidden/>
          </w:rPr>
          <w:fldChar w:fldCharType="separate"/>
        </w:r>
        <w:r>
          <w:rPr>
            <w:noProof/>
            <w:webHidden/>
          </w:rPr>
          <w:t>6</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69" w:history="1">
        <w:r w:rsidR="00CD1FAE" w:rsidRPr="0002165D">
          <w:rPr>
            <w:rStyle w:val="Hyperlink"/>
            <w:noProof/>
          </w:rPr>
          <w:t>4</w:t>
        </w:r>
        <w:r w:rsidR="00CD1FAE">
          <w:rPr>
            <w:rFonts w:asciiTheme="minorHAnsi" w:eastAsiaTheme="minorEastAsia" w:hAnsiTheme="minorHAnsi" w:cstheme="minorBidi"/>
            <w:noProof/>
            <w:lang w:eastAsia="en-AU"/>
          </w:rPr>
          <w:tab/>
        </w:r>
        <w:r w:rsidR="00CD1FAE" w:rsidRPr="0002165D">
          <w:rPr>
            <w:rStyle w:val="Hyperlink"/>
            <w:noProof/>
          </w:rPr>
          <w:t>Cost recovery methodology</w:t>
        </w:r>
        <w:r w:rsidR="00CD1FAE">
          <w:rPr>
            <w:noProof/>
            <w:webHidden/>
          </w:rPr>
          <w:tab/>
        </w:r>
        <w:r w:rsidR="00CD1FAE">
          <w:rPr>
            <w:noProof/>
            <w:webHidden/>
          </w:rPr>
          <w:fldChar w:fldCharType="begin"/>
        </w:r>
        <w:r w:rsidR="00CD1FAE">
          <w:rPr>
            <w:noProof/>
            <w:webHidden/>
          </w:rPr>
          <w:instrText xml:space="preserve"> PAGEREF _Toc433370169 \h </w:instrText>
        </w:r>
        <w:r w:rsidR="00CD1FAE">
          <w:rPr>
            <w:noProof/>
            <w:webHidden/>
          </w:rPr>
        </w:r>
        <w:r w:rsidR="00CD1FAE">
          <w:rPr>
            <w:noProof/>
            <w:webHidden/>
          </w:rPr>
          <w:fldChar w:fldCharType="separate"/>
        </w:r>
        <w:r>
          <w:rPr>
            <w:noProof/>
            <w:webHidden/>
          </w:rPr>
          <w:t>8</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70" w:history="1">
        <w:r w:rsidR="00CD1FAE" w:rsidRPr="0002165D">
          <w:rPr>
            <w:rStyle w:val="Hyperlink"/>
            <w:noProof/>
          </w:rPr>
          <w:t>4.1</w:t>
        </w:r>
        <w:r w:rsidR="00CD1FAE">
          <w:rPr>
            <w:rFonts w:asciiTheme="minorHAnsi" w:eastAsiaTheme="minorEastAsia" w:hAnsiTheme="minorHAnsi" w:cstheme="minorBidi"/>
            <w:noProof/>
            <w:lang w:eastAsia="en-AU"/>
          </w:rPr>
          <w:tab/>
        </w:r>
        <w:r w:rsidR="00CD1FAE" w:rsidRPr="0002165D">
          <w:rPr>
            <w:rStyle w:val="Hyperlink"/>
            <w:noProof/>
          </w:rPr>
          <w:t>Determining the cost base</w:t>
        </w:r>
        <w:r w:rsidR="00CD1FAE">
          <w:rPr>
            <w:noProof/>
            <w:webHidden/>
          </w:rPr>
          <w:tab/>
        </w:r>
        <w:r w:rsidR="00CD1FAE">
          <w:rPr>
            <w:noProof/>
            <w:webHidden/>
          </w:rPr>
          <w:fldChar w:fldCharType="begin"/>
        </w:r>
        <w:r w:rsidR="00CD1FAE">
          <w:rPr>
            <w:noProof/>
            <w:webHidden/>
          </w:rPr>
          <w:instrText xml:space="preserve"> PAGEREF _Toc433370170 \h </w:instrText>
        </w:r>
        <w:r w:rsidR="00CD1FAE">
          <w:rPr>
            <w:noProof/>
            <w:webHidden/>
          </w:rPr>
        </w:r>
        <w:r w:rsidR="00CD1FAE">
          <w:rPr>
            <w:noProof/>
            <w:webHidden/>
          </w:rPr>
          <w:fldChar w:fldCharType="separate"/>
        </w:r>
        <w:r>
          <w:rPr>
            <w:noProof/>
            <w:webHidden/>
          </w:rPr>
          <w:t>8</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71" w:history="1">
        <w:r w:rsidR="00CD1FAE" w:rsidRPr="0002165D">
          <w:rPr>
            <w:rStyle w:val="Hyperlink"/>
            <w:noProof/>
          </w:rPr>
          <w:t>4.2</w:t>
        </w:r>
        <w:r w:rsidR="00CD1FAE">
          <w:rPr>
            <w:rFonts w:asciiTheme="minorHAnsi" w:eastAsiaTheme="minorEastAsia" w:hAnsiTheme="minorHAnsi" w:cstheme="minorBidi"/>
            <w:noProof/>
            <w:lang w:eastAsia="en-AU"/>
          </w:rPr>
          <w:tab/>
        </w:r>
        <w:r w:rsidR="00CD1FAE" w:rsidRPr="0002165D">
          <w:rPr>
            <w:rStyle w:val="Hyperlink"/>
            <w:noProof/>
          </w:rPr>
          <w:t>Activity-based cost model</w:t>
        </w:r>
        <w:r w:rsidR="00CD1FAE">
          <w:rPr>
            <w:noProof/>
            <w:webHidden/>
          </w:rPr>
          <w:tab/>
        </w:r>
        <w:r w:rsidR="00CD1FAE">
          <w:rPr>
            <w:noProof/>
            <w:webHidden/>
          </w:rPr>
          <w:fldChar w:fldCharType="begin"/>
        </w:r>
        <w:r w:rsidR="00CD1FAE">
          <w:rPr>
            <w:noProof/>
            <w:webHidden/>
          </w:rPr>
          <w:instrText xml:space="preserve"> PAGEREF _Toc433370171 \h </w:instrText>
        </w:r>
        <w:r w:rsidR="00CD1FAE">
          <w:rPr>
            <w:noProof/>
            <w:webHidden/>
          </w:rPr>
        </w:r>
        <w:r w:rsidR="00CD1FAE">
          <w:rPr>
            <w:noProof/>
            <w:webHidden/>
          </w:rPr>
          <w:fldChar w:fldCharType="separate"/>
        </w:r>
        <w:r>
          <w:rPr>
            <w:noProof/>
            <w:webHidden/>
          </w:rPr>
          <w:t>8</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72" w:history="1">
        <w:r w:rsidR="00CD1FAE" w:rsidRPr="0002165D">
          <w:rPr>
            <w:rStyle w:val="Hyperlink"/>
            <w:noProof/>
          </w:rPr>
          <w:t>4.3</w:t>
        </w:r>
        <w:r w:rsidR="00CD1FAE">
          <w:rPr>
            <w:rFonts w:asciiTheme="minorHAnsi" w:eastAsiaTheme="minorEastAsia" w:hAnsiTheme="minorHAnsi" w:cstheme="minorBidi"/>
            <w:noProof/>
            <w:lang w:eastAsia="en-AU"/>
          </w:rPr>
          <w:tab/>
        </w:r>
        <w:r w:rsidR="00CD1FAE" w:rsidRPr="0002165D">
          <w:rPr>
            <w:rStyle w:val="Hyperlink"/>
            <w:noProof/>
          </w:rPr>
          <w:t>Activities undertaken for live animal exports cost recovery arrangement</w:t>
        </w:r>
        <w:r w:rsidR="00CD1FAE">
          <w:rPr>
            <w:noProof/>
            <w:webHidden/>
          </w:rPr>
          <w:tab/>
        </w:r>
        <w:r w:rsidR="00CD1FAE">
          <w:rPr>
            <w:noProof/>
            <w:webHidden/>
          </w:rPr>
          <w:fldChar w:fldCharType="begin"/>
        </w:r>
        <w:r w:rsidR="00CD1FAE">
          <w:rPr>
            <w:noProof/>
            <w:webHidden/>
          </w:rPr>
          <w:instrText xml:space="preserve"> PAGEREF _Toc433370172 \h </w:instrText>
        </w:r>
        <w:r w:rsidR="00CD1FAE">
          <w:rPr>
            <w:noProof/>
            <w:webHidden/>
          </w:rPr>
        </w:r>
        <w:r w:rsidR="00CD1FAE">
          <w:rPr>
            <w:noProof/>
            <w:webHidden/>
          </w:rPr>
          <w:fldChar w:fldCharType="separate"/>
        </w:r>
        <w:r>
          <w:rPr>
            <w:noProof/>
            <w:webHidden/>
          </w:rPr>
          <w:t>9</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73" w:history="1">
        <w:r w:rsidR="00CD1FAE" w:rsidRPr="0002165D">
          <w:rPr>
            <w:rStyle w:val="Hyperlink"/>
            <w:noProof/>
          </w:rPr>
          <w:t>4.4</w:t>
        </w:r>
        <w:r w:rsidR="00CD1FAE">
          <w:rPr>
            <w:rFonts w:asciiTheme="minorHAnsi" w:eastAsiaTheme="minorEastAsia" w:hAnsiTheme="minorHAnsi" w:cstheme="minorBidi"/>
            <w:noProof/>
            <w:lang w:eastAsia="en-AU"/>
          </w:rPr>
          <w:tab/>
        </w:r>
        <w:r w:rsidR="00CD1FAE" w:rsidRPr="0002165D">
          <w:rPr>
            <w:rStyle w:val="Hyperlink"/>
            <w:noProof/>
          </w:rPr>
          <w:t>Cost recovery reserve</w:t>
        </w:r>
        <w:r w:rsidR="00CD1FAE">
          <w:rPr>
            <w:noProof/>
            <w:webHidden/>
          </w:rPr>
          <w:tab/>
        </w:r>
        <w:r w:rsidR="00CD1FAE">
          <w:rPr>
            <w:noProof/>
            <w:webHidden/>
          </w:rPr>
          <w:fldChar w:fldCharType="begin"/>
        </w:r>
        <w:r w:rsidR="00CD1FAE">
          <w:rPr>
            <w:noProof/>
            <w:webHidden/>
          </w:rPr>
          <w:instrText xml:space="preserve"> PAGEREF _Toc433370173 \h </w:instrText>
        </w:r>
        <w:r w:rsidR="00CD1FAE">
          <w:rPr>
            <w:noProof/>
            <w:webHidden/>
          </w:rPr>
        </w:r>
        <w:r w:rsidR="00CD1FAE">
          <w:rPr>
            <w:noProof/>
            <w:webHidden/>
          </w:rPr>
          <w:fldChar w:fldCharType="separate"/>
        </w:r>
        <w:r>
          <w:rPr>
            <w:noProof/>
            <w:webHidden/>
          </w:rPr>
          <w:t>10</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74" w:history="1">
        <w:r w:rsidR="00CD1FAE" w:rsidRPr="0002165D">
          <w:rPr>
            <w:rStyle w:val="Hyperlink"/>
            <w:noProof/>
          </w:rPr>
          <w:t>5</w:t>
        </w:r>
        <w:r w:rsidR="00CD1FAE">
          <w:rPr>
            <w:rFonts w:asciiTheme="minorHAnsi" w:eastAsiaTheme="minorEastAsia" w:hAnsiTheme="minorHAnsi" w:cstheme="minorBidi"/>
            <w:noProof/>
            <w:lang w:eastAsia="en-AU"/>
          </w:rPr>
          <w:tab/>
        </w:r>
        <w:r w:rsidR="00CD1FAE" w:rsidRPr="0002165D">
          <w:rPr>
            <w:rStyle w:val="Hyperlink"/>
            <w:noProof/>
          </w:rPr>
          <w:t>Cost base</w:t>
        </w:r>
        <w:r w:rsidR="00CD1FAE">
          <w:rPr>
            <w:noProof/>
            <w:webHidden/>
          </w:rPr>
          <w:tab/>
        </w:r>
        <w:r w:rsidR="00CD1FAE">
          <w:rPr>
            <w:noProof/>
            <w:webHidden/>
          </w:rPr>
          <w:fldChar w:fldCharType="begin"/>
        </w:r>
        <w:r w:rsidR="00CD1FAE">
          <w:rPr>
            <w:noProof/>
            <w:webHidden/>
          </w:rPr>
          <w:instrText xml:space="preserve"> PAGEREF _Toc433370174 \h </w:instrText>
        </w:r>
        <w:r w:rsidR="00CD1FAE">
          <w:rPr>
            <w:noProof/>
            <w:webHidden/>
          </w:rPr>
        </w:r>
        <w:r w:rsidR="00CD1FAE">
          <w:rPr>
            <w:noProof/>
            <w:webHidden/>
          </w:rPr>
          <w:fldChar w:fldCharType="separate"/>
        </w:r>
        <w:r>
          <w:rPr>
            <w:noProof/>
            <w:webHidden/>
          </w:rPr>
          <w:t>11</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75" w:history="1">
        <w:r w:rsidR="00CD1FAE" w:rsidRPr="0002165D">
          <w:rPr>
            <w:rStyle w:val="Hyperlink"/>
            <w:noProof/>
          </w:rPr>
          <w:t>5.1</w:t>
        </w:r>
        <w:r w:rsidR="00CD1FAE">
          <w:rPr>
            <w:rFonts w:asciiTheme="minorHAnsi" w:eastAsiaTheme="minorEastAsia" w:hAnsiTheme="minorHAnsi" w:cstheme="minorBidi"/>
            <w:noProof/>
            <w:lang w:eastAsia="en-AU"/>
          </w:rPr>
          <w:tab/>
        </w:r>
        <w:r w:rsidR="00CD1FAE" w:rsidRPr="0002165D">
          <w:rPr>
            <w:rStyle w:val="Hyperlink"/>
            <w:noProof/>
          </w:rPr>
          <w:t>Projected cost base</w:t>
        </w:r>
        <w:r w:rsidR="00CD1FAE">
          <w:rPr>
            <w:noProof/>
            <w:webHidden/>
          </w:rPr>
          <w:tab/>
        </w:r>
        <w:r w:rsidR="00CD1FAE">
          <w:rPr>
            <w:noProof/>
            <w:webHidden/>
          </w:rPr>
          <w:fldChar w:fldCharType="begin"/>
        </w:r>
        <w:r w:rsidR="00CD1FAE">
          <w:rPr>
            <w:noProof/>
            <w:webHidden/>
          </w:rPr>
          <w:instrText xml:space="preserve"> PAGEREF _Toc433370175 \h </w:instrText>
        </w:r>
        <w:r w:rsidR="00CD1FAE">
          <w:rPr>
            <w:noProof/>
            <w:webHidden/>
          </w:rPr>
        </w:r>
        <w:r w:rsidR="00CD1FAE">
          <w:rPr>
            <w:noProof/>
            <w:webHidden/>
          </w:rPr>
          <w:fldChar w:fldCharType="separate"/>
        </w:r>
        <w:r>
          <w:rPr>
            <w:noProof/>
            <w:webHidden/>
          </w:rPr>
          <w:t>11</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76" w:history="1">
        <w:r w:rsidR="00CD1FAE" w:rsidRPr="0002165D">
          <w:rPr>
            <w:rStyle w:val="Hyperlink"/>
            <w:noProof/>
          </w:rPr>
          <w:t>5.2</w:t>
        </w:r>
        <w:r w:rsidR="00CD1FAE">
          <w:rPr>
            <w:rFonts w:asciiTheme="minorHAnsi" w:eastAsiaTheme="minorEastAsia" w:hAnsiTheme="minorHAnsi" w:cstheme="minorBidi"/>
            <w:noProof/>
            <w:lang w:eastAsia="en-AU"/>
          </w:rPr>
          <w:tab/>
        </w:r>
        <w:r w:rsidR="00CD1FAE" w:rsidRPr="0002165D">
          <w:rPr>
            <w:rStyle w:val="Hyperlink"/>
            <w:noProof/>
          </w:rPr>
          <w:t>Changes to the cost base</w:t>
        </w:r>
        <w:r w:rsidR="00CD1FAE">
          <w:rPr>
            <w:noProof/>
            <w:webHidden/>
          </w:rPr>
          <w:tab/>
        </w:r>
        <w:r w:rsidR="00CD1FAE">
          <w:rPr>
            <w:noProof/>
            <w:webHidden/>
          </w:rPr>
          <w:fldChar w:fldCharType="begin"/>
        </w:r>
        <w:r w:rsidR="00CD1FAE">
          <w:rPr>
            <w:noProof/>
            <w:webHidden/>
          </w:rPr>
          <w:instrText xml:space="preserve"> PAGEREF _Toc433370176 \h </w:instrText>
        </w:r>
        <w:r w:rsidR="00CD1FAE">
          <w:rPr>
            <w:noProof/>
            <w:webHidden/>
          </w:rPr>
        </w:r>
        <w:r w:rsidR="00CD1FAE">
          <w:rPr>
            <w:noProof/>
            <w:webHidden/>
          </w:rPr>
          <w:fldChar w:fldCharType="separate"/>
        </w:r>
        <w:r>
          <w:rPr>
            <w:noProof/>
            <w:webHidden/>
          </w:rPr>
          <w:t>12</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77" w:history="1">
        <w:r w:rsidR="00CD1FAE" w:rsidRPr="0002165D">
          <w:rPr>
            <w:rStyle w:val="Hyperlink"/>
            <w:noProof/>
          </w:rPr>
          <w:t>6</w:t>
        </w:r>
        <w:r w:rsidR="00CD1FAE">
          <w:rPr>
            <w:rFonts w:asciiTheme="minorHAnsi" w:eastAsiaTheme="minorEastAsia" w:hAnsiTheme="minorHAnsi" w:cstheme="minorBidi"/>
            <w:noProof/>
            <w:lang w:eastAsia="en-AU"/>
          </w:rPr>
          <w:tab/>
        </w:r>
        <w:r w:rsidR="00CD1FAE" w:rsidRPr="0002165D">
          <w:rPr>
            <w:rStyle w:val="Hyperlink"/>
            <w:noProof/>
          </w:rPr>
          <w:t>Financial estimates</w:t>
        </w:r>
        <w:r w:rsidR="00CD1FAE">
          <w:rPr>
            <w:noProof/>
            <w:webHidden/>
          </w:rPr>
          <w:tab/>
        </w:r>
        <w:r w:rsidR="00CD1FAE">
          <w:rPr>
            <w:noProof/>
            <w:webHidden/>
          </w:rPr>
          <w:fldChar w:fldCharType="begin"/>
        </w:r>
        <w:r w:rsidR="00CD1FAE">
          <w:rPr>
            <w:noProof/>
            <w:webHidden/>
          </w:rPr>
          <w:instrText xml:space="preserve"> PAGEREF _Toc433370177 \h </w:instrText>
        </w:r>
        <w:r w:rsidR="00CD1FAE">
          <w:rPr>
            <w:noProof/>
            <w:webHidden/>
          </w:rPr>
        </w:r>
        <w:r w:rsidR="00CD1FAE">
          <w:rPr>
            <w:noProof/>
            <w:webHidden/>
          </w:rPr>
          <w:fldChar w:fldCharType="separate"/>
        </w:r>
        <w:r>
          <w:rPr>
            <w:noProof/>
            <w:webHidden/>
          </w:rPr>
          <w:t>14</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78" w:history="1">
        <w:r w:rsidR="00CD1FAE" w:rsidRPr="0002165D">
          <w:rPr>
            <w:rStyle w:val="Hyperlink"/>
            <w:noProof/>
          </w:rPr>
          <w:t>7</w:t>
        </w:r>
        <w:r w:rsidR="00CD1FAE">
          <w:rPr>
            <w:rFonts w:asciiTheme="minorHAnsi" w:eastAsiaTheme="minorEastAsia" w:hAnsiTheme="minorHAnsi" w:cstheme="minorBidi"/>
            <w:noProof/>
            <w:lang w:eastAsia="en-AU"/>
          </w:rPr>
          <w:tab/>
        </w:r>
        <w:r w:rsidR="00CD1FAE" w:rsidRPr="0002165D">
          <w:rPr>
            <w:rStyle w:val="Hyperlink"/>
            <w:noProof/>
          </w:rPr>
          <w:t>Performance reporting</w:t>
        </w:r>
        <w:r w:rsidR="00CD1FAE">
          <w:rPr>
            <w:noProof/>
            <w:webHidden/>
          </w:rPr>
          <w:tab/>
        </w:r>
        <w:r w:rsidR="00CD1FAE">
          <w:rPr>
            <w:noProof/>
            <w:webHidden/>
          </w:rPr>
          <w:fldChar w:fldCharType="begin"/>
        </w:r>
        <w:r w:rsidR="00CD1FAE">
          <w:rPr>
            <w:noProof/>
            <w:webHidden/>
          </w:rPr>
          <w:instrText xml:space="preserve"> PAGEREF _Toc433370178 \h </w:instrText>
        </w:r>
        <w:r w:rsidR="00CD1FAE">
          <w:rPr>
            <w:noProof/>
            <w:webHidden/>
          </w:rPr>
        </w:r>
        <w:r w:rsidR="00CD1FAE">
          <w:rPr>
            <w:noProof/>
            <w:webHidden/>
          </w:rPr>
          <w:fldChar w:fldCharType="separate"/>
        </w:r>
        <w:r>
          <w:rPr>
            <w:noProof/>
            <w:webHidden/>
          </w:rPr>
          <w:t>15</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79" w:history="1">
        <w:r w:rsidR="00CD1FAE" w:rsidRPr="0002165D">
          <w:rPr>
            <w:rStyle w:val="Hyperlink"/>
            <w:noProof/>
          </w:rPr>
          <w:t>7.1</w:t>
        </w:r>
        <w:r w:rsidR="00CD1FAE">
          <w:rPr>
            <w:rFonts w:asciiTheme="minorHAnsi" w:eastAsiaTheme="minorEastAsia" w:hAnsiTheme="minorHAnsi" w:cstheme="minorBidi"/>
            <w:noProof/>
            <w:lang w:eastAsia="en-AU"/>
          </w:rPr>
          <w:tab/>
        </w:r>
        <w:r w:rsidR="00CD1FAE" w:rsidRPr="0002165D">
          <w:rPr>
            <w:rStyle w:val="Hyperlink"/>
            <w:noProof/>
          </w:rPr>
          <w:t>Financial performance</w:t>
        </w:r>
        <w:r w:rsidR="00CD1FAE">
          <w:rPr>
            <w:noProof/>
            <w:webHidden/>
          </w:rPr>
          <w:tab/>
        </w:r>
        <w:r w:rsidR="00CD1FAE">
          <w:rPr>
            <w:noProof/>
            <w:webHidden/>
          </w:rPr>
          <w:fldChar w:fldCharType="begin"/>
        </w:r>
        <w:r w:rsidR="00CD1FAE">
          <w:rPr>
            <w:noProof/>
            <w:webHidden/>
          </w:rPr>
          <w:instrText xml:space="preserve"> PAGEREF _Toc433370179 \h </w:instrText>
        </w:r>
        <w:r w:rsidR="00CD1FAE">
          <w:rPr>
            <w:noProof/>
            <w:webHidden/>
          </w:rPr>
        </w:r>
        <w:r w:rsidR="00CD1FAE">
          <w:rPr>
            <w:noProof/>
            <w:webHidden/>
          </w:rPr>
          <w:fldChar w:fldCharType="separate"/>
        </w:r>
        <w:r>
          <w:rPr>
            <w:noProof/>
            <w:webHidden/>
          </w:rPr>
          <w:t>15</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80" w:history="1">
        <w:r w:rsidR="00CD1FAE" w:rsidRPr="0002165D">
          <w:rPr>
            <w:rStyle w:val="Hyperlink"/>
            <w:noProof/>
          </w:rPr>
          <w:t>7.2</w:t>
        </w:r>
        <w:r w:rsidR="00CD1FAE">
          <w:rPr>
            <w:rFonts w:asciiTheme="minorHAnsi" w:eastAsiaTheme="minorEastAsia" w:hAnsiTheme="minorHAnsi" w:cstheme="minorBidi"/>
            <w:noProof/>
            <w:lang w:eastAsia="en-AU"/>
          </w:rPr>
          <w:tab/>
        </w:r>
        <w:r w:rsidR="00CD1FAE" w:rsidRPr="0002165D">
          <w:rPr>
            <w:rStyle w:val="Hyperlink"/>
            <w:noProof/>
          </w:rPr>
          <w:t>Non-financial performance</w:t>
        </w:r>
        <w:r w:rsidR="00CD1FAE">
          <w:rPr>
            <w:noProof/>
            <w:webHidden/>
          </w:rPr>
          <w:tab/>
        </w:r>
        <w:r w:rsidR="00CD1FAE">
          <w:rPr>
            <w:noProof/>
            <w:webHidden/>
          </w:rPr>
          <w:fldChar w:fldCharType="begin"/>
        </w:r>
        <w:r w:rsidR="00CD1FAE">
          <w:rPr>
            <w:noProof/>
            <w:webHidden/>
          </w:rPr>
          <w:instrText xml:space="preserve"> PAGEREF _Toc433370180 \h </w:instrText>
        </w:r>
        <w:r w:rsidR="00CD1FAE">
          <w:rPr>
            <w:noProof/>
            <w:webHidden/>
          </w:rPr>
        </w:r>
        <w:r w:rsidR="00CD1FAE">
          <w:rPr>
            <w:noProof/>
            <w:webHidden/>
          </w:rPr>
          <w:fldChar w:fldCharType="separate"/>
        </w:r>
        <w:r>
          <w:rPr>
            <w:noProof/>
            <w:webHidden/>
          </w:rPr>
          <w:t>15</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81" w:history="1">
        <w:r w:rsidR="00CD1FAE" w:rsidRPr="0002165D">
          <w:rPr>
            <w:rStyle w:val="Hyperlink"/>
            <w:noProof/>
          </w:rPr>
          <w:t>8</w:t>
        </w:r>
        <w:r w:rsidR="00CD1FAE">
          <w:rPr>
            <w:rFonts w:asciiTheme="minorHAnsi" w:eastAsiaTheme="minorEastAsia" w:hAnsiTheme="minorHAnsi" w:cstheme="minorBidi"/>
            <w:noProof/>
            <w:lang w:eastAsia="en-AU"/>
          </w:rPr>
          <w:tab/>
        </w:r>
        <w:r w:rsidR="00CD1FAE" w:rsidRPr="0002165D">
          <w:rPr>
            <w:rStyle w:val="Hyperlink"/>
            <w:noProof/>
          </w:rPr>
          <w:t>Risk management</w:t>
        </w:r>
        <w:r w:rsidR="00CD1FAE">
          <w:rPr>
            <w:noProof/>
            <w:webHidden/>
          </w:rPr>
          <w:tab/>
        </w:r>
        <w:r w:rsidR="00CD1FAE">
          <w:rPr>
            <w:noProof/>
            <w:webHidden/>
          </w:rPr>
          <w:fldChar w:fldCharType="begin"/>
        </w:r>
        <w:r w:rsidR="00CD1FAE">
          <w:rPr>
            <w:noProof/>
            <w:webHidden/>
          </w:rPr>
          <w:instrText xml:space="preserve"> PAGEREF _Toc433370181 \h </w:instrText>
        </w:r>
        <w:r w:rsidR="00CD1FAE">
          <w:rPr>
            <w:noProof/>
            <w:webHidden/>
          </w:rPr>
        </w:r>
        <w:r w:rsidR="00CD1FAE">
          <w:rPr>
            <w:noProof/>
            <w:webHidden/>
          </w:rPr>
          <w:fldChar w:fldCharType="separate"/>
        </w:r>
        <w:r>
          <w:rPr>
            <w:noProof/>
            <w:webHidden/>
          </w:rPr>
          <w:t>16</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82" w:history="1">
        <w:r w:rsidR="00CD1FAE" w:rsidRPr="0002165D">
          <w:rPr>
            <w:rStyle w:val="Hyperlink"/>
            <w:noProof/>
          </w:rPr>
          <w:t>9</w:t>
        </w:r>
        <w:r w:rsidR="00CD1FAE">
          <w:rPr>
            <w:rFonts w:asciiTheme="minorHAnsi" w:eastAsiaTheme="minorEastAsia" w:hAnsiTheme="minorHAnsi" w:cstheme="minorBidi"/>
            <w:noProof/>
            <w:lang w:eastAsia="en-AU"/>
          </w:rPr>
          <w:tab/>
        </w:r>
        <w:r w:rsidR="00CD1FAE" w:rsidRPr="0002165D">
          <w:rPr>
            <w:rStyle w:val="Hyperlink"/>
            <w:noProof/>
          </w:rPr>
          <w:t>Stakeholder engagement</w:t>
        </w:r>
        <w:r w:rsidR="00CD1FAE">
          <w:rPr>
            <w:noProof/>
            <w:webHidden/>
          </w:rPr>
          <w:tab/>
        </w:r>
        <w:r w:rsidR="00CD1FAE">
          <w:rPr>
            <w:noProof/>
            <w:webHidden/>
          </w:rPr>
          <w:fldChar w:fldCharType="begin"/>
        </w:r>
        <w:r w:rsidR="00CD1FAE">
          <w:rPr>
            <w:noProof/>
            <w:webHidden/>
          </w:rPr>
          <w:instrText xml:space="preserve"> PAGEREF _Toc433370182 \h </w:instrText>
        </w:r>
        <w:r w:rsidR="00CD1FAE">
          <w:rPr>
            <w:noProof/>
            <w:webHidden/>
          </w:rPr>
        </w:r>
        <w:r w:rsidR="00CD1FAE">
          <w:rPr>
            <w:noProof/>
            <w:webHidden/>
          </w:rPr>
          <w:fldChar w:fldCharType="separate"/>
        </w:r>
        <w:r>
          <w:rPr>
            <w:noProof/>
            <w:webHidden/>
          </w:rPr>
          <w:t>17</w:t>
        </w:r>
        <w:r w:rsidR="00CD1FAE">
          <w:rPr>
            <w:noProof/>
            <w:webHidden/>
          </w:rPr>
          <w:fldChar w:fldCharType="end"/>
        </w:r>
      </w:hyperlink>
    </w:p>
    <w:p w:rsidR="00CD1FAE" w:rsidRDefault="007A657F">
      <w:pPr>
        <w:pStyle w:val="TOC1"/>
        <w:tabs>
          <w:tab w:val="left" w:pos="480"/>
        </w:tabs>
        <w:rPr>
          <w:rFonts w:asciiTheme="minorHAnsi" w:eastAsiaTheme="minorEastAsia" w:hAnsiTheme="minorHAnsi" w:cstheme="minorBidi"/>
          <w:noProof/>
          <w:lang w:eastAsia="en-AU"/>
        </w:rPr>
      </w:pPr>
      <w:hyperlink w:anchor="_Toc433370183" w:history="1">
        <w:r w:rsidR="00CD1FAE" w:rsidRPr="0002165D">
          <w:rPr>
            <w:rStyle w:val="Hyperlink"/>
            <w:noProof/>
          </w:rPr>
          <w:t>10</w:t>
        </w:r>
        <w:r w:rsidR="00CD1FAE">
          <w:rPr>
            <w:rFonts w:asciiTheme="minorHAnsi" w:eastAsiaTheme="minorEastAsia" w:hAnsiTheme="minorHAnsi" w:cstheme="minorBidi"/>
            <w:noProof/>
            <w:lang w:eastAsia="en-AU"/>
          </w:rPr>
          <w:tab/>
        </w:r>
        <w:r w:rsidR="00CD1FAE" w:rsidRPr="0002165D">
          <w:rPr>
            <w:rStyle w:val="Hyperlink"/>
            <w:noProof/>
          </w:rPr>
          <w:t>Key forward dates and events</w:t>
        </w:r>
        <w:r w:rsidR="00CD1FAE">
          <w:rPr>
            <w:noProof/>
            <w:webHidden/>
          </w:rPr>
          <w:tab/>
        </w:r>
        <w:r w:rsidR="00CD1FAE">
          <w:rPr>
            <w:noProof/>
            <w:webHidden/>
          </w:rPr>
          <w:fldChar w:fldCharType="begin"/>
        </w:r>
        <w:r w:rsidR="00CD1FAE">
          <w:rPr>
            <w:noProof/>
            <w:webHidden/>
          </w:rPr>
          <w:instrText xml:space="preserve"> PAGEREF _Toc433370183 \h </w:instrText>
        </w:r>
        <w:r w:rsidR="00CD1FAE">
          <w:rPr>
            <w:noProof/>
            <w:webHidden/>
          </w:rPr>
        </w:r>
        <w:r w:rsidR="00CD1FAE">
          <w:rPr>
            <w:noProof/>
            <w:webHidden/>
          </w:rPr>
          <w:fldChar w:fldCharType="separate"/>
        </w:r>
        <w:r>
          <w:rPr>
            <w:noProof/>
            <w:webHidden/>
          </w:rPr>
          <w:t>18</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84" w:history="1">
        <w:r w:rsidR="00CD1FAE" w:rsidRPr="0002165D">
          <w:rPr>
            <w:rStyle w:val="Hyperlink"/>
            <w:noProof/>
          </w:rPr>
          <w:t>10.1</w:t>
        </w:r>
        <w:r w:rsidR="00CD1FAE">
          <w:rPr>
            <w:rFonts w:asciiTheme="minorHAnsi" w:eastAsiaTheme="minorEastAsia" w:hAnsiTheme="minorHAnsi" w:cstheme="minorBidi"/>
            <w:noProof/>
            <w:lang w:eastAsia="en-AU"/>
          </w:rPr>
          <w:tab/>
        </w:r>
        <w:r w:rsidR="00CD1FAE" w:rsidRPr="0002165D">
          <w:rPr>
            <w:rStyle w:val="Hyperlink"/>
            <w:noProof/>
          </w:rPr>
          <w:t>Consultation</w:t>
        </w:r>
        <w:r w:rsidR="00CD1FAE">
          <w:rPr>
            <w:noProof/>
            <w:webHidden/>
          </w:rPr>
          <w:tab/>
        </w:r>
        <w:r w:rsidR="00CD1FAE">
          <w:rPr>
            <w:noProof/>
            <w:webHidden/>
          </w:rPr>
          <w:fldChar w:fldCharType="begin"/>
        </w:r>
        <w:r w:rsidR="00CD1FAE">
          <w:rPr>
            <w:noProof/>
            <w:webHidden/>
          </w:rPr>
          <w:instrText xml:space="preserve"> PAGEREF _Toc433370184 \h </w:instrText>
        </w:r>
        <w:r w:rsidR="00CD1FAE">
          <w:rPr>
            <w:noProof/>
            <w:webHidden/>
          </w:rPr>
        </w:r>
        <w:r w:rsidR="00CD1FAE">
          <w:rPr>
            <w:noProof/>
            <w:webHidden/>
          </w:rPr>
          <w:fldChar w:fldCharType="separate"/>
        </w:r>
        <w:r>
          <w:rPr>
            <w:noProof/>
            <w:webHidden/>
          </w:rPr>
          <w:t>18</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85" w:history="1">
        <w:r w:rsidR="00CD1FAE" w:rsidRPr="0002165D">
          <w:rPr>
            <w:rStyle w:val="Hyperlink"/>
            <w:noProof/>
          </w:rPr>
          <w:t>10.2</w:t>
        </w:r>
        <w:r w:rsidR="00CD1FAE">
          <w:rPr>
            <w:rFonts w:asciiTheme="minorHAnsi" w:eastAsiaTheme="minorEastAsia" w:hAnsiTheme="minorHAnsi" w:cstheme="minorBidi"/>
            <w:noProof/>
            <w:lang w:eastAsia="en-AU"/>
          </w:rPr>
          <w:tab/>
        </w:r>
        <w:r w:rsidR="00CD1FAE" w:rsidRPr="0002165D">
          <w:rPr>
            <w:rStyle w:val="Hyperlink"/>
            <w:noProof/>
          </w:rPr>
          <w:t>CRIS approval process and change register</w:t>
        </w:r>
        <w:r w:rsidR="00CD1FAE">
          <w:rPr>
            <w:noProof/>
            <w:webHidden/>
          </w:rPr>
          <w:tab/>
        </w:r>
        <w:r w:rsidR="00CD1FAE">
          <w:rPr>
            <w:noProof/>
            <w:webHidden/>
          </w:rPr>
          <w:fldChar w:fldCharType="begin"/>
        </w:r>
        <w:r w:rsidR="00CD1FAE">
          <w:rPr>
            <w:noProof/>
            <w:webHidden/>
          </w:rPr>
          <w:instrText xml:space="preserve"> PAGEREF _Toc433370185 \h </w:instrText>
        </w:r>
        <w:r w:rsidR="00CD1FAE">
          <w:rPr>
            <w:noProof/>
            <w:webHidden/>
          </w:rPr>
        </w:r>
        <w:r w:rsidR="00CD1FAE">
          <w:rPr>
            <w:noProof/>
            <w:webHidden/>
          </w:rPr>
          <w:fldChar w:fldCharType="separate"/>
        </w:r>
        <w:r>
          <w:rPr>
            <w:noProof/>
            <w:webHidden/>
          </w:rPr>
          <w:t>18</w:t>
        </w:r>
        <w:r w:rsidR="00CD1FAE">
          <w:rPr>
            <w:noProof/>
            <w:webHidden/>
          </w:rPr>
          <w:fldChar w:fldCharType="end"/>
        </w:r>
      </w:hyperlink>
    </w:p>
    <w:p w:rsidR="00CD1FAE" w:rsidRDefault="007A657F">
      <w:pPr>
        <w:pStyle w:val="TOC1"/>
        <w:rPr>
          <w:rFonts w:asciiTheme="minorHAnsi" w:eastAsiaTheme="minorEastAsia" w:hAnsiTheme="minorHAnsi" w:cstheme="minorBidi"/>
          <w:noProof/>
          <w:lang w:eastAsia="en-AU"/>
        </w:rPr>
      </w:pPr>
      <w:hyperlink w:anchor="_Toc433370186" w:history="1">
        <w:r w:rsidR="00CD1FAE" w:rsidRPr="0002165D">
          <w:rPr>
            <w:rStyle w:val="Hyperlink"/>
            <w:noProof/>
          </w:rPr>
          <w:t>Attachment A — Fees and Levies</w:t>
        </w:r>
        <w:r w:rsidR="00CD1FAE">
          <w:rPr>
            <w:noProof/>
            <w:webHidden/>
          </w:rPr>
          <w:tab/>
        </w:r>
        <w:r w:rsidR="00CD1FAE">
          <w:rPr>
            <w:noProof/>
            <w:webHidden/>
          </w:rPr>
          <w:fldChar w:fldCharType="begin"/>
        </w:r>
        <w:r w:rsidR="00CD1FAE">
          <w:rPr>
            <w:noProof/>
            <w:webHidden/>
          </w:rPr>
          <w:instrText xml:space="preserve"> PAGEREF _Toc433370186 \h </w:instrText>
        </w:r>
        <w:r w:rsidR="00CD1FAE">
          <w:rPr>
            <w:noProof/>
            <w:webHidden/>
          </w:rPr>
        </w:r>
        <w:r w:rsidR="00CD1FAE">
          <w:rPr>
            <w:noProof/>
            <w:webHidden/>
          </w:rPr>
          <w:fldChar w:fldCharType="separate"/>
        </w:r>
        <w:r>
          <w:rPr>
            <w:noProof/>
            <w:webHidden/>
          </w:rPr>
          <w:t>19</w:t>
        </w:r>
        <w:r w:rsidR="00CD1FAE">
          <w:rPr>
            <w:noProof/>
            <w:webHidden/>
          </w:rPr>
          <w:fldChar w:fldCharType="end"/>
        </w:r>
      </w:hyperlink>
    </w:p>
    <w:p w:rsidR="00CD1FAE" w:rsidRDefault="007A657F">
      <w:pPr>
        <w:pStyle w:val="TOC1"/>
        <w:rPr>
          <w:rFonts w:asciiTheme="minorHAnsi" w:eastAsiaTheme="minorEastAsia" w:hAnsiTheme="minorHAnsi" w:cstheme="minorBidi"/>
          <w:noProof/>
          <w:lang w:eastAsia="en-AU"/>
        </w:rPr>
      </w:pPr>
      <w:hyperlink w:anchor="_Toc433370187" w:history="1">
        <w:r w:rsidR="00CD1FAE" w:rsidRPr="0002165D">
          <w:rPr>
            <w:rStyle w:val="Hyperlink"/>
            <w:noProof/>
          </w:rPr>
          <w:t>Attachment B—Description of Cost Model Activities</w:t>
        </w:r>
        <w:r w:rsidR="00CD1FAE">
          <w:rPr>
            <w:noProof/>
            <w:webHidden/>
          </w:rPr>
          <w:tab/>
        </w:r>
        <w:r w:rsidR="00CD1FAE">
          <w:rPr>
            <w:noProof/>
            <w:webHidden/>
          </w:rPr>
          <w:fldChar w:fldCharType="begin"/>
        </w:r>
        <w:r w:rsidR="00CD1FAE">
          <w:rPr>
            <w:noProof/>
            <w:webHidden/>
          </w:rPr>
          <w:instrText xml:space="preserve"> PAGEREF _Toc433370187 \h </w:instrText>
        </w:r>
        <w:r w:rsidR="00CD1FAE">
          <w:rPr>
            <w:noProof/>
            <w:webHidden/>
          </w:rPr>
        </w:r>
        <w:r w:rsidR="00CD1FAE">
          <w:rPr>
            <w:noProof/>
            <w:webHidden/>
          </w:rPr>
          <w:fldChar w:fldCharType="separate"/>
        </w:r>
        <w:r>
          <w:rPr>
            <w:noProof/>
            <w:webHidden/>
          </w:rPr>
          <w:t>21</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88" w:history="1">
        <w:r w:rsidR="00CD1FAE" w:rsidRPr="0002165D">
          <w:rPr>
            <w:rStyle w:val="Hyperlink"/>
            <w:noProof/>
          </w:rPr>
          <w:t>Intervention activities</w:t>
        </w:r>
        <w:r w:rsidR="00CD1FAE">
          <w:rPr>
            <w:noProof/>
            <w:webHidden/>
          </w:rPr>
          <w:tab/>
        </w:r>
        <w:r w:rsidR="00CD1FAE">
          <w:rPr>
            <w:noProof/>
            <w:webHidden/>
          </w:rPr>
          <w:fldChar w:fldCharType="begin"/>
        </w:r>
        <w:r w:rsidR="00CD1FAE">
          <w:rPr>
            <w:noProof/>
            <w:webHidden/>
          </w:rPr>
          <w:instrText xml:space="preserve"> PAGEREF _Toc433370188 \h </w:instrText>
        </w:r>
        <w:r w:rsidR="00CD1FAE">
          <w:rPr>
            <w:noProof/>
            <w:webHidden/>
          </w:rPr>
        </w:r>
        <w:r w:rsidR="00CD1FAE">
          <w:rPr>
            <w:noProof/>
            <w:webHidden/>
          </w:rPr>
          <w:fldChar w:fldCharType="separate"/>
        </w:r>
        <w:r>
          <w:rPr>
            <w:noProof/>
            <w:webHidden/>
          </w:rPr>
          <w:t>21</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89" w:history="1">
        <w:r w:rsidR="00CD1FAE" w:rsidRPr="0002165D">
          <w:rPr>
            <w:rStyle w:val="Hyperlink"/>
            <w:noProof/>
          </w:rPr>
          <w:t>Incident management activities</w:t>
        </w:r>
        <w:r w:rsidR="00CD1FAE">
          <w:rPr>
            <w:noProof/>
            <w:webHidden/>
          </w:rPr>
          <w:tab/>
        </w:r>
        <w:r w:rsidR="00CD1FAE">
          <w:rPr>
            <w:noProof/>
            <w:webHidden/>
          </w:rPr>
          <w:fldChar w:fldCharType="begin"/>
        </w:r>
        <w:r w:rsidR="00CD1FAE">
          <w:rPr>
            <w:noProof/>
            <w:webHidden/>
          </w:rPr>
          <w:instrText xml:space="preserve"> PAGEREF _Toc433370189 \h </w:instrText>
        </w:r>
        <w:r w:rsidR="00CD1FAE">
          <w:rPr>
            <w:noProof/>
            <w:webHidden/>
          </w:rPr>
        </w:r>
        <w:r w:rsidR="00CD1FAE">
          <w:rPr>
            <w:noProof/>
            <w:webHidden/>
          </w:rPr>
          <w:fldChar w:fldCharType="separate"/>
        </w:r>
        <w:r>
          <w:rPr>
            <w:noProof/>
            <w:webHidden/>
          </w:rPr>
          <w:t>21</w:t>
        </w:r>
        <w:r w:rsidR="00CD1FAE">
          <w:rPr>
            <w:noProof/>
            <w:webHidden/>
          </w:rPr>
          <w:fldChar w:fldCharType="end"/>
        </w:r>
      </w:hyperlink>
    </w:p>
    <w:p w:rsidR="00CD1FAE" w:rsidRDefault="007A657F">
      <w:pPr>
        <w:pStyle w:val="TOC2"/>
        <w:rPr>
          <w:rFonts w:asciiTheme="minorHAnsi" w:eastAsiaTheme="minorEastAsia" w:hAnsiTheme="minorHAnsi" w:cstheme="minorBidi"/>
          <w:noProof/>
          <w:lang w:eastAsia="en-AU"/>
        </w:rPr>
      </w:pPr>
      <w:hyperlink w:anchor="_Toc433370190" w:history="1">
        <w:r w:rsidR="00CD1FAE" w:rsidRPr="0002165D">
          <w:rPr>
            <w:rStyle w:val="Hyperlink"/>
            <w:noProof/>
          </w:rPr>
          <w:t>Programme management and administration activities</w:t>
        </w:r>
        <w:r w:rsidR="00CD1FAE">
          <w:rPr>
            <w:noProof/>
            <w:webHidden/>
          </w:rPr>
          <w:tab/>
        </w:r>
        <w:r w:rsidR="00CD1FAE">
          <w:rPr>
            <w:noProof/>
            <w:webHidden/>
          </w:rPr>
          <w:fldChar w:fldCharType="begin"/>
        </w:r>
        <w:r w:rsidR="00CD1FAE">
          <w:rPr>
            <w:noProof/>
            <w:webHidden/>
          </w:rPr>
          <w:instrText xml:space="preserve"> PAGEREF _Toc433370190 \h </w:instrText>
        </w:r>
        <w:r w:rsidR="00CD1FAE">
          <w:rPr>
            <w:noProof/>
            <w:webHidden/>
          </w:rPr>
        </w:r>
        <w:r w:rsidR="00CD1FAE">
          <w:rPr>
            <w:noProof/>
            <w:webHidden/>
          </w:rPr>
          <w:fldChar w:fldCharType="separate"/>
        </w:r>
        <w:r>
          <w:rPr>
            <w:noProof/>
            <w:webHidden/>
          </w:rPr>
          <w:t>22</w:t>
        </w:r>
        <w:r w:rsidR="00CD1FAE">
          <w:rPr>
            <w:noProof/>
            <w:webHidden/>
          </w:rPr>
          <w:fldChar w:fldCharType="end"/>
        </w:r>
      </w:hyperlink>
    </w:p>
    <w:p w:rsidR="001753C6" w:rsidRDefault="00270376" w:rsidP="00E91050">
      <w:pPr>
        <w:pStyle w:val="Heading2"/>
        <w:numPr>
          <w:ilvl w:val="0"/>
          <w:numId w:val="0"/>
        </w:numPr>
        <w:ind w:left="737" w:hanging="737"/>
      </w:pPr>
      <w:r>
        <w:rPr>
          <w:b w:val="0"/>
          <w:caps/>
          <w:sz w:val="22"/>
          <w:szCs w:val="22"/>
          <w:lang w:val="en-AU"/>
        </w:rPr>
        <w:lastRenderedPageBreak/>
        <w:fldChar w:fldCharType="end"/>
      </w:r>
      <w:bookmarkStart w:id="13" w:name="_Toc433370160"/>
      <w:r w:rsidR="001753C6">
        <w:t>Glossary</w:t>
      </w:r>
      <w:bookmarkEnd w:id="13"/>
    </w:p>
    <w:p w:rsidR="001753C6" w:rsidRDefault="001753C6">
      <w:pPr>
        <w:keepNext/>
        <w:rPr>
          <w:b/>
          <w:bCs/>
        </w:rPr>
      </w:pPr>
      <w:r w:rsidRPr="00B77BA9">
        <w:rPr>
          <w:rStyle w:val="Strong"/>
        </w:rPr>
        <w:t>Activity:</w:t>
      </w:r>
      <w:r>
        <w:rPr>
          <w:b/>
          <w:bCs/>
        </w:rPr>
        <w:t xml:space="preserve"> </w:t>
      </w:r>
      <w:r>
        <w:t>any measurable</w:t>
      </w:r>
      <w:r>
        <w:rPr>
          <w:b/>
          <w:bCs/>
        </w:rPr>
        <w:t xml:space="preserve"> </w:t>
      </w:r>
      <w:r>
        <w:t>work undertaken by the department to enable the exportation of goods. This includes activities, business processes and outputs as described in the Australian Government Cost Recovery Guidelines (CRGs).</w:t>
      </w:r>
    </w:p>
    <w:p w:rsidR="001753C6" w:rsidRDefault="001753C6">
      <w:pPr>
        <w:keepNext/>
      </w:pPr>
      <w:r w:rsidRPr="00B77BA9">
        <w:rPr>
          <w:rStyle w:val="Strong"/>
        </w:rPr>
        <w:t>Animal reproductive material:</w:t>
      </w:r>
      <w:r>
        <w:t xml:space="preserve"> in line with the Export Control (Animals) Order 2004, animal reproductive material means any part of an animal from which another animal can be produced and includes an embryo, an egg or semen.</w:t>
      </w:r>
    </w:p>
    <w:p w:rsidR="001753C6" w:rsidRDefault="001753C6">
      <w:pPr>
        <w:keepNext/>
        <w:rPr>
          <w:b/>
        </w:rPr>
      </w:pPr>
      <w:r w:rsidRPr="00B77BA9">
        <w:rPr>
          <w:rStyle w:val="Strong"/>
        </w:rPr>
        <w:t>Approved arrangement:</w:t>
      </w:r>
      <w:r>
        <w:rPr>
          <w:b/>
        </w:rPr>
        <w:t xml:space="preserve"> </w:t>
      </w:r>
      <w:r>
        <w:t>an arrangement entered into by an individual, business or organisation that prescribes the processes and practices that need to be undertaken to meet relevant legislative and departmental compliance requirements.</w:t>
      </w:r>
    </w:p>
    <w:p w:rsidR="001753C6" w:rsidRDefault="001753C6">
      <w:pPr>
        <w:keepNext/>
      </w:pPr>
      <w:r w:rsidRPr="00B77BA9">
        <w:rPr>
          <w:rStyle w:val="Strong"/>
        </w:rPr>
        <w:t>Charge:</w:t>
      </w:r>
      <w:r>
        <w:rPr>
          <w:b/>
          <w:bCs/>
        </w:rPr>
        <w:t xml:space="preserve"> </w:t>
      </w:r>
      <w:r>
        <w:t>a fee or a levy that the department imposes to recover costs. In the CRGs, charges are referred to as cost recovery charges.</w:t>
      </w:r>
    </w:p>
    <w:p w:rsidR="001753C6" w:rsidRDefault="001753C6">
      <w:pPr>
        <w:keepNext/>
      </w:pPr>
      <w:r w:rsidRPr="00B77BA9">
        <w:rPr>
          <w:rStyle w:val="Strong"/>
        </w:rPr>
        <w:t>Fee:</w:t>
      </w:r>
      <w:r>
        <w:rPr>
          <w:b/>
          <w:bCs/>
        </w:rPr>
        <w:t xml:space="preserve"> </w:t>
      </w:r>
      <w:r>
        <w:t>a charge imposed when activities are provided directly to a specific individual or organisation. In the CRGs, fees are referred to as cost recovery fees.</w:t>
      </w:r>
    </w:p>
    <w:p w:rsidR="001753C6" w:rsidRDefault="001753C6">
      <w:pPr>
        <w:keepNext/>
      </w:pPr>
      <w:r w:rsidRPr="00B77BA9">
        <w:rPr>
          <w:rStyle w:val="Strong"/>
        </w:rPr>
        <w:t>Levy:</w:t>
      </w:r>
      <w:r>
        <w:t xml:space="preserve"> a charge imposed when activities are provided to a group of individuals or organisations (e.g. an industry sector) rather than to a specific individual or organisation. A levy is legally a taxation charge and needs to be imposed in a separate taxation Act to comply with constitutional requirements. A levy differs from general taxation, as it is earmarked to fund activities that relate to the group being charged. In the CRGs, levies are referred to as cost recovery levies.</w:t>
      </w:r>
    </w:p>
    <w:p w:rsidR="001753C6" w:rsidRDefault="001753C6">
      <w:r w:rsidRPr="00B77BA9">
        <w:rPr>
          <w:rStyle w:val="Strong"/>
        </w:rPr>
        <w:t>Livestock:</w:t>
      </w:r>
      <w:r>
        <w:t xml:space="preserve"> in line with the Export Control (Animals) Order 2004, livestock means cattle, sheep, goats, deer, buffalo and camelids and includes the young of an animal of any of those kind.</w:t>
      </w:r>
    </w:p>
    <w:p w:rsidR="007778B1" w:rsidRDefault="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Pr="007778B1" w:rsidRDefault="007778B1" w:rsidP="007778B1"/>
    <w:p w:rsidR="007778B1" w:rsidRDefault="007778B1" w:rsidP="007778B1"/>
    <w:p w:rsidR="001753C6" w:rsidRPr="007778B1" w:rsidRDefault="001753C6" w:rsidP="007778B1">
      <w:pPr>
        <w:sectPr w:rsidR="001753C6" w:rsidRPr="007778B1" w:rsidSect="00066EC8">
          <w:headerReference w:type="default" r:id="rId15"/>
          <w:footerReference w:type="default" r:id="rId16"/>
          <w:headerReference w:type="first" r:id="rId17"/>
          <w:pgSz w:w="11906" w:h="16838"/>
          <w:pgMar w:top="851" w:right="1276" w:bottom="567" w:left="1276" w:header="425" w:footer="425" w:gutter="0"/>
          <w:pgNumType w:fmt="lowerRoman"/>
          <w:cols w:space="708"/>
          <w:titlePg/>
          <w:docGrid w:linePitch="360"/>
        </w:sectPr>
      </w:pPr>
    </w:p>
    <w:p w:rsidR="001753C6" w:rsidRDefault="001753C6" w:rsidP="00E91050">
      <w:pPr>
        <w:pStyle w:val="Heading2"/>
      </w:pPr>
      <w:bookmarkStart w:id="14" w:name="_Toc425839144"/>
      <w:bookmarkStart w:id="15" w:name="_Toc433370161"/>
      <w:r>
        <w:lastRenderedPageBreak/>
        <w:t>Purpose of the cost recovery implementation statement</w:t>
      </w:r>
      <w:bookmarkEnd w:id="14"/>
      <w:bookmarkEnd w:id="15"/>
    </w:p>
    <w:p w:rsidR="00304478" w:rsidRDefault="00304478" w:rsidP="00304478">
      <w:r>
        <w:rPr>
          <w:iCs/>
        </w:rPr>
        <w:t xml:space="preserve">This </w:t>
      </w:r>
      <w:r>
        <w:t>Cost Recovery Implementation Statement (C</w:t>
      </w:r>
      <w:r>
        <w:rPr>
          <w:iCs/>
        </w:rPr>
        <w:t xml:space="preserve">RIS) provides information on the </w:t>
      </w:r>
      <w:r>
        <w:t>Department of Agriculture’s and Water Resources’ (the department’s) cost recovery arrangements provided to exporters of live animals and reproductive material. It also reports financial and non-financial performance information for the delivery of these activities and contains financial forecasts out to 2018–19.</w:t>
      </w:r>
    </w:p>
    <w:p w:rsidR="00304478" w:rsidRDefault="00304478" w:rsidP="00304478">
      <w:r>
        <w:t xml:space="preserve">This CRIS covers activities that have been previously described in the </w:t>
      </w:r>
      <w:hyperlink r:id="rId18" w:history="1">
        <w:r>
          <w:rPr>
            <w:rStyle w:val="Hyperlink"/>
          </w:rPr>
          <w:t>Cost Recovery Impact Statement—Live Animal Exports 2014–15.</w:t>
        </w:r>
      </w:hyperlink>
    </w:p>
    <w:p w:rsidR="001753C6" w:rsidRDefault="001753C6">
      <w:pPr>
        <w:pStyle w:val="Heading3"/>
      </w:pPr>
      <w:bookmarkStart w:id="16" w:name="_Toc425839145"/>
      <w:bookmarkStart w:id="17" w:name="_Toc433370162"/>
      <w:r>
        <w:t>Live animal exports</w:t>
      </w:r>
      <w:bookmarkEnd w:id="16"/>
      <w:bookmarkEnd w:id="17"/>
    </w:p>
    <w:p w:rsidR="00304478" w:rsidRDefault="00304478" w:rsidP="00304478">
      <w:r>
        <w:t>The department undertakes a range of activities to regulate the export of live animals and reproductive material including:</w:t>
      </w:r>
    </w:p>
    <w:p w:rsidR="00304478" w:rsidRDefault="00304478" w:rsidP="00304478">
      <w:pPr>
        <w:numPr>
          <w:ilvl w:val="0"/>
          <w:numId w:val="24"/>
        </w:numPr>
      </w:pPr>
      <w:r>
        <w:t>regulation and administration of the Australian Government Accredited Veterinarian Programme</w:t>
      </w:r>
    </w:p>
    <w:p w:rsidR="00304478" w:rsidRDefault="00304478" w:rsidP="00304478">
      <w:pPr>
        <w:numPr>
          <w:ilvl w:val="0"/>
          <w:numId w:val="24"/>
        </w:numPr>
      </w:pPr>
      <w:r>
        <w:t>regulation and administration of livestock export licences</w:t>
      </w:r>
    </w:p>
    <w:p w:rsidR="00304478" w:rsidRDefault="00304478" w:rsidP="00304478">
      <w:pPr>
        <w:numPr>
          <w:ilvl w:val="0"/>
          <w:numId w:val="24"/>
        </w:numPr>
      </w:pPr>
      <w:r>
        <w:t>regulation and administration of registered and approved premises</w:t>
      </w:r>
    </w:p>
    <w:p w:rsidR="00304478" w:rsidRDefault="00304478" w:rsidP="00304478">
      <w:pPr>
        <w:numPr>
          <w:ilvl w:val="0"/>
          <w:numId w:val="24"/>
        </w:numPr>
      </w:pPr>
      <w:r>
        <w:t>auditing of licensed livestock exporters, registered premises and accredited veterinarians to ensure compliance with the applicable regulations and standards</w:t>
      </w:r>
    </w:p>
    <w:p w:rsidR="00304478" w:rsidRDefault="00304478" w:rsidP="00304478">
      <w:pPr>
        <w:numPr>
          <w:ilvl w:val="0"/>
          <w:numId w:val="24"/>
        </w:numPr>
      </w:pPr>
      <w:r>
        <w:t>assessment of Notice of Intentions to Export</w:t>
      </w:r>
    </w:p>
    <w:p w:rsidR="00304478" w:rsidRDefault="00304478" w:rsidP="00304478">
      <w:pPr>
        <w:numPr>
          <w:ilvl w:val="0"/>
          <w:numId w:val="24"/>
        </w:numPr>
      </w:pPr>
      <w:r>
        <w:t>assessment of Exporter Supply Chain Assurance System applications for the export of livestock for feeder/slaughter purposes</w:t>
      </w:r>
    </w:p>
    <w:p w:rsidR="00304478" w:rsidRDefault="00304478" w:rsidP="00304478">
      <w:pPr>
        <w:numPr>
          <w:ilvl w:val="0"/>
          <w:numId w:val="24"/>
        </w:numPr>
      </w:pPr>
      <w:r>
        <w:t>assessment of Consignment Risk Management Plans for the export of livestock</w:t>
      </w:r>
    </w:p>
    <w:p w:rsidR="00304478" w:rsidRDefault="00304478" w:rsidP="00304478">
      <w:pPr>
        <w:numPr>
          <w:ilvl w:val="0"/>
          <w:numId w:val="24"/>
        </w:numPr>
      </w:pPr>
      <w:r>
        <w:t>inspection of animals prior to export</w:t>
      </w:r>
    </w:p>
    <w:p w:rsidR="00304478" w:rsidRDefault="00304478" w:rsidP="00304478">
      <w:pPr>
        <w:numPr>
          <w:ilvl w:val="0"/>
          <w:numId w:val="24"/>
        </w:numPr>
      </w:pPr>
      <w:r>
        <w:lastRenderedPageBreak/>
        <w:t>provision of export permits and health certification acceptable to Australia’s trading partners.</w:t>
      </w:r>
    </w:p>
    <w:p w:rsidR="00304478" w:rsidRDefault="00304478" w:rsidP="00304478">
      <w:r>
        <w:t>The department’s cost of providing these activities is recovered from exporters of live animals and reproductive material.</w:t>
      </w:r>
    </w:p>
    <w:p w:rsidR="001753C6" w:rsidRDefault="001753C6">
      <w:pPr>
        <w:pStyle w:val="Heading3"/>
      </w:pPr>
      <w:bookmarkStart w:id="18" w:name="_Toc425839146"/>
      <w:bookmarkStart w:id="19" w:name="_Toc433370163"/>
      <w:r>
        <w:t>Why is cost recovery appropriate?</w:t>
      </w:r>
      <w:bookmarkEnd w:id="18"/>
      <w:bookmarkEnd w:id="19"/>
    </w:p>
    <w:p w:rsidR="007D5A15" w:rsidRDefault="007D5A15" w:rsidP="007D5A15">
      <w:r>
        <w:t>Cost recovery fees and levies fall within the Australian Government’s (the government’s) broader charging framework. Other charges in this framework include commercial charges and resource charges. The type of charge is determined by the characteristics of the services.</w:t>
      </w:r>
    </w:p>
    <w:p w:rsidR="007D5A15" w:rsidRDefault="007D5A15" w:rsidP="007D5A15">
      <w:r>
        <w:t>The use of commercial charging is not appropriate as this approach relies on competitive markets. While the private sector can undertake some export certification activities, the government must provide the export certification framework. This is because it relies on negotiated arrangements with other countries. Resource charging is not appropriate as export certification is not based on the value of the activity to the recipient.</w:t>
      </w:r>
    </w:p>
    <w:p w:rsidR="007D5A15" w:rsidRDefault="007D5A15" w:rsidP="007D5A15">
      <w:r>
        <w:t>The only viable alternative to cost recovering export certification is funding this activity through consolidated revenue (general taxation). In most circumstances, however, general taxation is only appropriate for services that are provided to the wider community. Export certification services are provided to a clearly identifiable group—individuals and organisations that participate in the live animal export supply chain. If it were not for the business activities of this group, live animal export certification would not be required.</w:t>
      </w:r>
    </w:p>
    <w:p w:rsidR="007D5A15" w:rsidRDefault="007D5A15" w:rsidP="007D5A15">
      <w:r>
        <w:t>There are additional benefits to funding export certification through cost recovery. When a business pays for the activities it receives, the government has an obligation to justify the prices it charges. Cost recovery also increases the cost consciousness of clients of how much a government activity actually costs.</w:t>
      </w:r>
    </w:p>
    <w:p w:rsidR="007D5A15" w:rsidRDefault="007D5A15" w:rsidP="007D5A15">
      <w:r>
        <w:t xml:space="preserve">For these reasons, the government has determined cost recovery to be the most appropriate mechanism for funding export certification. </w:t>
      </w:r>
      <w:r>
        <w:lastRenderedPageBreak/>
        <w:t>The department has designed cost recovery of export certification services to be consistent with the Australian Government Cost Recovery Guidelines (CRGs). These provide the overarching framework under which government entities must design, implement and review cost recovery.</w:t>
      </w:r>
    </w:p>
    <w:p w:rsidR="001753C6" w:rsidRDefault="001753C6" w:rsidP="00E91050">
      <w:pPr>
        <w:pStyle w:val="Heading2"/>
      </w:pPr>
      <w:bookmarkStart w:id="20" w:name="_Toc425839147"/>
      <w:bookmarkStart w:id="21" w:name="_Toc433370164"/>
      <w:r>
        <w:lastRenderedPageBreak/>
        <w:t>Authority to cost recover</w:t>
      </w:r>
      <w:bookmarkEnd w:id="20"/>
      <w:bookmarkEnd w:id="21"/>
    </w:p>
    <w:p w:rsidR="001753C6" w:rsidRDefault="001753C6">
      <w:pPr>
        <w:keepNext/>
      </w:pPr>
      <w:r>
        <w:t>Under the CRGs, cost recovery requires both policy approval and statutory authority. The following section provides information on the government’s approval of cost recovery for live animal exports and the legislation that enables the collection of cost recovery fees and levies.</w:t>
      </w:r>
    </w:p>
    <w:p w:rsidR="001753C6" w:rsidRDefault="001753C6">
      <w:pPr>
        <w:pStyle w:val="Heading3"/>
      </w:pPr>
      <w:bookmarkStart w:id="22" w:name="_Toc416444968"/>
      <w:bookmarkStart w:id="23" w:name="_Toc425839148"/>
      <w:bookmarkStart w:id="24" w:name="_Toc433370165"/>
      <w:r>
        <w:t xml:space="preserve">Policy </w:t>
      </w:r>
      <w:bookmarkEnd w:id="22"/>
      <w:r>
        <w:t>approval</w:t>
      </w:r>
      <w:bookmarkEnd w:id="23"/>
      <w:bookmarkEnd w:id="24"/>
    </w:p>
    <w:p w:rsidR="001753C6" w:rsidRDefault="001753C6">
      <w:pPr>
        <w:keepNext/>
      </w:pPr>
      <w:r>
        <w:t xml:space="preserve">The department commenced partial cost recovery of export activities in 1979 and implemented full cost recovery from 1 January 1991. </w:t>
      </w:r>
    </w:p>
    <w:p w:rsidR="001753C6" w:rsidRDefault="001753C6">
      <w:pPr>
        <w:keepNext/>
      </w:pPr>
      <w:r>
        <w:t xml:space="preserve">The policy authority for continued cost recovery was confirmed in the 2015–16 Budget, when the government announced the redesign of the department’s biosecurity and export cost recovery arrangements. The redesign ensures the department’s cost recovery arrangements are equitable, financially sustainable and support the </w:t>
      </w:r>
      <w:r>
        <w:rPr>
          <w:iCs/>
        </w:rPr>
        <w:t xml:space="preserve">efficient and effective delivery of </w:t>
      </w:r>
      <w:r>
        <w:t>export activities into the future.</w:t>
      </w:r>
      <w:r>
        <w:rPr>
          <w:iCs/>
        </w:rPr>
        <w:t xml:space="preserve"> </w:t>
      </w:r>
    </w:p>
    <w:p w:rsidR="001753C6" w:rsidRDefault="001753C6">
      <w:pPr>
        <w:keepNext/>
      </w:pPr>
      <w:r>
        <w:t>The redesign improves the cost recovery of live animal exports certification activities by:</w:t>
      </w:r>
    </w:p>
    <w:p w:rsidR="001753C6" w:rsidRDefault="001753C6" w:rsidP="00B77BA9">
      <w:pPr>
        <w:pStyle w:val="ListBullet"/>
      </w:pPr>
      <w:r>
        <w:t>recovering the full cost of activities undertaken by the department where appropriate</w:t>
      </w:r>
    </w:p>
    <w:p w:rsidR="001753C6" w:rsidRDefault="001753C6" w:rsidP="00B77BA9">
      <w:pPr>
        <w:pStyle w:val="ListBullet"/>
      </w:pPr>
      <w:r>
        <w:t>simplifying the structure of fees and levies where appropriate</w:t>
      </w:r>
    </w:p>
    <w:p w:rsidR="001753C6" w:rsidRDefault="001753C6" w:rsidP="00B77BA9">
      <w:pPr>
        <w:pStyle w:val="ListBullet"/>
      </w:pPr>
      <w:r>
        <w:t>achieving greater equity in client contributions to system costs</w:t>
      </w:r>
    </w:p>
    <w:p w:rsidR="001753C6" w:rsidRDefault="001753C6" w:rsidP="00B77BA9">
      <w:pPr>
        <w:pStyle w:val="ListBullet"/>
      </w:pPr>
      <w:r>
        <w:t>expanding and improving live animal exports certification services.</w:t>
      </w:r>
    </w:p>
    <w:p w:rsidR="001753C6" w:rsidRDefault="001753C6">
      <w:pPr>
        <w:pStyle w:val="Heading3"/>
      </w:pPr>
      <w:bookmarkStart w:id="25" w:name="_Toc418840043"/>
      <w:bookmarkStart w:id="26" w:name="_Toc424290065"/>
      <w:bookmarkStart w:id="27" w:name="_Toc425839149"/>
      <w:bookmarkStart w:id="28" w:name="_Toc433370166"/>
      <w:bookmarkStart w:id="29" w:name="_Toc424290066"/>
      <w:r>
        <w:t>Statutory authority</w:t>
      </w:r>
      <w:bookmarkEnd w:id="25"/>
      <w:bookmarkEnd w:id="26"/>
      <w:bookmarkEnd w:id="27"/>
      <w:bookmarkEnd w:id="28"/>
    </w:p>
    <w:p w:rsidR="001753C6" w:rsidRDefault="001753C6">
      <w:r>
        <w:t>Fees and levies for live animal exports certification are recovered under separate statutory authority. The relevant legislative instruments will be amended (where they exist) or developed (where needed) to enable the redesign of export certification fees and levies.</w:t>
      </w:r>
      <w:r w:rsidR="00490C9D">
        <w:t xml:space="preserve"> These and </w:t>
      </w:r>
      <w:r w:rsidR="00490C9D">
        <w:lastRenderedPageBreak/>
        <w:t>other delegated instruments will include descriptions of the charge points for levies.</w:t>
      </w:r>
    </w:p>
    <w:p w:rsidR="001753C6" w:rsidRDefault="001753C6" w:rsidP="00925AAD">
      <w:pPr>
        <w:pStyle w:val="Heading4"/>
      </w:pPr>
      <w:r>
        <w:t>Cost recovery fees</w:t>
      </w:r>
      <w:bookmarkEnd w:id="29"/>
    </w:p>
    <w:p w:rsidR="001753C6" w:rsidRDefault="001753C6">
      <w:pPr>
        <w:rPr>
          <w:iCs/>
        </w:rPr>
      </w:pPr>
      <w:r>
        <w:t>Section 25 of t</w:t>
      </w:r>
      <w:r>
        <w:rPr>
          <w:color w:val="000000"/>
          <w:szCs w:val="24"/>
        </w:rPr>
        <w:t xml:space="preserve">he </w:t>
      </w:r>
      <w:r>
        <w:rPr>
          <w:i/>
          <w:iCs/>
          <w:color w:val="000000"/>
          <w:szCs w:val="24"/>
        </w:rPr>
        <w:t xml:space="preserve">Export Control Act </w:t>
      </w:r>
      <w:r>
        <w:rPr>
          <w:i/>
          <w:iCs/>
          <w:szCs w:val="24"/>
        </w:rPr>
        <w:t xml:space="preserve">1982 </w:t>
      </w:r>
      <w:r>
        <w:t xml:space="preserve">provides the power to impose fees in relation to a range of export services. The specific amounts are set out in the </w:t>
      </w:r>
      <w:r>
        <w:rPr>
          <w:iCs/>
        </w:rPr>
        <w:t>Export Control (Fees) Orders 2001.</w:t>
      </w:r>
    </w:p>
    <w:p w:rsidR="001753C6" w:rsidRDefault="001753C6" w:rsidP="00B77BA9">
      <w:pPr>
        <w:pStyle w:val="ListBullet"/>
      </w:pPr>
      <w:r>
        <w:t xml:space="preserve">The </w:t>
      </w:r>
      <w:r>
        <w:rPr>
          <w:i/>
          <w:iCs/>
          <w:color w:val="000000"/>
          <w:szCs w:val="24"/>
        </w:rPr>
        <w:t xml:space="preserve">Export </w:t>
      </w:r>
      <w:r>
        <w:rPr>
          <w:rStyle w:val="Hyperlink"/>
          <w:color w:val="auto"/>
          <w:u w:val="none"/>
        </w:rPr>
        <w:t>Control</w:t>
      </w:r>
      <w:r>
        <w:rPr>
          <w:i/>
          <w:iCs/>
          <w:color w:val="000000"/>
          <w:szCs w:val="24"/>
        </w:rPr>
        <w:t xml:space="preserve"> Act </w:t>
      </w:r>
      <w:r>
        <w:rPr>
          <w:i/>
          <w:iCs/>
          <w:szCs w:val="24"/>
        </w:rPr>
        <w:t xml:space="preserve">1982 </w:t>
      </w:r>
      <w:r>
        <w:t xml:space="preserve">and its subordinate legislation can be obtained at </w:t>
      </w:r>
      <w:hyperlink r:id="rId19" w:history="1">
        <w:r>
          <w:rPr>
            <w:rStyle w:val="Hyperlink"/>
          </w:rPr>
          <w:t>the Comlaw website</w:t>
        </w:r>
      </w:hyperlink>
      <w:r>
        <w:t xml:space="preserve"> </w:t>
      </w:r>
    </w:p>
    <w:p w:rsidR="001753C6" w:rsidRDefault="001753C6">
      <w:r>
        <w:t xml:space="preserve">The </w:t>
      </w:r>
      <w:r>
        <w:rPr>
          <w:rStyle w:val="Emphasis"/>
          <w:rFonts w:cs="Segoe UI"/>
          <w:color w:val="000000"/>
          <w:szCs w:val="24"/>
        </w:rPr>
        <w:t>Australian Meat and Live-stock Industry Act 1997</w:t>
      </w:r>
      <w:r>
        <w:t xml:space="preserve"> and subordinate legislation provides the power to impose fees in relation to an export licence application.</w:t>
      </w:r>
    </w:p>
    <w:p w:rsidR="001753C6" w:rsidRDefault="001753C6" w:rsidP="00B77BA9">
      <w:pPr>
        <w:pStyle w:val="ListBullet"/>
      </w:pPr>
      <w:r>
        <w:t xml:space="preserve">This legislation can be obtained at </w:t>
      </w:r>
      <w:hyperlink r:id="rId20" w:history="1">
        <w:r>
          <w:rPr>
            <w:rStyle w:val="Hyperlink"/>
          </w:rPr>
          <w:t>the Comlaw website</w:t>
        </w:r>
      </w:hyperlink>
    </w:p>
    <w:p w:rsidR="001753C6" w:rsidRDefault="001753C6">
      <w:r>
        <w:t>Amendments to, or new subordinate legislation will provide for the fees detailed in this CRIS to be established.</w:t>
      </w:r>
      <w:r w:rsidR="007D5A15">
        <w:t xml:space="preserve"> These and other delegated instruments will include descriptions of the charging points for the fees.</w:t>
      </w:r>
    </w:p>
    <w:p w:rsidR="001753C6" w:rsidRDefault="001753C6" w:rsidP="00925AAD">
      <w:pPr>
        <w:pStyle w:val="Heading4"/>
      </w:pPr>
      <w:bookmarkStart w:id="30" w:name="_Toc424290067"/>
      <w:r>
        <w:t>Cost recovery levies</w:t>
      </w:r>
      <w:bookmarkEnd w:id="30"/>
    </w:p>
    <w:p w:rsidR="001753C6" w:rsidRDefault="001753C6">
      <w:pPr>
        <w:keepNext/>
      </w:pPr>
      <w:r>
        <w:t xml:space="preserve">The government has implemented new export charging legislation to implement the full redesign of fees and charges. </w:t>
      </w:r>
    </w:p>
    <w:p w:rsidR="001753C6" w:rsidRPr="00B77BA9" w:rsidRDefault="001753C6" w:rsidP="00B77BA9">
      <w:pPr>
        <w:pStyle w:val="ListBullet"/>
        <w:rPr>
          <w:rStyle w:val="Emphasis"/>
        </w:rPr>
      </w:pPr>
      <w:r w:rsidRPr="00B77BA9">
        <w:rPr>
          <w:rStyle w:val="Emphasis"/>
        </w:rPr>
        <w:t>Export Charges (Collections) Act 2015</w:t>
      </w:r>
    </w:p>
    <w:p w:rsidR="001753C6" w:rsidRDefault="001753C6" w:rsidP="00B77BA9">
      <w:pPr>
        <w:pStyle w:val="ListBullet2"/>
        <w:rPr>
          <w:rStyle w:val="Hyperlink"/>
          <w:i/>
        </w:rPr>
      </w:pPr>
      <w:r>
        <w:t xml:space="preserve">This legislation can be obtained at </w:t>
      </w:r>
      <w:hyperlink r:id="rId21" w:history="1">
        <w:r>
          <w:rPr>
            <w:rStyle w:val="Hyperlink"/>
          </w:rPr>
          <w:t>the Comlaw website</w:t>
        </w:r>
      </w:hyperlink>
    </w:p>
    <w:p w:rsidR="001753C6" w:rsidRPr="00B77BA9" w:rsidRDefault="001753C6" w:rsidP="00B77BA9">
      <w:pPr>
        <w:pStyle w:val="ListBullet"/>
        <w:rPr>
          <w:rStyle w:val="Emphasis"/>
        </w:rPr>
      </w:pPr>
      <w:r w:rsidRPr="00B77BA9">
        <w:rPr>
          <w:rStyle w:val="Emphasis"/>
        </w:rPr>
        <w:t>Export Charges (Imposition—Customs) Act 2015</w:t>
      </w:r>
    </w:p>
    <w:p w:rsidR="001753C6" w:rsidRDefault="001753C6" w:rsidP="00B77BA9">
      <w:pPr>
        <w:pStyle w:val="ListBullet2"/>
      </w:pPr>
      <w:r>
        <w:t xml:space="preserve">This legislation can be obtained at </w:t>
      </w:r>
      <w:hyperlink r:id="rId22" w:history="1">
        <w:r>
          <w:rPr>
            <w:rStyle w:val="Hyperlink"/>
          </w:rPr>
          <w:t>the Comlaw website</w:t>
        </w:r>
      </w:hyperlink>
    </w:p>
    <w:p w:rsidR="001753C6" w:rsidRPr="00B77BA9" w:rsidRDefault="001753C6" w:rsidP="00B77BA9">
      <w:pPr>
        <w:pStyle w:val="ListBullet"/>
        <w:rPr>
          <w:rStyle w:val="Emphasis"/>
        </w:rPr>
      </w:pPr>
      <w:r w:rsidRPr="00B77BA9">
        <w:rPr>
          <w:rStyle w:val="Emphasis"/>
        </w:rPr>
        <w:t>Export Charges (Imposition—Excise) Act 2015</w:t>
      </w:r>
    </w:p>
    <w:p w:rsidR="001753C6" w:rsidRDefault="001753C6" w:rsidP="00B77BA9">
      <w:pPr>
        <w:pStyle w:val="ListBullet2"/>
      </w:pPr>
      <w:r>
        <w:t xml:space="preserve">This legislation can be obtained at </w:t>
      </w:r>
      <w:hyperlink r:id="rId23" w:history="1">
        <w:r>
          <w:rPr>
            <w:rStyle w:val="Hyperlink"/>
          </w:rPr>
          <w:t>the Comlaw website</w:t>
        </w:r>
      </w:hyperlink>
    </w:p>
    <w:p w:rsidR="001753C6" w:rsidRPr="00B77BA9" w:rsidRDefault="001753C6" w:rsidP="00B77BA9">
      <w:pPr>
        <w:pStyle w:val="ListBullet"/>
        <w:rPr>
          <w:rStyle w:val="Emphasis"/>
        </w:rPr>
      </w:pPr>
      <w:r w:rsidRPr="00B77BA9">
        <w:rPr>
          <w:rStyle w:val="Emphasis"/>
        </w:rPr>
        <w:t>Export Charges (Imposition—General) Act 2015</w:t>
      </w:r>
    </w:p>
    <w:p w:rsidR="001753C6" w:rsidRPr="007D5A15" w:rsidRDefault="001753C6" w:rsidP="00B77BA9">
      <w:pPr>
        <w:pStyle w:val="ListBullet2"/>
        <w:rPr>
          <w:rStyle w:val="Hyperlink"/>
          <w:color w:val="auto"/>
          <w:u w:val="none"/>
        </w:rPr>
      </w:pPr>
      <w:r>
        <w:t xml:space="preserve">This legislation can be obtained at </w:t>
      </w:r>
      <w:hyperlink r:id="rId24" w:history="1">
        <w:r>
          <w:rPr>
            <w:rStyle w:val="Hyperlink"/>
          </w:rPr>
          <w:t>the Comlaw website</w:t>
        </w:r>
      </w:hyperlink>
      <w:bookmarkStart w:id="31" w:name="_Toc419116673"/>
      <w:bookmarkStart w:id="32" w:name="_Toc418840047"/>
      <w:bookmarkStart w:id="33" w:name="OLE_LINK3"/>
      <w:bookmarkStart w:id="34" w:name="OLE_LINK6"/>
    </w:p>
    <w:p w:rsidR="00F07990" w:rsidRDefault="00F07990" w:rsidP="00F07990">
      <w:pPr>
        <w:keepNext/>
      </w:pPr>
      <w:r>
        <w:lastRenderedPageBreak/>
        <w:t>New regulations made under these Acts will provide for the charges detailed in this CRIS to be established. These and other delegated instruments will include descriptions of the charging points for the levies.</w:t>
      </w:r>
    </w:p>
    <w:p w:rsidR="001753C6" w:rsidRDefault="001753C6" w:rsidP="00E91050">
      <w:pPr>
        <w:pStyle w:val="Heading2"/>
      </w:pPr>
      <w:bookmarkStart w:id="35" w:name="_Toc425839150"/>
      <w:bookmarkStart w:id="36" w:name="_Toc433370167"/>
      <w:bookmarkStart w:id="37" w:name="_Toc417047926"/>
      <w:bookmarkEnd w:id="31"/>
      <w:bookmarkEnd w:id="32"/>
      <w:r>
        <w:lastRenderedPageBreak/>
        <w:t xml:space="preserve">Changes to </w:t>
      </w:r>
      <w:r>
        <w:rPr>
          <w:lang w:val="en-AU"/>
        </w:rPr>
        <w:t xml:space="preserve">the </w:t>
      </w:r>
      <w:r>
        <w:t>live animal export</w:t>
      </w:r>
      <w:r>
        <w:rPr>
          <w:lang w:val="en-AU"/>
        </w:rPr>
        <w:t>s</w:t>
      </w:r>
      <w:r>
        <w:t xml:space="preserve"> cost recovery arrangement</w:t>
      </w:r>
      <w:bookmarkEnd w:id="35"/>
      <w:bookmarkEnd w:id="36"/>
      <w:r>
        <w:t xml:space="preserve"> </w:t>
      </w:r>
    </w:p>
    <w:p w:rsidR="007D5A15" w:rsidRDefault="007D5A15" w:rsidP="007D5A15">
      <w:pPr>
        <w:keepNext/>
      </w:pPr>
      <w:r>
        <w:t>The redesign of the live animal exports cost recovery arrangement ensures a more equitable distribution of costs across users of the services and aims to provide exporters with more certainty of the costs they will face prior to exporting a consignment. It also aligns the live animal exports cost recovery arrangement with the department’s reforms to live animal exports.</w:t>
      </w:r>
    </w:p>
    <w:p w:rsidR="007D5A15" w:rsidRDefault="007D5A15" w:rsidP="007D5A15">
      <w:pPr>
        <w:keepNext/>
      </w:pPr>
      <w:r>
        <w:t>Unlike the cost recovery arrangements for other export commodities, the previous live animal exports cost recovery arrangement was based solely on fees, with no levies in place. This resulted in much higher fees for the same activities compared with other export arrangements where some of the fixed and system costs of export services are recovered through levies.</w:t>
      </w:r>
    </w:p>
    <w:p w:rsidR="007D5A15" w:rsidRDefault="007D5A15" w:rsidP="007D5A15">
      <w:pPr>
        <w:keepNext/>
      </w:pPr>
      <w:r>
        <w:t xml:space="preserve">Prior to the fee adjustment in 2014–15, live animal exports fees had not been adjusted since 2009, which led to a significant under recovery in the arrangement. Although the price adjustment in </w:t>
      </w:r>
      <w:r w:rsidR="005A1DC2">
        <w:t xml:space="preserve"> </w:t>
      </w:r>
      <w:r>
        <w:t>2014–15 ensured full cost recovery, it resulted in significantly higher fees.</w:t>
      </w:r>
    </w:p>
    <w:p w:rsidR="007D5A15" w:rsidRDefault="007D5A15" w:rsidP="007D5A15">
      <w:pPr>
        <w:keepNext/>
      </w:pPr>
      <w:r>
        <w:t xml:space="preserve">Under the redesign, the live animal exports cost recovery arrangement now includes both fees and levies. A list of fees and levies for each year is at </w:t>
      </w:r>
      <w:r>
        <w:rPr>
          <w:b/>
        </w:rPr>
        <w:t>Attachment A</w:t>
      </w:r>
      <w:r>
        <w:t>. The new structure distributes the costs between those applicable to individuals and those applicable to the industry as a whole. This supports the reforms to the export of livestock, which commenced in 2014–15 and includes the introduction of approved arrangements.</w:t>
      </w:r>
    </w:p>
    <w:p w:rsidR="007D5A15" w:rsidRDefault="007D5A15" w:rsidP="007D5A15">
      <w:pPr>
        <w:keepNext/>
      </w:pPr>
      <w:r>
        <w:t xml:space="preserve">Under an approved arrangement, a livestock exporter’s systems for preparing consignments are documented, audited and then approved by the department—as long as it meets the necessary requirements. This then reduces the need for assessment and approval of each consignment. An exporter with a history of good compliance under the approved arrangements system will be subject to less intervention </w:t>
      </w:r>
      <w:r>
        <w:lastRenderedPageBreak/>
        <w:t>from the department, reducing costs for the exporter. Over time, assuming good compliance by exporters, the department’s costs for regulating livestock exports will reduce, in turn reducing the cost for industry.</w:t>
      </w:r>
    </w:p>
    <w:p w:rsidR="007D5A15" w:rsidRDefault="007D5A15" w:rsidP="007D5A15">
      <w:pPr>
        <w:keepNext/>
      </w:pPr>
      <w:r>
        <w:t>The new structure has been designed to encourage take up of the new approved arrangement approach, however it will still accommodate those businesses transitioning into an approved arrangement as they will not be mandatory for livestock exporters until 2017.</w:t>
      </w:r>
    </w:p>
    <w:p w:rsidR="007D5A15" w:rsidRDefault="007D5A15" w:rsidP="007D5A15">
      <w:pPr>
        <w:keepNext/>
      </w:pPr>
      <w:r>
        <w:t>Future reforms to the arrangement may include the expansion of approved arrangements for other live animal exporters.</w:t>
      </w:r>
    </w:p>
    <w:p w:rsidR="007D5A15" w:rsidRDefault="007D5A15" w:rsidP="007D5A15">
      <w:pPr>
        <w:keepNext/>
      </w:pPr>
      <w:r>
        <w:t xml:space="preserve">Fees were previously used to recover all of the department’s costs including fixed and system costs such as programme management and administration, assurance and </w:t>
      </w:r>
      <w:r w:rsidR="00F07990">
        <w:t xml:space="preserve">(minor) </w:t>
      </w:r>
      <w:r>
        <w:t xml:space="preserve">incident management. For further information on what is classified as a minor incident refer to </w:t>
      </w:r>
      <w:r>
        <w:rPr>
          <w:i/>
        </w:rPr>
        <w:t>Section 5.2 Inclusions to the cost base</w:t>
      </w:r>
      <w:r>
        <w:t xml:space="preserve"> on</w:t>
      </w:r>
      <w:r>
        <w:rPr>
          <w:i/>
        </w:rPr>
        <w:t xml:space="preserve"> </w:t>
      </w:r>
      <w:r>
        <w:t>page 1</w:t>
      </w:r>
      <w:r w:rsidR="00FA20AE">
        <w:t>2</w:t>
      </w:r>
      <w:r>
        <w:t>. This resulted in disproportionately higher fees compared with other exports arrangements where the fixed and system costs are recovered through levies.</w:t>
      </w:r>
    </w:p>
    <w:p w:rsidR="007D5A15" w:rsidRDefault="007D5A15" w:rsidP="007D5A15">
      <w:pPr>
        <w:keepNext/>
      </w:pPr>
      <w:r>
        <w:t>For example, horse exporters previously paid $127.05 per quarter hour for inspection by a veterinarian compared with $39 per quarter hour for a veterinarian to inspect meat. By recovering programme management and administration costs through levies the department has been able to ensure that fees will recover only those costs of activities provided directly to exporters such as inspection or audit consistent with other cost recovery arrangements.</w:t>
      </w:r>
    </w:p>
    <w:p w:rsidR="007D5A15" w:rsidRDefault="007D5A15" w:rsidP="007D5A15">
      <w:pPr>
        <w:keepNext/>
      </w:pPr>
      <w:r>
        <w:t>The previous fees that were used to recover the costs of services provided to livestock exporters were complex and did not closely align to the services provided. The previous inspection fee for exported livestock provided for a minimum of 11 hours of inspection service. Efficient exporters with their paperwork in order and who are dealt with quickly paid the same rate as less organised exporters who took longer to process. These charges have been substantially restructured.</w:t>
      </w:r>
    </w:p>
    <w:p w:rsidR="001753C6" w:rsidRDefault="001753C6">
      <w:pPr>
        <w:pStyle w:val="Heading3"/>
      </w:pPr>
      <w:bookmarkStart w:id="38" w:name="_Toc425839151"/>
      <w:bookmarkStart w:id="39" w:name="_Toc433370168"/>
      <w:r>
        <w:t>Fee and levy changes</w:t>
      </w:r>
      <w:bookmarkEnd w:id="38"/>
      <w:bookmarkEnd w:id="39"/>
    </w:p>
    <w:p w:rsidR="00A81D8A" w:rsidRDefault="00A81D8A" w:rsidP="00A81D8A">
      <w:pPr>
        <w:keepNext/>
      </w:pPr>
      <w:r>
        <w:lastRenderedPageBreak/>
        <w:t>Under the previous live animal exports cost recovery arrangement there were around 70 different fees, under the redesign there will be significantly less (currently estimated at less than 20). Levies have been introduced into the live animal exports cost recovery arrangement to recover the fixed and system costs including programme management and administration, assurance and incident management. Levies imposed on exporters will vary depending on the type of live animal export (livestock, horse, companion animal, reproductive material and other animals) and export pathway (sea or air) as these factors affect the cost of maintaining the department’s live animal exports arrangement.</w:t>
      </w:r>
    </w:p>
    <w:p w:rsidR="00A81D8A" w:rsidRDefault="00A81D8A" w:rsidP="00A81D8A">
      <w:pPr>
        <w:keepNext/>
      </w:pPr>
      <w:r>
        <w:t xml:space="preserve">There are now a number of levies across the supply chain to ensure all users make a reasonable contribution to the cost of managing the live animal exports arrangement. A list of fees and levies is provided at </w:t>
      </w:r>
      <w:r>
        <w:rPr>
          <w:b/>
        </w:rPr>
        <w:t>Attachment A</w:t>
      </w:r>
      <w:r>
        <w:t>.</w:t>
      </w:r>
    </w:p>
    <w:p w:rsidR="001753C6" w:rsidRDefault="001753C6" w:rsidP="00E3356D">
      <w:pPr>
        <w:pStyle w:val="Heading4"/>
        <w:rPr>
          <w:lang w:val="en-AU"/>
        </w:rPr>
      </w:pPr>
      <w:r>
        <w:t>Export licence and approved arrangement levies</w:t>
      </w:r>
    </w:p>
    <w:p w:rsidR="00A81D8A" w:rsidRDefault="00A81D8A" w:rsidP="00A81D8A">
      <w:r>
        <w:t xml:space="preserve">Exporters of livestock will be charged a levy of $600 when they apply to enter into an approved arrangement. An annual levy of $20 000 will apply to exporters of livestock by sea and an annual levy of $10 000 will apply to exporters of livestock by air. This reflects the difference in cost to maintain each export pathway. Livestock exporters who export by both air and sea would pay the higher rate. </w:t>
      </w:r>
    </w:p>
    <w:p w:rsidR="00A81D8A" w:rsidRDefault="00A81D8A" w:rsidP="00A81D8A">
      <w:r>
        <w:t>The levy to apply to enter into an approved arrangement recovers costs incurred by the department to make a preliminary assessment of the application. The annual levy covers the costs of fully assessing an approved arrangement application, developing and maintaining compliance and audit standards and other system costs relating to approved arrangements. In cases where an exporter seeks to vary the arrangement, a variation levy will be charged ($300 per variation).</w:t>
      </w:r>
    </w:p>
    <w:p w:rsidR="00A81D8A" w:rsidRDefault="00A81D8A" w:rsidP="00A81D8A">
      <w:r>
        <w:t xml:space="preserve">Livestock exporters who are not operating under an approved arrangement, will be charged a levy for an exporter licence. The relevant levies are $600 </w:t>
      </w:r>
      <w:r w:rsidR="002A1213">
        <w:t>for the initial</w:t>
      </w:r>
      <w:r>
        <w:t xml:space="preserve"> application and an annual levy of $25 000 per year.</w:t>
      </w:r>
    </w:p>
    <w:p w:rsidR="00A81D8A" w:rsidRDefault="00A81D8A" w:rsidP="00A81D8A">
      <w:r>
        <w:lastRenderedPageBreak/>
        <w:t xml:space="preserve">These levies will be offset by a reduction in the throughput </w:t>
      </w:r>
      <w:r w:rsidR="002A1213">
        <w:t>charges</w:t>
      </w:r>
      <w:r>
        <w:t xml:space="preserve"> currently imposed on livestock exporters. For some exporters there will be a reduction in the amount of charges paid currently, and for others, an increase in charges is anticipated.</w:t>
      </w:r>
    </w:p>
    <w:p w:rsidR="00A81D8A" w:rsidRDefault="00A81D8A" w:rsidP="00A81D8A">
      <w:r>
        <w:t>Livestock exporters will need to be under an approved arrangement by 1 January 2017. If an exporter transitions onto an approved arrangement part way through the financial year, charges will be adjusted down to reflect the difference between the export licence and the approved arrangement levy.</w:t>
      </w:r>
    </w:p>
    <w:p w:rsidR="002A1213" w:rsidRDefault="002A1213" w:rsidP="00A81D8A">
      <w:r>
        <w:t>Small and infrequent livestock exporters will be able to apply for an annual exemption from an approved arrangement. The cost for an application is $600</w:t>
      </w:r>
      <w:r w:rsidR="001270B6">
        <w:t>. Those exporters that are granted an exemption from holding an approved arrangement will be required to pay an annual export</w:t>
      </w:r>
      <w:r>
        <w:t xml:space="preserve"> licence </w:t>
      </w:r>
      <w:r w:rsidR="001270B6">
        <w:t>levy of $5 000.</w:t>
      </w:r>
    </w:p>
    <w:p w:rsidR="001753C6" w:rsidRDefault="001753C6">
      <w:pPr>
        <w:pStyle w:val="Heading4"/>
        <w:rPr>
          <w:lang w:val="en-AU"/>
        </w:rPr>
      </w:pPr>
      <w:r>
        <w:t xml:space="preserve">Livestock throughput </w:t>
      </w:r>
      <w:r>
        <w:rPr>
          <w:lang w:val="en-AU"/>
        </w:rPr>
        <w:t>levies</w:t>
      </w:r>
    </w:p>
    <w:p w:rsidR="00A81D8A" w:rsidRDefault="00A81D8A" w:rsidP="00A81D8A">
      <w:r>
        <w:t xml:space="preserve">The throughput </w:t>
      </w:r>
      <w:r w:rsidR="006A2A99">
        <w:t>charge</w:t>
      </w:r>
      <w:r w:rsidR="00706ACB">
        <w:t>s</w:t>
      </w:r>
      <w:r>
        <w:t xml:space="preserve"> will be significantly reduced, from $6.47 and $2.57 per head of exported cattle, buffalo and camelids to $1.20 per head, irrespective of the export market. The throughput rate for exported sheep and goats will also reduce from $0.37 and $0.34 to $0.30 per head irrespective of the export market. This is a simplification of the current charging model where throughput fees vary depending on importing market and export pathway.</w:t>
      </w:r>
    </w:p>
    <w:p w:rsidR="00A81D8A" w:rsidRDefault="00A81D8A"/>
    <w:p w:rsidR="001753C6" w:rsidRDefault="001753C6" w:rsidP="00C6290D">
      <w:pPr>
        <w:pStyle w:val="Heading4"/>
        <w:keepNext/>
      </w:pPr>
      <w:r w:rsidRPr="00E3356D">
        <w:t>Premises charge</w:t>
      </w:r>
      <w:r>
        <w:t>s</w:t>
      </w:r>
    </w:p>
    <w:p w:rsidR="00A81D8A" w:rsidRDefault="00A81D8A" w:rsidP="00A81D8A">
      <w:r>
        <w:t>Owners of establishments that are registered for the export of livestock by sea will be charged an annual levy of $5 000. The department’s costs of maintaining records for registered premises were being recovered from exporters through various fees including throughput. The new levy ensures these costs are being fully recovered from the operators of registered premises. This will reduce the financial burden on exporters and ensure that all users of the live animal exports arrangement are reasonably contributing to the systems costs.</w:t>
      </w:r>
    </w:p>
    <w:p w:rsidR="00A81D8A" w:rsidRDefault="00A81D8A" w:rsidP="00A81D8A">
      <w:r>
        <w:lastRenderedPageBreak/>
        <w:t>Premises that are approved for the export of other animals and reproductive material will continue to be charged a fee for service to assess that the premises meets importing country requirements.</w:t>
      </w:r>
    </w:p>
    <w:p w:rsidR="001753C6" w:rsidRDefault="001753C6">
      <w:pPr>
        <w:pStyle w:val="Heading4"/>
      </w:pPr>
      <w:r>
        <w:t>Certificate charges</w:t>
      </w:r>
    </w:p>
    <w:p w:rsidR="00A81D8A" w:rsidRDefault="00A81D8A" w:rsidP="00A81D8A">
      <w:r>
        <w:t xml:space="preserve">Export permits are a legislative requirement for each consignment (both livestock and non- livestock) and most importing countries also require health certificates attesting that the consignment meets their requirements. The costs of issuing these certificates was previously recovered either as part of the per head fee for livestock (where applicable) or through the time based processing documentation fees for both livestock and non-livestock. Instead, the department will now charge for each document (certificate and/or permit) issued (each consignment will require at least one export permit and usually </w:t>
      </w:r>
      <w:r w:rsidR="00434A7B">
        <w:t>at least one health certificate</w:t>
      </w:r>
      <w:r>
        <w:t>).</w:t>
      </w:r>
    </w:p>
    <w:p w:rsidR="00A81D8A" w:rsidRDefault="00A81D8A" w:rsidP="00A81D8A">
      <w:r>
        <w:t>The rate of charge for an export permit differs between livestock exports and exports of all other live animals and reproductive material, to reflect that livestock exporters are contributing to the fixed and system costs through either an export licence or an approved arrangement. The cost per certificate for livestock exporters will be $60 in 2015–16 and for all other live animal and reproductive exporters the cost will be $250, comprising of a fee of $60 and a levy of $130 for the export permit, and a further $60 for the health certificate. In cases where multiple health certificates are required for a single export permit, additional documentation charges will apply.</w:t>
      </w:r>
    </w:p>
    <w:p w:rsidR="00A81D8A" w:rsidRDefault="00A81D8A" w:rsidP="00A81D8A">
      <w:r>
        <w:t>Where an exporter requests a replacement permit for any reason (change in importing country requirements or changes to the consignment) a fee of $500 per replacement permit applies.</w:t>
      </w:r>
    </w:p>
    <w:p w:rsidR="001753C6" w:rsidRDefault="001753C6">
      <w:pPr>
        <w:pStyle w:val="Heading4"/>
        <w:keepNext/>
        <w:keepLines/>
      </w:pPr>
      <w:r>
        <w:lastRenderedPageBreak/>
        <w:t>Inspection and audit fees</w:t>
      </w:r>
    </w:p>
    <w:p w:rsidR="00A81D8A" w:rsidRDefault="00A81D8A" w:rsidP="00A81D8A">
      <w:pPr>
        <w:keepNext/>
        <w:keepLines/>
      </w:pPr>
      <w:bookmarkStart w:id="40" w:name="_Toc425839152"/>
      <w:r>
        <w:t>All live animal and reproductive material exporters will be subject to standard inspection fees of $5</w:t>
      </w:r>
      <w:r w:rsidR="007778B1">
        <w:t>4</w:t>
      </w:r>
      <w:r>
        <w:t xml:space="preserve"> per quarter hour and audit fees of $43 per quarter hour as required. Where there is a request for an additional inspection (inspections that are not mandatory for the department to undertake) to take place a higher rate of $71 will apply. In circumstances where there is a need for a specialist auditor (e.g. veterinarian) to undertake an audit, a higher rate of $103 per quarter hour will apply. In the case of companion animals, inspections are not always required. Companion animal exporters will only be charged an inspection fee in circumstances where an inspection takes place. When an inspection is not required they will only be charged for the export permit and any associated document fees.</w:t>
      </w:r>
    </w:p>
    <w:p w:rsidR="001753C6" w:rsidRDefault="001753C6" w:rsidP="00E91050">
      <w:pPr>
        <w:pStyle w:val="Heading2"/>
        <w:rPr>
          <w:lang w:val="en-AU"/>
        </w:rPr>
      </w:pPr>
      <w:bookmarkStart w:id="41" w:name="_Toc433370169"/>
      <w:r>
        <w:lastRenderedPageBreak/>
        <w:t>Cost recovery methodology</w:t>
      </w:r>
      <w:bookmarkEnd w:id="40"/>
      <w:bookmarkEnd w:id="41"/>
    </w:p>
    <w:p w:rsidR="001753C6" w:rsidRDefault="001753C6">
      <w:pPr>
        <w:keepNext/>
      </w:pPr>
      <w:r>
        <w:t>The department has applied a consistent methodology to determine the fees and levies in its biosecurity and export cost recovery arrangements. Determining fees and levies for each cost recovery arrangement is a four-step process.</w:t>
      </w:r>
    </w:p>
    <w:p w:rsidR="001753C6" w:rsidRDefault="001753C6" w:rsidP="00E3356D">
      <w:pPr>
        <w:pStyle w:val="ListNumber"/>
      </w:pPr>
      <w:r>
        <w:t>Determine the cost base.</w:t>
      </w:r>
    </w:p>
    <w:p w:rsidR="001753C6" w:rsidRDefault="001753C6" w:rsidP="00E3356D">
      <w:pPr>
        <w:pStyle w:val="ListNumber"/>
      </w:pPr>
      <w:r>
        <w:t>Incorporate the cost base into a consistent activity based costing model.</w:t>
      </w:r>
    </w:p>
    <w:p w:rsidR="001753C6" w:rsidRDefault="001753C6" w:rsidP="00E3356D">
      <w:pPr>
        <w:pStyle w:val="ListNumber"/>
      </w:pPr>
      <w:r>
        <w:t>Establish charges and forecast volumes.</w:t>
      </w:r>
    </w:p>
    <w:p w:rsidR="001753C6" w:rsidRDefault="001753C6" w:rsidP="00E3356D">
      <w:pPr>
        <w:pStyle w:val="ListNumber"/>
      </w:pPr>
      <w:r>
        <w:t>Calculate prices for fees and levies using the cost model and volumes.</w:t>
      </w:r>
    </w:p>
    <w:p w:rsidR="001753C6" w:rsidRDefault="001753C6">
      <w:pPr>
        <w:keepNext/>
      </w:pPr>
      <w:r>
        <w:t>The department’s new cost recovery model used in the redesign is consistent with the principles and processes set out in the CRGs. Although the model is new, it is based on previous activity based costing models. These models have been developed and improved over the time the department has undertaken cost recovery.</w:t>
      </w:r>
    </w:p>
    <w:p w:rsidR="001753C6" w:rsidRDefault="001753C6">
      <w:pPr>
        <w:pStyle w:val="Heading3"/>
      </w:pPr>
      <w:bookmarkStart w:id="42" w:name="_Toc423939520"/>
      <w:bookmarkStart w:id="43" w:name="_Toc425839153"/>
      <w:bookmarkStart w:id="44" w:name="_Toc433370170"/>
      <w:r>
        <w:t>Determining the cost base</w:t>
      </w:r>
      <w:bookmarkEnd w:id="42"/>
      <w:bookmarkEnd w:id="43"/>
      <w:bookmarkEnd w:id="44"/>
    </w:p>
    <w:p w:rsidR="001753C6" w:rsidRDefault="001753C6">
      <w:pPr>
        <w:keepNext/>
        <w:spacing w:after="120"/>
      </w:pPr>
      <w:r>
        <w:t>The department’s 2014–15 budget has been used as the starting point for determining the cost base. It is drawn from the department’s Financial Management Information System (FMIS) and is made up of three types of costs:</w:t>
      </w:r>
    </w:p>
    <w:p w:rsidR="001753C6" w:rsidRDefault="001753C6" w:rsidP="00E3356D">
      <w:pPr>
        <w:pStyle w:val="ListBullet"/>
      </w:pPr>
      <w:r>
        <w:t xml:space="preserve">Direct expenses— these can be traced to the provision of an activity, for example inspections. Direct expenses include staff salaries and supplier costs. </w:t>
      </w:r>
    </w:p>
    <w:p w:rsidR="001753C6" w:rsidRDefault="001753C6" w:rsidP="00E3356D">
      <w:pPr>
        <w:pStyle w:val="ListBullet"/>
      </w:pPr>
      <w:r>
        <w:t>Indirect expenses—these are not easily linked to an activity provided by the department. Indirect expenses include corporate employee salaries and overheads such as information technology, finance and human resources costs.</w:t>
      </w:r>
    </w:p>
    <w:p w:rsidR="001753C6" w:rsidRDefault="001753C6" w:rsidP="00E3356D">
      <w:pPr>
        <w:pStyle w:val="ListBullet"/>
      </w:pPr>
      <w:r>
        <w:t>Capital expenses—this includes plant, property and depreciation.</w:t>
      </w:r>
    </w:p>
    <w:p w:rsidR="001753C6" w:rsidRDefault="001753C6">
      <w:pPr>
        <w:keepNext/>
      </w:pPr>
      <w:r>
        <w:lastRenderedPageBreak/>
        <w:t xml:space="preserve">Indirect expenses are allocated to activities using appropriate drivers in the FMIS costing methodology, such as the number of full time equivalents (FTE) of staff and technology assets. Effort surveys and the use of department cost drivers provides a consistent approach for allocating expenses into the activity based cost recovery model across all of the department’s cost recovery arrangements. </w:t>
      </w:r>
    </w:p>
    <w:p w:rsidR="001753C6" w:rsidRDefault="001753C6">
      <w:r>
        <w:t>To project the cost base over the next four years, adjustments have been applied to capture expected changes to the costs. These are changes that have not yet been captured in the department’s FMIS. Reductions in costs will arise from reforms such as service delivery modernisation, while factors such as inflation on supplier expenses and new cap</w:t>
      </w:r>
      <w:r w:rsidR="00BA0FF9">
        <w:t>ital items will increase costs.</w:t>
      </w:r>
    </w:p>
    <w:p w:rsidR="001753C6" w:rsidRDefault="001753C6">
      <w:pPr>
        <w:pStyle w:val="Heading3"/>
      </w:pPr>
      <w:bookmarkStart w:id="45" w:name="_Toc423939521"/>
      <w:bookmarkStart w:id="46" w:name="_Toc425839154"/>
      <w:bookmarkStart w:id="47" w:name="_Toc433370171"/>
      <w:r>
        <w:t>Activity-based cost model</w:t>
      </w:r>
      <w:bookmarkEnd w:id="45"/>
      <w:bookmarkEnd w:id="46"/>
      <w:bookmarkEnd w:id="47"/>
    </w:p>
    <w:p w:rsidR="001753C6" w:rsidRDefault="001753C6">
      <w:pPr>
        <w:keepNext/>
      </w:pPr>
      <w:r>
        <w:t>The department’s cost recovery model consists of 17 activities divided into four groups (as shown in Figure 1). The activities and groups are based on the department’s business service catalogue of activities. The business service catalogue provides consistent descriptions of the department’s activities and underpins a range of reforms across the department. The cost model ensures that fees or levies collect similar costs consistently across all biosecurity and export cost recovery arrangements.</w:t>
      </w:r>
    </w:p>
    <w:p w:rsidR="001753C6" w:rsidRDefault="001753C6">
      <w:pPr>
        <w:keepNext/>
      </w:pPr>
      <w:r>
        <w:t xml:space="preserve">The four groups of activities in Figure 1 determine how the costs of that activity are recovered. The costs associated with programme management and administration, assurance and incident management groups are recovered through levies. Levies recover costs of activities provided to a group of individuals, businesses or organisations. The costs associated with the intervention activities are recovered through fees. A fee applies to those activities provided directly to an </w:t>
      </w:r>
      <w:r>
        <w:lastRenderedPageBreak/>
        <w:t>individual, business or organisation. This application of fees and levies aligns with the CRGs.</w:t>
      </w:r>
    </w:p>
    <w:p w:rsidR="001753C6" w:rsidRDefault="001753C6">
      <w:pPr>
        <w:pStyle w:val="Caption"/>
        <w:keepNext/>
      </w:pPr>
      <w:r>
        <w:t xml:space="preserve">Figure </w:t>
      </w:r>
      <w:r w:rsidR="007A657F">
        <w:fldChar w:fldCharType="begin"/>
      </w:r>
      <w:r w:rsidR="007A657F">
        <w:instrText xml:space="preserve"> SEQ Figure \* ARABIC </w:instrText>
      </w:r>
      <w:r w:rsidR="007A657F">
        <w:fldChar w:fldCharType="separate"/>
      </w:r>
      <w:r w:rsidR="007A657F">
        <w:rPr>
          <w:noProof/>
        </w:rPr>
        <w:t>1</w:t>
      </w:r>
      <w:r w:rsidR="007A657F">
        <w:rPr>
          <w:noProof/>
        </w:rPr>
        <w:fldChar w:fldCharType="end"/>
      </w:r>
      <w:r>
        <w:t>: The department’s activity base</w:t>
      </w:r>
      <w:r w:rsidR="00706ACB">
        <w:t>d</w:t>
      </w:r>
      <w:r>
        <w:t xml:space="preserve"> cost model</w:t>
      </w:r>
    </w:p>
    <w:p w:rsidR="001753C6" w:rsidRDefault="00907FD5">
      <w:r>
        <w:rPr>
          <w:noProof/>
          <w:lang w:eastAsia="en-AU"/>
        </w:rPr>
        <w:drawing>
          <wp:inline distT="0" distB="0" distL="0" distR="0" wp14:anchorId="6A847F08" wp14:editId="780A4792">
            <wp:extent cx="5938520" cy="3778250"/>
            <wp:effectExtent l="0" t="0" r="5080" b="0"/>
            <wp:docPr id="3" name="Picture 3" descr="The department’s cost model is made up of four categories of activities.&#10;Costs that fall into the Programme Management and Administration, Assurance and Incident Management categories are recovered through levies.&#10;Programme management and administration activities include workforce and business management, business systems administration, stakeholder engagement, policy and instructional material, and business improvement.&#10;Assurance activities include risk management, verification, and surveillance.&#10;Incident management costs include incident management, investigation support, and corrective action&#10;Costs in the intervention category are recovered through fees.&#10;Intervention activities include assessment, issuing approvals and certification, inspections, treatments, husbandry, and audits.&#10;" title="Figure 1 The department's activity base cost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8520" cy="3778250"/>
                    </a:xfrm>
                    <a:prstGeom prst="rect">
                      <a:avLst/>
                    </a:prstGeom>
                    <a:noFill/>
                    <a:ln>
                      <a:noFill/>
                    </a:ln>
                  </pic:spPr>
                </pic:pic>
              </a:graphicData>
            </a:graphic>
          </wp:inline>
        </w:drawing>
      </w:r>
    </w:p>
    <w:p w:rsidR="001753C6" w:rsidRDefault="001753C6">
      <w:pPr>
        <w:pStyle w:val="Heading3"/>
      </w:pPr>
      <w:bookmarkStart w:id="48" w:name="_Toc428176298"/>
      <w:bookmarkStart w:id="49" w:name="_Toc433370172"/>
      <w:r>
        <w:t xml:space="preserve">Activities undertaken for </w:t>
      </w:r>
      <w:r w:rsidR="00706ACB">
        <w:rPr>
          <w:lang w:val="en-AU"/>
        </w:rPr>
        <w:t xml:space="preserve">the </w:t>
      </w:r>
      <w:r>
        <w:t>live animal exports cost recovery arrangement</w:t>
      </w:r>
      <w:bookmarkEnd w:id="48"/>
      <w:bookmarkEnd w:id="49"/>
    </w:p>
    <w:p w:rsidR="001753C6" w:rsidRDefault="001753C6">
      <w:r>
        <w:t>The live animal ex</w:t>
      </w:r>
      <w:r w:rsidR="00434A7B">
        <w:t>ports cost recovery arrangement</w:t>
      </w:r>
      <w:r>
        <w:t xml:space="preserve"> incur</w:t>
      </w:r>
      <w:r w:rsidR="00434A7B">
        <w:t>s</w:t>
      </w:r>
      <w:r>
        <w:t xml:space="preserve"> costs in 11 of the 17 activities under the department’s cost model. A description of the activities relevant to live animal exports is at </w:t>
      </w:r>
      <w:r>
        <w:rPr>
          <w:b/>
        </w:rPr>
        <w:t>Attachment B</w:t>
      </w:r>
      <w:r>
        <w:t xml:space="preserve">. The estimated amounts that will be collected under each relevant activity in the live animal exports cost recovery arrangement for the four year period </w:t>
      </w:r>
      <w:r w:rsidR="00700994">
        <w:t>beginning</w:t>
      </w:r>
      <w:r w:rsidR="00643212">
        <w:t xml:space="preserve"> in</w:t>
      </w:r>
      <w:r>
        <w:t xml:space="preserve"> 2015–16 are presented in Section 5.</w:t>
      </w:r>
    </w:p>
    <w:p w:rsidR="001753C6" w:rsidRDefault="001753C6" w:rsidP="00C6290D">
      <w:pPr>
        <w:pStyle w:val="Heading4"/>
      </w:pPr>
      <w:bookmarkStart w:id="50" w:name="_Toc423939524"/>
      <w:bookmarkStart w:id="51" w:name="_Toc425839155"/>
      <w:r>
        <w:t xml:space="preserve">Volumetric </w:t>
      </w:r>
      <w:bookmarkEnd w:id="50"/>
      <w:r>
        <w:t>forecast</w:t>
      </w:r>
      <w:bookmarkEnd w:id="51"/>
    </w:p>
    <w:p w:rsidR="001753C6" w:rsidRDefault="001753C6">
      <w:pPr>
        <w:keepNext/>
        <w:spacing w:after="120"/>
        <w:rPr>
          <w:lang w:eastAsia="en-AU"/>
        </w:rPr>
      </w:pPr>
      <w:r>
        <w:rPr>
          <w:lang w:eastAsia="en-AU"/>
        </w:rPr>
        <w:t xml:space="preserve">The demand for the department’s services drives costs and hence the level of revenue required to recover those costs. The forecast volumes of services, such as permits issued or premises registered, or volumes of exports are required to calculate the price of fees and levies. To incorporate volume changes into projected prices, the department </w:t>
      </w:r>
      <w:r>
        <w:rPr>
          <w:lang w:eastAsia="en-AU"/>
        </w:rPr>
        <w:lastRenderedPageBreak/>
        <w:t>maintains a volume forecast model. This uses historical volumes of exports and predicts future market conditions and their likely impact on demand for the department’s activities. The volumetric model:</w:t>
      </w:r>
    </w:p>
    <w:p w:rsidR="001753C6" w:rsidRDefault="001753C6" w:rsidP="00E3356D">
      <w:pPr>
        <w:pStyle w:val="ListBullet"/>
      </w:pPr>
      <w:r>
        <w:t>uses Australian Bureau of Agricultural and Resource Economics and Sciences (ABARES) analysis to forecast the impact of macro-economic drivers on historical volumes</w:t>
      </w:r>
    </w:p>
    <w:p w:rsidR="001753C6" w:rsidRDefault="001753C6" w:rsidP="00E3356D">
      <w:pPr>
        <w:pStyle w:val="ListBullet"/>
      </w:pPr>
      <w:r>
        <w:t>incorporates industry forecasts and the ABARES commodity forecasts</w:t>
      </w:r>
    </w:p>
    <w:p w:rsidR="001753C6" w:rsidRDefault="001753C6" w:rsidP="00E3356D">
      <w:pPr>
        <w:pStyle w:val="ListBullet"/>
      </w:pPr>
      <w:r>
        <w:t>projects the effect of changes to business processes on historical trends, such as changes in regulation, service delivery, organisational str</w:t>
      </w:r>
      <w:r w:rsidR="00E3356D">
        <w:t>ucture and charging structures.</w:t>
      </w:r>
    </w:p>
    <w:p w:rsidR="001753C6" w:rsidRDefault="001753C6">
      <w:pPr>
        <w:keepNext/>
      </w:pPr>
      <w:r>
        <w:t>External business information, which is provided through established industry consultative committees, is used to improve and test the volume forecasts.</w:t>
      </w:r>
    </w:p>
    <w:p w:rsidR="001753C6" w:rsidRDefault="001753C6">
      <w:pPr>
        <w:keepNext/>
      </w:pPr>
      <w:r>
        <w:t xml:space="preserve">The charging points, volume forecasts, and fees and levies are presented in </w:t>
      </w:r>
      <w:r>
        <w:rPr>
          <w:b/>
        </w:rPr>
        <w:t>Attachment A</w:t>
      </w:r>
      <w:r>
        <w:t>.</w:t>
      </w:r>
    </w:p>
    <w:p w:rsidR="001753C6" w:rsidRDefault="001753C6">
      <w:pPr>
        <w:pStyle w:val="Heading3"/>
      </w:pPr>
      <w:bookmarkStart w:id="52" w:name="_Toc428176301"/>
      <w:bookmarkStart w:id="53" w:name="_Toc433370173"/>
      <w:r>
        <w:t>Cost recovery reserve</w:t>
      </w:r>
      <w:bookmarkEnd w:id="52"/>
      <w:bookmarkEnd w:id="53"/>
    </w:p>
    <w:p w:rsidR="001753C6" w:rsidRDefault="001753C6">
      <w:r>
        <w:t xml:space="preserve">The department has revised its cost recovery reserve (previously industry reserve) policy to assist with managing the alignment of revenue and expenses. This has meant changing the policy from maintaining a balance of between two and ten percent of annual programme expenditure to a balance of between zero and five percent of annual programme expenditure. </w:t>
      </w:r>
    </w:p>
    <w:p w:rsidR="001753C6" w:rsidRDefault="001753C6">
      <w:r>
        <w:t xml:space="preserve">Closer management of the financial performance of arrangements may lead to more frequent adjustments to charges. Subject to government approval, over recoveries may be managed through remittance, or investment initiatives.  </w:t>
      </w:r>
    </w:p>
    <w:p w:rsidR="001753C6" w:rsidRDefault="001753C6">
      <w:r>
        <w:t xml:space="preserve">A single reserve will be maintained for each cost recovery arrangement. </w:t>
      </w:r>
    </w:p>
    <w:p w:rsidR="001753C6" w:rsidRDefault="001753C6" w:rsidP="00E91050">
      <w:pPr>
        <w:pStyle w:val="Heading2"/>
      </w:pPr>
      <w:bookmarkStart w:id="54" w:name="_Toc425839156"/>
      <w:bookmarkStart w:id="55" w:name="_Toc433370174"/>
      <w:r>
        <w:lastRenderedPageBreak/>
        <w:t>Cost base</w:t>
      </w:r>
      <w:bookmarkEnd w:id="54"/>
      <w:bookmarkEnd w:id="55"/>
    </w:p>
    <w:p w:rsidR="001753C6" w:rsidRDefault="001753C6">
      <w:pPr>
        <w:keepNext/>
      </w:pPr>
      <w:r>
        <w:t>The following information on the live animal exports arrangement cost base is provided as a four-year average from 2015–16 to 2018–19. An overview by cost type is provided in Table 1.</w:t>
      </w:r>
    </w:p>
    <w:p w:rsidR="001753C6" w:rsidRDefault="001753C6">
      <w:pPr>
        <w:keepNext/>
      </w:pPr>
      <w:bookmarkStart w:id="56" w:name="_Toc423939500"/>
      <w:bookmarkStart w:id="57" w:name="_Toc416444974"/>
      <w:r>
        <w:t>The cost base is based upon efficient optimisation of the livestock approved arrangements. By 2017, it will be mandatory for livestock exporters to enter into an approved arrangement. The costs presented in Figure 2 and Table 1 are based on the assumption that all livestock exporters will achieve the highest level of compliance under an approved arrangement, resulting in minimal department intervention. If this level of compliance is not achieved, additional costs may be incurred as additional inspections and audits will be required.</w:t>
      </w:r>
    </w:p>
    <w:p w:rsidR="001753C6" w:rsidRDefault="001753C6">
      <w:pPr>
        <w:pStyle w:val="Heading3"/>
        <w:rPr>
          <w:lang w:val="en-AU"/>
        </w:rPr>
      </w:pPr>
      <w:bookmarkStart w:id="58" w:name="_Toc425839157"/>
      <w:bookmarkStart w:id="59" w:name="_Toc433370175"/>
      <w:r>
        <w:t>Projected cost base</w:t>
      </w:r>
      <w:bookmarkEnd w:id="56"/>
      <w:bookmarkEnd w:id="58"/>
      <w:bookmarkEnd w:id="59"/>
    </w:p>
    <w:p w:rsidR="001753C6" w:rsidRDefault="001753C6">
      <w:pPr>
        <w:keepNext/>
        <w:keepLines/>
      </w:pPr>
      <w:r>
        <w:lastRenderedPageBreak/>
        <w:t xml:space="preserve">Figure 2 presents costs for the live animal exports arrangement by cost activity, attributed through the cost model presented in Section 4. </w:t>
      </w:r>
    </w:p>
    <w:p w:rsidR="001753C6" w:rsidRDefault="001753C6">
      <w:pPr>
        <w:pStyle w:val="Caption"/>
        <w:keepNext/>
        <w:keepLines/>
      </w:pPr>
      <w:r>
        <w:t xml:space="preserve">Figure </w:t>
      </w:r>
      <w:r w:rsidR="007A657F">
        <w:fldChar w:fldCharType="begin"/>
      </w:r>
      <w:r w:rsidR="007A657F">
        <w:instrText xml:space="preserve"> SEQ Figure \* ARABIC </w:instrText>
      </w:r>
      <w:r w:rsidR="007A657F">
        <w:fldChar w:fldCharType="separate"/>
      </w:r>
      <w:r w:rsidR="007A657F">
        <w:rPr>
          <w:noProof/>
        </w:rPr>
        <w:t>2</w:t>
      </w:r>
      <w:r w:rsidR="007A657F">
        <w:rPr>
          <w:noProof/>
        </w:rPr>
        <w:fldChar w:fldCharType="end"/>
      </w:r>
      <w:r>
        <w:t>: Cost base— live animal exports cost recovery arrangement (four-year average, 2015–16 to 2018–19)</w:t>
      </w:r>
    </w:p>
    <w:p w:rsidR="001753C6" w:rsidRDefault="00907FD5">
      <w:pPr>
        <w:keepLines/>
      </w:pPr>
      <w:r>
        <w:rPr>
          <w:noProof/>
          <w:lang w:eastAsia="en-AU"/>
        </w:rPr>
        <w:drawing>
          <wp:inline distT="0" distB="0" distL="0" distR="0" wp14:anchorId="3D689AEF" wp14:editId="710C9611">
            <wp:extent cx="5928360" cy="4159885"/>
            <wp:effectExtent l="0" t="0" r="0" b="0"/>
            <wp:docPr id="4" name="Picture 4" descr="The live animal exports programme is projected to cost an average of $7.280 million per year.&#10;Programme management and administration activities are projected to cost an average of $3.823 million per year. This consists of $2.707 million in workforce and business management costs, $49,000 in business systems administration costs, $229,000 in stakeholder engagement costs, $810,000 in policy and instructional material costs, and $58,000 in business improvement costs.&#10;Assurance activities are projected to cost $0 per year. &#10;Incident management activities are projected to cost an average of $506,000 per year. This consists of $166,000 in incident management costs, $328,000 in investigation support costs and $12,000 in corrective action costs.&#10;Intervention activities are projected to cost an average of $2.921 million per year. This consists of $1.297 million in assessment costs, $1.270 million in inspection costs and $354,000 in audits costs.&#10;" title="Figure 2: Cost base— live animal exports cost recovery arrangement (four-year average, 2015–16 to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e animal export cost recovery arrangement cost base activity for the annual averag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8360" cy="4159885"/>
                    </a:xfrm>
                    <a:prstGeom prst="rect">
                      <a:avLst/>
                    </a:prstGeom>
                    <a:noFill/>
                    <a:ln>
                      <a:noFill/>
                    </a:ln>
                  </pic:spPr>
                </pic:pic>
              </a:graphicData>
            </a:graphic>
          </wp:inline>
        </w:drawing>
      </w:r>
    </w:p>
    <w:p w:rsidR="001753C6" w:rsidRDefault="001753C6">
      <w:pPr>
        <w:keepNext/>
        <w:keepLines/>
      </w:pPr>
      <w:r>
        <w:t>Table 1 breaks down costs for the live animal exports arrangement into direct, indirect and capital expenses.</w:t>
      </w:r>
    </w:p>
    <w:p w:rsidR="001753C6" w:rsidRDefault="001753C6" w:rsidP="005E370F">
      <w:pPr>
        <w:pStyle w:val="Caption"/>
        <w:keepNext/>
        <w:keepLines/>
        <w:pageBreakBefore/>
      </w:pPr>
      <w:r>
        <w:lastRenderedPageBreak/>
        <w:t xml:space="preserve">Table </w:t>
      </w:r>
      <w:r w:rsidR="007A657F">
        <w:fldChar w:fldCharType="begin"/>
      </w:r>
      <w:r w:rsidR="007A657F">
        <w:instrText xml:space="preserve"> SEQ Table \* ARABIC </w:instrText>
      </w:r>
      <w:r w:rsidR="007A657F">
        <w:fldChar w:fldCharType="separate"/>
      </w:r>
      <w:r w:rsidR="007A657F">
        <w:rPr>
          <w:noProof/>
        </w:rPr>
        <w:t>1</w:t>
      </w:r>
      <w:r w:rsidR="007A657F">
        <w:rPr>
          <w:noProof/>
        </w:rPr>
        <w:fldChar w:fldCharType="end"/>
      </w:r>
      <w:r>
        <w:t>: Cost type breakdown— live animal exports cost recovery (four year average, 2015–16 to 2018– 19)</w:t>
      </w:r>
    </w:p>
    <w:tbl>
      <w:tblPr>
        <w:tblW w:w="9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6"/>
        <w:gridCol w:w="4074"/>
      </w:tblGrid>
      <w:tr w:rsidR="001753C6" w:rsidTr="006A2A99">
        <w:trPr>
          <w:tblHeader/>
        </w:trPr>
        <w:tc>
          <w:tcPr>
            <w:tcW w:w="5046" w:type="dxa"/>
            <w:tcBorders>
              <w:bottom w:val="single" w:sz="4" w:space="0" w:color="000000"/>
            </w:tcBorders>
            <w:shd w:val="solid" w:color="DBE5F1" w:fill="C6D9F1"/>
            <w:vAlign w:val="center"/>
          </w:tcPr>
          <w:p w:rsidR="001753C6" w:rsidRPr="00E3356D" w:rsidRDefault="001753C6" w:rsidP="00E3356D">
            <w:pPr>
              <w:pStyle w:val="Tabletext"/>
              <w:rPr>
                <w:rStyle w:val="Strong"/>
              </w:rPr>
            </w:pPr>
            <w:r w:rsidRPr="00E3356D">
              <w:rPr>
                <w:rStyle w:val="Strong"/>
              </w:rPr>
              <w:t>Expense</w:t>
            </w:r>
          </w:p>
        </w:tc>
        <w:tc>
          <w:tcPr>
            <w:tcW w:w="4074" w:type="dxa"/>
            <w:tcBorders>
              <w:bottom w:val="single" w:sz="4" w:space="0" w:color="000000"/>
            </w:tcBorders>
            <w:shd w:val="solid" w:color="DBE5F1" w:fill="C6D9F1"/>
            <w:vAlign w:val="center"/>
          </w:tcPr>
          <w:p w:rsidR="001753C6" w:rsidRPr="00E3356D" w:rsidRDefault="001753C6" w:rsidP="00E3356D">
            <w:pPr>
              <w:pStyle w:val="Tabletext"/>
              <w:rPr>
                <w:rStyle w:val="Strong"/>
              </w:rPr>
            </w:pPr>
            <w:r w:rsidRPr="00E3356D">
              <w:rPr>
                <w:rStyle w:val="Strong"/>
              </w:rPr>
              <w:t>Forecast ($ millions)</w:t>
            </w:r>
          </w:p>
        </w:tc>
      </w:tr>
      <w:tr w:rsidR="001753C6" w:rsidTr="006A2A99">
        <w:tc>
          <w:tcPr>
            <w:tcW w:w="5046" w:type="dxa"/>
            <w:tcBorders>
              <w:top w:val="single" w:sz="4" w:space="0" w:color="000000"/>
              <w:left w:val="single" w:sz="4" w:space="0" w:color="000000"/>
              <w:bottom w:val="single" w:sz="4" w:space="0" w:color="000000"/>
              <w:right w:val="nil"/>
            </w:tcBorders>
            <w:shd w:val="clear" w:color="auto" w:fill="auto"/>
            <w:vAlign w:val="center"/>
          </w:tcPr>
          <w:p w:rsidR="001753C6" w:rsidRPr="00E3356D" w:rsidRDefault="001753C6" w:rsidP="00E3356D">
            <w:pPr>
              <w:pStyle w:val="Tabletext"/>
              <w:rPr>
                <w:rStyle w:val="Strong"/>
              </w:rPr>
            </w:pPr>
            <w:r w:rsidRPr="00E3356D">
              <w:rPr>
                <w:rStyle w:val="Strong"/>
              </w:rPr>
              <w:t>Direct expenses</w:t>
            </w:r>
          </w:p>
        </w:tc>
        <w:tc>
          <w:tcPr>
            <w:tcW w:w="4074" w:type="dxa"/>
            <w:tcBorders>
              <w:top w:val="single" w:sz="4" w:space="0" w:color="000000"/>
              <w:left w:val="nil"/>
              <w:bottom w:val="single" w:sz="4" w:space="0" w:color="000000"/>
              <w:right w:val="single" w:sz="4" w:space="0" w:color="000000"/>
            </w:tcBorders>
            <w:shd w:val="clear" w:color="auto" w:fill="auto"/>
            <w:vAlign w:val="bottom"/>
          </w:tcPr>
          <w:p w:rsidR="001753C6" w:rsidRDefault="001753C6" w:rsidP="00E3356D">
            <w:pPr>
              <w:pStyle w:val="Tabletext"/>
              <w:rPr>
                <w:color w:val="F2F2F2"/>
              </w:rPr>
            </w:pPr>
            <w:r>
              <w:rPr>
                <w:color w:val="F2F2F2"/>
              </w:rPr>
              <w:t>.</w:t>
            </w:r>
          </w:p>
        </w:tc>
      </w:tr>
      <w:tr w:rsidR="001753C6" w:rsidTr="006A2A99">
        <w:tc>
          <w:tcPr>
            <w:tcW w:w="5046" w:type="dxa"/>
            <w:tcBorders>
              <w:top w:val="single" w:sz="4" w:space="0" w:color="000000"/>
            </w:tcBorders>
            <w:shd w:val="clear" w:color="auto" w:fill="auto"/>
            <w:vAlign w:val="center"/>
          </w:tcPr>
          <w:p w:rsidR="001753C6" w:rsidRDefault="001753C6" w:rsidP="00E3356D">
            <w:pPr>
              <w:pStyle w:val="Tabletext"/>
              <w:ind w:left="488"/>
            </w:pPr>
            <w:r>
              <w:t>Direct labour</w:t>
            </w:r>
          </w:p>
        </w:tc>
        <w:tc>
          <w:tcPr>
            <w:tcW w:w="4074" w:type="dxa"/>
            <w:tcBorders>
              <w:top w:val="single" w:sz="4" w:space="0" w:color="000000"/>
            </w:tcBorders>
            <w:shd w:val="clear" w:color="auto" w:fill="auto"/>
            <w:vAlign w:val="bottom"/>
          </w:tcPr>
          <w:p w:rsidR="001753C6" w:rsidRDefault="001753C6" w:rsidP="00E3356D">
            <w:pPr>
              <w:pStyle w:val="Tabletext"/>
              <w:jc w:val="center"/>
              <w:rPr>
                <w:rFonts w:cs="Arial"/>
              </w:rPr>
            </w:pPr>
            <w:r>
              <w:rPr>
                <w:rFonts w:cs="Arial"/>
              </w:rPr>
              <w:t>$3.670</w:t>
            </w:r>
          </w:p>
        </w:tc>
      </w:tr>
      <w:tr w:rsidR="001753C6" w:rsidTr="006A2A99">
        <w:tc>
          <w:tcPr>
            <w:tcW w:w="5046" w:type="dxa"/>
            <w:shd w:val="clear" w:color="auto" w:fill="auto"/>
            <w:vAlign w:val="center"/>
          </w:tcPr>
          <w:p w:rsidR="001753C6" w:rsidRDefault="001753C6" w:rsidP="00E3356D">
            <w:pPr>
              <w:pStyle w:val="Tabletext"/>
              <w:ind w:left="488"/>
            </w:pPr>
            <w:r>
              <w:t>Direct materials</w:t>
            </w:r>
          </w:p>
        </w:tc>
        <w:tc>
          <w:tcPr>
            <w:tcW w:w="4074" w:type="dxa"/>
            <w:shd w:val="clear" w:color="auto" w:fill="auto"/>
            <w:vAlign w:val="bottom"/>
          </w:tcPr>
          <w:p w:rsidR="001753C6" w:rsidRDefault="001753C6" w:rsidP="00E3356D">
            <w:pPr>
              <w:pStyle w:val="Tabletext"/>
              <w:jc w:val="center"/>
              <w:rPr>
                <w:rFonts w:cs="Arial"/>
              </w:rPr>
            </w:pPr>
            <w:r>
              <w:rPr>
                <w:rFonts w:cs="Arial"/>
              </w:rPr>
              <w:t>$0.929</w:t>
            </w:r>
          </w:p>
        </w:tc>
      </w:tr>
      <w:tr w:rsidR="001753C6" w:rsidTr="006A2A99">
        <w:tc>
          <w:tcPr>
            <w:tcW w:w="5046" w:type="dxa"/>
            <w:shd w:val="clear" w:color="auto" w:fill="auto"/>
            <w:vAlign w:val="center"/>
          </w:tcPr>
          <w:p w:rsidR="001753C6" w:rsidRDefault="001753C6" w:rsidP="00E3356D">
            <w:pPr>
              <w:pStyle w:val="Tabletext"/>
              <w:ind w:left="488"/>
            </w:pPr>
            <w:r>
              <w:t>Capital expenses</w:t>
            </w:r>
          </w:p>
        </w:tc>
        <w:tc>
          <w:tcPr>
            <w:tcW w:w="4074" w:type="dxa"/>
            <w:shd w:val="clear" w:color="auto" w:fill="auto"/>
            <w:vAlign w:val="bottom"/>
          </w:tcPr>
          <w:p w:rsidR="001753C6" w:rsidRDefault="001753C6" w:rsidP="00E3356D">
            <w:pPr>
              <w:pStyle w:val="Tabletext"/>
              <w:jc w:val="center"/>
              <w:rPr>
                <w:rFonts w:cs="Arial"/>
              </w:rPr>
            </w:pPr>
            <w:r>
              <w:rPr>
                <w:rFonts w:cs="Arial"/>
              </w:rPr>
              <w:t>$0.514</w:t>
            </w:r>
          </w:p>
        </w:tc>
      </w:tr>
      <w:tr w:rsidR="001753C6" w:rsidTr="006A2A99">
        <w:tc>
          <w:tcPr>
            <w:tcW w:w="5046" w:type="dxa"/>
            <w:shd w:val="clear" w:color="auto" w:fill="auto"/>
            <w:vAlign w:val="center"/>
          </w:tcPr>
          <w:p w:rsidR="001753C6" w:rsidRDefault="001753C6" w:rsidP="00E3356D">
            <w:pPr>
              <w:pStyle w:val="Tabletext"/>
              <w:ind w:left="488"/>
            </w:pPr>
            <w:r>
              <w:t>Other expenses</w:t>
            </w:r>
          </w:p>
        </w:tc>
        <w:tc>
          <w:tcPr>
            <w:tcW w:w="4074" w:type="dxa"/>
            <w:shd w:val="clear" w:color="auto" w:fill="auto"/>
            <w:vAlign w:val="bottom"/>
          </w:tcPr>
          <w:p w:rsidR="001753C6" w:rsidRDefault="001753C6" w:rsidP="00E3356D">
            <w:pPr>
              <w:pStyle w:val="Tabletext"/>
              <w:jc w:val="center"/>
              <w:rPr>
                <w:rFonts w:cs="Arial"/>
              </w:rPr>
            </w:pPr>
            <w:r>
              <w:rPr>
                <w:rFonts w:cs="Arial"/>
              </w:rPr>
              <w:t>$0.098</w:t>
            </w:r>
          </w:p>
        </w:tc>
      </w:tr>
      <w:tr w:rsidR="001753C6" w:rsidTr="006A2A99">
        <w:tc>
          <w:tcPr>
            <w:tcW w:w="5046" w:type="dxa"/>
            <w:shd w:val="clear" w:color="auto" w:fill="auto"/>
            <w:vAlign w:val="center"/>
          </w:tcPr>
          <w:p w:rsidR="001753C6" w:rsidRPr="00E3356D" w:rsidRDefault="001753C6" w:rsidP="00E3356D">
            <w:pPr>
              <w:pStyle w:val="Tabletext"/>
              <w:rPr>
                <w:rStyle w:val="Strong"/>
              </w:rPr>
            </w:pPr>
            <w:r w:rsidRPr="00E3356D">
              <w:rPr>
                <w:rStyle w:val="Strong"/>
              </w:rPr>
              <w:t>Direct expenses total</w:t>
            </w:r>
          </w:p>
        </w:tc>
        <w:tc>
          <w:tcPr>
            <w:tcW w:w="4074" w:type="dxa"/>
            <w:shd w:val="clear" w:color="auto" w:fill="auto"/>
            <w:vAlign w:val="bottom"/>
          </w:tcPr>
          <w:p w:rsidR="001753C6" w:rsidRPr="00E3356D" w:rsidRDefault="001753C6" w:rsidP="00E3356D">
            <w:pPr>
              <w:pStyle w:val="Tabletext"/>
              <w:jc w:val="center"/>
              <w:rPr>
                <w:rStyle w:val="Strong"/>
              </w:rPr>
            </w:pPr>
            <w:r w:rsidRPr="00E3356D">
              <w:rPr>
                <w:rStyle w:val="Strong"/>
              </w:rPr>
              <w:t>$5.211</w:t>
            </w:r>
          </w:p>
        </w:tc>
      </w:tr>
      <w:tr w:rsidR="001753C6" w:rsidTr="006A2A99">
        <w:tc>
          <w:tcPr>
            <w:tcW w:w="5046" w:type="dxa"/>
            <w:shd w:val="clear" w:color="auto" w:fill="auto"/>
            <w:vAlign w:val="center"/>
          </w:tcPr>
          <w:p w:rsidR="001753C6" w:rsidRPr="00E3356D" w:rsidRDefault="001753C6" w:rsidP="00E3356D">
            <w:pPr>
              <w:pStyle w:val="Tabletext"/>
              <w:rPr>
                <w:rStyle w:val="Strong"/>
              </w:rPr>
            </w:pPr>
            <w:r w:rsidRPr="00E3356D">
              <w:rPr>
                <w:rStyle w:val="Strong"/>
              </w:rPr>
              <w:t>Indirect expenses total</w:t>
            </w:r>
          </w:p>
        </w:tc>
        <w:tc>
          <w:tcPr>
            <w:tcW w:w="4074" w:type="dxa"/>
            <w:shd w:val="clear" w:color="auto" w:fill="auto"/>
            <w:vAlign w:val="bottom"/>
          </w:tcPr>
          <w:p w:rsidR="001753C6" w:rsidRPr="00E3356D" w:rsidRDefault="001753C6" w:rsidP="00E3356D">
            <w:pPr>
              <w:pStyle w:val="Tabletext"/>
              <w:jc w:val="center"/>
              <w:rPr>
                <w:rStyle w:val="Strong"/>
              </w:rPr>
            </w:pPr>
            <w:r w:rsidRPr="00E3356D">
              <w:rPr>
                <w:rStyle w:val="Strong"/>
              </w:rPr>
              <w:t>$2.069</w:t>
            </w:r>
          </w:p>
        </w:tc>
      </w:tr>
      <w:tr w:rsidR="001753C6" w:rsidTr="006A2A99">
        <w:tc>
          <w:tcPr>
            <w:tcW w:w="5046" w:type="dxa"/>
            <w:shd w:val="clear" w:color="auto" w:fill="auto"/>
            <w:vAlign w:val="center"/>
          </w:tcPr>
          <w:p w:rsidR="001753C6" w:rsidRPr="00E3356D" w:rsidRDefault="001753C6" w:rsidP="00E3356D">
            <w:pPr>
              <w:pStyle w:val="Tabletext"/>
              <w:ind w:left="488"/>
              <w:rPr>
                <w:rStyle w:val="Strong"/>
              </w:rPr>
            </w:pPr>
            <w:r w:rsidRPr="00E3356D">
              <w:rPr>
                <w:rStyle w:val="Strong"/>
              </w:rPr>
              <w:t>Total Expenses</w:t>
            </w:r>
          </w:p>
        </w:tc>
        <w:tc>
          <w:tcPr>
            <w:tcW w:w="4074" w:type="dxa"/>
            <w:shd w:val="clear" w:color="auto" w:fill="auto"/>
            <w:vAlign w:val="bottom"/>
          </w:tcPr>
          <w:p w:rsidR="001753C6" w:rsidRPr="00E3356D" w:rsidRDefault="001753C6" w:rsidP="00E3356D">
            <w:pPr>
              <w:pStyle w:val="Tabletext"/>
              <w:jc w:val="center"/>
              <w:rPr>
                <w:rStyle w:val="Strong"/>
              </w:rPr>
            </w:pPr>
            <w:r w:rsidRPr="00E3356D">
              <w:rPr>
                <w:rStyle w:val="Strong"/>
              </w:rPr>
              <w:t>$7.280</w:t>
            </w:r>
          </w:p>
        </w:tc>
      </w:tr>
    </w:tbl>
    <w:p w:rsidR="00643212" w:rsidRDefault="00643212" w:rsidP="00434A7B"/>
    <w:p w:rsidR="001753C6" w:rsidRDefault="001753C6" w:rsidP="00434A7B">
      <w:pPr>
        <w:rPr>
          <w:rFonts w:cs="Arial"/>
          <w:b/>
          <w:sz w:val="28"/>
        </w:rPr>
      </w:pPr>
      <w:r>
        <w:t>Direct expenses can be traced to the provision of an activity, such as staff salaries and supplier costs.</w:t>
      </w:r>
      <w:r w:rsidR="00643212">
        <w:t xml:space="preserve"> </w:t>
      </w:r>
      <w:r>
        <w:t>Indirect expenses are not easily linked to an activity, such as corporate employee salaries and overheads, including information technology, finance and human resources costs.</w:t>
      </w:r>
      <w:r w:rsidR="00643212">
        <w:t xml:space="preserve"> </w:t>
      </w:r>
      <w:r>
        <w:t>Capital expenses include plant, property and depreciation.</w:t>
      </w:r>
    </w:p>
    <w:p w:rsidR="001753C6" w:rsidRDefault="001753C6">
      <w:pPr>
        <w:pStyle w:val="Heading3"/>
      </w:pPr>
      <w:bookmarkStart w:id="60" w:name="_Toc425839158"/>
      <w:bookmarkStart w:id="61" w:name="_Toc433370176"/>
      <w:r>
        <w:rPr>
          <w:lang w:val="en-AU"/>
        </w:rPr>
        <w:t>Changes</w:t>
      </w:r>
      <w:r>
        <w:t xml:space="preserve"> to the cost base</w:t>
      </w:r>
      <w:bookmarkEnd w:id="60"/>
      <w:bookmarkEnd w:id="61"/>
    </w:p>
    <w:p w:rsidR="001753C6" w:rsidRDefault="001753C6">
      <w:pPr>
        <w:keepNext/>
      </w:pPr>
      <w:bookmarkStart w:id="62" w:name="_Toc423939505"/>
      <w:r>
        <w:t>Table 2 summarise</w:t>
      </w:r>
      <w:r w:rsidR="009F0D1F">
        <w:t>s</w:t>
      </w:r>
      <w:r>
        <w:t xml:space="preserve"> changes to the cost base. For live animal exports, there are occasionally incidents which require departmental resources to manage a consignment once it has left Australia. A detained live animal consignment is one that has arrived in the importing country and has been detained due to unforeseen circumstances. For example, a dog or cat to New Zealand may be detained by customs if fleas or ticks are found on the animal. The department may also provide assistance on issues with livestock consignments after departure. For example, where the destination market has changed due to unforeseen circumstances, a vessel or aircraft has broken down during transport or if import conditions change during transport. </w:t>
      </w:r>
    </w:p>
    <w:p w:rsidR="001753C6" w:rsidRDefault="001753C6">
      <w:pPr>
        <w:keepNext/>
      </w:pPr>
      <w:r>
        <w:t xml:space="preserve">Due to the highly reactive, uncertain and expensive nature of managing a detained consignment or issues with a consignment after departure, it is important that there is certainty for funding these activities while ensuring the most effective and efficient cost recovery arrangements are in place. Currently no cost recovery arrangement recovers for activities undertaken by the department for consignments which need additional assistance after departure from Australia. Under the </w:t>
      </w:r>
      <w:r>
        <w:lastRenderedPageBreak/>
        <w:t>redesign, the department will recover costs of managing minor issues and detained consignment incidents through levies imposed on users.</w:t>
      </w:r>
    </w:p>
    <w:p w:rsidR="001753C6" w:rsidRDefault="001753C6">
      <w:pPr>
        <w:keepNext/>
        <w:spacing w:after="0"/>
      </w:pPr>
      <w:r>
        <w:t>Cost recovery is considered appropriate as industry benefits by having a system in place that allows the department to manage these incidents when they arise. Activities undertaken by the department in cases of issues with consignments after departure or detained consignments include:</w:t>
      </w:r>
    </w:p>
    <w:p w:rsidR="001753C6" w:rsidRPr="00E3356D" w:rsidRDefault="001753C6" w:rsidP="00E3356D">
      <w:pPr>
        <w:pStyle w:val="ListBullet"/>
      </w:pPr>
      <w:r w:rsidRPr="00E3356D">
        <w:t>working with foreign gov</w:t>
      </w:r>
      <w:r w:rsidR="00E3356D">
        <w:t>ernments and agricultural posts</w:t>
      </w:r>
    </w:p>
    <w:p w:rsidR="001753C6" w:rsidRPr="00E3356D" w:rsidRDefault="00E3356D" w:rsidP="00E3356D">
      <w:pPr>
        <w:pStyle w:val="ListBullet"/>
      </w:pPr>
      <w:r>
        <w:t>identifying new markets</w:t>
      </w:r>
    </w:p>
    <w:p w:rsidR="001753C6" w:rsidRPr="00E3356D" w:rsidRDefault="001753C6" w:rsidP="00E3356D">
      <w:pPr>
        <w:pStyle w:val="ListBullet"/>
      </w:pPr>
      <w:r w:rsidRPr="00E3356D">
        <w:t>issuing certification to meet new importin</w:t>
      </w:r>
      <w:r w:rsidR="00E3356D">
        <w:t>g country requirements.</w:t>
      </w:r>
    </w:p>
    <w:p w:rsidR="001753C6" w:rsidRDefault="001753C6">
      <w:r>
        <w:t xml:space="preserve">These funds will not recover the cost of significant incidents. Where there is a significant incident, such as the Cormo Express rejection in 2003, an additional levy may be activated to recover the costs of any such incident. The rate of this levy will be dependent on the specifics of the incident and has not been identified in this CRIS. </w:t>
      </w:r>
    </w:p>
    <w:p w:rsidR="001753C6" w:rsidRDefault="001753C6" w:rsidP="005E370F">
      <w:pPr>
        <w:pStyle w:val="Caption"/>
        <w:keepNext/>
        <w:pageBreakBefore/>
      </w:pPr>
      <w:r>
        <w:lastRenderedPageBreak/>
        <w:t xml:space="preserve">Table </w:t>
      </w:r>
      <w:r w:rsidR="007A657F">
        <w:fldChar w:fldCharType="begin"/>
      </w:r>
      <w:r w:rsidR="007A657F">
        <w:instrText xml:space="preserve"> SEQ Table \* ARABIC </w:instrText>
      </w:r>
      <w:r w:rsidR="007A657F">
        <w:fldChar w:fldCharType="separate"/>
      </w:r>
      <w:r w:rsidR="007A657F">
        <w:rPr>
          <w:noProof/>
        </w:rPr>
        <w:t>2</w:t>
      </w:r>
      <w:r w:rsidR="007A657F">
        <w:rPr>
          <w:noProof/>
        </w:rPr>
        <w:fldChar w:fldCharType="end"/>
      </w:r>
      <w:r>
        <w:t>: Changes to cost base—live animal exports cost recovery arrangement (four year average, 2015–16 to 2018–19)</w:t>
      </w:r>
    </w:p>
    <w:tbl>
      <w:tblPr>
        <w:tblW w:w="9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3"/>
        <w:gridCol w:w="1277"/>
        <w:gridCol w:w="1380"/>
      </w:tblGrid>
      <w:tr w:rsidR="001753C6" w:rsidTr="006A2A99">
        <w:tc>
          <w:tcPr>
            <w:tcW w:w="6463" w:type="dxa"/>
            <w:shd w:val="solid" w:color="DBE5F1" w:fill="C6D9F1"/>
            <w:vAlign w:val="center"/>
          </w:tcPr>
          <w:p w:rsidR="001753C6" w:rsidRPr="00E3356D" w:rsidRDefault="001753C6" w:rsidP="00E3356D">
            <w:pPr>
              <w:pStyle w:val="Tabletext"/>
              <w:rPr>
                <w:rStyle w:val="Strong"/>
              </w:rPr>
            </w:pPr>
            <w:r w:rsidRPr="00E3356D">
              <w:rPr>
                <w:rStyle w:val="Strong"/>
              </w:rPr>
              <w:t>Adjustment to cost base</w:t>
            </w:r>
          </w:p>
        </w:tc>
        <w:tc>
          <w:tcPr>
            <w:tcW w:w="1277" w:type="dxa"/>
            <w:shd w:val="solid" w:color="DBE5F1" w:fill="C6D9F1"/>
            <w:vAlign w:val="center"/>
          </w:tcPr>
          <w:p w:rsidR="001753C6" w:rsidRPr="00E3356D" w:rsidRDefault="001753C6" w:rsidP="00E3356D">
            <w:pPr>
              <w:pStyle w:val="Tabletext"/>
              <w:rPr>
                <w:rStyle w:val="Strong"/>
              </w:rPr>
            </w:pPr>
            <w:r w:rsidRPr="00E3356D">
              <w:rPr>
                <w:rStyle w:val="Strong"/>
              </w:rPr>
              <w:t>Impact on cost base</w:t>
            </w:r>
          </w:p>
        </w:tc>
        <w:tc>
          <w:tcPr>
            <w:tcW w:w="1380" w:type="dxa"/>
            <w:shd w:val="solid" w:color="DBE5F1" w:fill="C6D9F1"/>
            <w:vAlign w:val="center"/>
          </w:tcPr>
          <w:p w:rsidR="001753C6" w:rsidRPr="00E3356D" w:rsidRDefault="00BA0FF9" w:rsidP="00E3356D">
            <w:pPr>
              <w:pStyle w:val="Tabletext"/>
              <w:rPr>
                <w:rStyle w:val="Strong"/>
              </w:rPr>
            </w:pPr>
            <w:r>
              <w:rPr>
                <w:rStyle w:val="Strong"/>
              </w:rPr>
              <w:t>Forecast</w:t>
            </w:r>
            <w:r w:rsidR="001753C6" w:rsidRPr="00E3356D">
              <w:rPr>
                <w:rStyle w:val="Strong"/>
              </w:rPr>
              <w:br/>
              <w:t>($ ’000s)</w:t>
            </w:r>
          </w:p>
        </w:tc>
      </w:tr>
      <w:tr w:rsidR="001753C6" w:rsidTr="006A2A99">
        <w:tc>
          <w:tcPr>
            <w:tcW w:w="6463" w:type="dxa"/>
            <w:shd w:val="clear" w:color="auto" w:fill="auto"/>
          </w:tcPr>
          <w:p w:rsidR="001753C6" w:rsidRDefault="001753C6" w:rsidP="00E3356D">
            <w:pPr>
              <w:pStyle w:val="Tabletext"/>
            </w:pPr>
            <w:r>
              <w:t>1. Detained consignments</w:t>
            </w:r>
          </w:p>
        </w:tc>
        <w:tc>
          <w:tcPr>
            <w:tcW w:w="1277" w:type="dxa"/>
            <w:shd w:val="clear" w:color="auto" w:fill="auto"/>
          </w:tcPr>
          <w:p w:rsidR="001753C6" w:rsidRDefault="001753C6" w:rsidP="00E3356D">
            <w:pPr>
              <w:pStyle w:val="Tabletext"/>
            </w:pPr>
            <w:r>
              <w:t>Increase</w:t>
            </w:r>
          </w:p>
        </w:tc>
        <w:tc>
          <w:tcPr>
            <w:tcW w:w="1380" w:type="dxa"/>
            <w:shd w:val="clear" w:color="auto" w:fill="auto"/>
            <w:vAlign w:val="center"/>
          </w:tcPr>
          <w:p w:rsidR="001753C6" w:rsidRDefault="001753C6" w:rsidP="00E3356D">
            <w:pPr>
              <w:pStyle w:val="Tabletext"/>
              <w:jc w:val="center"/>
            </w:pPr>
            <w:r>
              <w:t>$166</w:t>
            </w:r>
          </w:p>
        </w:tc>
      </w:tr>
      <w:tr w:rsidR="001753C6" w:rsidTr="006A2A99">
        <w:tc>
          <w:tcPr>
            <w:tcW w:w="6463" w:type="dxa"/>
            <w:shd w:val="clear" w:color="auto" w:fill="auto"/>
          </w:tcPr>
          <w:p w:rsidR="001753C6" w:rsidRDefault="001753C6" w:rsidP="00E3356D">
            <w:pPr>
              <w:pStyle w:val="Tabletext"/>
            </w:pPr>
            <w:r>
              <w:t>2. Depreciation expenses</w:t>
            </w:r>
          </w:p>
        </w:tc>
        <w:tc>
          <w:tcPr>
            <w:tcW w:w="1277" w:type="dxa"/>
            <w:shd w:val="clear" w:color="auto" w:fill="auto"/>
          </w:tcPr>
          <w:p w:rsidR="001753C6" w:rsidRDefault="001753C6" w:rsidP="00E3356D">
            <w:pPr>
              <w:pStyle w:val="Tabletext"/>
            </w:pPr>
            <w:r>
              <w:t>Increase</w:t>
            </w:r>
          </w:p>
        </w:tc>
        <w:tc>
          <w:tcPr>
            <w:tcW w:w="1380" w:type="dxa"/>
            <w:shd w:val="clear" w:color="auto" w:fill="auto"/>
            <w:vAlign w:val="center"/>
          </w:tcPr>
          <w:p w:rsidR="001753C6" w:rsidRDefault="001753C6" w:rsidP="00E3356D">
            <w:pPr>
              <w:pStyle w:val="Tabletext"/>
              <w:jc w:val="center"/>
            </w:pPr>
            <w:r>
              <w:t>$154</w:t>
            </w:r>
          </w:p>
        </w:tc>
      </w:tr>
      <w:tr w:rsidR="001753C6" w:rsidTr="006A2A99">
        <w:tc>
          <w:tcPr>
            <w:tcW w:w="6463" w:type="dxa"/>
            <w:shd w:val="clear" w:color="auto" w:fill="auto"/>
          </w:tcPr>
          <w:p w:rsidR="001753C6" w:rsidRPr="00E3356D" w:rsidRDefault="001753C6" w:rsidP="00E3356D">
            <w:pPr>
              <w:pStyle w:val="Tabletext"/>
              <w:ind w:left="488"/>
              <w:rPr>
                <w:rStyle w:val="Strong"/>
              </w:rPr>
            </w:pPr>
            <w:r w:rsidRPr="00E3356D">
              <w:rPr>
                <w:rStyle w:val="Strong"/>
              </w:rPr>
              <w:t>Total expenditure of adjustments to cost base</w:t>
            </w:r>
          </w:p>
        </w:tc>
        <w:tc>
          <w:tcPr>
            <w:tcW w:w="1277" w:type="dxa"/>
            <w:shd w:val="clear" w:color="auto" w:fill="auto"/>
            <w:vAlign w:val="bottom"/>
          </w:tcPr>
          <w:p w:rsidR="001753C6" w:rsidRDefault="001753C6" w:rsidP="00E3356D">
            <w:pPr>
              <w:pStyle w:val="Tabletext"/>
            </w:pPr>
            <w:r>
              <w:t>Increase</w:t>
            </w:r>
          </w:p>
        </w:tc>
        <w:tc>
          <w:tcPr>
            <w:tcW w:w="1380" w:type="dxa"/>
            <w:shd w:val="clear" w:color="auto" w:fill="auto"/>
            <w:vAlign w:val="center"/>
          </w:tcPr>
          <w:p w:rsidR="001753C6" w:rsidRDefault="001753C6" w:rsidP="00E3356D">
            <w:pPr>
              <w:pStyle w:val="Tabletext"/>
              <w:jc w:val="center"/>
            </w:pPr>
            <w:r>
              <w:t>$320</w:t>
            </w:r>
          </w:p>
        </w:tc>
      </w:tr>
      <w:tr w:rsidR="001753C6" w:rsidTr="006A2A99">
        <w:tc>
          <w:tcPr>
            <w:tcW w:w="6463" w:type="dxa"/>
            <w:shd w:val="clear" w:color="auto" w:fill="auto"/>
          </w:tcPr>
          <w:p w:rsidR="001753C6" w:rsidRPr="00E3356D" w:rsidRDefault="001753C6" w:rsidP="00E3356D">
            <w:pPr>
              <w:pStyle w:val="Tabletext"/>
              <w:ind w:left="488"/>
              <w:rPr>
                <w:rStyle w:val="Strong"/>
              </w:rPr>
            </w:pPr>
            <w:r w:rsidRPr="00E3356D">
              <w:rPr>
                <w:rStyle w:val="Strong"/>
              </w:rPr>
              <w:t>Total baseline expenditure</w:t>
            </w:r>
          </w:p>
        </w:tc>
        <w:tc>
          <w:tcPr>
            <w:tcW w:w="1277" w:type="dxa"/>
            <w:shd w:val="clear" w:color="auto" w:fill="auto"/>
            <w:vAlign w:val="bottom"/>
          </w:tcPr>
          <w:p w:rsidR="001753C6" w:rsidRDefault="001753C6" w:rsidP="00E3356D">
            <w:pPr>
              <w:pStyle w:val="Tabletext"/>
            </w:pPr>
            <w:r>
              <w:t>Increase</w:t>
            </w:r>
          </w:p>
        </w:tc>
        <w:tc>
          <w:tcPr>
            <w:tcW w:w="1380" w:type="dxa"/>
            <w:shd w:val="clear" w:color="auto" w:fill="auto"/>
            <w:vAlign w:val="center"/>
          </w:tcPr>
          <w:p w:rsidR="001753C6" w:rsidRDefault="001753C6" w:rsidP="00E3356D">
            <w:pPr>
              <w:pStyle w:val="Tabletext"/>
              <w:jc w:val="center"/>
            </w:pPr>
            <w:r>
              <w:t>$6 960</w:t>
            </w:r>
          </w:p>
        </w:tc>
      </w:tr>
      <w:tr w:rsidR="001753C6" w:rsidTr="006A2A99">
        <w:tc>
          <w:tcPr>
            <w:tcW w:w="6463" w:type="dxa"/>
            <w:shd w:val="clear" w:color="auto" w:fill="auto"/>
          </w:tcPr>
          <w:p w:rsidR="001753C6" w:rsidRPr="00E3356D" w:rsidRDefault="001753C6" w:rsidP="00E3356D">
            <w:pPr>
              <w:pStyle w:val="Tabletext"/>
              <w:ind w:left="488"/>
              <w:rPr>
                <w:rStyle w:val="Strong"/>
              </w:rPr>
            </w:pPr>
            <w:r w:rsidRPr="00E3356D">
              <w:rPr>
                <w:rStyle w:val="Strong"/>
              </w:rPr>
              <w:t>Adjusted cost recoverable expenditure (cost base)</w:t>
            </w:r>
          </w:p>
        </w:tc>
        <w:tc>
          <w:tcPr>
            <w:tcW w:w="1277" w:type="dxa"/>
            <w:shd w:val="clear" w:color="auto" w:fill="auto"/>
            <w:vAlign w:val="bottom"/>
          </w:tcPr>
          <w:p w:rsidR="001753C6" w:rsidRDefault="001753C6" w:rsidP="00E3356D">
            <w:pPr>
              <w:pStyle w:val="Tabletext"/>
            </w:pPr>
            <w:r>
              <w:t>Increase</w:t>
            </w:r>
          </w:p>
        </w:tc>
        <w:tc>
          <w:tcPr>
            <w:tcW w:w="1380" w:type="dxa"/>
            <w:shd w:val="clear" w:color="auto" w:fill="auto"/>
            <w:vAlign w:val="center"/>
          </w:tcPr>
          <w:p w:rsidR="001753C6" w:rsidRDefault="001753C6" w:rsidP="00E3356D">
            <w:pPr>
              <w:pStyle w:val="Tabletext"/>
              <w:jc w:val="center"/>
            </w:pPr>
            <w:r>
              <w:t>$7 280</w:t>
            </w:r>
          </w:p>
        </w:tc>
      </w:tr>
      <w:tr w:rsidR="001753C6" w:rsidTr="006A2A99">
        <w:tc>
          <w:tcPr>
            <w:tcW w:w="6463" w:type="dxa"/>
            <w:shd w:val="clear" w:color="auto" w:fill="auto"/>
          </w:tcPr>
          <w:p w:rsidR="001753C6" w:rsidRPr="00E3356D" w:rsidRDefault="001753C6" w:rsidP="00E3356D">
            <w:pPr>
              <w:pStyle w:val="Tabletext"/>
              <w:ind w:left="488"/>
              <w:rPr>
                <w:rStyle w:val="Strong"/>
              </w:rPr>
            </w:pPr>
            <w:r w:rsidRPr="00E3356D">
              <w:rPr>
                <w:rStyle w:val="Strong"/>
              </w:rPr>
              <w:t>Change in expenditure</w:t>
            </w:r>
          </w:p>
        </w:tc>
        <w:tc>
          <w:tcPr>
            <w:tcW w:w="1277" w:type="dxa"/>
            <w:shd w:val="clear" w:color="auto" w:fill="auto"/>
            <w:vAlign w:val="bottom"/>
          </w:tcPr>
          <w:p w:rsidR="001753C6" w:rsidRDefault="001753C6" w:rsidP="00E3356D">
            <w:pPr>
              <w:pStyle w:val="Tabletext"/>
            </w:pPr>
            <w:r>
              <w:t>Increase</w:t>
            </w:r>
          </w:p>
        </w:tc>
        <w:tc>
          <w:tcPr>
            <w:tcW w:w="1380" w:type="dxa"/>
            <w:shd w:val="clear" w:color="auto" w:fill="auto"/>
            <w:vAlign w:val="center"/>
          </w:tcPr>
          <w:p w:rsidR="001753C6" w:rsidRPr="00E3356D" w:rsidRDefault="001753C6" w:rsidP="00E3356D">
            <w:pPr>
              <w:pStyle w:val="Tabletext"/>
              <w:jc w:val="center"/>
              <w:rPr>
                <w:rStyle w:val="Strong"/>
              </w:rPr>
            </w:pPr>
            <w:r w:rsidRPr="00E3356D">
              <w:rPr>
                <w:rStyle w:val="Strong"/>
              </w:rPr>
              <w:t>5%</w:t>
            </w:r>
          </w:p>
        </w:tc>
      </w:tr>
    </w:tbl>
    <w:p w:rsidR="00434A7B" w:rsidRDefault="00434A7B" w:rsidP="00434A7B"/>
    <w:p w:rsidR="001753C6" w:rsidRDefault="001753C6" w:rsidP="00434A7B">
      <w:r>
        <w:t xml:space="preserve">Overall, the new cost base is a significant reduction on the </w:t>
      </w:r>
      <w:r w:rsidR="00647471">
        <w:t xml:space="preserve">2014-15 LAE CRIS </w:t>
      </w:r>
      <w:r>
        <w:t>cost base</w:t>
      </w:r>
      <w:r w:rsidR="00647471">
        <w:t xml:space="preserve"> of $11.0 million (of which $10.1 million was able to be cost recovered)</w:t>
      </w:r>
      <w:r>
        <w:t>. This reduction reflects significant reforms and improvements in programme efficiency.</w:t>
      </w:r>
    </w:p>
    <w:p w:rsidR="001753C6" w:rsidRDefault="001753C6" w:rsidP="00E91050">
      <w:pPr>
        <w:pStyle w:val="Heading2"/>
      </w:pPr>
      <w:bookmarkStart w:id="63" w:name="_Toc425839159"/>
      <w:bookmarkStart w:id="64" w:name="_Toc433370177"/>
      <w:r>
        <w:lastRenderedPageBreak/>
        <w:t>Financial estimates</w:t>
      </w:r>
      <w:bookmarkEnd w:id="62"/>
      <w:bookmarkEnd w:id="63"/>
      <w:bookmarkEnd w:id="64"/>
    </w:p>
    <w:p w:rsidR="001753C6" w:rsidRDefault="001753C6">
      <w:pPr>
        <w:keepNext/>
      </w:pPr>
      <w:r>
        <w:t>A summary of the annual budgeted operating position for the live animal exports cost recovery arrangement is provided at Table 3. All cost recovered activities are subject to a detailed semi-annual review as part of departmental budgeting processes.</w:t>
      </w:r>
    </w:p>
    <w:p w:rsidR="001753C6" w:rsidRDefault="001753C6">
      <w:pPr>
        <w:pStyle w:val="Caption"/>
        <w:keepNext/>
      </w:pPr>
      <w:r>
        <w:t>Table 3: Financial estimates—live animal exports cost recovery arrangement</w:t>
      </w: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330"/>
        <w:gridCol w:w="1587"/>
        <w:gridCol w:w="1587"/>
        <w:gridCol w:w="1587"/>
        <w:gridCol w:w="1356"/>
      </w:tblGrid>
      <w:tr w:rsidR="001753C6" w:rsidTr="006A2A99">
        <w:trPr>
          <w:cantSplit/>
          <w:trHeight w:val="517"/>
          <w:tblHeader/>
        </w:trPr>
        <w:tc>
          <w:tcPr>
            <w:tcW w:w="1673" w:type="dxa"/>
            <w:shd w:val="solid" w:color="C6D9F1" w:fill="C6D9F1"/>
            <w:vAlign w:val="center"/>
          </w:tcPr>
          <w:p w:rsidR="001753C6" w:rsidRPr="00E3356D" w:rsidRDefault="001753C6" w:rsidP="00E3356D">
            <w:pPr>
              <w:pStyle w:val="Tabletext"/>
              <w:rPr>
                <w:rStyle w:val="Strong"/>
              </w:rPr>
            </w:pPr>
            <w:bookmarkStart w:id="65" w:name="_Toc417477381"/>
            <w:bookmarkEnd w:id="33"/>
            <w:bookmarkEnd w:id="34"/>
            <w:bookmarkEnd w:id="37"/>
            <w:bookmarkEnd w:id="57"/>
            <w:r w:rsidRPr="00E3356D">
              <w:rPr>
                <w:rStyle w:val="Strong"/>
              </w:rPr>
              <w:t>Finance element</w:t>
            </w:r>
          </w:p>
        </w:tc>
        <w:tc>
          <w:tcPr>
            <w:tcW w:w="1330" w:type="dxa"/>
            <w:shd w:val="solid" w:color="C6D9F1" w:fill="C6D9F1"/>
          </w:tcPr>
          <w:p w:rsidR="001753C6" w:rsidRPr="00E3356D" w:rsidRDefault="001753C6" w:rsidP="00E3356D">
            <w:pPr>
              <w:pStyle w:val="Tabletext"/>
              <w:jc w:val="center"/>
              <w:rPr>
                <w:rStyle w:val="Strong"/>
              </w:rPr>
            </w:pPr>
            <w:r w:rsidRPr="00E3356D">
              <w:rPr>
                <w:rStyle w:val="Strong"/>
              </w:rPr>
              <w:t>A</w:t>
            </w:r>
          </w:p>
          <w:p w:rsidR="001753C6" w:rsidRPr="00E3356D" w:rsidRDefault="001753C6" w:rsidP="00E3356D">
            <w:pPr>
              <w:pStyle w:val="Tabletext"/>
              <w:jc w:val="center"/>
              <w:rPr>
                <w:rStyle w:val="Strong"/>
              </w:rPr>
            </w:pPr>
            <w:r w:rsidRPr="00E3356D">
              <w:rPr>
                <w:rStyle w:val="Strong"/>
              </w:rPr>
              <w:t>2014–15</w:t>
            </w:r>
          </w:p>
        </w:tc>
        <w:tc>
          <w:tcPr>
            <w:tcW w:w="1587" w:type="dxa"/>
            <w:shd w:val="solid" w:color="C6D9F1" w:fill="C6D9F1"/>
          </w:tcPr>
          <w:p w:rsidR="001753C6" w:rsidRPr="00E3356D" w:rsidRDefault="001753C6" w:rsidP="00E3356D">
            <w:pPr>
              <w:pStyle w:val="Tabletext"/>
              <w:jc w:val="center"/>
              <w:rPr>
                <w:rStyle w:val="Strong"/>
              </w:rPr>
            </w:pPr>
            <w:r w:rsidRPr="00E3356D">
              <w:rPr>
                <w:rStyle w:val="Strong"/>
              </w:rPr>
              <w:t>B</w:t>
            </w:r>
          </w:p>
          <w:p w:rsidR="001753C6" w:rsidRPr="00E3356D" w:rsidRDefault="001753C6" w:rsidP="00E3356D">
            <w:pPr>
              <w:pStyle w:val="Tabletext"/>
              <w:jc w:val="center"/>
              <w:rPr>
                <w:rStyle w:val="Strong"/>
              </w:rPr>
            </w:pPr>
            <w:r w:rsidRPr="00E3356D">
              <w:rPr>
                <w:rStyle w:val="Strong"/>
              </w:rPr>
              <w:t>2015–16</w:t>
            </w:r>
          </w:p>
        </w:tc>
        <w:tc>
          <w:tcPr>
            <w:tcW w:w="1587" w:type="dxa"/>
            <w:shd w:val="solid" w:color="C6D9F1" w:fill="C6D9F1"/>
          </w:tcPr>
          <w:p w:rsidR="001753C6" w:rsidRPr="00E3356D" w:rsidRDefault="001753C6" w:rsidP="00E3356D">
            <w:pPr>
              <w:pStyle w:val="Tabletext"/>
              <w:jc w:val="center"/>
              <w:rPr>
                <w:rStyle w:val="Strong"/>
              </w:rPr>
            </w:pPr>
            <w:r w:rsidRPr="00E3356D">
              <w:rPr>
                <w:rStyle w:val="Strong"/>
              </w:rPr>
              <w:t>C</w:t>
            </w:r>
          </w:p>
          <w:p w:rsidR="001753C6" w:rsidRPr="00E3356D" w:rsidRDefault="001753C6" w:rsidP="00E3356D">
            <w:pPr>
              <w:pStyle w:val="Tabletext"/>
              <w:jc w:val="center"/>
              <w:rPr>
                <w:rStyle w:val="Strong"/>
              </w:rPr>
            </w:pPr>
            <w:r w:rsidRPr="00E3356D">
              <w:rPr>
                <w:rStyle w:val="Strong"/>
              </w:rPr>
              <w:t>2016–17</w:t>
            </w:r>
          </w:p>
        </w:tc>
        <w:tc>
          <w:tcPr>
            <w:tcW w:w="1587" w:type="dxa"/>
            <w:shd w:val="solid" w:color="C6D9F1" w:fill="C6D9F1"/>
          </w:tcPr>
          <w:p w:rsidR="001753C6" w:rsidRPr="00E3356D" w:rsidRDefault="001753C6" w:rsidP="00E3356D">
            <w:pPr>
              <w:pStyle w:val="Tabletext"/>
              <w:jc w:val="center"/>
              <w:rPr>
                <w:rStyle w:val="Strong"/>
              </w:rPr>
            </w:pPr>
            <w:r w:rsidRPr="00E3356D">
              <w:rPr>
                <w:rStyle w:val="Strong"/>
              </w:rPr>
              <w:t>D</w:t>
            </w:r>
          </w:p>
          <w:p w:rsidR="001753C6" w:rsidRPr="00E3356D" w:rsidRDefault="001753C6" w:rsidP="00E3356D">
            <w:pPr>
              <w:pStyle w:val="Tabletext"/>
              <w:jc w:val="center"/>
              <w:rPr>
                <w:rStyle w:val="Strong"/>
              </w:rPr>
            </w:pPr>
            <w:r w:rsidRPr="00E3356D">
              <w:rPr>
                <w:rStyle w:val="Strong"/>
              </w:rPr>
              <w:t>2017–18</w:t>
            </w:r>
          </w:p>
        </w:tc>
        <w:tc>
          <w:tcPr>
            <w:tcW w:w="1356" w:type="dxa"/>
            <w:shd w:val="solid" w:color="C6D9F1" w:fill="C6D9F1"/>
          </w:tcPr>
          <w:p w:rsidR="001753C6" w:rsidRPr="00E3356D" w:rsidRDefault="001753C6" w:rsidP="00E3356D">
            <w:pPr>
              <w:pStyle w:val="Tabletext"/>
              <w:jc w:val="center"/>
              <w:rPr>
                <w:rStyle w:val="Strong"/>
              </w:rPr>
            </w:pPr>
            <w:r w:rsidRPr="00E3356D">
              <w:rPr>
                <w:rStyle w:val="Strong"/>
              </w:rPr>
              <w:t>E</w:t>
            </w:r>
          </w:p>
          <w:p w:rsidR="001753C6" w:rsidRPr="00E3356D" w:rsidRDefault="001753C6" w:rsidP="00E3356D">
            <w:pPr>
              <w:pStyle w:val="Tabletext"/>
              <w:jc w:val="center"/>
              <w:rPr>
                <w:rStyle w:val="Strong"/>
              </w:rPr>
            </w:pPr>
            <w:r w:rsidRPr="00E3356D">
              <w:rPr>
                <w:rStyle w:val="Strong"/>
              </w:rPr>
              <w:t>2018–19</w:t>
            </w:r>
          </w:p>
        </w:tc>
      </w:tr>
      <w:tr w:rsidR="001753C6" w:rsidTr="006A2A99">
        <w:trPr>
          <w:cantSplit/>
          <w:trHeight w:val="576"/>
        </w:trPr>
        <w:tc>
          <w:tcPr>
            <w:tcW w:w="1673" w:type="dxa"/>
            <w:shd w:val="clear" w:color="auto" w:fill="auto"/>
            <w:vAlign w:val="center"/>
          </w:tcPr>
          <w:p w:rsidR="001753C6" w:rsidRDefault="001753C6" w:rsidP="00E3356D">
            <w:pPr>
              <w:pStyle w:val="Tabletext"/>
            </w:pPr>
            <w:r>
              <w:t>Expenses = X</w:t>
            </w:r>
          </w:p>
        </w:tc>
        <w:tc>
          <w:tcPr>
            <w:tcW w:w="1330" w:type="dxa"/>
            <w:vAlign w:val="center"/>
          </w:tcPr>
          <w:p w:rsidR="001753C6" w:rsidRDefault="001753C6" w:rsidP="00E3356D">
            <w:pPr>
              <w:pStyle w:val="Tabletext"/>
              <w:rPr>
                <w:szCs w:val="24"/>
              </w:rPr>
            </w:pPr>
            <w:r>
              <w:rPr>
                <w:szCs w:val="24"/>
              </w:rPr>
              <w:t>$9 634 423</w:t>
            </w:r>
          </w:p>
        </w:tc>
        <w:tc>
          <w:tcPr>
            <w:tcW w:w="1587" w:type="dxa"/>
            <w:shd w:val="clear" w:color="auto" w:fill="auto"/>
            <w:vAlign w:val="center"/>
          </w:tcPr>
          <w:p w:rsidR="001753C6" w:rsidRDefault="001753C6" w:rsidP="00E3356D">
            <w:pPr>
              <w:pStyle w:val="Tabletext"/>
            </w:pPr>
            <w:r>
              <w:t>$7 351 686</w:t>
            </w:r>
          </w:p>
        </w:tc>
        <w:tc>
          <w:tcPr>
            <w:tcW w:w="1587" w:type="dxa"/>
            <w:shd w:val="clear" w:color="auto" w:fill="auto"/>
            <w:vAlign w:val="center"/>
          </w:tcPr>
          <w:p w:rsidR="001753C6" w:rsidRDefault="001753C6" w:rsidP="00E3356D">
            <w:pPr>
              <w:pStyle w:val="Tabletext"/>
            </w:pPr>
            <w:r>
              <w:t>$7 255 643</w:t>
            </w:r>
          </w:p>
        </w:tc>
        <w:tc>
          <w:tcPr>
            <w:tcW w:w="1587" w:type="dxa"/>
            <w:shd w:val="clear" w:color="auto" w:fill="auto"/>
            <w:vAlign w:val="center"/>
          </w:tcPr>
          <w:p w:rsidR="001753C6" w:rsidRDefault="001753C6" w:rsidP="00E3356D">
            <w:pPr>
              <w:pStyle w:val="Tabletext"/>
            </w:pPr>
            <w:r>
              <w:t>$7 255 643</w:t>
            </w:r>
          </w:p>
        </w:tc>
        <w:tc>
          <w:tcPr>
            <w:tcW w:w="1356" w:type="dxa"/>
            <w:shd w:val="clear" w:color="auto" w:fill="auto"/>
            <w:vAlign w:val="center"/>
          </w:tcPr>
          <w:p w:rsidR="001753C6" w:rsidRDefault="001753C6" w:rsidP="00E3356D">
            <w:pPr>
              <w:pStyle w:val="Tabletext"/>
            </w:pPr>
            <w:r>
              <w:t>$7 255 643</w:t>
            </w:r>
          </w:p>
        </w:tc>
      </w:tr>
      <w:tr w:rsidR="001753C6" w:rsidTr="006A2A99">
        <w:trPr>
          <w:cantSplit/>
          <w:trHeight w:val="576"/>
        </w:trPr>
        <w:tc>
          <w:tcPr>
            <w:tcW w:w="1673" w:type="dxa"/>
            <w:shd w:val="clear" w:color="auto" w:fill="auto"/>
            <w:vAlign w:val="center"/>
          </w:tcPr>
          <w:p w:rsidR="001753C6" w:rsidRDefault="001753C6" w:rsidP="00E3356D">
            <w:pPr>
              <w:pStyle w:val="Tabletext"/>
            </w:pPr>
            <w:r>
              <w:t>Revenue = Y</w:t>
            </w:r>
          </w:p>
        </w:tc>
        <w:tc>
          <w:tcPr>
            <w:tcW w:w="1330" w:type="dxa"/>
            <w:vAlign w:val="center"/>
          </w:tcPr>
          <w:p w:rsidR="001753C6" w:rsidRDefault="001753C6" w:rsidP="00E3356D">
            <w:pPr>
              <w:pStyle w:val="Tabletext"/>
              <w:rPr>
                <w:szCs w:val="24"/>
              </w:rPr>
            </w:pPr>
            <w:r>
              <w:rPr>
                <w:szCs w:val="24"/>
              </w:rPr>
              <w:t>$9 758 422</w:t>
            </w:r>
          </w:p>
        </w:tc>
        <w:tc>
          <w:tcPr>
            <w:tcW w:w="1587" w:type="dxa"/>
            <w:shd w:val="clear" w:color="auto" w:fill="auto"/>
            <w:vAlign w:val="center"/>
          </w:tcPr>
          <w:p w:rsidR="001753C6" w:rsidRDefault="001753C6" w:rsidP="00E3356D">
            <w:pPr>
              <w:pStyle w:val="Tabletext"/>
            </w:pPr>
            <w:r>
              <w:t>$7 396 083</w:t>
            </w:r>
          </w:p>
        </w:tc>
        <w:tc>
          <w:tcPr>
            <w:tcW w:w="1587" w:type="dxa"/>
            <w:shd w:val="clear" w:color="auto" w:fill="auto"/>
            <w:vAlign w:val="center"/>
          </w:tcPr>
          <w:p w:rsidR="001753C6" w:rsidRDefault="001753C6" w:rsidP="00E3356D">
            <w:pPr>
              <w:pStyle w:val="Tabletext"/>
            </w:pPr>
            <w:r>
              <w:t>$7 291 890</w:t>
            </w:r>
          </w:p>
        </w:tc>
        <w:tc>
          <w:tcPr>
            <w:tcW w:w="1587" w:type="dxa"/>
            <w:shd w:val="clear" w:color="auto" w:fill="auto"/>
            <w:vAlign w:val="center"/>
          </w:tcPr>
          <w:p w:rsidR="001753C6" w:rsidRDefault="001753C6" w:rsidP="00E3356D">
            <w:pPr>
              <w:pStyle w:val="Tabletext"/>
            </w:pPr>
            <w:r>
              <w:t>$7 291 890</w:t>
            </w:r>
          </w:p>
        </w:tc>
        <w:tc>
          <w:tcPr>
            <w:tcW w:w="1356" w:type="dxa"/>
            <w:shd w:val="clear" w:color="auto" w:fill="auto"/>
            <w:vAlign w:val="center"/>
          </w:tcPr>
          <w:p w:rsidR="001753C6" w:rsidRDefault="001753C6" w:rsidP="00E3356D">
            <w:pPr>
              <w:pStyle w:val="Tabletext"/>
            </w:pPr>
            <w:r>
              <w:t>$7 291 890</w:t>
            </w:r>
          </w:p>
        </w:tc>
      </w:tr>
      <w:tr w:rsidR="001753C6" w:rsidTr="006A2A99">
        <w:trPr>
          <w:cantSplit/>
          <w:trHeight w:val="458"/>
        </w:trPr>
        <w:tc>
          <w:tcPr>
            <w:tcW w:w="1673" w:type="dxa"/>
            <w:shd w:val="clear" w:color="auto" w:fill="auto"/>
            <w:vAlign w:val="center"/>
          </w:tcPr>
          <w:p w:rsidR="001753C6" w:rsidRDefault="001753C6" w:rsidP="00E3356D">
            <w:pPr>
              <w:pStyle w:val="Tabletext"/>
            </w:pPr>
            <w:r>
              <w:t>Balance = Y – X</w:t>
            </w:r>
          </w:p>
        </w:tc>
        <w:tc>
          <w:tcPr>
            <w:tcW w:w="1330" w:type="dxa"/>
            <w:vAlign w:val="center"/>
          </w:tcPr>
          <w:p w:rsidR="001753C6" w:rsidRDefault="001753C6" w:rsidP="00E3356D">
            <w:pPr>
              <w:pStyle w:val="Tabletext"/>
              <w:rPr>
                <w:szCs w:val="24"/>
              </w:rPr>
            </w:pPr>
            <w:r>
              <w:rPr>
                <w:szCs w:val="24"/>
              </w:rPr>
              <w:t>$123 999</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$44 397</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$36 247</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$36 247</w:t>
            </w:r>
          </w:p>
        </w:tc>
        <w:tc>
          <w:tcPr>
            <w:tcW w:w="1356" w:type="dxa"/>
            <w:shd w:val="clear" w:color="auto" w:fill="auto"/>
            <w:vAlign w:val="center"/>
          </w:tcPr>
          <w:p w:rsidR="001753C6" w:rsidRDefault="001753C6" w:rsidP="00E3356D">
            <w:pPr>
              <w:pStyle w:val="Tabletext"/>
              <w:rPr>
                <w:rFonts w:cs="Arial"/>
                <w:bCs/>
                <w:szCs w:val="24"/>
              </w:rPr>
            </w:pPr>
            <w:r>
              <w:rPr>
                <w:rFonts w:cs="Arial"/>
                <w:bCs/>
                <w:szCs w:val="24"/>
              </w:rPr>
              <w:t>$36 247</w:t>
            </w:r>
          </w:p>
        </w:tc>
      </w:tr>
      <w:tr w:rsidR="001753C6" w:rsidTr="006A2A99">
        <w:trPr>
          <w:cantSplit/>
          <w:trHeight w:val="458"/>
        </w:trPr>
        <w:tc>
          <w:tcPr>
            <w:tcW w:w="1673" w:type="dxa"/>
            <w:shd w:val="clear" w:color="auto" w:fill="auto"/>
            <w:vAlign w:val="center"/>
          </w:tcPr>
          <w:p w:rsidR="001753C6" w:rsidRDefault="001753C6" w:rsidP="00E3356D">
            <w:pPr>
              <w:pStyle w:val="Tabletext"/>
            </w:pPr>
            <w:r>
              <w:t>Forecast opening cost recovery reserve balance</w:t>
            </w:r>
          </w:p>
        </w:tc>
        <w:tc>
          <w:tcPr>
            <w:tcW w:w="1330" w:type="dxa"/>
            <w:vAlign w:val="center"/>
          </w:tcPr>
          <w:p w:rsidR="001753C6" w:rsidRDefault="001753C6" w:rsidP="00E3356D">
            <w:pPr>
              <w:pStyle w:val="Tabletext"/>
              <w:rPr>
                <w:rFonts w:cs="Arial"/>
                <w:bCs/>
                <w:szCs w:val="24"/>
              </w:rPr>
            </w:pPr>
            <w:r>
              <w:rPr>
                <w:rFonts w:cs="Arial"/>
                <w:bCs/>
                <w:szCs w:val="24"/>
              </w:rPr>
              <w:t>0</w:t>
            </w:r>
          </w:p>
        </w:tc>
        <w:tc>
          <w:tcPr>
            <w:tcW w:w="1587" w:type="dxa"/>
            <w:shd w:val="clear" w:color="auto" w:fill="auto"/>
            <w:vAlign w:val="center"/>
          </w:tcPr>
          <w:p w:rsidR="001753C6" w:rsidRDefault="001753C6" w:rsidP="00E3356D">
            <w:pPr>
              <w:pStyle w:val="Tabletext"/>
              <w:rPr>
                <w:rFonts w:cs="Arial"/>
                <w:bCs/>
                <w:szCs w:val="24"/>
              </w:rPr>
            </w:pPr>
            <w:r>
              <w:rPr>
                <w:szCs w:val="24"/>
              </w:rPr>
              <w:t>$123 999</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$168 396</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$204 643</w:t>
            </w:r>
          </w:p>
        </w:tc>
        <w:tc>
          <w:tcPr>
            <w:tcW w:w="1356" w:type="dxa"/>
            <w:shd w:val="clear" w:color="auto" w:fill="auto"/>
            <w:vAlign w:val="center"/>
          </w:tcPr>
          <w:p w:rsidR="001753C6" w:rsidRDefault="001753C6" w:rsidP="00E3356D">
            <w:pPr>
              <w:pStyle w:val="Tabletext"/>
              <w:rPr>
                <w:rFonts w:cs="Arial"/>
                <w:bCs/>
                <w:szCs w:val="24"/>
              </w:rPr>
            </w:pPr>
            <w:r>
              <w:rPr>
                <w:rFonts w:cs="Arial"/>
                <w:bCs/>
                <w:szCs w:val="24"/>
              </w:rPr>
              <w:t>$240 890</w:t>
            </w:r>
          </w:p>
        </w:tc>
      </w:tr>
      <w:tr w:rsidR="001753C6" w:rsidTr="006A2A99">
        <w:trPr>
          <w:cantSplit/>
          <w:trHeight w:val="458"/>
        </w:trPr>
        <w:tc>
          <w:tcPr>
            <w:tcW w:w="1673" w:type="dxa"/>
            <w:shd w:val="clear" w:color="auto" w:fill="auto"/>
            <w:vAlign w:val="center"/>
          </w:tcPr>
          <w:p w:rsidR="001753C6" w:rsidRDefault="001753C6" w:rsidP="00E3356D">
            <w:pPr>
              <w:pStyle w:val="Tabletext"/>
            </w:pPr>
            <w:r>
              <w:t>Transfer</w:t>
            </w:r>
          </w:p>
        </w:tc>
        <w:tc>
          <w:tcPr>
            <w:tcW w:w="1330" w:type="dxa"/>
            <w:vAlign w:val="center"/>
          </w:tcPr>
          <w:p w:rsidR="001753C6" w:rsidRDefault="001753C6" w:rsidP="00E3356D">
            <w:pPr>
              <w:pStyle w:val="Tabletext"/>
              <w:rPr>
                <w:szCs w:val="24"/>
              </w:rPr>
            </w:pPr>
            <w:r>
              <w:rPr>
                <w:szCs w:val="24"/>
              </w:rPr>
              <w:t>$123 999</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$44 397</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$36 247</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$36 247</w:t>
            </w:r>
          </w:p>
        </w:tc>
        <w:tc>
          <w:tcPr>
            <w:tcW w:w="1356" w:type="dxa"/>
            <w:shd w:val="clear" w:color="auto" w:fill="auto"/>
            <w:vAlign w:val="center"/>
          </w:tcPr>
          <w:p w:rsidR="001753C6" w:rsidRDefault="001753C6" w:rsidP="00E3356D">
            <w:pPr>
              <w:pStyle w:val="Tabletext"/>
              <w:rPr>
                <w:rFonts w:cs="Arial"/>
                <w:bCs/>
                <w:szCs w:val="24"/>
              </w:rPr>
            </w:pPr>
            <w:r>
              <w:rPr>
                <w:rFonts w:cs="Arial"/>
                <w:bCs/>
                <w:szCs w:val="24"/>
              </w:rPr>
              <w:t>$36 247</w:t>
            </w:r>
          </w:p>
        </w:tc>
      </w:tr>
      <w:tr w:rsidR="001753C6" w:rsidTr="006A2A99">
        <w:trPr>
          <w:cantSplit/>
          <w:trHeight w:val="359"/>
        </w:trPr>
        <w:tc>
          <w:tcPr>
            <w:tcW w:w="1673" w:type="dxa"/>
            <w:shd w:val="clear" w:color="auto" w:fill="auto"/>
            <w:vAlign w:val="center"/>
          </w:tcPr>
          <w:p w:rsidR="001753C6" w:rsidRDefault="001753C6" w:rsidP="00E3356D">
            <w:pPr>
              <w:pStyle w:val="Tabletext"/>
            </w:pPr>
            <w:r>
              <w:t>Forecast closing cost recovery reserve balance</w:t>
            </w:r>
          </w:p>
        </w:tc>
        <w:tc>
          <w:tcPr>
            <w:tcW w:w="1330" w:type="dxa"/>
            <w:vAlign w:val="center"/>
          </w:tcPr>
          <w:p w:rsidR="001753C6" w:rsidRDefault="001753C6" w:rsidP="00E3356D">
            <w:pPr>
              <w:pStyle w:val="Tabletext"/>
              <w:rPr>
                <w:szCs w:val="24"/>
              </w:rPr>
            </w:pPr>
            <w:r>
              <w:rPr>
                <w:szCs w:val="24"/>
              </w:rPr>
              <w:t>$123 999</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$168 396</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$204 643</w:t>
            </w:r>
          </w:p>
        </w:tc>
        <w:tc>
          <w:tcPr>
            <w:tcW w:w="1587" w:type="dxa"/>
            <w:shd w:val="clear" w:color="auto" w:fill="auto"/>
            <w:vAlign w:val="center"/>
          </w:tcPr>
          <w:p w:rsidR="001753C6" w:rsidRDefault="001753C6" w:rsidP="00E3356D">
            <w:pPr>
              <w:pStyle w:val="Tabletext"/>
              <w:rPr>
                <w:rFonts w:cs="Arial"/>
                <w:bCs/>
                <w:szCs w:val="24"/>
              </w:rPr>
            </w:pPr>
            <w:r>
              <w:rPr>
                <w:rFonts w:cs="Arial"/>
                <w:bCs/>
                <w:szCs w:val="24"/>
              </w:rPr>
              <w:t>$240 890</w:t>
            </w:r>
          </w:p>
        </w:tc>
        <w:tc>
          <w:tcPr>
            <w:tcW w:w="1356" w:type="dxa"/>
            <w:shd w:val="clear" w:color="auto" w:fill="auto"/>
            <w:vAlign w:val="center"/>
          </w:tcPr>
          <w:p w:rsidR="001753C6" w:rsidRDefault="001753C6" w:rsidP="00E3356D">
            <w:pPr>
              <w:pStyle w:val="Tabletext"/>
              <w:rPr>
                <w:rFonts w:cs="Arial"/>
                <w:bCs/>
                <w:szCs w:val="24"/>
              </w:rPr>
            </w:pPr>
            <w:r>
              <w:rPr>
                <w:rFonts w:cs="Arial"/>
                <w:bCs/>
                <w:szCs w:val="24"/>
              </w:rPr>
              <w:t>$277 137</w:t>
            </w:r>
          </w:p>
        </w:tc>
      </w:tr>
    </w:tbl>
    <w:p w:rsidR="002F3050" w:rsidRDefault="002F3050" w:rsidP="002F3050"/>
    <w:p w:rsidR="002F3050" w:rsidRDefault="002F3050" w:rsidP="002F3050">
      <w:pPr>
        <w:rPr>
          <w:iCs/>
        </w:rPr>
      </w:pPr>
      <w:r>
        <w:t>Materiality is applied in accordance with Public Governance, Performance and Accountability (Financial Reporting) Rule 2015 Part 2 - 7 (2), AASB 108 Accounting Policies, Changes in Accounting Estimates and Errors and AASB 101 Presentation of Financial Statements  as defined by AASB108.</w:t>
      </w:r>
    </w:p>
    <w:p w:rsidR="001753C6" w:rsidRDefault="001753C6" w:rsidP="001C7C1A">
      <w:r>
        <w:t xml:space="preserve">In line with existing industry reserves policy, the cumulative balance will remain consistent with the target range of </w:t>
      </w:r>
      <w:r w:rsidR="00B92150">
        <w:t>zero</w:t>
      </w:r>
      <w:r>
        <w:t xml:space="preserve"> </w:t>
      </w:r>
      <w:r w:rsidR="00B92150">
        <w:t>–</w:t>
      </w:r>
      <w:r>
        <w:t xml:space="preserve"> </w:t>
      </w:r>
      <w:r w:rsidR="00B92150">
        <w:t>five percent</w:t>
      </w:r>
      <w:r>
        <w:t xml:space="preserve"> of annual programme expenditure.</w:t>
      </w:r>
    </w:p>
    <w:p w:rsidR="00700994" w:rsidRDefault="00700994" w:rsidP="00E3356D">
      <w:pPr>
        <w:pStyle w:val="sourcenotesreferences"/>
      </w:pPr>
    </w:p>
    <w:p w:rsidR="001753C6" w:rsidRDefault="001753C6" w:rsidP="00E91050">
      <w:pPr>
        <w:pStyle w:val="Heading2"/>
        <w:rPr>
          <w:lang w:val="en-AU"/>
        </w:rPr>
      </w:pPr>
      <w:bookmarkStart w:id="66" w:name="_Toc425839160"/>
      <w:bookmarkStart w:id="67" w:name="_Toc433370178"/>
      <w:bookmarkEnd w:id="65"/>
      <w:r>
        <w:lastRenderedPageBreak/>
        <w:t>Performance reporting</w:t>
      </w:r>
      <w:bookmarkEnd w:id="66"/>
      <w:bookmarkEnd w:id="67"/>
    </w:p>
    <w:p w:rsidR="001753C6" w:rsidRDefault="001753C6">
      <w:pPr>
        <w:keepNext/>
        <w:keepLines/>
      </w:pPr>
      <w:r>
        <w:t>The following section presents information on the financial and non-financial performance of the live animal exports cost recovery arrangement. This is intended to provide s</w:t>
      </w:r>
      <w:r>
        <w:rPr>
          <w:rFonts w:eastAsia="Times New Roman"/>
        </w:rPr>
        <w:t xml:space="preserve">takeholders with an overview of the department’s performance in recovering forecasted revenue and meeting service delivery objectives. </w:t>
      </w:r>
    </w:p>
    <w:p w:rsidR="001753C6" w:rsidRDefault="001753C6">
      <w:pPr>
        <w:pStyle w:val="Heading3"/>
      </w:pPr>
      <w:bookmarkStart w:id="68" w:name="_Toc425839161"/>
      <w:bookmarkStart w:id="69" w:name="_Toc433370179"/>
      <w:r>
        <w:t>Financial performance</w:t>
      </w:r>
      <w:bookmarkEnd w:id="68"/>
      <w:bookmarkEnd w:id="69"/>
    </w:p>
    <w:p w:rsidR="001753C6" w:rsidRDefault="001753C6">
      <w:pPr>
        <w:keepNext/>
        <w:keepLines/>
      </w:pPr>
      <w:r>
        <w:t>Financial performance for the live animal exports arrangement from 2011</w:t>
      </w:r>
      <w:r w:rsidR="003B42C1">
        <w:t>–</w:t>
      </w:r>
      <w:r>
        <w:t xml:space="preserve">12 to 2014–15 is provided at Table 4. The 2015–16 financial year and three forward years will be updated each year as financial information becomes available. </w:t>
      </w:r>
    </w:p>
    <w:p w:rsidR="00B46F36" w:rsidRDefault="00B46F36" w:rsidP="00B46F36">
      <w:pPr>
        <w:pStyle w:val="Caption"/>
        <w:keepNext/>
      </w:pPr>
      <w:r>
        <w:t>Table 4: Financial performance—live animal exports cost recovery arrangement</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0"/>
        <w:gridCol w:w="1346"/>
        <w:gridCol w:w="1347"/>
        <w:gridCol w:w="1346"/>
        <w:gridCol w:w="1406"/>
      </w:tblGrid>
      <w:tr w:rsidR="006A2A99" w:rsidTr="00A67877">
        <w:trPr>
          <w:trHeight w:val="340"/>
          <w:jc w:val="center"/>
        </w:trPr>
        <w:tc>
          <w:tcPr>
            <w:tcW w:w="3550" w:type="dxa"/>
            <w:shd w:val="solid" w:color="DBE5F1" w:fill="C6D9F1"/>
            <w:vAlign w:val="center"/>
          </w:tcPr>
          <w:p w:rsidR="006A2A99" w:rsidRPr="00902CCD" w:rsidRDefault="006A2A99" w:rsidP="006A2A99">
            <w:pPr>
              <w:pStyle w:val="Tabletext"/>
              <w:rPr>
                <w:rStyle w:val="Strong"/>
              </w:rPr>
            </w:pPr>
            <w:r w:rsidRPr="00902CCD">
              <w:rPr>
                <w:rStyle w:val="Strong"/>
              </w:rPr>
              <w:t>Finance element</w:t>
            </w:r>
          </w:p>
        </w:tc>
        <w:tc>
          <w:tcPr>
            <w:tcW w:w="1346" w:type="dxa"/>
            <w:shd w:val="solid" w:color="DBE5F1" w:fill="C6D9F1"/>
            <w:vAlign w:val="center"/>
          </w:tcPr>
          <w:p w:rsidR="006A2A99" w:rsidRDefault="006A2A99" w:rsidP="006A2A99">
            <w:pPr>
              <w:pStyle w:val="Tabletext"/>
              <w:rPr>
                <w:sz w:val="18"/>
                <w:szCs w:val="18"/>
              </w:rPr>
            </w:pPr>
            <w:r>
              <w:rPr>
                <w:sz w:val="18"/>
                <w:szCs w:val="18"/>
              </w:rPr>
              <w:t>2011–12</w:t>
            </w:r>
          </w:p>
        </w:tc>
        <w:tc>
          <w:tcPr>
            <w:tcW w:w="1347" w:type="dxa"/>
            <w:shd w:val="solid" w:color="DBE5F1" w:fill="C6D9F1"/>
            <w:vAlign w:val="center"/>
          </w:tcPr>
          <w:p w:rsidR="006A2A99" w:rsidRDefault="006A2A99" w:rsidP="006A2A99">
            <w:pPr>
              <w:pStyle w:val="Tabletext"/>
              <w:rPr>
                <w:sz w:val="18"/>
                <w:szCs w:val="18"/>
              </w:rPr>
            </w:pPr>
            <w:r>
              <w:rPr>
                <w:sz w:val="18"/>
                <w:szCs w:val="18"/>
              </w:rPr>
              <w:t>2012–13</w:t>
            </w:r>
          </w:p>
        </w:tc>
        <w:tc>
          <w:tcPr>
            <w:tcW w:w="1346" w:type="dxa"/>
            <w:shd w:val="solid" w:color="DBE5F1" w:fill="C6D9F1"/>
            <w:vAlign w:val="center"/>
          </w:tcPr>
          <w:p w:rsidR="006A2A99" w:rsidRDefault="006A2A99" w:rsidP="006A2A99">
            <w:pPr>
              <w:pStyle w:val="Tabletext"/>
              <w:rPr>
                <w:sz w:val="18"/>
                <w:szCs w:val="18"/>
              </w:rPr>
            </w:pPr>
            <w:r>
              <w:rPr>
                <w:sz w:val="18"/>
                <w:szCs w:val="18"/>
              </w:rPr>
              <w:t>2013–14</w:t>
            </w:r>
          </w:p>
        </w:tc>
        <w:tc>
          <w:tcPr>
            <w:tcW w:w="1406" w:type="dxa"/>
            <w:shd w:val="solid" w:color="DBE5F1" w:fill="C6D9F1"/>
            <w:vAlign w:val="center"/>
          </w:tcPr>
          <w:p w:rsidR="006A2A99" w:rsidRDefault="006A2A99" w:rsidP="006A2A99">
            <w:pPr>
              <w:pStyle w:val="Tabletext"/>
              <w:rPr>
                <w:sz w:val="18"/>
                <w:szCs w:val="18"/>
              </w:rPr>
            </w:pPr>
            <w:r>
              <w:rPr>
                <w:sz w:val="18"/>
                <w:szCs w:val="18"/>
              </w:rPr>
              <w:t>2014–15</w:t>
            </w:r>
          </w:p>
        </w:tc>
      </w:tr>
      <w:tr w:rsidR="006A2A99" w:rsidTr="00A67877">
        <w:trPr>
          <w:trHeight w:val="340"/>
          <w:jc w:val="center"/>
        </w:trPr>
        <w:tc>
          <w:tcPr>
            <w:tcW w:w="3550" w:type="dxa"/>
            <w:shd w:val="clear" w:color="auto" w:fill="auto"/>
            <w:vAlign w:val="center"/>
          </w:tcPr>
          <w:p w:rsidR="006A2A99" w:rsidRDefault="006A2A99" w:rsidP="006A2A99">
            <w:pPr>
              <w:pStyle w:val="Tabletext"/>
            </w:pPr>
            <w:r>
              <w:t>Expenses = X</w:t>
            </w:r>
          </w:p>
        </w:tc>
        <w:tc>
          <w:tcPr>
            <w:tcW w:w="1346" w:type="dxa"/>
            <w:vAlign w:val="center"/>
          </w:tcPr>
          <w:p w:rsidR="006A2A99" w:rsidRDefault="006A2A99" w:rsidP="006A2A99">
            <w:pPr>
              <w:pStyle w:val="Tabletext"/>
              <w:rPr>
                <w:szCs w:val="20"/>
              </w:rPr>
            </w:pPr>
            <w:r>
              <w:rPr>
                <w:szCs w:val="20"/>
              </w:rPr>
              <w:t>$7 300 003</w:t>
            </w:r>
          </w:p>
        </w:tc>
        <w:tc>
          <w:tcPr>
            <w:tcW w:w="1347" w:type="dxa"/>
            <w:vAlign w:val="center"/>
          </w:tcPr>
          <w:p w:rsidR="006A2A99" w:rsidRDefault="006A2A99" w:rsidP="006A2A99">
            <w:pPr>
              <w:pStyle w:val="Tabletext"/>
              <w:rPr>
                <w:szCs w:val="20"/>
              </w:rPr>
            </w:pPr>
            <w:r>
              <w:rPr>
                <w:szCs w:val="20"/>
              </w:rPr>
              <w:t>$8 297 324</w:t>
            </w:r>
          </w:p>
        </w:tc>
        <w:tc>
          <w:tcPr>
            <w:tcW w:w="1346" w:type="dxa"/>
            <w:vAlign w:val="center"/>
          </w:tcPr>
          <w:p w:rsidR="006A2A99" w:rsidRDefault="006A2A99" w:rsidP="006A2A99">
            <w:pPr>
              <w:pStyle w:val="Tabletext"/>
              <w:rPr>
                <w:szCs w:val="20"/>
              </w:rPr>
            </w:pPr>
            <w:r>
              <w:rPr>
                <w:szCs w:val="20"/>
              </w:rPr>
              <w:t>$9 711 310</w:t>
            </w:r>
          </w:p>
        </w:tc>
        <w:tc>
          <w:tcPr>
            <w:tcW w:w="1406" w:type="dxa"/>
            <w:shd w:val="clear" w:color="auto" w:fill="auto"/>
            <w:vAlign w:val="center"/>
          </w:tcPr>
          <w:p w:rsidR="006A2A99" w:rsidRDefault="006A2A99" w:rsidP="006A2A99">
            <w:pPr>
              <w:pStyle w:val="Tabletext"/>
              <w:rPr>
                <w:szCs w:val="20"/>
              </w:rPr>
            </w:pPr>
            <w:r>
              <w:rPr>
                <w:szCs w:val="20"/>
              </w:rPr>
              <w:t>$9 634 423</w:t>
            </w:r>
          </w:p>
        </w:tc>
      </w:tr>
      <w:tr w:rsidR="006A2A99" w:rsidTr="00A67877">
        <w:trPr>
          <w:trHeight w:val="340"/>
          <w:jc w:val="center"/>
        </w:trPr>
        <w:tc>
          <w:tcPr>
            <w:tcW w:w="3550" w:type="dxa"/>
            <w:shd w:val="clear" w:color="auto" w:fill="auto"/>
            <w:vAlign w:val="center"/>
          </w:tcPr>
          <w:p w:rsidR="006A2A99" w:rsidRDefault="006A2A99" w:rsidP="006A2A99">
            <w:pPr>
              <w:pStyle w:val="Tabletext"/>
            </w:pPr>
            <w:r>
              <w:t>Revenue = Y</w:t>
            </w:r>
          </w:p>
        </w:tc>
        <w:tc>
          <w:tcPr>
            <w:tcW w:w="1346" w:type="dxa"/>
            <w:vAlign w:val="center"/>
          </w:tcPr>
          <w:p w:rsidR="006A2A99" w:rsidRDefault="006A2A99" w:rsidP="006A2A99">
            <w:pPr>
              <w:pStyle w:val="Tabletext"/>
              <w:rPr>
                <w:szCs w:val="20"/>
              </w:rPr>
            </w:pPr>
            <w:r>
              <w:rPr>
                <w:szCs w:val="20"/>
              </w:rPr>
              <w:t>$5 062 822</w:t>
            </w:r>
          </w:p>
        </w:tc>
        <w:tc>
          <w:tcPr>
            <w:tcW w:w="1347" w:type="dxa"/>
            <w:vAlign w:val="center"/>
          </w:tcPr>
          <w:p w:rsidR="006A2A99" w:rsidRDefault="006A2A99" w:rsidP="006A2A99">
            <w:pPr>
              <w:pStyle w:val="Tabletext"/>
              <w:rPr>
                <w:szCs w:val="20"/>
              </w:rPr>
            </w:pPr>
            <w:r>
              <w:rPr>
                <w:szCs w:val="20"/>
              </w:rPr>
              <w:t>$4 859 774</w:t>
            </w:r>
          </w:p>
        </w:tc>
        <w:tc>
          <w:tcPr>
            <w:tcW w:w="1346" w:type="dxa"/>
            <w:vAlign w:val="center"/>
          </w:tcPr>
          <w:p w:rsidR="006A2A99" w:rsidRDefault="006A2A99" w:rsidP="006A2A99">
            <w:pPr>
              <w:pStyle w:val="Tabletext"/>
              <w:rPr>
                <w:szCs w:val="20"/>
              </w:rPr>
            </w:pPr>
            <w:r>
              <w:rPr>
                <w:szCs w:val="20"/>
              </w:rPr>
              <w:t>$6 397 199</w:t>
            </w:r>
          </w:p>
        </w:tc>
        <w:tc>
          <w:tcPr>
            <w:tcW w:w="1406" w:type="dxa"/>
            <w:shd w:val="clear" w:color="auto" w:fill="auto"/>
            <w:vAlign w:val="center"/>
          </w:tcPr>
          <w:p w:rsidR="006A2A99" w:rsidRDefault="006A2A99" w:rsidP="006A2A99">
            <w:pPr>
              <w:pStyle w:val="Tabletext"/>
              <w:rPr>
                <w:szCs w:val="20"/>
              </w:rPr>
            </w:pPr>
            <w:r>
              <w:rPr>
                <w:szCs w:val="20"/>
              </w:rPr>
              <w:t>$9 758 422</w:t>
            </w:r>
          </w:p>
        </w:tc>
      </w:tr>
      <w:tr w:rsidR="006A2A99" w:rsidTr="00A67877">
        <w:trPr>
          <w:trHeight w:val="340"/>
          <w:jc w:val="center"/>
        </w:trPr>
        <w:tc>
          <w:tcPr>
            <w:tcW w:w="3550" w:type="dxa"/>
            <w:shd w:val="clear" w:color="auto" w:fill="auto"/>
            <w:vAlign w:val="center"/>
          </w:tcPr>
          <w:p w:rsidR="006A2A99" w:rsidRDefault="006A2A99" w:rsidP="006A2A99">
            <w:pPr>
              <w:pStyle w:val="Tabletext"/>
            </w:pPr>
            <w:r>
              <w:t>Balance = Y – X</w:t>
            </w:r>
          </w:p>
        </w:tc>
        <w:tc>
          <w:tcPr>
            <w:tcW w:w="1346" w:type="dxa"/>
            <w:vAlign w:val="center"/>
          </w:tcPr>
          <w:p w:rsidR="006A2A99" w:rsidRDefault="006A2A99" w:rsidP="006A2A99">
            <w:pPr>
              <w:pStyle w:val="Tabletext"/>
              <w:rPr>
                <w:szCs w:val="20"/>
              </w:rPr>
            </w:pPr>
            <w:r>
              <w:rPr>
                <w:szCs w:val="20"/>
              </w:rPr>
              <w:t>-$2 237 181</w:t>
            </w:r>
          </w:p>
        </w:tc>
        <w:tc>
          <w:tcPr>
            <w:tcW w:w="1347" w:type="dxa"/>
            <w:vAlign w:val="center"/>
          </w:tcPr>
          <w:p w:rsidR="006A2A99" w:rsidRDefault="006A2A99" w:rsidP="006A2A99">
            <w:pPr>
              <w:pStyle w:val="Tabletext"/>
              <w:rPr>
                <w:szCs w:val="20"/>
              </w:rPr>
            </w:pPr>
            <w:r>
              <w:rPr>
                <w:szCs w:val="20"/>
              </w:rPr>
              <w:t>-$3 437 550</w:t>
            </w:r>
          </w:p>
        </w:tc>
        <w:tc>
          <w:tcPr>
            <w:tcW w:w="1346" w:type="dxa"/>
            <w:vAlign w:val="center"/>
          </w:tcPr>
          <w:p w:rsidR="006A2A99" w:rsidRDefault="006A2A99" w:rsidP="006A2A99">
            <w:pPr>
              <w:pStyle w:val="Tabletext"/>
              <w:rPr>
                <w:szCs w:val="20"/>
              </w:rPr>
            </w:pPr>
            <w:r>
              <w:rPr>
                <w:szCs w:val="20"/>
              </w:rPr>
              <w:t>-$3 314 111</w:t>
            </w:r>
          </w:p>
        </w:tc>
        <w:tc>
          <w:tcPr>
            <w:tcW w:w="1406" w:type="dxa"/>
            <w:shd w:val="clear" w:color="auto" w:fill="auto"/>
            <w:vAlign w:val="center"/>
          </w:tcPr>
          <w:p w:rsidR="006A2A99" w:rsidRDefault="006A2A99" w:rsidP="006A2A99">
            <w:pPr>
              <w:pStyle w:val="Tabletext"/>
              <w:rPr>
                <w:szCs w:val="20"/>
              </w:rPr>
            </w:pPr>
            <w:r>
              <w:rPr>
                <w:szCs w:val="20"/>
              </w:rPr>
              <w:t>$123 999</w:t>
            </w:r>
          </w:p>
        </w:tc>
      </w:tr>
      <w:tr w:rsidR="006A2A99" w:rsidTr="00A67877">
        <w:trPr>
          <w:trHeight w:val="340"/>
          <w:jc w:val="center"/>
        </w:trPr>
        <w:tc>
          <w:tcPr>
            <w:tcW w:w="3550" w:type="dxa"/>
            <w:shd w:val="clear" w:color="auto" w:fill="auto"/>
            <w:vAlign w:val="center"/>
          </w:tcPr>
          <w:p w:rsidR="006A2A99" w:rsidRPr="00902CCD" w:rsidRDefault="006A2A99" w:rsidP="006A2A99">
            <w:pPr>
              <w:pStyle w:val="Tabletext"/>
              <w:rPr>
                <w:rStyle w:val="Strong"/>
              </w:rPr>
            </w:pPr>
            <w:r w:rsidRPr="00902CCD">
              <w:rPr>
                <w:rStyle w:val="Strong"/>
              </w:rPr>
              <w:t>Finance element</w:t>
            </w:r>
          </w:p>
        </w:tc>
        <w:tc>
          <w:tcPr>
            <w:tcW w:w="1346" w:type="dxa"/>
            <w:shd w:val="clear" w:color="auto" w:fill="auto"/>
            <w:vAlign w:val="center"/>
          </w:tcPr>
          <w:p w:rsidR="006A2A99" w:rsidRDefault="006A2A99" w:rsidP="006A2A99">
            <w:pPr>
              <w:pStyle w:val="Tabletext"/>
              <w:rPr>
                <w:sz w:val="16"/>
                <w:szCs w:val="16"/>
              </w:rPr>
            </w:pPr>
            <w:r>
              <w:rPr>
                <w:sz w:val="16"/>
                <w:szCs w:val="16"/>
              </w:rPr>
              <w:t>2015–16</w:t>
            </w:r>
            <w:r>
              <w:rPr>
                <w:sz w:val="16"/>
                <w:szCs w:val="16"/>
              </w:rPr>
              <w:br/>
            </w:r>
            <w:r>
              <w:rPr>
                <w:i/>
                <w:sz w:val="16"/>
                <w:szCs w:val="16"/>
              </w:rPr>
              <w:t>Updated in 2016</w:t>
            </w:r>
          </w:p>
        </w:tc>
        <w:tc>
          <w:tcPr>
            <w:tcW w:w="1347" w:type="dxa"/>
            <w:shd w:val="clear" w:color="auto" w:fill="auto"/>
            <w:vAlign w:val="center"/>
          </w:tcPr>
          <w:p w:rsidR="006A2A99" w:rsidRDefault="006A2A99" w:rsidP="006A2A99">
            <w:pPr>
              <w:pStyle w:val="Tabletext"/>
              <w:rPr>
                <w:sz w:val="16"/>
                <w:szCs w:val="16"/>
              </w:rPr>
            </w:pPr>
            <w:r>
              <w:rPr>
                <w:sz w:val="16"/>
                <w:szCs w:val="16"/>
              </w:rPr>
              <w:t>2016–17</w:t>
            </w:r>
            <w:r>
              <w:rPr>
                <w:sz w:val="16"/>
                <w:szCs w:val="16"/>
              </w:rPr>
              <w:br/>
            </w:r>
            <w:r>
              <w:rPr>
                <w:i/>
                <w:sz w:val="16"/>
                <w:szCs w:val="16"/>
              </w:rPr>
              <w:t>Updated in 2017</w:t>
            </w:r>
          </w:p>
        </w:tc>
        <w:tc>
          <w:tcPr>
            <w:tcW w:w="1346" w:type="dxa"/>
            <w:shd w:val="clear" w:color="auto" w:fill="auto"/>
            <w:vAlign w:val="center"/>
          </w:tcPr>
          <w:p w:rsidR="006A2A99" w:rsidRDefault="006A2A99" w:rsidP="006A2A99">
            <w:pPr>
              <w:pStyle w:val="Tabletext"/>
              <w:rPr>
                <w:sz w:val="16"/>
                <w:szCs w:val="16"/>
              </w:rPr>
            </w:pPr>
            <w:r>
              <w:rPr>
                <w:sz w:val="16"/>
                <w:szCs w:val="16"/>
              </w:rPr>
              <w:t>2017–18</w:t>
            </w:r>
            <w:r>
              <w:rPr>
                <w:sz w:val="16"/>
                <w:szCs w:val="16"/>
              </w:rPr>
              <w:br/>
            </w:r>
            <w:r>
              <w:rPr>
                <w:i/>
                <w:sz w:val="16"/>
                <w:szCs w:val="16"/>
              </w:rPr>
              <w:t>Updated in 2018</w:t>
            </w:r>
          </w:p>
        </w:tc>
        <w:tc>
          <w:tcPr>
            <w:tcW w:w="1406" w:type="dxa"/>
            <w:shd w:val="clear" w:color="auto" w:fill="auto"/>
            <w:vAlign w:val="center"/>
          </w:tcPr>
          <w:p w:rsidR="006A2A99" w:rsidRDefault="006A2A99" w:rsidP="006A2A99">
            <w:pPr>
              <w:pStyle w:val="Tabletext"/>
              <w:rPr>
                <w:sz w:val="16"/>
                <w:szCs w:val="16"/>
              </w:rPr>
            </w:pPr>
            <w:r>
              <w:rPr>
                <w:sz w:val="16"/>
                <w:szCs w:val="16"/>
              </w:rPr>
              <w:t>2018–19</w:t>
            </w:r>
            <w:r>
              <w:rPr>
                <w:sz w:val="16"/>
                <w:szCs w:val="16"/>
              </w:rPr>
              <w:br/>
            </w:r>
            <w:r>
              <w:rPr>
                <w:i/>
                <w:sz w:val="16"/>
                <w:szCs w:val="16"/>
              </w:rPr>
              <w:t>Updated in 2019</w:t>
            </w:r>
          </w:p>
        </w:tc>
      </w:tr>
      <w:tr w:rsidR="006A2A99" w:rsidTr="00A67877">
        <w:trPr>
          <w:trHeight w:val="340"/>
          <w:jc w:val="center"/>
        </w:trPr>
        <w:tc>
          <w:tcPr>
            <w:tcW w:w="3550" w:type="dxa"/>
            <w:shd w:val="clear" w:color="auto" w:fill="auto"/>
            <w:vAlign w:val="center"/>
          </w:tcPr>
          <w:p w:rsidR="006A2A99" w:rsidRDefault="006A2A99" w:rsidP="006A2A99">
            <w:pPr>
              <w:pStyle w:val="Tabletext"/>
            </w:pPr>
            <w:r>
              <w:t>Expenses = X</w:t>
            </w:r>
          </w:p>
        </w:tc>
        <w:tc>
          <w:tcPr>
            <w:tcW w:w="1346" w:type="dxa"/>
            <w:shd w:val="clear" w:color="auto" w:fill="auto"/>
            <w:vAlign w:val="center"/>
          </w:tcPr>
          <w:p w:rsidR="006A2A99" w:rsidRDefault="006A2A99" w:rsidP="006A2A99">
            <w:pPr>
              <w:pStyle w:val="Tabletext"/>
              <w:rPr>
                <w:rFonts w:cs="Arial"/>
                <w:sz w:val="18"/>
              </w:rPr>
            </w:pPr>
          </w:p>
        </w:tc>
        <w:tc>
          <w:tcPr>
            <w:tcW w:w="1347" w:type="dxa"/>
            <w:shd w:val="clear" w:color="auto" w:fill="auto"/>
            <w:vAlign w:val="center"/>
          </w:tcPr>
          <w:p w:rsidR="006A2A99" w:rsidRDefault="006A2A99" w:rsidP="006A2A99">
            <w:pPr>
              <w:pStyle w:val="Tabletext"/>
              <w:rPr>
                <w:rFonts w:cs="Arial"/>
                <w:sz w:val="18"/>
              </w:rPr>
            </w:pPr>
          </w:p>
        </w:tc>
        <w:tc>
          <w:tcPr>
            <w:tcW w:w="1346" w:type="dxa"/>
            <w:shd w:val="clear" w:color="auto" w:fill="auto"/>
            <w:vAlign w:val="center"/>
          </w:tcPr>
          <w:p w:rsidR="006A2A99" w:rsidRDefault="006A2A99" w:rsidP="006A2A99">
            <w:pPr>
              <w:pStyle w:val="Tabletext"/>
              <w:rPr>
                <w:rFonts w:cs="Arial"/>
                <w:sz w:val="18"/>
              </w:rPr>
            </w:pPr>
          </w:p>
        </w:tc>
        <w:tc>
          <w:tcPr>
            <w:tcW w:w="1406" w:type="dxa"/>
            <w:shd w:val="clear" w:color="auto" w:fill="auto"/>
            <w:vAlign w:val="center"/>
          </w:tcPr>
          <w:p w:rsidR="006A2A99" w:rsidRDefault="006A2A99" w:rsidP="006A2A99">
            <w:pPr>
              <w:pStyle w:val="Tabletext"/>
              <w:rPr>
                <w:rFonts w:cs="Arial"/>
                <w:sz w:val="18"/>
              </w:rPr>
            </w:pPr>
          </w:p>
        </w:tc>
      </w:tr>
      <w:tr w:rsidR="006A2A99" w:rsidTr="00A67877">
        <w:trPr>
          <w:trHeight w:val="340"/>
          <w:jc w:val="center"/>
        </w:trPr>
        <w:tc>
          <w:tcPr>
            <w:tcW w:w="3550" w:type="dxa"/>
            <w:shd w:val="clear" w:color="auto" w:fill="auto"/>
            <w:vAlign w:val="center"/>
          </w:tcPr>
          <w:p w:rsidR="006A2A99" w:rsidRDefault="006A2A99" w:rsidP="006A2A99">
            <w:pPr>
              <w:pStyle w:val="Tabletext"/>
            </w:pPr>
            <w:r>
              <w:t>Revenue = Y</w:t>
            </w:r>
          </w:p>
        </w:tc>
        <w:tc>
          <w:tcPr>
            <w:tcW w:w="1346" w:type="dxa"/>
            <w:shd w:val="clear" w:color="auto" w:fill="auto"/>
            <w:vAlign w:val="center"/>
          </w:tcPr>
          <w:p w:rsidR="006A2A99" w:rsidRDefault="006A2A99" w:rsidP="006A2A99">
            <w:pPr>
              <w:pStyle w:val="Tabletext"/>
              <w:rPr>
                <w:rFonts w:cs="Arial"/>
                <w:sz w:val="18"/>
              </w:rPr>
            </w:pPr>
          </w:p>
        </w:tc>
        <w:tc>
          <w:tcPr>
            <w:tcW w:w="1347" w:type="dxa"/>
            <w:shd w:val="clear" w:color="auto" w:fill="auto"/>
            <w:vAlign w:val="center"/>
          </w:tcPr>
          <w:p w:rsidR="006A2A99" w:rsidRDefault="006A2A99" w:rsidP="006A2A99">
            <w:pPr>
              <w:pStyle w:val="Tabletext"/>
              <w:rPr>
                <w:rFonts w:cs="Arial"/>
                <w:sz w:val="18"/>
              </w:rPr>
            </w:pPr>
          </w:p>
        </w:tc>
        <w:tc>
          <w:tcPr>
            <w:tcW w:w="1346" w:type="dxa"/>
            <w:shd w:val="clear" w:color="auto" w:fill="auto"/>
            <w:vAlign w:val="center"/>
          </w:tcPr>
          <w:p w:rsidR="006A2A99" w:rsidRDefault="006A2A99" w:rsidP="006A2A99">
            <w:pPr>
              <w:pStyle w:val="Tabletext"/>
              <w:rPr>
                <w:rFonts w:cs="Arial"/>
                <w:sz w:val="18"/>
              </w:rPr>
            </w:pPr>
          </w:p>
        </w:tc>
        <w:tc>
          <w:tcPr>
            <w:tcW w:w="1406" w:type="dxa"/>
            <w:shd w:val="clear" w:color="auto" w:fill="auto"/>
            <w:vAlign w:val="center"/>
          </w:tcPr>
          <w:p w:rsidR="006A2A99" w:rsidRDefault="006A2A99" w:rsidP="006A2A99">
            <w:pPr>
              <w:pStyle w:val="Tabletext"/>
              <w:rPr>
                <w:rFonts w:cs="Arial"/>
                <w:sz w:val="18"/>
              </w:rPr>
            </w:pPr>
          </w:p>
        </w:tc>
      </w:tr>
      <w:tr w:rsidR="006A2A99" w:rsidTr="00A67877">
        <w:trPr>
          <w:trHeight w:val="340"/>
          <w:jc w:val="center"/>
        </w:trPr>
        <w:tc>
          <w:tcPr>
            <w:tcW w:w="3550" w:type="dxa"/>
            <w:shd w:val="clear" w:color="auto" w:fill="auto"/>
            <w:vAlign w:val="center"/>
          </w:tcPr>
          <w:p w:rsidR="006A2A99" w:rsidRDefault="006A2A99" w:rsidP="006A2A99">
            <w:pPr>
              <w:pStyle w:val="Tabletext"/>
            </w:pPr>
            <w:r>
              <w:t>Balance = Y – X</w:t>
            </w:r>
          </w:p>
        </w:tc>
        <w:tc>
          <w:tcPr>
            <w:tcW w:w="1346" w:type="dxa"/>
            <w:shd w:val="clear" w:color="auto" w:fill="auto"/>
            <w:vAlign w:val="center"/>
          </w:tcPr>
          <w:p w:rsidR="006A2A99" w:rsidRDefault="006A2A99" w:rsidP="006A2A99">
            <w:pPr>
              <w:pStyle w:val="Tabletext"/>
              <w:rPr>
                <w:rFonts w:cs="Arial"/>
                <w:sz w:val="18"/>
              </w:rPr>
            </w:pPr>
          </w:p>
        </w:tc>
        <w:tc>
          <w:tcPr>
            <w:tcW w:w="1347" w:type="dxa"/>
            <w:shd w:val="clear" w:color="auto" w:fill="auto"/>
            <w:vAlign w:val="center"/>
          </w:tcPr>
          <w:p w:rsidR="006A2A99" w:rsidRDefault="006A2A99" w:rsidP="006A2A99">
            <w:pPr>
              <w:pStyle w:val="Tabletext"/>
              <w:rPr>
                <w:rFonts w:cs="Arial"/>
                <w:sz w:val="18"/>
              </w:rPr>
            </w:pPr>
          </w:p>
        </w:tc>
        <w:tc>
          <w:tcPr>
            <w:tcW w:w="1346" w:type="dxa"/>
            <w:shd w:val="clear" w:color="auto" w:fill="auto"/>
            <w:vAlign w:val="center"/>
          </w:tcPr>
          <w:p w:rsidR="006A2A99" w:rsidRDefault="006A2A99" w:rsidP="006A2A99">
            <w:pPr>
              <w:pStyle w:val="Tabletext"/>
              <w:rPr>
                <w:rFonts w:cs="Arial"/>
                <w:sz w:val="18"/>
              </w:rPr>
            </w:pPr>
          </w:p>
        </w:tc>
        <w:tc>
          <w:tcPr>
            <w:tcW w:w="1406" w:type="dxa"/>
            <w:shd w:val="clear" w:color="auto" w:fill="auto"/>
            <w:vAlign w:val="center"/>
          </w:tcPr>
          <w:p w:rsidR="006A2A99" w:rsidRDefault="006A2A99" w:rsidP="006A2A99">
            <w:pPr>
              <w:pStyle w:val="Tabletext"/>
              <w:rPr>
                <w:rFonts w:cs="Arial"/>
                <w:sz w:val="18"/>
              </w:rPr>
            </w:pPr>
          </w:p>
        </w:tc>
      </w:tr>
    </w:tbl>
    <w:p w:rsidR="006A2A99" w:rsidRDefault="006A2A99">
      <w:pPr>
        <w:keepNext/>
        <w:keepLines/>
      </w:pPr>
    </w:p>
    <w:p w:rsidR="001753C6" w:rsidRDefault="001753C6">
      <w:pPr>
        <w:pStyle w:val="Heading3"/>
      </w:pPr>
      <w:bookmarkStart w:id="70" w:name="_Toc425839162"/>
      <w:bookmarkStart w:id="71" w:name="_Toc433370180"/>
      <w:r>
        <w:t>Non-financial performance</w:t>
      </w:r>
      <w:bookmarkEnd w:id="70"/>
      <w:bookmarkEnd w:id="71"/>
      <w:r>
        <w:t xml:space="preserve"> </w:t>
      </w:r>
    </w:p>
    <w:p w:rsidR="001753C6" w:rsidRDefault="001753C6">
      <w:pPr>
        <w:keepNext/>
      </w:pPr>
      <w:r>
        <w:t xml:space="preserve">Key non-financial performance measures </w:t>
      </w:r>
      <w:r w:rsidR="00706ACB">
        <w:t xml:space="preserve">are </w:t>
      </w:r>
      <w:r>
        <w:t>available in the department’s annual report.</w:t>
      </w:r>
    </w:p>
    <w:p w:rsidR="001753C6" w:rsidRDefault="001753C6">
      <w:pPr>
        <w:pStyle w:val="Caption"/>
        <w:keepNext/>
      </w:pPr>
      <w:r>
        <w:t>Table 5: Non-financial performance— live animal exports cost recovery arrangement</w:t>
      </w:r>
    </w:p>
    <w:tbl>
      <w:tblPr>
        <w:tblW w:w="91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128"/>
        <w:gridCol w:w="1350"/>
        <w:gridCol w:w="1210"/>
        <w:gridCol w:w="1210"/>
        <w:gridCol w:w="1210"/>
        <w:gridCol w:w="1002"/>
      </w:tblGrid>
      <w:tr w:rsidR="001753C6" w:rsidTr="006A2A99">
        <w:trPr>
          <w:trHeight w:val="347"/>
          <w:tblHeader/>
          <w:jc w:val="center"/>
        </w:trPr>
        <w:tc>
          <w:tcPr>
            <w:tcW w:w="3128" w:type="dxa"/>
            <w:shd w:val="clear" w:color="auto" w:fill="C6D9F1"/>
            <w:tcMar>
              <w:top w:w="0" w:type="dxa"/>
              <w:left w:w="108" w:type="dxa"/>
              <w:bottom w:w="0" w:type="dxa"/>
              <w:right w:w="108" w:type="dxa"/>
            </w:tcMar>
            <w:vAlign w:val="center"/>
            <w:hideMark/>
          </w:tcPr>
          <w:p w:rsidR="001753C6" w:rsidRDefault="001753C6" w:rsidP="00E3356D">
            <w:pPr>
              <w:pStyle w:val="Tabletext"/>
            </w:pPr>
            <w:r>
              <w:t>KPI</w:t>
            </w:r>
          </w:p>
        </w:tc>
        <w:tc>
          <w:tcPr>
            <w:tcW w:w="1350" w:type="dxa"/>
            <w:shd w:val="clear" w:color="auto" w:fill="C6D9F1"/>
            <w:tcMar>
              <w:top w:w="0" w:type="dxa"/>
              <w:left w:w="108" w:type="dxa"/>
              <w:bottom w:w="0" w:type="dxa"/>
              <w:right w:w="108" w:type="dxa"/>
            </w:tcMar>
            <w:hideMark/>
          </w:tcPr>
          <w:p w:rsidR="001753C6" w:rsidRDefault="001753C6" w:rsidP="00E3356D">
            <w:pPr>
              <w:pStyle w:val="Tabletext"/>
              <w:rPr>
                <w:szCs w:val="20"/>
              </w:rPr>
            </w:pPr>
            <w:r>
              <w:rPr>
                <w:szCs w:val="20"/>
              </w:rPr>
              <w:t>2014–15</w:t>
            </w:r>
          </w:p>
          <w:p w:rsidR="001753C6" w:rsidRDefault="001753C6" w:rsidP="00E3356D">
            <w:pPr>
              <w:pStyle w:val="Tabletext"/>
            </w:pPr>
            <w:r>
              <w:rPr>
                <w:szCs w:val="20"/>
              </w:rPr>
              <w:t>Performance</w:t>
            </w:r>
          </w:p>
        </w:tc>
        <w:tc>
          <w:tcPr>
            <w:tcW w:w="1210" w:type="dxa"/>
            <w:shd w:val="clear" w:color="auto" w:fill="C6D9F1"/>
            <w:tcMar>
              <w:top w:w="0" w:type="dxa"/>
              <w:left w:w="108" w:type="dxa"/>
              <w:bottom w:w="0" w:type="dxa"/>
              <w:right w:w="108" w:type="dxa"/>
            </w:tcMar>
            <w:hideMark/>
          </w:tcPr>
          <w:p w:rsidR="001753C6" w:rsidRDefault="001753C6" w:rsidP="00E3356D">
            <w:pPr>
              <w:pStyle w:val="Tabletext"/>
            </w:pPr>
            <w:r>
              <w:rPr>
                <w:szCs w:val="20"/>
              </w:rPr>
              <w:t>2015–16 Target</w:t>
            </w:r>
          </w:p>
        </w:tc>
        <w:tc>
          <w:tcPr>
            <w:tcW w:w="1210" w:type="dxa"/>
            <w:shd w:val="clear" w:color="auto" w:fill="C6D9F1"/>
            <w:tcMar>
              <w:top w:w="0" w:type="dxa"/>
              <w:left w:w="108" w:type="dxa"/>
              <w:bottom w:w="0" w:type="dxa"/>
              <w:right w:w="108" w:type="dxa"/>
            </w:tcMar>
            <w:hideMark/>
          </w:tcPr>
          <w:p w:rsidR="001753C6" w:rsidRDefault="001753C6" w:rsidP="00E3356D">
            <w:pPr>
              <w:pStyle w:val="Tabletext"/>
            </w:pPr>
            <w:r>
              <w:rPr>
                <w:szCs w:val="20"/>
              </w:rPr>
              <w:t>2016–17 Target</w:t>
            </w:r>
          </w:p>
        </w:tc>
        <w:tc>
          <w:tcPr>
            <w:tcW w:w="1210" w:type="dxa"/>
            <w:shd w:val="clear" w:color="auto" w:fill="C6D9F1"/>
            <w:tcMar>
              <w:top w:w="0" w:type="dxa"/>
              <w:left w:w="108" w:type="dxa"/>
              <w:bottom w:w="0" w:type="dxa"/>
              <w:right w:w="108" w:type="dxa"/>
            </w:tcMar>
            <w:hideMark/>
          </w:tcPr>
          <w:p w:rsidR="001753C6" w:rsidRDefault="001753C6" w:rsidP="00E3356D">
            <w:pPr>
              <w:pStyle w:val="Tabletext"/>
            </w:pPr>
            <w:r>
              <w:rPr>
                <w:szCs w:val="20"/>
              </w:rPr>
              <w:t>2017–18 Target</w:t>
            </w:r>
          </w:p>
        </w:tc>
        <w:tc>
          <w:tcPr>
            <w:tcW w:w="1002" w:type="dxa"/>
            <w:shd w:val="clear" w:color="auto" w:fill="C6D9F1"/>
            <w:tcMar>
              <w:top w:w="0" w:type="dxa"/>
              <w:left w:w="108" w:type="dxa"/>
              <w:bottom w:w="0" w:type="dxa"/>
              <w:right w:w="108" w:type="dxa"/>
            </w:tcMar>
            <w:hideMark/>
          </w:tcPr>
          <w:p w:rsidR="001753C6" w:rsidRDefault="001753C6" w:rsidP="00E3356D">
            <w:pPr>
              <w:pStyle w:val="Tabletext"/>
            </w:pPr>
            <w:r>
              <w:rPr>
                <w:szCs w:val="20"/>
              </w:rPr>
              <w:t>2018–19 Target</w:t>
            </w:r>
          </w:p>
        </w:tc>
      </w:tr>
      <w:tr w:rsidR="001753C6" w:rsidTr="006A2A99">
        <w:trPr>
          <w:jc w:val="center"/>
        </w:trPr>
        <w:tc>
          <w:tcPr>
            <w:tcW w:w="3128" w:type="dxa"/>
            <w:tcMar>
              <w:top w:w="0" w:type="dxa"/>
              <w:left w:w="108" w:type="dxa"/>
              <w:bottom w:w="0" w:type="dxa"/>
              <w:right w:w="108" w:type="dxa"/>
            </w:tcMar>
            <w:hideMark/>
          </w:tcPr>
          <w:p w:rsidR="001753C6" w:rsidRDefault="001753C6" w:rsidP="00E3356D">
            <w:pPr>
              <w:pStyle w:val="Tabletext"/>
            </w:pPr>
            <w:r>
              <w:t>Markets lost as a result of failed departmental certification services</w:t>
            </w:r>
          </w:p>
        </w:tc>
        <w:tc>
          <w:tcPr>
            <w:tcW w:w="1350" w:type="dxa"/>
            <w:tcMar>
              <w:top w:w="0" w:type="dxa"/>
              <w:left w:w="108" w:type="dxa"/>
              <w:bottom w:w="0" w:type="dxa"/>
              <w:right w:w="108" w:type="dxa"/>
            </w:tcMar>
            <w:vAlign w:val="center"/>
            <w:hideMark/>
          </w:tcPr>
          <w:p w:rsidR="001753C6" w:rsidRDefault="001753C6" w:rsidP="00E3356D">
            <w:pPr>
              <w:pStyle w:val="Tabletext"/>
            </w:pPr>
            <w:r>
              <w:t>0 markets</w:t>
            </w:r>
          </w:p>
        </w:tc>
        <w:tc>
          <w:tcPr>
            <w:tcW w:w="1210" w:type="dxa"/>
            <w:tcMar>
              <w:top w:w="0" w:type="dxa"/>
              <w:left w:w="108" w:type="dxa"/>
              <w:bottom w:w="0" w:type="dxa"/>
              <w:right w:w="108" w:type="dxa"/>
            </w:tcMar>
            <w:vAlign w:val="center"/>
          </w:tcPr>
          <w:p w:rsidR="001753C6" w:rsidRDefault="001753C6" w:rsidP="00E3356D">
            <w:pPr>
              <w:pStyle w:val="Tabletext"/>
            </w:pPr>
            <w:r>
              <w:t>0 markets</w:t>
            </w:r>
          </w:p>
        </w:tc>
        <w:tc>
          <w:tcPr>
            <w:tcW w:w="1210" w:type="dxa"/>
            <w:tcMar>
              <w:top w:w="0" w:type="dxa"/>
              <w:left w:w="108" w:type="dxa"/>
              <w:bottom w:w="0" w:type="dxa"/>
              <w:right w:w="108" w:type="dxa"/>
            </w:tcMar>
            <w:vAlign w:val="center"/>
          </w:tcPr>
          <w:p w:rsidR="001753C6" w:rsidRDefault="001753C6" w:rsidP="00E3356D">
            <w:pPr>
              <w:pStyle w:val="Tabletext"/>
            </w:pPr>
            <w:r>
              <w:t>0 markets</w:t>
            </w:r>
          </w:p>
        </w:tc>
        <w:tc>
          <w:tcPr>
            <w:tcW w:w="1210" w:type="dxa"/>
            <w:tcMar>
              <w:top w:w="0" w:type="dxa"/>
              <w:left w:w="108" w:type="dxa"/>
              <w:bottom w:w="0" w:type="dxa"/>
              <w:right w:w="108" w:type="dxa"/>
            </w:tcMar>
            <w:vAlign w:val="center"/>
          </w:tcPr>
          <w:p w:rsidR="001753C6" w:rsidRDefault="001753C6" w:rsidP="00E3356D">
            <w:pPr>
              <w:pStyle w:val="Tabletext"/>
            </w:pPr>
            <w:r>
              <w:t>0 markets</w:t>
            </w:r>
          </w:p>
        </w:tc>
        <w:tc>
          <w:tcPr>
            <w:tcW w:w="1002" w:type="dxa"/>
            <w:tcMar>
              <w:top w:w="0" w:type="dxa"/>
              <w:left w:w="108" w:type="dxa"/>
              <w:bottom w:w="0" w:type="dxa"/>
              <w:right w:w="108" w:type="dxa"/>
            </w:tcMar>
            <w:vAlign w:val="center"/>
          </w:tcPr>
          <w:p w:rsidR="001753C6" w:rsidRDefault="001753C6" w:rsidP="00E3356D">
            <w:pPr>
              <w:pStyle w:val="Tabletext"/>
            </w:pPr>
            <w:r>
              <w:t>0 markets</w:t>
            </w:r>
          </w:p>
        </w:tc>
      </w:tr>
      <w:tr w:rsidR="001753C6" w:rsidTr="006A2A99">
        <w:trPr>
          <w:jc w:val="center"/>
        </w:trPr>
        <w:tc>
          <w:tcPr>
            <w:tcW w:w="3128" w:type="dxa"/>
            <w:tcMar>
              <w:top w:w="0" w:type="dxa"/>
              <w:left w:w="108" w:type="dxa"/>
              <w:bottom w:w="0" w:type="dxa"/>
              <w:right w:w="108" w:type="dxa"/>
            </w:tcMar>
          </w:tcPr>
          <w:p w:rsidR="001753C6" w:rsidRDefault="001753C6" w:rsidP="00E3356D">
            <w:pPr>
              <w:pStyle w:val="Tabletext"/>
            </w:pPr>
            <w:r>
              <w:lastRenderedPageBreak/>
              <w:t>Export consignments rejected because of failure to meet export certificate requirements.</w:t>
            </w:r>
          </w:p>
        </w:tc>
        <w:tc>
          <w:tcPr>
            <w:tcW w:w="1350" w:type="dxa"/>
            <w:tcMar>
              <w:top w:w="0" w:type="dxa"/>
              <w:left w:w="108" w:type="dxa"/>
              <w:bottom w:w="0" w:type="dxa"/>
              <w:right w:w="108" w:type="dxa"/>
            </w:tcMar>
            <w:vAlign w:val="center"/>
          </w:tcPr>
          <w:p w:rsidR="001753C6" w:rsidRDefault="001753C6" w:rsidP="00E3356D">
            <w:pPr>
              <w:pStyle w:val="Tabletext"/>
            </w:pPr>
            <w:r>
              <w:t>Less than 1%</w:t>
            </w:r>
          </w:p>
        </w:tc>
        <w:tc>
          <w:tcPr>
            <w:tcW w:w="1210" w:type="dxa"/>
            <w:tcMar>
              <w:top w:w="0" w:type="dxa"/>
              <w:left w:w="108" w:type="dxa"/>
              <w:bottom w:w="0" w:type="dxa"/>
              <w:right w:w="108" w:type="dxa"/>
            </w:tcMar>
            <w:vAlign w:val="center"/>
          </w:tcPr>
          <w:p w:rsidR="001753C6" w:rsidRDefault="001753C6" w:rsidP="00E3356D">
            <w:pPr>
              <w:pStyle w:val="Tabletext"/>
            </w:pPr>
            <w:r>
              <w:t>Less than 1%</w:t>
            </w:r>
          </w:p>
        </w:tc>
        <w:tc>
          <w:tcPr>
            <w:tcW w:w="1210" w:type="dxa"/>
            <w:tcMar>
              <w:top w:w="0" w:type="dxa"/>
              <w:left w:w="108" w:type="dxa"/>
              <w:bottom w:w="0" w:type="dxa"/>
              <w:right w:w="108" w:type="dxa"/>
            </w:tcMar>
            <w:vAlign w:val="center"/>
          </w:tcPr>
          <w:p w:rsidR="001753C6" w:rsidRDefault="001753C6" w:rsidP="00E3356D">
            <w:pPr>
              <w:pStyle w:val="Tabletext"/>
            </w:pPr>
            <w:r>
              <w:t>Less than 1%</w:t>
            </w:r>
          </w:p>
        </w:tc>
        <w:tc>
          <w:tcPr>
            <w:tcW w:w="1210" w:type="dxa"/>
            <w:tcMar>
              <w:top w:w="0" w:type="dxa"/>
              <w:left w:w="108" w:type="dxa"/>
              <w:bottom w:w="0" w:type="dxa"/>
              <w:right w:w="108" w:type="dxa"/>
            </w:tcMar>
            <w:vAlign w:val="center"/>
          </w:tcPr>
          <w:p w:rsidR="001753C6" w:rsidRDefault="001753C6" w:rsidP="00E3356D">
            <w:pPr>
              <w:pStyle w:val="Tabletext"/>
            </w:pPr>
            <w:r>
              <w:t>Less than 1%</w:t>
            </w:r>
          </w:p>
        </w:tc>
        <w:tc>
          <w:tcPr>
            <w:tcW w:w="1002" w:type="dxa"/>
            <w:tcMar>
              <w:top w:w="0" w:type="dxa"/>
              <w:left w:w="108" w:type="dxa"/>
              <w:bottom w:w="0" w:type="dxa"/>
              <w:right w:w="108" w:type="dxa"/>
            </w:tcMar>
            <w:vAlign w:val="center"/>
          </w:tcPr>
          <w:p w:rsidR="001753C6" w:rsidRDefault="001753C6" w:rsidP="00E3356D">
            <w:pPr>
              <w:pStyle w:val="Tabletext"/>
            </w:pPr>
            <w:r>
              <w:t>Less than 1%</w:t>
            </w:r>
          </w:p>
        </w:tc>
      </w:tr>
      <w:tr w:rsidR="001753C6" w:rsidTr="006A2A99">
        <w:trPr>
          <w:jc w:val="center"/>
        </w:trPr>
        <w:tc>
          <w:tcPr>
            <w:tcW w:w="3128" w:type="dxa"/>
            <w:tcMar>
              <w:top w:w="0" w:type="dxa"/>
              <w:left w:w="108" w:type="dxa"/>
              <w:bottom w:w="0" w:type="dxa"/>
              <w:right w:w="108" w:type="dxa"/>
            </w:tcMar>
            <w:hideMark/>
          </w:tcPr>
          <w:p w:rsidR="001753C6" w:rsidRDefault="001753C6" w:rsidP="00E3356D">
            <w:pPr>
              <w:pStyle w:val="Tabletext"/>
            </w:pPr>
            <w:r>
              <w:t>Issue export certification within 72 hours of export date</w:t>
            </w:r>
          </w:p>
        </w:tc>
        <w:tc>
          <w:tcPr>
            <w:tcW w:w="1350" w:type="dxa"/>
            <w:tcMar>
              <w:top w:w="0" w:type="dxa"/>
              <w:left w:w="108" w:type="dxa"/>
              <w:bottom w:w="0" w:type="dxa"/>
              <w:right w:w="108" w:type="dxa"/>
            </w:tcMar>
            <w:vAlign w:val="center"/>
            <w:hideMark/>
          </w:tcPr>
          <w:p w:rsidR="001753C6" w:rsidRDefault="001753C6" w:rsidP="00E3356D">
            <w:pPr>
              <w:pStyle w:val="Tabletext"/>
            </w:pPr>
            <w:r>
              <w:t>100%</w:t>
            </w:r>
          </w:p>
        </w:tc>
        <w:tc>
          <w:tcPr>
            <w:tcW w:w="1210" w:type="dxa"/>
            <w:tcMar>
              <w:top w:w="0" w:type="dxa"/>
              <w:left w:w="108" w:type="dxa"/>
              <w:bottom w:w="0" w:type="dxa"/>
              <w:right w:w="108" w:type="dxa"/>
            </w:tcMar>
            <w:vAlign w:val="center"/>
          </w:tcPr>
          <w:p w:rsidR="001753C6" w:rsidRDefault="001753C6" w:rsidP="00E3356D">
            <w:pPr>
              <w:pStyle w:val="Tabletext"/>
            </w:pPr>
            <w:r>
              <w:t>100%</w:t>
            </w:r>
          </w:p>
        </w:tc>
        <w:tc>
          <w:tcPr>
            <w:tcW w:w="1210" w:type="dxa"/>
            <w:tcMar>
              <w:top w:w="0" w:type="dxa"/>
              <w:left w:w="108" w:type="dxa"/>
              <w:bottom w:w="0" w:type="dxa"/>
              <w:right w:w="108" w:type="dxa"/>
            </w:tcMar>
            <w:vAlign w:val="center"/>
          </w:tcPr>
          <w:p w:rsidR="001753C6" w:rsidRDefault="001753C6" w:rsidP="00E3356D">
            <w:pPr>
              <w:pStyle w:val="Tabletext"/>
            </w:pPr>
            <w:r>
              <w:t>100%</w:t>
            </w:r>
          </w:p>
        </w:tc>
        <w:tc>
          <w:tcPr>
            <w:tcW w:w="1210" w:type="dxa"/>
            <w:tcMar>
              <w:top w:w="0" w:type="dxa"/>
              <w:left w:w="108" w:type="dxa"/>
              <w:bottom w:w="0" w:type="dxa"/>
              <w:right w:w="108" w:type="dxa"/>
            </w:tcMar>
            <w:vAlign w:val="center"/>
          </w:tcPr>
          <w:p w:rsidR="001753C6" w:rsidRDefault="001753C6" w:rsidP="00E3356D">
            <w:pPr>
              <w:pStyle w:val="Tabletext"/>
            </w:pPr>
            <w:r>
              <w:t>100%</w:t>
            </w:r>
          </w:p>
        </w:tc>
        <w:tc>
          <w:tcPr>
            <w:tcW w:w="1002" w:type="dxa"/>
            <w:tcMar>
              <w:top w:w="0" w:type="dxa"/>
              <w:left w:w="108" w:type="dxa"/>
              <w:bottom w:w="0" w:type="dxa"/>
              <w:right w:w="108" w:type="dxa"/>
            </w:tcMar>
            <w:vAlign w:val="center"/>
          </w:tcPr>
          <w:p w:rsidR="001753C6" w:rsidRDefault="001753C6" w:rsidP="00E3356D">
            <w:pPr>
              <w:pStyle w:val="Tabletext"/>
            </w:pPr>
            <w:r>
              <w:t>100%</w:t>
            </w:r>
          </w:p>
        </w:tc>
      </w:tr>
      <w:tr w:rsidR="001753C6" w:rsidTr="006A2A99">
        <w:trPr>
          <w:jc w:val="center"/>
        </w:trPr>
        <w:tc>
          <w:tcPr>
            <w:tcW w:w="3128" w:type="dxa"/>
            <w:tcMar>
              <w:top w:w="0" w:type="dxa"/>
              <w:left w:w="108" w:type="dxa"/>
              <w:bottom w:w="0" w:type="dxa"/>
              <w:right w:w="108" w:type="dxa"/>
            </w:tcMar>
            <w:hideMark/>
          </w:tcPr>
          <w:p w:rsidR="001753C6" w:rsidRDefault="001753C6" w:rsidP="00E3356D">
            <w:pPr>
              <w:pStyle w:val="Tabletext"/>
            </w:pPr>
            <w:r>
              <w:t xml:space="preserve">Engage with domestic and international stakeholders on industry issues. </w:t>
            </w:r>
          </w:p>
        </w:tc>
        <w:tc>
          <w:tcPr>
            <w:tcW w:w="1350" w:type="dxa"/>
            <w:tcMar>
              <w:top w:w="0" w:type="dxa"/>
              <w:left w:w="108" w:type="dxa"/>
              <w:bottom w:w="0" w:type="dxa"/>
              <w:right w:w="108" w:type="dxa"/>
            </w:tcMar>
            <w:vAlign w:val="center"/>
            <w:hideMark/>
          </w:tcPr>
          <w:p w:rsidR="001753C6" w:rsidRDefault="001753C6" w:rsidP="00E3356D">
            <w:pPr>
              <w:pStyle w:val="Tabletext"/>
            </w:pPr>
            <w:r>
              <w:t>5 meetings</w:t>
            </w:r>
          </w:p>
        </w:tc>
        <w:tc>
          <w:tcPr>
            <w:tcW w:w="1210" w:type="dxa"/>
            <w:tcMar>
              <w:top w:w="0" w:type="dxa"/>
              <w:left w:w="108" w:type="dxa"/>
              <w:bottom w:w="0" w:type="dxa"/>
              <w:right w:w="108" w:type="dxa"/>
            </w:tcMar>
            <w:vAlign w:val="center"/>
          </w:tcPr>
          <w:p w:rsidR="001753C6" w:rsidRDefault="001753C6" w:rsidP="00E3356D">
            <w:pPr>
              <w:pStyle w:val="Tabletext"/>
            </w:pPr>
            <w:r>
              <w:t>5 meetings</w:t>
            </w:r>
          </w:p>
        </w:tc>
        <w:tc>
          <w:tcPr>
            <w:tcW w:w="1210" w:type="dxa"/>
            <w:tcMar>
              <w:top w:w="0" w:type="dxa"/>
              <w:left w:w="108" w:type="dxa"/>
              <w:bottom w:w="0" w:type="dxa"/>
              <w:right w:w="108" w:type="dxa"/>
            </w:tcMar>
            <w:vAlign w:val="center"/>
          </w:tcPr>
          <w:p w:rsidR="001753C6" w:rsidRDefault="001753C6" w:rsidP="00E3356D">
            <w:pPr>
              <w:pStyle w:val="Tabletext"/>
            </w:pPr>
            <w:r>
              <w:t>5 meetings</w:t>
            </w:r>
          </w:p>
        </w:tc>
        <w:tc>
          <w:tcPr>
            <w:tcW w:w="1210" w:type="dxa"/>
            <w:tcMar>
              <w:top w:w="0" w:type="dxa"/>
              <w:left w:w="108" w:type="dxa"/>
              <w:bottom w:w="0" w:type="dxa"/>
              <w:right w:w="108" w:type="dxa"/>
            </w:tcMar>
            <w:vAlign w:val="center"/>
          </w:tcPr>
          <w:p w:rsidR="001753C6" w:rsidRDefault="001753C6" w:rsidP="00E3356D">
            <w:pPr>
              <w:pStyle w:val="Tabletext"/>
            </w:pPr>
            <w:r>
              <w:t>5 meetings</w:t>
            </w:r>
          </w:p>
        </w:tc>
        <w:tc>
          <w:tcPr>
            <w:tcW w:w="1002" w:type="dxa"/>
            <w:tcMar>
              <w:top w:w="0" w:type="dxa"/>
              <w:left w:w="108" w:type="dxa"/>
              <w:bottom w:w="0" w:type="dxa"/>
              <w:right w:w="108" w:type="dxa"/>
            </w:tcMar>
            <w:vAlign w:val="center"/>
          </w:tcPr>
          <w:p w:rsidR="001753C6" w:rsidRDefault="001753C6" w:rsidP="00E3356D">
            <w:pPr>
              <w:pStyle w:val="Tabletext"/>
            </w:pPr>
            <w:r>
              <w:t>5 meetings</w:t>
            </w:r>
          </w:p>
        </w:tc>
      </w:tr>
    </w:tbl>
    <w:p w:rsidR="001753C6" w:rsidRDefault="001753C6" w:rsidP="00E91050">
      <w:pPr>
        <w:pStyle w:val="Heading2"/>
      </w:pPr>
      <w:bookmarkStart w:id="72" w:name="_Toc425839163"/>
      <w:bookmarkStart w:id="73" w:name="_Toc433370181"/>
      <w:r>
        <w:lastRenderedPageBreak/>
        <w:t>Risk management</w:t>
      </w:r>
      <w:bookmarkEnd w:id="72"/>
      <w:bookmarkEnd w:id="73"/>
    </w:p>
    <w:p w:rsidR="00643212" w:rsidRDefault="00143D9D" w:rsidP="00143D9D">
      <w:r>
        <w:t xml:space="preserve">The department completed a Cost Recovery Risk Assessment (CCRA) for the redesign of its biosecurity and export certification cost recovery arrangements. The CRRA’s overall risk rating for the redesign is medium. Under the CRRA methodology, an overall rating is high if three or more predetermined criteria are categorised as high across the CRRA’s seven implementation risks. </w:t>
      </w:r>
    </w:p>
    <w:p w:rsidR="00143D9D" w:rsidRDefault="00143D9D" w:rsidP="00143D9D">
      <w:r>
        <w:t xml:space="preserve">Only two implementation risks fall into the high category: over $330 million in annual costs are to be recovered; and some activities that had not been previously cost recovered will now be cost recovered. Four implementation risks are in the medium category: the types of charges used are fees and levies, acts of Parliament enable the changes; there is a medium level of impact on payers; and that stakeholders have been consulted and have raised issues, but these issues can be addressed. One implementation risk, that the change in annual cost recovery revenue is less than 5 per cent from the current arrangements, falls in the low risk category. </w:t>
      </w:r>
    </w:p>
    <w:p w:rsidR="00143D9D" w:rsidRDefault="00143D9D" w:rsidP="00143D9D">
      <w:r>
        <w:t xml:space="preserve">The department has also considered a number of risks outside the CRRA associated with cost recovering live animal exports activities and the management of these risks (Table 6). </w:t>
      </w:r>
    </w:p>
    <w:p w:rsidR="00143D9D" w:rsidRDefault="00143D9D" w:rsidP="00143D9D">
      <w:pPr>
        <w:pStyle w:val="Caption"/>
        <w:keepNext/>
      </w:pPr>
      <w:r>
        <w:t>Table 6: Risks—live animal exports cost recovery arrangement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9"/>
        <w:gridCol w:w="6571"/>
      </w:tblGrid>
      <w:tr w:rsidR="00143D9D" w:rsidTr="00490C9D">
        <w:trPr>
          <w:tblHeader/>
        </w:trPr>
        <w:tc>
          <w:tcPr>
            <w:tcW w:w="2518" w:type="dxa"/>
            <w:tcBorders>
              <w:bottom w:val="single" w:sz="4" w:space="0" w:color="auto"/>
            </w:tcBorders>
            <w:shd w:val="solid" w:color="DBE5F1" w:fill="C6D9F1"/>
            <w:vAlign w:val="center"/>
          </w:tcPr>
          <w:p w:rsidR="00143D9D" w:rsidRDefault="00143D9D" w:rsidP="00490C9D">
            <w:pPr>
              <w:keepNext/>
              <w:jc w:val="center"/>
            </w:pPr>
            <w:r>
              <w:t xml:space="preserve">Risk </w:t>
            </w:r>
          </w:p>
        </w:tc>
        <w:tc>
          <w:tcPr>
            <w:tcW w:w="6768" w:type="dxa"/>
            <w:shd w:val="solid" w:color="DBE5F1" w:fill="C6D9F1"/>
            <w:vAlign w:val="center"/>
          </w:tcPr>
          <w:p w:rsidR="00143D9D" w:rsidRDefault="00143D9D" w:rsidP="00490C9D">
            <w:pPr>
              <w:keepNext/>
              <w:jc w:val="center"/>
            </w:pPr>
            <w:r>
              <w:t>Management</w:t>
            </w:r>
          </w:p>
        </w:tc>
      </w:tr>
      <w:tr w:rsidR="00143D9D" w:rsidTr="00490C9D">
        <w:trPr>
          <w:trHeight w:val="567"/>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43D9D" w:rsidRDefault="00143D9D" w:rsidP="00490C9D">
            <w:pPr>
              <w:keepNext/>
            </w:pPr>
            <w:r>
              <w:t>The redesigned fee</w:t>
            </w:r>
            <w:r w:rsidR="00706ACB">
              <w:t xml:space="preserve"> and levy</w:t>
            </w:r>
            <w:r>
              <w:t xml:space="preserve"> structure doesn’t support future reforms</w:t>
            </w:r>
          </w:p>
        </w:tc>
        <w:tc>
          <w:tcPr>
            <w:tcW w:w="6768" w:type="dxa"/>
            <w:tcBorders>
              <w:left w:val="single" w:sz="4" w:space="0" w:color="auto"/>
            </w:tcBorders>
            <w:shd w:val="clear" w:color="auto" w:fill="auto"/>
          </w:tcPr>
          <w:p w:rsidR="00143D9D" w:rsidRDefault="00143D9D" w:rsidP="00490C9D">
            <w:pPr>
              <w:keepNext/>
            </w:pPr>
            <w:r>
              <w:t xml:space="preserve">The fee </w:t>
            </w:r>
            <w:r w:rsidR="00706ACB">
              <w:t xml:space="preserve">and levy </w:t>
            </w:r>
            <w:r>
              <w:t xml:space="preserve">structure has been designed taking into consideration future reforms. The structure has been developed to enable it to be adapted to the proposed reforms. </w:t>
            </w:r>
          </w:p>
        </w:tc>
      </w:tr>
      <w:tr w:rsidR="00143D9D" w:rsidTr="00490C9D">
        <w:trPr>
          <w:cantSplit/>
          <w:trHeight w:val="504"/>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43D9D" w:rsidRDefault="00143D9D" w:rsidP="00490C9D">
            <w:pPr>
              <w:keepNext/>
            </w:pPr>
            <w:r>
              <w:t>Government policy changes and activities described are no longer undertaken</w:t>
            </w:r>
          </w:p>
        </w:tc>
        <w:tc>
          <w:tcPr>
            <w:tcW w:w="6768" w:type="dxa"/>
            <w:tcBorders>
              <w:left w:val="single" w:sz="4" w:space="0" w:color="auto"/>
            </w:tcBorders>
            <w:shd w:val="clear" w:color="auto" w:fill="auto"/>
          </w:tcPr>
          <w:p w:rsidR="00143D9D" w:rsidRDefault="00143D9D" w:rsidP="00490C9D">
            <w:pPr>
              <w:keepNext/>
            </w:pPr>
            <w:r>
              <w:t>Regular assessments of the arrangement will inform whether a cost recovery review is required.</w:t>
            </w:r>
          </w:p>
        </w:tc>
      </w:tr>
      <w:tr w:rsidR="00143D9D" w:rsidTr="00490C9D">
        <w:trPr>
          <w:trHeight w:val="444"/>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43D9D" w:rsidRDefault="00143D9D" w:rsidP="00490C9D">
            <w:pPr>
              <w:keepNext/>
            </w:pPr>
            <w:r>
              <w:t xml:space="preserve">Importing countries change export certification requirements- the cost of providing certification no </w:t>
            </w:r>
            <w:r>
              <w:lastRenderedPageBreak/>
              <w:t xml:space="preserve">longer reflects associated effort </w:t>
            </w:r>
          </w:p>
        </w:tc>
        <w:tc>
          <w:tcPr>
            <w:tcW w:w="6768" w:type="dxa"/>
            <w:tcBorders>
              <w:left w:val="single" w:sz="4" w:space="0" w:color="auto"/>
            </w:tcBorders>
            <w:shd w:val="clear" w:color="auto" w:fill="auto"/>
          </w:tcPr>
          <w:p w:rsidR="00143D9D" w:rsidRDefault="00143D9D" w:rsidP="00490C9D">
            <w:pPr>
              <w:keepNext/>
            </w:pPr>
            <w:r>
              <w:lastRenderedPageBreak/>
              <w:t>Regular assessments of the arrangement will inform whether a cost recovery review is required.</w:t>
            </w:r>
          </w:p>
        </w:tc>
      </w:tr>
      <w:tr w:rsidR="00143D9D" w:rsidTr="00490C9D">
        <w:trPr>
          <w:trHeight w:val="444"/>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43D9D" w:rsidRDefault="00143D9D" w:rsidP="00490C9D">
            <w:pPr>
              <w:keepNext/>
            </w:pPr>
            <w:r>
              <w:lastRenderedPageBreak/>
              <w:t>Over recovery occurs</w:t>
            </w:r>
          </w:p>
        </w:tc>
        <w:tc>
          <w:tcPr>
            <w:tcW w:w="6768" w:type="dxa"/>
            <w:tcBorders>
              <w:left w:val="single" w:sz="4" w:space="0" w:color="auto"/>
            </w:tcBorders>
            <w:shd w:val="clear" w:color="auto" w:fill="auto"/>
          </w:tcPr>
          <w:p w:rsidR="00143D9D" w:rsidRDefault="00143D9D" w:rsidP="00490C9D">
            <w:pPr>
              <w:keepNext/>
            </w:pPr>
            <w:r>
              <w:t>Subject to government approval, over recoveries may be managed through remittance, or investment initiatives.</w:t>
            </w:r>
          </w:p>
        </w:tc>
      </w:tr>
      <w:tr w:rsidR="00143D9D" w:rsidTr="00490C9D">
        <w:trPr>
          <w:trHeight w:val="444"/>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43D9D" w:rsidRDefault="00143D9D" w:rsidP="00490C9D">
            <w:pPr>
              <w:keepNext/>
            </w:pPr>
            <w:r>
              <w:t xml:space="preserve">Cost of export certification impacts on industry competitiveness. </w:t>
            </w:r>
          </w:p>
        </w:tc>
        <w:tc>
          <w:tcPr>
            <w:tcW w:w="6768" w:type="dxa"/>
            <w:tcBorders>
              <w:left w:val="single" w:sz="4" w:space="0" w:color="auto"/>
            </w:tcBorders>
            <w:shd w:val="clear" w:color="auto" w:fill="auto"/>
          </w:tcPr>
          <w:p w:rsidR="00143D9D" w:rsidRDefault="00143D9D" w:rsidP="00490C9D">
            <w:pPr>
              <w:keepNext/>
            </w:pPr>
            <w:r>
              <w:t>The department is implementing a range of reforms to deliver efficiencies in its export certification process. Analysis by ABARES shows that full recovery of the department’s export certification costs has a small impact on the value of agriculture exports—less than 0.8 percent for each of the commodities considered.</w:t>
            </w:r>
          </w:p>
        </w:tc>
      </w:tr>
    </w:tbl>
    <w:p w:rsidR="00143D9D" w:rsidRPr="00143D9D" w:rsidRDefault="00143D9D" w:rsidP="00143D9D">
      <w:pPr>
        <w:rPr>
          <w:lang w:val="x-none"/>
        </w:rPr>
      </w:pPr>
    </w:p>
    <w:p w:rsidR="001753C6" w:rsidRDefault="001753C6" w:rsidP="00E91050">
      <w:pPr>
        <w:pStyle w:val="Heading2"/>
      </w:pPr>
      <w:bookmarkStart w:id="74" w:name="_Toc425839164"/>
      <w:bookmarkStart w:id="75" w:name="_Toc433370182"/>
      <w:r>
        <w:lastRenderedPageBreak/>
        <w:t>Stakeholder engagement</w:t>
      </w:r>
      <w:bookmarkEnd w:id="74"/>
      <w:bookmarkEnd w:id="75"/>
    </w:p>
    <w:p w:rsidR="001753C6" w:rsidRDefault="001753C6">
      <w:pPr>
        <w:keepNext/>
        <w:spacing w:before="120" w:after="120"/>
      </w:pPr>
      <w:r>
        <w:t>Communication with the department’s clients has been an integral part of the redesign of all biosecurity and export cost recovery arrangements. Since September 2014, the department has consulted with over 400 individuals and organisations including through Industry Consultative Committees (ICCs).</w:t>
      </w:r>
    </w:p>
    <w:p w:rsidR="001753C6" w:rsidRDefault="001753C6">
      <w:pPr>
        <w:keepNext/>
        <w:spacing w:before="120" w:after="120"/>
      </w:pPr>
      <w:r>
        <w:rPr>
          <w:iCs/>
        </w:rPr>
        <w:t xml:space="preserve">Direct engagement on the live animal exports cost recovery arrangement has been undertaken with industry and fee payer representatives through </w:t>
      </w:r>
      <w:r>
        <w:t>the Live Animal Exports Cost Recovery Consultative Group. This consists of representatives from livestock exporters (with both sea and air exporters represented), horse exporters and transportation organisations, companion animal transport agents, avian exporters and reproductive materials exporters.</w:t>
      </w:r>
    </w:p>
    <w:p w:rsidR="001753C6" w:rsidRDefault="001753C6">
      <w:pPr>
        <w:keepNext/>
        <w:spacing w:before="120" w:after="120"/>
      </w:pPr>
      <w:r>
        <w:t>Throughout this process, industry were consulted on the harmonising of fee structures across all arrangements; standardising charging for travel; standardising operating hours; the proposed charging structure; the cost base and proposed charges.</w:t>
      </w:r>
    </w:p>
    <w:p w:rsidR="001753C6" w:rsidRDefault="001753C6">
      <w:pPr>
        <w:keepNext/>
        <w:spacing w:before="120" w:after="120"/>
      </w:pPr>
      <w:r>
        <w:t>Through representation on the consultative committee and direct correspondence with the Minster for Agriculture</w:t>
      </w:r>
      <w:r w:rsidR="009F0D1F">
        <w:t xml:space="preserve"> and Water Resources</w:t>
      </w:r>
      <w:r>
        <w:t xml:space="preserve">, industry has previously expressed concern over the inability to be able to accurately estimate export costs prior to exporting. The department has addressed this concern through the redesigned fee structure. </w:t>
      </w:r>
    </w:p>
    <w:p w:rsidR="001753C6" w:rsidRDefault="001753C6">
      <w:pPr>
        <w:spacing w:before="120" w:after="120"/>
      </w:pPr>
      <w:r>
        <w:t>After the previous price adjustment industry raised concerns about the inequality of charging different rates for the same service. The department has addressed this through standardised fees for like services and introducing levies into the live animal exports cost recovery arrangement.</w:t>
      </w:r>
    </w:p>
    <w:p w:rsidR="001753C6" w:rsidRDefault="001753C6">
      <w:r>
        <w:t>There is also a general view that the department must remain committed to the live animal exports reforms and continue to drive down its costs. Under the new cost recovery model efficiencies have already been found and the department is developing a framework to further drive optimisation of its resources.</w:t>
      </w:r>
    </w:p>
    <w:p w:rsidR="001753C6" w:rsidRDefault="001753C6">
      <w:pPr>
        <w:spacing w:before="120" w:after="120"/>
      </w:pPr>
      <w:r>
        <w:lastRenderedPageBreak/>
        <w:t>The industry committee members have been generally supportive of the new charges.  Members sought extra examples (scenarios) to help explain the potential impacts of the changes on some key exporter groups, and so additional scenarios were provided during the consultation process.</w:t>
      </w:r>
    </w:p>
    <w:p w:rsidR="001753C6" w:rsidRDefault="001753C6">
      <w:r>
        <w:t>Feedback from live animal exporters has generally been supportive of the new fees and charges—as the costs of the program are decreasing. Livestock exporters would like to see further reductions in the department’s costs in the forward years. They are also concerned about the impact of costs on small livestock exporters. Concerns have been raised however by exporters of companion animals (cats and dogs) as these fees and charges are increasing to better reflect the department’s costs of providing these activities to clients.</w:t>
      </w:r>
    </w:p>
    <w:p w:rsidR="001753C6" w:rsidRDefault="001753C6">
      <w:pPr>
        <w:spacing w:before="120" w:after="120"/>
      </w:pPr>
      <w:r>
        <w:t>Upon implementation of the new cost recovery arrangements quarterly reporting of cost recovery performance will continue to be provided to relevant consultation committees. This provides a mechanism for ongoing engagement and review of cost recovery arrangements and ensures any unintended consequences or issues are resolved in a timely manner.</w:t>
      </w:r>
    </w:p>
    <w:p w:rsidR="001753C6" w:rsidRDefault="001753C6" w:rsidP="00E91050">
      <w:pPr>
        <w:pStyle w:val="Heading2"/>
      </w:pPr>
      <w:bookmarkStart w:id="76" w:name="_Toc425839165"/>
      <w:bookmarkStart w:id="77" w:name="_Toc433370183"/>
      <w:r>
        <w:lastRenderedPageBreak/>
        <w:t>Key forward dates and events</w:t>
      </w:r>
      <w:bookmarkEnd w:id="76"/>
      <w:bookmarkEnd w:id="77"/>
    </w:p>
    <w:p w:rsidR="001753C6" w:rsidRDefault="001753C6" w:rsidP="00BA0FF9">
      <w:pPr>
        <w:pStyle w:val="Heading3"/>
      </w:pPr>
      <w:bookmarkStart w:id="78" w:name="_Toc416271324"/>
      <w:bookmarkStart w:id="79" w:name="_Toc417483213"/>
      <w:bookmarkStart w:id="80" w:name="_Toc423939512"/>
      <w:bookmarkStart w:id="81" w:name="_Toc425839166"/>
      <w:bookmarkStart w:id="82" w:name="_Toc433370184"/>
      <w:r>
        <w:t>Consultation</w:t>
      </w:r>
      <w:bookmarkEnd w:id="78"/>
      <w:bookmarkEnd w:id="79"/>
      <w:bookmarkEnd w:id="80"/>
      <w:bookmarkEnd w:id="81"/>
      <w:bookmarkEnd w:id="82"/>
    </w:p>
    <w:p w:rsidR="001753C6" w:rsidRDefault="001753C6">
      <w:pPr>
        <w:keepNext/>
      </w:pPr>
      <w:r>
        <w:t>This CRIS was built on consultation that had occurred with stakeholders since mid</w:t>
      </w:r>
      <w:r>
        <w:noBreakHyphen/>
        <w:t>2014.</w:t>
      </w:r>
    </w:p>
    <w:p w:rsidR="001753C6" w:rsidRDefault="001753C6">
      <w:pPr>
        <w:keepNext/>
      </w:pPr>
      <w:r>
        <w:t xml:space="preserve">Key dates in the </w:t>
      </w:r>
      <w:r w:rsidR="00E3356D">
        <w:t>CRIS consultation process were:</w:t>
      </w:r>
    </w:p>
    <w:p w:rsidR="001753C6" w:rsidRDefault="001753C6" w:rsidP="00E3356D">
      <w:pPr>
        <w:pStyle w:val="ListBullet"/>
      </w:pPr>
      <w:r>
        <w:t>July 2015—Consultation Draft of CRIS released</w:t>
      </w:r>
    </w:p>
    <w:p w:rsidR="001753C6" w:rsidRDefault="001753C6" w:rsidP="00E3356D">
      <w:pPr>
        <w:pStyle w:val="ListBullet"/>
      </w:pPr>
      <w:r>
        <w:t>July 2015 to August 2015—consultation with industry consultative committees and industry and public forums</w:t>
      </w:r>
    </w:p>
    <w:p w:rsidR="001753C6" w:rsidRDefault="001753C6" w:rsidP="00E3356D">
      <w:pPr>
        <w:pStyle w:val="ListBullet"/>
      </w:pPr>
      <w:r>
        <w:t>14 August 2015—deadline to provide submissions to the department on the proposed changes.</w:t>
      </w:r>
    </w:p>
    <w:p w:rsidR="001753C6" w:rsidRDefault="001753C6">
      <w:pPr>
        <w:keepNext/>
        <w:rPr>
          <w:i/>
          <w:iCs/>
        </w:rPr>
      </w:pPr>
      <w:r>
        <w:t>It is expected that the new charging arrangements will commence from 1 </w:t>
      </w:r>
      <w:r w:rsidR="00540034">
        <w:t>Dec</w:t>
      </w:r>
      <w:r>
        <w:t>ember 2015.</w:t>
      </w:r>
    </w:p>
    <w:p w:rsidR="001753C6" w:rsidRDefault="001753C6" w:rsidP="00925AAD">
      <w:pPr>
        <w:pStyle w:val="Heading3"/>
      </w:pPr>
      <w:bookmarkStart w:id="83" w:name="_Toc416271325"/>
      <w:bookmarkStart w:id="84" w:name="_Toc417483214"/>
      <w:bookmarkStart w:id="85" w:name="_Toc423939513"/>
      <w:bookmarkStart w:id="86" w:name="_Toc425839167"/>
      <w:bookmarkStart w:id="87" w:name="_Toc433370185"/>
      <w:r>
        <w:t>CRIS approval process</w:t>
      </w:r>
      <w:bookmarkEnd w:id="83"/>
      <w:bookmarkEnd w:id="84"/>
      <w:r>
        <w:t xml:space="preserve"> and change register</w:t>
      </w:r>
      <w:bookmarkEnd w:id="85"/>
      <w:bookmarkEnd w:id="86"/>
      <w:bookmarkEnd w:id="87"/>
    </w:p>
    <w:p w:rsidR="001753C6" w:rsidRDefault="001753C6">
      <w:pPr>
        <w:keepNext/>
      </w:pPr>
      <w:r>
        <w:t xml:space="preserve">The department considered stakeholder feedback when preparing this final CRIS. This CRIS was certified by the secretary of the department before being presented to the Minister for Agriculture </w:t>
      </w:r>
      <w:r w:rsidR="009F0D1F">
        <w:t xml:space="preserve">and Water Resources </w:t>
      </w:r>
      <w:r>
        <w:t>for approval and the Minister for Finance for agreement. This CRIS was published on the department’s website in late 2015. The CRIS will be reviewed annually as recommended by the Department of Finance.</w:t>
      </w:r>
    </w:p>
    <w:p w:rsidR="00706ACB" w:rsidRDefault="00706ACB">
      <w:pPr>
        <w:keepNext/>
      </w:pPr>
      <w:r>
        <w:t>Table 7 will provide a record of future changes and updates to this CRIS.</w:t>
      </w:r>
    </w:p>
    <w:p w:rsidR="001753C6" w:rsidRDefault="001753C6">
      <w:pPr>
        <w:pStyle w:val="Caption"/>
        <w:keepNext/>
      </w:pPr>
      <w:r>
        <w:t>Table 7: Change register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249"/>
        <w:gridCol w:w="2390"/>
        <w:gridCol w:w="2531"/>
      </w:tblGrid>
      <w:tr w:rsidR="001753C6">
        <w:trPr>
          <w:trHeight w:val="794"/>
          <w:tblHeader/>
        </w:trPr>
        <w:tc>
          <w:tcPr>
            <w:tcW w:w="1043" w:type="pct"/>
            <w:shd w:val="solid" w:color="DBE5F1" w:fill="C6D9F1"/>
            <w:vAlign w:val="center"/>
          </w:tcPr>
          <w:p w:rsidR="001753C6" w:rsidRDefault="001753C6">
            <w:pPr>
              <w:keepNext/>
              <w:jc w:val="center"/>
            </w:pPr>
            <w:r>
              <w:t>Date of CRIS change</w:t>
            </w:r>
          </w:p>
        </w:tc>
        <w:tc>
          <w:tcPr>
            <w:tcW w:w="1241" w:type="pct"/>
            <w:shd w:val="solid" w:color="DBE5F1" w:fill="C6D9F1"/>
            <w:vAlign w:val="center"/>
          </w:tcPr>
          <w:p w:rsidR="001753C6" w:rsidRDefault="001753C6">
            <w:pPr>
              <w:keepNext/>
              <w:jc w:val="center"/>
            </w:pPr>
            <w:r>
              <w:t>CRIS change</w:t>
            </w:r>
          </w:p>
        </w:tc>
        <w:tc>
          <w:tcPr>
            <w:tcW w:w="1319" w:type="pct"/>
            <w:shd w:val="solid" w:color="DBE5F1" w:fill="C6D9F1"/>
            <w:vAlign w:val="center"/>
          </w:tcPr>
          <w:p w:rsidR="001753C6" w:rsidRDefault="001753C6">
            <w:pPr>
              <w:keepNext/>
              <w:jc w:val="center"/>
            </w:pPr>
            <w:r>
              <w:t>Approver</w:t>
            </w:r>
          </w:p>
        </w:tc>
        <w:tc>
          <w:tcPr>
            <w:tcW w:w="1397" w:type="pct"/>
            <w:shd w:val="solid" w:color="DBE5F1" w:fill="C6D9F1"/>
            <w:vAlign w:val="center"/>
          </w:tcPr>
          <w:p w:rsidR="001753C6" w:rsidRDefault="001753C6">
            <w:pPr>
              <w:keepNext/>
              <w:jc w:val="center"/>
            </w:pPr>
            <w:r>
              <w:t>Basis for change</w:t>
            </w:r>
          </w:p>
        </w:tc>
      </w:tr>
      <w:tr w:rsidR="001753C6" w:rsidRPr="001B5657">
        <w:tc>
          <w:tcPr>
            <w:tcW w:w="1043" w:type="pct"/>
            <w:shd w:val="clear" w:color="auto" w:fill="auto"/>
            <w:vAlign w:val="center"/>
          </w:tcPr>
          <w:p w:rsidR="001753C6" w:rsidRPr="001B5657" w:rsidRDefault="001753C6" w:rsidP="001B5657">
            <w:pPr>
              <w:keepNext/>
              <w:jc w:val="center"/>
              <w:rPr>
                <w:sz w:val="20"/>
                <w:szCs w:val="20"/>
              </w:rPr>
            </w:pPr>
          </w:p>
        </w:tc>
        <w:tc>
          <w:tcPr>
            <w:tcW w:w="1241" w:type="pct"/>
            <w:shd w:val="clear" w:color="auto" w:fill="auto"/>
            <w:vAlign w:val="center"/>
          </w:tcPr>
          <w:p w:rsidR="001753C6" w:rsidRPr="001B5657" w:rsidRDefault="001753C6">
            <w:pPr>
              <w:keepNext/>
              <w:jc w:val="center"/>
              <w:rPr>
                <w:sz w:val="20"/>
                <w:szCs w:val="20"/>
              </w:rPr>
            </w:pPr>
          </w:p>
        </w:tc>
        <w:tc>
          <w:tcPr>
            <w:tcW w:w="1319" w:type="pct"/>
            <w:shd w:val="clear" w:color="auto" w:fill="auto"/>
            <w:vAlign w:val="center"/>
          </w:tcPr>
          <w:p w:rsidR="001753C6" w:rsidRPr="001B5657" w:rsidRDefault="001753C6">
            <w:pPr>
              <w:keepNext/>
              <w:jc w:val="center"/>
              <w:rPr>
                <w:sz w:val="20"/>
                <w:szCs w:val="20"/>
              </w:rPr>
            </w:pPr>
          </w:p>
        </w:tc>
        <w:tc>
          <w:tcPr>
            <w:tcW w:w="1397" w:type="pct"/>
            <w:shd w:val="clear" w:color="auto" w:fill="auto"/>
            <w:vAlign w:val="center"/>
          </w:tcPr>
          <w:p w:rsidR="001753C6" w:rsidRPr="001B5657" w:rsidRDefault="001753C6">
            <w:pPr>
              <w:keepNext/>
              <w:jc w:val="center"/>
              <w:rPr>
                <w:sz w:val="20"/>
                <w:szCs w:val="20"/>
              </w:rPr>
            </w:pPr>
          </w:p>
        </w:tc>
      </w:tr>
    </w:tbl>
    <w:p w:rsidR="001753C6" w:rsidRDefault="001753C6" w:rsidP="00BA0FF9">
      <w:pPr>
        <w:pStyle w:val="Heading2"/>
        <w:numPr>
          <w:ilvl w:val="0"/>
          <w:numId w:val="0"/>
        </w:numPr>
        <w:ind w:left="964" w:hanging="964"/>
      </w:pPr>
      <w:bookmarkStart w:id="88" w:name="_Toc425839168"/>
      <w:bookmarkStart w:id="89" w:name="_Toc433370186"/>
      <w:r>
        <w:lastRenderedPageBreak/>
        <w:t>Attachment A — Fees and Levies</w:t>
      </w:r>
      <w:bookmarkEnd w:id="88"/>
      <w:bookmarkEnd w:id="89"/>
    </w:p>
    <w:p w:rsidR="001753C6" w:rsidRDefault="001753C6">
      <w:pPr>
        <w:pStyle w:val="Caption"/>
        <w:keepNext/>
      </w:pPr>
      <w:r>
        <w:t>Table 8: Fees</w:t>
      </w:r>
      <w:r w:rsidR="00F96CA2">
        <w:t>,</w:t>
      </w:r>
      <w:r>
        <w:t xml:space="preserve"> levies and volumes—live animal exports cost recovery arrangement (2015–16)</w:t>
      </w: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960"/>
        <w:gridCol w:w="1320"/>
        <w:gridCol w:w="1560"/>
        <w:gridCol w:w="1320"/>
        <w:gridCol w:w="1440"/>
      </w:tblGrid>
      <w:tr w:rsidR="001753C6" w:rsidRPr="00BA0FF9" w:rsidTr="006A2A99">
        <w:trPr>
          <w:trHeight w:val="453"/>
          <w:tblHeader/>
        </w:trPr>
        <w:tc>
          <w:tcPr>
            <w:tcW w:w="2515" w:type="dxa"/>
            <w:shd w:val="clear" w:color="auto" w:fill="C6D9F1"/>
            <w:vAlign w:val="center"/>
          </w:tcPr>
          <w:p w:rsidR="001753C6" w:rsidRPr="00BA0FF9" w:rsidRDefault="001753C6" w:rsidP="00BA0FF9">
            <w:pPr>
              <w:pStyle w:val="Tabletext"/>
              <w:rPr>
                <w:rStyle w:val="Strong"/>
              </w:rPr>
            </w:pPr>
            <w:r w:rsidRPr="00BA0FF9">
              <w:rPr>
                <w:rStyle w:val="Strong"/>
              </w:rPr>
              <w:t>Charge title</w:t>
            </w:r>
          </w:p>
        </w:tc>
        <w:tc>
          <w:tcPr>
            <w:tcW w:w="960" w:type="dxa"/>
            <w:shd w:val="clear" w:color="auto" w:fill="C6D9F1"/>
            <w:vAlign w:val="center"/>
          </w:tcPr>
          <w:p w:rsidR="001753C6" w:rsidRPr="00BA0FF9" w:rsidRDefault="001753C6" w:rsidP="00BA0FF9">
            <w:pPr>
              <w:pStyle w:val="Tabletext"/>
              <w:rPr>
                <w:rStyle w:val="Strong"/>
              </w:rPr>
            </w:pPr>
            <w:r w:rsidRPr="00BA0FF9">
              <w:rPr>
                <w:rStyle w:val="Strong"/>
              </w:rPr>
              <w:t>Type</w:t>
            </w:r>
          </w:p>
        </w:tc>
        <w:tc>
          <w:tcPr>
            <w:tcW w:w="1320" w:type="dxa"/>
            <w:shd w:val="clear" w:color="auto" w:fill="C6D9F1"/>
            <w:vAlign w:val="center"/>
          </w:tcPr>
          <w:p w:rsidR="001753C6" w:rsidRPr="00BA0FF9" w:rsidRDefault="001753C6" w:rsidP="00BA0FF9">
            <w:pPr>
              <w:pStyle w:val="Tabletext"/>
              <w:rPr>
                <w:rStyle w:val="Strong"/>
              </w:rPr>
            </w:pPr>
            <w:r w:rsidRPr="00BA0FF9">
              <w:rPr>
                <w:rStyle w:val="Strong"/>
              </w:rPr>
              <w:t>Rate</w:t>
            </w:r>
          </w:p>
        </w:tc>
        <w:tc>
          <w:tcPr>
            <w:tcW w:w="1560" w:type="dxa"/>
            <w:shd w:val="clear" w:color="auto" w:fill="C6D9F1"/>
            <w:vAlign w:val="center"/>
          </w:tcPr>
          <w:p w:rsidR="001753C6" w:rsidRPr="00BA0FF9" w:rsidRDefault="001753C6" w:rsidP="00BA0FF9">
            <w:pPr>
              <w:pStyle w:val="Tabletext"/>
              <w:rPr>
                <w:rStyle w:val="Strong"/>
              </w:rPr>
            </w:pPr>
            <w:r w:rsidRPr="00BA0FF9">
              <w:rPr>
                <w:rStyle w:val="Strong"/>
              </w:rPr>
              <w:t>Unit</w:t>
            </w:r>
          </w:p>
        </w:tc>
        <w:tc>
          <w:tcPr>
            <w:tcW w:w="1320" w:type="dxa"/>
            <w:shd w:val="clear" w:color="auto" w:fill="C6D9F1"/>
            <w:vAlign w:val="center"/>
          </w:tcPr>
          <w:p w:rsidR="001753C6" w:rsidRPr="00BA0FF9" w:rsidRDefault="001753C6" w:rsidP="00BA0FF9">
            <w:pPr>
              <w:pStyle w:val="Tabletext"/>
              <w:rPr>
                <w:rStyle w:val="Strong"/>
              </w:rPr>
            </w:pPr>
            <w:r w:rsidRPr="00BA0FF9">
              <w:rPr>
                <w:rStyle w:val="Strong"/>
              </w:rPr>
              <w:t>Estimated volume</w:t>
            </w:r>
          </w:p>
        </w:tc>
        <w:tc>
          <w:tcPr>
            <w:tcW w:w="1440" w:type="dxa"/>
            <w:shd w:val="clear" w:color="auto" w:fill="C6D9F1"/>
            <w:vAlign w:val="center"/>
          </w:tcPr>
          <w:p w:rsidR="001753C6" w:rsidRPr="00BA0FF9" w:rsidRDefault="001753C6" w:rsidP="00BA0FF9">
            <w:pPr>
              <w:pStyle w:val="Tabletext"/>
              <w:rPr>
                <w:rStyle w:val="Strong"/>
              </w:rPr>
            </w:pPr>
            <w:r w:rsidRPr="00BA0FF9">
              <w:rPr>
                <w:rStyle w:val="Strong"/>
              </w:rPr>
              <w:t>Estimated total revenue</w:t>
            </w:r>
          </w:p>
        </w:tc>
      </w:tr>
      <w:tr w:rsidR="001753C6" w:rsidRPr="00BA0FF9" w:rsidTr="006A2A99">
        <w:trPr>
          <w:cantSplit/>
          <w:trHeight w:val="510"/>
        </w:trPr>
        <w:tc>
          <w:tcPr>
            <w:tcW w:w="2515" w:type="dxa"/>
            <w:shd w:val="clear" w:color="auto" w:fill="DBE5F1"/>
            <w:vAlign w:val="center"/>
          </w:tcPr>
          <w:p w:rsidR="001753C6" w:rsidRPr="00BA0FF9" w:rsidRDefault="001753C6" w:rsidP="00BA0FF9">
            <w:pPr>
              <w:pStyle w:val="Tabletext"/>
              <w:rPr>
                <w:rStyle w:val="Strong"/>
              </w:rPr>
            </w:pPr>
            <w:r w:rsidRPr="00BA0FF9">
              <w:rPr>
                <w:rStyle w:val="Strong"/>
              </w:rPr>
              <w:t>Levies</w:t>
            </w:r>
          </w:p>
        </w:tc>
        <w:tc>
          <w:tcPr>
            <w:tcW w:w="960" w:type="dxa"/>
            <w:shd w:val="clear" w:color="auto" w:fill="DBE5F1"/>
            <w:vAlign w:val="center"/>
          </w:tcPr>
          <w:p w:rsidR="001753C6" w:rsidRPr="00BA0FF9" w:rsidRDefault="001753C6" w:rsidP="00BA0FF9">
            <w:pPr>
              <w:pStyle w:val="Tabletext"/>
              <w:rPr>
                <w:rStyle w:val="Strong"/>
              </w:rPr>
            </w:pPr>
            <w:r w:rsidRPr="00BA0FF9">
              <w:rPr>
                <w:rStyle w:val="Strong"/>
              </w:rPr>
              <w:t>Type</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Rate</w:t>
            </w:r>
          </w:p>
        </w:tc>
        <w:tc>
          <w:tcPr>
            <w:tcW w:w="1560" w:type="dxa"/>
            <w:shd w:val="clear" w:color="auto" w:fill="DBE5F1"/>
            <w:vAlign w:val="center"/>
          </w:tcPr>
          <w:p w:rsidR="001753C6" w:rsidRPr="00BA0FF9" w:rsidRDefault="001753C6" w:rsidP="00BA0FF9">
            <w:pPr>
              <w:pStyle w:val="Tabletext"/>
              <w:rPr>
                <w:rStyle w:val="Strong"/>
              </w:rPr>
            </w:pPr>
            <w:r w:rsidRPr="00BA0FF9">
              <w:rPr>
                <w:rStyle w:val="Strong"/>
              </w:rPr>
              <w:t>Unit</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Estimated volume</w:t>
            </w:r>
          </w:p>
        </w:tc>
        <w:tc>
          <w:tcPr>
            <w:tcW w:w="1440" w:type="dxa"/>
            <w:shd w:val="clear" w:color="auto" w:fill="DBE5F1"/>
            <w:vAlign w:val="center"/>
          </w:tcPr>
          <w:p w:rsidR="001753C6" w:rsidRPr="00BA0FF9" w:rsidRDefault="001753C6" w:rsidP="00BA0FF9">
            <w:pPr>
              <w:pStyle w:val="Tabletext"/>
              <w:rPr>
                <w:rStyle w:val="Strong"/>
              </w:rPr>
            </w:pPr>
            <w:r w:rsidRPr="00BA0FF9">
              <w:rPr>
                <w:rStyle w:val="Strong"/>
              </w:rPr>
              <w:t>Estimated total revenue</w:t>
            </w:r>
          </w:p>
        </w:tc>
      </w:tr>
      <w:tr w:rsidR="001753C6" w:rsidTr="006A2A99">
        <w:trPr>
          <w:cantSplit/>
          <w:trHeight w:val="510"/>
        </w:trPr>
        <w:tc>
          <w:tcPr>
            <w:tcW w:w="2515" w:type="dxa"/>
            <w:shd w:val="clear" w:color="auto" w:fill="auto"/>
            <w:vAlign w:val="center"/>
          </w:tcPr>
          <w:p w:rsidR="001753C6" w:rsidRDefault="001753C6" w:rsidP="00BA0FF9">
            <w:pPr>
              <w:pStyle w:val="Tabletext"/>
              <w:rPr>
                <w:rFonts w:cs="Arial"/>
              </w:rPr>
            </w:pPr>
            <w:r>
              <w:rPr>
                <w:rFonts w:cs="Arial"/>
              </w:rPr>
              <w:t>Approved Arrangement</w:t>
            </w:r>
            <w:r>
              <w:rPr>
                <w:rFonts w:cs="Arial"/>
                <w:vertAlign w:val="superscript"/>
              </w:rPr>
              <w:t xml:space="preserve"> 1</w:t>
            </w:r>
            <w:r>
              <w:rPr>
                <w:rFonts w:cs="Arial"/>
              </w:rPr>
              <w:br/>
              <w:t>(air)</w:t>
            </w:r>
          </w:p>
        </w:tc>
        <w:tc>
          <w:tcPr>
            <w:tcW w:w="960" w:type="dxa"/>
            <w:shd w:val="clear" w:color="auto" w:fill="auto"/>
            <w:vAlign w:val="center"/>
          </w:tcPr>
          <w:p w:rsidR="001753C6" w:rsidRDefault="001753C6" w:rsidP="00BA0FF9">
            <w:pPr>
              <w:pStyle w:val="Tabletext"/>
            </w:pPr>
            <w:r>
              <w:t>Levy</w:t>
            </w:r>
          </w:p>
        </w:tc>
        <w:tc>
          <w:tcPr>
            <w:tcW w:w="1320" w:type="dxa"/>
            <w:shd w:val="clear" w:color="auto" w:fill="auto"/>
            <w:vAlign w:val="center"/>
          </w:tcPr>
          <w:p w:rsidR="001753C6" w:rsidRDefault="001753C6" w:rsidP="00BA0FF9">
            <w:pPr>
              <w:pStyle w:val="Tabletext"/>
              <w:rPr>
                <w:rFonts w:cs="Arial"/>
              </w:rPr>
            </w:pPr>
            <w:r>
              <w:rPr>
                <w:rFonts w:cs="Arial"/>
              </w:rPr>
              <w:t xml:space="preserve">$10 000 </w:t>
            </w:r>
          </w:p>
        </w:tc>
        <w:tc>
          <w:tcPr>
            <w:tcW w:w="1560" w:type="dxa"/>
            <w:shd w:val="clear" w:color="auto" w:fill="auto"/>
            <w:vAlign w:val="center"/>
          </w:tcPr>
          <w:p w:rsidR="001753C6" w:rsidRDefault="001753C6" w:rsidP="00BA0FF9">
            <w:pPr>
              <w:pStyle w:val="Tabletext"/>
              <w:rPr>
                <w:rFonts w:cs="Arial"/>
              </w:rPr>
            </w:pPr>
            <w:r>
              <w:rPr>
                <w:rFonts w:cs="Arial"/>
              </w:rPr>
              <w:t>Annual</w:t>
            </w:r>
          </w:p>
        </w:tc>
        <w:tc>
          <w:tcPr>
            <w:tcW w:w="1320" w:type="dxa"/>
            <w:vAlign w:val="center"/>
          </w:tcPr>
          <w:p w:rsidR="001753C6" w:rsidRDefault="001753C6" w:rsidP="00BA0FF9">
            <w:pPr>
              <w:pStyle w:val="Tabletext"/>
              <w:rPr>
                <w:rFonts w:cs="Arial"/>
              </w:rPr>
            </w:pPr>
            <w:r>
              <w:rPr>
                <w:rFonts w:cs="Arial"/>
              </w:rPr>
              <w:t xml:space="preserve">18 </w:t>
            </w:r>
          </w:p>
        </w:tc>
        <w:tc>
          <w:tcPr>
            <w:tcW w:w="1440" w:type="dxa"/>
            <w:vAlign w:val="center"/>
          </w:tcPr>
          <w:p w:rsidR="001753C6" w:rsidRDefault="001753C6" w:rsidP="00BA0FF9">
            <w:pPr>
              <w:pStyle w:val="Tabletext"/>
              <w:rPr>
                <w:rFonts w:cs="Arial"/>
              </w:rPr>
            </w:pPr>
            <w:r>
              <w:rPr>
                <w:rFonts w:cs="Arial"/>
              </w:rPr>
              <w:t xml:space="preserve">180 000 </w:t>
            </w:r>
          </w:p>
        </w:tc>
      </w:tr>
      <w:tr w:rsidR="001753C6" w:rsidTr="006A2A99">
        <w:trPr>
          <w:cantSplit/>
          <w:trHeight w:val="510"/>
        </w:trPr>
        <w:tc>
          <w:tcPr>
            <w:tcW w:w="2515" w:type="dxa"/>
            <w:shd w:val="clear" w:color="auto" w:fill="auto"/>
            <w:vAlign w:val="center"/>
          </w:tcPr>
          <w:p w:rsidR="001753C6" w:rsidRDefault="001753C6" w:rsidP="00BA0FF9">
            <w:pPr>
              <w:pStyle w:val="Tabletext"/>
              <w:rPr>
                <w:rFonts w:cs="Arial"/>
              </w:rPr>
            </w:pPr>
            <w:r>
              <w:rPr>
                <w:rFonts w:cs="Arial"/>
              </w:rPr>
              <w:t xml:space="preserve">Approved Arrangement </w:t>
            </w:r>
            <w:r>
              <w:rPr>
                <w:rFonts w:cs="Arial"/>
                <w:vertAlign w:val="superscript"/>
              </w:rPr>
              <w:t>2</w:t>
            </w:r>
            <w:r>
              <w:rPr>
                <w:rFonts w:cs="Arial"/>
              </w:rPr>
              <w:br/>
              <w:t>(sea)</w:t>
            </w:r>
          </w:p>
        </w:tc>
        <w:tc>
          <w:tcPr>
            <w:tcW w:w="960" w:type="dxa"/>
            <w:shd w:val="clear" w:color="auto" w:fill="auto"/>
            <w:vAlign w:val="center"/>
          </w:tcPr>
          <w:p w:rsidR="001753C6" w:rsidRDefault="001753C6" w:rsidP="00BA0FF9">
            <w:pPr>
              <w:pStyle w:val="Tabletext"/>
            </w:pPr>
            <w:r>
              <w:t>Levy</w:t>
            </w:r>
          </w:p>
        </w:tc>
        <w:tc>
          <w:tcPr>
            <w:tcW w:w="1320" w:type="dxa"/>
            <w:shd w:val="clear" w:color="auto" w:fill="auto"/>
            <w:vAlign w:val="center"/>
          </w:tcPr>
          <w:p w:rsidR="001753C6" w:rsidRDefault="001753C6" w:rsidP="00BA0FF9">
            <w:pPr>
              <w:pStyle w:val="Tabletext"/>
              <w:rPr>
                <w:rFonts w:cs="Arial"/>
              </w:rPr>
            </w:pPr>
            <w:r>
              <w:rPr>
                <w:rFonts w:cs="Arial"/>
              </w:rPr>
              <w:t xml:space="preserve">$20 000 </w:t>
            </w:r>
          </w:p>
        </w:tc>
        <w:tc>
          <w:tcPr>
            <w:tcW w:w="1560" w:type="dxa"/>
            <w:shd w:val="clear" w:color="auto" w:fill="auto"/>
            <w:vAlign w:val="center"/>
          </w:tcPr>
          <w:p w:rsidR="001753C6" w:rsidRDefault="001753C6" w:rsidP="00BA0FF9">
            <w:pPr>
              <w:pStyle w:val="Tabletext"/>
              <w:rPr>
                <w:rFonts w:cs="Arial"/>
              </w:rPr>
            </w:pPr>
            <w:r>
              <w:rPr>
                <w:rFonts w:cs="Arial"/>
              </w:rPr>
              <w:t>Annual</w:t>
            </w:r>
          </w:p>
        </w:tc>
        <w:tc>
          <w:tcPr>
            <w:tcW w:w="1320" w:type="dxa"/>
            <w:vAlign w:val="center"/>
          </w:tcPr>
          <w:p w:rsidR="001753C6" w:rsidRDefault="001753C6" w:rsidP="00BA0FF9">
            <w:pPr>
              <w:pStyle w:val="Tabletext"/>
              <w:rPr>
                <w:rFonts w:cs="Arial"/>
              </w:rPr>
            </w:pPr>
            <w:r>
              <w:rPr>
                <w:rFonts w:cs="Arial"/>
              </w:rPr>
              <w:t xml:space="preserve">20 </w:t>
            </w:r>
          </w:p>
        </w:tc>
        <w:tc>
          <w:tcPr>
            <w:tcW w:w="1440" w:type="dxa"/>
            <w:vAlign w:val="center"/>
          </w:tcPr>
          <w:p w:rsidR="001753C6" w:rsidRDefault="001753C6" w:rsidP="00BA0FF9">
            <w:pPr>
              <w:pStyle w:val="Tabletext"/>
              <w:rPr>
                <w:rFonts w:cs="Arial"/>
              </w:rPr>
            </w:pPr>
            <w:r>
              <w:rPr>
                <w:rFonts w:cs="Arial"/>
              </w:rPr>
              <w:t xml:space="preserve">400 000 </w:t>
            </w:r>
          </w:p>
        </w:tc>
      </w:tr>
      <w:tr w:rsidR="001753C6" w:rsidTr="006A2A99">
        <w:trPr>
          <w:cantSplit/>
          <w:trHeight w:val="510"/>
        </w:trPr>
        <w:tc>
          <w:tcPr>
            <w:tcW w:w="2515" w:type="dxa"/>
            <w:vAlign w:val="center"/>
          </w:tcPr>
          <w:p w:rsidR="001753C6" w:rsidRDefault="001753C6" w:rsidP="00936B63">
            <w:pPr>
              <w:pStyle w:val="Tabletext"/>
              <w:rPr>
                <w:rFonts w:cs="Arial"/>
              </w:rPr>
            </w:pPr>
            <w:r>
              <w:rPr>
                <w:rFonts w:cs="Arial"/>
              </w:rPr>
              <w:t xml:space="preserve">Export License </w:t>
            </w:r>
            <w:r>
              <w:rPr>
                <w:rFonts w:cs="Arial"/>
                <w:vertAlign w:val="superscript"/>
              </w:rPr>
              <w:t>3</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$25 000 </w:t>
            </w:r>
          </w:p>
        </w:tc>
        <w:tc>
          <w:tcPr>
            <w:tcW w:w="1560" w:type="dxa"/>
            <w:vAlign w:val="center"/>
          </w:tcPr>
          <w:p w:rsidR="001753C6" w:rsidRDefault="001753C6" w:rsidP="00BA0FF9">
            <w:pPr>
              <w:pStyle w:val="Tabletext"/>
              <w:rPr>
                <w:rFonts w:cs="Arial"/>
              </w:rPr>
            </w:pPr>
            <w:r>
              <w:rPr>
                <w:rFonts w:cs="Arial"/>
              </w:rPr>
              <w:t>Annual</w:t>
            </w:r>
          </w:p>
        </w:tc>
        <w:tc>
          <w:tcPr>
            <w:tcW w:w="1320" w:type="dxa"/>
            <w:vAlign w:val="center"/>
          </w:tcPr>
          <w:p w:rsidR="001753C6" w:rsidRDefault="001753C6" w:rsidP="00BA0FF9">
            <w:pPr>
              <w:pStyle w:val="Tabletext"/>
              <w:rPr>
                <w:rFonts w:cs="Arial"/>
              </w:rPr>
            </w:pPr>
            <w:r>
              <w:rPr>
                <w:rFonts w:cs="Arial"/>
              </w:rPr>
              <w:t xml:space="preserve"> -  </w:t>
            </w:r>
          </w:p>
        </w:tc>
        <w:tc>
          <w:tcPr>
            <w:tcW w:w="1440" w:type="dxa"/>
            <w:vAlign w:val="center"/>
          </w:tcPr>
          <w:p w:rsidR="001753C6" w:rsidRDefault="001753C6" w:rsidP="00BA0FF9">
            <w:pPr>
              <w:pStyle w:val="Tabletext"/>
              <w:rPr>
                <w:rFonts w:cs="Arial"/>
              </w:rPr>
            </w:pPr>
            <w:r>
              <w:rPr>
                <w:rFonts w:cs="Arial"/>
              </w:rPr>
              <w:t xml:space="preserve"> -   </w:t>
            </w:r>
          </w:p>
        </w:tc>
      </w:tr>
      <w:tr w:rsidR="00936B63" w:rsidTr="006A2A99">
        <w:trPr>
          <w:cantSplit/>
          <w:trHeight w:val="510"/>
        </w:trPr>
        <w:tc>
          <w:tcPr>
            <w:tcW w:w="2515" w:type="dxa"/>
            <w:vAlign w:val="center"/>
          </w:tcPr>
          <w:p w:rsidR="00936B63" w:rsidRDefault="00936B63" w:rsidP="00BA0FF9">
            <w:pPr>
              <w:pStyle w:val="Tabletext"/>
              <w:rPr>
                <w:rFonts w:cs="Arial"/>
              </w:rPr>
            </w:pPr>
            <w:r>
              <w:rPr>
                <w:rFonts w:cs="Arial"/>
              </w:rPr>
              <w:t xml:space="preserve">Export Licence – small and infrequent exporter </w:t>
            </w:r>
            <w:r>
              <w:rPr>
                <w:rFonts w:cs="Arial"/>
                <w:vertAlign w:val="superscript"/>
              </w:rPr>
              <w:t>3</w:t>
            </w:r>
          </w:p>
        </w:tc>
        <w:tc>
          <w:tcPr>
            <w:tcW w:w="960" w:type="dxa"/>
            <w:vAlign w:val="center"/>
          </w:tcPr>
          <w:p w:rsidR="00936B63" w:rsidRDefault="00936B63" w:rsidP="00BA0FF9">
            <w:pPr>
              <w:pStyle w:val="Tabletext"/>
            </w:pPr>
            <w:r>
              <w:t>Levy</w:t>
            </w:r>
          </w:p>
        </w:tc>
        <w:tc>
          <w:tcPr>
            <w:tcW w:w="1320" w:type="dxa"/>
            <w:vAlign w:val="center"/>
          </w:tcPr>
          <w:p w:rsidR="00936B63" w:rsidRDefault="00936B63" w:rsidP="00BA0FF9">
            <w:pPr>
              <w:pStyle w:val="Tabletext"/>
              <w:rPr>
                <w:rFonts w:cs="Arial"/>
              </w:rPr>
            </w:pPr>
            <w:r>
              <w:rPr>
                <w:rFonts w:cs="Arial"/>
              </w:rPr>
              <w:t>$5 000</w:t>
            </w:r>
          </w:p>
        </w:tc>
        <w:tc>
          <w:tcPr>
            <w:tcW w:w="1560" w:type="dxa"/>
            <w:vAlign w:val="center"/>
          </w:tcPr>
          <w:p w:rsidR="00936B63" w:rsidRDefault="00936B63" w:rsidP="00BA0FF9">
            <w:pPr>
              <w:pStyle w:val="Tabletext"/>
              <w:rPr>
                <w:rFonts w:cs="Arial"/>
              </w:rPr>
            </w:pPr>
            <w:r>
              <w:rPr>
                <w:rFonts w:cs="Arial"/>
              </w:rPr>
              <w:t>Annual</w:t>
            </w:r>
          </w:p>
        </w:tc>
        <w:tc>
          <w:tcPr>
            <w:tcW w:w="1320" w:type="dxa"/>
            <w:vAlign w:val="center"/>
          </w:tcPr>
          <w:p w:rsidR="00936B63" w:rsidRDefault="00936B63" w:rsidP="00BA0FF9">
            <w:pPr>
              <w:pStyle w:val="Tabletext"/>
              <w:rPr>
                <w:rFonts w:cs="Arial"/>
              </w:rPr>
            </w:pPr>
            <w:r>
              <w:rPr>
                <w:rFonts w:cs="Arial"/>
              </w:rPr>
              <w:t>-</w:t>
            </w:r>
          </w:p>
        </w:tc>
        <w:tc>
          <w:tcPr>
            <w:tcW w:w="1440" w:type="dxa"/>
            <w:vAlign w:val="center"/>
          </w:tcPr>
          <w:p w:rsidR="00936B63" w:rsidRDefault="00936B63" w:rsidP="00BA0FF9">
            <w:pPr>
              <w:pStyle w:val="Tabletext"/>
              <w:rPr>
                <w:rFonts w:cs="Arial"/>
              </w:rPr>
            </w:pPr>
            <w:r>
              <w:rPr>
                <w:rFonts w:cs="Arial"/>
              </w:rPr>
              <w:t>-</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 xml:space="preserve">Throughput - Full Unit </w:t>
            </w:r>
            <w:r>
              <w:rPr>
                <w:rFonts w:cs="Arial"/>
                <w:vertAlign w:val="superscript"/>
              </w:rPr>
              <w:t>1 2 3</w:t>
            </w:r>
            <w:r>
              <w:rPr>
                <w:rFonts w:cs="Arial"/>
              </w:rPr>
              <w:t xml:space="preserve"> (Cattle/Buffalo/Camelids)</w:t>
            </w:r>
          </w:p>
        </w:tc>
        <w:tc>
          <w:tcPr>
            <w:tcW w:w="960" w:type="dxa"/>
            <w:vAlign w:val="center"/>
          </w:tcPr>
          <w:p w:rsidR="001753C6" w:rsidRDefault="001753C6" w:rsidP="00BA0FF9">
            <w:pPr>
              <w:pStyle w:val="Tabletext"/>
            </w:pPr>
            <w:r>
              <w:t>Levy</w:t>
            </w:r>
          </w:p>
        </w:tc>
        <w:tc>
          <w:tcPr>
            <w:tcW w:w="1320" w:type="dxa"/>
            <w:vAlign w:val="center"/>
          </w:tcPr>
          <w:p w:rsidR="001753C6" w:rsidRDefault="00700994" w:rsidP="007778B1">
            <w:pPr>
              <w:pStyle w:val="Tabletext"/>
              <w:rPr>
                <w:rFonts w:cs="Arial"/>
              </w:rPr>
            </w:pPr>
            <w:r>
              <w:rPr>
                <w:rFonts w:cs="Arial"/>
              </w:rPr>
              <w:t>$1.2</w:t>
            </w:r>
            <w:r w:rsidR="007778B1">
              <w:rPr>
                <w:rFonts w:cs="Arial"/>
              </w:rPr>
              <w:t>1</w:t>
            </w:r>
            <w:r w:rsidR="001753C6">
              <w:rPr>
                <w:rFonts w:cs="Arial"/>
              </w:rPr>
              <w:t xml:space="preserve"> </w:t>
            </w:r>
          </w:p>
        </w:tc>
        <w:tc>
          <w:tcPr>
            <w:tcW w:w="1560" w:type="dxa"/>
            <w:vAlign w:val="center"/>
          </w:tcPr>
          <w:p w:rsidR="001753C6" w:rsidRDefault="001753C6" w:rsidP="00BA0FF9">
            <w:pPr>
              <w:pStyle w:val="Tabletext"/>
              <w:rPr>
                <w:rFonts w:cs="Arial"/>
              </w:rPr>
            </w:pPr>
            <w:r>
              <w:rPr>
                <w:rFonts w:cs="Arial"/>
              </w:rPr>
              <w:t>Animal</w:t>
            </w:r>
          </w:p>
        </w:tc>
        <w:tc>
          <w:tcPr>
            <w:tcW w:w="1320" w:type="dxa"/>
            <w:vAlign w:val="center"/>
          </w:tcPr>
          <w:p w:rsidR="001753C6" w:rsidRDefault="001753C6" w:rsidP="00BA0FF9">
            <w:pPr>
              <w:pStyle w:val="Tabletext"/>
              <w:rPr>
                <w:rFonts w:cs="Arial"/>
              </w:rPr>
            </w:pPr>
            <w:r>
              <w:rPr>
                <w:rFonts w:cs="Arial"/>
              </w:rPr>
              <w:t xml:space="preserve">1 120 000 </w:t>
            </w:r>
          </w:p>
        </w:tc>
        <w:tc>
          <w:tcPr>
            <w:tcW w:w="1440" w:type="dxa"/>
            <w:vAlign w:val="center"/>
          </w:tcPr>
          <w:p w:rsidR="001753C6" w:rsidRDefault="001753C6" w:rsidP="00BA0FF9">
            <w:pPr>
              <w:pStyle w:val="Tabletext"/>
              <w:rPr>
                <w:rFonts w:cs="Arial"/>
              </w:rPr>
            </w:pPr>
            <w:r>
              <w:rPr>
                <w:rFonts w:cs="Arial"/>
              </w:rPr>
              <w:t xml:space="preserve">1 355 200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Throughput</w:t>
            </w:r>
            <w:r w:rsidR="00F96CA2">
              <w:rPr>
                <w:rFonts w:cs="Arial"/>
              </w:rPr>
              <w:t xml:space="preserve"> – Full Unit</w:t>
            </w:r>
            <w:r>
              <w:rPr>
                <w:rFonts w:cs="Arial"/>
              </w:rPr>
              <w:t xml:space="preserve"> </w:t>
            </w:r>
            <w:r>
              <w:rPr>
                <w:rFonts w:cs="Arial"/>
                <w:vertAlign w:val="superscript"/>
              </w:rPr>
              <w:t>1 2 3</w:t>
            </w:r>
          </w:p>
          <w:p w:rsidR="001753C6" w:rsidRDefault="001753C6" w:rsidP="00BA0FF9">
            <w:pPr>
              <w:pStyle w:val="Tabletext"/>
              <w:rPr>
                <w:rFonts w:cs="Arial"/>
              </w:rPr>
            </w:pPr>
            <w:r>
              <w:rPr>
                <w:rFonts w:cs="Arial"/>
              </w:rPr>
              <w:t>(Sheep/Goat)</w:t>
            </w:r>
          </w:p>
        </w:tc>
        <w:tc>
          <w:tcPr>
            <w:tcW w:w="960" w:type="dxa"/>
            <w:vAlign w:val="center"/>
          </w:tcPr>
          <w:p w:rsidR="001753C6" w:rsidRDefault="001753C6" w:rsidP="00BA0FF9">
            <w:pPr>
              <w:pStyle w:val="Tabletext"/>
            </w:pPr>
            <w:r>
              <w:t>Levy</w:t>
            </w:r>
          </w:p>
        </w:tc>
        <w:tc>
          <w:tcPr>
            <w:tcW w:w="1320" w:type="dxa"/>
            <w:vAlign w:val="center"/>
          </w:tcPr>
          <w:p w:rsidR="001753C6" w:rsidRDefault="00700994" w:rsidP="007778B1">
            <w:pPr>
              <w:pStyle w:val="Tabletext"/>
              <w:rPr>
                <w:rFonts w:cs="Arial"/>
              </w:rPr>
            </w:pPr>
            <w:r>
              <w:rPr>
                <w:rFonts w:cs="Arial"/>
              </w:rPr>
              <w:t>$ 0.3</w:t>
            </w:r>
            <w:r w:rsidR="007778B1">
              <w:rPr>
                <w:rFonts w:cs="Arial"/>
              </w:rPr>
              <w:t>1</w:t>
            </w:r>
            <w:r w:rsidR="001753C6">
              <w:rPr>
                <w:rFonts w:cs="Arial"/>
              </w:rPr>
              <w:t xml:space="preserve"> </w:t>
            </w:r>
          </w:p>
        </w:tc>
        <w:tc>
          <w:tcPr>
            <w:tcW w:w="1560" w:type="dxa"/>
            <w:vAlign w:val="center"/>
          </w:tcPr>
          <w:p w:rsidR="001753C6" w:rsidRDefault="001753C6" w:rsidP="00BA0FF9">
            <w:pPr>
              <w:pStyle w:val="Tabletext"/>
              <w:rPr>
                <w:rFonts w:cs="Arial"/>
              </w:rPr>
            </w:pPr>
            <w:r>
              <w:rPr>
                <w:rFonts w:cs="Arial"/>
              </w:rPr>
              <w:t>Animal</w:t>
            </w:r>
          </w:p>
        </w:tc>
        <w:tc>
          <w:tcPr>
            <w:tcW w:w="1320" w:type="dxa"/>
            <w:vAlign w:val="center"/>
          </w:tcPr>
          <w:p w:rsidR="001753C6" w:rsidRDefault="001753C6" w:rsidP="00BA0FF9">
            <w:pPr>
              <w:pStyle w:val="Tabletext"/>
              <w:rPr>
                <w:rFonts w:cs="Arial"/>
              </w:rPr>
            </w:pPr>
            <w:r>
              <w:rPr>
                <w:rFonts w:cs="Arial"/>
              </w:rPr>
              <w:t xml:space="preserve">2 400 000 </w:t>
            </w:r>
          </w:p>
        </w:tc>
        <w:tc>
          <w:tcPr>
            <w:tcW w:w="1440" w:type="dxa"/>
            <w:vAlign w:val="center"/>
          </w:tcPr>
          <w:p w:rsidR="001753C6" w:rsidRDefault="001753C6" w:rsidP="00BA0FF9">
            <w:pPr>
              <w:pStyle w:val="Tabletext"/>
              <w:rPr>
                <w:rFonts w:cs="Arial"/>
              </w:rPr>
            </w:pPr>
            <w:r>
              <w:rPr>
                <w:rFonts w:cs="Arial"/>
              </w:rPr>
              <w:t xml:space="preserve">744 000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 xml:space="preserve">Export Permit </w:t>
            </w:r>
            <w:r>
              <w:rPr>
                <w:rFonts w:cs="Arial"/>
                <w:vertAlign w:val="superscript"/>
              </w:rPr>
              <w:t>4</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$130 </w:t>
            </w:r>
          </w:p>
        </w:tc>
        <w:tc>
          <w:tcPr>
            <w:tcW w:w="1560" w:type="dxa"/>
            <w:vAlign w:val="center"/>
          </w:tcPr>
          <w:p w:rsidR="001753C6" w:rsidRDefault="001753C6" w:rsidP="00BA0FF9">
            <w:pPr>
              <w:pStyle w:val="Tabletext"/>
              <w:rPr>
                <w:rFonts w:cs="Arial"/>
              </w:rPr>
            </w:pPr>
            <w:r>
              <w:rPr>
                <w:rFonts w:cs="Arial"/>
              </w:rPr>
              <w:t>Document</w:t>
            </w:r>
          </w:p>
        </w:tc>
        <w:tc>
          <w:tcPr>
            <w:tcW w:w="1320" w:type="dxa"/>
            <w:vAlign w:val="center"/>
          </w:tcPr>
          <w:p w:rsidR="001753C6" w:rsidRDefault="001753C6" w:rsidP="00BA0FF9">
            <w:pPr>
              <w:pStyle w:val="Tabletext"/>
              <w:rPr>
                <w:rFonts w:cs="Arial"/>
              </w:rPr>
            </w:pPr>
            <w:r>
              <w:rPr>
                <w:rFonts w:cs="Arial"/>
              </w:rPr>
              <w:t>10 214</w:t>
            </w:r>
          </w:p>
        </w:tc>
        <w:tc>
          <w:tcPr>
            <w:tcW w:w="1440" w:type="dxa"/>
            <w:vAlign w:val="center"/>
          </w:tcPr>
          <w:p w:rsidR="001753C6" w:rsidRDefault="001753C6" w:rsidP="00BA0FF9">
            <w:pPr>
              <w:pStyle w:val="Tabletext"/>
              <w:rPr>
                <w:rFonts w:cs="Arial"/>
              </w:rPr>
            </w:pPr>
            <w:r>
              <w:rPr>
                <w:rFonts w:cs="Arial"/>
              </w:rPr>
              <w:t xml:space="preserve">1 327 820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 xml:space="preserve">Establishment (Premises) Registration </w:t>
            </w:r>
            <w:r>
              <w:rPr>
                <w:rFonts w:cs="Arial"/>
                <w:vertAlign w:val="superscript"/>
              </w:rPr>
              <w:t>5</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$5 000 </w:t>
            </w:r>
          </w:p>
        </w:tc>
        <w:tc>
          <w:tcPr>
            <w:tcW w:w="1560" w:type="dxa"/>
            <w:vAlign w:val="center"/>
          </w:tcPr>
          <w:p w:rsidR="001753C6" w:rsidRDefault="001753C6" w:rsidP="00BA0FF9">
            <w:pPr>
              <w:pStyle w:val="Tabletext"/>
              <w:rPr>
                <w:rFonts w:cs="Arial"/>
              </w:rPr>
            </w:pPr>
            <w:r>
              <w:rPr>
                <w:rFonts w:cs="Arial"/>
              </w:rPr>
              <w:t>Annual</w:t>
            </w:r>
          </w:p>
        </w:tc>
        <w:tc>
          <w:tcPr>
            <w:tcW w:w="1320" w:type="dxa"/>
            <w:vAlign w:val="center"/>
          </w:tcPr>
          <w:p w:rsidR="001753C6" w:rsidRDefault="001753C6" w:rsidP="00BA0FF9">
            <w:pPr>
              <w:pStyle w:val="Tabletext"/>
              <w:rPr>
                <w:rFonts w:cs="Arial"/>
              </w:rPr>
            </w:pPr>
            <w:r>
              <w:rPr>
                <w:rFonts w:cs="Arial"/>
              </w:rPr>
              <w:t xml:space="preserve">81 </w:t>
            </w:r>
          </w:p>
        </w:tc>
        <w:tc>
          <w:tcPr>
            <w:tcW w:w="1440" w:type="dxa"/>
            <w:vAlign w:val="center"/>
          </w:tcPr>
          <w:p w:rsidR="001753C6" w:rsidRDefault="001753C6" w:rsidP="00BA0FF9">
            <w:pPr>
              <w:pStyle w:val="Tabletext"/>
              <w:rPr>
                <w:rFonts w:cs="Arial"/>
              </w:rPr>
            </w:pPr>
            <w:r>
              <w:rPr>
                <w:rFonts w:cs="Arial"/>
              </w:rPr>
              <w:t xml:space="preserve">405 000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Application</w:t>
            </w:r>
            <w:r>
              <w:rPr>
                <w:rFonts w:cs="Arial"/>
                <w:vertAlign w:val="superscript"/>
              </w:rPr>
              <w:t xml:space="preserve"> 1 2 3 5</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$600 </w:t>
            </w:r>
          </w:p>
        </w:tc>
        <w:tc>
          <w:tcPr>
            <w:tcW w:w="1560" w:type="dxa"/>
            <w:vAlign w:val="center"/>
          </w:tcPr>
          <w:p w:rsidR="001753C6" w:rsidRDefault="001753C6" w:rsidP="00BA0FF9">
            <w:pPr>
              <w:pStyle w:val="Tabletext"/>
              <w:rPr>
                <w:rFonts w:cs="Arial"/>
              </w:rPr>
            </w:pPr>
            <w:r>
              <w:rPr>
                <w:rFonts w:cs="Arial"/>
              </w:rPr>
              <w:t>Application</w:t>
            </w:r>
          </w:p>
        </w:tc>
        <w:tc>
          <w:tcPr>
            <w:tcW w:w="1320" w:type="dxa"/>
            <w:vAlign w:val="center"/>
          </w:tcPr>
          <w:p w:rsidR="001753C6" w:rsidRDefault="001753C6" w:rsidP="00BA0FF9">
            <w:pPr>
              <w:pStyle w:val="Tabletext"/>
              <w:rPr>
                <w:rFonts w:cs="Arial"/>
              </w:rPr>
            </w:pPr>
            <w:r>
              <w:rPr>
                <w:rFonts w:cs="Arial"/>
              </w:rPr>
              <w:t>-</w:t>
            </w:r>
          </w:p>
        </w:tc>
        <w:tc>
          <w:tcPr>
            <w:tcW w:w="1440" w:type="dxa"/>
            <w:vAlign w:val="center"/>
          </w:tcPr>
          <w:p w:rsidR="001753C6" w:rsidRDefault="001753C6" w:rsidP="00BA0FF9">
            <w:pPr>
              <w:pStyle w:val="Tabletext"/>
              <w:rPr>
                <w:rFonts w:cs="Arial"/>
              </w:rPr>
            </w:pPr>
            <w:r>
              <w:rPr>
                <w:rFonts w:cs="Arial"/>
              </w:rPr>
              <w:t xml:space="preserve"> -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 xml:space="preserve">Approval Variation </w:t>
            </w:r>
            <w:r>
              <w:rPr>
                <w:rFonts w:cs="Arial"/>
                <w:vertAlign w:val="superscript"/>
              </w:rPr>
              <w:t>1 2 3 5</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$300</w:t>
            </w:r>
          </w:p>
        </w:tc>
        <w:tc>
          <w:tcPr>
            <w:tcW w:w="1560" w:type="dxa"/>
            <w:vAlign w:val="center"/>
          </w:tcPr>
          <w:p w:rsidR="001753C6" w:rsidRDefault="001753C6" w:rsidP="00BA0FF9">
            <w:pPr>
              <w:pStyle w:val="Tabletext"/>
              <w:rPr>
                <w:rFonts w:cs="Arial"/>
              </w:rPr>
            </w:pPr>
            <w:r>
              <w:rPr>
                <w:rFonts w:cs="Arial"/>
              </w:rPr>
              <w:t>Variation</w:t>
            </w:r>
          </w:p>
        </w:tc>
        <w:tc>
          <w:tcPr>
            <w:tcW w:w="1320" w:type="dxa"/>
            <w:vAlign w:val="center"/>
          </w:tcPr>
          <w:p w:rsidR="001753C6" w:rsidRDefault="001753C6" w:rsidP="00BA0FF9">
            <w:pPr>
              <w:pStyle w:val="Tabletext"/>
              <w:rPr>
                <w:rFonts w:cs="Arial"/>
              </w:rPr>
            </w:pPr>
            <w:r>
              <w:rPr>
                <w:rFonts w:cs="Arial"/>
              </w:rPr>
              <w:t>-</w:t>
            </w:r>
          </w:p>
        </w:tc>
        <w:tc>
          <w:tcPr>
            <w:tcW w:w="1440" w:type="dxa"/>
            <w:vAlign w:val="center"/>
          </w:tcPr>
          <w:p w:rsidR="001753C6" w:rsidRDefault="001753C6" w:rsidP="00BA0FF9">
            <w:pPr>
              <w:pStyle w:val="Tabletext"/>
              <w:rPr>
                <w:rFonts w:cs="Arial"/>
              </w:rPr>
            </w:pPr>
            <w:r>
              <w:rPr>
                <w:rFonts w:cs="Arial"/>
              </w:rPr>
              <w:t>-</w:t>
            </w:r>
          </w:p>
        </w:tc>
      </w:tr>
      <w:tr w:rsidR="001753C6" w:rsidTr="006A2A99">
        <w:trPr>
          <w:cantSplit/>
          <w:trHeight w:val="510"/>
        </w:trPr>
        <w:tc>
          <w:tcPr>
            <w:tcW w:w="2515"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Inspection</w:t>
            </w:r>
          </w:p>
        </w:tc>
        <w:tc>
          <w:tcPr>
            <w:tcW w:w="96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Type</w:t>
            </w:r>
          </w:p>
        </w:tc>
        <w:tc>
          <w:tcPr>
            <w:tcW w:w="132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Rate</w:t>
            </w:r>
          </w:p>
        </w:tc>
        <w:tc>
          <w:tcPr>
            <w:tcW w:w="156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Unit</w:t>
            </w:r>
          </w:p>
        </w:tc>
        <w:tc>
          <w:tcPr>
            <w:tcW w:w="132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Estimated volume</w:t>
            </w:r>
          </w:p>
        </w:tc>
        <w:tc>
          <w:tcPr>
            <w:tcW w:w="144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Estimated total revenue</w:t>
            </w:r>
          </w:p>
        </w:tc>
      </w:tr>
      <w:tr w:rsidR="001753C6" w:rsidTr="006A2A99">
        <w:trPr>
          <w:cantSplit/>
          <w:trHeight w:val="510"/>
        </w:trPr>
        <w:tc>
          <w:tcPr>
            <w:tcW w:w="2515" w:type="dxa"/>
            <w:tcBorders>
              <w:top w:val="single" w:sz="4" w:space="0" w:color="auto"/>
            </w:tcBorders>
            <w:vAlign w:val="center"/>
          </w:tcPr>
          <w:p w:rsidR="001753C6" w:rsidRDefault="001753C6" w:rsidP="00BA0FF9">
            <w:pPr>
              <w:pStyle w:val="Tabletext"/>
              <w:rPr>
                <w:rFonts w:cs="Arial"/>
              </w:rPr>
            </w:pPr>
            <w:r>
              <w:rPr>
                <w:rFonts w:cs="Arial"/>
              </w:rPr>
              <w:t>Inspection</w:t>
            </w:r>
            <w:r>
              <w:rPr>
                <w:rFonts w:cs="Arial"/>
                <w:vertAlign w:val="superscript"/>
              </w:rPr>
              <w:t xml:space="preserve"> 1 2 3 4</w:t>
            </w:r>
          </w:p>
        </w:tc>
        <w:tc>
          <w:tcPr>
            <w:tcW w:w="960" w:type="dxa"/>
            <w:tcBorders>
              <w:top w:val="single" w:sz="4" w:space="0" w:color="auto"/>
            </w:tcBorders>
            <w:vAlign w:val="center"/>
          </w:tcPr>
          <w:p w:rsidR="001753C6" w:rsidRDefault="001753C6" w:rsidP="00BA0FF9">
            <w:pPr>
              <w:pStyle w:val="Tabletext"/>
            </w:pPr>
            <w:r>
              <w:t>Fee</w:t>
            </w:r>
          </w:p>
        </w:tc>
        <w:tc>
          <w:tcPr>
            <w:tcW w:w="1320" w:type="dxa"/>
            <w:tcBorders>
              <w:top w:val="single" w:sz="4" w:space="0" w:color="auto"/>
            </w:tcBorders>
            <w:vAlign w:val="center"/>
          </w:tcPr>
          <w:p w:rsidR="001753C6" w:rsidRDefault="00434A7B" w:rsidP="00BA0FF9">
            <w:pPr>
              <w:pStyle w:val="Tabletext"/>
              <w:rPr>
                <w:rFonts w:cs="Arial"/>
              </w:rPr>
            </w:pPr>
            <w:r>
              <w:rPr>
                <w:rFonts w:cs="Arial"/>
              </w:rPr>
              <w:t>$54</w:t>
            </w:r>
          </w:p>
        </w:tc>
        <w:tc>
          <w:tcPr>
            <w:tcW w:w="1560" w:type="dxa"/>
            <w:tcBorders>
              <w:top w:val="single" w:sz="4" w:space="0" w:color="auto"/>
            </w:tcBorders>
            <w:vAlign w:val="center"/>
          </w:tcPr>
          <w:p w:rsidR="001753C6" w:rsidRDefault="001753C6" w:rsidP="00BA0FF9">
            <w:pPr>
              <w:pStyle w:val="Tabletext"/>
              <w:rPr>
                <w:rFonts w:cs="Arial"/>
              </w:rPr>
            </w:pPr>
            <w:r>
              <w:rPr>
                <w:rFonts w:cs="Arial"/>
              </w:rPr>
              <w:t>per 15 minutes</w:t>
            </w:r>
          </w:p>
          <w:p w:rsidR="001753C6" w:rsidRDefault="001753C6" w:rsidP="00BA0FF9">
            <w:pPr>
              <w:pStyle w:val="Tabletext"/>
              <w:rPr>
                <w:rFonts w:cs="Arial"/>
                <w:sz w:val="18"/>
                <w:szCs w:val="18"/>
              </w:rPr>
            </w:pPr>
            <w:r>
              <w:rPr>
                <w:rFonts w:cs="Arial"/>
                <w:sz w:val="18"/>
                <w:szCs w:val="18"/>
              </w:rPr>
              <w:t>(or part thereof)</w:t>
            </w:r>
          </w:p>
        </w:tc>
        <w:tc>
          <w:tcPr>
            <w:tcW w:w="1320" w:type="dxa"/>
            <w:tcBorders>
              <w:top w:val="single" w:sz="4" w:space="0" w:color="auto"/>
            </w:tcBorders>
            <w:vAlign w:val="center"/>
          </w:tcPr>
          <w:p w:rsidR="001753C6" w:rsidRDefault="001753C6" w:rsidP="00BA0FF9">
            <w:pPr>
              <w:pStyle w:val="Tabletext"/>
              <w:rPr>
                <w:rFonts w:cs="Arial"/>
              </w:rPr>
            </w:pPr>
            <w:r>
              <w:rPr>
                <w:rFonts w:cs="Arial"/>
              </w:rPr>
              <w:t xml:space="preserve">24 617 </w:t>
            </w:r>
          </w:p>
        </w:tc>
        <w:tc>
          <w:tcPr>
            <w:tcW w:w="1440" w:type="dxa"/>
            <w:tcBorders>
              <w:top w:val="single" w:sz="4" w:space="0" w:color="auto"/>
            </w:tcBorders>
            <w:vAlign w:val="center"/>
          </w:tcPr>
          <w:p w:rsidR="001753C6" w:rsidRDefault="001753C6" w:rsidP="00BA0FF9">
            <w:pPr>
              <w:pStyle w:val="Tabletext"/>
              <w:rPr>
                <w:rFonts w:cs="Arial"/>
              </w:rPr>
            </w:pPr>
            <w:r>
              <w:rPr>
                <w:rFonts w:cs="Arial"/>
              </w:rPr>
              <w:t>1 329 318</w:t>
            </w:r>
          </w:p>
        </w:tc>
      </w:tr>
      <w:tr w:rsidR="001753C6" w:rsidTr="006A2A99">
        <w:trPr>
          <w:cantSplit/>
          <w:trHeight w:val="510"/>
        </w:trPr>
        <w:tc>
          <w:tcPr>
            <w:tcW w:w="2515" w:type="dxa"/>
            <w:tcBorders>
              <w:top w:val="single" w:sz="4" w:space="0" w:color="auto"/>
            </w:tcBorders>
            <w:vAlign w:val="center"/>
          </w:tcPr>
          <w:p w:rsidR="001753C6" w:rsidRDefault="001753C6" w:rsidP="00BA0FF9">
            <w:pPr>
              <w:pStyle w:val="Tabletext"/>
              <w:rPr>
                <w:rFonts w:cs="Arial"/>
              </w:rPr>
            </w:pPr>
            <w:r>
              <w:rPr>
                <w:rFonts w:cs="Arial"/>
              </w:rPr>
              <w:t xml:space="preserve">Additional Inspection </w:t>
            </w:r>
            <w:r>
              <w:rPr>
                <w:rFonts w:cs="Arial"/>
                <w:vertAlign w:val="superscript"/>
              </w:rPr>
              <w:t>1 2 3 4</w:t>
            </w:r>
          </w:p>
        </w:tc>
        <w:tc>
          <w:tcPr>
            <w:tcW w:w="960" w:type="dxa"/>
            <w:tcBorders>
              <w:top w:val="single" w:sz="4" w:space="0" w:color="auto"/>
            </w:tcBorders>
            <w:vAlign w:val="center"/>
          </w:tcPr>
          <w:p w:rsidR="001753C6" w:rsidRDefault="001753C6" w:rsidP="00BA0FF9">
            <w:pPr>
              <w:pStyle w:val="Tabletext"/>
            </w:pPr>
            <w:r>
              <w:t>Fee</w:t>
            </w:r>
          </w:p>
        </w:tc>
        <w:tc>
          <w:tcPr>
            <w:tcW w:w="1320" w:type="dxa"/>
            <w:tcBorders>
              <w:top w:val="single" w:sz="4" w:space="0" w:color="auto"/>
            </w:tcBorders>
            <w:vAlign w:val="center"/>
          </w:tcPr>
          <w:p w:rsidR="001753C6" w:rsidRDefault="002A2CA8" w:rsidP="00BA0FF9">
            <w:pPr>
              <w:pStyle w:val="Tabletext"/>
              <w:rPr>
                <w:rFonts w:cs="Arial"/>
              </w:rPr>
            </w:pPr>
            <w:r>
              <w:rPr>
                <w:rFonts w:cs="Arial"/>
              </w:rPr>
              <w:t>$71</w:t>
            </w:r>
          </w:p>
        </w:tc>
        <w:tc>
          <w:tcPr>
            <w:tcW w:w="1560" w:type="dxa"/>
            <w:tcBorders>
              <w:top w:val="single" w:sz="4" w:space="0" w:color="auto"/>
            </w:tcBorders>
            <w:vAlign w:val="center"/>
          </w:tcPr>
          <w:p w:rsidR="001753C6" w:rsidRDefault="001753C6" w:rsidP="00BA0FF9">
            <w:pPr>
              <w:pStyle w:val="Tabletext"/>
              <w:rPr>
                <w:rFonts w:cs="Arial"/>
              </w:rPr>
            </w:pPr>
            <w:r>
              <w:rPr>
                <w:rFonts w:cs="Arial"/>
              </w:rPr>
              <w:t>per 15 minutes</w:t>
            </w:r>
          </w:p>
          <w:p w:rsidR="001753C6" w:rsidRDefault="001753C6" w:rsidP="00BA0FF9">
            <w:pPr>
              <w:pStyle w:val="Tabletext"/>
              <w:rPr>
                <w:rFonts w:cs="Arial"/>
              </w:rPr>
            </w:pPr>
            <w:r>
              <w:rPr>
                <w:rFonts w:cs="Arial"/>
                <w:sz w:val="18"/>
                <w:szCs w:val="18"/>
              </w:rPr>
              <w:t>(or part thereof)</w:t>
            </w:r>
          </w:p>
        </w:tc>
        <w:tc>
          <w:tcPr>
            <w:tcW w:w="1320" w:type="dxa"/>
            <w:tcBorders>
              <w:top w:val="single" w:sz="4" w:space="0" w:color="auto"/>
            </w:tcBorders>
            <w:vAlign w:val="center"/>
          </w:tcPr>
          <w:p w:rsidR="001753C6" w:rsidRDefault="001753C6" w:rsidP="00BA0FF9">
            <w:pPr>
              <w:pStyle w:val="Tabletext"/>
              <w:rPr>
                <w:rFonts w:cs="Arial"/>
              </w:rPr>
            </w:pPr>
            <w:r>
              <w:rPr>
                <w:rFonts w:cs="Arial"/>
              </w:rPr>
              <w:t>-</w:t>
            </w:r>
          </w:p>
        </w:tc>
        <w:tc>
          <w:tcPr>
            <w:tcW w:w="1440" w:type="dxa"/>
            <w:tcBorders>
              <w:top w:val="single" w:sz="4" w:space="0" w:color="auto"/>
            </w:tcBorders>
            <w:vAlign w:val="center"/>
          </w:tcPr>
          <w:p w:rsidR="001753C6" w:rsidRDefault="001753C6" w:rsidP="00BA0FF9">
            <w:pPr>
              <w:pStyle w:val="Tabletext"/>
              <w:rPr>
                <w:rFonts w:cs="Arial"/>
              </w:rPr>
            </w:pPr>
            <w:r>
              <w:rPr>
                <w:rFonts w:cs="Arial"/>
              </w:rPr>
              <w:t>-</w:t>
            </w:r>
          </w:p>
        </w:tc>
      </w:tr>
      <w:tr w:rsidR="001753C6" w:rsidTr="006A2A99">
        <w:trPr>
          <w:trHeight w:val="510"/>
        </w:trPr>
        <w:tc>
          <w:tcPr>
            <w:tcW w:w="2515" w:type="dxa"/>
            <w:shd w:val="clear" w:color="auto" w:fill="DBE5F1"/>
            <w:vAlign w:val="center"/>
          </w:tcPr>
          <w:p w:rsidR="001753C6" w:rsidRPr="00BA0FF9" w:rsidRDefault="001753C6" w:rsidP="00BA0FF9">
            <w:pPr>
              <w:pStyle w:val="Tabletext"/>
              <w:rPr>
                <w:rStyle w:val="Strong"/>
              </w:rPr>
            </w:pPr>
            <w:r w:rsidRPr="00BA0FF9">
              <w:rPr>
                <w:rStyle w:val="Strong"/>
              </w:rPr>
              <w:t>Audit</w:t>
            </w:r>
          </w:p>
        </w:tc>
        <w:tc>
          <w:tcPr>
            <w:tcW w:w="960" w:type="dxa"/>
            <w:shd w:val="clear" w:color="auto" w:fill="DBE5F1"/>
            <w:vAlign w:val="center"/>
          </w:tcPr>
          <w:p w:rsidR="001753C6" w:rsidRPr="00BA0FF9" w:rsidRDefault="001753C6" w:rsidP="00BA0FF9">
            <w:pPr>
              <w:pStyle w:val="Tabletext"/>
              <w:rPr>
                <w:rStyle w:val="Strong"/>
              </w:rPr>
            </w:pPr>
            <w:r w:rsidRPr="00BA0FF9">
              <w:rPr>
                <w:rStyle w:val="Strong"/>
              </w:rPr>
              <w:t>Type</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Rate</w:t>
            </w:r>
          </w:p>
        </w:tc>
        <w:tc>
          <w:tcPr>
            <w:tcW w:w="1560" w:type="dxa"/>
            <w:shd w:val="clear" w:color="auto" w:fill="DBE5F1"/>
            <w:vAlign w:val="center"/>
          </w:tcPr>
          <w:p w:rsidR="001753C6" w:rsidRPr="00BA0FF9" w:rsidRDefault="001753C6" w:rsidP="00BA0FF9">
            <w:pPr>
              <w:pStyle w:val="Tabletext"/>
              <w:rPr>
                <w:rStyle w:val="Strong"/>
              </w:rPr>
            </w:pPr>
            <w:r w:rsidRPr="00BA0FF9">
              <w:rPr>
                <w:rStyle w:val="Strong"/>
              </w:rPr>
              <w:t>Unit</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Estimated volume</w:t>
            </w:r>
          </w:p>
        </w:tc>
        <w:tc>
          <w:tcPr>
            <w:tcW w:w="1440" w:type="dxa"/>
            <w:shd w:val="clear" w:color="auto" w:fill="DBE5F1"/>
            <w:vAlign w:val="center"/>
          </w:tcPr>
          <w:p w:rsidR="001753C6" w:rsidRPr="00BA0FF9" w:rsidRDefault="001753C6" w:rsidP="00BA0FF9">
            <w:pPr>
              <w:pStyle w:val="Tabletext"/>
              <w:rPr>
                <w:rStyle w:val="Strong"/>
              </w:rPr>
            </w:pPr>
            <w:r w:rsidRPr="00BA0FF9">
              <w:rPr>
                <w:rStyle w:val="Strong"/>
              </w:rPr>
              <w:t>Estimated total revenue</w:t>
            </w:r>
          </w:p>
        </w:tc>
      </w:tr>
      <w:tr w:rsidR="001753C6" w:rsidTr="006A2A99">
        <w:trPr>
          <w:trHeight w:val="510"/>
        </w:trPr>
        <w:tc>
          <w:tcPr>
            <w:tcW w:w="2515" w:type="dxa"/>
            <w:vAlign w:val="center"/>
          </w:tcPr>
          <w:p w:rsidR="001753C6" w:rsidRDefault="001753C6" w:rsidP="00BA0FF9">
            <w:pPr>
              <w:pStyle w:val="Tabletext"/>
              <w:rPr>
                <w:color w:val="000000"/>
              </w:rPr>
            </w:pPr>
            <w:r>
              <w:rPr>
                <w:rFonts w:cs="Arial"/>
              </w:rPr>
              <w:t xml:space="preserve">Audit </w:t>
            </w:r>
            <w:r>
              <w:rPr>
                <w:rFonts w:cs="Arial"/>
                <w:vertAlign w:val="superscript"/>
              </w:rPr>
              <w:t>1 2 3 4</w:t>
            </w:r>
          </w:p>
        </w:tc>
        <w:tc>
          <w:tcPr>
            <w:tcW w:w="960" w:type="dxa"/>
            <w:vAlign w:val="center"/>
          </w:tcPr>
          <w:p w:rsidR="001753C6" w:rsidRDefault="001753C6" w:rsidP="00BA0FF9">
            <w:pPr>
              <w:pStyle w:val="Tabletext"/>
            </w:pPr>
            <w:r>
              <w:t>Fee</w:t>
            </w:r>
          </w:p>
        </w:tc>
        <w:tc>
          <w:tcPr>
            <w:tcW w:w="1320" w:type="dxa"/>
            <w:vAlign w:val="center"/>
          </w:tcPr>
          <w:p w:rsidR="001753C6" w:rsidRDefault="001753C6" w:rsidP="00BA0FF9">
            <w:pPr>
              <w:pStyle w:val="Tabletext"/>
              <w:rPr>
                <w:rFonts w:cs="Arial"/>
              </w:rPr>
            </w:pPr>
            <w:r>
              <w:rPr>
                <w:rFonts w:cs="Arial"/>
              </w:rPr>
              <w:t>$43</w:t>
            </w:r>
          </w:p>
        </w:tc>
        <w:tc>
          <w:tcPr>
            <w:tcW w:w="1560" w:type="dxa"/>
            <w:vAlign w:val="center"/>
          </w:tcPr>
          <w:p w:rsidR="001753C6" w:rsidRDefault="001753C6" w:rsidP="00BA0FF9">
            <w:pPr>
              <w:pStyle w:val="Tabletext"/>
              <w:rPr>
                <w:rFonts w:cs="Arial"/>
              </w:rPr>
            </w:pPr>
            <w:r>
              <w:rPr>
                <w:rFonts w:cs="Arial"/>
              </w:rPr>
              <w:t>per 15 minutes</w:t>
            </w:r>
          </w:p>
          <w:p w:rsidR="001753C6" w:rsidRDefault="001753C6" w:rsidP="00BA0FF9">
            <w:pPr>
              <w:pStyle w:val="Tabletext"/>
              <w:rPr>
                <w:i/>
              </w:rPr>
            </w:pPr>
            <w:r>
              <w:rPr>
                <w:rFonts w:cs="Arial"/>
                <w:sz w:val="18"/>
                <w:szCs w:val="18"/>
              </w:rPr>
              <w:t>(or part thereof)</w:t>
            </w:r>
          </w:p>
        </w:tc>
        <w:tc>
          <w:tcPr>
            <w:tcW w:w="1320" w:type="dxa"/>
            <w:vAlign w:val="center"/>
          </w:tcPr>
          <w:p w:rsidR="001753C6" w:rsidRDefault="001753C6" w:rsidP="00BA0FF9">
            <w:pPr>
              <w:pStyle w:val="Tabletext"/>
              <w:rPr>
                <w:rFonts w:cs="Arial"/>
              </w:rPr>
            </w:pPr>
            <w:r>
              <w:rPr>
                <w:rFonts w:cs="Arial"/>
              </w:rPr>
              <w:t>8 075</w:t>
            </w:r>
          </w:p>
        </w:tc>
        <w:tc>
          <w:tcPr>
            <w:tcW w:w="1440" w:type="dxa"/>
            <w:vAlign w:val="center"/>
          </w:tcPr>
          <w:p w:rsidR="001753C6" w:rsidRDefault="001753C6" w:rsidP="00BA0FF9">
            <w:pPr>
              <w:pStyle w:val="Tabletext"/>
              <w:rPr>
                <w:rFonts w:cs="Arial"/>
              </w:rPr>
            </w:pPr>
            <w:r>
              <w:rPr>
                <w:rFonts w:cs="Arial"/>
              </w:rPr>
              <w:t>347 225</w:t>
            </w:r>
          </w:p>
        </w:tc>
      </w:tr>
      <w:tr w:rsidR="001753C6" w:rsidTr="006A2A99">
        <w:trPr>
          <w:trHeight w:val="510"/>
        </w:trPr>
        <w:tc>
          <w:tcPr>
            <w:tcW w:w="2515" w:type="dxa"/>
            <w:vAlign w:val="center"/>
          </w:tcPr>
          <w:p w:rsidR="001753C6" w:rsidRDefault="001753C6" w:rsidP="00BA0FF9">
            <w:pPr>
              <w:pStyle w:val="Tabletext"/>
              <w:rPr>
                <w:rFonts w:cs="Arial"/>
              </w:rPr>
            </w:pPr>
            <w:r>
              <w:rPr>
                <w:rFonts w:cs="Arial"/>
              </w:rPr>
              <w:t xml:space="preserve">Specialised Audit </w:t>
            </w:r>
            <w:r>
              <w:rPr>
                <w:rFonts w:cs="Arial"/>
                <w:vertAlign w:val="superscript"/>
              </w:rPr>
              <w:t>1 2 3 4</w:t>
            </w:r>
          </w:p>
        </w:tc>
        <w:tc>
          <w:tcPr>
            <w:tcW w:w="960" w:type="dxa"/>
            <w:vAlign w:val="center"/>
          </w:tcPr>
          <w:p w:rsidR="001753C6" w:rsidRDefault="001753C6" w:rsidP="00BA0FF9">
            <w:pPr>
              <w:pStyle w:val="Tabletext"/>
            </w:pPr>
            <w:r>
              <w:t>Fee</w:t>
            </w:r>
          </w:p>
        </w:tc>
        <w:tc>
          <w:tcPr>
            <w:tcW w:w="1320" w:type="dxa"/>
            <w:vAlign w:val="center"/>
          </w:tcPr>
          <w:p w:rsidR="001753C6" w:rsidRDefault="001753C6" w:rsidP="00BA0FF9">
            <w:pPr>
              <w:pStyle w:val="Tabletext"/>
              <w:rPr>
                <w:rFonts w:cs="Arial"/>
              </w:rPr>
            </w:pPr>
            <w:r>
              <w:rPr>
                <w:rFonts w:cs="Arial"/>
              </w:rPr>
              <w:t>$103</w:t>
            </w:r>
          </w:p>
        </w:tc>
        <w:tc>
          <w:tcPr>
            <w:tcW w:w="1560" w:type="dxa"/>
            <w:vAlign w:val="center"/>
          </w:tcPr>
          <w:p w:rsidR="001753C6" w:rsidRDefault="001753C6" w:rsidP="00BA0FF9">
            <w:pPr>
              <w:pStyle w:val="Tabletext"/>
              <w:rPr>
                <w:rFonts w:cs="Arial"/>
              </w:rPr>
            </w:pPr>
            <w:r>
              <w:rPr>
                <w:rFonts w:cs="Arial"/>
              </w:rPr>
              <w:t>per 15 minutes</w:t>
            </w:r>
          </w:p>
          <w:p w:rsidR="001753C6" w:rsidRDefault="001753C6" w:rsidP="00BA0FF9">
            <w:pPr>
              <w:pStyle w:val="Tabletext"/>
              <w:rPr>
                <w:rFonts w:cs="Arial"/>
              </w:rPr>
            </w:pPr>
            <w:r>
              <w:rPr>
                <w:rFonts w:cs="Arial"/>
                <w:sz w:val="18"/>
                <w:szCs w:val="18"/>
              </w:rPr>
              <w:t>(or part thereof)</w:t>
            </w:r>
          </w:p>
        </w:tc>
        <w:tc>
          <w:tcPr>
            <w:tcW w:w="1320" w:type="dxa"/>
            <w:vAlign w:val="center"/>
          </w:tcPr>
          <w:p w:rsidR="001753C6" w:rsidRDefault="001753C6" w:rsidP="00BA0FF9">
            <w:pPr>
              <w:pStyle w:val="Tabletext"/>
              <w:rPr>
                <w:rFonts w:cs="Arial"/>
              </w:rPr>
            </w:pPr>
            <w:r>
              <w:rPr>
                <w:rFonts w:cs="Arial"/>
              </w:rPr>
              <w:t>-</w:t>
            </w:r>
          </w:p>
        </w:tc>
        <w:tc>
          <w:tcPr>
            <w:tcW w:w="1440" w:type="dxa"/>
            <w:vAlign w:val="center"/>
          </w:tcPr>
          <w:p w:rsidR="001753C6" w:rsidRDefault="001753C6" w:rsidP="00BA0FF9">
            <w:pPr>
              <w:pStyle w:val="Tabletext"/>
              <w:rPr>
                <w:rFonts w:cs="Arial"/>
              </w:rPr>
            </w:pPr>
            <w:r>
              <w:rPr>
                <w:rFonts w:cs="Arial"/>
              </w:rPr>
              <w:t>-</w:t>
            </w:r>
          </w:p>
        </w:tc>
      </w:tr>
      <w:tr w:rsidR="001753C6" w:rsidTr="006A2A99">
        <w:trPr>
          <w:trHeight w:val="510"/>
        </w:trPr>
        <w:tc>
          <w:tcPr>
            <w:tcW w:w="2515" w:type="dxa"/>
            <w:shd w:val="clear" w:color="auto" w:fill="DBE5F1"/>
            <w:vAlign w:val="center"/>
          </w:tcPr>
          <w:p w:rsidR="001753C6" w:rsidRPr="00BA0FF9" w:rsidRDefault="001753C6" w:rsidP="00BA0FF9">
            <w:pPr>
              <w:pStyle w:val="Tabletext"/>
              <w:rPr>
                <w:rStyle w:val="Strong"/>
              </w:rPr>
            </w:pPr>
            <w:r w:rsidRPr="00BA0FF9">
              <w:rPr>
                <w:rStyle w:val="Strong"/>
              </w:rPr>
              <w:t>Document Charges</w:t>
            </w:r>
          </w:p>
        </w:tc>
        <w:tc>
          <w:tcPr>
            <w:tcW w:w="960" w:type="dxa"/>
            <w:shd w:val="clear" w:color="auto" w:fill="DBE5F1"/>
            <w:vAlign w:val="center"/>
          </w:tcPr>
          <w:p w:rsidR="001753C6" w:rsidRPr="00BA0FF9" w:rsidRDefault="001753C6" w:rsidP="00BA0FF9">
            <w:pPr>
              <w:pStyle w:val="Tabletext"/>
              <w:rPr>
                <w:rStyle w:val="Strong"/>
              </w:rPr>
            </w:pPr>
            <w:r w:rsidRPr="00BA0FF9">
              <w:rPr>
                <w:rStyle w:val="Strong"/>
              </w:rPr>
              <w:t>Type</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Rate</w:t>
            </w:r>
          </w:p>
        </w:tc>
        <w:tc>
          <w:tcPr>
            <w:tcW w:w="1560" w:type="dxa"/>
            <w:shd w:val="clear" w:color="auto" w:fill="DBE5F1"/>
            <w:vAlign w:val="center"/>
          </w:tcPr>
          <w:p w:rsidR="001753C6" w:rsidRPr="00BA0FF9" w:rsidRDefault="001753C6" w:rsidP="00BA0FF9">
            <w:pPr>
              <w:pStyle w:val="Tabletext"/>
              <w:rPr>
                <w:rStyle w:val="Strong"/>
              </w:rPr>
            </w:pPr>
            <w:r w:rsidRPr="00BA0FF9">
              <w:rPr>
                <w:rStyle w:val="Strong"/>
              </w:rPr>
              <w:t>Unit</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Estimated volume</w:t>
            </w:r>
          </w:p>
        </w:tc>
        <w:tc>
          <w:tcPr>
            <w:tcW w:w="1440" w:type="dxa"/>
            <w:shd w:val="clear" w:color="auto" w:fill="DBE5F1"/>
            <w:vAlign w:val="center"/>
          </w:tcPr>
          <w:p w:rsidR="001753C6" w:rsidRPr="00BA0FF9" w:rsidRDefault="001753C6" w:rsidP="00BA0FF9">
            <w:pPr>
              <w:pStyle w:val="Tabletext"/>
              <w:rPr>
                <w:rStyle w:val="Strong"/>
              </w:rPr>
            </w:pPr>
            <w:r w:rsidRPr="00BA0FF9">
              <w:rPr>
                <w:rStyle w:val="Strong"/>
              </w:rPr>
              <w:t>Estimated total revenue</w:t>
            </w:r>
          </w:p>
        </w:tc>
      </w:tr>
      <w:tr w:rsidR="001753C6" w:rsidTr="006A2A99">
        <w:trPr>
          <w:trHeight w:val="510"/>
        </w:trPr>
        <w:tc>
          <w:tcPr>
            <w:tcW w:w="2515" w:type="dxa"/>
            <w:vAlign w:val="center"/>
          </w:tcPr>
          <w:p w:rsidR="001753C6" w:rsidRDefault="001753C6" w:rsidP="00BA0FF9">
            <w:pPr>
              <w:pStyle w:val="Tabletext"/>
              <w:rPr>
                <w:rFonts w:cs="Arial"/>
              </w:rPr>
            </w:pPr>
            <w:r>
              <w:rPr>
                <w:rFonts w:cs="Arial"/>
              </w:rPr>
              <w:t xml:space="preserve">Document </w:t>
            </w:r>
            <w:r>
              <w:rPr>
                <w:rFonts w:cs="Arial"/>
                <w:vertAlign w:val="superscript"/>
              </w:rPr>
              <w:t>1 2 3 4</w:t>
            </w:r>
          </w:p>
        </w:tc>
        <w:tc>
          <w:tcPr>
            <w:tcW w:w="960" w:type="dxa"/>
            <w:vAlign w:val="center"/>
          </w:tcPr>
          <w:p w:rsidR="001753C6" w:rsidRDefault="001753C6" w:rsidP="00BA0FF9">
            <w:pPr>
              <w:pStyle w:val="Tabletext"/>
            </w:pPr>
            <w:r>
              <w:t>Fee</w:t>
            </w:r>
          </w:p>
        </w:tc>
        <w:tc>
          <w:tcPr>
            <w:tcW w:w="1320" w:type="dxa"/>
            <w:vAlign w:val="center"/>
          </w:tcPr>
          <w:p w:rsidR="001753C6" w:rsidRDefault="001753C6" w:rsidP="00BA0FF9">
            <w:pPr>
              <w:pStyle w:val="Tabletext"/>
              <w:rPr>
                <w:rFonts w:cs="Arial"/>
              </w:rPr>
            </w:pPr>
            <w:r>
              <w:rPr>
                <w:rFonts w:cs="Arial"/>
              </w:rPr>
              <w:t xml:space="preserve">$60 </w:t>
            </w:r>
          </w:p>
        </w:tc>
        <w:tc>
          <w:tcPr>
            <w:tcW w:w="1560" w:type="dxa"/>
            <w:vAlign w:val="center"/>
          </w:tcPr>
          <w:p w:rsidR="001753C6" w:rsidRDefault="001753C6" w:rsidP="00BA0FF9">
            <w:pPr>
              <w:pStyle w:val="Tabletext"/>
              <w:rPr>
                <w:rFonts w:cs="Arial"/>
              </w:rPr>
            </w:pPr>
            <w:r>
              <w:rPr>
                <w:rFonts w:cs="Arial"/>
              </w:rPr>
              <w:t>per Document</w:t>
            </w:r>
          </w:p>
        </w:tc>
        <w:tc>
          <w:tcPr>
            <w:tcW w:w="1320" w:type="dxa"/>
            <w:vAlign w:val="center"/>
          </w:tcPr>
          <w:p w:rsidR="001753C6" w:rsidRDefault="001753C6" w:rsidP="00BA0FF9">
            <w:pPr>
              <w:pStyle w:val="Tabletext"/>
              <w:rPr>
                <w:rFonts w:cs="Arial"/>
              </w:rPr>
            </w:pPr>
            <w:r>
              <w:rPr>
                <w:rFonts w:cs="Arial"/>
              </w:rPr>
              <w:t>21 792</w:t>
            </w:r>
          </w:p>
        </w:tc>
        <w:tc>
          <w:tcPr>
            <w:tcW w:w="1440" w:type="dxa"/>
            <w:vAlign w:val="center"/>
          </w:tcPr>
          <w:p w:rsidR="001753C6" w:rsidRDefault="001753C6" w:rsidP="00BA0FF9">
            <w:pPr>
              <w:pStyle w:val="Tabletext"/>
              <w:rPr>
                <w:rFonts w:cs="Arial"/>
              </w:rPr>
            </w:pPr>
            <w:r>
              <w:rPr>
                <w:rFonts w:cs="Arial"/>
              </w:rPr>
              <w:t>1 307 520</w:t>
            </w:r>
          </w:p>
        </w:tc>
      </w:tr>
      <w:tr w:rsidR="001753C6" w:rsidTr="006A2A99">
        <w:trPr>
          <w:trHeight w:val="510"/>
        </w:trPr>
        <w:tc>
          <w:tcPr>
            <w:tcW w:w="2515" w:type="dxa"/>
            <w:vAlign w:val="center"/>
          </w:tcPr>
          <w:p w:rsidR="001753C6" w:rsidRDefault="001753C6" w:rsidP="00BA0FF9">
            <w:pPr>
              <w:pStyle w:val="Tabletext"/>
              <w:rPr>
                <w:rFonts w:cs="Arial"/>
              </w:rPr>
            </w:pPr>
            <w:r>
              <w:rPr>
                <w:rFonts w:cs="Arial"/>
              </w:rPr>
              <w:t xml:space="preserve">Replacement Document </w:t>
            </w:r>
            <w:r>
              <w:rPr>
                <w:rFonts w:cs="Arial"/>
                <w:vertAlign w:val="superscript"/>
              </w:rPr>
              <w:t>1 2 3 4</w:t>
            </w:r>
          </w:p>
        </w:tc>
        <w:tc>
          <w:tcPr>
            <w:tcW w:w="960" w:type="dxa"/>
            <w:vAlign w:val="center"/>
          </w:tcPr>
          <w:p w:rsidR="001753C6" w:rsidRDefault="001753C6" w:rsidP="00BA0FF9">
            <w:pPr>
              <w:pStyle w:val="Tabletext"/>
            </w:pPr>
            <w:r>
              <w:t>Fee</w:t>
            </w:r>
          </w:p>
        </w:tc>
        <w:tc>
          <w:tcPr>
            <w:tcW w:w="1320" w:type="dxa"/>
            <w:vAlign w:val="center"/>
          </w:tcPr>
          <w:p w:rsidR="001753C6" w:rsidRDefault="001753C6" w:rsidP="00BA0FF9">
            <w:pPr>
              <w:pStyle w:val="Tabletext"/>
              <w:rPr>
                <w:rFonts w:cs="Arial"/>
              </w:rPr>
            </w:pPr>
            <w:r>
              <w:rPr>
                <w:rFonts w:cs="Arial"/>
              </w:rPr>
              <w:t xml:space="preserve">$500 </w:t>
            </w:r>
          </w:p>
        </w:tc>
        <w:tc>
          <w:tcPr>
            <w:tcW w:w="1560" w:type="dxa"/>
            <w:vAlign w:val="center"/>
          </w:tcPr>
          <w:p w:rsidR="001753C6" w:rsidRDefault="001753C6" w:rsidP="00BA0FF9">
            <w:pPr>
              <w:pStyle w:val="Tabletext"/>
              <w:rPr>
                <w:rFonts w:cs="Arial"/>
              </w:rPr>
            </w:pPr>
            <w:r>
              <w:rPr>
                <w:rFonts w:cs="Arial"/>
              </w:rPr>
              <w:t>per Document</w:t>
            </w:r>
          </w:p>
        </w:tc>
        <w:tc>
          <w:tcPr>
            <w:tcW w:w="1320" w:type="dxa"/>
            <w:vAlign w:val="center"/>
          </w:tcPr>
          <w:p w:rsidR="001753C6" w:rsidRDefault="001753C6" w:rsidP="00BA0FF9">
            <w:pPr>
              <w:pStyle w:val="Tabletext"/>
              <w:rPr>
                <w:rFonts w:cs="Arial"/>
              </w:rPr>
            </w:pPr>
            <w:r>
              <w:rPr>
                <w:rFonts w:cs="Arial"/>
              </w:rPr>
              <w:t>-</w:t>
            </w:r>
          </w:p>
        </w:tc>
        <w:tc>
          <w:tcPr>
            <w:tcW w:w="1440" w:type="dxa"/>
            <w:vAlign w:val="center"/>
          </w:tcPr>
          <w:p w:rsidR="001753C6" w:rsidRDefault="001753C6" w:rsidP="00BA0FF9">
            <w:pPr>
              <w:pStyle w:val="Tabletext"/>
              <w:rPr>
                <w:rFonts w:cs="Arial"/>
              </w:rPr>
            </w:pPr>
            <w:r>
              <w:rPr>
                <w:rFonts w:cs="Arial"/>
              </w:rPr>
              <w:t>-</w:t>
            </w:r>
          </w:p>
        </w:tc>
      </w:tr>
    </w:tbl>
    <w:p w:rsidR="001753C6" w:rsidRDefault="001753C6" w:rsidP="00BA0FF9">
      <w:pPr>
        <w:pStyle w:val="sourcenotesreferences"/>
      </w:pPr>
      <w:r>
        <w:rPr>
          <w:vertAlign w:val="superscript"/>
        </w:rPr>
        <w:t>1</w:t>
      </w:r>
      <w:r>
        <w:t xml:space="preserve"> relevant to exporters of livestock by air under an approved arrangement</w:t>
      </w:r>
    </w:p>
    <w:p w:rsidR="001753C6" w:rsidRDefault="001753C6" w:rsidP="00BA0FF9">
      <w:pPr>
        <w:pStyle w:val="sourcenotesreferences"/>
      </w:pPr>
      <w:r>
        <w:rPr>
          <w:vertAlign w:val="superscript"/>
        </w:rPr>
        <w:t>2</w:t>
      </w:r>
      <w:r>
        <w:t xml:space="preserve"> relevant to exporters of livestock by sea under an approved arrangement</w:t>
      </w:r>
    </w:p>
    <w:p w:rsidR="001753C6" w:rsidRDefault="001753C6" w:rsidP="00BA0FF9">
      <w:pPr>
        <w:pStyle w:val="sourcenotesreferences"/>
      </w:pPr>
      <w:r>
        <w:rPr>
          <w:vertAlign w:val="superscript"/>
        </w:rPr>
        <w:lastRenderedPageBreak/>
        <w:t>3</w:t>
      </w:r>
      <w:r>
        <w:t xml:space="preserve"> relevant to exporters of livestock not under an approved arrangement</w:t>
      </w:r>
    </w:p>
    <w:p w:rsidR="001753C6" w:rsidRDefault="001753C6" w:rsidP="00BA0FF9">
      <w:pPr>
        <w:pStyle w:val="sourcenotesreferences"/>
      </w:pPr>
      <w:r>
        <w:rPr>
          <w:vertAlign w:val="superscript"/>
        </w:rPr>
        <w:t>4</w:t>
      </w:r>
      <w:r>
        <w:t xml:space="preserve"> relevant to non livestock exporters</w:t>
      </w:r>
    </w:p>
    <w:p w:rsidR="001753C6" w:rsidRDefault="001753C6" w:rsidP="00BA0FF9">
      <w:pPr>
        <w:pStyle w:val="sourcenotesreferences"/>
      </w:pPr>
      <w:r>
        <w:rPr>
          <w:vertAlign w:val="superscript"/>
        </w:rPr>
        <w:t xml:space="preserve">5 </w:t>
      </w:r>
      <w:r>
        <w:t xml:space="preserve">relevant to owners of a livestock </w:t>
      </w:r>
      <w:r w:rsidR="00BA0FF9">
        <w:t>by sea registered establishment</w:t>
      </w:r>
    </w:p>
    <w:p w:rsidR="001753C6" w:rsidRDefault="001753C6">
      <w:pPr>
        <w:pStyle w:val="Caption"/>
        <w:keepNext/>
      </w:pPr>
      <w:r>
        <w:t>Table 9: Fees, levies and volumes —live animal exports cost recovery arrangement (2016–17 to 2018–19)</w:t>
      </w:r>
    </w:p>
    <w:tbl>
      <w:tblPr>
        <w:tblW w:w="9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960"/>
        <w:gridCol w:w="1320"/>
        <w:gridCol w:w="1560"/>
        <w:gridCol w:w="1320"/>
        <w:gridCol w:w="1440"/>
      </w:tblGrid>
      <w:tr w:rsidR="001753C6" w:rsidTr="006A2A99">
        <w:trPr>
          <w:trHeight w:val="453"/>
          <w:tblHeader/>
        </w:trPr>
        <w:tc>
          <w:tcPr>
            <w:tcW w:w="2515" w:type="dxa"/>
            <w:shd w:val="clear" w:color="auto" w:fill="C6D9F1"/>
            <w:vAlign w:val="center"/>
          </w:tcPr>
          <w:p w:rsidR="001753C6" w:rsidRPr="00BA0FF9" w:rsidRDefault="001753C6" w:rsidP="00BA0FF9">
            <w:pPr>
              <w:pStyle w:val="Tabletext"/>
              <w:rPr>
                <w:rStyle w:val="Strong"/>
              </w:rPr>
            </w:pPr>
            <w:r w:rsidRPr="00BA0FF9">
              <w:rPr>
                <w:rStyle w:val="Strong"/>
              </w:rPr>
              <w:t>Charge title</w:t>
            </w:r>
          </w:p>
        </w:tc>
        <w:tc>
          <w:tcPr>
            <w:tcW w:w="960" w:type="dxa"/>
            <w:shd w:val="clear" w:color="auto" w:fill="C6D9F1"/>
            <w:vAlign w:val="center"/>
          </w:tcPr>
          <w:p w:rsidR="001753C6" w:rsidRPr="00BA0FF9" w:rsidRDefault="001753C6" w:rsidP="00BA0FF9">
            <w:pPr>
              <w:pStyle w:val="Tabletext"/>
              <w:rPr>
                <w:rStyle w:val="Strong"/>
              </w:rPr>
            </w:pPr>
            <w:r w:rsidRPr="00BA0FF9">
              <w:rPr>
                <w:rStyle w:val="Strong"/>
              </w:rPr>
              <w:t>Type</w:t>
            </w:r>
          </w:p>
        </w:tc>
        <w:tc>
          <w:tcPr>
            <w:tcW w:w="1320" w:type="dxa"/>
            <w:shd w:val="clear" w:color="auto" w:fill="C6D9F1"/>
            <w:vAlign w:val="center"/>
          </w:tcPr>
          <w:p w:rsidR="001753C6" w:rsidRPr="00BA0FF9" w:rsidRDefault="001753C6" w:rsidP="00BA0FF9">
            <w:pPr>
              <w:pStyle w:val="Tabletext"/>
              <w:rPr>
                <w:rStyle w:val="Strong"/>
              </w:rPr>
            </w:pPr>
            <w:r w:rsidRPr="00BA0FF9">
              <w:rPr>
                <w:rStyle w:val="Strong"/>
              </w:rPr>
              <w:t>Rate</w:t>
            </w:r>
          </w:p>
        </w:tc>
        <w:tc>
          <w:tcPr>
            <w:tcW w:w="1560" w:type="dxa"/>
            <w:shd w:val="clear" w:color="auto" w:fill="C6D9F1"/>
            <w:vAlign w:val="center"/>
          </w:tcPr>
          <w:p w:rsidR="001753C6" w:rsidRPr="00BA0FF9" w:rsidRDefault="001753C6" w:rsidP="00BA0FF9">
            <w:pPr>
              <w:pStyle w:val="Tabletext"/>
              <w:rPr>
                <w:rStyle w:val="Strong"/>
              </w:rPr>
            </w:pPr>
            <w:r w:rsidRPr="00BA0FF9">
              <w:rPr>
                <w:rStyle w:val="Strong"/>
              </w:rPr>
              <w:t>Unit</w:t>
            </w:r>
          </w:p>
        </w:tc>
        <w:tc>
          <w:tcPr>
            <w:tcW w:w="1320" w:type="dxa"/>
            <w:shd w:val="clear" w:color="auto" w:fill="C6D9F1"/>
            <w:vAlign w:val="center"/>
          </w:tcPr>
          <w:p w:rsidR="001753C6" w:rsidRPr="00BA0FF9" w:rsidRDefault="001753C6" w:rsidP="00BA0FF9">
            <w:pPr>
              <w:pStyle w:val="Tabletext"/>
              <w:rPr>
                <w:rStyle w:val="Strong"/>
              </w:rPr>
            </w:pPr>
            <w:r w:rsidRPr="00BA0FF9">
              <w:rPr>
                <w:rStyle w:val="Strong"/>
              </w:rPr>
              <w:t>Estimated volume</w:t>
            </w:r>
          </w:p>
        </w:tc>
        <w:tc>
          <w:tcPr>
            <w:tcW w:w="1440" w:type="dxa"/>
            <w:shd w:val="clear" w:color="auto" w:fill="C6D9F1"/>
            <w:vAlign w:val="center"/>
          </w:tcPr>
          <w:p w:rsidR="001753C6" w:rsidRPr="00BA0FF9" w:rsidRDefault="001753C6" w:rsidP="00BA0FF9">
            <w:pPr>
              <w:pStyle w:val="Tabletext"/>
              <w:rPr>
                <w:rStyle w:val="Strong"/>
              </w:rPr>
            </w:pPr>
            <w:r w:rsidRPr="00BA0FF9">
              <w:rPr>
                <w:rStyle w:val="Strong"/>
              </w:rPr>
              <w:t>Estimated total revenue</w:t>
            </w:r>
          </w:p>
        </w:tc>
      </w:tr>
      <w:tr w:rsidR="001753C6" w:rsidTr="006A2A99">
        <w:trPr>
          <w:cantSplit/>
          <w:trHeight w:val="510"/>
        </w:trPr>
        <w:tc>
          <w:tcPr>
            <w:tcW w:w="2515" w:type="dxa"/>
            <w:shd w:val="clear" w:color="auto" w:fill="DBE5F1"/>
            <w:vAlign w:val="center"/>
          </w:tcPr>
          <w:p w:rsidR="001753C6" w:rsidRPr="00BA0FF9" w:rsidRDefault="001753C6" w:rsidP="00BA0FF9">
            <w:pPr>
              <w:pStyle w:val="Tabletext"/>
              <w:rPr>
                <w:rStyle w:val="Strong"/>
              </w:rPr>
            </w:pPr>
            <w:r w:rsidRPr="00BA0FF9">
              <w:rPr>
                <w:rStyle w:val="Strong"/>
              </w:rPr>
              <w:t>Levies</w:t>
            </w:r>
          </w:p>
        </w:tc>
        <w:tc>
          <w:tcPr>
            <w:tcW w:w="960" w:type="dxa"/>
            <w:shd w:val="clear" w:color="auto" w:fill="DBE5F1"/>
            <w:vAlign w:val="center"/>
          </w:tcPr>
          <w:p w:rsidR="001753C6" w:rsidRPr="00BA0FF9" w:rsidRDefault="001753C6" w:rsidP="00BA0FF9">
            <w:pPr>
              <w:pStyle w:val="Tabletext"/>
              <w:rPr>
                <w:rStyle w:val="Strong"/>
              </w:rPr>
            </w:pPr>
            <w:r w:rsidRPr="00BA0FF9">
              <w:rPr>
                <w:rStyle w:val="Strong"/>
              </w:rPr>
              <w:t>Type</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Rate</w:t>
            </w:r>
          </w:p>
        </w:tc>
        <w:tc>
          <w:tcPr>
            <w:tcW w:w="1560" w:type="dxa"/>
            <w:shd w:val="clear" w:color="auto" w:fill="DBE5F1"/>
            <w:vAlign w:val="center"/>
          </w:tcPr>
          <w:p w:rsidR="001753C6" w:rsidRPr="00BA0FF9" w:rsidRDefault="001753C6" w:rsidP="00BA0FF9">
            <w:pPr>
              <w:pStyle w:val="Tabletext"/>
              <w:rPr>
                <w:rStyle w:val="Strong"/>
              </w:rPr>
            </w:pPr>
            <w:r w:rsidRPr="00BA0FF9">
              <w:rPr>
                <w:rStyle w:val="Strong"/>
              </w:rPr>
              <w:t>Unit</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Estimated volume</w:t>
            </w:r>
          </w:p>
        </w:tc>
        <w:tc>
          <w:tcPr>
            <w:tcW w:w="1440" w:type="dxa"/>
            <w:shd w:val="clear" w:color="auto" w:fill="DBE5F1"/>
            <w:vAlign w:val="center"/>
          </w:tcPr>
          <w:p w:rsidR="001753C6" w:rsidRPr="00BA0FF9" w:rsidRDefault="001753C6" w:rsidP="00BA0FF9">
            <w:pPr>
              <w:pStyle w:val="Tabletext"/>
              <w:rPr>
                <w:rStyle w:val="Strong"/>
              </w:rPr>
            </w:pPr>
            <w:r w:rsidRPr="00BA0FF9">
              <w:rPr>
                <w:rStyle w:val="Strong"/>
              </w:rPr>
              <w:t>Estimated total revenue</w:t>
            </w:r>
          </w:p>
        </w:tc>
      </w:tr>
      <w:tr w:rsidR="001753C6" w:rsidTr="006A2A99">
        <w:trPr>
          <w:cantSplit/>
          <w:trHeight w:val="510"/>
        </w:trPr>
        <w:tc>
          <w:tcPr>
            <w:tcW w:w="2515" w:type="dxa"/>
            <w:shd w:val="clear" w:color="auto" w:fill="auto"/>
            <w:vAlign w:val="center"/>
          </w:tcPr>
          <w:p w:rsidR="001753C6" w:rsidRDefault="001753C6" w:rsidP="00BA0FF9">
            <w:pPr>
              <w:pStyle w:val="Tabletext"/>
              <w:rPr>
                <w:rFonts w:cs="Arial"/>
              </w:rPr>
            </w:pPr>
            <w:r>
              <w:rPr>
                <w:rFonts w:cs="Arial"/>
              </w:rPr>
              <w:t>Approved Arrangement</w:t>
            </w:r>
            <w:r>
              <w:rPr>
                <w:rFonts w:cs="Arial"/>
                <w:vertAlign w:val="superscript"/>
              </w:rPr>
              <w:t xml:space="preserve"> 1</w:t>
            </w:r>
            <w:r>
              <w:rPr>
                <w:rFonts w:cs="Arial"/>
              </w:rPr>
              <w:br/>
              <w:t>(air)</w:t>
            </w:r>
          </w:p>
        </w:tc>
        <w:tc>
          <w:tcPr>
            <w:tcW w:w="960" w:type="dxa"/>
            <w:shd w:val="clear" w:color="auto" w:fill="auto"/>
            <w:vAlign w:val="center"/>
          </w:tcPr>
          <w:p w:rsidR="001753C6" w:rsidRDefault="001753C6" w:rsidP="00BA0FF9">
            <w:pPr>
              <w:pStyle w:val="Tabletext"/>
            </w:pPr>
            <w:r>
              <w:t>Levy</w:t>
            </w:r>
          </w:p>
        </w:tc>
        <w:tc>
          <w:tcPr>
            <w:tcW w:w="1320" w:type="dxa"/>
            <w:shd w:val="clear" w:color="auto" w:fill="auto"/>
            <w:vAlign w:val="center"/>
          </w:tcPr>
          <w:p w:rsidR="001753C6" w:rsidRDefault="001753C6" w:rsidP="00BA0FF9">
            <w:pPr>
              <w:pStyle w:val="Tabletext"/>
              <w:rPr>
                <w:rFonts w:cs="Arial"/>
              </w:rPr>
            </w:pPr>
            <w:r>
              <w:rPr>
                <w:rFonts w:cs="Arial"/>
              </w:rPr>
              <w:t xml:space="preserve">$10 000 </w:t>
            </w:r>
          </w:p>
        </w:tc>
        <w:tc>
          <w:tcPr>
            <w:tcW w:w="1560" w:type="dxa"/>
            <w:shd w:val="clear" w:color="auto" w:fill="auto"/>
            <w:vAlign w:val="center"/>
          </w:tcPr>
          <w:p w:rsidR="001753C6" w:rsidRDefault="001753C6" w:rsidP="00BA0FF9">
            <w:pPr>
              <w:pStyle w:val="Tabletext"/>
              <w:rPr>
                <w:rFonts w:cs="Arial"/>
              </w:rPr>
            </w:pPr>
            <w:r>
              <w:rPr>
                <w:rFonts w:cs="Arial"/>
              </w:rPr>
              <w:t>Annual</w:t>
            </w:r>
          </w:p>
        </w:tc>
        <w:tc>
          <w:tcPr>
            <w:tcW w:w="1320" w:type="dxa"/>
            <w:vAlign w:val="center"/>
          </w:tcPr>
          <w:p w:rsidR="001753C6" w:rsidRDefault="001753C6" w:rsidP="00BA0FF9">
            <w:pPr>
              <w:pStyle w:val="Tabletext"/>
              <w:rPr>
                <w:rFonts w:cs="Arial"/>
              </w:rPr>
            </w:pPr>
            <w:r>
              <w:rPr>
                <w:rFonts w:cs="Arial"/>
              </w:rPr>
              <w:t xml:space="preserve">18 </w:t>
            </w:r>
          </w:p>
        </w:tc>
        <w:tc>
          <w:tcPr>
            <w:tcW w:w="1440" w:type="dxa"/>
            <w:vAlign w:val="center"/>
          </w:tcPr>
          <w:p w:rsidR="001753C6" w:rsidRDefault="001753C6" w:rsidP="00BA0FF9">
            <w:pPr>
              <w:pStyle w:val="Tabletext"/>
              <w:rPr>
                <w:rFonts w:cs="Arial"/>
              </w:rPr>
            </w:pPr>
            <w:r>
              <w:rPr>
                <w:rFonts w:cs="Arial"/>
              </w:rPr>
              <w:t xml:space="preserve">180 000 </w:t>
            </w:r>
          </w:p>
        </w:tc>
      </w:tr>
      <w:tr w:rsidR="001753C6" w:rsidTr="006A2A99">
        <w:trPr>
          <w:cantSplit/>
          <w:trHeight w:val="510"/>
        </w:trPr>
        <w:tc>
          <w:tcPr>
            <w:tcW w:w="2515" w:type="dxa"/>
            <w:shd w:val="clear" w:color="auto" w:fill="auto"/>
            <w:vAlign w:val="center"/>
          </w:tcPr>
          <w:p w:rsidR="001753C6" w:rsidRDefault="001753C6" w:rsidP="00BA0FF9">
            <w:pPr>
              <w:pStyle w:val="Tabletext"/>
              <w:rPr>
                <w:rFonts w:cs="Arial"/>
              </w:rPr>
            </w:pPr>
            <w:r>
              <w:rPr>
                <w:rFonts w:cs="Arial"/>
              </w:rPr>
              <w:t xml:space="preserve">Approved Arrangement </w:t>
            </w:r>
            <w:r>
              <w:rPr>
                <w:rFonts w:cs="Arial"/>
                <w:vertAlign w:val="superscript"/>
              </w:rPr>
              <w:t>2</w:t>
            </w:r>
            <w:r>
              <w:rPr>
                <w:rFonts w:cs="Arial"/>
              </w:rPr>
              <w:br/>
              <w:t>(sea)</w:t>
            </w:r>
          </w:p>
        </w:tc>
        <w:tc>
          <w:tcPr>
            <w:tcW w:w="960" w:type="dxa"/>
            <w:shd w:val="clear" w:color="auto" w:fill="auto"/>
            <w:vAlign w:val="center"/>
          </w:tcPr>
          <w:p w:rsidR="001753C6" w:rsidRDefault="001753C6" w:rsidP="00BA0FF9">
            <w:pPr>
              <w:pStyle w:val="Tabletext"/>
            </w:pPr>
            <w:r>
              <w:t>Levy</w:t>
            </w:r>
          </w:p>
        </w:tc>
        <w:tc>
          <w:tcPr>
            <w:tcW w:w="1320" w:type="dxa"/>
            <w:shd w:val="clear" w:color="auto" w:fill="auto"/>
            <w:vAlign w:val="center"/>
          </w:tcPr>
          <w:p w:rsidR="001753C6" w:rsidRDefault="001753C6" w:rsidP="00BA0FF9">
            <w:pPr>
              <w:pStyle w:val="Tabletext"/>
              <w:rPr>
                <w:rFonts w:cs="Arial"/>
              </w:rPr>
            </w:pPr>
            <w:r>
              <w:rPr>
                <w:rFonts w:cs="Arial"/>
              </w:rPr>
              <w:t xml:space="preserve">$20 000 </w:t>
            </w:r>
          </w:p>
        </w:tc>
        <w:tc>
          <w:tcPr>
            <w:tcW w:w="1560" w:type="dxa"/>
            <w:shd w:val="clear" w:color="auto" w:fill="auto"/>
            <w:vAlign w:val="center"/>
          </w:tcPr>
          <w:p w:rsidR="001753C6" w:rsidRDefault="001753C6" w:rsidP="00BA0FF9">
            <w:pPr>
              <w:pStyle w:val="Tabletext"/>
              <w:rPr>
                <w:rFonts w:cs="Arial"/>
              </w:rPr>
            </w:pPr>
            <w:r>
              <w:rPr>
                <w:rFonts w:cs="Arial"/>
              </w:rPr>
              <w:t>Annual</w:t>
            </w:r>
          </w:p>
        </w:tc>
        <w:tc>
          <w:tcPr>
            <w:tcW w:w="1320" w:type="dxa"/>
            <w:vAlign w:val="center"/>
          </w:tcPr>
          <w:p w:rsidR="001753C6" w:rsidRDefault="001753C6" w:rsidP="00BA0FF9">
            <w:pPr>
              <w:pStyle w:val="Tabletext"/>
              <w:rPr>
                <w:rFonts w:cs="Arial"/>
              </w:rPr>
            </w:pPr>
            <w:r>
              <w:rPr>
                <w:rFonts w:cs="Arial"/>
              </w:rPr>
              <w:t xml:space="preserve">20 </w:t>
            </w:r>
          </w:p>
        </w:tc>
        <w:tc>
          <w:tcPr>
            <w:tcW w:w="1440" w:type="dxa"/>
            <w:vAlign w:val="center"/>
          </w:tcPr>
          <w:p w:rsidR="001753C6" w:rsidRDefault="001753C6" w:rsidP="00BA0FF9">
            <w:pPr>
              <w:pStyle w:val="Tabletext"/>
              <w:rPr>
                <w:rFonts w:cs="Arial"/>
              </w:rPr>
            </w:pPr>
            <w:r>
              <w:rPr>
                <w:rFonts w:cs="Arial"/>
              </w:rPr>
              <w:t xml:space="preserve">400 000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 xml:space="preserve">Export License  </w:t>
            </w:r>
            <w:r>
              <w:rPr>
                <w:rFonts w:cs="Arial"/>
                <w:vertAlign w:val="superscript"/>
              </w:rPr>
              <w:t>3</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$25 000 </w:t>
            </w:r>
          </w:p>
        </w:tc>
        <w:tc>
          <w:tcPr>
            <w:tcW w:w="1560" w:type="dxa"/>
            <w:vAlign w:val="center"/>
          </w:tcPr>
          <w:p w:rsidR="001753C6" w:rsidRDefault="001753C6" w:rsidP="00BA0FF9">
            <w:pPr>
              <w:pStyle w:val="Tabletext"/>
              <w:rPr>
                <w:rFonts w:cs="Arial"/>
              </w:rPr>
            </w:pPr>
            <w:r>
              <w:rPr>
                <w:rFonts w:cs="Arial"/>
              </w:rPr>
              <w:t>Annual</w:t>
            </w:r>
          </w:p>
        </w:tc>
        <w:tc>
          <w:tcPr>
            <w:tcW w:w="1320" w:type="dxa"/>
            <w:vAlign w:val="center"/>
          </w:tcPr>
          <w:p w:rsidR="001753C6" w:rsidRDefault="001753C6" w:rsidP="00BA0FF9">
            <w:pPr>
              <w:pStyle w:val="Tabletext"/>
              <w:rPr>
                <w:rFonts w:cs="Arial"/>
              </w:rPr>
            </w:pPr>
            <w:r>
              <w:rPr>
                <w:rFonts w:cs="Arial"/>
              </w:rPr>
              <w:t xml:space="preserve"> -  </w:t>
            </w:r>
          </w:p>
        </w:tc>
        <w:tc>
          <w:tcPr>
            <w:tcW w:w="1440" w:type="dxa"/>
            <w:vAlign w:val="center"/>
          </w:tcPr>
          <w:p w:rsidR="001753C6" w:rsidRDefault="001753C6" w:rsidP="00BA0FF9">
            <w:pPr>
              <w:pStyle w:val="Tabletext"/>
              <w:rPr>
                <w:rFonts w:cs="Arial"/>
              </w:rPr>
            </w:pPr>
            <w:r>
              <w:rPr>
                <w:rFonts w:cs="Arial"/>
              </w:rPr>
              <w:t xml:space="preserve"> -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 xml:space="preserve">Throughput - Full Unit </w:t>
            </w:r>
            <w:r>
              <w:rPr>
                <w:rFonts w:cs="Arial"/>
                <w:vertAlign w:val="superscript"/>
              </w:rPr>
              <w:t>1 2 3</w:t>
            </w:r>
            <w:r>
              <w:rPr>
                <w:rFonts w:cs="Arial"/>
              </w:rPr>
              <w:t xml:space="preserve"> (Cattle/Buffalo/Camelids)</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$1.20 </w:t>
            </w:r>
          </w:p>
        </w:tc>
        <w:tc>
          <w:tcPr>
            <w:tcW w:w="1560" w:type="dxa"/>
            <w:vAlign w:val="center"/>
          </w:tcPr>
          <w:p w:rsidR="001753C6" w:rsidRDefault="001753C6" w:rsidP="00BA0FF9">
            <w:pPr>
              <w:pStyle w:val="Tabletext"/>
              <w:rPr>
                <w:rFonts w:cs="Arial"/>
              </w:rPr>
            </w:pPr>
            <w:r>
              <w:rPr>
                <w:rFonts w:cs="Arial"/>
              </w:rPr>
              <w:t>Animal</w:t>
            </w:r>
          </w:p>
        </w:tc>
        <w:tc>
          <w:tcPr>
            <w:tcW w:w="1320" w:type="dxa"/>
            <w:vAlign w:val="center"/>
          </w:tcPr>
          <w:p w:rsidR="001753C6" w:rsidRDefault="001753C6" w:rsidP="00BA0FF9">
            <w:pPr>
              <w:pStyle w:val="Tabletext"/>
              <w:rPr>
                <w:rFonts w:cs="Arial"/>
              </w:rPr>
            </w:pPr>
            <w:r>
              <w:rPr>
                <w:rFonts w:cs="Arial"/>
              </w:rPr>
              <w:t xml:space="preserve">1 120 000 </w:t>
            </w:r>
          </w:p>
        </w:tc>
        <w:tc>
          <w:tcPr>
            <w:tcW w:w="1440" w:type="dxa"/>
            <w:vAlign w:val="center"/>
          </w:tcPr>
          <w:p w:rsidR="001753C6" w:rsidRDefault="001753C6" w:rsidP="00BA0FF9">
            <w:pPr>
              <w:pStyle w:val="Tabletext"/>
              <w:rPr>
                <w:rFonts w:cs="Arial"/>
              </w:rPr>
            </w:pPr>
            <w:r>
              <w:rPr>
                <w:rFonts w:cs="Arial"/>
              </w:rPr>
              <w:t xml:space="preserve">1 344 000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Throughput</w:t>
            </w:r>
            <w:r w:rsidR="00F96CA2">
              <w:rPr>
                <w:rFonts w:cs="Arial"/>
              </w:rPr>
              <w:t xml:space="preserve"> – Full Unit</w:t>
            </w:r>
            <w:r>
              <w:rPr>
                <w:rFonts w:cs="Arial"/>
              </w:rPr>
              <w:t xml:space="preserve"> </w:t>
            </w:r>
            <w:r>
              <w:rPr>
                <w:rFonts w:cs="Arial"/>
                <w:vertAlign w:val="superscript"/>
              </w:rPr>
              <w:t>1 2 3</w:t>
            </w:r>
          </w:p>
          <w:p w:rsidR="001753C6" w:rsidRDefault="001753C6" w:rsidP="00BA0FF9">
            <w:pPr>
              <w:pStyle w:val="Tabletext"/>
              <w:rPr>
                <w:rFonts w:cs="Arial"/>
              </w:rPr>
            </w:pPr>
            <w:r>
              <w:rPr>
                <w:rFonts w:cs="Arial"/>
              </w:rPr>
              <w:t>(Sheep/Goat)</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$ 0.30 </w:t>
            </w:r>
          </w:p>
        </w:tc>
        <w:tc>
          <w:tcPr>
            <w:tcW w:w="1560" w:type="dxa"/>
            <w:vAlign w:val="center"/>
          </w:tcPr>
          <w:p w:rsidR="001753C6" w:rsidRDefault="001753C6" w:rsidP="00BA0FF9">
            <w:pPr>
              <w:pStyle w:val="Tabletext"/>
              <w:rPr>
                <w:rFonts w:cs="Arial"/>
              </w:rPr>
            </w:pPr>
            <w:r>
              <w:rPr>
                <w:rFonts w:cs="Arial"/>
              </w:rPr>
              <w:t>Animal</w:t>
            </w:r>
          </w:p>
        </w:tc>
        <w:tc>
          <w:tcPr>
            <w:tcW w:w="1320" w:type="dxa"/>
            <w:vAlign w:val="center"/>
          </w:tcPr>
          <w:p w:rsidR="001753C6" w:rsidRDefault="001753C6" w:rsidP="00BA0FF9">
            <w:pPr>
              <w:pStyle w:val="Tabletext"/>
              <w:rPr>
                <w:rFonts w:cs="Arial"/>
              </w:rPr>
            </w:pPr>
            <w:r>
              <w:rPr>
                <w:rFonts w:cs="Arial"/>
              </w:rPr>
              <w:t xml:space="preserve">2 400 000 </w:t>
            </w:r>
          </w:p>
        </w:tc>
        <w:tc>
          <w:tcPr>
            <w:tcW w:w="1440" w:type="dxa"/>
            <w:vAlign w:val="center"/>
          </w:tcPr>
          <w:p w:rsidR="001753C6" w:rsidRDefault="001753C6" w:rsidP="00BA0FF9">
            <w:pPr>
              <w:pStyle w:val="Tabletext"/>
              <w:rPr>
                <w:rFonts w:cs="Arial"/>
              </w:rPr>
            </w:pPr>
            <w:r>
              <w:rPr>
                <w:rFonts w:cs="Arial"/>
              </w:rPr>
              <w:t xml:space="preserve">720 000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 xml:space="preserve">Export Permit </w:t>
            </w:r>
            <w:r>
              <w:rPr>
                <w:rFonts w:cs="Arial"/>
                <w:vertAlign w:val="superscript"/>
              </w:rPr>
              <w:t>4</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$130 </w:t>
            </w:r>
          </w:p>
        </w:tc>
        <w:tc>
          <w:tcPr>
            <w:tcW w:w="1560" w:type="dxa"/>
            <w:vAlign w:val="center"/>
          </w:tcPr>
          <w:p w:rsidR="001753C6" w:rsidRDefault="001753C6" w:rsidP="00BA0FF9">
            <w:pPr>
              <w:pStyle w:val="Tabletext"/>
              <w:rPr>
                <w:rFonts w:cs="Arial"/>
              </w:rPr>
            </w:pPr>
            <w:r>
              <w:rPr>
                <w:rFonts w:cs="Arial"/>
              </w:rPr>
              <w:t>Document</w:t>
            </w:r>
          </w:p>
        </w:tc>
        <w:tc>
          <w:tcPr>
            <w:tcW w:w="1320" w:type="dxa"/>
            <w:vAlign w:val="center"/>
          </w:tcPr>
          <w:p w:rsidR="001753C6" w:rsidRDefault="001753C6" w:rsidP="00BA0FF9">
            <w:pPr>
              <w:pStyle w:val="Tabletext"/>
              <w:rPr>
                <w:rFonts w:cs="Arial"/>
              </w:rPr>
            </w:pPr>
            <w:r>
              <w:rPr>
                <w:rFonts w:cs="Arial"/>
              </w:rPr>
              <w:t>10 214</w:t>
            </w:r>
          </w:p>
        </w:tc>
        <w:tc>
          <w:tcPr>
            <w:tcW w:w="1440" w:type="dxa"/>
            <w:vAlign w:val="center"/>
          </w:tcPr>
          <w:p w:rsidR="001753C6" w:rsidRDefault="001753C6" w:rsidP="00BA0FF9">
            <w:pPr>
              <w:pStyle w:val="Tabletext"/>
              <w:rPr>
                <w:rFonts w:cs="Arial"/>
              </w:rPr>
            </w:pPr>
            <w:r>
              <w:rPr>
                <w:rFonts w:cs="Arial"/>
              </w:rPr>
              <w:t xml:space="preserve">1 327 820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 xml:space="preserve">Establishment (Premises) Registration </w:t>
            </w:r>
            <w:r>
              <w:rPr>
                <w:rFonts w:cs="Arial"/>
                <w:vertAlign w:val="superscript"/>
              </w:rPr>
              <w:t>5</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$5 000 </w:t>
            </w:r>
          </w:p>
        </w:tc>
        <w:tc>
          <w:tcPr>
            <w:tcW w:w="1560" w:type="dxa"/>
            <w:vAlign w:val="center"/>
          </w:tcPr>
          <w:p w:rsidR="001753C6" w:rsidRDefault="001753C6" w:rsidP="00BA0FF9">
            <w:pPr>
              <w:pStyle w:val="Tabletext"/>
              <w:rPr>
                <w:rFonts w:cs="Arial"/>
              </w:rPr>
            </w:pPr>
            <w:r>
              <w:rPr>
                <w:rFonts w:cs="Arial"/>
              </w:rPr>
              <w:t>Annual</w:t>
            </w:r>
          </w:p>
        </w:tc>
        <w:tc>
          <w:tcPr>
            <w:tcW w:w="1320" w:type="dxa"/>
            <w:vAlign w:val="center"/>
          </w:tcPr>
          <w:p w:rsidR="001753C6" w:rsidRDefault="001753C6" w:rsidP="00BA0FF9">
            <w:pPr>
              <w:pStyle w:val="Tabletext"/>
              <w:rPr>
                <w:rFonts w:cs="Arial"/>
              </w:rPr>
            </w:pPr>
            <w:r>
              <w:rPr>
                <w:rFonts w:cs="Arial"/>
              </w:rPr>
              <w:t xml:space="preserve">81 </w:t>
            </w:r>
          </w:p>
        </w:tc>
        <w:tc>
          <w:tcPr>
            <w:tcW w:w="1440" w:type="dxa"/>
            <w:vAlign w:val="center"/>
          </w:tcPr>
          <w:p w:rsidR="001753C6" w:rsidRDefault="001753C6" w:rsidP="00BA0FF9">
            <w:pPr>
              <w:pStyle w:val="Tabletext"/>
              <w:rPr>
                <w:rFonts w:cs="Arial"/>
              </w:rPr>
            </w:pPr>
            <w:r>
              <w:rPr>
                <w:rFonts w:cs="Arial"/>
              </w:rPr>
              <w:t xml:space="preserve">405 000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Application</w:t>
            </w:r>
            <w:r>
              <w:rPr>
                <w:rFonts w:cs="Arial"/>
                <w:vertAlign w:val="superscript"/>
              </w:rPr>
              <w:t xml:space="preserve"> 1 2 3 5</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 xml:space="preserve">$600 </w:t>
            </w:r>
          </w:p>
        </w:tc>
        <w:tc>
          <w:tcPr>
            <w:tcW w:w="1560" w:type="dxa"/>
            <w:vAlign w:val="center"/>
          </w:tcPr>
          <w:p w:rsidR="001753C6" w:rsidRDefault="001753C6" w:rsidP="00BA0FF9">
            <w:pPr>
              <w:pStyle w:val="Tabletext"/>
              <w:rPr>
                <w:rFonts w:cs="Arial"/>
              </w:rPr>
            </w:pPr>
            <w:r>
              <w:rPr>
                <w:rFonts w:cs="Arial"/>
              </w:rPr>
              <w:t>Application</w:t>
            </w:r>
          </w:p>
        </w:tc>
        <w:tc>
          <w:tcPr>
            <w:tcW w:w="1320" w:type="dxa"/>
            <w:vAlign w:val="center"/>
          </w:tcPr>
          <w:p w:rsidR="001753C6" w:rsidRDefault="001753C6" w:rsidP="00BA0FF9">
            <w:pPr>
              <w:pStyle w:val="Tabletext"/>
              <w:rPr>
                <w:rFonts w:cs="Arial"/>
              </w:rPr>
            </w:pPr>
            <w:r>
              <w:rPr>
                <w:rFonts w:cs="Arial"/>
              </w:rPr>
              <w:t>-</w:t>
            </w:r>
          </w:p>
        </w:tc>
        <w:tc>
          <w:tcPr>
            <w:tcW w:w="1440" w:type="dxa"/>
            <w:vAlign w:val="center"/>
          </w:tcPr>
          <w:p w:rsidR="001753C6" w:rsidRDefault="001753C6" w:rsidP="00BA0FF9">
            <w:pPr>
              <w:pStyle w:val="Tabletext"/>
              <w:rPr>
                <w:rFonts w:cs="Arial"/>
              </w:rPr>
            </w:pPr>
            <w:r>
              <w:rPr>
                <w:rFonts w:cs="Arial"/>
              </w:rPr>
              <w:t xml:space="preserve"> -   </w:t>
            </w:r>
          </w:p>
        </w:tc>
      </w:tr>
      <w:tr w:rsidR="001753C6" w:rsidTr="006A2A99">
        <w:trPr>
          <w:cantSplit/>
          <w:trHeight w:val="510"/>
        </w:trPr>
        <w:tc>
          <w:tcPr>
            <w:tcW w:w="2515" w:type="dxa"/>
            <w:vAlign w:val="center"/>
          </w:tcPr>
          <w:p w:rsidR="001753C6" w:rsidRDefault="001753C6" w:rsidP="00BA0FF9">
            <w:pPr>
              <w:pStyle w:val="Tabletext"/>
              <w:rPr>
                <w:rFonts w:cs="Arial"/>
              </w:rPr>
            </w:pPr>
            <w:r>
              <w:rPr>
                <w:rFonts w:cs="Arial"/>
              </w:rPr>
              <w:t xml:space="preserve">Approval Variation </w:t>
            </w:r>
            <w:r>
              <w:rPr>
                <w:rFonts w:cs="Arial"/>
                <w:vertAlign w:val="superscript"/>
              </w:rPr>
              <w:t>1 2 3 5</w:t>
            </w:r>
          </w:p>
        </w:tc>
        <w:tc>
          <w:tcPr>
            <w:tcW w:w="960" w:type="dxa"/>
            <w:vAlign w:val="center"/>
          </w:tcPr>
          <w:p w:rsidR="001753C6" w:rsidRDefault="001753C6" w:rsidP="00BA0FF9">
            <w:pPr>
              <w:pStyle w:val="Tabletext"/>
            </w:pPr>
            <w:r>
              <w:t>Levy</w:t>
            </w:r>
          </w:p>
        </w:tc>
        <w:tc>
          <w:tcPr>
            <w:tcW w:w="1320" w:type="dxa"/>
            <w:vAlign w:val="center"/>
          </w:tcPr>
          <w:p w:rsidR="001753C6" w:rsidRDefault="001753C6" w:rsidP="00BA0FF9">
            <w:pPr>
              <w:pStyle w:val="Tabletext"/>
              <w:rPr>
                <w:rFonts w:cs="Arial"/>
              </w:rPr>
            </w:pPr>
            <w:r>
              <w:rPr>
                <w:rFonts w:cs="Arial"/>
              </w:rPr>
              <w:t>$300</w:t>
            </w:r>
          </w:p>
        </w:tc>
        <w:tc>
          <w:tcPr>
            <w:tcW w:w="1560" w:type="dxa"/>
            <w:vAlign w:val="center"/>
          </w:tcPr>
          <w:p w:rsidR="001753C6" w:rsidRDefault="001753C6" w:rsidP="00BA0FF9">
            <w:pPr>
              <w:pStyle w:val="Tabletext"/>
              <w:rPr>
                <w:rFonts w:cs="Arial"/>
              </w:rPr>
            </w:pPr>
            <w:r>
              <w:rPr>
                <w:rFonts w:cs="Arial"/>
              </w:rPr>
              <w:t>Variation</w:t>
            </w:r>
          </w:p>
        </w:tc>
        <w:tc>
          <w:tcPr>
            <w:tcW w:w="1320" w:type="dxa"/>
            <w:vAlign w:val="center"/>
          </w:tcPr>
          <w:p w:rsidR="001753C6" w:rsidRDefault="001753C6" w:rsidP="00BA0FF9">
            <w:pPr>
              <w:pStyle w:val="Tabletext"/>
              <w:rPr>
                <w:rFonts w:cs="Arial"/>
              </w:rPr>
            </w:pPr>
            <w:r>
              <w:rPr>
                <w:rFonts w:cs="Arial"/>
              </w:rPr>
              <w:t>-</w:t>
            </w:r>
          </w:p>
        </w:tc>
        <w:tc>
          <w:tcPr>
            <w:tcW w:w="1440" w:type="dxa"/>
            <w:vAlign w:val="center"/>
          </w:tcPr>
          <w:p w:rsidR="001753C6" w:rsidRDefault="001753C6" w:rsidP="00BA0FF9">
            <w:pPr>
              <w:pStyle w:val="Tabletext"/>
              <w:rPr>
                <w:rFonts w:cs="Arial"/>
              </w:rPr>
            </w:pPr>
            <w:r>
              <w:rPr>
                <w:rFonts w:cs="Arial"/>
              </w:rPr>
              <w:t>-</w:t>
            </w:r>
          </w:p>
        </w:tc>
      </w:tr>
      <w:tr w:rsidR="001753C6" w:rsidTr="006A2A99">
        <w:trPr>
          <w:cantSplit/>
          <w:trHeight w:val="510"/>
        </w:trPr>
        <w:tc>
          <w:tcPr>
            <w:tcW w:w="2515"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Inspection</w:t>
            </w:r>
          </w:p>
        </w:tc>
        <w:tc>
          <w:tcPr>
            <w:tcW w:w="96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Type</w:t>
            </w:r>
          </w:p>
        </w:tc>
        <w:tc>
          <w:tcPr>
            <w:tcW w:w="132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Rate</w:t>
            </w:r>
          </w:p>
        </w:tc>
        <w:tc>
          <w:tcPr>
            <w:tcW w:w="156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Unit</w:t>
            </w:r>
          </w:p>
        </w:tc>
        <w:tc>
          <w:tcPr>
            <w:tcW w:w="132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Estimated volume</w:t>
            </w:r>
          </w:p>
        </w:tc>
        <w:tc>
          <w:tcPr>
            <w:tcW w:w="1440" w:type="dxa"/>
            <w:tcBorders>
              <w:top w:val="single" w:sz="4" w:space="0" w:color="auto"/>
            </w:tcBorders>
            <w:shd w:val="clear" w:color="auto" w:fill="DBE5F1"/>
            <w:vAlign w:val="center"/>
          </w:tcPr>
          <w:p w:rsidR="001753C6" w:rsidRPr="00BA0FF9" w:rsidRDefault="001753C6" w:rsidP="00BA0FF9">
            <w:pPr>
              <w:pStyle w:val="Tabletext"/>
              <w:rPr>
                <w:rStyle w:val="Strong"/>
              </w:rPr>
            </w:pPr>
            <w:r w:rsidRPr="00BA0FF9">
              <w:rPr>
                <w:rStyle w:val="Strong"/>
              </w:rPr>
              <w:t>Estimated total revenue</w:t>
            </w:r>
          </w:p>
        </w:tc>
      </w:tr>
      <w:tr w:rsidR="001753C6" w:rsidTr="006A2A99">
        <w:trPr>
          <w:cantSplit/>
          <w:trHeight w:val="510"/>
        </w:trPr>
        <w:tc>
          <w:tcPr>
            <w:tcW w:w="2515" w:type="dxa"/>
            <w:tcBorders>
              <w:top w:val="single" w:sz="4" w:space="0" w:color="auto"/>
            </w:tcBorders>
            <w:vAlign w:val="center"/>
          </w:tcPr>
          <w:p w:rsidR="001753C6" w:rsidRDefault="001753C6" w:rsidP="00BA0FF9">
            <w:pPr>
              <w:pStyle w:val="Tabletext"/>
              <w:rPr>
                <w:rFonts w:cs="Arial"/>
              </w:rPr>
            </w:pPr>
            <w:r>
              <w:rPr>
                <w:rFonts w:cs="Arial"/>
              </w:rPr>
              <w:t>Inspection</w:t>
            </w:r>
            <w:r>
              <w:rPr>
                <w:rFonts w:cs="Arial"/>
                <w:vertAlign w:val="superscript"/>
              </w:rPr>
              <w:t xml:space="preserve"> 1 2 3 4</w:t>
            </w:r>
          </w:p>
        </w:tc>
        <w:tc>
          <w:tcPr>
            <w:tcW w:w="960" w:type="dxa"/>
            <w:tcBorders>
              <w:top w:val="single" w:sz="4" w:space="0" w:color="auto"/>
            </w:tcBorders>
            <w:vAlign w:val="center"/>
          </w:tcPr>
          <w:p w:rsidR="001753C6" w:rsidRDefault="001753C6" w:rsidP="00BA0FF9">
            <w:pPr>
              <w:pStyle w:val="Tabletext"/>
            </w:pPr>
            <w:r>
              <w:t>Fee</w:t>
            </w:r>
          </w:p>
        </w:tc>
        <w:tc>
          <w:tcPr>
            <w:tcW w:w="1320" w:type="dxa"/>
            <w:tcBorders>
              <w:top w:val="single" w:sz="4" w:space="0" w:color="auto"/>
            </w:tcBorders>
            <w:vAlign w:val="center"/>
          </w:tcPr>
          <w:p w:rsidR="001753C6" w:rsidRDefault="001753C6" w:rsidP="00BA0FF9">
            <w:pPr>
              <w:pStyle w:val="Tabletext"/>
              <w:rPr>
                <w:rFonts w:cs="Arial"/>
              </w:rPr>
            </w:pPr>
            <w:r>
              <w:rPr>
                <w:rFonts w:cs="Arial"/>
              </w:rPr>
              <w:t xml:space="preserve">$55 </w:t>
            </w:r>
          </w:p>
        </w:tc>
        <w:tc>
          <w:tcPr>
            <w:tcW w:w="1560" w:type="dxa"/>
            <w:tcBorders>
              <w:top w:val="single" w:sz="4" w:space="0" w:color="auto"/>
            </w:tcBorders>
            <w:vAlign w:val="center"/>
          </w:tcPr>
          <w:p w:rsidR="001753C6" w:rsidRDefault="001753C6" w:rsidP="00BA0FF9">
            <w:pPr>
              <w:pStyle w:val="Tabletext"/>
              <w:rPr>
                <w:rFonts w:cs="Arial"/>
              </w:rPr>
            </w:pPr>
            <w:r>
              <w:rPr>
                <w:rFonts w:cs="Arial"/>
              </w:rPr>
              <w:t>per 15 minutes</w:t>
            </w:r>
          </w:p>
          <w:p w:rsidR="001753C6" w:rsidRDefault="001753C6" w:rsidP="00BA0FF9">
            <w:pPr>
              <w:pStyle w:val="Tabletext"/>
              <w:rPr>
                <w:rFonts w:cs="Arial"/>
              </w:rPr>
            </w:pPr>
            <w:r>
              <w:rPr>
                <w:rFonts w:cs="Arial"/>
                <w:sz w:val="18"/>
                <w:szCs w:val="18"/>
              </w:rPr>
              <w:t>(or part thereof)</w:t>
            </w:r>
          </w:p>
        </w:tc>
        <w:tc>
          <w:tcPr>
            <w:tcW w:w="1320" w:type="dxa"/>
            <w:tcBorders>
              <w:top w:val="single" w:sz="4" w:space="0" w:color="auto"/>
            </w:tcBorders>
            <w:vAlign w:val="center"/>
          </w:tcPr>
          <w:p w:rsidR="001753C6" w:rsidRDefault="001753C6" w:rsidP="00BA0FF9">
            <w:pPr>
              <w:pStyle w:val="Tabletext"/>
              <w:rPr>
                <w:rFonts w:cs="Arial"/>
              </w:rPr>
            </w:pPr>
            <w:r>
              <w:rPr>
                <w:rFonts w:cs="Arial"/>
              </w:rPr>
              <w:t xml:space="preserve">22 915 </w:t>
            </w:r>
          </w:p>
        </w:tc>
        <w:tc>
          <w:tcPr>
            <w:tcW w:w="1440" w:type="dxa"/>
            <w:tcBorders>
              <w:top w:val="single" w:sz="4" w:space="0" w:color="auto"/>
            </w:tcBorders>
            <w:vAlign w:val="center"/>
          </w:tcPr>
          <w:p w:rsidR="001753C6" w:rsidRDefault="001753C6" w:rsidP="00BA0FF9">
            <w:pPr>
              <w:pStyle w:val="Tabletext"/>
              <w:rPr>
                <w:rFonts w:cs="Arial"/>
              </w:rPr>
            </w:pPr>
            <w:r>
              <w:rPr>
                <w:rFonts w:cs="Arial"/>
              </w:rPr>
              <w:t>1 260 325</w:t>
            </w:r>
          </w:p>
        </w:tc>
      </w:tr>
      <w:tr w:rsidR="001753C6" w:rsidTr="006A2A99">
        <w:trPr>
          <w:cantSplit/>
          <w:trHeight w:val="510"/>
        </w:trPr>
        <w:tc>
          <w:tcPr>
            <w:tcW w:w="2515" w:type="dxa"/>
            <w:tcBorders>
              <w:top w:val="single" w:sz="4" w:space="0" w:color="auto"/>
            </w:tcBorders>
            <w:vAlign w:val="center"/>
          </w:tcPr>
          <w:p w:rsidR="001753C6" w:rsidRDefault="001753C6" w:rsidP="00BA0FF9">
            <w:pPr>
              <w:pStyle w:val="Tabletext"/>
              <w:rPr>
                <w:rFonts w:cs="Arial"/>
              </w:rPr>
            </w:pPr>
            <w:r>
              <w:rPr>
                <w:rFonts w:cs="Arial"/>
              </w:rPr>
              <w:t xml:space="preserve">Additional Inspection </w:t>
            </w:r>
            <w:r>
              <w:rPr>
                <w:rFonts w:cs="Arial"/>
                <w:vertAlign w:val="superscript"/>
              </w:rPr>
              <w:t>1 2 3 4</w:t>
            </w:r>
          </w:p>
        </w:tc>
        <w:tc>
          <w:tcPr>
            <w:tcW w:w="960" w:type="dxa"/>
            <w:tcBorders>
              <w:top w:val="single" w:sz="4" w:space="0" w:color="auto"/>
            </w:tcBorders>
            <w:vAlign w:val="center"/>
          </w:tcPr>
          <w:p w:rsidR="001753C6" w:rsidRDefault="001753C6" w:rsidP="00BA0FF9">
            <w:pPr>
              <w:pStyle w:val="Tabletext"/>
            </w:pPr>
            <w:r>
              <w:t>Fee</w:t>
            </w:r>
          </w:p>
        </w:tc>
        <w:tc>
          <w:tcPr>
            <w:tcW w:w="1320" w:type="dxa"/>
            <w:tcBorders>
              <w:top w:val="single" w:sz="4" w:space="0" w:color="auto"/>
            </w:tcBorders>
            <w:vAlign w:val="center"/>
          </w:tcPr>
          <w:p w:rsidR="001753C6" w:rsidRDefault="002A2CA8" w:rsidP="00BA0FF9">
            <w:pPr>
              <w:pStyle w:val="Tabletext"/>
              <w:rPr>
                <w:rFonts w:cs="Arial"/>
              </w:rPr>
            </w:pPr>
            <w:r>
              <w:rPr>
                <w:rFonts w:cs="Arial"/>
              </w:rPr>
              <w:t>$71</w:t>
            </w:r>
          </w:p>
        </w:tc>
        <w:tc>
          <w:tcPr>
            <w:tcW w:w="1560" w:type="dxa"/>
            <w:tcBorders>
              <w:top w:val="single" w:sz="4" w:space="0" w:color="auto"/>
            </w:tcBorders>
            <w:vAlign w:val="center"/>
          </w:tcPr>
          <w:p w:rsidR="001753C6" w:rsidRDefault="001753C6" w:rsidP="00BA0FF9">
            <w:pPr>
              <w:pStyle w:val="Tabletext"/>
              <w:rPr>
                <w:rFonts w:cs="Arial"/>
              </w:rPr>
            </w:pPr>
            <w:r>
              <w:rPr>
                <w:rFonts w:cs="Arial"/>
              </w:rPr>
              <w:t>per 15 minutes</w:t>
            </w:r>
          </w:p>
          <w:p w:rsidR="001753C6" w:rsidRDefault="001753C6" w:rsidP="00BA0FF9">
            <w:pPr>
              <w:pStyle w:val="Tabletext"/>
              <w:rPr>
                <w:rFonts w:cs="Arial"/>
              </w:rPr>
            </w:pPr>
            <w:r>
              <w:rPr>
                <w:rFonts w:cs="Arial"/>
                <w:sz w:val="18"/>
                <w:szCs w:val="18"/>
              </w:rPr>
              <w:t>(or part thereof)</w:t>
            </w:r>
          </w:p>
        </w:tc>
        <w:tc>
          <w:tcPr>
            <w:tcW w:w="1320" w:type="dxa"/>
            <w:tcBorders>
              <w:top w:val="single" w:sz="4" w:space="0" w:color="auto"/>
            </w:tcBorders>
            <w:vAlign w:val="center"/>
          </w:tcPr>
          <w:p w:rsidR="001753C6" w:rsidRDefault="001753C6" w:rsidP="00BA0FF9">
            <w:pPr>
              <w:pStyle w:val="Tabletext"/>
              <w:rPr>
                <w:rFonts w:cs="Arial"/>
              </w:rPr>
            </w:pPr>
            <w:r>
              <w:rPr>
                <w:rFonts w:cs="Arial"/>
              </w:rPr>
              <w:t>-</w:t>
            </w:r>
          </w:p>
        </w:tc>
        <w:tc>
          <w:tcPr>
            <w:tcW w:w="1440" w:type="dxa"/>
            <w:tcBorders>
              <w:top w:val="single" w:sz="4" w:space="0" w:color="auto"/>
            </w:tcBorders>
            <w:vAlign w:val="center"/>
          </w:tcPr>
          <w:p w:rsidR="001753C6" w:rsidRDefault="001753C6" w:rsidP="00BA0FF9">
            <w:pPr>
              <w:pStyle w:val="Tabletext"/>
              <w:rPr>
                <w:rFonts w:cs="Arial"/>
              </w:rPr>
            </w:pPr>
            <w:r>
              <w:rPr>
                <w:rFonts w:cs="Arial"/>
              </w:rPr>
              <w:t>-</w:t>
            </w:r>
          </w:p>
        </w:tc>
      </w:tr>
      <w:tr w:rsidR="001753C6" w:rsidTr="006A2A99">
        <w:trPr>
          <w:trHeight w:val="510"/>
        </w:trPr>
        <w:tc>
          <w:tcPr>
            <w:tcW w:w="2515" w:type="dxa"/>
            <w:shd w:val="clear" w:color="auto" w:fill="DBE5F1"/>
            <w:vAlign w:val="center"/>
          </w:tcPr>
          <w:p w:rsidR="001753C6" w:rsidRPr="00BA0FF9" w:rsidRDefault="001753C6" w:rsidP="00BA0FF9">
            <w:pPr>
              <w:pStyle w:val="Tabletext"/>
              <w:rPr>
                <w:rStyle w:val="Strong"/>
              </w:rPr>
            </w:pPr>
            <w:r w:rsidRPr="00BA0FF9">
              <w:rPr>
                <w:rStyle w:val="Strong"/>
              </w:rPr>
              <w:t>Audit</w:t>
            </w:r>
          </w:p>
        </w:tc>
        <w:tc>
          <w:tcPr>
            <w:tcW w:w="960" w:type="dxa"/>
            <w:shd w:val="clear" w:color="auto" w:fill="DBE5F1"/>
            <w:vAlign w:val="center"/>
          </w:tcPr>
          <w:p w:rsidR="001753C6" w:rsidRPr="00BA0FF9" w:rsidRDefault="001753C6" w:rsidP="00BA0FF9">
            <w:pPr>
              <w:pStyle w:val="Tabletext"/>
              <w:rPr>
                <w:rStyle w:val="Strong"/>
              </w:rPr>
            </w:pPr>
            <w:r w:rsidRPr="00BA0FF9">
              <w:rPr>
                <w:rStyle w:val="Strong"/>
              </w:rPr>
              <w:t>Type</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Rate</w:t>
            </w:r>
          </w:p>
        </w:tc>
        <w:tc>
          <w:tcPr>
            <w:tcW w:w="1560" w:type="dxa"/>
            <w:shd w:val="clear" w:color="auto" w:fill="DBE5F1"/>
            <w:vAlign w:val="center"/>
          </w:tcPr>
          <w:p w:rsidR="001753C6" w:rsidRPr="00BA0FF9" w:rsidRDefault="001753C6" w:rsidP="00BA0FF9">
            <w:pPr>
              <w:pStyle w:val="Tabletext"/>
              <w:rPr>
                <w:rStyle w:val="Strong"/>
              </w:rPr>
            </w:pPr>
            <w:r w:rsidRPr="00BA0FF9">
              <w:rPr>
                <w:rStyle w:val="Strong"/>
              </w:rPr>
              <w:t>Unit</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Estimated volume</w:t>
            </w:r>
          </w:p>
        </w:tc>
        <w:tc>
          <w:tcPr>
            <w:tcW w:w="1440" w:type="dxa"/>
            <w:shd w:val="clear" w:color="auto" w:fill="DBE5F1"/>
            <w:vAlign w:val="center"/>
          </w:tcPr>
          <w:p w:rsidR="001753C6" w:rsidRPr="00BA0FF9" w:rsidRDefault="001753C6" w:rsidP="00BA0FF9">
            <w:pPr>
              <w:pStyle w:val="Tabletext"/>
              <w:rPr>
                <w:rStyle w:val="Strong"/>
              </w:rPr>
            </w:pPr>
            <w:r w:rsidRPr="00BA0FF9">
              <w:rPr>
                <w:rStyle w:val="Strong"/>
              </w:rPr>
              <w:t>Estimated total revenue</w:t>
            </w:r>
          </w:p>
        </w:tc>
      </w:tr>
      <w:tr w:rsidR="001753C6" w:rsidTr="006A2A99">
        <w:trPr>
          <w:trHeight w:val="510"/>
        </w:trPr>
        <w:tc>
          <w:tcPr>
            <w:tcW w:w="2515" w:type="dxa"/>
            <w:vAlign w:val="center"/>
          </w:tcPr>
          <w:p w:rsidR="001753C6" w:rsidRDefault="001753C6" w:rsidP="00BA0FF9">
            <w:pPr>
              <w:pStyle w:val="Tabletext"/>
              <w:rPr>
                <w:color w:val="000000"/>
              </w:rPr>
            </w:pPr>
            <w:r>
              <w:rPr>
                <w:rFonts w:cs="Arial"/>
              </w:rPr>
              <w:t xml:space="preserve">Audit </w:t>
            </w:r>
            <w:r>
              <w:rPr>
                <w:rFonts w:cs="Arial"/>
                <w:vertAlign w:val="superscript"/>
              </w:rPr>
              <w:t>1 2 3 4</w:t>
            </w:r>
          </w:p>
        </w:tc>
        <w:tc>
          <w:tcPr>
            <w:tcW w:w="960" w:type="dxa"/>
            <w:vAlign w:val="center"/>
          </w:tcPr>
          <w:p w:rsidR="001753C6" w:rsidRDefault="001753C6" w:rsidP="00BA0FF9">
            <w:pPr>
              <w:pStyle w:val="Tabletext"/>
            </w:pPr>
            <w:r>
              <w:t>Fee</w:t>
            </w:r>
          </w:p>
        </w:tc>
        <w:tc>
          <w:tcPr>
            <w:tcW w:w="1320" w:type="dxa"/>
            <w:vAlign w:val="center"/>
          </w:tcPr>
          <w:p w:rsidR="001753C6" w:rsidRDefault="001753C6" w:rsidP="00BA0FF9">
            <w:pPr>
              <w:pStyle w:val="Tabletext"/>
              <w:rPr>
                <w:rFonts w:cs="Arial"/>
              </w:rPr>
            </w:pPr>
            <w:r>
              <w:rPr>
                <w:rFonts w:cs="Arial"/>
              </w:rPr>
              <w:t>$43</w:t>
            </w:r>
          </w:p>
        </w:tc>
        <w:tc>
          <w:tcPr>
            <w:tcW w:w="1560" w:type="dxa"/>
            <w:vAlign w:val="center"/>
          </w:tcPr>
          <w:p w:rsidR="001753C6" w:rsidRDefault="001753C6" w:rsidP="00BA0FF9">
            <w:pPr>
              <w:pStyle w:val="Tabletext"/>
              <w:rPr>
                <w:rFonts w:cs="Arial"/>
              </w:rPr>
            </w:pPr>
            <w:r>
              <w:rPr>
                <w:rFonts w:cs="Arial"/>
              </w:rPr>
              <w:t>per 15 minutes</w:t>
            </w:r>
          </w:p>
          <w:p w:rsidR="001753C6" w:rsidRDefault="001753C6" w:rsidP="00BA0FF9">
            <w:pPr>
              <w:pStyle w:val="Tabletext"/>
              <w:rPr>
                <w:i/>
              </w:rPr>
            </w:pPr>
            <w:r>
              <w:rPr>
                <w:rFonts w:cs="Arial"/>
                <w:sz w:val="18"/>
                <w:szCs w:val="18"/>
              </w:rPr>
              <w:t>(or part thereof)</w:t>
            </w:r>
          </w:p>
        </w:tc>
        <w:tc>
          <w:tcPr>
            <w:tcW w:w="1320" w:type="dxa"/>
            <w:vAlign w:val="center"/>
          </w:tcPr>
          <w:p w:rsidR="001753C6" w:rsidRDefault="001753C6" w:rsidP="00BA0FF9">
            <w:pPr>
              <w:pStyle w:val="Tabletext"/>
              <w:rPr>
                <w:rFonts w:cs="Arial"/>
              </w:rPr>
            </w:pPr>
            <w:r>
              <w:rPr>
                <w:rFonts w:cs="Arial"/>
              </w:rPr>
              <w:t>8 075</w:t>
            </w:r>
          </w:p>
        </w:tc>
        <w:tc>
          <w:tcPr>
            <w:tcW w:w="1440" w:type="dxa"/>
            <w:vAlign w:val="center"/>
          </w:tcPr>
          <w:p w:rsidR="001753C6" w:rsidRDefault="001753C6" w:rsidP="00BA0FF9">
            <w:pPr>
              <w:pStyle w:val="Tabletext"/>
              <w:rPr>
                <w:rFonts w:cs="Arial"/>
              </w:rPr>
            </w:pPr>
            <w:r>
              <w:rPr>
                <w:rFonts w:cs="Arial"/>
              </w:rPr>
              <w:t>347 225</w:t>
            </w:r>
          </w:p>
        </w:tc>
      </w:tr>
      <w:tr w:rsidR="001753C6" w:rsidTr="006A2A99">
        <w:trPr>
          <w:trHeight w:val="510"/>
        </w:trPr>
        <w:tc>
          <w:tcPr>
            <w:tcW w:w="2515" w:type="dxa"/>
            <w:vAlign w:val="center"/>
          </w:tcPr>
          <w:p w:rsidR="001753C6" w:rsidRDefault="001753C6" w:rsidP="00BA0FF9">
            <w:pPr>
              <w:pStyle w:val="Tabletext"/>
              <w:rPr>
                <w:rFonts w:cs="Arial"/>
              </w:rPr>
            </w:pPr>
            <w:r>
              <w:rPr>
                <w:rFonts w:cs="Arial"/>
              </w:rPr>
              <w:t xml:space="preserve">Specialised Audit </w:t>
            </w:r>
            <w:r>
              <w:rPr>
                <w:rFonts w:cs="Arial"/>
                <w:vertAlign w:val="superscript"/>
              </w:rPr>
              <w:t>1 2 3 4</w:t>
            </w:r>
          </w:p>
        </w:tc>
        <w:tc>
          <w:tcPr>
            <w:tcW w:w="960" w:type="dxa"/>
            <w:vAlign w:val="center"/>
          </w:tcPr>
          <w:p w:rsidR="001753C6" w:rsidRDefault="001753C6" w:rsidP="00BA0FF9">
            <w:pPr>
              <w:pStyle w:val="Tabletext"/>
            </w:pPr>
            <w:r>
              <w:t>Fee</w:t>
            </w:r>
          </w:p>
        </w:tc>
        <w:tc>
          <w:tcPr>
            <w:tcW w:w="1320" w:type="dxa"/>
            <w:vAlign w:val="center"/>
          </w:tcPr>
          <w:p w:rsidR="001753C6" w:rsidRDefault="001753C6" w:rsidP="00BA0FF9">
            <w:pPr>
              <w:pStyle w:val="Tabletext"/>
              <w:rPr>
                <w:rFonts w:cs="Arial"/>
              </w:rPr>
            </w:pPr>
            <w:r>
              <w:rPr>
                <w:rFonts w:cs="Arial"/>
              </w:rPr>
              <w:t>$103</w:t>
            </w:r>
          </w:p>
        </w:tc>
        <w:tc>
          <w:tcPr>
            <w:tcW w:w="1560" w:type="dxa"/>
            <w:vAlign w:val="center"/>
          </w:tcPr>
          <w:p w:rsidR="001753C6" w:rsidRDefault="001753C6" w:rsidP="00BA0FF9">
            <w:pPr>
              <w:pStyle w:val="Tabletext"/>
              <w:rPr>
                <w:rFonts w:cs="Arial"/>
              </w:rPr>
            </w:pPr>
            <w:r>
              <w:rPr>
                <w:rFonts w:cs="Arial"/>
              </w:rPr>
              <w:t>per 15 minutes</w:t>
            </w:r>
          </w:p>
          <w:p w:rsidR="001753C6" w:rsidRDefault="001753C6" w:rsidP="00BA0FF9">
            <w:pPr>
              <w:pStyle w:val="Tabletext"/>
              <w:rPr>
                <w:rFonts w:cs="Arial"/>
              </w:rPr>
            </w:pPr>
            <w:r>
              <w:rPr>
                <w:rFonts w:cs="Arial"/>
                <w:sz w:val="18"/>
                <w:szCs w:val="18"/>
              </w:rPr>
              <w:t>(or part thereof)</w:t>
            </w:r>
          </w:p>
        </w:tc>
        <w:tc>
          <w:tcPr>
            <w:tcW w:w="1320" w:type="dxa"/>
            <w:vAlign w:val="center"/>
          </w:tcPr>
          <w:p w:rsidR="001753C6" w:rsidRDefault="001753C6" w:rsidP="00BA0FF9">
            <w:pPr>
              <w:pStyle w:val="Tabletext"/>
              <w:rPr>
                <w:rFonts w:cs="Arial"/>
              </w:rPr>
            </w:pPr>
            <w:r>
              <w:rPr>
                <w:rFonts w:cs="Arial"/>
              </w:rPr>
              <w:t>-</w:t>
            </w:r>
          </w:p>
        </w:tc>
        <w:tc>
          <w:tcPr>
            <w:tcW w:w="1440" w:type="dxa"/>
            <w:vAlign w:val="center"/>
          </w:tcPr>
          <w:p w:rsidR="001753C6" w:rsidRDefault="001753C6" w:rsidP="00BA0FF9">
            <w:pPr>
              <w:pStyle w:val="Tabletext"/>
              <w:rPr>
                <w:rFonts w:cs="Arial"/>
              </w:rPr>
            </w:pPr>
            <w:r>
              <w:rPr>
                <w:rFonts w:cs="Arial"/>
              </w:rPr>
              <w:t>-</w:t>
            </w:r>
          </w:p>
        </w:tc>
      </w:tr>
      <w:tr w:rsidR="001753C6" w:rsidTr="006A2A99">
        <w:trPr>
          <w:trHeight w:val="510"/>
        </w:trPr>
        <w:tc>
          <w:tcPr>
            <w:tcW w:w="2515" w:type="dxa"/>
            <w:shd w:val="clear" w:color="auto" w:fill="DBE5F1"/>
            <w:vAlign w:val="center"/>
          </w:tcPr>
          <w:p w:rsidR="001753C6" w:rsidRPr="00BA0FF9" w:rsidRDefault="001753C6" w:rsidP="00BA0FF9">
            <w:pPr>
              <w:pStyle w:val="Tabletext"/>
              <w:rPr>
                <w:rStyle w:val="Strong"/>
              </w:rPr>
            </w:pPr>
            <w:r w:rsidRPr="00BA0FF9">
              <w:rPr>
                <w:rStyle w:val="Strong"/>
              </w:rPr>
              <w:t>Document Charges</w:t>
            </w:r>
          </w:p>
        </w:tc>
        <w:tc>
          <w:tcPr>
            <w:tcW w:w="960" w:type="dxa"/>
            <w:shd w:val="clear" w:color="auto" w:fill="DBE5F1"/>
            <w:vAlign w:val="center"/>
          </w:tcPr>
          <w:p w:rsidR="001753C6" w:rsidRPr="00BA0FF9" w:rsidRDefault="001753C6" w:rsidP="00BA0FF9">
            <w:pPr>
              <w:pStyle w:val="Tabletext"/>
              <w:rPr>
                <w:rStyle w:val="Strong"/>
              </w:rPr>
            </w:pPr>
            <w:r w:rsidRPr="00BA0FF9">
              <w:rPr>
                <w:rStyle w:val="Strong"/>
              </w:rPr>
              <w:t>Type</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Rate</w:t>
            </w:r>
          </w:p>
        </w:tc>
        <w:tc>
          <w:tcPr>
            <w:tcW w:w="1560" w:type="dxa"/>
            <w:shd w:val="clear" w:color="auto" w:fill="DBE5F1"/>
            <w:vAlign w:val="center"/>
          </w:tcPr>
          <w:p w:rsidR="001753C6" w:rsidRPr="00BA0FF9" w:rsidRDefault="001753C6" w:rsidP="00BA0FF9">
            <w:pPr>
              <w:pStyle w:val="Tabletext"/>
              <w:rPr>
                <w:rStyle w:val="Strong"/>
              </w:rPr>
            </w:pPr>
            <w:r w:rsidRPr="00BA0FF9">
              <w:rPr>
                <w:rStyle w:val="Strong"/>
              </w:rPr>
              <w:t>Unit</w:t>
            </w:r>
          </w:p>
        </w:tc>
        <w:tc>
          <w:tcPr>
            <w:tcW w:w="1320" w:type="dxa"/>
            <w:shd w:val="clear" w:color="auto" w:fill="DBE5F1"/>
            <w:vAlign w:val="center"/>
          </w:tcPr>
          <w:p w:rsidR="001753C6" w:rsidRPr="00BA0FF9" w:rsidRDefault="001753C6" w:rsidP="00BA0FF9">
            <w:pPr>
              <w:pStyle w:val="Tabletext"/>
              <w:rPr>
                <w:rStyle w:val="Strong"/>
              </w:rPr>
            </w:pPr>
            <w:r w:rsidRPr="00BA0FF9">
              <w:rPr>
                <w:rStyle w:val="Strong"/>
              </w:rPr>
              <w:t>Estimated volume</w:t>
            </w:r>
          </w:p>
        </w:tc>
        <w:tc>
          <w:tcPr>
            <w:tcW w:w="1440" w:type="dxa"/>
            <w:shd w:val="clear" w:color="auto" w:fill="DBE5F1"/>
            <w:vAlign w:val="center"/>
          </w:tcPr>
          <w:p w:rsidR="001753C6" w:rsidRPr="00BA0FF9" w:rsidRDefault="001753C6" w:rsidP="00BA0FF9">
            <w:pPr>
              <w:pStyle w:val="Tabletext"/>
              <w:rPr>
                <w:rStyle w:val="Strong"/>
              </w:rPr>
            </w:pPr>
            <w:r w:rsidRPr="00BA0FF9">
              <w:rPr>
                <w:rStyle w:val="Strong"/>
              </w:rPr>
              <w:t>Estimated total revenue</w:t>
            </w:r>
          </w:p>
        </w:tc>
      </w:tr>
      <w:tr w:rsidR="001753C6" w:rsidTr="006A2A99">
        <w:trPr>
          <w:trHeight w:val="510"/>
        </w:trPr>
        <w:tc>
          <w:tcPr>
            <w:tcW w:w="2515" w:type="dxa"/>
            <w:vAlign w:val="center"/>
          </w:tcPr>
          <w:p w:rsidR="001753C6" w:rsidRDefault="001753C6" w:rsidP="00BA0FF9">
            <w:pPr>
              <w:pStyle w:val="Tabletext"/>
              <w:rPr>
                <w:rFonts w:cs="Arial"/>
              </w:rPr>
            </w:pPr>
            <w:r>
              <w:rPr>
                <w:rFonts w:cs="Arial"/>
              </w:rPr>
              <w:t xml:space="preserve">Document </w:t>
            </w:r>
            <w:r>
              <w:rPr>
                <w:rFonts w:cs="Arial"/>
                <w:vertAlign w:val="superscript"/>
              </w:rPr>
              <w:t>1 2 3 4</w:t>
            </w:r>
          </w:p>
        </w:tc>
        <w:tc>
          <w:tcPr>
            <w:tcW w:w="960" w:type="dxa"/>
            <w:vAlign w:val="center"/>
          </w:tcPr>
          <w:p w:rsidR="001753C6" w:rsidRDefault="001753C6" w:rsidP="00BA0FF9">
            <w:pPr>
              <w:pStyle w:val="Tabletext"/>
            </w:pPr>
            <w:r>
              <w:t>Fee</w:t>
            </w:r>
          </w:p>
        </w:tc>
        <w:tc>
          <w:tcPr>
            <w:tcW w:w="1320" w:type="dxa"/>
            <w:vAlign w:val="center"/>
          </w:tcPr>
          <w:p w:rsidR="001753C6" w:rsidRDefault="001753C6" w:rsidP="00BA0FF9">
            <w:pPr>
              <w:pStyle w:val="Tabletext"/>
              <w:rPr>
                <w:rFonts w:cs="Arial"/>
              </w:rPr>
            </w:pPr>
            <w:r>
              <w:rPr>
                <w:rFonts w:cs="Arial"/>
              </w:rPr>
              <w:t>$60</w:t>
            </w:r>
          </w:p>
        </w:tc>
        <w:tc>
          <w:tcPr>
            <w:tcW w:w="1560" w:type="dxa"/>
            <w:vAlign w:val="center"/>
          </w:tcPr>
          <w:p w:rsidR="001753C6" w:rsidRDefault="001753C6" w:rsidP="00BA0FF9">
            <w:pPr>
              <w:pStyle w:val="Tabletext"/>
              <w:rPr>
                <w:rFonts w:cs="Arial"/>
              </w:rPr>
            </w:pPr>
            <w:r>
              <w:rPr>
                <w:rFonts w:cs="Arial"/>
              </w:rPr>
              <w:t>per Document</w:t>
            </w:r>
          </w:p>
        </w:tc>
        <w:tc>
          <w:tcPr>
            <w:tcW w:w="1320" w:type="dxa"/>
            <w:vAlign w:val="center"/>
          </w:tcPr>
          <w:p w:rsidR="001753C6" w:rsidRDefault="001753C6" w:rsidP="00BA0FF9">
            <w:pPr>
              <w:pStyle w:val="Tabletext"/>
              <w:rPr>
                <w:rFonts w:cs="Arial"/>
              </w:rPr>
            </w:pPr>
            <w:r>
              <w:rPr>
                <w:rFonts w:cs="Arial"/>
              </w:rPr>
              <w:t>21 792</w:t>
            </w:r>
          </w:p>
        </w:tc>
        <w:tc>
          <w:tcPr>
            <w:tcW w:w="1440" w:type="dxa"/>
            <w:vAlign w:val="center"/>
          </w:tcPr>
          <w:p w:rsidR="001753C6" w:rsidRDefault="001753C6" w:rsidP="00BA0FF9">
            <w:pPr>
              <w:pStyle w:val="Tabletext"/>
              <w:rPr>
                <w:rFonts w:cs="Arial"/>
              </w:rPr>
            </w:pPr>
            <w:r>
              <w:rPr>
                <w:rFonts w:cs="Arial"/>
              </w:rPr>
              <w:t>1 307 520</w:t>
            </w:r>
          </w:p>
        </w:tc>
      </w:tr>
      <w:tr w:rsidR="001753C6" w:rsidTr="006A2A99">
        <w:trPr>
          <w:trHeight w:val="510"/>
        </w:trPr>
        <w:tc>
          <w:tcPr>
            <w:tcW w:w="2515" w:type="dxa"/>
            <w:vAlign w:val="center"/>
          </w:tcPr>
          <w:p w:rsidR="001753C6" w:rsidRDefault="001753C6" w:rsidP="00BA0FF9">
            <w:pPr>
              <w:pStyle w:val="Tabletext"/>
              <w:rPr>
                <w:rFonts w:cs="Arial"/>
              </w:rPr>
            </w:pPr>
            <w:r>
              <w:rPr>
                <w:rFonts w:cs="Arial"/>
              </w:rPr>
              <w:t xml:space="preserve">Replacement Document </w:t>
            </w:r>
            <w:r>
              <w:rPr>
                <w:rFonts w:cs="Arial"/>
                <w:vertAlign w:val="superscript"/>
              </w:rPr>
              <w:t>1 2 3 4</w:t>
            </w:r>
          </w:p>
        </w:tc>
        <w:tc>
          <w:tcPr>
            <w:tcW w:w="960" w:type="dxa"/>
            <w:vAlign w:val="center"/>
          </w:tcPr>
          <w:p w:rsidR="001753C6" w:rsidRDefault="001753C6" w:rsidP="00BA0FF9">
            <w:pPr>
              <w:pStyle w:val="Tabletext"/>
            </w:pPr>
            <w:r>
              <w:t>Fee</w:t>
            </w:r>
          </w:p>
        </w:tc>
        <w:tc>
          <w:tcPr>
            <w:tcW w:w="1320" w:type="dxa"/>
            <w:vAlign w:val="center"/>
          </w:tcPr>
          <w:p w:rsidR="001753C6" w:rsidRDefault="001753C6" w:rsidP="00BA0FF9">
            <w:pPr>
              <w:pStyle w:val="Tabletext"/>
              <w:rPr>
                <w:rFonts w:cs="Arial"/>
              </w:rPr>
            </w:pPr>
            <w:r>
              <w:rPr>
                <w:rFonts w:cs="Arial"/>
              </w:rPr>
              <w:t xml:space="preserve">$500 </w:t>
            </w:r>
          </w:p>
        </w:tc>
        <w:tc>
          <w:tcPr>
            <w:tcW w:w="1560" w:type="dxa"/>
            <w:vAlign w:val="center"/>
          </w:tcPr>
          <w:p w:rsidR="001753C6" w:rsidRDefault="001753C6" w:rsidP="00BA0FF9">
            <w:pPr>
              <w:pStyle w:val="Tabletext"/>
              <w:rPr>
                <w:rFonts w:cs="Arial"/>
              </w:rPr>
            </w:pPr>
            <w:r>
              <w:rPr>
                <w:rFonts w:cs="Arial"/>
              </w:rPr>
              <w:t>per Document</w:t>
            </w:r>
          </w:p>
        </w:tc>
        <w:tc>
          <w:tcPr>
            <w:tcW w:w="1320" w:type="dxa"/>
            <w:vAlign w:val="center"/>
          </w:tcPr>
          <w:p w:rsidR="001753C6" w:rsidRDefault="001753C6" w:rsidP="00BA0FF9">
            <w:pPr>
              <w:pStyle w:val="Tabletext"/>
              <w:rPr>
                <w:rFonts w:cs="Arial"/>
              </w:rPr>
            </w:pPr>
            <w:r>
              <w:rPr>
                <w:rFonts w:cs="Arial"/>
              </w:rPr>
              <w:t>-</w:t>
            </w:r>
          </w:p>
        </w:tc>
        <w:tc>
          <w:tcPr>
            <w:tcW w:w="1440" w:type="dxa"/>
            <w:vAlign w:val="center"/>
          </w:tcPr>
          <w:p w:rsidR="001753C6" w:rsidRDefault="001753C6" w:rsidP="00BA0FF9">
            <w:pPr>
              <w:pStyle w:val="Tabletext"/>
              <w:rPr>
                <w:rFonts w:cs="Arial"/>
              </w:rPr>
            </w:pPr>
            <w:r>
              <w:rPr>
                <w:rFonts w:cs="Arial"/>
              </w:rPr>
              <w:t>-</w:t>
            </w:r>
          </w:p>
        </w:tc>
      </w:tr>
    </w:tbl>
    <w:p w:rsidR="001753C6" w:rsidRDefault="001753C6" w:rsidP="00BA0FF9">
      <w:pPr>
        <w:pStyle w:val="sourcenotesreferences"/>
      </w:pPr>
      <w:r>
        <w:rPr>
          <w:vertAlign w:val="superscript"/>
        </w:rPr>
        <w:t>1</w:t>
      </w:r>
      <w:r>
        <w:t xml:space="preserve"> relevant to exporters of livestock by air under an approved arrangement</w:t>
      </w:r>
    </w:p>
    <w:p w:rsidR="001753C6" w:rsidRDefault="001753C6" w:rsidP="00BA0FF9">
      <w:pPr>
        <w:pStyle w:val="sourcenotesreferences"/>
      </w:pPr>
      <w:r>
        <w:rPr>
          <w:vertAlign w:val="superscript"/>
        </w:rPr>
        <w:t>2</w:t>
      </w:r>
      <w:r>
        <w:t xml:space="preserve"> relevant to exporters of livestock by sea under an approved arrangement</w:t>
      </w:r>
    </w:p>
    <w:p w:rsidR="001753C6" w:rsidRDefault="001753C6" w:rsidP="00BA0FF9">
      <w:pPr>
        <w:pStyle w:val="sourcenotesreferences"/>
      </w:pPr>
      <w:r>
        <w:rPr>
          <w:vertAlign w:val="superscript"/>
        </w:rPr>
        <w:lastRenderedPageBreak/>
        <w:t>3</w:t>
      </w:r>
      <w:r>
        <w:t xml:space="preserve"> relevant to exporters of livestock not under an approved arrangement</w:t>
      </w:r>
    </w:p>
    <w:p w:rsidR="001753C6" w:rsidRDefault="001753C6" w:rsidP="00BA0FF9">
      <w:pPr>
        <w:pStyle w:val="sourcenotesreferences"/>
      </w:pPr>
      <w:r>
        <w:rPr>
          <w:vertAlign w:val="superscript"/>
        </w:rPr>
        <w:t>4</w:t>
      </w:r>
      <w:r>
        <w:t xml:space="preserve"> relevant to non livestock exporters</w:t>
      </w:r>
    </w:p>
    <w:p w:rsidR="001753C6" w:rsidRDefault="001753C6" w:rsidP="00BA0FF9">
      <w:pPr>
        <w:pStyle w:val="sourcenotesreferences"/>
      </w:pPr>
      <w:r>
        <w:rPr>
          <w:vertAlign w:val="superscript"/>
        </w:rPr>
        <w:t xml:space="preserve">5 </w:t>
      </w:r>
      <w:r>
        <w:t xml:space="preserve">relevant to owners of a livestock by sea registered establishment </w:t>
      </w:r>
    </w:p>
    <w:p w:rsidR="001753C6" w:rsidRDefault="001753C6" w:rsidP="00BA0FF9">
      <w:pPr>
        <w:pStyle w:val="Heading2"/>
        <w:numPr>
          <w:ilvl w:val="0"/>
          <w:numId w:val="0"/>
        </w:numPr>
        <w:ind w:left="964" w:hanging="964"/>
      </w:pPr>
      <w:bookmarkStart w:id="90" w:name="_Toc425839169"/>
      <w:bookmarkStart w:id="91" w:name="_Toc433370187"/>
      <w:r>
        <w:lastRenderedPageBreak/>
        <w:t>Attachment B—Description of Cost Model Activities</w:t>
      </w:r>
      <w:bookmarkEnd w:id="90"/>
      <w:bookmarkEnd w:id="91"/>
    </w:p>
    <w:p w:rsidR="001753C6" w:rsidRDefault="001753C6">
      <w:pPr>
        <w:keepNext/>
        <w:keepLines/>
      </w:pPr>
      <w:r>
        <w:t>The following provides details of the cost model activities undertaken in the live animal exports cost recovery arrangement.</w:t>
      </w:r>
    </w:p>
    <w:p w:rsidR="001753C6" w:rsidRDefault="001753C6" w:rsidP="00490B3B">
      <w:pPr>
        <w:pStyle w:val="Heading3"/>
        <w:numPr>
          <w:ilvl w:val="0"/>
          <w:numId w:val="0"/>
        </w:numPr>
        <w:ind w:left="964" w:hanging="964"/>
      </w:pPr>
      <w:bookmarkStart w:id="92" w:name="_Toc433370188"/>
      <w:r>
        <w:t>Intervention activities</w:t>
      </w:r>
      <w:bookmarkEnd w:id="92"/>
    </w:p>
    <w:p w:rsidR="001753C6" w:rsidRDefault="001753C6">
      <w:pPr>
        <w:keepNext/>
        <w:keepLines/>
        <w:rPr>
          <w:szCs w:val="24"/>
        </w:rPr>
      </w:pPr>
      <w:r w:rsidRPr="00490B3B">
        <w:rPr>
          <w:rStyle w:val="Strong"/>
        </w:rPr>
        <w:t>Assessment</w:t>
      </w:r>
      <w:r>
        <w:t>—</w:t>
      </w:r>
      <w:r>
        <w:rPr>
          <w:szCs w:val="24"/>
        </w:rPr>
        <w:t>involves assessing information to determine if it meets the department’s and importing country requirements. This includes all preparatory work (such as confirming importing country or export requirements) post work (such as assessment report preparation) and client interactions in relation to the assessment. This does not include any document assessment during the course of an inspection. Examples include assessments of licenses permits, registrations, accreditations and health certification.</w:t>
      </w:r>
    </w:p>
    <w:p w:rsidR="001753C6" w:rsidRDefault="001753C6">
      <w:pPr>
        <w:keepNext/>
        <w:rPr>
          <w:szCs w:val="24"/>
        </w:rPr>
      </w:pPr>
      <w:r w:rsidRPr="00490B3B">
        <w:rPr>
          <w:rStyle w:val="Strong"/>
        </w:rPr>
        <w:t>Inspections</w:t>
      </w:r>
      <w:r>
        <w:t>—</w:t>
      </w:r>
      <w:r>
        <w:rPr>
          <w:szCs w:val="24"/>
        </w:rPr>
        <w:t>involves the physical examination and/or supervision of animals to determine compliance with Australian standards and importing country conditions. This includes any assessment of documentation undertaken while inspection is taking place. This also includes any travel and client interactions in relation to the inspection.</w:t>
      </w:r>
    </w:p>
    <w:p w:rsidR="001753C6" w:rsidRDefault="001753C6">
      <w:pPr>
        <w:keepNext/>
        <w:rPr>
          <w:szCs w:val="24"/>
        </w:rPr>
      </w:pPr>
      <w:r w:rsidRPr="00490B3B">
        <w:rPr>
          <w:rStyle w:val="Strong"/>
        </w:rPr>
        <w:t>Audit</w:t>
      </w:r>
      <w:r>
        <w:t>—</w:t>
      </w:r>
      <w:r>
        <w:rPr>
          <w:szCs w:val="24"/>
        </w:rPr>
        <w:t>includes the systematic and functionally independent examination of business systems and processes to determine whether activities and related results comply with legislative or documented requirements. This includes all pre and post work, including any follow up audits to assess effectiveness of corrective actions, travel and client interactions in relation to the audit. Examples include audit of a location, business, premises or documents.</w:t>
      </w:r>
    </w:p>
    <w:p w:rsidR="001753C6" w:rsidRDefault="001753C6" w:rsidP="00490B3B">
      <w:pPr>
        <w:pStyle w:val="Heading3"/>
        <w:numPr>
          <w:ilvl w:val="0"/>
          <w:numId w:val="0"/>
        </w:numPr>
        <w:ind w:left="964" w:hanging="964"/>
      </w:pPr>
      <w:bookmarkStart w:id="93" w:name="_Toc433370189"/>
      <w:r>
        <w:t>Incident management activities</w:t>
      </w:r>
      <w:bookmarkEnd w:id="93"/>
    </w:p>
    <w:p w:rsidR="001753C6" w:rsidRDefault="001753C6">
      <w:pPr>
        <w:keepNext/>
        <w:rPr>
          <w:szCs w:val="24"/>
        </w:rPr>
      </w:pPr>
      <w:r w:rsidRPr="00490B3B">
        <w:rPr>
          <w:rStyle w:val="Strong"/>
        </w:rPr>
        <w:t>Incident management</w:t>
      </w:r>
      <w:r>
        <w:t xml:space="preserve">—The </w:t>
      </w:r>
      <w:r>
        <w:rPr>
          <w:szCs w:val="24"/>
        </w:rPr>
        <w:t xml:space="preserve">coordination and management of any incident including live animal export incidents. This includes all associated pre and post work, travel and client interactions in relation to an </w:t>
      </w:r>
      <w:r>
        <w:rPr>
          <w:szCs w:val="24"/>
        </w:rPr>
        <w:lastRenderedPageBreak/>
        <w:t>incident. For example, issues with export vessels after departure from Australia or animal welfare issues, either within Australia or offshore. This does not include significant livestock incidents.</w:t>
      </w:r>
      <w:r>
        <w:rPr>
          <w:rStyle w:val="FootnoteReference"/>
          <w:szCs w:val="24"/>
        </w:rPr>
        <w:footnoteReference w:id="1"/>
      </w:r>
      <w:r>
        <w:rPr>
          <w:szCs w:val="24"/>
        </w:rPr>
        <w:t xml:space="preserve"> </w:t>
      </w:r>
    </w:p>
    <w:p w:rsidR="001753C6" w:rsidRDefault="001753C6">
      <w:pPr>
        <w:keepNext/>
        <w:rPr>
          <w:szCs w:val="24"/>
        </w:rPr>
      </w:pPr>
      <w:r w:rsidRPr="00490B3B">
        <w:rPr>
          <w:rStyle w:val="Strong"/>
        </w:rPr>
        <w:t>Investigation support</w:t>
      </w:r>
      <w:r>
        <w:t xml:space="preserve">—involves providing </w:t>
      </w:r>
      <w:r>
        <w:rPr>
          <w:szCs w:val="24"/>
        </w:rPr>
        <w:t>support for enforcement activities relating to an alleged breach of export legislation, including any related client interactions and travel. It does not include the work of the enforcement officers. Examples of investigation support include investigating complaints about breaches of the Exporter Supply Chain Assurance System, investigating and preparing reports on high mortality voyages and investigating reports of breaches of the Australian standards for the export of livestock.</w:t>
      </w:r>
    </w:p>
    <w:p w:rsidR="001753C6" w:rsidRDefault="001753C6">
      <w:pPr>
        <w:keepNext/>
        <w:rPr>
          <w:b/>
          <w:bCs/>
          <w:szCs w:val="24"/>
        </w:rPr>
      </w:pPr>
      <w:r w:rsidRPr="00490B3B">
        <w:rPr>
          <w:rStyle w:val="Strong"/>
        </w:rPr>
        <w:t>Corrective action</w:t>
      </w:r>
      <w:r>
        <w:t>—A</w:t>
      </w:r>
      <w:r>
        <w:rPr>
          <w:szCs w:val="24"/>
        </w:rPr>
        <w:t>ctions taken in response to non-compliance or contravention of legislation that is not required to be reported to enforcement officers. Response actions includes all pre and post work, travel and client interactions in relation to the enforcement process. For example, preparing warning or reprimand letters, issuing show cause notices, suspending or cancelling approval of a registered premises, suspending or cancelling export licenses.</w:t>
      </w:r>
    </w:p>
    <w:p w:rsidR="001753C6" w:rsidRDefault="001753C6" w:rsidP="00490B3B">
      <w:pPr>
        <w:pStyle w:val="Heading3"/>
        <w:keepNext/>
        <w:numPr>
          <w:ilvl w:val="0"/>
          <w:numId w:val="0"/>
        </w:numPr>
        <w:ind w:left="964" w:hanging="964"/>
      </w:pPr>
      <w:bookmarkStart w:id="94" w:name="_Toc433370190"/>
      <w:r>
        <w:t>Programme management and administration activities</w:t>
      </w:r>
      <w:bookmarkEnd w:id="94"/>
    </w:p>
    <w:p w:rsidR="001753C6" w:rsidRDefault="001753C6">
      <w:pPr>
        <w:rPr>
          <w:szCs w:val="24"/>
        </w:rPr>
      </w:pPr>
      <w:r w:rsidRPr="00490B3B">
        <w:rPr>
          <w:rStyle w:val="Strong"/>
        </w:rPr>
        <w:t>Workforce and Business Management</w:t>
      </w:r>
      <w:r>
        <w:rPr>
          <w:bCs/>
          <w:szCs w:val="24"/>
        </w:rPr>
        <w:t>—</w:t>
      </w:r>
      <w:r>
        <w:rPr>
          <w:szCs w:val="24"/>
        </w:rPr>
        <w:t xml:space="preserve"> this activity has four categories:</w:t>
      </w:r>
    </w:p>
    <w:p w:rsidR="001753C6" w:rsidRDefault="001753C6" w:rsidP="00490B3B">
      <w:pPr>
        <w:pStyle w:val="ListBullet"/>
      </w:pPr>
      <w:r>
        <w:rPr>
          <w:i/>
        </w:rPr>
        <w:t>Workforce management</w:t>
      </w:r>
      <w:r>
        <w:t xml:space="preserve"> activities include staff supervision, allocating workforce resources, managing employee performance, leave, training and other conditions, managing Work, Health and Safety requirements, recruitment and termination. </w:t>
      </w:r>
    </w:p>
    <w:p w:rsidR="001753C6" w:rsidRDefault="001753C6" w:rsidP="00490B3B">
      <w:pPr>
        <w:pStyle w:val="ListBullet"/>
      </w:pPr>
      <w:r>
        <w:rPr>
          <w:i/>
        </w:rPr>
        <w:t>Business management</w:t>
      </w:r>
      <w:r>
        <w:t xml:space="preserve"> activities include business planning and continuity; requesting legal advice; procurement and contracts; </w:t>
      </w:r>
      <w:r>
        <w:lastRenderedPageBreak/>
        <w:t>programme and project administration, assurance, design and management; management of fixtures, facilities, equ</w:t>
      </w:r>
      <w:r w:rsidR="00490B3B">
        <w:t>ipment, supplies and logistics.</w:t>
      </w:r>
    </w:p>
    <w:p w:rsidR="001753C6" w:rsidRDefault="001753C6" w:rsidP="00490B3B">
      <w:pPr>
        <w:pStyle w:val="ListBullet"/>
      </w:pPr>
      <w:r>
        <w:rPr>
          <w:i/>
        </w:rPr>
        <w:t>Financial management</w:t>
      </w:r>
      <w:r>
        <w:t xml:space="preserve"> activities include billing and accounting, budgeting, charges and payments, collections and receivables, debt management, financial accounts, reporting and policy develo</w:t>
      </w:r>
      <w:r w:rsidR="00490B3B">
        <w:t>pment.</w:t>
      </w:r>
    </w:p>
    <w:p w:rsidR="001753C6" w:rsidRDefault="001753C6" w:rsidP="00490B3B">
      <w:pPr>
        <w:pStyle w:val="ListBullet"/>
      </w:pPr>
      <w:r>
        <w:rPr>
          <w:i/>
        </w:rPr>
        <w:t>Information management</w:t>
      </w:r>
      <w:r>
        <w:t xml:space="preserve"> activities include data management, information and records management, and informa</w:t>
      </w:r>
      <w:r w:rsidR="00490B3B">
        <w:t>tion sharing and collaboration.</w:t>
      </w:r>
    </w:p>
    <w:p w:rsidR="001753C6" w:rsidRDefault="001753C6">
      <w:pPr>
        <w:keepNext/>
        <w:rPr>
          <w:szCs w:val="24"/>
        </w:rPr>
      </w:pPr>
      <w:r w:rsidRPr="00490B3B">
        <w:rPr>
          <w:rStyle w:val="Strong"/>
        </w:rPr>
        <w:t>Business systems administration</w:t>
      </w:r>
      <w:r>
        <w:t xml:space="preserve">—includes </w:t>
      </w:r>
      <w:r>
        <w:rPr>
          <w:szCs w:val="24"/>
        </w:rPr>
        <w:t>developing, acquiring, testing, implementing and supporting applications and business systems. This includes technical support and maintenance of all business systems including information and communications technology.</w:t>
      </w:r>
    </w:p>
    <w:p w:rsidR="001753C6" w:rsidRDefault="001753C6">
      <w:pPr>
        <w:keepNext/>
        <w:rPr>
          <w:szCs w:val="24"/>
        </w:rPr>
      </w:pPr>
      <w:r w:rsidRPr="00490B3B">
        <w:rPr>
          <w:rStyle w:val="Strong"/>
        </w:rPr>
        <w:t>Stakeholder engagement</w:t>
      </w:r>
      <w:r>
        <w:t xml:space="preserve">—involves </w:t>
      </w:r>
      <w:r>
        <w:rPr>
          <w:szCs w:val="24"/>
        </w:rPr>
        <w:t>proactive engagement with any person, business or organisation, including any associated travel. This includes engaging with peak industry bodies, secretariat support and attendance at industry consultative committee meetings, consultation on new standards and requirements, and publishing website content and other information.</w:t>
      </w:r>
    </w:p>
    <w:p w:rsidR="001753C6" w:rsidRDefault="001753C6">
      <w:pPr>
        <w:keepNext/>
        <w:rPr>
          <w:szCs w:val="24"/>
        </w:rPr>
      </w:pPr>
      <w:r w:rsidRPr="00490B3B">
        <w:rPr>
          <w:rStyle w:val="Strong"/>
        </w:rPr>
        <w:t>Policy and instructional material</w:t>
      </w:r>
      <w:r>
        <w:t xml:space="preserve">— </w:t>
      </w:r>
      <w:r>
        <w:rPr>
          <w:bCs/>
          <w:szCs w:val="24"/>
        </w:rPr>
        <w:t>includes developing, maintaining and communicating the department’s policy and instructional material, such as operational and corporate policies, scientific advice, departmental guidelines and work instructions, and associated training development and delivery.</w:t>
      </w:r>
      <w:r>
        <w:rPr>
          <w:szCs w:val="24"/>
        </w:rPr>
        <w:t xml:space="preserve"> Examples include responding to changes in importing country requirements, developing or revising policy proces</w:t>
      </w:r>
      <w:r w:rsidR="00490B3B">
        <w:rPr>
          <w:szCs w:val="24"/>
        </w:rPr>
        <w:t>ses and instructional material.</w:t>
      </w:r>
    </w:p>
    <w:p w:rsidR="001753C6" w:rsidRDefault="001753C6">
      <w:pPr>
        <w:keepNext/>
      </w:pPr>
      <w:r w:rsidRPr="00490B3B">
        <w:rPr>
          <w:rStyle w:val="Strong"/>
        </w:rPr>
        <w:t>Business improvement</w:t>
      </w:r>
      <w:r>
        <w:t xml:space="preserve">—includes </w:t>
      </w:r>
      <w:r>
        <w:rPr>
          <w:szCs w:val="24"/>
        </w:rPr>
        <w:t>assessment, monitoring and management of the department’s performance.</w:t>
      </w:r>
      <w:r>
        <w:t xml:space="preserve"> </w:t>
      </w:r>
      <w:r>
        <w:rPr>
          <w:szCs w:val="24"/>
        </w:rPr>
        <w:t>Examples include adjustments to improve programme and service delivery and business performance reports against KPIs and similar activities.</w:t>
      </w:r>
      <w:bookmarkEnd w:id="4"/>
      <w:bookmarkEnd w:id="5"/>
    </w:p>
    <w:sectPr w:rsidR="001753C6" w:rsidSect="00A340D6">
      <w:headerReference w:type="default" r:id="rId27"/>
      <w:footerReference w:type="default" r:id="rId28"/>
      <w:headerReference w:type="first" r:id="rId29"/>
      <w:footerReference w:type="first" r:id="rId30"/>
      <w:pgSz w:w="11906" w:h="16838"/>
      <w:pgMar w:top="1276" w:right="1418" w:bottom="1276" w:left="1418" w:header="567" w:footer="48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8B1" w:rsidRDefault="007778B1">
      <w:r>
        <w:separator/>
      </w:r>
    </w:p>
  </w:endnote>
  <w:endnote w:type="continuationSeparator" w:id="0">
    <w:p w:rsidR="007778B1" w:rsidRDefault="0077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12090"/>
      <w:docPartObj>
        <w:docPartGallery w:val="Page Numbers (Bottom of Page)"/>
        <w:docPartUnique/>
      </w:docPartObj>
    </w:sdtPr>
    <w:sdtEndPr>
      <w:rPr>
        <w:noProof/>
      </w:rPr>
    </w:sdtEndPr>
    <w:sdtContent>
      <w:p w:rsidR="007778B1" w:rsidRDefault="007778B1" w:rsidP="00A340D6">
        <w:pPr>
          <w:pStyle w:val="Footer"/>
          <w:tabs>
            <w:tab w:val="clear" w:pos="9026"/>
            <w:tab w:val="left" w:pos="8586"/>
            <w:tab w:val="right" w:pos="9354"/>
          </w:tabs>
          <w:jc w:val="center"/>
        </w:pPr>
        <w:r w:rsidRPr="00A340D6">
          <w:t>Department of Agriculture and Water Resources</w:t>
        </w:r>
        <w:r>
          <w:t xml:space="preserve"> </w:t>
        </w:r>
        <w:r>
          <w:tab/>
        </w:r>
        <w:r>
          <w:tab/>
        </w:r>
        <w:r>
          <w:fldChar w:fldCharType="begin"/>
        </w:r>
        <w:r>
          <w:instrText xml:space="preserve"> PAGE   \* MERGEFORMAT </w:instrText>
        </w:r>
        <w:r>
          <w:fldChar w:fldCharType="separate"/>
        </w:r>
        <w:r w:rsidR="007A657F">
          <w:rPr>
            <w:noProof/>
          </w:rPr>
          <w:t>iv</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B1" w:rsidRPr="00A340D6" w:rsidRDefault="007778B1" w:rsidP="00A340D6">
    <w:pPr>
      <w:pStyle w:val="Classification"/>
    </w:pPr>
    <w:r w:rsidRPr="00A340D6">
      <w:t>Australian Government Department of Agriculture and Water Resources</w:t>
    </w:r>
    <w:r w:rsidRPr="00A340D6">
      <w:tab/>
    </w:r>
    <w:r w:rsidRPr="00A340D6">
      <w:fldChar w:fldCharType="begin"/>
    </w:r>
    <w:r w:rsidRPr="00A340D6">
      <w:instrText xml:space="preserve"> PAGE   \* MERGEFORMAT </w:instrText>
    </w:r>
    <w:r w:rsidRPr="00A340D6">
      <w:fldChar w:fldCharType="separate"/>
    </w:r>
    <w:r w:rsidR="007A657F">
      <w:rPr>
        <w:noProof/>
      </w:rPr>
      <w:t>17</w:t>
    </w:r>
    <w:r w:rsidRPr="00A340D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3954"/>
      <w:docPartObj>
        <w:docPartGallery w:val="Page Numbers (Bottom of Page)"/>
        <w:docPartUnique/>
      </w:docPartObj>
    </w:sdtPr>
    <w:sdtEndPr>
      <w:rPr>
        <w:noProof/>
      </w:rPr>
    </w:sdtEndPr>
    <w:sdtContent>
      <w:p w:rsidR="007778B1" w:rsidRPr="000A51AE" w:rsidRDefault="007778B1" w:rsidP="000A51AE">
        <w:pPr>
          <w:pStyle w:val="Footer"/>
          <w:jc w:val="right"/>
        </w:pPr>
        <w:r w:rsidRPr="007B097E">
          <w:t>Department of Agriculture and Water Resources</w:t>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8B1" w:rsidRDefault="007778B1">
      <w:r>
        <w:separator/>
      </w:r>
    </w:p>
  </w:footnote>
  <w:footnote w:type="continuationSeparator" w:id="0">
    <w:p w:rsidR="007778B1" w:rsidRDefault="007778B1">
      <w:r>
        <w:continuationSeparator/>
      </w:r>
    </w:p>
  </w:footnote>
  <w:footnote w:id="1">
    <w:p w:rsidR="007778B1" w:rsidRDefault="007778B1">
      <w:pPr>
        <w:pStyle w:val="FootnoteText"/>
        <w:rPr>
          <w:lang w:val="en-AU"/>
        </w:rPr>
      </w:pPr>
      <w:r>
        <w:rPr>
          <w:rStyle w:val="FootnoteReference"/>
        </w:rPr>
        <w:footnoteRef/>
      </w:r>
      <w:r>
        <w:t xml:space="preserve"> </w:t>
      </w:r>
      <w:r>
        <w:rPr>
          <w:lang w:val="en-AU"/>
        </w:rPr>
        <w:t>Additional levies may be activated to recover the costs of significant incidents, such as the 2003 Cormo express incident.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B1" w:rsidRDefault="007778B1" w:rsidP="00C45838">
    <w:pPr>
      <w:pStyle w:val="Header"/>
    </w:pPr>
    <w:r>
      <w:t>Cost Recovery Implementation Statement: Live Animal Exports,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B1" w:rsidRDefault="007778B1" w:rsidP="00066EC8">
    <w:pPr>
      <w:pStyle w:val="Picture"/>
    </w:pPr>
    <w:r>
      <w:rPr>
        <w:noProof/>
        <w:lang w:eastAsia="en-AU"/>
      </w:rPr>
      <w:drawing>
        <wp:inline distT="0" distB="0" distL="0" distR="0" wp14:anchorId="24264494" wp14:editId="6B21B35C">
          <wp:extent cx="3557270" cy="733425"/>
          <wp:effectExtent l="0" t="0" r="0" b="0"/>
          <wp:docPr id="12" name="Picture 12"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R_Master Brandmark_Strip_trans-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7270" cy="7334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B1" w:rsidRDefault="007778B1" w:rsidP="00C45838">
    <w:pPr>
      <w:pStyle w:val="Header"/>
    </w:pPr>
    <w:r>
      <w:t>Cost Recovery Implementation Statement: Live Animal Exports, 2015–16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8B1" w:rsidRDefault="007778B1" w:rsidP="00C45838">
    <w:pPr>
      <w:pStyle w:val="Header"/>
    </w:pPr>
    <w:r>
      <w:t>Cost Recovery I</w:t>
    </w:r>
    <w:r w:rsidRPr="00066EC8">
      <w:t>mplementation</w:t>
    </w:r>
    <w:r>
      <w:t xml:space="preserve"> Statement: Live animal exports 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60D0DC"/>
    <w:lvl w:ilvl="0">
      <w:start w:val="1"/>
      <w:numFmt w:val="decimal"/>
      <w:lvlText w:val="%1."/>
      <w:lvlJc w:val="left"/>
      <w:pPr>
        <w:tabs>
          <w:tab w:val="num" w:pos="1492"/>
        </w:tabs>
        <w:ind w:left="1492" w:hanging="360"/>
      </w:pPr>
    </w:lvl>
  </w:abstractNum>
  <w:abstractNum w:abstractNumId="1" w15:restartNumberingAfterBreak="0">
    <w:nsid w:val="00032DB9"/>
    <w:multiLevelType w:val="multilevel"/>
    <w:tmpl w:val="11DA2690"/>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4B504B"/>
    <w:multiLevelType w:val="hybridMultilevel"/>
    <w:tmpl w:val="1F903C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B00E7D"/>
    <w:multiLevelType w:val="multilevel"/>
    <w:tmpl w:val="4E5A2D8C"/>
    <w:styleLink w:val="numberedlist"/>
    <w:lvl w:ilvl="0">
      <w:start w:val="1"/>
      <w:numFmt w:val="decimal"/>
      <w:lvlText w:val="%1."/>
      <w:lvlJc w:val="left"/>
      <w:pPr>
        <w:ind w:left="567" w:hanging="567"/>
      </w:pPr>
      <w:rPr>
        <w:rFonts w:ascii="Arial" w:hAnsi="Arial" w:hint="default"/>
        <w:sz w:val="22"/>
      </w:rPr>
    </w:lvl>
    <w:lvl w:ilvl="1">
      <w:start w:val="1"/>
      <w:numFmt w:val="lowerLetter"/>
      <w:pStyle w:val="ListNumber2"/>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none"/>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06AA694C"/>
    <w:multiLevelType w:val="multilevel"/>
    <w:tmpl w:val="E2F0A592"/>
    <w:styleLink w:val="headinglist"/>
    <w:lvl w:ilvl="0">
      <w:start w:val="1"/>
      <w:numFmt w:val="decimal"/>
      <w:pStyle w:val="Heading2"/>
      <w:lvlText w:val="%1"/>
      <w:lvlJc w:val="left"/>
      <w:pPr>
        <w:ind w:left="794" w:hanging="794"/>
      </w:pPr>
      <w:rPr>
        <w:rFonts w:hint="default"/>
      </w:rPr>
    </w:lvl>
    <w:lvl w:ilvl="1">
      <w:start w:val="1"/>
      <w:numFmt w:val="decimal"/>
      <w:pStyle w:val="Heading3"/>
      <w:lvlText w:val="%1.%2"/>
      <w:lvlJc w:val="left"/>
      <w:pPr>
        <w:ind w:left="794" w:hanging="794"/>
      </w:pPr>
      <w:rPr>
        <w:rFonts w:hint="default"/>
      </w:rPr>
    </w:lvl>
    <w:lvl w:ilvl="2">
      <w:start w:val="1"/>
      <w:numFmt w:val="decimal"/>
      <w:pStyle w:val="Heading4"/>
      <w:lvlText w:val="%1.%2.%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5" w15:restartNumberingAfterBreak="0">
    <w:nsid w:val="0776794A"/>
    <w:multiLevelType w:val="hybridMultilevel"/>
    <w:tmpl w:val="D464B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24137C"/>
    <w:multiLevelType w:val="hybridMultilevel"/>
    <w:tmpl w:val="80105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BB0993"/>
    <w:multiLevelType w:val="multilevel"/>
    <w:tmpl w:val="E2F0A592"/>
    <w:numStyleLink w:val="headinglist"/>
  </w:abstractNum>
  <w:abstractNum w:abstractNumId="8" w15:restartNumberingAfterBreak="0">
    <w:nsid w:val="18B214EE"/>
    <w:multiLevelType w:val="multilevel"/>
    <w:tmpl w:val="4A32AC9C"/>
    <w:styleLink w:val="Bulletlist0"/>
    <w:lvl w:ilvl="0">
      <w:start w:val="1"/>
      <w:numFmt w:val="bullet"/>
      <w:pStyle w:val="ListBullet"/>
      <w:lvlText w:val=""/>
      <w:lvlJc w:val="left"/>
      <w:pPr>
        <w:ind w:left="567" w:hanging="567"/>
      </w:pPr>
      <w:rPr>
        <w:rFonts w:ascii="Symbol" w:hAnsi="Symbol" w:hint="default"/>
      </w:rPr>
    </w:lvl>
    <w:lvl w:ilvl="1">
      <w:start w:val="1"/>
      <w:numFmt w:val="bullet"/>
      <w:pStyle w:val="ListBullet2"/>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9" w15:restartNumberingAfterBreak="0">
    <w:nsid w:val="199E680C"/>
    <w:multiLevelType w:val="hybridMultilevel"/>
    <w:tmpl w:val="BBA64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ED5D62"/>
    <w:multiLevelType w:val="multilevel"/>
    <w:tmpl w:val="0478D324"/>
    <w:styleLink w:val="listheading"/>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1F745BC2"/>
    <w:multiLevelType w:val="multilevel"/>
    <w:tmpl w:val="B1B2922A"/>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26776184"/>
    <w:multiLevelType w:val="hybridMultilevel"/>
    <w:tmpl w:val="A802EE36"/>
    <w:lvl w:ilvl="0" w:tplc="0C09000F">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3" w15:restartNumberingAfterBreak="0">
    <w:nsid w:val="2A8140FE"/>
    <w:multiLevelType w:val="hybridMultilevel"/>
    <w:tmpl w:val="B9F6A256"/>
    <w:lvl w:ilvl="0" w:tplc="D6F65CEA">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F003DB"/>
    <w:multiLevelType w:val="multilevel"/>
    <w:tmpl w:val="1BA85CC0"/>
    <w:lvl w:ilvl="0">
      <w:start w:val="1"/>
      <w:numFmt w:val="bullet"/>
      <w:lvlText w:val="-"/>
      <w:lvlJc w:val="left"/>
      <w:pPr>
        <w:tabs>
          <w:tab w:val="num" w:pos="653"/>
        </w:tabs>
        <w:ind w:left="653" w:hanging="284"/>
      </w:pPr>
      <w:rPr>
        <w:rFonts w:ascii="Arial" w:hAnsi="Arial" w:hint="default"/>
      </w:rPr>
    </w:lvl>
    <w:lvl w:ilvl="1">
      <w:start w:val="1"/>
      <w:numFmt w:val="bullet"/>
      <w:lvlText w:val="–"/>
      <w:lvlJc w:val="left"/>
      <w:pPr>
        <w:tabs>
          <w:tab w:val="num" w:pos="937"/>
        </w:tabs>
        <w:ind w:left="937" w:hanging="284"/>
      </w:pPr>
      <w:rPr>
        <w:rFonts w:ascii="Calibri" w:hAnsi="Calibri" w:hint="default"/>
      </w:rPr>
    </w:lvl>
    <w:lvl w:ilvl="2">
      <w:start w:val="1"/>
      <w:numFmt w:val="bullet"/>
      <w:lvlRestart w:val="0"/>
      <w:lvlText w:val=":"/>
      <w:lvlJc w:val="left"/>
      <w:pPr>
        <w:tabs>
          <w:tab w:val="num" w:pos="1221"/>
        </w:tabs>
        <w:ind w:left="1221" w:hanging="284"/>
      </w:pPr>
      <w:rPr>
        <w:rFonts w:ascii="Calibri" w:hAnsi="Calibri" w:hint="default"/>
      </w:rPr>
    </w:lvl>
    <w:lvl w:ilvl="3">
      <w:start w:val="1"/>
      <w:numFmt w:val="none"/>
      <w:lvlText w:val="%4"/>
      <w:lvlJc w:val="left"/>
      <w:pPr>
        <w:tabs>
          <w:tab w:val="num" w:pos="1505"/>
        </w:tabs>
        <w:ind w:left="1505" w:hanging="284"/>
      </w:pPr>
      <w:rPr>
        <w:rFonts w:ascii="Times New Roman" w:hAnsi="Times New Roman" w:hint="default"/>
      </w:rPr>
    </w:lvl>
    <w:lvl w:ilvl="4">
      <w:start w:val="1"/>
      <w:numFmt w:val="none"/>
      <w:lvlText w:val=""/>
      <w:lvlJc w:val="left"/>
      <w:pPr>
        <w:tabs>
          <w:tab w:val="num" w:pos="1789"/>
        </w:tabs>
        <w:ind w:left="1789" w:hanging="284"/>
      </w:pPr>
      <w:rPr>
        <w:rFonts w:hint="default"/>
      </w:rPr>
    </w:lvl>
    <w:lvl w:ilvl="5">
      <w:start w:val="1"/>
      <w:numFmt w:val="none"/>
      <w:lvlText w:val=""/>
      <w:lvlJc w:val="left"/>
      <w:pPr>
        <w:tabs>
          <w:tab w:val="num" w:pos="2070"/>
        </w:tabs>
        <w:ind w:left="2070" w:hanging="281"/>
      </w:pPr>
      <w:rPr>
        <w:rFonts w:hint="default"/>
      </w:rPr>
    </w:lvl>
    <w:lvl w:ilvl="6">
      <w:start w:val="1"/>
      <w:numFmt w:val="none"/>
      <w:lvlText w:val=""/>
      <w:lvlJc w:val="left"/>
      <w:pPr>
        <w:tabs>
          <w:tab w:val="num" w:pos="2354"/>
        </w:tabs>
        <w:ind w:left="2354" w:hanging="281"/>
      </w:pPr>
      <w:rPr>
        <w:rFonts w:hint="default"/>
      </w:rPr>
    </w:lvl>
    <w:lvl w:ilvl="7">
      <w:start w:val="1"/>
      <w:numFmt w:val="none"/>
      <w:lvlText w:val=""/>
      <w:lvlJc w:val="left"/>
      <w:pPr>
        <w:tabs>
          <w:tab w:val="num" w:pos="2637"/>
        </w:tabs>
        <w:ind w:left="2637" w:hanging="280"/>
      </w:pPr>
      <w:rPr>
        <w:rFonts w:hint="default"/>
      </w:rPr>
    </w:lvl>
    <w:lvl w:ilvl="8">
      <w:start w:val="1"/>
      <w:numFmt w:val="none"/>
      <w:lvlRestart w:val="0"/>
      <w:lvlText w:val=""/>
      <w:lvlJc w:val="left"/>
      <w:pPr>
        <w:tabs>
          <w:tab w:val="num" w:pos="2921"/>
        </w:tabs>
        <w:ind w:left="2921" w:hanging="280"/>
      </w:pPr>
      <w:rPr>
        <w:rFonts w:hint="default"/>
      </w:rPr>
    </w:lvl>
  </w:abstractNum>
  <w:abstractNum w:abstractNumId="15" w15:restartNumberingAfterBreak="0">
    <w:nsid w:val="3098052F"/>
    <w:multiLevelType w:val="multilevel"/>
    <w:tmpl w:val="5B7E5780"/>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3A728F"/>
    <w:multiLevelType w:val="multilevel"/>
    <w:tmpl w:val="E2F0A592"/>
    <w:numStyleLink w:val="headinglist"/>
  </w:abstractNum>
  <w:abstractNum w:abstractNumId="18" w15:restartNumberingAfterBreak="0">
    <w:nsid w:val="4E2E7713"/>
    <w:multiLevelType w:val="multilevel"/>
    <w:tmpl w:val="E2F0A592"/>
    <w:numStyleLink w:val="headinglist"/>
  </w:abstractNum>
  <w:abstractNum w:abstractNumId="19" w15:restartNumberingAfterBreak="0">
    <w:nsid w:val="52960B5F"/>
    <w:multiLevelType w:val="multilevel"/>
    <w:tmpl w:val="B44C56A0"/>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0" w15:restartNumberingAfterBreak="0">
    <w:nsid w:val="55142834"/>
    <w:multiLevelType w:val="hybridMultilevel"/>
    <w:tmpl w:val="C1F2D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FA2675"/>
    <w:multiLevelType w:val="multilevel"/>
    <w:tmpl w:val="2CE0E38C"/>
    <w:styleLink w:val="Heading"/>
    <w:lvl w:ilvl="0">
      <w:start w:val="1"/>
      <w:numFmt w:val="decimal"/>
      <w:lvlText w:val="%1."/>
      <w:lvlJc w:val="left"/>
      <w:pPr>
        <w:ind w:left="567" w:hanging="567"/>
      </w:pPr>
      <w:rPr>
        <w:rFonts w:hint="default"/>
      </w:rPr>
    </w:lvl>
    <w:lvl w:ilvl="1">
      <w:start w:val="1"/>
      <w:numFmt w:val="bullet"/>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22" w15:restartNumberingAfterBreak="0">
    <w:nsid w:val="5AC33812"/>
    <w:multiLevelType w:val="multilevel"/>
    <w:tmpl w:val="4A32AC9C"/>
    <w:numStyleLink w:val="Bulletlist0"/>
  </w:abstractNum>
  <w:abstractNum w:abstractNumId="23" w15:restartNumberingAfterBreak="0">
    <w:nsid w:val="5DF71FF7"/>
    <w:multiLevelType w:val="multilevel"/>
    <w:tmpl w:val="4A32AC9C"/>
    <w:numStyleLink w:val="Bulletlist0"/>
  </w:abstractNum>
  <w:abstractNum w:abstractNumId="24" w15:restartNumberingAfterBreak="0">
    <w:nsid w:val="65456429"/>
    <w:multiLevelType w:val="multilevel"/>
    <w:tmpl w:val="246CBE5C"/>
    <w:lvl w:ilvl="0">
      <w:start w:val="1"/>
      <w:numFmt w:val="decimal"/>
      <w:pStyle w:val="ListNumber"/>
      <w:lvlText w:val="%1."/>
      <w:lvlJc w:val="left"/>
      <w:pPr>
        <w:ind w:left="369" w:hanging="369"/>
      </w:pPr>
      <w:rPr>
        <w:rFonts w:hint="default"/>
        <w:sz w:val="24"/>
        <w:szCs w:val="24"/>
      </w:rPr>
    </w:lvl>
    <w:lvl w:ilvl="1">
      <w:start w:val="1"/>
      <w:numFmt w:val="bullet"/>
      <w:lvlText w:val=""/>
      <w:lvlJc w:val="left"/>
      <w:pPr>
        <w:ind w:left="738" w:hanging="369"/>
      </w:pPr>
      <w:rPr>
        <w:rFonts w:ascii="Symbol" w:hAnsi="Symbo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97D2A2A"/>
    <w:multiLevelType w:val="multilevel"/>
    <w:tmpl w:val="E2F0A592"/>
    <w:numStyleLink w:val="headinglist"/>
  </w:abstractNum>
  <w:abstractNum w:abstractNumId="26" w15:restartNumberingAfterBreak="0">
    <w:nsid w:val="73205E33"/>
    <w:multiLevelType w:val="hybridMultilevel"/>
    <w:tmpl w:val="1048D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8287857"/>
    <w:multiLevelType w:val="multilevel"/>
    <w:tmpl w:val="20D60FC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9" w15:restartNumberingAfterBreak="0">
    <w:nsid w:val="7D671E71"/>
    <w:multiLevelType w:val="hybridMultilevel"/>
    <w:tmpl w:val="F5A457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7"/>
  </w:num>
  <w:num w:numId="2">
    <w:abstractNumId w:val="1"/>
  </w:num>
  <w:num w:numId="3">
    <w:abstractNumId w:val="16"/>
  </w:num>
  <w:num w:numId="4">
    <w:abstractNumId w:val="15"/>
  </w:num>
  <w:num w:numId="5">
    <w:abstractNumId w:val="24"/>
  </w:num>
  <w:num w:numId="6">
    <w:abstractNumId w:val="11"/>
  </w:num>
  <w:num w:numId="7">
    <w:abstractNumId w:val="8"/>
  </w:num>
  <w:num w:numId="8">
    <w:abstractNumId w:val="12"/>
  </w:num>
  <w:num w:numId="9">
    <w:abstractNumId w:val="21"/>
  </w:num>
  <w:num w:numId="10">
    <w:abstractNumId w:val="28"/>
  </w:num>
  <w:num w:numId="11">
    <w:abstractNumId w:val="22"/>
  </w:num>
  <w:num w:numId="12">
    <w:abstractNumId w:val="23"/>
  </w:num>
  <w:num w:numId="1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 w:ilvl="0">
        <w:start w:val="1"/>
        <w:numFmt w:val="bullet"/>
        <w:lvlText w:val=""/>
        <w:lvlJc w:val="left"/>
        <w:pPr>
          <w:ind w:left="369" w:hanging="369"/>
        </w:pPr>
        <w:rPr>
          <w:rFonts w:ascii="Symbol" w:hAnsi="Symbol" w:hint="default"/>
        </w:rPr>
      </w:lvl>
    </w:lvlOverride>
  </w:num>
  <w:num w:numId="19">
    <w:abstractNumId w:val="20"/>
  </w:num>
  <w:num w:numId="20">
    <w:abstractNumId w:val="13"/>
  </w:num>
  <w:num w:numId="21">
    <w:abstractNumId w:val="29"/>
  </w:num>
  <w:num w:numId="22">
    <w:abstractNumId w:val="5"/>
  </w:num>
  <w:num w:numId="23">
    <w:abstractNumId w:val="19"/>
  </w:num>
  <w:num w:numId="24">
    <w:abstractNumId w:val="6"/>
  </w:num>
  <w:num w:numId="25">
    <w:abstractNumId w:val="26"/>
  </w:num>
  <w:num w:numId="26">
    <w:abstractNumId w:val="15"/>
  </w:num>
  <w:num w:numId="27">
    <w:abstractNumId w:val="16"/>
  </w:num>
  <w:num w:numId="28">
    <w:abstractNumId w:val="1"/>
  </w:num>
  <w:num w:numId="29">
    <w:abstractNumId w:val="8"/>
  </w:num>
  <w:num w:numId="30">
    <w:abstractNumId w:val="21"/>
  </w:num>
  <w:num w:numId="31">
    <w:abstractNumId w:val="4"/>
  </w:num>
  <w:num w:numId="32">
    <w:abstractNumId w:val="4"/>
  </w:num>
  <w:num w:numId="33">
    <w:abstractNumId w:val="4"/>
  </w:num>
  <w:num w:numId="34">
    <w:abstractNumId w:val="8"/>
  </w:num>
  <w:num w:numId="35">
    <w:abstractNumId w:val="8"/>
  </w:num>
  <w:num w:numId="36">
    <w:abstractNumId w:val="11"/>
  </w:num>
  <w:num w:numId="37">
    <w:abstractNumId w:val="11"/>
  </w:num>
  <w:num w:numId="38">
    <w:abstractNumId w:val="11"/>
  </w:num>
  <w:num w:numId="39">
    <w:abstractNumId w:val="10"/>
  </w:num>
  <w:num w:numId="40">
    <w:abstractNumId w:val="24"/>
  </w:num>
  <w:num w:numId="41">
    <w:abstractNumId w:val="3"/>
  </w:num>
  <w:num w:numId="42">
    <w:abstractNumId w:val="24"/>
  </w:num>
  <w:num w:numId="43">
    <w:abstractNumId w:val="24"/>
  </w:num>
  <w:num w:numId="44">
    <w:abstractNumId w:val="3"/>
  </w:num>
  <w:num w:numId="45">
    <w:abstractNumId w:val="18"/>
  </w:num>
  <w:num w:numId="46">
    <w:abstractNumId w:val="25"/>
  </w:num>
  <w:num w:numId="47">
    <w:abstractNumId w:val="7"/>
  </w:num>
  <w:num w:numId="48">
    <w:abstractNumId w:val="17"/>
  </w:num>
  <w:num w:numId="4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AU" w:vendorID="64" w:dllVersion="131078" w:nlCheck="1" w:checkStyle="0"/>
  <w:activeWritingStyle w:appName="MSWord" w:lang="en-U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41985" style="mso-position-horizontal:center;mso-position-horizontal-relative:page;mso-position-vertical:center;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DB4ED0"/>
    <w:rsid w:val="00025B2F"/>
    <w:rsid w:val="00034FCF"/>
    <w:rsid w:val="00066EC8"/>
    <w:rsid w:val="0008398C"/>
    <w:rsid w:val="000A51AE"/>
    <w:rsid w:val="001270B6"/>
    <w:rsid w:val="00143CB8"/>
    <w:rsid w:val="00143D9D"/>
    <w:rsid w:val="001753C6"/>
    <w:rsid w:val="001B5657"/>
    <w:rsid w:val="001C7C1A"/>
    <w:rsid w:val="00270376"/>
    <w:rsid w:val="002A1213"/>
    <w:rsid w:val="002A2CA8"/>
    <w:rsid w:val="002D2C9B"/>
    <w:rsid w:val="002F3050"/>
    <w:rsid w:val="00304478"/>
    <w:rsid w:val="0031739C"/>
    <w:rsid w:val="003512BA"/>
    <w:rsid w:val="003A4BA3"/>
    <w:rsid w:val="003B42C1"/>
    <w:rsid w:val="00431618"/>
    <w:rsid w:val="00434A7B"/>
    <w:rsid w:val="004909C3"/>
    <w:rsid w:val="00490B3B"/>
    <w:rsid w:val="00490C9D"/>
    <w:rsid w:val="00540034"/>
    <w:rsid w:val="005A1DC2"/>
    <w:rsid w:val="005E370F"/>
    <w:rsid w:val="00643212"/>
    <w:rsid w:val="00647471"/>
    <w:rsid w:val="00682374"/>
    <w:rsid w:val="006A2A99"/>
    <w:rsid w:val="006B7626"/>
    <w:rsid w:val="00700994"/>
    <w:rsid w:val="00706ACB"/>
    <w:rsid w:val="007768A7"/>
    <w:rsid w:val="007778B1"/>
    <w:rsid w:val="007819F7"/>
    <w:rsid w:val="007A657F"/>
    <w:rsid w:val="007D5A15"/>
    <w:rsid w:val="0084387F"/>
    <w:rsid w:val="00907FD5"/>
    <w:rsid w:val="00925AAD"/>
    <w:rsid w:val="00936B63"/>
    <w:rsid w:val="009C6AAD"/>
    <w:rsid w:val="009F0D1F"/>
    <w:rsid w:val="00A340D6"/>
    <w:rsid w:val="00A67877"/>
    <w:rsid w:val="00A81D8A"/>
    <w:rsid w:val="00AD0DF0"/>
    <w:rsid w:val="00AD17C0"/>
    <w:rsid w:val="00B122B5"/>
    <w:rsid w:val="00B42193"/>
    <w:rsid w:val="00B46F36"/>
    <w:rsid w:val="00B735BF"/>
    <w:rsid w:val="00B75150"/>
    <w:rsid w:val="00B77BA9"/>
    <w:rsid w:val="00B92150"/>
    <w:rsid w:val="00BA0FF9"/>
    <w:rsid w:val="00C22C62"/>
    <w:rsid w:val="00C45838"/>
    <w:rsid w:val="00C55515"/>
    <w:rsid w:val="00C6290D"/>
    <w:rsid w:val="00C7710E"/>
    <w:rsid w:val="00CA7A62"/>
    <w:rsid w:val="00CC6DB8"/>
    <w:rsid w:val="00CD1FAE"/>
    <w:rsid w:val="00DB4ED0"/>
    <w:rsid w:val="00E06FA8"/>
    <w:rsid w:val="00E3356D"/>
    <w:rsid w:val="00E91050"/>
    <w:rsid w:val="00EA6B92"/>
    <w:rsid w:val="00EF6DA8"/>
    <w:rsid w:val="00F07990"/>
    <w:rsid w:val="00F34390"/>
    <w:rsid w:val="00F45D27"/>
    <w:rsid w:val="00F96CA2"/>
    <w:rsid w:val="00FA2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style="mso-position-horizontal:center;mso-position-horizontal-relative:page;mso-position-vertical:center;mso-position-vertical-relative:page" o:allowoverlap="f" fill="f" fillcolor="white" stroke="f">
      <v:fill color="white" on="f"/>
      <v:stroke on="f"/>
    </o:shapedefaults>
    <o:shapelayout v:ext="edit">
      <o:idmap v:ext="edit" data="1"/>
    </o:shapelayout>
  </w:shapeDefaults>
  <w:decimalSymbol w:val="."/>
  <w:listSeparator w:val=","/>
  <w15:chartTrackingRefBased/>
  <w15:docId w15:val="{4051265E-E921-459C-966A-BE6022F8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39C"/>
    <w:pPr>
      <w:spacing w:after="200"/>
    </w:pPr>
    <w:rPr>
      <w:rFonts w:ascii="Calibri" w:hAnsi="Calibri"/>
      <w:sz w:val="22"/>
      <w:szCs w:val="22"/>
      <w:lang w:eastAsia="en-US"/>
    </w:rPr>
  </w:style>
  <w:style w:type="paragraph" w:styleId="Heading1">
    <w:name w:val="heading 1"/>
    <w:basedOn w:val="Normal"/>
    <w:next w:val="Normal"/>
    <w:link w:val="Heading1Char"/>
    <w:autoRedefine/>
    <w:uiPriority w:val="9"/>
    <w:qFormat/>
    <w:rsid w:val="00CA7A62"/>
    <w:pPr>
      <w:keepNext/>
      <w:spacing w:before="480" w:after="480"/>
      <w:ind w:left="1276"/>
      <w:outlineLvl w:val="0"/>
    </w:pPr>
    <w:rPr>
      <w:b/>
      <w:sz w:val="44"/>
      <w:szCs w:val="20"/>
      <w:lang w:val="x-none"/>
    </w:rPr>
  </w:style>
  <w:style w:type="paragraph" w:styleId="Heading2">
    <w:name w:val="heading 2"/>
    <w:basedOn w:val="Normal"/>
    <w:next w:val="Normal"/>
    <w:link w:val="Heading2Char"/>
    <w:autoRedefine/>
    <w:uiPriority w:val="9"/>
    <w:qFormat/>
    <w:rsid w:val="00C6290D"/>
    <w:pPr>
      <w:pageBreakBefore/>
      <w:numPr>
        <w:numId w:val="48"/>
      </w:numPr>
      <w:spacing w:before="120" w:after="240"/>
      <w:outlineLvl w:val="1"/>
    </w:pPr>
    <w:rPr>
      <w:b/>
      <w:sz w:val="40"/>
      <w:szCs w:val="20"/>
      <w:lang w:val="x-none"/>
    </w:rPr>
  </w:style>
  <w:style w:type="paragraph" w:styleId="Heading3">
    <w:name w:val="heading 3"/>
    <w:basedOn w:val="Normal"/>
    <w:next w:val="Normal"/>
    <w:link w:val="Heading3Char"/>
    <w:uiPriority w:val="9"/>
    <w:qFormat/>
    <w:rsid w:val="00C6290D"/>
    <w:pPr>
      <w:numPr>
        <w:ilvl w:val="1"/>
        <w:numId w:val="48"/>
      </w:numPr>
      <w:spacing w:before="360" w:after="120"/>
      <w:outlineLvl w:val="2"/>
    </w:pPr>
    <w:rPr>
      <w:b/>
      <w:sz w:val="32"/>
      <w:szCs w:val="20"/>
      <w:lang w:val="x-none"/>
    </w:rPr>
  </w:style>
  <w:style w:type="paragraph" w:styleId="Heading4">
    <w:name w:val="heading 4"/>
    <w:basedOn w:val="Normal"/>
    <w:next w:val="Normal"/>
    <w:link w:val="Heading4Char"/>
    <w:uiPriority w:val="9"/>
    <w:qFormat/>
    <w:rsid w:val="00C6290D"/>
    <w:pPr>
      <w:numPr>
        <w:ilvl w:val="2"/>
        <w:numId w:val="48"/>
      </w:numPr>
      <w:spacing w:before="120" w:after="0"/>
      <w:outlineLvl w:val="3"/>
    </w:pPr>
    <w:rPr>
      <w:b/>
      <w:sz w:val="28"/>
      <w:szCs w:val="20"/>
      <w:lang w:val="x-none"/>
    </w:rPr>
  </w:style>
  <w:style w:type="paragraph" w:styleId="Heading5">
    <w:name w:val="heading 5"/>
    <w:basedOn w:val="Normal"/>
    <w:next w:val="Normal"/>
    <w:link w:val="Heading5Char"/>
    <w:uiPriority w:val="9"/>
    <w:unhideWhenUsed/>
    <w:qFormat/>
    <w:rsid w:val="00CA7A62"/>
    <w:pPr>
      <w:spacing w:before="120" w:after="0"/>
      <w:outlineLvl w:val="4"/>
    </w:pPr>
    <w:rPr>
      <w:rFonts w:eastAsia="Times New Roman"/>
      <w:b/>
      <w:bCs/>
      <w:i/>
      <w:iCs/>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C45838"/>
    <w:pPr>
      <w:tabs>
        <w:tab w:val="center" w:pos="4513"/>
        <w:tab w:val="right" w:pos="9026"/>
      </w:tabs>
      <w:spacing w:after="240"/>
    </w:pPr>
    <w:rPr>
      <w:rFonts w:ascii="Calibri" w:hAnsi="Calibri" w:cs="Arial"/>
      <w:color w:val="000000"/>
      <w:lang w:eastAsia="en-US"/>
    </w:rPr>
  </w:style>
  <w:style w:type="character" w:customStyle="1" w:styleId="HeaderChar">
    <w:name w:val="Header Char"/>
    <w:link w:val="Header"/>
    <w:uiPriority w:val="99"/>
    <w:rsid w:val="00C45838"/>
    <w:rPr>
      <w:rFonts w:ascii="Calibri" w:hAnsi="Calibri" w:cs="Arial"/>
      <w:color w:val="000000"/>
      <w:lang w:eastAsia="en-US"/>
    </w:rPr>
  </w:style>
  <w:style w:type="paragraph" w:styleId="Footer">
    <w:name w:val="footer"/>
    <w:basedOn w:val="Normal"/>
    <w:link w:val="FooterChar"/>
    <w:uiPriority w:val="99"/>
    <w:unhideWhenUsed/>
    <w:rsid w:val="00CA7A62"/>
    <w:pPr>
      <w:tabs>
        <w:tab w:val="right" w:pos="9026"/>
      </w:tabs>
    </w:pPr>
    <w:rPr>
      <w:sz w:val="20"/>
      <w:szCs w:val="20"/>
      <w:lang w:val="x-none"/>
    </w:rPr>
  </w:style>
  <w:style w:type="character" w:customStyle="1" w:styleId="FooterChar">
    <w:name w:val="Footer Char"/>
    <w:link w:val="Footer"/>
    <w:uiPriority w:val="99"/>
    <w:rsid w:val="00CA7A62"/>
    <w:rPr>
      <w:rFonts w:ascii="Calibri" w:hAnsi="Calibri"/>
      <w:lang w:val="x-none" w:eastAsia="en-US"/>
    </w:rPr>
  </w:style>
  <w:style w:type="paragraph" w:styleId="BalloonText">
    <w:name w:val="Balloon Text"/>
    <w:basedOn w:val="Normal"/>
    <w:link w:val="BalloonTextChar"/>
    <w:uiPriority w:val="99"/>
    <w:semiHidden/>
    <w:unhideWhenUsed/>
    <w:rsid w:val="00CA7A62"/>
    <w:rPr>
      <w:rFonts w:ascii="Tahoma" w:hAnsi="Tahoma"/>
      <w:sz w:val="16"/>
      <w:szCs w:val="16"/>
      <w:lang w:val="x-none" w:eastAsia="x-none"/>
    </w:rPr>
  </w:style>
  <w:style w:type="character" w:customStyle="1" w:styleId="BalloonTextChar">
    <w:name w:val="Balloon Text Char"/>
    <w:link w:val="BalloonText"/>
    <w:uiPriority w:val="99"/>
    <w:semiHidden/>
    <w:rsid w:val="00CA7A62"/>
    <w:rPr>
      <w:rFonts w:ascii="Tahoma" w:hAnsi="Tahoma"/>
      <w:sz w:val="16"/>
      <w:szCs w:val="16"/>
      <w:lang w:val="x-none" w:eastAsia="x-none"/>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ListParagraph"/>
    <w:uiPriority w:val="99"/>
    <w:semiHidden/>
    <w:rsid w:val="00CA7A62"/>
    <w:pPr>
      <w:numPr>
        <w:numId w:val="0"/>
      </w:numPr>
    </w:pPr>
  </w:style>
  <w:style w:type="numbering" w:customStyle="1" w:styleId="BulletList">
    <w:name w:val="Bullet List"/>
    <w:uiPriority w:val="99"/>
    <w:rsid w:val="00CA7A62"/>
    <w:pPr>
      <w:numPr>
        <w:numId w:val="2"/>
      </w:numPr>
    </w:pPr>
  </w:style>
  <w:style w:type="paragraph" w:customStyle="1" w:styleId="1BulletStyleList">
    <w:name w:val="1. Bullet Style List"/>
    <w:basedOn w:val="Normal"/>
    <w:uiPriority w:val="99"/>
    <w:semiHidden/>
    <w:rsid w:val="00CA7A62"/>
    <w:rPr>
      <w:rFonts w:eastAsia="Times New Roman"/>
      <w:szCs w:val="20"/>
      <w:lang w:eastAsia="en-AU"/>
    </w:rPr>
  </w:style>
  <w:style w:type="character" w:customStyle="1" w:styleId="Heading1Char">
    <w:name w:val="Heading 1 Char"/>
    <w:link w:val="Heading1"/>
    <w:uiPriority w:val="9"/>
    <w:rsid w:val="00CA7A62"/>
    <w:rPr>
      <w:rFonts w:ascii="Calibri" w:hAnsi="Calibri"/>
      <w:b/>
      <w:sz w:val="44"/>
      <w:lang w:val="x-none" w:eastAsia="en-US"/>
    </w:rPr>
  </w:style>
  <w:style w:type="character" w:customStyle="1" w:styleId="Heading2Char">
    <w:name w:val="Heading 2 Char"/>
    <w:link w:val="Heading2"/>
    <w:uiPriority w:val="9"/>
    <w:rsid w:val="00E91050"/>
    <w:rPr>
      <w:rFonts w:ascii="Calibri" w:hAnsi="Calibri"/>
      <w:b/>
      <w:sz w:val="40"/>
      <w:lang w:val="x-none" w:eastAsia="en-US"/>
    </w:rPr>
  </w:style>
  <w:style w:type="character" w:customStyle="1" w:styleId="Heading3Char">
    <w:name w:val="Heading 3 Char"/>
    <w:link w:val="Heading3"/>
    <w:uiPriority w:val="9"/>
    <w:rsid w:val="00CA7A62"/>
    <w:rPr>
      <w:rFonts w:ascii="Calibri" w:hAnsi="Calibri"/>
      <w:b/>
      <w:sz w:val="32"/>
      <w:lang w:val="x-none" w:eastAsia="en-US"/>
    </w:rPr>
  </w:style>
  <w:style w:type="character" w:customStyle="1" w:styleId="Heading4Char">
    <w:name w:val="Heading 4 Char"/>
    <w:link w:val="Heading4"/>
    <w:uiPriority w:val="9"/>
    <w:rsid w:val="00CA7A62"/>
    <w:rPr>
      <w:rFonts w:ascii="Calibri" w:hAnsi="Calibri"/>
      <w:b/>
      <w:sz w:val="28"/>
      <w:lang w:val="x-none" w:eastAsia="en-US"/>
    </w:rPr>
  </w:style>
  <w:style w:type="paragraph" w:styleId="ListBullet">
    <w:name w:val="List Bullet"/>
    <w:basedOn w:val="Normal"/>
    <w:autoRedefine/>
    <w:uiPriority w:val="99"/>
    <w:unhideWhenUsed/>
    <w:qFormat/>
    <w:rsid w:val="00CA7A62"/>
    <w:pPr>
      <w:numPr>
        <w:numId w:val="35"/>
      </w:numPr>
      <w:spacing w:before="120" w:after="120"/>
    </w:pPr>
  </w:style>
  <w:style w:type="paragraph" w:styleId="ListBullet2">
    <w:name w:val="List Bullet 2"/>
    <w:basedOn w:val="Normal"/>
    <w:link w:val="ListBullet2Char"/>
    <w:autoRedefine/>
    <w:uiPriority w:val="8"/>
    <w:unhideWhenUsed/>
    <w:qFormat/>
    <w:rsid w:val="00CA7A62"/>
    <w:pPr>
      <w:numPr>
        <w:ilvl w:val="1"/>
        <w:numId w:val="35"/>
      </w:numPr>
      <w:spacing w:after="120"/>
    </w:pPr>
    <w:rPr>
      <w:szCs w:val="20"/>
      <w:lang w:val="x-none"/>
    </w:rPr>
  </w:style>
  <w:style w:type="paragraph" w:styleId="ListBullet3">
    <w:name w:val="List Bullet 3"/>
    <w:basedOn w:val="Normal"/>
    <w:uiPriority w:val="99"/>
    <w:rsid w:val="00CA7A62"/>
    <w:pPr>
      <w:numPr>
        <w:ilvl w:val="2"/>
        <w:numId w:val="38"/>
      </w:numPr>
    </w:pPr>
  </w:style>
  <w:style w:type="paragraph" w:styleId="ListBullet4">
    <w:name w:val="List Bullet 4"/>
    <w:basedOn w:val="Normal"/>
    <w:uiPriority w:val="99"/>
    <w:rsid w:val="00CA7A62"/>
    <w:pPr>
      <w:numPr>
        <w:ilvl w:val="3"/>
        <w:numId w:val="38"/>
      </w:numPr>
    </w:pPr>
  </w:style>
  <w:style w:type="paragraph" w:styleId="ListBullet5">
    <w:name w:val="List Bullet 5"/>
    <w:basedOn w:val="Normal"/>
    <w:uiPriority w:val="99"/>
    <w:rsid w:val="00CA7A62"/>
    <w:pPr>
      <w:numPr>
        <w:ilvl w:val="4"/>
        <w:numId w:val="38"/>
      </w:numPr>
    </w:pPr>
  </w:style>
  <w:style w:type="numbering" w:customStyle="1" w:styleId="Attach">
    <w:name w:val="Attach"/>
    <w:basedOn w:val="NoList"/>
    <w:uiPriority w:val="99"/>
    <w:rsid w:val="00CA7A62"/>
    <w:pPr>
      <w:numPr>
        <w:numId w:val="3"/>
      </w:numPr>
    </w:pPr>
  </w:style>
  <w:style w:type="paragraph" w:customStyle="1" w:styleId="Classification">
    <w:name w:val="Classification"/>
    <w:basedOn w:val="Normal"/>
    <w:autoRedefine/>
    <w:uiPriority w:val="10"/>
    <w:qFormat/>
    <w:rsid w:val="00A340D6"/>
    <w:pPr>
      <w:tabs>
        <w:tab w:val="right" w:pos="9356"/>
      </w:tabs>
      <w:spacing w:before="120" w:after="120"/>
      <w:jc w:val="center"/>
    </w:pPr>
    <w:rPr>
      <w:rFonts w:asciiTheme="minorHAnsi" w:eastAsia="Times New Roman" w:hAnsiTheme="minorHAnsi" w:cs="Arial"/>
      <w:color w:val="000000"/>
      <w:sz w:val="20"/>
      <w:szCs w:val="20"/>
      <w:lang w:eastAsia="en-AU"/>
    </w:rPr>
  </w:style>
  <w:style w:type="paragraph" w:styleId="ListParagraph">
    <w:name w:val="List Paragraph"/>
    <w:basedOn w:val="Normal"/>
    <w:uiPriority w:val="34"/>
    <w:qFormat/>
    <w:rsid w:val="00CA7A62"/>
    <w:pPr>
      <w:numPr>
        <w:numId w:val="26"/>
      </w:numPr>
    </w:pPr>
  </w:style>
  <w:style w:type="paragraph" w:customStyle="1" w:styleId="Picture">
    <w:name w:val="Picture"/>
    <w:qFormat/>
    <w:rsid w:val="00CA7A62"/>
    <w:pPr>
      <w:spacing w:before="120" w:after="360"/>
    </w:pPr>
    <w:rPr>
      <w:rFonts w:ascii="Calibri" w:hAnsi="Calibri"/>
      <w:b/>
      <w:i/>
      <w:sz w:val="24"/>
      <w:lang w:eastAsia="en-US"/>
    </w:rPr>
  </w:style>
  <w:style w:type="paragraph" w:styleId="ListNumber">
    <w:name w:val="List Number"/>
    <w:basedOn w:val="Normal"/>
    <w:autoRedefine/>
    <w:uiPriority w:val="99"/>
    <w:qFormat/>
    <w:rsid w:val="00CA7A62"/>
    <w:pPr>
      <w:numPr>
        <w:numId w:val="43"/>
      </w:numPr>
    </w:pPr>
  </w:style>
  <w:style w:type="paragraph" w:styleId="ListNumber2">
    <w:name w:val="List Number 2"/>
    <w:basedOn w:val="Normal"/>
    <w:autoRedefine/>
    <w:uiPriority w:val="99"/>
    <w:rsid w:val="00CA7A62"/>
    <w:pPr>
      <w:numPr>
        <w:ilvl w:val="1"/>
        <w:numId w:val="44"/>
      </w:numPr>
    </w:pPr>
  </w:style>
  <w:style w:type="paragraph" w:styleId="ListNumber3">
    <w:name w:val="List Number 3"/>
    <w:basedOn w:val="Normal"/>
    <w:uiPriority w:val="99"/>
    <w:rsid w:val="00CA7A62"/>
    <w:pPr>
      <w:numPr>
        <w:ilvl w:val="2"/>
        <w:numId w:val="43"/>
      </w:numPr>
    </w:pPr>
  </w:style>
  <w:style w:type="paragraph" w:styleId="ListNumber4">
    <w:name w:val="List Number 4"/>
    <w:basedOn w:val="Normal"/>
    <w:uiPriority w:val="99"/>
    <w:rsid w:val="00CA7A62"/>
    <w:pPr>
      <w:numPr>
        <w:ilvl w:val="3"/>
        <w:numId w:val="43"/>
      </w:numPr>
    </w:pPr>
  </w:style>
  <w:style w:type="paragraph" w:customStyle="1" w:styleId="Refnumber">
    <w:name w:val="Ref number"/>
    <w:basedOn w:val="Normal"/>
    <w:next w:val="Normal"/>
    <w:uiPriority w:val="14"/>
    <w:pPr>
      <w:jc w:val="right"/>
    </w:pPr>
  </w:style>
  <w:style w:type="table" w:styleId="TableGrid">
    <w:name w:val="Table Grid"/>
    <w:basedOn w:val="TableNormal"/>
    <w:uiPriority w:val="59"/>
    <w:rsid w:val="00CA7A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
    <w:qFormat/>
    <w:rsid w:val="00CA7A62"/>
    <w:pPr>
      <w:spacing w:after="0"/>
    </w:pPr>
    <w:rPr>
      <w:sz w:val="20"/>
    </w:rPr>
  </w:style>
  <w:style w:type="paragraph" w:customStyle="1" w:styleId="Default">
    <w:name w:val="Default"/>
    <w:rsid w:val="00CA7A62"/>
    <w:pPr>
      <w:autoSpaceDE w:val="0"/>
      <w:autoSpaceDN w:val="0"/>
      <w:adjustRightInd w:val="0"/>
      <w:spacing w:after="200"/>
    </w:pPr>
    <w:rPr>
      <w:rFonts w:ascii="Cambria" w:hAnsi="Cambria" w:cs="Cambria"/>
      <w:color w:val="000000"/>
      <w:sz w:val="24"/>
      <w:szCs w:val="24"/>
    </w:rPr>
  </w:style>
  <w:style w:type="character" w:styleId="Emphasis">
    <w:name w:val="Emphasis"/>
    <w:uiPriority w:val="20"/>
    <w:qFormat/>
    <w:rsid w:val="00CA7A62"/>
    <w:rPr>
      <w:i/>
      <w:iCs/>
    </w:rPr>
  </w:style>
  <w:style w:type="paragraph" w:styleId="TOCHeading">
    <w:name w:val="TOC Heading"/>
    <w:next w:val="Normal"/>
    <w:uiPriority w:val="39"/>
    <w:unhideWhenUsed/>
    <w:qFormat/>
    <w:rsid w:val="00CA7A62"/>
    <w:pPr>
      <w:keepLines/>
      <w:pageBreakBefore/>
      <w:spacing w:before="480" w:line="276" w:lineRule="auto"/>
    </w:pPr>
    <w:rPr>
      <w:rFonts w:ascii="Calibri" w:eastAsia="Times New Roman" w:hAnsi="Calibri"/>
      <w:b/>
      <w:bCs/>
      <w:color w:val="000000"/>
      <w:sz w:val="36"/>
      <w:szCs w:val="28"/>
      <w:lang w:val="en-US" w:eastAsia="en-US"/>
    </w:rPr>
  </w:style>
  <w:style w:type="paragraph" w:styleId="TOC1">
    <w:name w:val="toc 1"/>
    <w:basedOn w:val="Normal"/>
    <w:next w:val="Normal"/>
    <w:autoRedefine/>
    <w:uiPriority w:val="39"/>
    <w:unhideWhenUsed/>
    <w:qFormat/>
    <w:rsid w:val="00CA7A62"/>
    <w:pPr>
      <w:tabs>
        <w:tab w:val="right" w:leader="dot" w:pos="9202"/>
      </w:tabs>
      <w:spacing w:before="120" w:after="120"/>
    </w:pPr>
  </w:style>
  <w:style w:type="paragraph" w:styleId="TOC2">
    <w:name w:val="toc 2"/>
    <w:basedOn w:val="Normal"/>
    <w:next w:val="Normal"/>
    <w:autoRedefine/>
    <w:uiPriority w:val="39"/>
    <w:unhideWhenUsed/>
    <w:qFormat/>
    <w:rsid w:val="00CA7A62"/>
    <w:pPr>
      <w:tabs>
        <w:tab w:val="left" w:pos="880"/>
        <w:tab w:val="right" w:leader="dot" w:pos="9202"/>
      </w:tabs>
      <w:spacing w:after="100"/>
      <w:ind w:left="240"/>
    </w:pPr>
  </w:style>
  <w:style w:type="character" w:styleId="Hyperlink">
    <w:name w:val="Hyperlink"/>
    <w:uiPriority w:val="99"/>
    <w:unhideWhenUsed/>
    <w:rsid w:val="00CA7A62"/>
    <w:rPr>
      <w:color w:val="0000FF"/>
      <w:u w:val="single"/>
    </w:rPr>
  </w:style>
  <w:style w:type="character" w:styleId="FollowedHyperlink">
    <w:name w:val="FollowedHyperlink"/>
    <w:uiPriority w:val="99"/>
    <w:semiHidden/>
    <w:unhideWhenUsed/>
    <w:rsid w:val="00CA7A62"/>
    <w:rPr>
      <w:color w:val="800080"/>
      <w:u w:val="single"/>
    </w:rPr>
  </w:style>
  <w:style w:type="paragraph" w:styleId="TOC3">
    <w:name w:val="toc 3"/>
    <w:basedOn w:val="Normal"/>
    <w:next w:val="Normal"/>
    <w:autoRedefine/>
    <w:uiPriority w:val="39"/>
    <w:unhideWhenUsed/>
    <w:qFormat/>
    <w:rsid w:val="00270376"/>
    <w:pPr>
      <w:tabs>
        <w:tab w:val="left" w:pos="1320"/>
        <w:tab w:val="right" w:leader="dot" w:pos="9344"/>
      </w:tabs>
      <w:spacing w:after="100"/>
      <w:ind w:left="480"/>
    </w:pPr>
  </w:style>
  <w:style w:type="table" w:customStyle="1" w:styleId="LightList-Accent11">
    <w:name w:val="Light List - Accent 11"/>
    <w:basedOn w:val="TableNormal"/>
    <w:next w:val="TableNormal"/>
    <w:uiPriority w:val="61"/>
    <w:rsid w:val="00CA7A62"/>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unhideWhenUsed/>
    <w:rsid w:val="00CA7A62"/>
    <w:rPr>
      <w:sz w:val="16"/>
      <w:szCs w:val="16"/>
    </w:rPr>
  </w:style>
  <w:style w:type="paragraph" w:styleId="CommentText">
    <w:name w:val="annotation text"/>
    <w:basedOn w:val="Normal"/>
    <w:link w:val="CommentTextChar"/>
    <w:uiPriority w:val="99"/>
    <w:semiHidden/>
    <w:unhideWhenUsed/>
    <w:rsid w:val="00CA7A62"/>
    <w:rPr>
      <w:sz w:val="20"/>
      <w:szCs w:val="20"/>
      <w:lang w:val="x-none"/>
    </w:rPr>
  </w:style>
  <w:style w:type="character" w:customStyle="1" w:styleId="CommentTextChar">
    <w:name w:val="Comment Text Char"/>
    <w:link w:val="CommentText"/>
    <w:uiPriority w:val="99"/>
    <w:semiHidden/>
    <w:rsid w:val="00CA7A62"/>
    <w:rPr>
      <w:rFonts w:ascii="Calibri" w:hAnsi="Calibri"/>
      <w:lang w:val="x-none" w:eastAsia="en-US"/>
    </w:rPr>
  </w:style>
  <w:style w:type="paragraph" w:styleId="CommentSubject">
    <w:name w:val="annotation subject"/>
    <w:basedOn w:val="CommentText"/>
    <w:next w:val="CommentText"/>
    <w:link w:val="CommentSubjectChar"/>
    <w:uiPriority w:val="99"/>
    <w:semiHidden/>
    <w:unhideWhenUsed/>
    <w:rsid w:val="00CA7A62"/>
    <w:rPr>
      <w:b/>
      <w:bCs/>
    </w:rPr>
  </w:style>
  <w:style w:type="character" w:customStyle="1" w:styleId="CommentSubjectChar">
    <w:name w:val="Comment Subject Char"/>
    <w:link w:val="CommentSubject"/>
    <w:uiPriority w:val="99"/>
    <w:semiHidden/>
    <w:rsid w:val="00CA7A62"/>
    <w:rPr>
      <w:rFonts w:ascii="Calibri" w:hAnsi="Calibri"/>
      <w:b/>
      <w:bCs/>
      <w:lang w:val="x-none" w:eastAsia="en-US"/>
    </w:rPr>
  </w:style>
  <w:style w:type="numbering" w:customStyle="1" w:styleId="Bulletlist0">
    <w:name w:val="Bullet list"/>
    <w:uiPriority w:val="99"/>
    <w:rsid w:val="00CA7A62"/>
    <w:pPr>
      <w:numPr>
        <w:numId w:val="7"/>
      </w:numPr>
    </w:pPr>
  </w:style>
  <w:style w:type="paragraph" w:customStyle="1" w:styleId="sourcenotesreferences">
    <w:name w:val="source/notes/references"/>
    <w:rsid w:val="00CA7A62"/>
    <w:pPr>
      <w:tabs>
        <w:tab w:val="left" w:pos="1230"/>
      </w:tabs>
      <w:spacing w:before="120" w:after="240"/>
      <w:contextualSpacing/>
    </w:pPr>
    <w:rPr>
      <w:rFonts w:ascii="Calibri" w:hAnsi="Calibri"/>
      <w:lang w:eastAsia="en-US"/>
    </w:rPr>
  </w:style>
  <w:style w:type="character" w:customStyle="1" w:styleId="ListBullet2Char">
    <w:name w:val="List Bullet 2 Char"/>
    <w:link w:val="ListBullet2"/>
    <w:uiPriority w:val="8"/>
    <w:rsid w:val="00CA7A62"/>
    <w:rPr>
      <w:rFonts w:ascii="Calibri" w:hAnsi="Calibri"/>
      <w:sz w:val="22"/>
      <w:lang w:val="x-none" w:eastAsia="en-US"/>
    </w:rPr>
  </w:style>
  <w:style w:type="paragraph" w:styleId="Caption">
    <w:name w:val="caption"/>
    <w:basedOn w:val="Normal"/>
    <w:next w:val="Normal"/>
    <w:uiPriority w:val="35"/>
    <w:unhideWhenUsed/>
    <w:qFormat/>
    <w:rsid w:val="00CA7A62"/>
    <w:pPr>
      <w:spacing w:before="120" w:after="0"/>
    </w:pPr>
    <w:rPr>
      <w:b/>
      <w:bCs/>
      <w:color w:val="548DD4"/>
      <w:szCs w:val="18"/>
    </w:rPr>
  </w:style>
  <w:style w:type="paragraph" w:styleId="Revision">
    <w:name w:val="Revision"/>
    <w:hidden/>
    <w:uiPriority w:val="99"/>
    <w:semiHidden/>
    <w:rPr>
      <w:rFonts w:ascii="Calibri" w:hAnsi="Calibri"/>
      <w:sz w:val="24"/>
      <w:szCs w:val="22"/>
      <w:lang w:eastAsia="en-US"/>
    </w:rPr>
  </w:style>
  <w:style w:type="paragraph" w:styleId="FootnoteText">
    <w:name w:val="footnote text"/>
    <w:basedOn w:val="Normal"/>
    <w:link w:val="FootnoteTextChar"/>
    <w:unhideWhenUsed/>
    <w:rsid w:val="00CA7A62"/>
    <w:pPr>
      <w:spacing w:after="0"/>
    </w:pPr>
    <w:rPr>
      <w:sz w:val="20"/>
      <w:szCs w:val="20"/>
      <w:lang w:val="x-none"/>
    </w:rPr>
  </w:style>
  <w:style w:type="character" w:customStyle="1" w:styleId="FootnoteTextChar">
    <w:name w:val="Footnote Text Char"/>
    <w:link w:val="FootnoteText"/>
    <w:rsid w:val="00CA7A62"/>
    <w:rPr>
      <w:rFonts w:ascii="Calibri" w:hAnsi="Calibri"/>
      <w:lang w:val="x-none" w:eastAsia="en-US"/>
    </w:rPr>
  </w:style>
  <w:style w:type="character" w:styleId="FootnoteReference">
    <w:name w:val="footnote reference"/>
    <w:unhideWhenUsed/>
    <w:rsid w:val="00CA7A62"/>
    <w:rPr>
      <w:vertAlign w:val="superscript"/>
    </w:rPr>
  </w:style>
  <w:style w:type="paragraph" w:styleId="Subtitle">
    <w:name w:val="Subtitle"/>
    <w:basedOn w:val="Normal"/>
    <w:next w:val="Normal"/>
    <w:link w:val="SubtitleChar"/>
    <w:uiPriority w:val="11"/>
    <w:semiHidden/>
    <w:unhideWhenUsed/>
    <w:qFormat/>
    <w:rsid w:val="00CA7A62"/>
    <w:pPr>
      <w:numPr>
        <w:ilvl w:val="1"/>
      </w:numPr>
      <w:spacing w:after="160"/>
    </w:pPr>
    <w:rPr>
      <w:rFonts w:eastAsia="Times New Roman"/>
      <w:color w:val="5A5A5A"/>
      <w:spacing w:val="15"/>
      <w:sz w:val="20"/>
      <w:szCs w:val="20"/>
      <w:lang w:val="x-none"/>
    </w:rPr>
  </w:style>
  <w:style w:type="character" w:customStyle="1" w:styleId="SubtitleChar">
    <w:name w:val="Subtitle Char"/>
    <w:link w:val="Subtitle"/>
    <w:uiPriority w:val="11"/>
    <w:semiHidden/>
    <w:rsid w:val="00CA7A62"/>
    <w:rPr>
      <w:rFonts w:ascii="Calibri" w:eastAsia="Times New Roman" w:hAnsi="Calibri"/>
      <w:color w:val="5A5A5A"/>
      <w:spacing w:val="15"/>
      <w:lang w:val="x-none" w:eastAsia="en-US"/>
    </w:rPr>
  </w:style>
  <w:style w:type="numbering" w:customStyle="1" w:styleId="Heading">
    <w:name w:val="Heading"/>
    <w:uiPriority w:val="99"/>
    <w:rsid w:val="00CA7A62"/>
    <w:pPr>
      <w:numPr>
        <w:numId w:val="9"/>
      </w:numPr>
    </w:pPr>
  </w:style>
  <w:style w:type="paragraph" w:customStyle="1" w:styleId="Glossary">
    <w:name w:val="Glossary"/>
    <w:qFormat/>
    <w:rsid w:val="00CA7A62"/>
    <w:pPr>
      <w:pageBreakBefore/>
      <w:spacing w:before="120" w:after="120"/>
    </w:pPr>
    <w:rPr>
      <w:rFonts w:ascii="Calibri" w:hAnsi="Calibri"/>
      <w:b/>
      <w:caps/>
      <w:sz w:val="36"/>
      <w:lang w:eastAsia="en-US"/>
    </w:rPr>
  </w:style>
  <w:style w:type="character" w:styleId="Strong">
    <w:name w:val="Strong"/>
    <w:uiPriority w:val="99"/>
    <w:qFormat/>
    <w:rsid w:val="00CA7A62"/>
    <w:rPr>
      <w:b/>
      <w:bCs/>
    </w:rPr>
  </w:style>
  <w:style w:type="paragraph" w:customStyle="1" w:styleId="Footerclassification">
    <w:name w:val="Footer classification"/>
    <w:basedOn w:val="Classification"/>
    <w:uiPriority w:val="10"/>
    <w:rsid w:val="00CA7A62"/>
    <w:pPr>
      <w:tabs>
        <w:tab w:val="center" w:pos="4536"/>
        <w:tab w:val="center" w:pos="4819"/>
      </w:tabs>
      <w:spacing w:before="0" w:after="200"/>
    </w:pPr>
    <w:rPr>
      <w:color w:val="FF0000"/>
      <w:sz w:val="28"/>
      <w:szCs w:val="28"/>
    </w:rPr>
  </w:style>
  <w:style w:type="character" w:customStyle="1" w:styleId="Heading5Char">
    <w:name w:val="Heading 5 Char"/>
    <w:link w:val="Heading5"/>
    <w:uiPriority w:val="9"/>
    <w:rsid w:val="00CA7A62"/>
    <w:rPr>
      <w:rFonts w:ascii="Calibri" w:eastAsia="Times New Roman" w:hAnsi="Calibri"/>
      <w:b/>
      <w:bCs/>
      <w:i/>
      <w:iCs/>
      <w:sz w:val="22"/>
      <w:szCs w:val="26"/>
      <w:lang w:val="x-none" w:eastAsia="en-US"/>
    </w:rPr>
  </w:style>
  <w:style w:type="numbering" w:customStyle="1" w:styleId="headinglist">
    <w:name w:val="heading list"/>
    <w:uiPriority w:val="99"/>
    <w:rsid w:val="00C6290D"/>
    <w:pPr>
      <w:numPr>
        <w:numId w:val="31"/>
      </w:numPr>
    </w:pPr>
  </w:style>
  <w:style w:type="paragraph" w:styleId="List">
    <w:name w:val="List"/>
    <w:basedOn w:val="Normal"/>
    <w:uiPriority w:val="99"/>
    <w:rsid w:val="00CA7A62"/>
    <w:pPr>
      <w:ind w:left="283" w:hanging="283"/>
      <w:contextualSpacing/>
    </w:pPr>
  </w:style>
  <w:style w:type="numbering" w:customStyle="1" w:styleId="listheading">
    <w:name w:val="list heading"/>
    <w:uiPriority w:val="99"/>
    <w:rsid w:val="00CA7A62"/>
    <w:pPr>
      <w:numPr>
        <w:numId w:val="39"/>
      </w:numPr>
    </w:pPr>
  </w:style>
  <w:style w:type="paragraph" w:styleId="NormalWeb">
    <w:name w:val="Normal (Web)"/>
    <w:basedOn w:val="Normal"/>
    <w:uiPriority w:val="99"/>
    <w:semiHidden/>
    <w:unhideWhenUsed/>
    <w:rsid w:val="00CA7A62"/>
    <w:rPr>
      <w:rFonts w:ascii="Times New Roman" w:hAnsi="Times New Roman"/>
      <w:szCs w:val="24"/>
    </w:rPr>
  </w:style>
  <w:style w:type="numbering" w:customStyle="1" w:styleId="numberedlist">
    <w:name w:val="numbered list"/>
    <w:basedOn w:val="NoList"/>
    <w:uiPriority w:val="99"/>
    <w:rsid w:val="00CA7A6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659">
      <w:bodyDiv w:val="1"/>
      <w:marLeft w:val="0"/>
      <w:marRight w:val="0"/>
      <w:marTop w:val="0"/>
      <w:marBottom w:val="0"/>
      <w:divBdr>
        <w:top w:val="none" w:sz="0" w:space="0" w:color="auto"/>
        <w:left w:val="none" w:sz="0" w:space="0" w:color="auto"/>
        <w:bottom w:val="none" w:sz="0" w:space="0" w:color="auto"/>
        <w:right w:val="none" w:sz="0" w:space="0" w:color="auto"/>
      </w:divBdr>
    </w:div>
    <w:div w:id="40176698">
      <w:bodyDiv w:val="1"/>
      <w:marLeft w:val="0"/>
      <w:marRight w:val="0"/>
      <w:marTop w:val="0"/>
      <w:marBottom w:val="0"/>
      <w:divBdr>
        <w:top w:val="none" w:sz="0" w:space="0" w:color="auto"/>
        <w:left w:val="none" w:sz="0" w:space="0" w:color="auto"/>
        <w:bottom w:val="none" w:sz="0" w:space="0" w:color="auto"/>
        <w:right w:val="none" w:sz="0" w:space="0" w:color="auto"/>
      </w:divBdr>
      <w:divsChild>
        <w:div w:id="1231619736">
          <w:marLeft w:val="0"/>
          <w:marRight w:val="0"/>
          <w:marTop w:val="0"/>
          <w:marBottom w:val="0"/>
          <w:divBdr>
            <w:top w:val="none" w:sz="0" w:space="0" w:color="auto"/>
            <w:left w:val="none" w:sz="0" w:space="0" w:color="auto"/>
            <w:bottom w:val="none" w:sz="0" w:space="0" w:color="auto"/>
            <w:right w:val="none" w:sz="0" w:space="0" w:color="auto"/>
          </w:divBdr>
          <w:divsChild>
            <w:div w:id="910039120">
              <w:marLeft w:val="0"/>
              <w:marRight w:val="0"/>
              <w:marTop w:val="0"/>
              <w:marBottom w:val="0"/>
              <w:divBdr>
                <w:top w:val="none" w:sz="0" w:space="0" w:color="auto"/>
                <w:left w:val="none" w:sz="0" w:space="0" w:color="auto"/>
                <w:bottom w:val="none" w:sz="0" w:space="0" w:color="auto"/>
                <w:right w:val="none" w:sz="0" w:space="0" w:color="auto"/>
              </w:divBdr>
              <w:divsChild>
                <w:div w:id="1466002641">
                  <w:marLeft w:val="0"/>
                  <w:marRight w:val="0"/>
                  <w:marTop w:val="0"/>
                  <w:marBottom w:val="0"/>
                  <w:divBdr>
                    <w:top w:val="none" w:sz="0" w:space="0" w:color="auto"/>
                    <w:left w:val="none" w:sz="0" w:space="0" w:color="auto"/>
                    <w:bottom w:val="none" w:sz="0" w:space="0" w:color="auto"/>
                    <w:right w:val="none" w:sz="0" w:space="0" w:color="auto"/>
                  </w:divBdr>
                  <w:divsChild>
                    <w:div w:id="182942337">
                      <w:marLeft w:val="0"/>
                      <w:marRight w:val="0"/>
                      <w:marTop w:val="240"/>
                      <w:marBottom w:val="0"/>
                      <w:divBdr>
                        <w:top w:val="none" w:sz="0" w:space="0" w:color="auto"/>
                        <w:left w:val="none" w:sz="0" w:space="0" w:color="auto"/>
                        <w:bottom w:val="none" w:sz="0" w:space="0" w:color="auto"/>
                        <w:right w:val="none" w:sz="0" w:space="0" w:color="auto"/>
                      </w:divBdr>
                      <w:divsChild>
                        <w:div w:id="197623640">
                          <w:marLeft w:val="0"/>
                          <w:marRight w:val="0"/>
                          <w:marTop w:val="0"/>
                          <w:marBottom w:val="0"/>
                          <w:divBdr>
                            <w:top w:val="none" w:sz="0" w:space="0" w:color="auto"/>
                            <w:left w:val="none" w:sz="0" w:space="0" w:color="auto"/>
                            <w:bottom w:val="none" w:sz="0" w:space="0" w:color="auto"/>
                            <w:right w:val="none" w:sz="0" w:space="0" w:color="auto"/>
                          </w:divBdr>
                          <w:divsChild>
                            <w:div w:id="14477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9266">
      <w:bodyDiv w:val="1"/>
      <w:marLeft w:val="0"/>
      <w:marRight w:val="0"/>
      <w:marTop w:val="0"/>
      <w:marBottom w:val="0"/>
      <w:divBdr>
        <w:top w:val="none" w:sz="0" w:space="0" w:color="auto"/>
        <w:left w:val="none" w:sz="0" w:space="0" w:color="auto"/>
        <w:bottom w:val="none" w:sz="0" w:space="0" w:color="auto"/>
        <w:right w:val="none" w:sz="0" w:space="0" w:color="auto"/>
      </w:divBdr>
      <w:divsChild>
        <w:div w:id="258608839">
          <w:marLeft w:val="0"/>
          <w:marRight w:val="0"/>
          <w:marTop w:val="0"/>
          <w:marBottom w:val="0"/>
          <w:divBdr>
            <w:top w:val="none" w:sz="0" w:space="0" w:color="auto"/>
            <w:left w:val="none" w:sz="0" w:space="0" w:color="auto"/>
            <w:bottom w:val="none" w:sz="0" w:space="0" w:color="auto"/>
            <w:right w:val="none" w:sz="0" w:space="0" w:color="auto"/>
          </w:divBdr>
          <w:divsChild>
            <w:div w:id="1475753551">
              <w:marLeft w:val="0"/>
              <w:marRight w:val="0"/>
              <w:marTop w:val="0"/>
              <w:marBottom w:val="0"/>
              <w:divBdr>
                <w:top w:val="none" w:sz="0" w:space="0" w:color="auto"/>
                <w:left w:val="none" w:sz="0" w:space="0" w:color="auto"/>
                <w:bottom w:val="none" w:sz="0" w:space="0" w:color="auto"/>
                <w:right w:val="none" w:sz="0" w:space="0" w:color="auto"/>
              </w:divBdr>
              <w:divsChild>
                <w:div w:id="78408737">
                  <w:marLeft w:val="0"/>
                  <w:marRight w:val="0"/>
                  <w:marTop w:val="0"/>
                  <w:marBottom w:val="0"/>
                  <w:divBdr>
                    <w:top w:val="none" w:sz="0" w:space="0" w:color="auto"/>
                    <w:left w:val="none" w:sz="0" w:space="0" w:color="auto"/>
                    <w:bottom w:val="none" w:sz="0" w:space="0" w:color="auto"/>
                    <w:right w:val="none" w:sz="0" w:space="0" w:color="auto"/>
                  </w:divBdr>
                  <w:divsChild>
                    <w:div w:id="910044784">
                      <w:marLeft w:val="0"/>
                      <w:marRight w:val="0"/>
                      <w:marTop w:val="240"/>
                      <w:marBottom w:val="0"/>
                      <w:divBdr>
                        <w:top w:val="none" w:sz="0" w:space="0" w:color="auto"/>
                        <w:left w:val="none" w:sz="0" w:space="0" w:color="auto"/>
                        <w:bottom w:val="none" w:sz="0" w:space="0" w:color="auto"/>
                        <w:right w:val="none" w:sz="0" w:space="0" w:color="auto"/>
                      </w:divBdr>
                      <w:divsChild>
                        <w:div w:id="231888780">
                          <w:marLeft w:val="0"/>
                          <w:marRight w:val="0"/>
                          <w:marTop w:val="0"/>
                          <w:marBottom w:val="0"/>
                          <w:divBdr>
                            <w:top w:val="none" w:sz="0" w:space="0" w:color="auto"/>
                            <w:left w:val="none" w:sz="0" w:space="0" w:color="auto"/>
                            <w:bottom w:val="none" w:sz="0" w:space="0" w:color="auto"/>
                            <w:right w:val="none" w:sz="0" w:space="0" w:color="auto"/>
                          </w:divBdr>
                          <w:divsChild>
                            <w:div w:id="1835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0179">
      <w:bodyDiv w:val="1"/>
      <w:marLeft w:val="0"/>
      <w:marRight w:val="0"/>
      <w:marTop w:val="0"/>
      <w:marBottom w:val="0"/>
      <w:divBdr>
        <w:top w:val="none" w:sz="0" w:space="0" w:color="auto"/>
        <w:left w:val="none" w:sz="0" w:space="0" w:color="auto"/>
        <w:bottom w:val="none" w:sz="0" w:space="0" w:color="auto"/>
        <w:right w:val="none" w:sz="0" w:space="0" w:color="auto"/>
      </w:divBdr>
      <w:divsChild>
        <w:div w:id="1239828799">
          <w:marLeft w:val="0"/>
          <w:marRight w:val="0"/>
          <w:marTop w:val="0"/>
          <w:marBottom w:val="0"/>
          <w:divBdr>
            <w:top w:val="none" w:sz="0" w:space="0" w:color="auto"/>
            <w:left w:val="none" w:sz="0" w:space="0" w:color="auto"/>
            <w:bottom w:val="none" w:sz="0" w:space="0" w:color="auto"/>
            <w:right w:val="none" w:sz="0" w:space="0" w:color="auto"/>
          </w:divBdr>
          <w:divsChild>
            <w:div w:id="1811821166">
              <w:marLeft w:val="0"/>
              <w:marRight w:val="0"/>
              <w:marTop w:val="0"/>
              <w:marBottom w:val="0"/>
              <w:divBdr>
                <w:top w:val="none" w:sz="0" w:space="0" w:color="auto"/>
                <w:left w:val="none" w:sz="0" w:space="0" w:color="auto"/>
                <w:bottom w:val="none" w:sz="0" w:space="0" w:color="auto"/>
                <w:right w:val="none" w:sz="0" w:space="0" w:color="auto"/>
              </w:divBdr>
              <w:divsChild>
                <w:div w:id="1080641921">
                  <w:marLeft w:val="0"/>
                  <w:marRight w:val="0"/>
                  <w:marTop w:val="0"/>
                  <w:marBottom w:val="0"/>
                  <w:divBdr>
                    <w:top w:val="none" w:sz="0" w:space="0" w:color="auto"/>
                    <w:left w:val="none" w:sz="0" w:space="0" w:color="auto"/>
                    <w:bottom w:val="none" w:sz="0" w:space="0" w:color="auto"/>
                    <w:right w:val="none" w:sz="0" w:space="0" w:color="auto"/>
                  </w:divBdr>
                  <w:divsChild>
                    <w:div w:id="19688523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8395698">
      <w:bodyDiv w:val="1"/>
      <w:marLeft w:val="0"/>
      <w:marRight w:val="0"/>
      <w:marTop w:val="0"/>
      <w:marBottom w:val="0"/>
      <w:divBdr>
        <w:top w:val="none" w:sz="0" w:space="0" w:color="auto"/>
        <w:left w:val="none" w:sz="0" w:space="0" w:color="auto"/>
        <w:bottom w:val="none" w:sz="0" w:space="0" w:color="auto"/>
        <w:right w:val="none" w:sz="0" w:space="0" w:color="auto"/>
      </w:divBdr>
    </w:div>
    <w:div w:id="203909291">
      <w:bodyDiv w:val="1"/>
      <w:marLeft w:val="0"/>
      <w:marRight w:val="0"/>
      <w:marTop w:val="0"/>
      <w:marBottom w:val="0"/>
      <w:divBdr>
        <w:top w:val="none" w:sz="0" w:space="0" w:color="auto"/>
        <w:left w:val="none" w:sz="0" w:space="0" w:color="auto"/>
        <w:bottom w:val="none" w:sz="0" w:space="0" w:color="auto"/>
        <w:right w:val="none" w:sz="0" w:space="0" w:color="auto"/>
      </w:divBdr>
    </w:div>
    <w:div w:id="309988343">
      <w:bodyDiv w:val="1"/>
      <w:marLeft w:val="0"/>
      <w:marRight w:val="0"/>
      <w:marTop w:val="0"/>
      <w:marBottom w:val="0"/>
      <w:divBdr>
        <w:top w:val="none" w:sz="0" w:space="0" w:color="auto"/>
        <w:left w:val="none" w:sz="0" w:space="0" w:color="auto"/>
        <w:bottom w:val="none" w:sz="0" w:space="0" w:color="auto"/>
        <w:right w:val="none" w:sz="0" w:space="0" w:color="auto"/>
      </w:divBdr>
      <w:divsChild>
        <w:div w:id="526599457">
          <w:marLeft w:val="0"/>
          <w:marRight w:val="0"/>
          <w:marTop w:val="0"/>
          <w:marBottom w:val="0"/>
          <w:divBdr>
            <w:top w:val="none" w:sz="0" w:space="0" w:color="auto"/>
            <w:left w:val="none" w:sz="0" w:space="0" w:color="auto"/>
            <w:bottom w:val="none" w:sz="0" w:space="0" w:color="auto"/>
            <w:right w:val="none" w:sz="0" w:space="0" w:color="auto"/>
          </w:divBdr>
          <w:divsChild>
            <w:div w:id="234752805">
              <w:marLeft w:val="0"/>
              <w:marRight w:val="0"/>
              <w:marTop w:val="0"/>
              <w:marBottom w:val="0"/>
              <w:divBdr>
                <w:top w:val="none" w:sz="0" w:space="0" w:color="auto"/>
                <w:left w:val="none" w:sz="0" w:space="0" w:color="auto"/>
                <w:bottom w:val="none" w:sz="0" w:space="0" w:color="auto"/>
                <w:right w:val="none" w:sz="0" w:space="0" w:color="auto"/>
              </w:divBdr>
              <w:divsChild>
                <w:div w:id="1360280520">
                  <w:marLeft w:val="0"/>
                  <w:marRight w:val="0"/>
                  <w:marTop w:val="0"/>
                  <w:marBottom w:val="0"/>
                  <w:divBdr>
                    <w:top w:val="none" w:sz="0" w:space="0" w:color="auto"/>
                    <w:left w:val="none" w:sz="0" w:space="0" w:color="auto"/>
                    <w:bottom w:val="none" w:sz="0" w:space="0" w:color="auto"/>
                    <w:right w:val="none" w:sz="0" w:space="0" w:color="auto"/>
                  </w:divBdr>
                  <w:divsChild>
                    <w:div w:id="1173451533">
                      <w:marLeft w:val="0"/>
                      <w:marRight w:val="0"/>
                      <w:marTop w:val="240"/>
                      <w:marBottom w:val="0"/>
                      <w:divBdr>
                        <w:top w:val="none" w:sz="0" w:space="0" w:color="auto"/>
                        <w:left w:val="none" w:sz="0" w:space="0" w:color="auto"/>
                        <w:bottom w:val="none" w:sz="0" w:space="0" w:color="auto"/>
                        <w:right w:val="none" w:sz="0" w:space="0" w:color="auto"/>
                      </w:divBdr>
                      <w:divsChild>
                        <w:div w:id="2042782378">
                          <w:marLeft w:val="0"/>
                          <w:marRight w:val="0"/>
                          <w:marTop w:val="0"/>
                          <w:marBottom w:val="0"/>
                          <w:divBdr>
                            <w:top w:val="none" w:sz="0" w:space="0" w:color="auto"/>
                            <w:left w:val="none" w:sz="0" w:space="0" w:color="auto"/>
                            <w:bottom w:val="none" w:sz="0" w:space="0" w:color="auto"/>
                            <w:right w:val="none" w:sz="0" w:space="0" w:color="auto"/>
                          </w:divBdr>
                          <w:divsChild>
                            <w:div w:id="1449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03857">
      <w:bodyDiv w:val="1"/>
      <w:marLeft w:val="0"/>
      <w:marRight w:val="0"/>
      <w:marTop w:val="0"/>
      <w:marBottom w:val="0"/>
      <w:divBdr>
        <w:top w:val="none" w:sz="0" w:space="0" w:color="auto"/>
        <w:left w:val="none" w:sz="0" w:space="0" w:color="auto"/>
        <w:bottom w:val="none" w:sz="0" w:space="0" w:color="auto"/>
        <w:right w:val="none" w:sz="0" w:space="0" w:color="auto"/>
      </w:divBdr>
    </w:div>
    <w:div w:id="344672000">
      <w:bodyDiv w:val="1"/>
      <w:marLeft w:val="0"/>
      <w:marRight w:val="0"/>
      <w:marTop w:val="0"/>
      <w:marBottom w:val="0"/>
      <w:divBdr>
        <w:top w:val="none" w:sz="0" w:space="0" w:color="auto"/>
        <w:left w:val="none" w:sz="0" w:space="0" w:color="auto"/>
        <w:bottom w:val="none" w:sz="0" w:space="0" w:color="auto"/>
        <w:right w:val="none" w:sz="0" w:space="0" w:color="auto"/>
      </w:divBdr>
      <w:divsChild>
        <w:div w:id="216011664">
          <w:marLeft w:val="0"/>
          <w:marRight w:val="0"/>
          <w:marTop w:val="0"/>
          <w:marBottom w:val="0"/>
          <w:divBdr>
            <w:top w:val="none" w:sz="0" w:space="0" w:color="auto"/>
            <w:left w:val="none" w:sz="0" w:space="0" w:color="auto"/>
            <w:bottom w:val="none" w:sz="0" w:space="0" w:color="auto"/>
            <w:right w:val="none" w:sz="0" w:space="0" w:color="auto"/>
          </w:divBdr>
          <w:divsChild>
            <w:div w:id="1658920856">
              <w:marLeft w:val="0"/>
              <w:marRight w:val="0"/>
              <w:marTop w:val="0"/>
              <w:marBottom w:val="0"/>
              <w:divBdr>
                <w:top w:val="none" w:sz="0" w:space="0" w:color="auto"/>
                <w:left w:val="none" w:sz="0" w:space="0" w:color="auto"/>
                <w:bottom w:val="none" w:sz="0" w:space="0" w:color="auto"/>
                <w:right w:val="none" w:sz="0" w:space="0" w:color="auto"/>
              </w:divBdr>
              <w:divsChild>
                <w:div w:id="1979721420">
                  <w:marLeft w:val="0"/>
                  <w:marRight w:val="0"/>
                  <w:marTop w:val="0"/>
                  <w:marBottom w:val="0"/>
                  <w:divBdr>
                    <w:top w:val="none" w:sz="0" w:space="0" w:color="auto"/>
                    <w:left w:val="none" w:sz="0" w:space="0" w:color="auto"/>
                    <w:bottom w:val="none" w:sz="0" w:space="0" w:color="auto"/>
                    <w:right w:val="none" w:sz="0" w:space="0" w:color="auto"/>
                  </w:divBdr>
                  <w:divsChild>
                    <w:div w:id="139613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88043620">
      <w:bodyDiv w:val="1"/>
      <w:marLeft w:val="0"/>
      <w:marRight w:val="0"/>
      <w:marTop w:val="0"/>
      <w:marBottom w:val="0"/>
      <w:divBdr>
        <w:top w:val="none" w:sz="0" w:space="0" w:color="auto"/>
        <w:left w:val="none" w:sz="0" w:space="0" w:color="auto"/>
        <w:bottom w:val="none" w:sz="0" w:space="0" w:color="auto"/>
        <w:right w:val="none" w:sz="0" w:space="0" w:color="auto"/>
      </w:divBdr>
    </w:div>
    <w:div w:id="502430397">
      <w:bodyDiv w:val="1"/>
      <w:marLeft w:val="0"/>
      <w:marRight w:val="0"/>
      <w:marTop w:val="0"/>
      <w:marBottom w:val="0"/>
      <w:divBdr>
        <w:top w:val="none" w:sz="0" w:space="0" w:color="auto"/>
        <w:left w:val="none" w:sz="0" w:space="0" w:color="auto"/>
        <w:bottom w:val="none" w:sz="0" w:space="0" w:color="auto"/>
        <w:right w:val="none" w:sz="0" w:space="0" w:color="auto"/>
      </w:divBdr>
      <w:divsChild>
        <w:div w:id="1844129112">
          <w:marLeft w:val="0"/>
          <w:marRight w:val="0"/>
          <w:marTop w:val="0"/>
          <w:marBottom w:val="0"/>
          <w:divBdr>
            <w:top w:val="none" w:sz="0" w:space="0" w:color="auto"/>
            <w:left w:val="none" w:sz="0" w:space="0" w:color="auto"/>
            <w:bottom w:val="none" w:sz="0" w:space="0" w:color="auto"/>
            <w:right w:val="none" w:sz="0" w:space="0" w:color="auto"/>
          </w:divBdr>
          <w:divsChild>
            <w:div w:id="294021180">
              <w:marLeft w:val="0"/>
              <w:marRight w:val="0"/>
              <w:marTop w:val="0"/>
              <w:marBottom w:val="0"/>
              <w:divBdr>
                <w:top w:val="none" w:sz="0" w:space="0" w:color="auto"/>
                <w:left w:val="none" w:sz="0" w:space="0" w:color="auto"/>
                <w:bottom w:val="none" w:sz="0" w:space="0" w:color="auto"/>
                <w:right w:val="none" w:sz="0" w:space="0" w:color="auto"/>
              </w:divBdr>
              <w:divsChild>
                <w:div w:id="624314200">
                  <w:marLeft w:val="0"/>
                  <w:marRight w:val="0"/>
                  <w:marTop w:val="0"/>
                  <w:marBottom w:val="0"/>
                  <w:divBdr>
                    <w:top w:val="none" w:sz="0" w:space="0" w:color="auto"/>
                    <w:left w:val="none" w:sz="0" w:space="0" w:color="auto"/>
                    <w:bottom w:val="none" w:sz="0" w:space="0" w:color="auto"/>
                    <w:right w:val="none" w:sz="0" w:space="0" w:color="auto"/>
                  </w:divBdr>
                  <w:divsChild>
                    <w:div w:id="2014410114">
                      <w:marLeft w:val="0"/>
                      <w:marRight w:val="0"/>
                      <w:marTop w:val="240"/>
                      <w:marBottom w:val="0"/>
                      <w:divBdr>
                        <w:top w:val="none" w:sz="0" w:space="0" w:color="auto"/>
                        <w:left w:val="none" w:sz="0" w:space="0" w:color="auto"/>
                        <w:bottom w:val="none" w:sz="0" w:space="0" w:color="auto"/>
                        <w:right w:val="none" w:sz="0" w:space="0" w:color="auto"/>
                      </w:divBdr>
                      <w:divsChild>
                        <w:div w:id="11479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76403">
      <w:bodyDiv w:val="1"/>
      <w:marLeft w:val="0"/>
      <w:marRight w:val="0"/>
      <w:marTop w:val="0"/>
      <w:marBottom w:val="0"/>
      <w:divBdr>
        <w:top w:val="none" w:sz="0" w:space="0" w:color="auto"/>
        <w:left w:val="none" w:sz="0" w:space="0" w:color="auto"/>
        <w:bottom w:val="none" w:sz="0" w:space="0" w:color="auto"/>
        <w:right w:val="none" w:sz="0" w:space="0" w:color="auto"/>
      </w:divBdr>
    </w:div>
    <w:div w:id="599266312">
      <w:bodyDiv w:val="1"/>
      <w:marLeft w:val="0"/>
      <w:marRight w:val="0"/>
      <w:marTop w:val="0"/>
      <w:marBottom w:val="0"/>
      <w:divBdr>
        <w:top w:val="none" w:sz="0" w:space="0" w:color="auto"/>
        <w:left w:val="none" w:sz="0" w:space="0" w:color="auto"/>
        <w:bottom w:val="none" w:sz="0" w:space="0" w:color="auto"/>
        <w:right w:val="none" w:sz="0" w:space="0" w:color="auto"/>
      </w:divBdr>
    </w:div>
    <w:div w:id="612633620">
      <w:bodyDiv w:val="1"/>
      <w:marLeft w:val="0"/>
      <w:marRight w:val="0"/>
      <w:marTop w:val="0"/>
      <w:marBottom w:val="0"/>
      <w:divBdr>
        <w:top w:val="none" w:sz="0" w:space="0" w:color="auto"/>
        <w:left w:val="none" w:sz="0" w:space="0" w:color="auto"/>
        <w:bottom w:val="none" w:sz="0" w:space="0" w:color="auto"/>
        <w:right w:val="none" w:sz="0" w:space="0" w:color="auto"/>
      </w:divBdr>
    </w:div>
    <w:div w:id="640229272">
      <w:bodyDiv w:val="1"/>
      <w:marLeft w:val="0"/>
      <w:marRight w:val="0"/>
      <w:marTop w:val="0"/>
      <w:marBottom w:val="0"/>
      <w:divBdr>
        <w:top w:val="none" w:sz="0" w:space="0" w:color="auto"/>
        <w:left w:val="none" w:sz="0" w:space="0" w:color="auto"/>
        <w:bottom w:val="none" w:sz="0" w:space="0" w:color="auto"/>
        <w:right w:val="none" w:sz="0" w:space="0" w:color="auto"/>
      </w:divBdr>
    </w:div>
    <w:div w:id="676470540">
      <w:bodyDiv w:val="1"/>
      <w:marLeft w:val="0"/>
      <w:marRight w:val="0"/>
      <w:marTop w:val="0"/>
      <w:marBottom w:val="0"/>
      <w:divBdr>
        <w:top w:val="none" w:sz="0" w:space="0" w:color="auto"/>
        <w:left w:val="none" w:sz="0" w:space="0" w:color="auto"/>
        <w:bottom w:val="none" w:sz="0" w:space="0" w:color="auto"/>
        <w:right w:val="none" w:sz="0" w:space="0" w:color="auto"/>
      </w:divBdr>
    </w:div>
    <w:div w:id="700981092">
      <w:bodyDiv w:val="1"/>
      <w:marLeft w:val="0"/>
      <w:marRight w:val="0"/>
      <w:marTop w:val="0"/>
      <w:marBottom w:val="0"/>
      <w:divBdr>
        <w:top w:val="none" w:sz="0" w:space="0" w:color="auto"/>
        <w:left w:val="none" w:sz="0" w:space="0" w:color="auto"/>
        <w:bottom w:val="none" w:sz="0" w:space="0" w:color="auto"/>
        <w:right w:val="none" w:sz="0" w:space="0" w:color="auto"/>
      </w:divBdr>
      <w:divsChild>
        <w:div w:id="1878354135">
          <w:marLeft w:val="0"/>
          <w:marRight w:val="0"/>
          <w:marTop w:val="0"/>
          <w:marBottom w:val="0"/>
          <w:divBdr>
            <w:top w:val="none" w:sz="0" w:space="0" w:color="auto"/>
            <w:left w:val="none" w:sz="0" w:space="0" w:color="auto"/>
            <w:bottom w:val="none" w:sz="0" w:space="0" w:color="auto"/>
            <w:right w:val="none" w:sz="0" w:space="0" w:color="auto"/>
          </w:divBdr>
          <w:divsChild>
            <w:div w:id="497500891">
              <w:marLeft w:val="0"/>
              <w:marRight w:val="0"/>
              <w:marTop w:val="0"/>
              <w:marBottom w:val="0"/>
              <w:divBdr>
                <w:top w:val="none" w:sz="0" w:space="0" w:color="auto"/>
                <w:left w:val="none" w:sz="0" w:space="0" w:color="auto"/>
                <w:bottom w:val="none" w:sz="0" w:space="0" w:color="auto"/>
                <w:right w:val="none" w:sz="0" w:space="0" w:color="auto"/>
              </w:divBdr>
              <w:divsChild>
                <w:div w:id="739250388">
                  <w:marLeft w:val="0"/>
                  <w:marRight w:val="0"/>
                  <w:marTop w:val="0"/>
                  <w:marBottom w:val="0"/>
                  <w:divBdr>
                    <w:top w:val="none" w:sz="0" w:space="0" w:color="auto"/>
                    <w:left w:val="none" w:sz="0" w:space="0" w:color="auto"/>
                    <w:bottom w:val="none" w:sz="0" w:space="0" w:color="auto"/>
                    <w:right w:val="none" w:sz="0" w:space="0" w:color="auto"/>
                  </w:divBdr>
                  <w:divsChild>
                    <w:div w:id="1893037172">
                      <w:marLeft w:val="0"/>
                      <w:marRight w:val="0"/>
                      <w:marTop w:val="240"/>
                      <w:marBottom w:val="0"/>
                      <w:divBdr>
                        <w:top w:val="none" w:sz="0" w:space="0" w:color="auto"/>
                        <w:left w:val="none" w:sz="0" w:space="0" w:color="auto"/>
                        <w:bottom w:val="none" w:sz="0" w:space="0" w:color="auto"/>
                        <w:right w:val="none" w:sz="0" w:space="0" w:color="auto"/>
                      </w:divBdr>
                      <w:divsChild>
                        <w:div w:id="671104614">
                          <w:marLeft w:val="0"/>
                          <w:marRight w:val="0"/>
                          <w:marTop w:val="0"/>
                          <w:marBottom w:val="0"/>
                          <w:divBdr>
                            <w:top w:val="none" w:sz="0" w:space="0" w:color="auto"/>
                            <w:left w:val="none" w:sz="0" w:space="0" w:color="auto"/>
                            <w:bottom w:val="none" w:sz="0" w:space="0" w:color="auto"/>
                            <w:right w:val="none" w:sz="0" w:space="0" w:color="auto"/>
                          </w:divBdr>
                          <w:divsChild>
                            <w:div w:id="1308439984">
                              <w:marLeft w:val="0"/>
                              <w:marRight w:val="0"/>
                              <w:marTop w:val="0"/>
                              <w:marBottom w:val="0"/>
                              <w:divBdr>
                                <w:top w:val="none" w:sz="0" w:space="0" w:color="auto"/>
                                <w:left w:val="none" w:sz="0" w:space="0" w:color="auto"/>
                                <w:bottom w:val="none" w:sz="0" w:space="0" w:color="auto"/>
                                <w:right w:val="none" w:sz="0" w:space="0" w:color="auto"/>
                              </w:divBdr>
                              <w:divsChild>
                                <w:div w:id="635793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
    <w:div w:id="776868264">
      <w:bodyDiv w:val="1"/>
      <w:marLeft w:val="0"/>
      <w:marRight w:val="0"/>
      <w:marTop w:val="0"/>
      <w:marBottom w:val="0"/>
      <w:divBdr>
        <w:top w:val="none" w:sz="0" w:space="0" w:color="auto"/>
        <w:left w:val="none" w:sz="0" w:space="0" w:color="auto"/>
        <w:bottom w:val="none" w:sz="0" w:space="0" w:color="auto"/>
        <w:right w:val="none" w:sz="0" w:space="0" w:color="auto"/>
      </w:divBdr>
      <w:divsChild>
        <w:div w:id="1550385240">
          <w:marLeft w:val="0"/>
          <w:marRight w:val="0"/>
          <w:marTop w:val="0"/>
          <w:marBottom w:val="0"/>
          <w:divBdr>
            <w:top w:val="none" w:sz="0" w:space="0" w:color="auto"/>
            <w:left w:val="none" w:sz="0" w:space="0" w:color="auto"/>
            <w:bottom w:val="none" w:sz="0" w:space="0" w:color="auto"/>
            <w:right w:val="none" w:sz="0" w:space="0" w:color="auto"/>
          </w:divBdr>
          <w:divsChild>
            <w:div w:id="1727727956">
              <w:marLeft w:val="0"/>
              <w:marRight w:val="0"/>
              <w:marTop w:val="0"/>
              <w:marBottom w:val="0"/>
              <w:divBdr>
                <w:top w:val="none" w:sz="0" w:space="0" w:color="auto"/>
                <w:left w:val="none" w:sz="0" w:space="0" w:color="auto"/>
                <w:bottom w:val="none" w:sz="0" w:space="0" w:color="auto"/>
                <w:right w:val="none" w:sz="0" w:space="0" w:color="auto"/>
              </w:divBdr>
              <w:divsChild>
                <w:div w:id="305622210">
                  <w:marLeft w:val="0"/>
                  <w:marRight w:val="0"/>
                  <w:marTop w:val="0"/>
                  <w:marBottom w:val="0"/>
                  <w:divBdr>
                    <w:top w:val="none" w:sz="0" w:space="0" w:color="auto"/>
                    <w:left w:val="none" w:sz="0" w:space="0" w:color="auto"/>
                    <w:bottom w:val="none" w:sz="0" w:space="0" w:color="auto"/>
                    <w:right w:val="none" w:sz="0" w:space="0" w:color="auto"/>
                  </w:divBdr>
                  <w:divsChild>
                    <w:div w:id="1435976546">
                      <w:marLeft w:val="0"/>
                      <w:marRight w:val="0"/>
                      <w:marTop w:val="240"/>
                      <w:marBottom w:val="0"/>
                      <w:divBdr>
                        <w:top w:val="none" w:sz="0" w:space="0" w:color="auto"/>
                        <w:left w:val="none" w:sz="0" w:space="0" w:color="auto"/>
                        <w:bottom w:val="none" w:sz="0" w:space="0" w:color="auto"/>
                        <w:right w:val="none" w:sz="0" w:space="0" w:color="auto"/>
                      </w:divBdr>
                      <w:divsChild>
                        <w:div w:id="1493256189">
                          <w:marLeft w:val="0"/>
                          <w:marRight w:val="0"/>
                          <w:marTop w:val="0"/>
                          <w:marBottom w:val="0"/>
                          <w:divBdr>
                            <w:top w:val="none" w:sz="0" w:space="0" w:color="auto"/>
                            <w:left w:val="none" w:sz="0" w:space="0" w:color="auto"/>
                            <w:bottom w:val="none" w:sz="0" w:space="0" w:color="auto"/>
                            <w:right w:val="none" w:sz="0" w:space="0" w:color="auto"/>
                          </w:divBdr>
                          <w:divsChild>
                            <w:div w:id="15625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980178">
      <w:bodyDiv w:val="1"/>
      <w:marLeft w:val="0"/>
      <w:marRight w:val="0"/>
      <w:marTop w:val="0"/>
      <w:marBottom w:val="0"/>
      <w:divBdr>
        <w:top w:val="none" w:sz="0" w:space="0" w:color="auto"/>
        <w:left w:val="none" w:sz="0" w:space="0" w:color="auto"/>
        <w:bottom w:val="none" w:sz="0" w:space="0" w:color="auto"/>
        <w:right w:val="none" w:sz="0" w:space="0" w:color="auto"/>
      </w:divBdr>
    </w:div>
    <w:div w:id="840974418">
      <w:bodyDiv w:val="1"/>
      <w:marLeft w:val="0"/>
      <w:marRight w:val="0"/>
      <w:marTop w:val="0"/>
      <w:marBottom w:val="0"/>
      <w:divBdr>
        <w:top w:val="none" w:sz="0" w:space="0" w:color="auto"/>
        <w:left w:val="none" w:sz="0" w:space="0" w:color="auto"/>
        <w:bottom w:val="none" w:sz="0" w:space="0" w:color="auto"/>
        <w:right w:val="none" w:sz="0" w:space="0" w:color="auto"/>
      </w:divBdr>
    </w:div>
    <w:div w:id="842164983">
      <w:bodyDiv w:val="1"/>
      <w:marLeft w:val="0"/>
      <w:marRight w:val="0"/>
      <w:marTop w:val="0"/>
      <w:marBottom w:val="0"/>
      <w:divBdr>
        <w:top w:val="none" w:sz="0" w:space="0" w:color="auto"/>
        <w:left w:val="none" w:sz="0" w:space="0" w:color="auto"/>
        <w:bottom w:val="none" w:sz="0" w:space="0" w:color="auto"/>
        <w:right w:val="none" w:sz="0" w:space="0" w:color="auto"/>
      </w:divBdr>
      <w:divsChild>
        <w:div w:id="580258691">
          <w:marLeft w:val="0"/>
          <w:marRight w:val="0"/>
          <w:marTop w:val="0"/>
          <w:marBottom w:val="0"/>
          <w:divBdr>
            <w:top w:val="none" w:sz="0" w:space="0" w:color="auto"/>
            <w:left w:val="none" w:sz="0" w:space="0" w:color="auto"/>
            <w:bottom w:val="none" w:sz="0" w:space="0" w:color="auto"/>
            <w:right w:val="none" w:sz="0" w:space="0" w:color="auto"/>
          </w:divBdr>
          <w:divsChild>
            <w:div w:id="1843549845">
              <w:marLeft w:val="0"/>
              <w:marRight w:val="0"/>
              <w:marTop w:val="0"/>
              <w:marBottom w:val="0"/>
              <w:divBdr>
                <w:top w:val="none" w:sz="0" w:space="0" w:color="auto"/>
                <w:left w:val="none" w:sz="0" w:space="0" w:color="auto"/>
                <w:bottom w:val="none" w:sz="0" w:space="0" w:color="auto"/>
                <w:right w:val="none" w:sz="0" w:space="0" w:color="auto"/>
              </w:divBdr>
              <w:divsChild>
                <w:div w:id="109860232">
                  <w:marLeft w:val="0"/>
                  <w:marRight w:val="0"/>
                  <w:marTop w:val="0"/>
                  <w:marBottom w:val="0"/>
                  <w:divBdr>
                    <w:top w:val="none" w:sz="0" w:space="0" w:color="auto"/>
                    <w:left w:val="none" w:sz="0" w:space="0" w:color="auto"/>
                    <w:bottom w:val="none" w:sz="0" w:space="0" w:color="auto"/>
                    <w:right w:val="none" w:sz="0" w:space="0" w:color="auto"/>
                  </w:divBdr>
                  <w:divsChild>
                    <w:div w:id="2107773793">
                      <w:marLeft w:val="0"/>
                      <w:marRight w:val="0"/>
                      <w:marTop w:val="240"/>
                      <w:marBottom w:val="0"/>
                      <w:divBdr>
                        <w:top w:val="none" w:sz="0" w:space="0" w:color="auto"/>
                        <w:left w:val="none" w:sz="0" w:space="0" w:color="auto"/>
                        <w:bottom w:val="none" w:sz="0" w:space="0" w:color="auto"/>
                        <w:right w:val="none" w:sz="0" w:space="0" w:color="auto"/>
                      </w:divBdr>
                      <w:divsChild>
                        <w:div w:id="1076584498">
                          <w:marLeft w:val="0"/>
                          <w:marRight w:val="0"/>
                          <w:marTop w:val="0"/>
                          <w:marBottom w:val="0"/>
                          <w:divBdr>
                            <w:top w:val="none" w:sz="0" w:space="0" w:color="auto"/>
                            <w:left w:val="none" w:sz="0" w:space="0" w:color="auto"/>
                            <w:bottom w:val="none" w:sz="0" w:space="0" w:color="auto"/>
                            <w:right w:val="none" w:sz="0" w:space="0" w:color="auto"/>
                          </w:divBdr>
                          <w:divsChild>
                            <w:div w:id="10727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340400">
      <w:bodyDiv w:val="1"/>
      <w:marLeft w:val="0"/>
      <w:marRight w:val="0"/>
      <w:marTop w:val="0"/>
      <w:marBottom w:val="0"/>
      <w:divBdr>
        <w:top w:val="none" w:sz="0" w:space="0" w:color="auto"/>
        <w:left w:val="none" w:sz="0" w:space="0" w:color="auto"/>
        <w:bottom w:val="none" w:sz="0" w:space="0" w:color="auto"/>
        <w:right w:val="none" w:sz="0" w:space="0" w:color="auto"/>
      </w:divBdr>
    </w:div>
    <w:div w:id="889069410">
      <w:bodyDiv w:val="1"/>
      <w:marLeft w:val="0"/>
      <w:marRight w:val="0"/>
      <w:marTop w:val="0"/>
      <w:marBottom w:val="0"/>
      <w:divBdr>
        <w:top w:val="none" w:sz="0" w:space="0" w:color="auto"/>
        <w:left w:val="none" w:sz="0" w:space="0" w:color="auto"/>
        <w:bottom w:val="none" w:sz="0" w:space="0" w:color="auto"/>
        <w:right w:val="none" w:sz="0" w:space="0" w:color="auto"/>
      </w:divBdr>
    </w:div>
    <w:div w:id="889657097">
      <w:bodyDiv w:val="1"/>
      <w:marLeft w:val="0"/>
      <w:marRight w:val="0"/>
      <w:marTop w:val="0"/>
      <w:marBottom w:val="0"/>
      <w:divBdr>
        <w:top w:val="none" w:sz="0" w:space="0" w:color="auto"/>
        <w:left w:val="none" w:sz="0" w:space="0" w:color="auto"/>
        <w:bottom w:val="none" w:sz="0" w:space="0" w:color="auto"/>
        <w:right w:val="none" w:sz="0" w:space="0" w:color="auto"/>
      </w:divBdr>
    </w:div>
    <w:div w:id="1094133065">
      <w:bodyDiv w:val="1"/>
      <w:marLeft w:val="0"/>
      <w:marRight w:val="0"/>
      <w:marTop w:val="0"/>
      <w:marBottom w:val="0"/>
      <w:divBdr>
        <w:top w:val="none" w:sz="0" w:space="0" w:color="auto"/>
        <w:left w:val="none" w:sz="0" w:space="0" w:color="auto"/>
        <w:bottom w:val="none" w:sz="0" w:space="0" w:color="auto"/>
        <w:right w:val="none" w:sz="0" w:space="0" w:color="auto"/>
      </w:divBdr>
    </w:div>
    <w:div w:id="1195726531">
      <w:bodyDiv w:val="1"/>
      <w:marLeft w:val="0"/>
      <w:marRight w:val="0"/>
      <w:marTop w:val="0"/>
      <w:marBottom w:val="0"/>
      <w:divBdr>
        <w:top w:val="none" w:sz="0" w:space="0" w:color="auto"/>
        <w:left w:val="none" w:sz="0" w:space="0" w:color="auto"/>
        <w:bottom w:val="none" w:sz="0" w:space="0" w:color="auto"/>
        <w:right w:val="none" w:sz="0" w:space="0" w:color="auto"/>
      </w:divBdr>
      <w:divsChild>
        <w:div w:id="970093001">
          <w:marLeft w:val="0"/>
          <w:marRight w:val="0"/>
          <w:marTop w:val="0"/>
          <w:marBottom w:val="0"/>
          <w:divBdr>
            <w:top w:val="none" w:sz="0" w:space="0" w:color="auto"/>
            <w:left w:val="none" w:sz="0" w:space="0" w:color="auto"/>
            <w:bottom w:val="none" w:sz="0" w:space="0" w:color="auto"/>
            <w:right w:val="none" w:sz="0" w:space="0" w:color="auto"/>
          </w:divBdr>
          <w:divsChild>
            <w:div w:id="727991155">
              <w:marLeft w:val="0"/>
              <w:marRight w:val="0"/>
              <w:marTop w:val="0"/>
              <w:marBottom w:val="0"/>
              <w:divBdr>
                <w:top w:val="none" w:sz="0" w:space="0" w:color="auto"/>
                <w:left w:val="none" w:sz="0" w:space="0" w:color="auto"/>
                <w:bottom w:val="none" w:sz="0" w:space="0" w:color="auto"/>
                <w:right w:val="none" w:sz="0" w:space="0" w:color="auto"/>
              </w:divBdr>
              <w:divsChild>
                <w:div w:id="134493312">
                  <w:marLeft w:val="0"/>
                  <w:marRight w:val="0"/>
                  <w:marTop w:val="0"/>
                  <w:marBottom w:val="0"/>
                  <w:divBdr>
                    <w:top w:val="none" w:sz="0" w:space="0" w:color="auto"/>
                    <w:left w:val="none" w:sz="0" w:space="0" w:color="auto"/>
                    <w:bottom w:val="none" w:sz="0" w:space="0" w:color="auto"/>
                    <w:right w:val="none" w:sz="0" w:space="0" w:color="auto"/>
                  </w:divBdr>
                  <w:divsChild>
                    <w:div w:id="541720786">
                      <w:marLeft w:val="0"/>
                      <w:marRight w:val="0"/>
                      <w:marTop w:val="240"/>
                      <w:marBottom w:val="0"/>
                      <w:divBdr>
                        <w:top w:val="none" w:sz="0" w:space="0" w:color="auto"/>
                        <w:left w:val="none" w:sz="0" w:space="0" w:color="auto"/>
                        <w:bottom w:val="none" w:sz="0" w:space="0" w:color="auto"/>
                        <w:right w:val="none" w:sz="0" w:space="0" w:color="auto"/>
                      </w:divBdr>
                      <w:divsChild>
                        <w:div w:id="1831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843660">
      <w:bodyDiv w:val="1"/>
      <w:marLeft w:val="0"/>
      <w:marRight w:val="0"/>
      <w:marTop w:val="0"/>
      <w:marBottom w:val="0"/>
      <w:divBdr>
        <w:top w:val="none" w:sz="0" w:space="0" w:color="auto"/>
        <w:left w:val="none" w:sz="0" w:space="0" w:color="auto"/>
        <w:bottom w:val="none" w:sz="0" w:space="0" w:color="auto"/>
        <w:right w:val="none" w:sz="0" w:space="0" w:color="auto"/>
      </w:divBdr>
      <w:divsChild>
        <w:div w:id="1196193712">
          <w:marLeft w:val="0"/>
          <w:marRight w:val="0"/>
          <w:marTop w:val="0"/>
          <w:marBottom w:val="0"/>
          <w:divBdr>
            <w:top w:val="none" w:sz="0" w:space="0" w:color="auto"/>
            <w:left w:val="none" w:sz="0" w:space="0" w:color="auto"/>
            <w:bottom w:val="none" w:sz="0" w:space="0" w:color="auto"/>
            <w:right w:val="none" w:sz="0" w:space="0" w:color="auto"/>
          </w:divBdr>
          <w:divsChild>
            <w:div w:id="165170326">
              <w:marLeft w:val="0"/>
              <w:marRight w:val="0"/>
              <w:marTop w:val="178"/>
              <w:marBottom w:val="178"/>
              <w:divBdr>
                <w:top w:val="none" w:sz="0" w:space="0" w:color="auto"/>
                <w:left w:val="none" w:sz="0" w:space="0" w:color="auto"/>
                <w:bottom w:val="none" w:sz="0" w:space="0" w:color="auto"/>
                <w:right w:val="none" w:sz="0" w:space="0" w:color="auto"/>
              </w:divBdr>
              <w:divsChild>
                <w:div w:id="1398284247">
                  <w:marLeft w:val="0"/>
                  <w:marRight w:val="178"/>
                  <w:marTop w:val="0"/>
                  <w:marBottom w:val="0"/>
                  <w:divBdr>
                    <w:top w:val="none" w:sz="0" w:space="0" w:color="auto"/>
                    <w:left w:val="none" w:sz="0" w:space="0" w:color="auto"/>
                    <w:bottom w:val="none" w:sz="0" w:space="0" w:color="auto"/>
                    <w:right w:val="none" w:sz="0" w:space="0" w:color="auto"/>
                  </w:divBdr>
                  <w:divsChild>
                    <w:div w:id="1930966092">
                      <w:marLeft w:val="0"/>
                      <w:marRight w:val="0"/>
                      <w:marTop w:val="0"/>
                      <w:marBottom w:val="0"/>
                      <w:divBdr>
                        <w:top w:val="none" w:sz="0" w:space="0" w:color="auto"/>
                        <w:left w:val="none" w:sz="0" w:space="0" w:color="auto"/>
                        <w:bottom w:val="none" w:sz="0" w:space="0" w:color="auto"/>
                        <w:right w:val="none" w:sz="0" w:space="0" w:color="auto"/>
                      </w:divBdr>
                      <w:divsChild>
                        <w:div w:id="4723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01750">
      <w:bodyDiv w:val="1"/>
      <w:marLeft w:val="0"/>
      <w:marRight w:val="0"/>
      <w:marTop w:val="0"/>
      <w:marBottom w:val="0"/>
      <w:divBdr>
        <w:top w:val="none" w:sz="0" w:space="0" w:color="auto"/>
        <w:left w:val="none" w:sz="0" w:space="0" w:color="auto"/>
        <w:bottom w:val="none" w:sz="0" w:space="0" w:color="auto"/>
        <w:right w:val="none" w:sz="0" w:space="0" w:color="auto"/>
      </w:divBdr>
      <w:divsChild>
        <w:div w:id="205920303">
          <w:marLeft w:val="0"/>
          <w:marRight w:val="0"/>
          <w:marTop w:val="0"/>
          <w:marBottom w:val="0"/>
          <w:divBdr>
            <w:top w:val="none" w:sz="0" w:space="0" w:color="auto"/>
            <w:left w:val="none" w:sz="0" w:space="0" w:color="auto"/>
            <w:bottom w:val="none" w:sz="0" w:space="0" w:color="auto"/>
            <w:right w:val="none" w:sz="0" w:space="0" w:color="auto"/>
          </w:divBdr>
          <w:divsChild>
            <w:div w:id="689376637">
              <w:marLeft w:val="0"/>
              <w:marRight w:val="0"/>
              <w:marTop w:val="178"/>
              <w:marBottom w:val="178"/>
              <w:divBdr>
                <w:top w:val="none" w:sz="0" w:space="0" w:color="auto"/>
                <w:left w:val="none" w:sz="0" w:space="0" w:color="auto"/>
                <w:bottom w:val="none" w:sz="0" w:space="0" w:color="auto"/>
                <w:right w:val="none" w:sz="0" w:space="0" w:color="auto"/>
              </w:divBdr>
              <w:divsChild>
                <w:div w:id="587425784">
                  <w:marLeft w:val="0"/>
                  <w:marRight w:val="178"/>
                  <w:marTop w:val="0"/>
                  <w:marBottom w:val="0"/>
                  <w:divBdr>
                    <w:top w:val="none" w:sz="0" w:space="0" w:color="auto"/>
                    <w:left w:val="none" w:sz="0" w:space="0" w:color="auto"/>
                    <w:bottom w:val="none" w:sz="0" w:space="0" w:color="auto"/>
                    <w:right w:val="none" w:sz="0" w:space="0" w:color="auto"/>
                  </w:divBdr>
                  <w:divsChild>
                    <w:div w:id="524950961">
                      <w:marLeft w:val="0"/>
                      <w:marRight w:val="0"/>
                      <w:marTop w:val="0"/>
                      <w:marBottom w:val="0"/>
                      <w:divBdr>
                        <w:top w:val="none" w:sz="0" w:space="0" w:color="auto"/>
                        <w:left w:val="none" w:sz="0" w:space="0" w:color="auto"/>
                        <w:bottom w:val="none" w:sz="0" w:space="0" w:color="auto"/>
                        <w:right w:val="none" w:sz="0" w:space="0" w:color="auto"/>
                      </w:divBdr>
                      <w:divsChild>
                        <w:div w:id="10720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131605">
      <w:bodyDiv w:val="1"/>
      <w:marLeft w:val="0"/>
      <w:marRight w:val="0"/>
      <w:marTop w:val="0"/>
      <w:marBottom w:val="0"/>
      <w:divBdr>
        <w:top w:val="none" w:sz="0" w:space="0" w:color="auto"/>
        <w:left w:val="none" w:sz="0" w:space="0" w:color="auto"/>
        <w:bottom w:val="none" w:sz="0" w:space="0" w:color="auto"/>
        <w:right w:val="none" w:sz="0" w:space="0" w:color="auto"/>
      </w:divBdr>
      <w:divsChild>
        <w:div w:id="377632931">
          <w:marLeft w:val="0"/>
          <w:marRight w:val="0"/>
          <w:marTop w:val="0"/>
          <w:marBottom w:val="0"/>
          <w:divBdr>
            <w:top w:val="none" w:sz="0" w:space="0" w:color="auto"/>
            <w:left w:val="none" w:sz="0" w:space="0" w:color="auto"/>
            <w:bottom w:val="none" w:sz="0" w:space="0" w:color="auto"/>
            <w:right w:val="none" w:sz="0" w:space="0" w:color="auto"/>
          </w:divBdr>
          <w:divsChild>
            <w:div w:id="345987983">
              <w:marLeft w:val="0"/>
              <w:marRight w:val="0"/>
              <w:marTop w:val="0"/>
              <w:marBottom w:val="0"/>
              <w:divBdr>
                <w:top w:val="none" w:sz="0" w:space="0" w:color="auto"/>
                <w:left w:val="none" w:sz="0" w:space="0" w:color="auto"/>
                <w:bottom w:val="none" w:sz="0" w:space="0" w:color="auto"/>
                <w:right w:val="none" w:sz="0" w:space="0" w:color="auto"/>
              </w:divBdr>
              <w:divsChild>
                <w:div w:id="833641015">
                  <w:marLeft w:val="0"/>
                  <w:marRight w:val="0"/>
                  <w:marTop w:val="0"/>
                  <w:marBottom w:val="0"/>
                  <w:divBdr>
                    <w:top w:val="none" w:sz="0" w:space="0" w:color="auto"/>
                    <w:left w:val="none" w:sz="0" w:space="0" w:color="auto"/>
                    <w:bottom w:val="none" w:sz="0" w:space="0" w:color="auto"/>
                    <w:right w:val="none" w:sz="0" w:space="0" w:color="auto"/>
                  </w:divBdr>
                  <w:divsChild>
                    <w:div w:id="451363425">
                      <w:marLeft w:val="0"/>
                      <w:marRight w:val="0"/>
                      <w:marTop w:val="240"/>
                      <w:marBottom w:val="0"/>
                      <w:divBdr>
                        <w:top w:val="none" w:sz="0" w:space="0" w:color="auto"/>
                        <w:left w:val="none" w:sz="0" w:space="0" w:color="auto"/>
                        <w:bottom w:val="none" w:sz="0" w:space="0" w:color="auto"/>
                        <w:right w:val="none" w:sz="0" w:space="0" w:color="auto"/>
                      </w:divBdr>
                      <w:divsChild>
                        <w:div w:id="1283607821">
                          <w:marLeft w:val="0"/>
                          <w:marRight w:val="0"/>
                          <w:marTop w:val="0"/>
                          <w:marBottom w:val="0"/>
                          <w:divBdr>
                            <w:top w:val="none" w:sz="0" w:space="0" w:color="auto"/>
                            <w:left w:val="none" w:sz="0" w:space="0" w:color="auto"/>
                            <w:bottom w:val="none" w:sz="0" w:space="0" w:color="auto"/>
                            <w:right w:val="none" w:sz="0" w:space="0" w:color="auto"/>
                          </w:divBdr>
                          <w:divsChild>
                            <w:div w:id="21218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043626">
      <w:bodyDiv w:val="1"/>
      <w:marLeft w:val="0"/>
      <w:marRight w:val="0"/>
      <w:marTop w:val="0"/>
      <w:marBottom w:val="0"/>
      <w:divBdr>
        <w:top w:val="none" w:sz="0" w:space="0" w:color="auto"/>
        <w:left w:val="none" w:sz="0" w:space="0" w:color="auto"/>
        <w:bottom w:val="none" w:sz="0" w:space="0" w:color="auto"/>
        <w:right w:val="none" w:sz="0" w:space="0" w:color="auto"/>
      </w:divBdr>
    </w:div>
    <w:div w:id="1346784940">
      <w:bodyDiv w:val="1"/>
      <w:marLeft w:val="0"/>
      <w:marRight w:val="0"/>
      <w:marTop w:val="0"/>
      <w:marBottom w:val="0"/>
      <w:divBdr>
        <w:top w:val="none" w:sz="0" w:space="0" w:color="auto"/>
        <w:left w:val="none" w:sz="0" w:space="0" w:color="auto"/>
        <w:bottom w:val="none" w:sz="0" w:space="0" w:color="auto"/>
        <w:right w:val="none" w:sz="0" w:space="0" w:color="auto"/>
      </w:divBdr>
    </w:div>
    <w:div w:id="1419905408">
      <w:bodyDiv w:val="1"/>
      <w:marLeft w:val="0"/>
      <w:marRight w:val="0"/>
      <w:marTop w:val="0"/>
      <w:marBottom w:val="0"/>
      <w:divBdr>
        <w:top w:val="none" w:sz="0" w:space="0" w:color="auto"/>
        <w:left w:val="none" w:sz="0" w:space="0" w:color="auto"/>
        <w:bottom w:val="none" w:sz="0" w:space="0" w:color="auto"/>
        <w:right w:val="none" w:sz="0" w:space="0" w:color="auto"/>
      </w:divBdr>
      <w:divsChild>
        <w:div w:id="275674312">
          <w:marLeft w:val="0"/>
          <w:marRight w:val="0"/>
          <w:marTop w:val="0"/>
          <w:marBottom w:val="0"/>
          <w:divBdr>
            <w:top w:val="none" w:sz="0" w:space="0" w:color="auto"/>
            <w:left w:val="none" w:sz="0" w:space="0" w:color="auto"/>
            <w:bottom w:val="none" w:sz="0" w:space="0" w:color="auto"/>
            <w:right w:val="none" w:sz="0" w:space="0" w:color="auto"/>
          </w:divBdr>
          <w:divsChild>
            <w:div w:id="1477794299">
              <w:marLeft w:val="0"/>
              <w:marRight w:val="0"/>
              <w:marTop w:val="0"/>
              <w:marBottom w:val="0"/>
              <w:divBdr>
                <w:top w:val="none" w:sz="0" w:space="0" w:color="auto"/>
                <w:left w:val="none" w:sz="0" w:space="0" w:color="auto"/>
                <w:bottom w:val="none" w:sz="0" w:space="0" w:color="auto"/>
                <w:right w:val="none" w:sz="0" w:space="0" w:color="auto"/>
              </w:divBdr>
              <w:divsChild>
                <w:div w:id="2057269205">
                  <w:marLeft w:val="0"/>
                  <w:marRight w:val="0"/>
                  <w:marTop w:val="0"/>
                  <w:marBottom w:val="0"/>
                  <w:divBdr>
                    <w:top w:val="none" w:sz="0" w:space="0" w:color="auto"/>
                    <w:left w:val="none" w:sz="0" w:space="0" w:color="auto"/>
                    <w:bottom w:val="none" w:sz="0" w:space="0" w:color="auto"/>
                    <w:right w:val="none" w:sz="0" w:space="0" w:color="auto"/>
                  </w:divBdr>
                  <w:divsChild>
                    <w:div w:id="633293996">
                      <w:marLeft w:val="0"/>
                      <w:marRight w:val="0"/>
                      <w:marTop w:val="240"/>
                      <w:marBottom w:val="0"/>
                      <w:divBdr>
                        <w:top w:val="none" w:sz="0" w:space="0" w:color="auto"/>
                        <w:left w:val="none" w:sz="0" w:space="0" w:color="auto"/>
                        <w:bottom w:val="none" w:sz="0" w:space="0" w:color="auto"/>
                        <w:right w:val="none" w:sz="0" w:space="0" w:color="auto"/>
                      </w:divBdr>
                      <w:divsChild>
                        <w:div w:id="1697996247">
                          <w:marLeft w:val="0"/>
                          <w:marRight w:val="0"/>
                          <w:marTop w:val="0"/>
                          <w:marBottom w:val="0"/>
                          <w:divBdr>
                            <w:top w:val="none" w:sz="0" w:space="0" w:color="auto"/>
                            <w:left w:val="none" w:sz="0" w:space="0" w:color="auto"/>
                            <w:bottom w:val="none" w:sz="0" w:space="0" w:color="auto"/>
                            <w:right w:val="none" w:sz="0" w:space="0" w:color="auto"/>
                          </w:divBdr>
                          <w:divsChild>
                            <w:div w:id="17905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94202">
      <w:bodyDiv w:val="1"/>
      <w:marLeft w:val="0"/>
      <w:marRight w:val="0"/>
      <w:marTop w:val="0"/>
      <w:marBottom w:val="0"/>
      <w:divBdr>
        <w:top w:val="none" w:sz="0" w:space="0" w:color="auto"/>
        <w:left w:val="none" w:sz="0" w:space="0" w:color="auto"/>
        <w:bottom w:val="none" w:sz="0" w:space="0" w:color="auto"/>
        <w:right w:val="none" w:sz="0" w:space="0" w:color="auto"/>
      </w:divBdr>
      <w:divsChild>
        <w:div w:id="1870533215">
          <w:marLeft w:val="0"/>
          <w:marRight w:val="0"/>
          <w:marTop w:val="0"/>
          <w:marBottom w:val="0"/>
          <w:divBdr>
            <w:top w:val="none" w:sz="0" w:space="0" w:color="auto"/>
            <w:left w:val="none" w:sz="0" w:space="0" w:color="auto"/>
            <w:bottom w:val="none" w:sz="0" w:space="0" w:color="auto"/>
            <w:right w:val="none" w:sz="0" w:space="0" w:color="auto"/>
          </w:divBdr>
          <w:divsChild>
            <w:div w:id="600259441">
              <w:marLeft w:val="0"/>
              <w:marRight w:val="0"/>
              <w:marTop w:val="0"/>
              <w:marBottom w:val="0"/>
              <w:divBdr>
                <w:top w:val="none" w:sz="0" w:space="0" w:color="auto"/>
                <w:left w:val="none" w:sz="0" w:space="0" w:color="auto"/>
                <w:bottom w:val="none" w:sz="0" w:space="0" w:color="auto"/>
                <w:right w:val="none" w:sz="0" w:space="0" w:color="auto"/>
              </w:divBdr>
              <w:divsChild>
                <w:div w:id="920412982">
                  <w:marLeft w:val="-107"/>
                  <w:marRight w:val="-107"/>
                  <w:marTop w:val="0"/>
                  <w:marBottom w:val="0"/>
                  <w:divBdr>
                    <w:top w:val="none" w:sz="0" w:space="0" w:color="auto"/>
                    <w:left w:val="none" w:sz="0" w:space="0" w:color="auto"/>
                    <w:bottom w:val="none" w:sz="0" w:space="0" w:color="auto"/>
                    <w:right w:val="none" w:sz="0" w:space="0" w:color="auto"/>
                  </w:divBdr>
                  <w:divsChild>
                    <w:div w:id="2140567301">
                      <w:marLeft w:val="0"/>
                      <w:marRight w:val="0"/>
                      <w:marTop w:val="0"/>
                      <w:marBottom w:val="0"/>
                      <w:divBdr>
                        <w:top w:val="none" w:sz="0" w:space="0" w:color="auto"/>
                        <w:left w:val="none" w:sz="0" w:space="0" w:color="auto"/>
                        <w:bottom w:val="none" w:sz="0" w:space="0" w:color="auto"/>
                        <w:right w:val="none" w:sz="0" w:space="0" w:color="auto"/>
                      </w:divBdr>
                      <w:divsChild>
                        <w:div w:id="1434281978">
                          <w:marLeft w:val="0"/>
                          <w:marRight w:val="0"/>
                          <w:marTop w:val="0"/>
                          <w:marBottom w:val="0"/>
                          <w:divBdr>
                            <w:top w:val="single" w:sz="2" w:space="7" w:color="869CA6"/>
                            <w:left w:val="none" w:sz="0" w:space="0" w:color="auto"/>
                            <w:bottom w:val="none" w:sz="0" w:space="0" w:color="auto"/>
                            <w:right w:val="none" w:sz="0" w:space="0" w:color="auto"/>
                          </w:divBdr>
                        </w:div>
                      </w:divsChild>
                    </w:div>
                  </w:divsChild>
                </w:div>
              </w:divsChild>
            </w:div>
          </w:divsChild>
        </w:div>
      </w:divsChild>
    </w:div>
    <w:div w:id="1478692653">
      <w:bodyDiv w:val="1"/>
      <w:marLeft w:val="0"/>
      <w:marRight w:val="0"/>
      <w:marTop w:val="0"/>
      <w:marBottom w:val="0"/>
      <w:divBdr>
        <w:top w:val="none" w:sz="0" w:space="0" w:color="auto"/>
        <w:left w:val="none" w:sz="0" w:space="0" w:color="auto"/>
        <w:bottom w:val="none" w:sz="0" w:space="0" w:color="auto"/>
        <w:right w:val="none" w:sz="0" w:space="0" w:color="auto"/>
      </w:divBdr>
    </w:div>
    <w:div w:id="1501384503">
      <w:bodyDiv w:val="1"/>
      <w:marLeft w:val="0"/>
      <w:marRight w:val="0"/>
      <w:marTop w:val="0"/>
      <w:marBottom w:val="0"/>
      <w:divBdr>
        <w:top w:val="none" w:sz="0" w:space="0" w:color="auto"/>
        <w:left w:val="none" w:sz="0" w:space="0" w:color="auto"/>
        <w:bottom w:val="none" w:sz="0" w:space="0" w:color="auto"/>
        <w:right w:val="none" w:sz="0" w:space="0" w:color="auto"/>
      </w:divBdr>
      <w:divsChild>
        <w:div w:id="1272401357">
          <w:marLeft w:val="0"/>
          <w:marRight w:val="0"/>
          <w:marTop w:val="0"/>
          <w:marBottom w:val="0"/>
          <w:divBdr>
            <w:top w:val="none" w:sz="0" w:space="0" w:color="auto"/>
            <w:left w:val="none" w:sz="0" w:space="0" w:color="auto"/>
            <w:bottom w:val="none" w:sz="0" w:space="0" w:color="auto"/>
            <w:right w:val="none" w:sz="0" w:space="0" w:color="auto"/>
          </w:divBdr>
          <w:divsChild>
            <w:div w:id="265164497">
              <w:marLeft w:val="0"/>
              <w:marRight w:val="0"/>
              <w:marTop w:val="178"/>
              <w:marBottom w:val="178"/>
              <w:divBdr>
                <w:top w:val="none" w:sz="0" w:space="0" w:color="auto"/>
                <w:left w:val="none" w:sz="0" w:space="0" w:color="auto"/>
                <w:bottom w:val="none" w:sz="0" w:space="0" w:color="auto"/>
                <w:right w:val="none" w:sz="0" w:space="0" w:color="auto"/>
              </w:divBdr>
              <w:divsChild>
                <w:div w:id="2055737115">
                  <w:marLeft w:val="0"/>
                  <w:marRight w:val="178"/>
                  <w:marTop w:val="0"/>
                  <w:marBottom w:val="0"/>
                  <w:divBdr>
                    <w:top w:val="none" w:sz="0" w:space="0" w:color="auto"/>
                    <w:left w:val="none" w:sz="0" w:space="0" w:color="auto"/>
                    <w:bottom w:val="none" w:sz="0" w:space="0" w:color="auto"/>
                    <w:right w:val="none" w:sz="0" w:space="0" w:color="auto"/>
                  </w:divBdr>
                  <w:divsChild>
                    <w:div w:id="970987718">
                      <w:marLeft w:val="0"/>
                      <w:marRight w:val="0"/>
                      <w:marTop w:val="0"/>
                      <w:marBottom w:val="0"/>
                      <w:divBdr>
                        <w:top w:val="none" w:sz="0" w:space="0" w:color="auto"/>
                        <w:left w:val="none" w:sz="0" w:space="0" w:color="auto"/>
                        <w:bottom w:val="none" w:sz="0" w:space="0" w:color="auto"/>
                        <w:right w:val="none" w:sz="0" w:space="0" w:color="auto"/>
                      </w:divBdr>
                      <w:divsChild>
                        <w:div w:id="10227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53883">
      <w:bodyDiv w:val="1"/>
      <w:marLeft w:val="0"/>
      <w:marRight w:val="0"/>
      <w:marTop w:val="0"/>
      <w:marBottom w:val="0"/>
      <w:divBdr>
        <w:top w:val="none" w:sz="0" w:space="0" w:color="auto"/>
        <w:left w:val="none" w:sz="0" w:space="0" w:color="auto"/>
        <w:bottom w:val="none" w:sz="0" w:space="0" w:color="auto"/>
        <w:right w:val="none" w:sz="0" w:space="0" w:color="auto"/>
      </w:divBdr>
      <w:divsChild>
        <w:div w:id="187642172">
          <w:marLeft w:val="0"/>
          <w:marRight w:val="0"/>
          <w:marTop w:val="0"/>
          <w:marBottom w:val="0"/>
          <w:divBdr>
            <w:top w:val="none" w:sz="0" w:space="0" w:color="auto"/>
            <w:left w:val="none" w:sz="0" w:space="0" w:color="auto"/>
            <w:bottom w:val="none" w:sz="0" w:space="0" w:color="auto"/>
            <w:right w:val="none" w:sz="0" w:space="0" w:color="auto"/>
          </w:divBdr>
          <w:divsChild>
            <w:div w:id="344406581">
              <w:marLeft w:val="0"/>
              <w:marRight w:val="0"/>
              <w:marTop w:val="0"/>
              <w:marBottom w:val="0"/>
              <w:divBdr>
                <w:top w:val="none" w:sz="0" w:space="0" w:color="auto"/>
                <w:left w:val="none" w:sz="0" w:space="0" w:color="auto"/>
                <w:bottom w:val="none" w:sz="0" w:space="0" w:color="auto"/>
                <w:right w:val="none" w:sz="0" w:space="0" w:color="auto"/>
              </w:divBdr>
              <w:divsChild>
                <w:div w:id="690105938">
                  <w:marLeft w:val="0"/>
                  <w:marRight w:val="0"/>
                  <w:marTop w:val="0"/>
                  <w:marBottom w:val="0"/>
                  <w:divBdr>
                    <w:top w:val="none" w:sz="0" w:space="0" w:color="auto"/>
                    <w:left w:val="none" w:sz="0" w:space="0" w:color="auto"/>
                    <w:bottom w:val="none" w:sz="0" w:space="0" w:color="auto"/>
                    <w:right w:val="none" w:sz="0" w:space="0" w:color="auto"/>
                  </w:divBdr>
                  <w:divsChild>
                    <w:div w:id="875384241">
                      <w:marLeft w:val="0"/>
                      <w:marRight w:val="0"/>
                      <w:marTop w:val="240"/>
                      <w:marBottom w:val="0"/>
                      <w:divBdr>
                        <w:top w:val="none" w:sz="0" w:space="0" w:color="auto"/>
                        <w:left w:val="none" w:sz="0" w:space="0" w:color="auto"/>
                        <w:bottom w:val="none" w:sz="0" w:space="0" w:color="auto"/>
                        <w:right w:val="none" w:sz="0" w:space="0" w:color="auto"/>
                      </w:divBdr>
                      <w:divsChild>
                        <w:div w:id="1673796408">
                          <w:marLeft w:val="0"/>
                          <w:marRight w:val="0"/>
                          <w:marTop w:val="0"/>
                          <w:marBottom w:val="0"/>
                          <w:divBdr>
                            <w:top w:val="none" w:sz="0" w:space="0" w:color="auto"/>
                            <w:left w:val="none" w:sz="0" w:space="0" w:color="auto"/>
                            <w:bottom w:val="none" w:sz="0" w:space="0" w:color="auto"/>
                            <w:right w:val="none" w:sz="0" w:space="0" w:color="auto"/>
                          </w:divBdr>
                          <w:divsChild>
                            <w:div w:id="1021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837699">
      <w:bodyDiv w:val="1"/>
      <w:marLeft w:val="0"/>
      <w:marRight w:val="0"/>
      <w:marTop w:val="0"/>
      <w:marBottom w:val="0"/>
      <w:divBdr>
        <w:top w:val="none" w:sz="0" w:space="0" w:color="auto"/>
        <w:left w:val="none" w:sz="0" w:space="0" w:color="auto"/>
        <w:bottom w:val="none" w:sz="0" w:space="0" w:color="auto"/>
        <w:right w:val="none" w:sz="0" w:space="0" w:color="auto"/>
      </w:divBdr>
    </w:div>
    <w:div w:id="1687706416">
      <w:bodyDiv w:val="1"/>
      <w:marLeft w:val="0"/>
      <w:marRight w:val="0"/>
      <w:marTop w:val="0"/>
      <w:marBottom w:val="0"/>
      <w:divBdr>
        <w:top w:val="none" w:sz="0" w:space="0" w:color="auto"/>
        <w:left w:val="none" w:sz="0" w:space="0" w:color="auto"/>
        <w:bottom w:val="none" w:sz="0" w:space="0" w:color="auto"/>
        <w:right w:val="none" w:sz="0" w:space="0" w:color="auto"/>
      </w:divBdr>
    </w:div>
    <w:div w:id="1687829443">
      <w:bodyDiv w:val="1"/>
      <w:marLeft w:val="0"/>
      <w:marRight w:val="0"/>
      <w:marTop w:val="0"/>
      <w:marBottom w:val="0"/>
      <w:divBdr>
        <w:top w:val="none" w:sz="0" w:space="0" w:color="auto"/>
        <w:left w:val="none" w:sz="0" w:space="0" w:color="auto"/>
        <w:bottom w:val="none" w:sz="0" w:space="0" w:color="auto"/>
        <w:right w:val="none" w:sz="0" w:space="0" w:color="auto"/>
      </w:divBdr>
      <w:divsChild>
        <w:div w:id="1094588987">
          <w:marLeft w:val="0"/>
          <w:marRight w:val="0"/>
          <w:marTop w:val="0"/>
          <w:marBottom w:val="0"/>
          <w:divBdr>
            <w:top w:val="none" w:sz="0" w:space="0" w:color="auto"/>
            <w:left w:val="none" w:sz="0" w:space="0" w:color="auto"/>
            <w:bottom w:val="none" w:sz="0" w:space="0" w:color="auto"/>
            <w:right w:val="none" w:sz="0" w:space="0" w:color="auto"/>
          </w:divBdr>
          <w:divsChild>
            <w:div w:id="1412770644">
              <w:marLeft w:val="0"/>
              <w:marRight w:val="0"/>
              <w:marTop w:val="178"/>
              <w:marBottom w:val="178"/>
              <w:divBdr>
                <w:top w:val="none" w:sz="0" w:space="0" w:color="auto"/>
                <w:left w:val="none" w:sz="0" w:space="0" w:color="auto"/>
                <w:bottom w:val="none" w:sz="0" w:space="0" w:color="auto"/>
                <w:right w:val="none" w:sz="0" w:space="0" w:color="auto"/>
              </w:divBdr>
              <w:divsChild>
                <w:div w:id="635138855">
                  <w:marLeft w:val="0"/>
                  <w:marRight w:val="178"/>
                  <w:marTop w:val="0"/>
                  <w:marBottom w:val="0"/>
                  <w:divBdr>
                    <w:top w:val="none" w:sz="0" w:space="0" w:color="auto"/>
                    <w:left w:val="none" w:sz="0" w:space="0" w:color="auto"/>
                    <w:bottom w:val="none" w:sz="0" w:space="0" w:color="auto"/>
                    <w:right w:val="none" w:sz="0" w:space="0" w:color="auto"/>
                  </w:divBdr>
                  <w:divsChild>
                    <w:div w:id="2044016635">
                      <w:marLeft w:val="0"/>
                      <w:marRight w:val="0"/>
                      <w:marTop w:val="0"/>
                      <w:marBottom w:val="0"/>
                      <w:divBdr>
                        <w:top w:val="none" w:sz="0" w:space="0" w:color="auto"/>
                        <w:left w:val="none" w:sz="0" w:space="0" w:color="auto"/>
                        <w:bottom w:val="none" w:sz="0" w:space="0" w:color="auto"/>
                        <w:right w:val="none" w:sz="0" w:space="0" w:color="auto"/>
                      </w:divBdr>
                      <w:divsChild>
                        <w:div w:id="277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285925">
      <w:bodyDiv w:val="1"/>
      <w:marLeft w:val="0"/>
      <w:marRight w:val="0"/>
      <w:marTop w:val="0"/>
      <w:marBottom w:val="0"/>
      <w:divBdr>
        <w:top w:val="none" w:sz="0" w:space="0" w:color="auto"/>
        <w:left w:val="none" w:sz="0" w:space="0" w:color="auto"/>
        <w:bottom w:val="none" w:sz="0" w:space="0" w:color="auto"/>
        <w:right w:val="none" w:sz="0" w:space="0" w:color="auto"/>
      </w:divBdr>
      <w:divsChild>
        <w:div w:id="119614777">
          <w:marLeft w:val="0"/>
          <w:marRight w:val="0"/>
          <w:marTop w:val="0"/>
          <w:marBottom w:val="0"/>
          <w:divBdr>
            <w:top w:val="none" w:sz="0" w:space="0" w:color="auto"/>
            <w:left w:val="none" w:sz="0" w:space="0" w:color="auto"/>
            <w:bottom w:val="none" w:sz="0" w:space="0" w:color="auto"/>
            <w:right w:val="none" w:sz="0" w:space="0" w:color="auto"/>
          </w:divBdr>
          <w:divsChild>
            <w:div w:id="381295368">
              <w:marLeft w:val="0"/>
              <w:marRight w:val="0"/>
              <w:marTop w:val="0"/>
              <w:marBottom w:val="0"/>
              <w:divBdr>
                <w:top w:val="none" w:sz="0" w:space="0" w:color="auto"/>
                <w:left w:val="none" w:sz="0" w:space="0" w:color="auto"/>
                <w:bottom w:val="none" w:sz="0" w:space="0" w:color="auto"/>
                <w:right w:val="none" w:sz="0" w:space="0" w:color="auto"/>
              </w:divBdr>
              <w:divsChild>
                <w:div w:id="282199541">
                  <w:marLeft w:val="0"/>
                  <w:marRight w:val="0"/>
                  <w:marTop w:val="0"/>
                  <w:marBottom w:val="0"/>
                  <w:divBdr>
                    <w:top w:val="none" w:sz="0" w:space="0" w:color="auto"/>
                    <w:left w:val="none" w:sz="0" w:space="0" w:color="auto"/>
                    <w:bottom w:val="none" w:sz="0" w:space="0" w:color="auto"/>
                    <w:right w:val="none" w:sz="0" w:space="0" w:color="auto"/>
                  </w:divBdr>
                  <w:divsChild>
                    <w:div w:id="5415526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91435802">
      <w:bodyDiv w:val="1"/>
      <w:marLeft w:val="0"/>
      <w:marRight w:val="0"/>
      <w:marTop w:val="0"/>
      <w:marBottom w:val="0"/>
      <w:divBdr>
        <w:top w:val="none" w:sz="0" w:space="0" w:color="auto"/>
        <w:left w:val="none" w:sz="0" w:space="0" w:color="auto"/>
        <w:bottom w:val="none" w:sz="0" w:space="0" w:color="auto"/>
        <w:right w:val="none" w:sz="0" w:space="0" w:color="auto"/>
      </w:divBdr>
    </w:div>
    <w:div w:id="1810590351">
      <w:bodyDiv w:val="1"/>
      <w:marLeft w:val="0"/>
      <w:marRight w:val="0"/>
      <w:marTop w:val="0"/>
      <w:marBottom w:val="0"/>
      <w:divBdr>
        <w:top w:val="none" w:sz="0" w:space="0" w:color="auto"/>
        <w:left w:val="none" w:sz="0" w:space="0" w:color="auto"/>
        <w:bottom w:val="none" w:sz="0" w:space="0" w:color="auto"/>
        <w:right w:val="none" w:sz="0" w:space="0" w:color="auto"/>
      </w:divBdr>
      <w:divsChild>
        <w:div w:id="1902982894">
          <w:marLeft w:val="0"/>
          <w:marRight w:val="0"/>
          <w:marTop w:val="0"/>
          <w:marBottom w:val="0"/>
          <w:divBdr>
            <w:top w:val="none" w:sz="0" w:space="0" w:color="auto"/>
            <w:left w:val="none" w:sz="0" w:space="0" w:color="auto"/>
            <w:bottom w:val="none" w:sz="0" w:space="0" w:color="auto"/>
            <w:right w:val="none" w:sz="0" w:space="0" w:color="auto"/>
          </w:divBdr>
          <w:divsChild>
            <w:div w:id="868181712">
              <w:marLeft w:val="0"/>
              <w:marRight w:val="0"/>
              <w:marTop w:val="0"/>
              <w:marBottom w:val="0"/>
              <w:divBdr>
                <w:top w:val="none" w:sz="0" w:space="0" w:color="auto"/>
                <w:left w:val="none" w:sz="0" w:space="0" w:color="auto"/>
                <w:bottom w:val="none" w:sz="0" w:space="0" w:color="auto"/>
                <w:right w:val="none" w:sz="0" w:space="0" w:color="auto"/>
              </w:divBdr>
              <w:divsChild>
                <w:div w:id="299070977">
                  <w:marLeft w:val="0"/>
                  <w:marRight w:val="0"/>
                  <w:marTop w:val="0"/>
                  <w:marBottom w:val="0"/>
                  <w:divBdr>
                    <w:top w:val="none" w:sz="0" w:space="0" w:color="auto"/>
                    <w:left w:val="none" w:sz="0" w:space="0" w:color="auto"/>
                    <w:bottom w:val="none" w:sz="0" w:space="0" w:color="auto"/>
                    <w:right w:val="none" w:sz="0" w:space="0" w:color="auto"/>
                  </w:divBdr>
                  <w:divsChild>
                    <w:div w:id="1030179702">
                      <w:marLeft w:val="0"/>
                      <w:marRight w:val="0"/>
                      <w:marTop w:val="240"/>
                      <w:marBottom w:val="0"/>
                      <w:divBdr>
                        <w:top w:val="none" w:sz="0" w:space="0" w:color="auto"/>
                        <w:left w:val="none" w:sz="0" w:space="0" w:color="auto"/>
                        <w:bottom w:val="none" w:sz="0" w:space="0" w:color="auto"/>
                        <w:right w:val="none" w:sz="0" w:space="0" w:color="auto"/>
                      </w:divBdr>
                      <w:divsChild>
                        <w:div w:id="112796746">
                          <w:marLeft w:val="0"/>
                          <w:marRight w:val="0"/>
                          <w:marTop w:val="0"/>
                          <w:marBottom w:val="0"/>
                          <w:divBdr>
                            <w:top w:val="none" w:sz="0" w:space="0" w:color="auto"/>
                            <w:left w:val="none" w:sz="0" w:space="0" w:color="auto"/>
                            <w:bottom w:val="none" w:sz="0" w:space="0" w:color="auto"/>
                            <w:right w:val="none" w:sz="0" w:space="0" w:color="auto"/>
                          </w:divBdr>
                          <w:divsChild>
                            <w:div w:id="11233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697543">
      <w:bodyDiv w:val="1"/>
      <w:marLeft w:val="0"/>
      <w:marRight w:val="0"/>
      <w:marTop w:val="0"/>
      <w:marBottom w:val="0"/>
      <w:divBdr>
        <w:top w:val="none" w:sz="0" w:space="0" w:color="auto"/>
        <w:left w:val="none" w:sz="0" w:space="0" w:color="auto"/>
        <w:bottom w:val="none" w:sz="0" w:space="0" w:color="auto"/>
        <w:right w:val="none" w:sz="0" w:space="0" w:color="auto"/>
      </w:divBdr>
    </w:div>
    <w:div w:id="1838617037">
      <w:bodyDiv w:val="1"/>
      <w:marLeft w:val="0"/>
      <w:marRight w:val="0"/>
      <w:marTop w:val="0"/>
      <w:marBottom w:val="0"/>
      <w:divBdr>
        <w:top w:val="none" w:sz="0" w:space="0" w:color="auto"/>
        <w:left w:val="none" w:sz="0" w:space="0" w:color="auto"/>
        <w:bottom w:val="none" w:sz="0" w:space="0" w:color="auto"/>
        <w:right w:val="none" w:sz="0" w:space="0" w:color="auto"/>
      </w:divBdr>
      <w:divsChild>
        <w:div w:id="541552414">
          <w:marLeft w:val="0"/>
          <w:marRight w:val="0"/>
          <w:marTop w:val="0"/>
          <w:marBottom w:val="0"/>
          <w:divBdr>
            <w:top w:val="none" w:sz="0" w:space="0" w:color="auto"/>
            <w:left w:val="none" w:sz="0" w:space="0" w:color="auto"/>
            <w:bottom w:val="none" w:sz="0" w:space="0" w:color="auto"/>
            <w:right w:val="none" w:sz="0" w:space="0" w:color="auto"/>
          </w:divBdr>
          <w:divsChild>
            <w:div w:id="121967381">
              <w:marLeft w:val="0"/>
              <w:marRight w:val="0"/>
              <w:marTop w:val="0"/>
              <w:marBottom w:val="0"/>
              <w:divBdr>
                <w:top w:val="none" w:sz="0" w:space="0" w:color="auto"/>
                <w:left w:val="none" w:sz="0" w:space="0" w:color="auto"/>
                <w:bottom w:val="none" w:sz="0" w:space="0" w:color="auto"/>
                <w:right w:val="none" w:sz="0" w:space="0" w:color="auto"/>
              </w:divBdr>
              <w:divsChild>
                <w:div w:id="680745797">
                  <w:marLeft w:val="-125"/>
                  <w:marRight w:val="-125"/>
                  <w:marTop w:val="0"/>
                  <w:marBottom w:val="0"/>
                  <w:divBdr>
                    <w:top w:val="none" w:sz="0" w:space="0" w:color="auto"/>
                    <w:left w:val="none" w:sz="0" w:space="0" w:color="auto"/>
                    <w:bottom w:val="none" w:sz="0" w:space="0" w:color="auto"/>
                    <w:right w:val="none" w:sz="0" w:space="0" w:color="auto"/>
                  </w:divBdr>
                  <w:divsChild>
                    <w:div w:id="520123054">
                      <w:marLeft w:val="0"/>
                      <w:marRight w:val="0"/>
                      <w:marTop w:val="0"/>
                      <w:marBottom w:val="0"/>
                      <w:divBdr>
                        <w:top w:val="none" w:sz="0" w:space="0" w:color="auto"/>
                        <w:left w:val="none" w:sz="0" w:space="0" w:color="auto"/>
                        <w:bottom w:val="none" w:sz="0" w:space="0" w:color="auto"/>
                        <w:right w:val="none" w:sz="0" w:space="0" w:color="auto"/>
                      </w:divBdr>
                      <w:divsChild>
                        <w:div w:id="1192958111">
                          <w:marLeft w:val="0"/>
                          <w:marRight w:val="0"/>
                          <w:marTop w:val="0"/>
                          <w:marBottom w:val="0"/>
                          <w:divBdr>
                            <w:top w:val="single" w:sz="2" w:space="8" w:color="869CA6"/>
                            <w:left w:val="none" w:sz="0" w:space="0" w:color="auto"/>
                            <w:bottom w:val="none" w:sz="0" w:space="0" w:color="auto"/>
                            <w:right w:val="none" w:sz="0" w:space="0" w:color="auto"/>
                          </w:divBdr>
                        </w:div>
                      </w:divsChild>
                    </w:div>
                  </w:divsChild>
                </w:div>
              </w:divsChild>
            </w:div>
          </w:divsChild>
        </w:div>
      </w:divsChild>
    </w:div>
    <w:div w:id="1894534209">
      <w:bodyDiv w:val="1"/>
      <w:marLeft w:val="0"/>
      <w:marRight w:val="0"/>
      <w:marTop w:val="0"/>
      <w:marBottom w:val="0"/>
      <w:divBdr>
        <w:top w:val="none" w:sz="0" w:space="0" w:color="auto"/>
        <w:left w:val="none" w:sz="0" w:space="0" w:color="auto"/>
        <w:bottom w:val="none" w:sz="0" w:space="0" w:color="auto"/>
        <w:right w:val="none" w:sz="0" w:space="0" w:color="auto"/>
      </w:divBdr>
      <w:divsChild>
        <w:div w:id="667631233">
          <w:marLeft w:val="0"/>
          <w:marRight w:val="0"/>
          <w:marTop w:val="0"/>
          <w:marBottom w:val="0"/>
          <w:divBdr>
            <w:top w:val="none" w:sz="0" w:space="0" w:color="auto"/>
            <w:left w:val="none" w:sz="0" w:space="0" w:color="auto"/>
            <w:bottom w:val="none" w:sz="0" w:space="0" w:color="auto"/>
            <w:right w:val="none" w:sz="0" w:space="0" w:color="auto"/>
          </w:divBdr>
          <w:divsChild>
            <w:div w:id="1522402292">
              <w:marLeft w:val="0"/>
              <w:marRight w:val="0"/>
              <w:marTop w:val="208"/>
              <w:marBottom w:val="208"/>
              <w:divBdr>
                <w:top w:val="none" w:sz="0" w:space="0" w:color="auto"/>
                <w:left w:val="none" w:sz="0" w:space="0" w:color="auto"/>
                <w:bottom w:val="none" w:sz="0" w:space="0" w:color="auto"/>
                <w:right w:val="none" w:sz="0" w:space="0" w:color="auto"/>
              </w:divBdr>
              <w:divsChild>
                <w:div w:id="1943763035">
                  <w:marLeft w:val="0"/>
                  <w:marRight w:val="208"/>
                  <w:marTop w:val="0"/>
                  <w:marBottom w:val="0"/>
                  <w:divBdr>
                    <w:top w:val="none" w:sz="0" w:space="0" w:color="auto"/>
                    <w:left w:val="none" w:sz="0" w:space="0" w:color="auto"/>
                    <w:bottom w:val="none" w:sz="0" w:space="0" w:color="auto"/>
                    <w:right w:val="none" w:sz="0" w:space="0" w:color="auto"/>
                  </w:divBdr>
                  <w:divsChild>
                    <w:div w:id="1907259310">
                      <w:marLeft w:val="0"/>
                      <w:marRight w:val="0"/>
                      <w:marTop w:val="0"/>
                      <w:marBottom w:val="0"/>
                      <w:divBdr>
                        <w:top w:val="none" w:sz="0" w:space="0" w:color="auto"/>
                        <w:left w:val="none" w:sz="0" w:space="0" w:color="auto"/>
                        <w:bottom w:val="none" w:sz="0" w:space="0" w:color="auto"/>
                        <w:right w:val="none" w:sz="0" w:space="0" w:color="auto"/>
                      </w:divBdr>
                      <w:divsChild>
                        <w:div w:id="1389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03280">
      <w:bodyDiv w:val="1"/>
      <w:marLeft w:val="0"/>
      <w:marRight w:val="0"/>
      <w:marTop w:val="0"/>
      <w:marBottom w:val="0"/>
      <w:divBdr>
        <w:top w:val="none" w:sz="0" w:space="0" w:color="auto"/>
        <w:left w:val="none" w:sz="0" w:space="0" w:color="auto"/>
        <w:bottom w:val="none" w:sz="0" w:space="0" w:color="auto"/>
        <w:right w:val="none" w:sz="0" w:space="0" w:color="auto"/>
      </w:divBdr>
    </w:div>
    <w:div w:id="1938707795">
      <w:bodyDiv w:val="1"/>
      <w:marLeft w:val="0"/>
      <w:marRight w:val="0"/>
      <w:marTop w:val="0"/>
      <w:marBottom w:val="0"/>
      <w:divBdr>
        <w:top w:val="none" w:sz="0" w:space="0" w:color="auto"/>
        <w:left w:val="none" w:sz="0" w:space="0" w:color="auto"/>
        <w:bottom w:val="none" w:sz="0" w:space="0" w:color="auto"/>
        <w:right w:val="none" w:sz="0" w:space="0" w:color="auto"/>
      </w:divBdr>
      <w:divsChild>
        <w:div w:id="55589455">
          <w:marLeft w:val="0"/>
          <w:marRight w:val="0"/>
          <w:marTop w:val="0"/>
          <w:marBottom w:val="0"/>
          <w:divBdr>
            <w:top w:val="none" w:sz="0" w:space="0" w:color="auto"/>
            <w:left w:val="none" w:sz="0" w:space="0" w:color="auto"/>
            <w:bottom w:val="none" w:sz="0" w:space="0" w:color="auto"/>
            <w:right w:val="none" w:sz="0" w:space="0" w:color="auto"/>
          </w:divBdr>
          <w:divsChild>
            <w:div w:id="497112660">
              <w:marLeft w:val="0"/>
              <w:marRight w:val="0"/>
              <w:marTop w:val="0"/>
              <w:marBottom w:val="0"/>
              <w:divBdr>
                <w:top w:val="none" w:sz="0" w:space="0" w:color="auto"/>
                <w:left w:val="none" w:sz="0" w:space="0" w:color="auto"/>
                <w:bottom w:val="none" w:sz="0" w:space="0" w:color="auto"/>
                <w:right w:val="none" w:sz="0" w:space="0" w:color="auto"/>
              </w:divBdr>
              <w:divsChild>
                <w:div w:id="1542863900">
                  <w:marLeft w:val="0"/>
                  <w:marRight w:val="0"/>
                  <w:marTop w:val="0"/>
                  <w:marBottom w:val="0"/>
                  <w:divBdr>
                    <w:top w:val="none" w:sz="0" w:space="0" w:color="auto"/>
                    <w:left w:val="none" w:sz="0" w:space="0" w:color="auto"/>
                    <w:bottom w:val="none" w:sz="0" w:space="0" w:color="auto"/>
                    <w:right w:val="none" w:sz="0" w:space="0" w:color="auto"/>
                  </w:divBdr>
                  <w:divsChild>
                    <w:div w:id="415596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82490909">
      <w:bodyDiv w:val="1"/>
      <w:marLeft w:val="0"/>
      <w:marRight w:val="0"/>
      <w:marTop w:val="0"/>
      <w:marBottom w:val="0"/>
      <w:divBdr>
        <w:top w:val="none" w:sz="0" w:space="0" w:color="auto"/>
        <w:left w:val="none" w:sz="0" w:space="0" w:color="auto"/>
        <w:bottom w:val="none" w:sz="0" w:space="0" w:color="auto"/>
        <w:right w:val="none" w:sz="0" w:space="0" w:color="auto"/>
      </w:divBdr>
    </w:div>
    <w:div w:id="1984657380">
      <w:bodyDiv w:val="1"/>
      <w:marLeft w:val="0"/>
      <w:marRight w:val="0"/>
      <w:marTop w:val="0"/>
      <w:marBottom w:val="0"/>
      <w:divBdr>
        <w:top w:val="none" w:sz="0" w:space="0" w:color="auto"/>
        <w:left w:val="none" w:sz="0" w:space="0" w:color="auto"/>
        <w:bottom w:val="none" w:sz="0" w:space="0" w:color="auto"/>
        <w:right w:val="none" w:sz="0" w:space="0" w:color="auto"/>
      </w:divBdr>
    </w:div>
    <w:div w:id="2002612189">
      <w:bodyDiv w:val="1"/>
      <w:marLeft w:val="0"/>
      <w:marRight w:val="0"/>
      <w:marTop w:val="0"/>
      <w:marBottom w:val="0"/>
      <w:divBdr>
        <w:top w:val="none" w:sz="0" w:space="0" w:color="auto"/>
        <w:left w:val="none" w:sz="0" w:space="0" w:color="auto"/>
        <w:bottom w:val="none" w:sz="0" w:space="0" w:color="auto"/>
        <w:right w:val="none" w:sz="0" w:space="0" w:color="auto"/>
      </w:divBdr>
      <w:divsChild>
        <w:div w:id="1623614024">
          <w:marLeft w:val="0"/>
          <w:marRight w:val="0"/>
          <w:marTop w:val="0"/>
          <w:marBottom w:val="0"/>
          <w:divBdr>
            <w:top w:val="none" w:sz="0" w:space="0" w:color="auto"/>
            <w:left w:val="none" w:sz="0" w:space="0" w:color="auto"/>
            <w:bottom w:val="none" w:sz="0" w:space="0" w:color="auto"/>
            <w:right w:val="none" w:sz="0" w:space="0" w:color="auto"/>
          </w:divBdr>
          <w:divsChild>
            <w:div w:id="1825047268">
              <w:marLeft w:val="0"/>
              <w:marRight w:val="0"/>
              <w:marTop w:val="0"/>
              <w:marBottom w:val="0"/>
              <w:divBdr>
                <w:top w:val="none" w:sz="0" w:space="0" w:color="auto"/>
                <w:left w:val="none" w:sz="0" w:space="0" w:color="auto"/>
                <w:bottom w:val="none" w:sz="0" w:space="0" w:color="auto"/>
                <w:right w:val="none" w:sz="0" w:space="0" w:color="auto"/>
              </w:divBdr>
              <w:divsChild>
                <w:div w:id="1621063081">
                  <w:marLeft w:val="0"/>
                  <w:marRight w:val="0"/>
                  <w:marTop w:val="0"/>
                  <w:marBottom w:val="0"/>
                  <w:divBdr>
                    <w:top w:val="none" w:sz="0" w:space="0" w:color="auto"/>
                    <w:left w:val="none" w:sz="0" w:space="0" w:color="auto"/>
                    <w:bottom w:val="none" w:sz="0" w:space="0" w:color="auto"/>
                    <w:right w:val="none" w:sz="0" w:space="0" w:color="auto"/>
                  </w:divBdr>
                  <w:divsChild>
                    <w:div w:id="2129857122">
                      <w:marLeft w:val="0"/>
                      <w:marRight w:val="0"/>
                      <w:marTop w:val="240"/>
                      <w:marBottom w:val="0"/>
                      <w:divBdr>
                        <w:top w:val="none" w:sz="0" w:space="0" w:color="auto"/>
                        <w:left w:val="none" w:sz="0" w:space="0" w:color="auto"/>
                        <w:bottom w:val="none" w:sz="0" w:space="0" w:color="auto"/>
                        <w:right w:val="none" w:sz="0" w:space="0" w:color="auto"/>
                      </w:divBdr>
                      <w:divsChild>
                        <w:div w:id="865217566">
                          <w:marLeft w:val="0"/>
                          <w:marRight w:val="0"/>
                          <w:marTop w:val="0"/>
                          <w:marBottom w:val="0"/>
                          <w:divBdr>
                            <w:top w:val="none" w:sz="0" w:space="0" w:color="auto"/>
                            <w:left w:val="none" w:sz="0" w:space="0" w:color="auto"/>
                            <w:bottom w:val="none" w:sz="0" w:space="0" w:color="auto"/>
                            <w:right w:val="none" w:sz="0" w:space="0" w:color="auto"/>
                          </w:divBdr>
                          <w:divsChild>
                            <w:div w:id="20223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156135">
      <w:bodyDiv w:val="1"/>
      <w:marLeft w:val="0"/>
      <w:marRight w:val="0"/>
      <w:marTop w:val="0"/>
      <w:marBottom w:val="0"/>
      <w:divBdr>
        <w:top w:val="none" w:sz="0" w:space="0" w:color="auto"/>
        <w:left w:val="none" w:sz="0" w:space="0" w:color="auto"/>
        <w:bottom w:val="none" w:sz="0" w:space="0" w:color="auto"/>
        <w:right w:val="none" w:sz="0" w:space="0" w:color="auto"/>
      </w:divBdr>
    </w:div>
    <w:div w:id="2099447928">
      <w:bodyDiv w:val="1"/>
      <w:marLeft w:val="0"/>
      <w:marRight w:val="0"/>
      <w:marTop w:val="0"/>
      <w:marBottom w:val="0"/>
      <w:divBdr>
        <w:top w:val="none" w:sz="0" w:space="0" w:color="auto"/>
        <w:left w:val="none" w:sz="0" w:space="0" w:color="auto"/>
        <w:bottom w:val="none" w:sz="0" w:space="0" w:color="auto"/>
        <w:right w:val="none" w:sz="0" w:space="0" w:color="auto"/>
      </w:divBdr>
    </w:div>
    <w:div w:id="2106614845">
      <w:bodyDiv w:val="1"/>
      <w:marLeft w:val="0"/>
      <w:marRight w:val="0"/>
      <w:marTop w:val="0"/>
      <w:marBottom w:val="0"/>
      <w:divBdr>
        <w:top w:val="none" w:sz="0" w:space="0" w:color="auto"/>
        <w:left w:val="none" w:sz="0" w:space="0" w:color="auto"/>
        <w:bottom w:val="none" w:sz="0" w:space="0" w:color="auto"/>
        <w:right w:val="none" w:sz="0" w:space="0" w:color="auto"/>
      </w:divBdr>
      <w:divsChild>
        <w:div w:id="484206002">
          <w:marLeft w:val="0"/>
          <w:marRight w:val="0"/>
          <w:marTop w:val="0"/>
          <w:marBottom w:val="0"/>
          <w:divBdr>
            <w:top w:val="none" w:sz="0" w:space="0" w:color="auto"/>
            <w:left w:val="none" w:sz="0" w:space="0" w:color="auto"/>
            <w:bottom w:val="none" w:sz="0" w:space="0" w:color="auto"/>
            <w:right w:val="none" w:sz="0" w:space="0" w:color="auto"/>
          </w:divBdr>
          <w:divsChild>
            <w:div w:id="1886334306">
              <w:marLeft w:val="0"/>
              <w:marRight w:val="0"/>
              <w:marTop w:val="0"/>
              <w:marBottom w:val="0"/>
              <w:divBdr>
                <w:top w:val="none" w:sz="0" w:space="0" w:color="auto"/>
                <w:left w:val="none" w:sz="0" w:space="0" w:color="auto"/>
                <w:bottom w:val="none" w:sz="0" w:space="0" w:color="auto"/>
                <w:right w:val="none" w:sz="0" w:space="0" w:color="auto"/>
              </w:divBdr>
              <w:divsChild>
                <w:div w:id="810947161">
                  <w:marLeft w:val="0"/>
                  <w:marRight w:val="0"/>
                  <w:marTop w:val="0"/>
                  <w:marBottom w:val="0"/>
                  <w:divBdr>
                    <w:top w:val="none" w:sz="0" w:space="0" w:color="auto"/>
                    <w:left w:val="none" w:sz="0" w:space="0" w:color="auto"/>
                    <w:bottom w:val="none" w:sz="0" w:space="0" w:color="auto"/>
                    <w:right w:val="none" w:sz="0" w:space="0" w:color="auto"/>
                  </w:divBdr>
                  <w:divsChild>
                    <w:div w:id="1093669894">
                      <w:marLeft w:val="0"/>
                      <w:marRight w:val="0"/>
                      <w:marTop w:val="240"/>
                      <w:marBottom w:val="0"/>
                      <w:divBdr>
                        <w:top w:val="none" w:sz="0" w:space="0" w:color="auto"/>
                        <w:left w:val="none" w:sz="0" w:space="0" w:color="auto"/>
                        <w:bottom w:val="none" w:sz="0" w:space="0" w:color="auto"/>
                        <w:right w:val="none" w:sz="0" w:space="0" w:color="auto"/>
                      </w:divBdr>
                      <w:divsChild>
                        <w:div w:id="446048674">
                          <w:marLeft w:val="0"/>
                          <w:marRight w:val="0"/>
                          <w:marTop w:val="0"/>
                          <w:marBottom w:val="0"/>
                          <w:divBdr>
                            <w:top w:val="none" w:sz="0" w:space="0" w:color="auto"/>
                            <w:left w:val="none" w:sz="0" w:space="0" w:color="auto"/>
                            <w:bottom w:val="none" w:sz="0" w:space="0" w:color="auto"/>
                            <w:right w:val="none" w:sz="0" w:space="0" w:color="auto"/>
                          </w:divBdr>
                          <w:divsChild>
                            <w:div w:id="10333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griculture.gov.au/publications" TargetMode="External"/><Relationship Id="rId18" Type="http://schemas.openxmlformats.org/officeDocument/2006/relationships/hyperlink" Target="http://www.agriculture.gov.au/biosecurity/biosecurity-fee-review-2014/live-animal-export-fee-review/live-animal-export-final-cris"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www.comlaw.gov.au/Series/C2015A00092"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copyright@agriculture.gov.au" TargetMode="External"/><Relationship Id="rId17" Type="http://schemas.openxmlformats.org/officeDocument/2006/relationships/header" Target="header2.xml"/><Relationship Id="rId25" Type="http://schemas.openxmlformats.org/officeDocument/2006/relationships/image" Target="media/image4.emf"/><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mlaw.gov.au/Series/C2004A05295/Compilation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yperlink" Target="https://www.comlaw.gov.au/Series/C2015A0009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comlaw.gov.au/Series/C2015A00094" TargetMode="External"/><Relationship Id="rId28" Type="http://schemas.openxmlformats.org/officeDocument/2006/relationships/footer" Target="footer2.xml"/><Relationship Id="rId10" Type="http://schemas.openxmlformats.org/officeDocument/2006/relationships/hyperlink" Target="http://creativecommons.org/licenses/by/3.0/au/deed.en" TargetMode="External"/><Relationship Id="rId19" Type="http://schemas.openxmlformats.org/officeDocument/2006/relationships/hyperlink" Target="https://www.comlaw.gov.au/Series/C2004A0260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griculture.gov.au/" TargetMode="External"/><Relationship Id="rId22" Type="http://schemas.openxmlformats.org/officeDocument/2006/relationships/hyperlink" Target="https://www.comlaw.gov.au/Series/C2015A00093"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967F4-57EF-4C17-9A86-293BCCBE00AC}"/>
</file>

<file path=customXml/itemProps2.xml><?xml version="1.0" encoding="utf-8"?>
<ds:datastoreItem xmlns:ds="http://schemas.openxmlformats.org/officeDocument/2006/customXml" ds:itemID="{B2059EEF-9268-49EF-BF11-401D048C146E}"/>
</file>

<file path=customXml/itemProps3.xml><?xml version="1.0" encoding="utf-8"?>
<ds:datastoreItem xmlns:ds="http://schemas.openxmlformats.org/officeDocument/2006/customXml" ds:itemID="{9532D754-2B01-44EC-812C-402019C7146D}"/>
</file>

<file path=customXml/itemProps4.xml><?xml version="1.0" encoding="utf-8"?>
<ds:datastoreItem xmlns:ds="http://schemas.openxmlformats.org/officeDocument/2006/customXml" ds:itemID="{4708282B-1F69-44DD-BB81-C2AAD27AC158}"/>
</file>

<file path=docProps/app.xml><?xml version="1.0" encoding="utf-8"?>
<Properties xmlns="http://schemas.openxmlformats.org/officeDocument/2006/extended-properties" xmlns:vt="http://schemas.openxmlformats.org/officeDocument/2006/docPropsVTypes">
  <Template>Normal</Template>
  <TotalTime>0</TotalTime>
  <Pages>26</Pages>
  <Words>7733</Words>
  <Characters>46199</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BLANK TEMPLATE</vt:lpstr>
    </vt:vector>
  </TitlesOfParts>
  <Company>DEWHA</Company>
  <LinksUpToDate>false</LinksUpToDate>
  <CharactersWithSpaces>53825</CharactersWithSpaces>
  <SharedDoc>false</SharedDoc>
  <HLinks>
    <vt:vector size="222" baseType="variant">
      <vt:variant>
        <vt:i4>5177365</vt:i4>
      </vt:variant>
      <vt:variant>
        <vt:i4>201</vt:i4>
      </vt:variant>
      <vt:variant>
        <vt:i4>0</vt:i4>
      </vt:variant>
      <vt:variant>
        <vt:i4>5</vt:i4>
      </vt:variant>
      <vt:variant>
        <vt:lpwstr>https://www.comlaw.gov.au/Series/C2015A00095</vt:lpwstr>
      </vt:variant>
      <vt:variant>
        <vt:lpwstr/>
      </vt:variant>
      <vt:variant>
        <vt:i4>5111829</vt:i4>
      </vt:variant>
      <vt:variant>
        <vt:i4>198</vt:i4>
      </vt:variant>
      <vt:variant>
        <vt:i4>0</vt:i4>
      </vt:variant>
      <vt:variant>
        <vt:i4>5</vt:i4>
      </vt:variant>
      <vt:variant>
        <vt:lpwstr>https://www.comlaw.gov.au/Series/C2015A00094</vt:lpwstr>
      </vt:variant>
      <vt:variant>
        <vt:lpwstr/>
      </vt:variant>
      <vt:variant>
        <vt:i4>4784149</vt:i4>
      </vt:variant>
      <vt:variant>
        <vt:i4>195</vt:i4>
      </vt:variant>
      <vt:variant>
        <vt:i4>0</vt:i4>
      </vt:variant>
      <vt:variant>
        <vt:i4>5</vt:i4>
      </vt:variant>
      <vt:variant>
        <vt:lpwstr>https://www.comlaw.gov.au/Series/C2015A00093</vt:lpwstr>
      </vt:variant>
      <vt:variant>
        <vt:lpwstr/>
      </vt:variant>
      <vt:variant>
        <vt:i4>8257634</vt:i4>
      </vt:variant>
      <vt:variant>
        <vt:i4>192</vt:i4>
      </vt:variant>
      <vt:variant>
        <vt:i4>0</vt:i4>
      </vt:variant>
      <vt:variant>
        <vt:i4>5</vt:i4>
      </vt:variant>
      <vt:variant>
        <vt:lpwstr>http://www.comlaw.gov.au/Series/C2015A00092</vt:lpwstr>
      </vt:variant>
      <vt:variant>
        <vt:lpwstr/>
      </vt:variant>
      <vt:variant>
        <vt:i4>5111893</vt:i4>
      </vt:variant>
      <vt:variant>
        <vt:i4>189</vt:i4>
      </vt:variant>
      <vt:variant>
        <vt:i4>0</vt:i4>
      </vt:variant>
      <vt:variant>
        <vt:i4>5</vt:i4>
      </vt:variant>
      <vt:variant>
        <vt:lpwstr>http://www.comlaw.gov.au/Series/C2004A05295/Compilations</vt:lpwstr>
      </vt:variant>
      <vt:variant>
        <vt:lpwstr/>
      </vt:variant>
      <vt:variant>
        <vt:i4>4915231</vt:i4>
      </vt:variant>
      <vt:variant>
        <vt:i4>186</vt:i4>
      </vt:variant>
      <vt:variant>
        <vt:i4>0</vt:i4>
      </vt:variant>
      <vt:variant>
        <vt:i4>5</vt:i4>
      </vt:variant>
      <vt:variant>
        <vt:lpwstr>https://www.comlaw.gov.au/Series/C2004A02606</vt:lpwstr>
      </vt:variant>
      <vt:variant>
        <vt:lpwstr/>
      </vt:variant>
      <vt:variant>
        <vt:i4>4587544</vt:i4>
      </vt:variant>
      <vt:variant>
        <vt:i4>183</vt:i4>
      </vt:variant>
      <vt:variant>
        <vt:i4>0</vt:i4>
      </vt:variant>
      <vt:variant>
        <vt:i4>5</vt:i4>
      </vt:variant>
      <vt:variant>
        <vt:lpwstr>http://www.agriculture.gov.au/biosecurity/biosecurity-fee-review-2014/live-animal-export-fee-review/live-animal-export-final-cris</vt:lpwstr>
      </vt:variant>
      <vt:variant>
        <vt:lpwstr/>
      </vt:variant>
      <vt:variant>
        <vt:i4>1048628</vt:i4>
      </vt:variant>
      <vt:variant>
        <vt:i4>176</vt:i4>
      </vt:variant>
      <vt:variant>
        <vt:i4>0</vt:i4>
      </vt:variant>
      <vt:variant>
        <vt:i4>5</vt:i4>
      </vt:variant>
      <vt:variant>
        <vt:lpwstr/>
      </vt:variant>
      <vt:variant>
        <vt:lpwstr>_Toc425839641</vt:lpwstr>
      </vt:variant>
      <vt:variant>
        <vt:i4>1048628</vt:i4>
      </vt:variant>
      <vt:variant>
        <vt:i4>170</vt:i4>
      </vt:variant>
      <vt:variant>
        <vt:i4>0</vt:i4>
      </vt:variant>
      <vt:variant>
        <vt:i4>5</vt:i4>
      </vt:variant>
      <vt:variant>
        <vt:lpwstr/>
      </vt:variant>
      <vt:variant>
        <vt:lpwstr>_Toc425839640</vt:lpwstr>
      </vt:variant>
      <vt:variant>
        <vt:i4>1507380</vt:i4>
      </vt:variant>
      <vt:variant>
        <vt:i4>164</vt:i4>
      </vt:variant>
      <vt:variant>
        <vt:i4>0</vt:i4>
      </vt:variant>
      <vt:variant>
        <vt:i4>5</vt:i4>
      </vt:variant>
      <vt:variant>
        <vt:lpwstr/>
      </vt:variant>
      <vt:variant>
        <vt:lpwstr>_Toc425839639</vt:lpwstr>
      </vt:variant>
      <vt:variant>
        <vt:i4>1507380</vt:i4>
      </vt:variant>
      <vt:variant>
        <vt:i4>158</vt:i4>
      </vt:variant>
      <vt:variant>
        <vt:i4>0</vt:i4>
      </vt:variant>
      <vt:variant>
        <vt:i4>5</vt:i4>
      </vt:variant>
      <vt:variant>
        <vt:lpwstr/>
      </vt:variant>
      <vt:variant>
        <vt:lpwstr>_Toc425839638</vt:lpwstr>
      </vt:variant>
      <vt:variant>
        <vt:i4>1507380</vt:i4>
      </vt:variant>
      <vt:variant>
        <vt:i4>152</vt:i4>
      </vt:variant>
      <vt:variant>
        <vt:i4>0</vt:i4>
      </vt:variant>
      <vt:variant>
        <vt:i4>5</vt:i4>
      </vt:variant>
      <vt:variant>
        <vt:lpwstr/>
      </vt:variant>
      <vt:variant>
        <vt:lpwstr>_Toc425839637</vt:lpwstr>
      </vt:variant>
      <vt:variant>
        <vt:i4>1507380</vt:i4>
      </vt:variant>
      <vt:variant>
        <vt:i4>146</vt:i4>
      </vt:variant>
      <vt:variant>
        <vt:i4>0</vt:i4>
      </vt:variant>
      <vt:variant>
        <vt:i4>5</vt:i4>
      </vt:variant>
      <vt:variant>
        <vt:lpwstr/>
      </vt:variant>
      <vt:variant>
        <vt:lpwstr>_Toc425839636</vt:lpwstr>
      </vt:variant>
      <vt:variant>
        <vt:i4>1507380</vt:i4>
      </vt:variant>
      <vt:variant>
        <vt:i4>140</vt:i4>
      </vt:variant>
      <vt:variant>
        <vt:i4>0</vt:i4>
      </vt:variant>
      <vt:variant>
        <vt:i4>5</vt:i4>
      </vt:variant>
      <vt:variant>
        <vt:lpwstr/>
      </vt:variant>
      <vt:variant>
        <vt:lpwstr>_Toc425839635</vt:lpwstr>
      </vt:variant>
      <vt:variant>
        <vt:i4>1507380</vt:i4>
      </vt:variant>
      <vt:variant>
        <vt:i4>134</vt:i4>
      </vt:variant>
      <vt:variant>
        <vt:i4>0</vt:i4>
      </vt:variant>
      <vt:variant>
        <vt:i4>5</vt:i4>
      </vt:variant>
      <vt:variant>
        <vt:lpwstr/>
      </vt:variant>
      <vt:variant>
        <vt:lpwstr>_Toc425839634</vt:lpwstr>
      </vt:variant>
      <vt:variant>
        <vt:i4>1507380</vt:i4>
      </vt:variant>
      <vt:variant>
        <vt:i4>128</vt:i4>
      </vt:variant>
      <vt:variant>
        <vt:i4>0</vt:i4>
      </vt:variant>
      <vt:variant>
        <vt:i4>5</vt:i4>
      </vt:variant>
      <vt:variant>
        <vt:lpwstr/>
      </vt:variant>
      <vt:variant>
        <vt:lpwstr>_Toc425839633</vt:lpwstr>
      </vt:variant>
      <vt:variant>
        <vt:i4>1507380</vt:i4>
      </vt:variant>
      <vt:variant>
        <vt:i4>122</vt:i4>
      </vt:variant>
      <vt:variant>
        <vt:i4>0</vt:i4>
      </vt:variant>
      <vt:variant>
        <vt:i4>5</vt:i4>
      </vt:variant>
      <vt:variant>
        <vt:lpwstr/>
      </vt:variant>
      <vt:variant>
        <vt:lpwstr>_Toc425839632</vt:lpwstr>
      </vt:variant>
      <vt:variant>
        <vt:i4>1507380</vt:i4>
      </vt:variant>
      <vt:variant>
        <vt:i4>116</vt:i4>
      </vt:variant>
      <vt:variant>
        <vt:i4>0</vt:i4>
      </vt:variant>
      <vt:variant>
        <vt:i4>5</vt:i4>
      </vt:variant>
      <vt:variant>
        <vt:lpwstr/>
      </vt:variant>
      <vt:variant>
        <vt:lpwstr>_Toc425839631</vt:lpwstr>
      </vt:variant>
      <vt:variant>
        <vt:i4>1507380</vt:i4>
      </vt:variant>
      <vt:variant>
        <vt:i4>110</vt:i4>
      </vt:variant>
      <vt:variant>
        <vt:i4>0</vt:i4>
      </vt:variant>
      <vt:variant>
        <vt:i4>5</vt:i4>
      </vt:variant>
      <vt:variant>
        <vt:lpwstr/>
      </vt:variant>
      <vt:variant>
        <vt:lpwstr>_Toc425839630</vt:lpwstr>
      </vt:variant>
      <vt:variant>
        <vt:i4>1441844</vt:i4>
      </vt:variant>
      <vt:variant>
        <vt:i4>104</vt:i4>
      </vt:variant>
      <vt:variant>
        <vt:i4>0</vt:i4>
      </vt:variant>
      <vt:variant>
        <vt:i4>5</vt:i4>
      </vt:variant>
      <vt:variant>
        <vt:lpwstr/>
      </vt:variant>
      <vt:variant>
        <vt:lpwstr>_Toc425839629</vt:lpwstr>
      </vt:variant>
      <vt:variant>
        <vt:i4>1441844</vt:i4>
      </vt:variant>
      <vt:variant>
        <vt:i4>98</vt:i4>
      </vt:variant>
      <vt:variant>
        <vt:i4>0</vt:i4>
      </vt:variant>
      <vt:variant>
        <vt:i4>5</vt:i4>
      </vt:variant>
      <vt:variant>
        <vt:lpwstr/>
      </vt:variant>
      <vt:variant>
        <vt:lpwstr>_Toc425839628</vt:lpwstr>
      </vt:variant>
      <vt:variant>
        <vt:i4>1441844</vt:i4>
      </vt:variant>
      <vt:variant>
        <vt:i4>92</vt:i4>
      </vt:variant>
      <vt:variant>
        <vt:i4>0</vt:i4>
      </vt:variant>
      <vt:variant>
        <vt:i4>5</vt:i4>
      </vt:variant>
      <vt:variant>
        <vt:lpwstr/>
      </vt:variant>
      <vt:variant>
        <vt:lpwstr>_Toc425839627</vt:lpwstr>
      </vt:variant>
      <vt:variant>
        <vt:i4>1441844</vt:i4>
      </vt:variant>
      <vt:variant>
        <vt:i4>86</vt:i4>
      </vt:variant>
      <vt:variant>
        <vt:i4>0</vt:i4>
      </vt:variant>
      <vt:variant>
        <vt:i4>5</vt:i4>
      </vt:variant>
      <vt:variant>
        <vt:lpwstr/>
      </vt:variant>
      <vt:variant>
        <vt:lpwstr>_Toc425839626</vt:lpwstr>
      </vt:variant>
      <vt:variant>
        <vt:i4>1441844</vt:i4>
      </vt:variant>
      <vt:variant>
        <vt:i4>80</vt:i4>
      </vt:variant>
      <vt:variant>
        <vt:i4>0</vt:i4>
      </vt:variant>
      <vt:variant>
        <vt:i4>5</vt:i4>
      </vt:variant>
      <vt:variant>
        <vt:lpwstr/>
      </vt:variant>
      <vt:variant>
        <vt:lpwstr>_Toc425839625</vt:lpwstr>
      </vt:variant>
      <vt:variant>
        <vt:i4>1441844</vt:i4>
      </vt:variant>
      <vt:variant>
        <vt:i4>74</vt:i4>
      </vt:variant>
      <vt:variant>
        <vt:i4>0</vt:i4>
      </vt:variant>
      <vt:variant>
        <vt:i4>5</vt:i4>
      </vt:variant>
      <vt:variant>
        <vt:lpwstr/>
      </vt:variant>
      <vt:variant>
        <vt:lpwstr>_Toc425839624</vt:lpwstr>
      </vt:variant>
      <vt:variant>
        <vt:i4>1441844</vt:i4>
      </vt:variant>
      <vt:variant>
        <vt:i4>68</vt:i4>
      </vt:variant>
      <vt:variant>
        <vt:i4>0</vt:i4>
      </vt:variant>
      <vt:variant>
        <vt:i4>5</vt:i4>
      </vt:variant>
      <vt:variant>
        <vt:lpwstr/>
      </vt:variant>
      <vt:variant>
        <vt:lpwstr>_Toc425839623</vt:lpwstr>
      </vt:variant>
      <vt:variant>
        <vt:i4>1441844</vt:i4>
      </vt:variant>
      <vt:variant>
        <vt:i4>62</vt:i4>
      </vt:variant>
      <vt:variant>
        <vt:i4>0</vt:i4>
      </vt:variant>
      <vt:variant>
        <vt:i4>5</vt:i4>
      </vt:variant>
      <vt:variant>
        <vt:lpwstr/>
      </vt:variant>
      <vt:variant>
        <vt:lpwstr>_Toc425839622</vt:lpwstr>
      </vt:variant>
      <vt:variant>
        <vt:i4>1441844</vt:i4>
      </vt:variant>
      <vt:variant>
        <vt:i4>56</vt:i4>
      </vt:variant>
      <vt:variant>
        <vt:i4>0</vt:i4>
      </vt:variant>
      <vt:variant>
        <vt:i4>5</vt:i4>
      </vt:variant>
      <vt:variant>
        <vt:lpwstr/>
      </vt:variant>
      <vt:variant>
        <vt:lpwstr>_Toc425839621</vt:lpwstr>
      </vt:variant>
      <vt:variant>
        <vt:i4>1441844</vt:i4>
      </vt:variant>
      <vt:variant>
        <vt:i4>50</vt:i4>
      </vt:variant>
      <vt:variant>
        <vt:i4>0</vt:i4>
      </vt:variant>
      <vt:variant>
        <vt:i4>5</vt:i4>
      </vt:variant>
      <vt:variant>
        <vt:lpwstr/>
      </vt:variant>
      <vt:variant>
        <vt:lpwstr>_Toc425839620</vt:lpwstr>
      </vt:variant>
      <vt:variant>
        <vt:i4>1376308</vt:i4>
      </vt:variant>
      <vt:variant>
        <vt:i4>44</vt:i4>
      </vt:variant>
      <vt:variant>
        <vt:i4>0</vt:i4>
      </vt:variant>
      <vt:variant>
        <vt:i4>5</vt:i4>
      </vt:variant>
      <vt:variant>
        <vt:lpwstr/>
      </vt:variant>
      <vt:variant>
        <vt:lpwstr>_Toc425839619</vt:lpwstr>
      </vt:variant>
      <vt:variant>
        <vt:i4>1376308</vt:i4>
      </vt:variant>
      <vt:variant>
        <vt:i4>38</vt:i4>
      </vt:variant>
      <vt:variant>
        <vt:i4>0</vt:i4>
      </vt:variant>
      <vt:variant>
        <vt:i4>5</vt:i4>
      </vt:variant>
      <vt:variant>
        <vt:lpwstr/>
      </vt:variant>
      <vt:variant>
        <vt:lpwstr>_Toc425839618</vt:lpwstr>
      </vt:variant>
      <vt:variant>
        <vt:i4>1376308</vt:i4>
      </vt:variant>
      <vt:variant>
        <vt:i4>32</vt:i4>
      </vt:variant>
      <vt:variant>
        <vt:i4>0</vt:i4>
      </vt:variant>
      <vt:variant>
        <vt:i4>5</vt:i4>
      </vt:variant>
      <vt:variant>
        <vt:lpwstr/>
      </vt:variant>
      <vt:variant>
        <vt:lpwstr>_Toc425839617</vt:lpwstr>
      </vt:variant>
      <vt:variant>
        <vt:i4>1376308</vt:i4>
      </vt:variant>
      <vt:variant>
        <vt:i4>26</vt:i4>
      </vt:variant>
      <vt:variant>
        <vt:i4>0</vt:i4>
      </vt:variant>
      <vt:variant>
        <vt:i4>5</vt:i4>
      </vt:variant>
      <vt:variant>
        <vt:lpwstr/>
      </vt:variant>
      <vt:variant>
        <vt:lpwstr>_Toc425839616</vt:lpwstr>
      </vt:variant>
      <vt:variant>
        <vt:i4>1376308</vt:i4>
      </vt:variant>
      <vt:variant>
        <vt:i4>20</vt:i4>
      </vt:variant>
      <vt:variant>
        <vt:i4>0</vt:i4>
      </vt:variant>
      <vt:variant>
        <vt:i4>5</vt:i4>
      </vt:variant>
      <vt:variant>
        <vt:lpwstr/>
      </vt:variant>
      <vt:variant>
        <vt:lpwstr>_Toc425839615</vt:lpwstr>
      </vt:variant>
      <vt:variant>
        <vt:i4>1376308</vt:i4>
      </vt:variant>
      <vt:variant>
        <vt:i4>14</vt:i4>
      </vt:variant>
      <vt:variant>
        <vt:i4>0</vt:i4>
      </vt:variant>
      <vt:variant>
        <vt:i4>5</vt:i4>
      </vt:variant>
      <vt:variant>
        <vt:lpwstr/>
      </vt:variant>
      <vt:variant>
        <vt:lpwstr>_Toc425839614</vt:lpwstr>
      </vt:variant>
      <vt:variant>
        <vt:i4>1376308</vt:i4>
      </vt:variant>
      <vt:variant>
        <vt:i4>8</vt:i4>
      </vt:variant>
      <vt:variant>
        <vt:i4>0</vt:i4>
      </vt:variant>
      <vt:variant>
        <vt:i4>5</vt:i4>
      </vt:variant>
      <vt:variant>
        <vt:lpwstr/>
      </vt:variant>
      <vt:variant>
        <vt:lpwstr>_Toc425839613</vt:lpwstr>
      </vt:variant>
      <vt:variant>
        <vt:i4>1376308</vt:i4>
      </vt:variant>
      <vt:variant>
        <vt:i4>2</vt:i4>
      </vt:variant>
      <vt:variant>
        <vt:i4>0</vt:i4>
      </vt:variant>
      <vt:variant>
        <vt:i4>5</vt:i4>
      </vt:variant>
      <vt:variant>
        <vt:lpwstr/>
      </vt:variant>
      <vt:variant>
        <vt:lpwstr>_Toc425839612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subject/>
  <dc:creator>J Francis</dc:creator>
  <cp:keywords/>
  <cp:lastModifiedBy>Dang, Van</cp:lastModifiedBy>
  <cp:revision>3</cp:revision>
  <cp:lastPrinted>2015-10-30T06:15:00Z</cp:lastPrinted>
  <dcterms:created xsi:type="dcterms:W3CDTF">2015-10-30T06:15:00Z</dcterms:created>
  <dcterms:modified xsi:type="dcterms:W3CDTF">2015-10-30T06:15:00Z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Publishing Section">
    <vt:lpwstr>Information Management Division</vt:lpwstr>
  </property>
  <property fmtid="{D5CDD505-2E9C-101B-9397-08002B2CF9AE}" pid="4" name="SecurityClassification">
    <vt:lpwstr/>
  </property>
  <property fmtid="{D5CDD505-2E9C-101B-9397-08002B2CF9AE}" pid="5" name="DLM">
    <vt:lpwstr/>
  </property>
  <property fmtid="{D5CDD505-2E9C-101B-9397-08002B2CF9AE}" pid="6" name="Sensitivity">
    <vt:lpwstr/>
  </property>
  <property fmtid="{D5CDD505-2E9C-101B-9397-08002B2CF9AE}" pid="7" name="Spacer">
    <vt:lpwstr/>
  </property>
  <property fmtid="{D5CDD505-2E9C-101B-9397-08002B2CF9AE}" pid="8" name="Legislation">
    <vt:lpwstr/>
  </property>
  <property fmtid="{D5CDD505-2E9C-101B-9397-08002B2CF9AE}" pid="9" name="Departmental Keywords">
    <vt:lpwstr/>
  </property>
  <property fmtid="{D5CDD505-2E9C-101B-9397-08002B2CF9AE}" pid="10" name="Keywords1">
    <vt:lpwstr/>
  </property>
</Properties>
</file>