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4FFD" w:rsidRPr="006D3297" w:rsidRDefault="00F13B84" w:rsidP="006D3297">
      <w:pPr>
        <w:pStyle w:val="Heading1"/>
      </w:pPr>
      <w:bookmarkStart w:id="0" w:name="_Toc425497992"/>
      <w:bookmarkStart w:id="1" w:name="_Toc425503342"/>
      <w:bookmarkStart w:id="2" w:name="OLE_LINK4"/>
      <w:bookmarkStart w:id="3" w:name="OLE_LINK5"/>
      <w:bookmarkStart w:id="4" w:name="_Toc425145190"/>
      <w:bookmarkStart w:id="5" w:name="_Toc425156676"/>
      <w:bookmarkStart w:id="6" w:name="_Toc425500111"/>
      <w:bookmarkStart w:id="7" w:name="_Toc425500106"/>
      <w:r>
        <w:t>Cost Recovery I</w:t>
      </w:r>
      <w:bookmarkStart w:id="8" w:name="_GoBack"/>
      <w:bookmarkEnd w:id="8"/>
      <w:r>
        <w:t>mplementation S</w:t>
      </w:r>
      <w:r w:rsidR="006D3297" w:rsidRPr="006D3297">
        <w:t>tatement</w:t>
      </w:r>
      <w:bookmarkStart w:id="9" w:name="_Toc425497994"/>
      <w:bookmarkStart w:id="10" w:name="_Toc425503344"/>
      <w:bookmarkEnd w:id="0"/>
      <w:bookmarkEnd w:id="1"/>
      <w:bookmarkEnd w:id="2"/>
      <w:bookmarkEnd w:id="3"/>
      <w:r w:rsidR="006D3297" w:rsidRPr="006D3297">
        <w:br/>
        <w:t>Plant</w:t>
      </w:r>
      <w:r w:rsidR="00DC4FFD" w:rsidRPr="006D3297">
        <w:t xml:space="preserve"> </w:t>
      </w:r>
      <w:r w:rsidR="006D3297" w:rsidRPr="006D3297">
        <w:t>exports</w:t>
      </w:r>
      <w:r w:rsidR="00DC4FFD" w:rsidRPr="006D3297">
        <w:t xml:space="preserve"> </w:t>
      </w:r>
      <w:bookmarkStart w:id="11" w:name="_Toc425497995"/>
      <w:bookmarkStart w:id="12" w:name="_Toc425503345"/>
      <w:bookmarkEnd w:id="9"/>
      <w:bookmarkEnd w:id="10"/>
      <w:r w:rsidR="006D3297" w:rsidRPr="006D3297">
        <w:t xml:space="preserve">certification </w:t>
      </w:r>
      <w:r w:rsidR="00DC4FFD" w:rsidRPr="006D3297">
        <w:t>2015–16</w:t>
      </w:r>
      <w:bookmarkEnd w:id="11"/>
      <w:bookmarkEnd w:id="12"/>
    </w:p>
    <w:p w:rsidR="00DC4FFD" w:rsidRDefault="006D3297">
      <w:pPr>
        <w:pStyle w:val="Picture"/>
      </w:pPr>
      <w:r>
        <w:rPr>
          <w:noProof/>
          <w:lang w:eastAsia="en-AU"/>
        </w:rPr>
        <w:lastRenderedPageBreak/>
        <w:drawing>
          <wp:inline distT="0" distB="0" distL="0" distR="0" wp14:anchorId="6767FD65" wp14:editId="1B70FD6F">
            <wp:extent cx="5838825" cy="5705475"/>
            <wp:effectExtent l="0" t="0" r="9525" b="9525"/>
            <wp:docPr id="5" name="Picture 3" descr="Department of Agriculture and Water Resources" title="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S_exp3_kaleid1_new"/>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8825" cy="5705475"/>
                    </a:xfrm>
                    <a:prstGeom prst="rect">
                      <a:avLst/>
                    </a:prstGeom>
                    <a:noFill/>
                    <a:ln>
                      <a:noFill/>
                    </a:ln>
                  </pic:spPr>
                </pic:pic>
              </a:graphicData>
            </a:graphic>
          </wp:inline>
        </w:drawing>
      </w:r>
    </w:p>
    <w:p w:rsidR="006D3297" w:rsidRPr="00AA5CCB" w:rsidRDefault="006D3297" w:rsidP="006D3297">
      <w:pPr>
        <w:keepNext/>
        <w:pageBreakBefore/>
        <w:rPr>
          <w:sz w:val="20"/>
          <w:szCs w:val="20"/>
        </w:rPr>
      </w:pPr>
      <w:r w:rsidRPr="00AA5CCB">
        <w:rPr>
          <w:sz w:val="20"/>
          <w:szCs w:val="20"/>
        </w:rPr>
        <w:lastRenderedPageBreak/>
        <w:t>© Commonwealth of Australia 2015</w:t>
      </w:r>
    </w:p>
    <w:p w:rsidR="006D3297" w:rsidRPr="00AA5CCB" w:rsidRDefault="006D3297" w:rsidP="006D3297">
      <w:pPr>
        <w:spacing w:after="0"/>
        <w:rPr>
          <w:rStyle w:val="Strong"/>
          <w:sz w:val="20"/>
          <w:szCs w:val="20"/>
        </w:rPr>
      </w:pPr>
      <w:r w:rsidRPr="00AA5CCB">
        <w:rPr>
          <w:rStyle w:val="Strong"/>
          <w:sz w:val="20"/>
          <w:szCs w:val="20"/>
        </w:rPr>
        <w:t>Ownership of intellectual property rights</w:t>
      </w:r>
    </w:p>
    <w:p w:rsidR="006D3297" w:rsidRPr="00AA5CCB" w:rsidRDefault="006D3297" w:rsidP="006D3297">
      <w:pPr>
        <w:rPr>
          <w:sz w:val="20"/>
          <w:szCs w:val="20"/>
        </w:rPr>
      </w:pPr>
      <w:r w:rsidRPr="00AA5CCB">
        <w:rPr>
          <w:sz w:val="20"/>
          <w:szCs w:val="20"/>
        </w:rPr>
        <w:t>Unless otherwise noted, copyright (and any other intellectual property rights, if any) in this publication is owned by the Commonwealth of Australia (referred to as the Commonwealth).</w:t>
      </w:r>
    </w:p>
    <w:p w:rsidR="006D3297" w:rsidRPr="00AA5CCB" w:rsidRDefault="006D3297" w:rsidP="006D3297">
      <w:pPr>
        <w:spacing w:after="0"/>
        <w:rPr>
          <w:rStyle w:val="Strong"/>
          <w:sz w:val="20"/>
          <w:szCs w:val="20"/>
        </w:rPr>
      </w:pPr>
      <w:proofErr w:type="gramStart"/>
      <w:r w:rsidRPr="00AA5CCB">
        <w:rPr>
          <w:rStyle w:val="Strong"/>
          <w:sz w:val="20"/>
          <w:szCs w:val="20"/>
        </w:rPr>
        <w:t>Creative Commons</w:t>
      </w:r>
      <w:proofErr w:type="gramEnd"/>
      <w:r w:rsidRPr="00AA5CCB">
        <w:rPr>
          <w:rStyle w:val="Strong"/>
          <w:sz w:val="20"/>
          <w:szCs w:val="20"/>
        </w:rPr>
        <w:t xml:space="preserve"> licence</w:t>
      </w:r>
    </w:p>
    <w:p w:rsidR="006D3297" w:rsidRPr="00AA5CCB" w:rsidRDefault="006D3297" w:rsidP="006D3297">
      <w:pPr>
        <w:rPr>
          <w:sz w:val="20"/>
          <w:szCs w:val="20"/>
        </w:rPr>
      </w:pPr>
      <w:r w:rsidRPr="00AA5CCB">
        <w:rPr>
          <w:sz w:val="20"/>
          <w:szCs w:val="20"/>
        </w:rPr>
        <w:t>All material in this publication is licensed under a Creative Commons Attribution 3.0 Australia Licence, save for content supplied by third parties, logos and the Commonwealth Coat of Arms.</w:t>
      </w:r>
    </w:p>
    <w:p w:rsidR="006D3297" w:rsidRPr="00AA5CCB" w:rsidRDefault="006D3297" w:rsidP="006D3297">
      <w:pPr>
        <w:rPr>
          <w:sz w:val="20"/>
          <w:szCs w:val="20"/>
        </w:rPr>
      </w:pPr>
      <w:r w:rsidRPr="00AA5CCB">
        <w:rPr>
          <w:noProof/>
          <w:sz w:val="20"/>
          <w:szCs w:val="20"/>
          <w:lang w:eastAsia="en-AU"/>
        </w:rPr>
        <w:drawing>
          <wp:inline distT="0" distB="0" distL="0" distR="0" wp14:anchorId="58B75AD2" wp14:editId="0D241FC8">
            <wp:extent cx="724535" cy="255270"/>
            <wp:effectExtent l="0" t="0" r="0" b="0"/>
            <wp:docPr id="6" name="Picture 1" descr="Creative Commons logo"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9"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rsidR="006D3297" w:rsidRPr="00AA5CCB" w:rsidRDefault="006D3297" w:rsidP="006D3297">
      <w:pPr>
        <w:rPr>
          <w:sz w:val="20"/>
          <w:szCs w:val="20"/>
        </w:rPr>
      </w:pPr>
      <w:r w:rsidRPr="00AA5CCB">
        <w:rPr>
          <w:sz w:val="20"/>
          <w:szCs w:val="20"/>
        </w:rPr>
        <w:t xml:space="preserve">Creative Commons Attribution 3.0 Australia Licence is a standard form licence agreement that allows you to copy, distribute, transmit and adapt this publication provided you attribute the work. A summary of the licence terms is available from </w:t>
      </w:r>
      <w:hyperlink r:id="rId10" w:history="1">
        <w:r w:rsidRPr="00AA5CCB">
          <w:rPr>
            <w:rStyle w:val="Hyperlink"/>
            <w:sz w:val="20"/>
            <w:szCs w:val="20"/>
          </w:rPr>
          <w:t>creativecommons.org/licenses/by/3.0/au/</w:t>
        </w:r>
        <w:proofErr w:type="spellStart"/>
        <w:r w:rsidRPr="00AA5CCB">
          <w:rPr>
            <w:rStyle w:val="Hyperlink"/>
            <w:sz w:val="20"/>
            <w:szCs w:val="20"/>
          </w:rPr>
          <w:t>deed.en</w:t>
        </w:r>
        <w:proofErr w:type="spellEnd"/>
      </w:hyperlink>
      <w:r w:rsidRPr="00AA5CCB">
        <w:rPr>
          <w:sz w:val="20"/>
          <w:szCs w:val="20"/>
        </w:rPr>
        <w:t xml:space="preserve">. The full licence terms are available from </w:t>
      </w:r>
      <w:hyperlink r:id="rId11" w:history="1">
        <w:r w:rsidRPr="00AA5CCB">
          <w:rPr>
            <w:rStyle w:val="Hyperlink"/>
            <w:sz w:val="20"/>
            <w:szCs w:val="20"/>
          </w:rPr>
          <w:t>creativecommons.org/licenses/by/3.0/au/</w:t>
        </w:r>
        <w:proofErr w:type="spellStart"/>
        <w:r w:rsidRPr="00AA5CCB">
          <w:rPr>
            <w:rStyle w:val="Hyperlink"/>
            <w:sz w:val="20"/>
            <w:szCs w:val="20"/>
          </w:rPr>
          <w:t>legalcode</w:t>
        </w:r>
        <w:proofErr w:type="spellEnd"/>
      </w:hyperlink>
      <w:r w:rsidRPr="00AA5CCB">
        <w:rPr>
          <w:sz w:val="20"/>
          <w:szCs w:val="20"/>
        </w:rPr>
        <w:t>.</w:t>
      </w:r>
    </w:p>
    <w:p w:rsidR="006D3297" w:rsidRDefault="006D3297" w:rsidP="006D3297">
      <w:pPr>
        <w:rPr>
          <w:sz w:val="20"/>
          <w:szCs w:val="20"/>
        </w:rPr>
      </w:pPr>
      <w:r w:rsidRPr="00AA5CCB">
        <w:rPr>
          <w:sz w:val="20"/>
          <w:szCs w:val="20"/>
        </w:rPr>
        <w:t xml:space="preserve">Inquiries about the licence and any use of this document </w:t>
      </w:r>
      <w:proofErr w:type="gramStart"/>
      <w:r w:rsidRPr="00AA5CCB">
        <w:rPr>
          <w:sz w:val="20"/>
          <w:szCs w:val="20"/>
        </w:rPr>
        <w:t>should be sent</w:t>
      </w:r>
      <w:proofErr w:type="gramEnd"/>
      <w:r w:rsidRPr="00AA5CCB">
        <w:rPr>
          <w:sz w:val="20"/>
          <w:szCs w:val="20"/>
        </w:rPr>
        <w:t xml:space="preserve"> to </w:t>
      </w:r>
      <w:hyperlink r:id="rId12" w:history="1">
        <w:r w:rsidRPr="00AA5CCB">
          <w:rPr>
            <w:rStyle w:val="Hyperlink"/>
            <w:sz w:val="20"/>
            <w:szCs w:val="20"/>
          </w:rPr>
          <w:t>copyright@agriculture.gov.au</w:t>
        </w:r>
      </w:hyperlink>
      <w:r w:rsidRPr="00AA5CCB">
        <w:rPr>
          <w:sz w:val="20"/>
          <w:szCs w:val="20"/>
        </w:rPr>
        <w:t>.</w:t>
      </w:r>
    </w:p>
    <w:p w:rsidR="00F13B84" w:rsidRPr="00AA5CCB" w:rsidRDefault="00F13B84" w:rsidP="00F13B84">
      <w:pPr>
        <w:spacing w:after="0"/>
        <w:rPr>
          <w:rStyle w:val="Strong"/>
          <w:sz w:val="20"/>
          <w:szCs w:val="20"/>
        </w:rPr>
      </w:pPr>
      <w:r w:rsidRPr="00AA5CCB">
        <w:rPr>
          <w:rStyle w:val="Strong"/>
          <w:sz w:val="20"/>
          <w:szCs w:val="20"/>
        </w:rPr>
        <w:t>Cataloguing data</w:t>
      </w:r>
    </w:p>
    <w:p w:rsidR="00F13B84" w:rsidRPr="00AA5CCB" w:rsidRDefault="00F13B84" w:rsidP="00F13B84">
      <w:pPr>
        <w:rPr>
          <w:sz w:val="20"/>
          <w:szCs w:val="20"/>
        </w:rPr>
      </w:pPr>
      <w:r w:rsidRPr="00AA5CCB">
        <w:rPr>
          <w:sz w:val="20"/>
          <w:szCs w:val="20"/>
        </w:rPr>
        <w:t xml:space="preserve">This publication (and any material sourced from it) should be attributed </w:t>
      </w:r>
      <w:proofErr w:type="gramStart"/>
      <w:r w:rsidRPr="00AA5CCB">
        <w:rPr>
          <w:sz w:val="20"/>
          <w:szCs w:val="20"/>
        </w:rPr>
        <w:t>as:</w:t>
      </w:r>
      <w:proofErr w:type="gramEnd"/>
      <w:r w:rsidRPr="00AA5CCB">
        <w:rPr>
          <w:sz w:val="20"/>
          <w:szCs w:val="20"/>
        </w:rPr>
        <w:t xml:space="preserve"> </w:t>
      </w:r>
      <w:r w:rsidRPr="00F13B84">
        <w:rPr>
          <w:sz w:val="20"/>
          <w:szCs w:val="20"/>
        </w:rPr>
        <w:t xml:space="preserve">DAWR 2015, </w:t>
      </w:r>
      <w:r>
        <w:rPr>
          <w:i/>
          <w:sz w:val="20"/>
          <w:szCs w:val="20"/>
        </w:rPr>
        <w:t>Cost Recovery Implementation Statement: Plant export certification, 2015–16</w:t>
      </w:r>
      <w:r w:rsidRPr="00AA5CCB">
        <w:rPr>
          <w:sz w:val="20"/>
          <w:szCs w:val="20"/>
        </w:rPr>
        <w:t>, Department of Agriculture and Water Resources, Canberra, October. CC BY 3.0.</w:t>
      </w:r>
    </w:p>
    <w:p w:rsidR="00F13B84" w:rsidRPr="00AA5CCB" w:rsidRDefault="00F13B84" w:rsidP="00F13B84">
      <w:pPr>
        <w:spacing w:after="0"/>
        <w:rPr>
          <w:sz w:val="20"/>
          <w:szCs w:val="20"/>
        </w:rPr>
      </w:pPr>
      <w:r w:rsidRPr="00AA5CCB">
        <w:rPr>
          <w:sz w:val="20"/>
          <w:szCs w:val="20"/>
        </w:rPr>
        <w:t xml:space="preserve">ISBN </w:t>
      </w:r>
      <w:r w:rsidRPr="00CE38E4">
        <w:rPr>
          <w:sz w:val="20"/>
          <w:szCs w:val="20"/>
        </w:rPr>
        <w:t>978</w:t>
      </w:r>
      <w:r>
        <w:rPr>
          <w:sz w:val="20"/>
          <w:szCs w:val="20"/>
        </w:rPr>
        <w:t>-</w:t>
      </w:r>
      <w:r w:rsidRPr="00CE38E4">
        <w:rPr>
          <w:sz w:val="20"/>
          <w:szCs w:val="20"/>
        </w:rPr>
        <w:t>1</w:t>
      </w:r>
      <w:r>
        <w:rPr>
          <w:sz w:val="20"/>
          <w:szCs w:val="20"/>
        </w:rPr>
        <w:t>-</w:t>
      </w:r>
      <w:r w:rsidRPr="00CE38E4">
        <w:rPr>
          <w:sz w:val="20"/>
          <w:szCs w:val="20"/>
        </w:rPr>
        <w:t>76003</w:t>
      </w:r>
      <w:r>
        <w:rPr>
          <w:sz w:val="20"/>
          <w:szCs w:val="20"/>
        </w:rPr>
        <w:t>-</w:t>
      </w:r>
      <w:r w:rsidRPr="00CE38E4">
        <w:rPr>
          <w:sz w:val="20"/>
          <w:szCs w:val="20"/>
        </w:rPr>
        <w:t>114</w:t>
      </w:r>
      <w:r>
        <w:rPr>
          <w:sz w:val="20"/>
          <w:szCs w:val="20"/>
        </w:rPr>
        <w:t>-</w:t>
      </w:r>
      <w:r w:rsidRPr="00CE38E4">
        <w:rPr>
          <w:sz w:val="20"/>
          <w:szCs w:val="20"/>
        </w:rPr>
        <w:t>5</w:t>
      </w:r>
      <w:r w:rsidRPr="00AA5CCB">
        <w:rPr>
          <w:sz w:val="20"/>
          <w:szCs w:val="20"/>
        </w:rPr>
        <w:t xml:space="preserve"> (online)</w:t>
      </w:r>
      <w:r>
        <w:rPr>
          <w:sz w:val="20"/>
          <w:szCs w:val="20"/>
        </w:rPr>
        <w:t xml:space="preserve"> </w:t>
      </w:r>
    </w:p>
    <w:p w:rsidR="00F13B84" w:rsidRPr="00AA5CCB" w:rsidRDefault="00F13B84" w:rsidP="00F13B84">
      <w:pPr>
        <w:spacing w:after="0"/>
        <w:rPr>
          <w:sz w:val="20"/>
          <w:szCs w:val="20"/>
        </w:rPr>
      </w:pPr>
      <w:r w:rsidRPr="00AA5CCB">
        <w:rPr>
          <w:sz w:val="20"/>
          <w:szCs w:val="20"/>
        </w:rPr>
        <w:t xml:space="preserve">This publication is available at </w:t>
      </w:r>
      <w:hyperlink r:id="rId13" w:history="1">
        <w:r w:rsidRPr="00AA5CCB">
          <w:rPr>
            <w:rStyle w:val="Hyperlink"/>
            <w:sz w:val="20"/>
            <w:szCs w:val="20"/>
          </w:rPr>
          <w:t>agriculture.gov.au/publications</w:t>
        </w:r>
      </w:hyperlink>
      <w:r w:rsidRPr="00AA5CCB">
        <w:rPr>
          <w:sz w:val="20"/>
          <w:szCs w:val="20"/>
        </w:rPr>
        <w:t>.</w:t>
      </w:r>
    </w:p>
    <w:p w:rsidR="00F13B84" w:rsidRPr="00AA5CCB" w:rsidRDefault="00F13B84" w:rsidP="00F13B84">
      <w:pPr>
        <w:spacing w:after="0"/>
        <w:rPr>
          <w:sz w:val="20"/>
          <w:szCs w:val="20"/>
        </w:rPr>
      </w:pPr>
      <w:r w:rsidRPr="00AA5CCB">
        <w:rPr>
          <w:sz w:val="20"/>
          <w:szCs w:val="20"/>
        </w:rPr>
        <w:t>Department of Agriculture and Water Resources</w:t>
      </w:r>
    </w:p>
    <w:p w:rsidR="00F13B84" w:rsidRPr="00AA5CCB" w:rsidRDefault="00F13B84" w:rsidP="00F13B84">
      <w:pPr>
        <w:spacing w:after="0"/>
        <w:rPr>
          <w:sz w:val="20"/>
          <w:szCs w:val="20"/>
        </w:rPr>
      </w:pPr>
      <w:r w:rsidRPr="00AA5CCB">
        <w:rPr>
          <w:sz w:val="20"/>
          <w:szCs w:val="20"/>
        </w:rPr>
        <w:t>Postal address GPO Box 858 Canberra ACT 2601</w:t>
      </w:r>
    </w:p>
    <w:p w:rsidR="00F13B84" w:rsidRPr="00AA5CCB" w:rsidRDefault="00F13B84" w:rsidP="00F13B84">
      <w:pPr>
        <w:spacing w:after="0"/>
        <w:rPr>
          <w:sz w:val="20"/>
          <w:szCs w:val="20"/>
        </w:rPr>
      </w:pPr>
      <w:r w:rsidRPr="00AA5CCB">
        <w:rPr>
          <w:sz w:val="20"/>
          <w:szCs w:val="20"/>
        </w:rPr>
        <w:t>Telephone 1800 900 090</w:t>
      </w:r>
    </w:p>
    <w:p w:rsidR="00F13B84" w:rsidRPr="00AA5CCB" w:rsidRDefault="00F13B84" w:rsidP="00F13B84">
      <w:pPr>
        <w:spacing w:after="120"/>
        <w:rPr>
          <w:sz w:val="20"/>
          <w:szCs w:val="20"/>
        </w:rPr>
      </w:pPr>
      <w:r w:rsidRPr="00AA5CCB">
        <w:rPr>
          <w:sz w:val="20"/>
          <w:szCs w:val="20"/>
        </w:rPr>
        <w:t xml:space="preserve">Web </w:t>
      </w:r>
      <w:hyperlink r:id="rId14" w:history="1">
        <w:r w:rsidRPr="00AA5CCB">
          <w:rPr>
            <w:rStyle w:val="Hyperlink"/>
            <w:sz w:val="20"/>
            <w:szCs w:val="20"/>
          </w:rPr>
          <w:t>agriculture.gov.au</w:t>
        </w:r>
      </w:hyperlink>
    </w:p>
    <w:p w:rsidR="00F13B84" w:rsidRPr="00AA5CCB" w:rsidRDefault="00F13B84" w:rsidP="00F13B84">
      <w:pPr>
        <w:rPr>
          <w:sz w:val="20"/>
          <w:szCs w:val="20"/>
        </w:rPr>
      </w:pPr>
      <w:r w:rsidRPr="00AA5CCB">
        <w:rPr>
          <w:sz w:val="20"/>
          <w:szCs w:val="20"/>
        </w:rPr>
        <w:lastRenderedPageBreak/>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upon any of the information or data in this publication to the maximum extent permitted by law.</w:t>
      </w:r>
    </w:p>
    <w:p w:rsidR="00F13B84" w:rsidRPr="00AA5CCB" w:rsidRDefault="00F13B84" w:rsidP="006D3297">
      <w:pPr>
        <w:rPr>
          <w:sz w:val="20"/>
          <w:szCs w:val="20"/>
        </w:rPr>
      </w:pPr>
    </w:p>
    <w:p w:rsidR="00DC4FFD" w:rsidRDefault="00DC4FFD">
      <w:pPr>
        <w:pStyle w:val="TOCHeading"/>
      </w:pPr>
      <w:r>
        <w:lastRenderedPageBreak/>
        <w:t>Contents</w:t>
      </w:r>
    </w:p>
    <w:p w:rsidR="002E338A" w:rsidRDefault="00CB513A">
      <w:pPr>
        <w:pStyle w:val="TOC1"/>
        <w:rPr>
          <w:rFonts w:asciiTheme="minorHAnsi" w:eastAsiaTheme="minorEastAsia" w:hAnsiTheme="minorHAnsi" w:cstheme="minorBidi"/>
          <w:noProof/>
          <w:lang w:eastAsia="en-AU"/>
        </w:rPr>
      </w:pPr>
      <w:r>
        <w:fldChar w:fldCharType="begin"/>
      </w:r>
      <w:r>
        <w:instrText xml:space="preserve"> TOC \h \z \t "Heading 2,1,Heading 3,2" </w:instrText>
      </w:r>
      <w:r>
        <w:fldChar w:fldCharType="separate"/>
      </w:r>
      <w:hyperlink w:anchor="_Toc433035540" w:history="1">
        <w:r w:rsidR="002E338A" w:rsidRPr="007260E3">
          <w:rPr>
            <w:rStyle w:val="Hyperlink"/>
            <w:noProof/>
          </w:rPr>
          <w:t>Glossary</w:t>
        </w:r>
        <w:r w:rsidR="002E338A">
          <w:rPr>
            <w:noProof/>
            <w:webHidden/>
          </w:rPr>
          <w:tab/>
        </w:r>
        <w:r w:rsidR="002E338A">
          <w:rPr>
            <w:noProof/>
            <w:webHidden/>
          </w:rPr>
          <w:fldChar w:fldCharType="begin"/>
        </w:r>
        <w:r w:rsidR="002E338A">
          <w:rPr>
            <w:noProof/>
            <w:webHidden/>
          </w:rPr>
          <w:instrText xml:space="preserve"> PAGEREF _Toc433035540 \h </w:instrText>
        </w:r>
        <w:r w:rsidR="002E338A">
          <w:rPr>
            <w:noProof/>
            <w:webHidden/>
          </w:rPr>
        </w:r>
        <w:r w:rsidR="002E338A">
          <w:rPr>
            <w:noProof/>
            <w:webHidden/>
          </w:rPr>
          <w:fldChar w:fldCharType="separate"/>
        </w:r>
        <w:r w:rsidR="0058767D">
          <w:rPr>
            <w:noProof/>
            <w:webHidden/>
          </w:rPr>
          <w:t>iv</w:t>
        </w:r>
        <w:r w:rsidR="002E338A">
          <w:rPr>
            <w:noProof/>
            <w:webHidden/>
          </w:rPr>
          <w:fldChar w:fldCharType="end"/>
        </w:r>
      </w:hyperlink>
    </w:p>
    <w:p w:rsidR="002E338A" w:rsidRDefault="0058767D">
      <w:pPr>
        <w:pStyle w:val="TOC1"/>
        <w:tabs>
          <w:tab w:val="left" w:pos="480"/>
        </w:tabs>
        <w:rPr>
          <w:rFonts w:asciiTheme="minorHAnsi" w:eastAsiaTheme="minorEastAsia" w:hAnsiTheme="minorHAnsi" w:cstheme="minorBidi"/>
          <w:noProof/>
          <w:lang w:eastAsia="en-AU"/>
        </w:rPr>
      </w:pPr>
      <w:hyperlink w:anchor="_Toc433035541" w:history="1">
        <w:r w:rsidR="002E338A" w:rsidRPr="007260E3">
          <w:rPr>
            <w:rStyle w:val="Hyperlink"/>
            <w:noProof/>
          </w:rPr>
          <w:t>1</w:t>
        </w:r>
        <w:r w:rsidR="002E338A">
          <w:rPr>
            <w:rFonts w:asciiTheme="minorHAnsi" w:eastAsiaTheme="minorEastAsia" w:hAnsiTheme="minorHAnsi" w:cstheme="minorBidi"/>
            <w:noProof/>
            <w:lang w:eastAsia="en-AU"/>
          </w:rPr>
          <w:tab/>
        </w:r>
        <w:r w:rsidR="002E338A" w:rsidRPr="007260E3">
          <w:rPr>
            <w:rStyle w:val="Hyperlink"/>
            <w:noProof/>
          </w:rPr>
          <w:t>Purpose of the cost recovery implementation statement</w:t>
        </w:r>
        <w:r w:rsidR="002E338A">
          <w:rPr>
            <w:noProof/>
            <w:webHidden/>
          </w:rPr>
          <w:tab/>
        </w:r>
        <w:r w:rsidR="002E338A">
          <w:rPr>
            <w:noProof/>
            <w:webHidden/>
          </w:rPr>
          <w:fldChar w:fldCharType="begin"/>
        </w:r>
        <w:r w:rsidR="002E338A">
          <w:rPr>
            <w:noProof/>
            <w:webHidden/>
          </w:rPr>
          <w:instrText xml:space="preserve"> PAGEREF _Toc433035541 \h </w:instrText>
        </w:r>
        <w:r w:rsidR="002E338A">
          <w:rPr>
            <w:noProof/>
            <w:webHidden/>
          </w:rPr>
        </w:r>
        <w:r w:rsidR="002E338A">
          <w:rPr>
            <w:noProof/>
            <w:webHidden/>
          </w:rPr>
          <w:fldChar w:fldCharType="separate"/>
        </w:r>
        <w:r>
          <w:rPr>
            <w:noProof/>
            <w:webHidden/>
          </w:rPr>
          <w:t>1</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42" w:history="1">
        <w:r w:rsidR="002E338A" w:rsidRPr="007260E3">
          <w:rPr>
            <w:rStyle w:val="Hyperlink"/>
            <w:noProof/>
          </w:rPr>
          <w:t>1.1</w:t>
        </w:r>
        <w:r w:rsidR="002E338A">
          <w:rPr>
            <w:rFonts w:asciiTheme="minorHAnsi" w:eastAsiaTheme="minorEastAsia" w:hAnsiTheme="minorHAnsi" w:cstheme="minorBidi"/>
            <w:noProof/>
            <w:lang w:eastAsia="en-AU"/>
          </w:rPr>
          <w:tab/>
        </w:r>
        <w:r w:rsidR="002E338A" w:rsidRPr="007260E3">
          <w:rPr>
            <w:rStyle w:val="Hyperlink"/>
            <w:noProof/>
          </w:rPr>
          <w:t>Plant exports</w:t>
        </w:r>
        <w:r w:rsidR="002E338A">
          <w:rPr>
            <w:noProof/>
            <w:webHidden/>
          </w:rPr>
          <w:tab/>
        </w:r>
        <w:r w:rsidR="002E338A">
          <w:rPr>
            <w:noProof/>
            <w:webHidden/>
          </w:rPr>
          <w:fldChar w:fldCharType="begin"/>
        </w:r>
        <w:r w:rsidR="002E338A">
          <w:rPr>
            <w:noProof/>
            <w:webHidden/>
          </w:rPr>
          <w:instrText xml:space="preserve"> PAGEREF _Toc433035542 \h </w:instrText>
        </w:r>
        <w:r w:rsidR="002E338A">
          <w:rPr>
            <w:noProof/>
            <w:webHidden/>
          </w:rPr>
        </w:r>
        <w:r w:rsidR="002E338A">
          <w:rPr>
            <w:noProof/>
            <w:webHidden/>
          </w:rPr>
          <w:fldChar w:fldCharType="separate"/>
        </w:r>
        <w:r>
          <w:rPr>
            <w:noProof/>
            <w:webHidden/>
          </w:rPr>
          <w:t>1</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43" w:history="1">
        <w:r w:rsidR="002E338A" w:rsidRPr="007260E3">
          <w:rPr>
            <w:rStyle w:val="Hyperlink"/>
            <w:noProof/>
          </w:rPr>
          <w:t>1.2</w:t>
        </w:r>
        <w:r w:rsidR="002E338A">
          <w:rPr>
            <w:rFonts w:asciiTheme="minorHAnsi" w:eastAsiaTheme="minorEastAsia" w:hAnsiTheme="minorHAnsi" w:cstheme="minorBidi"/>
            <w:noProof/>
            <w:lang w:eastAsia="en-AU"/>
          </w:rPr>
          <w:tab/>
        </w:r>
        <w:r w:rsidR="002E338A" w:rsidRPr="007260E3">
          <w:rPr>
            <w:rStyle w:val="Hyperlink"/>
            <w:noProof/>
          </w:rPr>
          <w:t>Why is cost recovery appropriate?</w:t>
        </w:r>
        <w:r w:rsidR="002E338A">
          <w:rPr>
            <w:noProof/>
            <w:webHidden/>
          </w:rPr>
          <w:tab/>
        </w:r>
        <w:r w:rsidR="002E338A">
          <w:rPr>
            <w:noProof/>
            <w:webHidden/>
          </w:rPr>
          <w:fldChar w:fldCharType="begin"/>
        </w:r>
        <w:r w:rsidR="002E338A">
          <w:rPr>
            <w:noProof/>
            <w:webHidden/>
          </w:rPr>
          <w:instrText xml:space="preserve"> PAGEREF _Toc433035543 \h </w:instrText>
        </w:r>
        <w:r w:rsidR="002E338A">
          <w:rPr>
            <w:noProof/>
            <w:webHidden/>
          </w:rPr>
        </w:r>
        <w:r w:rsidR="002E338A">
          <w:rPr>
            <w:noProof/>
            <w:webHidden/>
          </w:rPr>
          <w:fldChar w:fldCharType="separate"/>
        </w:r>
        <w:r>
          <w:rPr>
            <w:noProof/>
            <w:webHidden/>
          </w:rPr>
          <w:t>2</w:t>
        </w:r>
        <w:r w:rsidR="002E338A">
          <w:rPr>
            <w:noProof/>
            <w:webHidden/>
          </w:rPr>
          <w:fldChar w:fldCharType="end"/>
        </w:r>
      </w:hyperlink>
    </w:p>
    <w:p w:rsidR="002E338A" w:rsidRDefault="0058767D">
      <w:pPr>
        <w:pStyle w:val="TOC1"/>
        <w:tabs>
          <w:tab w:val="left" w:pos="480"/>
        </w:tabs>
        <w:rPr>
          <w:rFonts w:asciiTheme="minorHAnsi" w:eastAsiaTheme="minorEastAsia" w:hAnsiTheme="minorHAnsi" w:cstheme="minorBidi"/>
          <w:noProof/>
          <w:lang w:eastAsia="en-AU"/>
        </w:rPr>
      </w:pPr>
      <w:hyperlink w:anchor="_Toc433035544" w:history="1">
        <w:r w:rsidR="002E338A" w:rsidRPr="007260E3">
          <w:rPr>
            <w:rStyle w:val="Hyperlink"/>
            <w:noProof/>
          </w:rPr>
          <w:t>2</w:t>
        </w:r>
        <w:r w:rsidR="002E338A">
          <w:rPr>
            <w:rFonts w:asciiTheme="minorHAnsi" w:eastAsiaTheme="minorEastAsia" w:hAnsiTheme="minorHAnsi" w:cstheme="minorBidi"/>
            <w:noProof/>
            <w:lang w:eastAsia="en-AU"/>
          </w:rPr>
          <w:tab/>
        </w:r>
        <w:r w:rsidR="002E338A" w:rsidRPr="007260E3">
          <w:rPr>
            <w:rStyle w:val="Hyperlink"/>
            <w:noProof/>
          </w:rPr>
          <w:t>Authority to cost recover</w:t>
        </w:r>
        <w:r w:rsidR="002E338A">
          <w:rPr>
            <w:noProof/>
            <w:webHidden/>
          </w:rPr>
          <w:tab/>
        </w:r>
        <w:r w:rsidR="002E338A">
          <w:rPr>
            <w:noProof/>
            <w:webHidden/>
          </w:rPr>
          <w:fldChar w:fldCharType="begin"/>
        </w:r>
        <w:r w:rsidR="002E338A">
          <w:rPr>
            <w:noProof/>
            <w:webHidden/>
          </w:rPr>
          <w:instrText xml:space="preserve"> PAGEREF _Toc433035544 \h </w:instrText>
        </w:r>
        <w:r w:rsidR="002E338A">
          <w:rPr>
            <w:noProof/>
            <w:webHidden/>
          </w:rPr>
        </w:r>
        <w:r w:rsidR="002E338A">
          <w:rPr>
            <w:noProof/>
            <w:webHidden/>
          </w:rPr>
          <w:fldChar w:fldCharType="separate"/>
        </w:r>
        <w:r>
          <w:rPr>
            <w:noProof/>
            <w:webHidden/>
          </w:rPr>
          <w:t>3</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45" w:history="1">
        <w:r w:rsidR="002E338A" w:rsidRPr="007260E3">
          <w:rPr>
            <w:rStyle w:val="Hyperlink"/>
            <w:noProof/>
          </w:rPr>
          <w:t>2.1</w:t>
        </w:r>
        <w:r w:rsidR="002E338A">
          <w:rPr>
            <w:rFonts w:asciiTheme="minorHAnsi" w:eastAsiaTheme="minorEastAsia" w:hAnsiTheme="minorHAnsi" w:cstheme="minorBidi"/>
            <w:noProof/>
            <w:lang w:eastAsia="en-AU"/>
          </w:rPr>
          <w:tab/>
        </w:r>
        <w:r w:rsidR="002E338A" w:rsidRPr="007260E3">
          <w:rPr>
            <w:rStyle w:val="Hyperlink"/>
            <w:noProof/>
          </w:rPr>
          <w:t>Policy approval</w:t>
        </w:r>
        <w:r w:rsidR="002E338A">
          <w:rPr>
            <w:noProof/>
            <w:webHidden/>
          </w:rPr>
          <w:tab/>
        </w:r>
        <w:r w:rsidR="002E338A">
          <w:rPr>
            <w:noProof/>
            <w:webHidden/>
          </w:rPr>
          <w:fldChar w:fldCharType="begin"/>
        </w:r>
        <w:r w:rsidR="002E338A">
          <w:rPr>
            <w:noProof/>
            <w:webHidden/>
          </w:rPr>
          <w:instrText xml:space="preserve"> PAGEREF _Toc433035545 \h </w:instrText>
        </w:r>
        <w:r w:rsidR="002E338A">
          <w:rPr>
            <w:noProof/>
            <w:webHidden/>
          </w:rPr>
        </w:r>
        <w:r w:rsidR="002E338A">
          <w:rPr>
            <w:noProof/>
            <w:webHidden/>
          </w:rPr>
          <w:fldChar w:fldCharType="separate"/>
        </w:r>
        <w:r>
          <w:rPr>
            <w:noProof/>
            <w:webHidden/>
          </w:rPr>
          <w:t>3</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46" w:history="1">
        <w:r w:rsidR="002E338A" w:rsidRPr="007260E3">
          <w:rPr>
            <w:rStyle w:val="Hyperlink"/>
            <w:noProof/>
          </w:rPr>
          <w:t>2.2</w:t>
        </w:r>
        <w:r w:rsidR="002E338A">
          <w:rPr>
            <w:rFonts w:asciiTheme="minorHAnsi" w:eastAsiaTheme="minorEastAsia" w:hAnsiTheme="minorHAnsi" w:cstheme="minorBidi"/>
            <w:noProof/>
            <w:lang w:eastAsia="en-AU"/>
          </w:rPr>
          <w:tab/>
        </w:r>
        <w:r w:rsidR="002E338A" w:rsidRPr="007260E3">
          <w:rPr>
            <w:rStyle w:val="Hyperlink"/>
            <w:noProof/>
          </w:rPr>
          <w:t>Statutory authority</w:t>
        </w:r>
        <w:r w:rsidR="002E338A">
          <w:rPr>
            <w:noProof/>
            <w:webHidden/>
          </w:rPr>
          <w:tab/>
        </w:r>
        <w:r w:rsidR="002E338A">
          <w:rPr>
            <w:noProof/>
            <w:webHidden/>
          </w:rPr>
          <w:fldChar w:fldCharType="begin"/>
        </w:r>
        <w:r w:rsidR="002E338A">
          <w:rPr>
            <w:noProof/>
            <w:webHidden/>
          </w:rPr>
          <w:instrText xml:space="preserve"> PAGEREF _Toc433035546 \h </w:instrText>
        </w:r>
        <w:r w:rsidR="002E338A">
          <w:rPr>
            <w:noProof/>
            <w:webHidden/>
          </w:rPr>
        </w:r>
        <w:r w:rsidR="002E338A">
          <w:rPr>
            <w:noProof/>
            <w:webHidden/>
          </w:rPr>
          <w:fldChar w:fldCharType="separate"/>
        </w:r>
        <w:r>
          <w:rPr>
            <w:noProof/>
            <w:webHidden/>
          </w:rPr>
          <w:t>3</w:t>
        </w:r>
        <w:r w:rsidR="002E338A">
          <w:rPr>
            <w:noProof/>
            <w:webHidden/>
          </w:rPr>
          <w:fldChar w:fldCharType="end"/>
        </w:r>
      </w:hyperlink>
    </w:p>
    <w:p w:rsidR="002E338A" w:rsidRDefault="0058767D">
      <w:pPr>
        <w:pStyle w:val="TOC1"/>
        <w:tabs>
          <w:tab w:val="left" w:pos="480"/>
        </w:tabs>
        <w:rPr>
          <w:rFonts w:asciiTheme="minorHAnsi" w:eastAsiaTheme="minorEastAsia" w:hAnsiTheme="minorHAnsi" w:cstheme="minorBidi"/>
          <w:noProof/>
          <w:lang w:eastAsia="en-AU"/>
        </w:rPr>
      </w:pPr>
      <w:hyperlink w:anchor="_Toc433035547" w:history="1">
        <w:r w:rsidR="002E338A" w:rsidRPr="007260E3">
          <w:rPr>
            <w:rStyle w:val="Hyperlink"/>
            <w:noProof/>
          </w:rPr>
          <w:t>3</w:t>
        </w:r>
        <w:r w:rsidR="002E338A">
          <w:rPr>
            <w:rFonts w:asciiTheme="minorHAnsi" w:eastAsiaTheme="minorEastAsia" w:hAnsiTheme="minorHAnsi" w:cstheme="minorBidi"/>
            <w:noProof/>
            <w:lang w:eastAsia="en-AU"/>
          </w:rPr>
          <w:tab/>
        </w:r>
        <w:r w:rsidR="002E338A" w:rsidRPr="007260E3">
          <w:rPr>
            <w:rStyle w:val="Hyperlink"/>
            <w:noProof/>
          </w:rPr>
          <w:t>Cost recovery methodology</w:t>
        </w:r>
        <w:r w:rsidR="002E338A">
          <w:rPr>
            <w:noProof/>
            <w:webHidden/>
          </w:rPr>
          <w:tab/>
        </w:r>
        <w:r w:rsidR="002E338A">
          <w:rPr>
            <w:noProof/>
            <w:webHidden/>
          </w:rPr>
          <w:fldChar w:fldCharType="begin"/>
        </w:r>
        <w:r w:rsidR="002E338A">
          <w:rPr>
            <w:noProof/>
            <w:webHidden/>
          </w:rPr>
          <w:instrText xml:space="preserve"> PAGEREF _Toc433035547 \h </w:instrText>
        </w:r>
        <w:r w:rsidR="002E338A">
          <w:rPr>
            <w:noProof/>
            <w:webHidden/>
          </w:rPr>
        </w:r>
        <w:r w:rsidR="002E338A">
          <w:rPr>
            <w:noProof/>
            <w:webHidden/>
          </w:rPr>
          <w:fldChar w:fldCharType="separate"/>
        </w:r>
        <w:r>
          <w:rPr>
            <w:noProof/>
            <w:webHidden/>
          </w:rPr>
          <w:t>5</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48" w:history="1">
        <w:r w:rsidR="002E338A" w:rsidRPr="007260E3">
          <w:rPr>
            <w:rStyle w:val="Hyperlink"/>
            <w:noProof/>
          </w:rPr>
          <w:t>3.1</w:t>
        </w:r>
        <w:r w:rsidR="002E338A">
          <w:rPr>
            <w:rFonts w:asciiTheme="minorHAnsi" w:eastAsiaTheme="minorEastAsia" w:hAnsiTheme="minorHAnsi" w:cstheme="minorBidi"/>
            <w:noProof/>
            <w:lang w:eastAsia="en-AU"/>
          </w:rPr>
          <w:tab/>
        </w:r>
        <w:r w:rsidR="002E338A" w:rsidRPr="007260E3">
          <w:rPr>
            <w:rStyle w:val="Hyperlink"/>
            <w:noProof/>
          </w:rPr>
          <w:t>Determining the cost base</w:t>
        </w:r>
        <w:r w:rsidR="002E338A">
          <w:rPr>
            <w:noProof/>
            <w:webHidden/>
          </w:rPr>
          <w:tab/>
        </w:r>
        <w:r w:rsidR="002E338A">
          <w:rPr>
            <w:noProof/>
            <w:webHidden/>
          </w:rPr>
          <w:fldChar w:fldCharType="begin"/>
        </w:r>
        <w:r w:rsidR="002E338A">
          <w:rPr>
            <w:noProof/>
            <w:webHidden/>
          </w:rPr>
          <w:instrText xml:space="preserve"> PAGEREF _Toc433035548 \h </w:instrText>
        </w:r>
        <w:r w:rsidR="002E338A">
          <w:rPr>
            <w:noProof/>
            <w:webHidden/>
          </w:rPr>
        </w:r>
        <w:r w:rsidR="002E338A">
          <w:rPr>
            <w:noProof/>
            <w:webHidden/>
          </w:rPr>
          <w:fldChar w:fldCharType="separate"/>
        </w:r>
        <w:r>
          <w:rPr>
            <w:noProof/>
            <w:webHidden/>
          </w:rPr>
          <w:t>5</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49" w:history="1">
        <w:r w:rsidR="002E338A" w:rsidRPr="007260E3">
          <w:rPr>
            <w:rStyle w:val="Hyperlink"/>
            <w:noProof/>
          </w:rPr>
          <w:t>3.2</w:t>
        </w:r>
        <w:r w:rsidR="002E338A">
          <w:rPr>
            <w:rFonts w:asciiTheme="minorHAnsi" w:eastAsiaTheme="minorEastAsia" w:hAnsiTheme="minorHAnsi" w:cstheme="minorBidi"/>
            <w:noProof/>
            <w:lang w:eastAsia="en-AU"/>
          </w:rPr>
          <w:tab/>
        </w:r>
        <w:r w:rsidR="002E338A" w:rsidRPr="007260E3">
          <w:rPr>
            <w:rStyle w:val="Hyperlink"/>
            <w:noProof/>
          </w:rPr>
          <w:t>Activity-based cost model</w:t>
        </w:r>
        <w:r w:rsidR="002E338A">
          <w:rPr>
            <w:noProof/>
            <w:webHidden/>
          </w:rPr>
          <w:tab/>
        </w:r>
        <w:r w:rsidR="002E338A">
          <w:rPr>
            <w:noProof/>
            <w:webHidden/>
          </w:rPr>
          <w:fldChar w:fldCharType="begin"/>
        </w:r>
        <w:r w:rsidR="002E338A">
          <w:rPr>
            <w:noProof/>
            <w:webHidden/>
          </w:rPr>
          <w:instrText xml:space="preserve"> PAGEREF _Toc433035549 \h </w:instrText>
        </w:r>
        <w:r w:rsidR="002E338A">
          <w:rPr>
            <w:noProof/>
            <w:webHidden/>
          </w:rPr>
        </w:r>
        <w:r w:rsidR="002E338A">
          <w:rPr>
            <w:noProof/>
            <w:webHidden/>
          </w:rPr>
          <w:fldChar w:fldCharType="separate"/>
        </w:r>
        <w:r>
          <w:rPr>
            <w:noProof/>
            <w:webHidden/>
          </w:rPr>
          <w:t>5</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50" w:history="1">
        <w:r w:rsidR="002E338A" w:rsidRPr="007260E3">
          <w:rPr>
            <w:rStyle w:val="Hyperlink"/>
            <w:noProof/>
          </w:rPr>
          <w:t>3.3</w:t>
        </w:r>
        <w:r w:rsidR="002E338A">
          <w:rPr>
            <w:rFonts w:asciiTheme="minorHAnsi" w:eastAsiaTheme="minorEastAsia" w:hAnsiTheme="minorHAnsi" w:cstheme="minorBidi"/>
            <w:noProof/>
            <w:lang w:eastAsia="en-AU"/>
          </w:rPr>
          <w:tab/>
        </w:r>
        <w:r w:rsidR="002E338A" w:rsidRPr="007260E3">
          <w:rPr>
            <w:rStyle w:val="Hyperlink"/>
            <w:noProof/>
          </w:rPr>
          <w:t>Activities undertaken for plant exports cost recovery arrangement</w:t>
        </w:r>
        <w:r w:rsidR="002E338A">
          <w:rPr>
            <w:noProof/>
            <w:webHidden/>
          </w:rPr>
          <w:tab/>
        </w:r>
        <w:r w:rsidR="002E338A">
          <w:rPr>
            <w:noProof/>
            <w:webHidden/>
          </w:rPr>
          <w:fldChar w:fldCharType="begin"/>
        </w:r>
        <w:r w:rsidR="002E338A">
          <w:rPr>
            <w:noProof/>
            <w:webHidden/>
          </w:rPr>
          <w:instrText xml:space="preserve"> PAGEREF _Toc433035550 \h </w:instrText>
        </w:r>
        <w:r w:rsidR="002E338A">
          <w:rPr>
            <w:noProof/>
            <w:webHidden/>
          </w:rPr>
        </w:r>
        <w:r w:rsidR="002E338A">
          <w:rPr>
            <w:noProof/>
            <w:webHidden/>
          </w:rPr>
          <w:fldChar w:fldCharType="separate"/>
        </w:r>
        <w:r>
          <w:rPr>
            <w:noProof/>
            <w:webHidden/>
          </w:rPr>
          <w:t>6</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51" w:history="1">
        <w:r w:rsidR="002E338A" w:rsidRPr="007260E3">
          <w:rPr>
            <w:rStyle w:val="Hyperlink"/>
            <w:noProof/>
          </w:rPr>
          <w:t>3.4</w:t>
        </w:r>
        <w:r w:rsidR="002E338A">
          <w:rPr>
            <w:rFonts w:asciiTheme="minorHAnsi" w:eastAsiaTheme="minorEastAsia" w:hAnsiTheme="minorHAnsi" w:cstheme="minorBidi"/>
            <w:noProof/>
            <w:lang w:eastAsia="en-AU"/>
          </w:rPr>
          <w:tab/>
        </w:r>
        <w:r w:rsidR="002E338A" w:rsidRPr="007260E3">
          <w:rPr>
            <w:rStyle w:val="Hyperlink"/>
            <w:noProof/>
          </w:rPr>
          <w:t>Volumetric forecasts</w:t>
        </w:r>
        <w:r w:rsidR="002E338A">
          <w:rPr>
            <w:noProof/>
            <w:webHidden/>
          </w:rPr>
          <w:tab/>
        </w:r>
        <w:r w:rsidR="002E338A">
          <w:rPr>
            <w:noProof/>
            <w:webHidden/>
          </w:rPr>
          <w:fldChar w:fldCharType="begin"/>
        </w:r>
        <w:r w:rsidR="002E338A">
          <w:rPr>
            <w:noProof/>
            <w:webHidden/>
          </w:rPr>
          <w:instrText xml:space="preserve"> PAGEREF _Toc433035551 \h </w:instrText>
        </w:r>
        <w:r w:rsidR="002E338A">
          <w:rPr>
            <w:noProof/>
            <w:webHidden/>
          </w:rPr>
        </w:r>
        <w:r w:rsidR="002E338A">
          <w:rPr>
            <w:noProof/>
            <w:webHidden/>
          </w:rPr>
          <w:fldChar w:fldCharType="separate"/>
        </w:r>
        <w:r>
          <w:rPr>
            <w:noProof/>
            <w:webHidden/>
          </w:rPr>
          <w:t>6</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52" w:history="1">
        <w:r w:rsidR="002E338A" w:rsidRPr="007260E3">
          <w:rPr>
            <w:rStyle w:val="Hyperlink"/>
            <w:noProof/>
          </w:rPr>
          <w:t>3.5</w:t>
        </w:r>
        <w:r w:rsidR="002E338A">
          <w:rPr>
            <w:rFonts w:asciiTheme="minorHAnsi" w:eastAsiaTheme="minorEastAsia" w:hAnsiTheme="minorHAnsi" w:cstheme="minorBidi"/>
            <w:noProof/>
            <w:lang w:eastAsia="en-AU"/>
          </w:rPr>
          <w:tab/>
        </w:r>
        <w:r w:rsidR="002E338A" w:rsidRPr="007260E3">
          <w:rPr>
            <w:rStyle w:val="Hyperlink"/>
            <w:noProof/>
          </w:rPr>
          <w:t>Cost recovery reserve</w:t>
        </w:r>
        <w:r w:rsidR="002E338A">
          <w:rPr>
            <w:noProof/>
            <w:webHidden/>
          </w:rPr>
          <w:tab/>
        </w:r>
        <w:r w:rsidR="002E338A">
          <w:rPr>
            <w:noProof/>
            <w:webHidden/>
          </w:rPr>
          <w:fldChar w:fldCharType="begin"/>
        </w:r>
        <w:r w:rsidR="002E338A">
          <w:rPr>
            <w:noProof/>
            <w:webHidden/>
          </w:rPr>
          <w:instrText xml:space="preserve"> PAGEREF _Toc433035552 \h </w:instrText>
        </w:r>
        <w:r w:rsidR="002E338A">
          <w:rPr>
            <w:noProof/>
            <w:webHidden/>
          </w:rPr>
        </w:r>
        <w:r w:rsidR="002E338A">
          <w:rPr>
            <w:noProof/>
            <w:webHidden/>
          </w:rPr>
          <w:fldChar w:fldCharType="separate"/>
        </w:r>
        <w:r>
          <w:rPr>
            <w:noProof/>
            <w:webHidden/>
          </w:rPr>
          <w:t>7</w:t>
        </w:r>
        <w:r w:rsidR="002E338A">
          <w:rPr>
            <w:noProof/>
            <w:webHidden/>
          </w:rPr>
          <w:fldChar w:fldCharType="end"/>
        </w:r>
      </w:hyperlink>
    </w:p>
    <w:p w:rsidR="002E338A" w:rsidRDefault="0058767D">
      <w:pPr>
        <w:pStyle w:val="TOC1"/>
        <w:tabs>
          <w:tab w:val="left" w:pos="480"/>
        </w:tabs>
        <w:rPr>
          <w:rFonts w:asciiTheme="minorHAnsi" w:eastAsiaTheme="minorEastAsia" w:hAnsiTheme="minorHAnsi" w:cstheme="minorBidi"/>
          <w:noProof/>
          <w:lang w:eastAsia="en-AU"/>
        </w:rPr>
      </w:pPr>
      <w:hyperlink w:anchor="_Toc433035553" w:history="1">
        <w:r w:rsidR="002E338A" w:rsidRPr="007260E3">
          <w:rPr>
            <w:rStyle w:val="Hyperlink"/>
            <w:noProof/>
          </w:rPr>
          <w:t>4</w:t>
        </w:r>
        <w:r w:rsidR="002E338A">
          <w:rPr>
            <w:rFonts w:asciiTheme="minorHAnsi" w:eastAsiaTheme="minorEastAsia" w:hAnsiTheme="minorHAnsi" w:cstheme="minorBidi"/>
            <w:noProof/>
            <w:lang w:eastAsia="en-AU"/>
          </w:rPr>
          <w:tab/>
        </w:r>
        <w:r w:rsidR="002E338A" w:rsidRPr="007260E3">
          <w:rPr>
            <w:rStyle w:val="Hyperlink"/>
            <w:noProof/>
          </w:rPr>
          <w:t>Risk Management</w:t>
        </w:r>
        <w:r w:rsidR="002E338A">
          <w:rPr>
            <w:noProof/>
            <w:webHidden/>
          </w:rPr>
          <w:tab/>
        </w:r>
        <w:r w:rsidR="002E338A">
          <w:rPr>
            <w:noProof/>
            <w:webHidden/>
          </w:rPr>
          <w:fldChar w:fldCharType="begin"/>
        </w:r>
        <w:r w:rsidR="002E338A">
          <w:rPr>
            <w:noProof/>
            <w:webHidden/>
          </w:rPr>
          <w:instrText xml:space="preserve"> PAGEREF _Toc433035553 \h </w:instrText>
        </w:r>
        <w:r w:rsidR="002E338A">
          <w:rPr>
            <w:noProof/>
            <w:webHidden/>
          </w:rPr>
        </w:r>
        <w:r w:rsidR="002E338A">
          <w:rPr>
            <w:noProof/>
            <w:webHidden/>
          </w:rPr>
          <w:fldChar w:fldCharType="separate"/>
        </w:r>
        <w:r>
          <w:rPr>
            <w:noProof/>
            <w:webHidden/>
          </w:rPr>
          <w:t>8</w:t>
        </w:r>
        <w:r w:rsidR="002E338A">
          <w:rPr>
            <w:noProof/>
            <w:webHidden/>
          </w:rPr>
          <w:fldChar w:fldCharType="end"/>
        </w:r>
      </w:hyperlink>
    </w:p>
    <w:p w:rsidR="002E338A" w:rsidRDefault="0058767D">
      <w:pPr>
        <w:pStyle w:val="TOC1"/>
        <w:tabs>
          <w:tab w:val="left" w:pos="480"/>
        </w:tabs>
        <w:rPr>
          <w:rFonts w:asciiTheme="minorHAnsi" w:eastAsiaTheme="minorEastAsia" w:hAnsiTheme="minorHAnsi" w:cstheme="minorBidi"/>
          <w:noProof/>
          <w:lang w:eastAsia="en-AU"/>
        </w:rPr>
      </w:pPr>
      <w:hyperlink w:anchor="_Toc433035554" w:history="1">
        <w:r w:rsidR="002E338A" w:rsidRPr="007260E3">
          <w:rPr>
            <w:rStyle w:val="Hyperlink"/>
            <w:noProof/>
          </w:rPr>
          <w:t>5</w:t>
        </w:r>
        <w:r w:rsidR="002E338A">
          <w:rPr>
            <w:rFonts w:asciiTheme="minorHAnsi" w:eastAsiaTheme="minorEastAsia" w:hAnsiTheme="minorHAnsi" w:cstheme="minorBidi"/>
            <w:noProof/>
            <w:lang w:eastAsia="en-AU"/>
          </w:rPr>
          <w:tab/>
        </w:r>
        <w:r w:rsidR="002E338A" w:rsidRPr="007260E3">
          <w:rPr>
            <w:rStyle w:val="Hyperlink"/>
            <w:noProof/>
          </w:rPr>
          <w:t>Stakeholder engagement</w:t>
        </w:r>
        <w:r w:rsidR="002E338A">
          <w:rPr>
            <w:noProof/>
            <w:webHidden/>
          </w:rPr>
          <w:tab/>
        </w:r>
        <w:r w:rsidR="002E338A">
          <w:rPr>
            <w:noProof/>
            <w:webHidden/>
          </w:rPr>
          <w:fldChar w:fldCharType="begin"/>
        </w:r>
        <w:r w:rsidR="002E338A">
          <w:rPr>
            <w:noProof/>
            <w:webHidden/>
          </w:rPr>
          <w:instrText xml:space="preserve"> PAGEREF _Toc433035554 \h </w:instrText>
        </w:r>
        <w:r w:rsidR="002E338A">
          <w:rPr>
            <w:noProof/>
            <w:webHidden/>
          </w:rPr>
        </w:r>
        <w:r w:rsidR="002E338A">
          <w:rPr>
            <w:noProof/>
            <w:webHidden/>
          </w:rPr>
          <w:fldChar w:fldCharType="separate"/>
        </w:r>
        <w:r>
          <w:rPr>
            <w:noProof/>
            <w:webHidden/>
          </w:rPr>
          <w:t>8</w:t>
        </w:r>
        <w:r w:rsidR="002E338A">
          <w:rPr>
            <w:noProof/>
            <w:webHidden/>
          </w:rPr>
          <w:fldChar w:fldCharType="end"/>
        </w:r>
      </w:hyperlink>
    </w:p>
    <w:p w:rsidR="002E338A" w:rsidRDefault="0058767D">
      <w:pPr>
        <w:pStyle w:val="TOC1"/>
        <w:tabs>
          <w:tab w:val="left" w:pos="480"/>
        </w:tabs>
        <w:rPr>
          <w:rFonts w:asciiTheme="minorHAnsi" w:eastAsiaTheme="minorEastAsia" w:hAnsiTheme="minorHAnsi" w:cstheme="minorBidi"/>
          <w:noProof/>
          <w:lang w:eastAsia="en-AU"/>
        </w:rPr>
      </w:pPr>
      <w:hyperlink w:anchor="_Toc433035555" w:history="1">
        <w:r w:rsidR="002E338A" w:rsidRPr="007260E3">
          <w:rPr>
            <w:rStyle w:val="Hyperlink"/>
            <w:noProof/>
          </w:rPr>
          <w:t>6</w:t>
        </w:r>
        <w:r w:rsidR="002E338A">
          <w:rPr>
            <w:rFonts w:asciiTheme="minorHAnsi" w:eastAsiaTheme="minorEastAsia" w:hAnsiTheme="minorHAnsi" w:cstheme="minorBidi"/>
            <w:noProof/>
            <w:lang w:eastAsia="en-AU"/>
          </w:rPr>
          <w:tab/>
        </w:r>
        <w:r w:rsidR="002E338A" w:rsidRPr="007260E3">
          <w:rPr>
            <w:rStyle w:val="Hyperlink"/>
            <w:noProof/>
          </w:rPr>
          <w:t>Key dates and events</w:t>
        </w:r>
        <w:r w:rsidR="002E338A">
          <w:rPr>
            <w:noProof/>
            <w:webHidden/>
          </w:rPr>
          <w:tab/>
        </w:r>
        <w:r w:rsidR="002E338A">
          <w:rPr>
            <w:noProof/>
            <w:webHidden/>
          </w:rPr>
          <w:fldChar w:fldCharType="begin"/>
        </w:r>
        <w:r w:rsidR="002E338A">
          <w:rPr>
            <w:noProof/>
            <w:webHidden/>
          </w:rPr>
          <w:instrText xml:space="preserve"> PAGEREF _Toc433035555 \h </w:instrText>
        </w:r>
        <w:r w:rsidR="002E338A">
          <w:rPr>
            <w:noProof/>
            <w:webHidden/>
          </w:rPr>
        </w:r>
        <w:r w:rsidR="002E338A">
          <w:rPr>
            <w:noProof/>
            <w:webHidden/>
          </w:rPr>
          <w:fldChar w:fldCharType="separate"/>
        </w:r>
        <w:r>
          <w:rPr>
            <w:noProof/>
            <w:webHidden/>
          </w:rPr>
          <w:t>10</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56" w:history="1">
        <w:r w:rsidR="002E338A" w:rsidRPr="007260E3">
          <w:rPr>
            <w:rStyle w:val="Hyperlink"/>
            <w:noProof/>
          </w:rPr>
          <w:t>6.1</w:t>
        </w:r>
        <w:r w:rsidR="002E338A">
          <w:rPr>
            <w:rFonts w:asciiTheme="minorHAnsi" w:eastAsiaTheme="minorEastAsia" w:hAnsiTheme="minorHAnsi" w:cstheme="minorBidi"/>
            <w:noProof/>
            <w:lang w:eastAsia="en-AU"/>
          </w:rPr>
          <w:tab/>
        </w:r>
        <w:r w:rsidR="002E338A" w:rsidRPr="007260E3">
          <w:rPr>
            <w:rStyle w:val="Hyperlink"/>
            <w:noProof/>
          </w:rPr>
          <w:t>Consultation</w:t>
        </w:r>
        <w:r w:rsidR="002E338A">
          <w:rPr>
            <w:noProof/>
            <w:webHidden/>
          </w:rPr>
          <w:tab/>
        </w:r>
        <w:r w:rsidR="002E338A">
          <w:rPr>
            <w:noProof/>
            <w:webHidden/>
          </w:rPr>
          <w:fldChar w:fldCharType="begin"/>
        </w:r>
        <w:r w:rsidR="002E338A">
          <w:rPr>
            <w:noProof/>
            <w:webHidden/>
          </w:rPr>
          <w:instrText xml:space="preserve"> PAGEREF _Toc433035556 \h </w:instrText>
        </w:r>
        <w:r w:rsidR="002E338A">
          <w:rPr>
            <w:noProof/>
            <w:webHidden/>
          </w:rPr>
        </w:r>
        <w:r w:rsidR="002E338A">
          <w:rPr>
            <w:noProof/>
            <w:webHidden/>
          </w:rPr>
          <w:fldChar w:fldCharType="separate"/>
        </w:r>
        <w:r>
          <w:rPr>
            <w:noProof/>
            <w:webHidden/>
          </w:rPr>
          <w:t>10</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57" w:history="1">
        <w:r w:rsidR="002E338A" w:rsidRPr="007260E3">
          <w:rPr>
            <w:rStyle w:val="Hyperlink"/>
            <w:noProof/>
          </w:rPr>
          <w:t>6.2</w:t>
        </w:r>
        <w:r w:rsidR="002E338A">
          <w:rPr>
            <w:rFonts w:asciiTheme="minorHAnsi" w:eastAsiaTheme="minorEastAsia" w:hAnsiTheme="minorHAnsi" w:cstheme="minorBidi"/>
            <w:noProof/>
            <w:lang w:eastAsia="en-AU"/>
          </w:rPr>
          <w:tab/>
        </w:r>
        <w:r w:rsidR="002E338A" w:rsidRPr="007260E3">
          <w:rPr>
            <w:rStyle w:val="Hyperlink"/>
            <w:noProof/>
          </w:rPr>
          <w:t>CRIS approval process and change register</w:t>
        </w:r>
        <w:r w:rsidR="002E338A">
          <w:rPr>
            <w:noProof/>
            <w:webHidden/>
          </w:rPr>
          <w:tab/>
        </w:r>
        <w:r w:rsidR="002E338A">
          <w:rPr>
            <w:noProof/>
            <w:webHidden/>
          </w:rPr>
          <w:fldChar w:fldCharType="begin"/>
        </w:r>
        <w:r w:rsidR="002E338A">
          <w:rPr>
            <w:noProof/>
            <w:webHidden/>
          </w:rPr>
          <w:instrText xml:space="preserve"> PAGEREF _Toc433035557 \h </w:instrText>
        </w:r>
        <w:r w:rsidR="002E338A">
          <w:rPr>
            <w:noProof/>
            <w:webHidden/>
          </w:rPr>
        </w:r>
        <w:r w:rsidR="002E338A">
          <w:rPr>
            <w:noProof/>
            <w:webHidden/>
          </w:rPr>
          <w:fldChar w:fldCharType="separate"/>
        </w:r>
        <w:r>
          <w:rPr>
            <w:noProof/>
            <w:webHidden/>
          </w:rPr>
          <w:t>10</w:t>
        </w:r>
        <w:r w:rsidR="002E338A">
          <w:rPr>
            <w:noProof/>
            <w:webHidden/>
          </w:rPr>
          <w:fldChar w:fldCharType="end"/>
        </w:r>
      </w:hyperlink>
    </w:p>
    <w:p w:rsidR="002E338A" w:rsidRDefault="0058767D">
      <w:pPr>
        <w:pStyle w:val="TOC1"/>
        <w:rPr>
          <w:rFonts w:asciiTheme="minorHAnsi" w:eastAsiaTheme="minorEastAsia" w:hAnsiTheme="minorHAnsi" w:cstheme="minorBidi"/>
          <w:noProof/>
          <w:lang w:eastAsia="en-AU"/>
        </w:rPr>
      </w:pPr>
      <w:hyperlink w:anchor="_Toc433035558" w:history="1">
        <w:r w:rsidR="002E338A" w:rsidRPr="007260E3">
          <w:rPr>
            <w:rStyle w:val="Hyperlink"/>
            <w:noProof/>
          </w:rPr>
          <w:t>Attachment A — Grain exports (including seed products and forestry)</w:t>
        </w:r>
        <w:r w:rsidR="002E338A">
          <w:rPr>
            <w:noProof/>
            <w:webHidden/>
          </w:rPr>
          <w:tab/>
        </w:r>
        <w:r w:rsidR="002E338A">
          <w:rPr>
            <w:noProof/>
            <w:webHidden/>
          </w:rPr>
          <w:fldChar w:fldCharType="begin"/>
        </w:r>
        <w:r w:rsidR="002E338A">
          <w:rPr>
            <w:noProof/>
            <w:webHidden/>
          </w:rPr>
          <w:instrText xml:space="preserve"> PAGEREF _Toc433035558 \h </w:instrText>
        </w:r>
        <w:r w:rsidR="002E338A">
          <w:rPr>
            <w:noProof/>
            <w:webHidden/>
          </w:rPr>
        </w:r>
        <w:r w:rsidR="002E338A">
          <w:rPr>
            <w:noProof/>
            <w:webHidden/>
          </w:rPr>
          <w:fldChar w:fldCharType="separate"/>
        </w:r>
        <w:r>
          <w:rPr>
            <w:noProof/>
            <w:webHidden/>
          </w:rPr>
          <w:t>11</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59" w:history="1">
        <w:r w:rsidR="002E338A" w:rsidRPr="007260E3">
          <w:rPr>
            <w:rStyle w:val="Hyperlink"/>
            <w:noProof/>
          </w:rPr>
          <w:t>A.1</w:t>
        </w:r>
        <w:r w:rsidR="002E338A">
          <w:rPr>
            <w:rFonts w:asciiTheme="minorHAnsi" w:eastAsiaTheme="minorEastAsia" w:hAnsiTheme="minorHAnsi" w:cstheme="minorBidi"/>
            <w:noProof/>
            <w:lang w:eastAsia="en-AU"/>
          </w:rPr>
          <w:tab/>
        </w:r>
        <w:r w:rsidR="002E338A" w:rsidRPr="007260E3">
          <w:rPr>
            <w:rStyle w:val="Hyperlink"/>
            <w:noProof/>
          </w:rPr>
          <w:t>Design of cost recovered charges</w:t>
        </w:r>
        <w:r w:rsidR="002E338A">
          <w:rPr>
            <w:noProof/>
            <w:webHidden/>
          </w:rPr>
          <w:tab/>
        </w:r>
        <w:r w:rsidR="002E338A">
          <w:rPr>
            <w:noProof/>
            <w:webHidden/>
          </w:rPr>
          <w:fldChar w:fldCharType="begin"/>
        </w:r>
        <w:r w:rsidR="002E338A">
          <w:rPr>
            <w:noProof/>
            <w:webHidden/>
          </w:rPr>
          <w:instrText xml:space="preserve"> PAGEREF _Toc433035559 \h </w:instrText>
        </w:r>
        <w:r w:rsidR="002E338A">
          <w:rPr>
            <w:noProof/>
            <w:webHidden/>
          </w:rPr>
        </w:r>
        <w:r w:rsidR="002E338A">
          <w:rPr>
            <w:noProof/>
            <w:webHidden/>
          </w:rPr>
          <w:fldChar w:fldCharType="separate"/>
        </w:r>
        <w:r>
          <w:rPr>
            <w:noProof/>
            <w:webHidden/>
          </w:rPr>
          <w:t>11</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0" w:history="1">
        <w:r w:rsidR="002E338A" w:rsidRPr="007260E3">
          <w:rPr>
            <w:rStyle w:val="Hyperlink"/>
            <w:noProof/>
          </w:rPr>
          <w:t>A.2</w:t>
        </w:r>
        <w:r w:rsidR="002E338A">
          <w:rPr>
            <w:rFonts w:asciiTheme="minorHAnsi" w:eastAsiaTheme="minorEastAsia" w:hAnsiTheme="minorHAnsi" w:cstheme="minorBidi"/>
            <w:noProof/>
            <w:lang w:eastAsia="en-AU"/>
          </w:rPr>
          <w:tab/>
        </w:r>
        <w:r w:rsidR="002E338A" w:rsidRPr="007260E3">
          <w:rPr>
            <w:rStyle w:val="Hyperlink"/>
            <w:noProof/>
          </w:rPr>
          <w:t>Cost base</w:t>
        </w:r>
        <w:r w:rsidR="002E338A">
          <w:rPr>
            <w:noProof/>
            <w:webHidden/>
          </w:rPr>
          <w:tab/>
        </w:r>
        <w:r w:rsidR="002E338A">
          <w:rPr>
            <w:noProof/>
            <w:webHidden/>
          </w:rPr>
          <w:fldChar w:fldCharType="begin"/>
        </w:r>
        <w:r w:rsidR="002E338A">
          <w:rPr>
            <w:noProof/>
            <w:webHidden/>
          </w:rPr>
          <w:instrText xml:space="preserve"> PAGEREF _Toc433035560 \h </w:instrText>
        </w:r>
        <w:r w:rsidR="002E338A">
          <w:rPr>
            <w:noProof/>
            <w:webHidden/>
          </w:rPr>
        </w:r>
        <w:r w:rsidR="002E338A">
          <w:rPr>
            <w:noProof/>
            <w:webHidden/>
          </w:rPr>
          <w:fldChar w:fldCharType="separate"/>
        </w:r>
        <w:r>
          <w:rPr>
            <w:noProof/>
            <w:webHidden/>
          </w:rPr>
          <w:t>13</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1" w:history="1">
        <w:r w:rsidR="002E338A" w:rsidRPr="007260E3">
          <w:rPr>
            <w:rStyle w:val="Hyperlink"/>
            <w:noProof/>
          </w:rPr>
          <w:t>A.3</w:t>
        </w:r>
        <w:r w:rsidR="002E338A">
          <w:rPr>
            <w:rFonts w:asciiTheme="minorHAnsi" w:eastAsiaTheme="minorEastAsia" w:hAnsiTheme="minorHAnsi" w:cstheme="minorBidi"/>
            <w:noProof/>
            <w:lang w:eastAsia="en-AU"/>
          </w:rPr>
          <w:tab/>
        </w:r>
        <w:r w:rsidR="002E338A" w:rsidRPr="007260E3">
          <w:rPr>
            <w:rStyle w:val="Hyperlink"/>
            <w:noProof/>
          </w:rPr>
          <w:t>Financial estimates</w:t>
        </w:r>
        <w:r w:rsidR="002E338A">
          <w:rPr>
            <w:noProof/>
            <w:webHidden/>
          </w:rPr>
          <w:tab/>
        </w:r>
        <w:r w:rsidR="002E338A">
          <w:rPr>
            <w:noProof/>
            <w:webHidden/>
          </w:rPr>
          <w:fldChar w:fldCharType="begin"/>
        </w:r>
        <w:r w:rsidR="002E338A">
          <w:rPr>
            <w:noProof/>
            <w:webHidden/>
          </w:rPr>
          <w:instrText xml:space="preserve"> PAGEREF _Toc433035561 \h </w:instrText>
        </w:r>
        <w:r w:rsidR="002E338A">
          <w:rPr>
            <w:noProof/>
            <w:webHidden/>
          </w:rPr>
        </w:r>
        <w:r w:rsidR="002E338A">
          <w:rPr>
            <w:noProof/>
            <w:webHidden/>
          </w:rPr>
          <w:fldChar w:fldCharType="separate"/>
        </w:r>
        <w:r>
          <w:rPr>
            <w:noProof/>
            <w:webHidden/>
          </w:rPr>
          <w:t>14</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2" w:history="1">
        <w:r w:rsidR="002E338A" w:rsidRPr="007260E3">
          <w:rPr>
            <w:rStyle w:val="Hyperlink"/>
            <w:noProof/>
          </w:rPr>
          <w:t>A.4</w:t>
        </w:r>
        <w:r w:rsidR="002E338A">
          <w:rPr>
            <w:rFonts w:asciiTheme="minorHAnsi" w:eastAsiaTheme="minorEastAsia" w:hAnsiTheme="minorHAnsi" w:cstheme="minorBidi"/>
            <w:noProof/>
            <w:lang w:eastAsia="en-AU"/>
          </w:rPr>
          <w:tab/>
        </w:r>
        <w:r w:rsidR="002E338A" w:rsidRPr="007260E3">
          <w:rPr>
            <w:rStyle w:val="Hyperlink"/>
            <w:noProof/>
          </w:rPr>
          <w:t>Performance reporting</w:t>
        </w:r>
        <w:r w:rsidR="002E338A">
          <w:rPr>
            <w:noProof/>
            <w:webHidden/>
          </w:rPr>
          <w:tab/>
        </w:r>
        <w:r w:rsidR="002E338A">
          <w:rPr>
            <w:noProof/>
            <w:webHidden/>
          </w:rPr>
          <w:fldChar w:fldCharType="begin"/>
        </w:r>
        <w:r w:rsidR="002E338A">
          <w:rPr>
            <w:noProof/>
            <w:webHidden/>
          </w:rPr>
          <w:instrText xml:space="preserve"> PAGEREF _Toc433035562 \h </w:instrText>
        </w:r>
        <w:r w:rsidR="002E338A">
          <w:rPr>
            <w:noProof/>
            <w:webHidden/>
          </w:rPr>
        </w:r>
        <w:r w:rsidR="002E338A">
          <w:rPr>
            <w:noProof/>
            <w:webHidden/>
          </w:rPr>
          <w:fldChar w:fldCharType="separate"/>
        </w:r>
        <w:r>
          <w:rPr>
            <w:noProof/>
            <w:webHidden/>
          </w:rPr>
          <w:t>15</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3" w:history="1">
        <w:r w:rsidR="002E338A" w:rsidRPr="007260E3">
          <w:rPr>
            <w:rStyle w:val="Hyperlink"/>
            <w:noProof/>
          </w:rPr>
          <w:t>A.5</w:t>
        </w:r>
        <w:r w:rsidR="002E338A">
          <w:rPr>
            <w:rFonts w:asciiTheme="minorHAnsi" w:eastAsiaTheme="minorEastAsia" w:hAnsiTheme="minorHAnsi" w:cstheme="minorBidi"/>
            <w:noProof/>
            <w:lang w:eastAsia="en-AU"/>
          </w:rPr>
          <w:tab/>
        </w:r>
        <w:r w:rsidR="002E338A" w:rsidRPr="007260E3">
          <w:rPr>
            <w:rStyle w:val="Hyperlink"/>
            <w:noProof/>
          </w:rPr>
          <w:t>Grain export stakeholder engagement</w:t>
        </w:r>
        <w:r w:rsidR="002E338A">
          <w:rPr>
            <w:noProof/>
            <w:webHidden/>
          </w:rPr>
          <w:tab/>
        </w:r>
        <w:r w:rsidR="002E338A">
          <w:rPr>
            <w:noProof/>
            <w:webHidden/>
          </w:rPr>
          <w:fldChar w:fldCharType="begin"/>
        </w:r>
        <w:r w:rsidR="002E338A">
          <w:rPr>
            <w:noProof/>
            <w:webHidden/>
          </w:rPr>
          <w:instrText xml:space="preserve"> PAGEREF _Toc433035563 \h </w:instrText>
        </w:r>
        <w:r w:rsidR="002E338A">
          <w:rPr>
            <w:noProof/>
            <w:webHidden/>
          </w:rPr>
        </w:r>
        <w:r w:rsidR="002E338A">
          <w:rPr>
            <w:noProof/>
            <w:webHidden/>
          </w:rPr>
          <w:fldChar w:fldCharType="separate"/>
        </w:r>
        <w:r>
          <w:rPr>
            <w:noProof/>
            <w:webHidden/>
          </w:rPr>
          <w:t>16</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4" w:history="1">
        <w:r w:rsidR="002E338A" w:rsidRPr="007260E3">
          <w:rPr>
            <w:rStyle w:val="Hyperlink"/>
            <w:noProof/>
          </w:rPr>
          <w:t>A.6</w:t>
        </w:r>
        <w:r w:rsidR="002E338A">
          <w:rPr>
            <w:rFonts w:asciiTheme="minorHAnsi" w:eastAsiaTheme="minorEastAsia" w:hAnsiTheme="minorHAnsi" w:cstheme="minorBidi"/>
            <w:noProof/>
            <w:lang w:eastAsia="en-AU"/>
          </w:rPr>
          <w:tab/>
        </w:r>
        <w:r w:rsidR="002E338A" w:rsidRPr="007260E3">
          <w:rPr>
            <w:rStyle w:val="Hyperlink"/>
            <w:noProof/>
          </w:rPr>
          <w:t>Grain export fees and levies</w:t>
        </w:r>
        <w:r w:rsidR="002E338A">
          <w:rPr>
            <w:noProof/>
            <w:webHidden/>
          </w:rPr>
          <w:tab/>
        </w:r>
        <w:r w:rsidR="002E338A">
          <w:rPr>
            <w:noProof/>
            <w:webHidden/>
          </w:rPr>
          <w:fldChar w:fldCharType="begin"/>
        </w:r>
        <w:r w:rsidR="002E338A">
          <w:rPr>
            <w:noProof/>
            <w:webHidden/>
          </w:rPr>
          <w:instrText xml:space="preserve"> PAGEREF _Toc433035564 \h </w:instrText>
        </w:r>
        <w:r w:rsidR="002E338A">
          <w:rPr>
            <w:noProof/>
            <w:webHidden/>
          </w:rPr>
        </w:r>
        <w:r w:rsidR="002E338A">
          <w:rPr>
            <w:noProof/>
            <w:webHidden/>
          </w:rPr>
          <w:fldChar w:fldCharType="separate"/>
        </w:r>
        <w:r>
          <w:rPr>
            <w:noProof/>
            <w:webHidden/>
          </w:rPr>
          <w:t>17</w:t>
        </w:r>
        <w:r w:rsidR="002E338A">
          <w:rPr>
            <w:noProof/>
            <w:webHidden/>
          </w:rPr>
          <w:fldChar w:fldCharType="end"/>
        </w:r>
      </w:hyperlink>
    </w:p>
    <w:p w:rsidR="002E338A" w:rsidRDefault="0058767D">
      <w:pPr>
        <w:pStyle w:val="TOC1"/>
        <w:rPr>
          <w:rFonts w:asciiTheme="minorHAnsi" w:eastAsiaTheme="minorEastAsia" w:hAnsiTheme="minorHAnsi" w:cstheme="minorBidi"/>
          <w:noProof/>
          <w:lang w:eastAsia="en-AU"/>
        </w:rPr>
      </w:pPr>
      <w:hyperlink w:anchor="_Toc433035565" w:history="1">
        <w:r w:rsidR="002E338A" w:rsidRPr="007260E3">
          <w:rPr>
            <w:rStyle w:val="Hyperlink"/>
            <w:noProof/>
          </w:rPr>
          <w:t>Attachment B — Horticulture exports</w:t>
        </w:r>
        <w:r w:rsidR="002E338A">
          <w:rPr>
            <w:noProof/>
            <w:webHidden/>
          </w:rPr>
          <w:tab/>
        </w:r>
        <w:r w:rsidR="002E338A">
          <w:rPr>
            <w:noProof/>
            <w:webHidden/>
          </w:rPr>
          <w:fldChar w:fldCharType="begin"/>
        </w:r>
        <w:r w:rsidR="002E338A">
          <w:rPr>
            <w:noProof/>
            <w:webHidden/>
          </w:rPr>
          <w:instrText xml:space="preserve"> PAGEREF _Toc433035565 \h </w:instrText>
        </w:r>
        <w:r w:rsidR="002E338A">
          <w:rPr>
            <w:noProof/>
            <w:webHidden/>
          </w:rPr>
        </w:r>
        <w:r w:rsidR="002E338A">
          <w:rPr>
            <w:noProof/>
            <w:webHidden/>
          </w:rPr>
          <w:fldChar w:fldCharType="separate"/>
        </w:r>
        <w:r>
          <w:rPr>
            <w:noProof/>
            <w:webHidden/>
          </w:rPr>
          <w:t>22</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6" w:history="1">
        <w:r w:rsidR="002E338A" w:rsidRPr="007260E3">
          <w:rPr>
            <w:rStyle w:val="Hyperlink"/>
            <w:noProof/>
          </w:rPr>
          <w:t>B.1</w:t>
        </w:r>
        <w:r w:rsidR="002E338A">
          <w:rPr>
            <w:rFonts w:asciiTheme="minorHAnsi" w:eastAsiaTheme="minorEastAsia" w:hAnsiTheme="minorHAnsi" w:cstheme="minorBidi"/>
            <w:noProof/>
            <w:lang w:eastAsia="en-AU"/>
          </w:rPr>
          <w:tab/>
        </w:r>
        <w:r w:rsidR="002E338A" w:rsidRPr="007260E3">
          <w:rPr>
            <w:rStyle w:val="Hyperlink"/>
            <w:noProof/>
          </w:rPr>
          <w:t>Design of cost recovered charges</w:t>
        </w:r>
        <w:r w:rsidR="002E338A">
          <w:rPr>
            <w:noProof/>
            <w:webHidden/>
          </w:rPr>
          <w:tab/>
        </w:r>
        <w:r w:rsidR="002E338A">
          <w:rPr>
            <w:noProof/>
            <w:webHidden/>
          </w:rPr>
          <w:fldChar w:fldCharType="begin"/>
        </w:r>
        <w:r w:rsidR="002E338A">
          <w:rPr>
            <w:noProof/>
            <w:webHidden/>
          </w:rPr>
          <w:instrText xml:space="preserve"> PAGEREF _Toc433035566 \h </w:instrText>
        </w:r>
        <w:r w:rsidR="002E338A">
          <w:rPr>
            <w:noProof/>
            <w:webHidden/>
          </w:rPr>
        </w:r>
        <w:r w:rsidR="002E338A">
          <w:rPr>
            <w:noProof/>
            <w:webHidden/>
          </w:rPr>
          <w:fldChar w:fldCharType="separate"/>
        </w:r>
        <w:r>
          <w:rPr>
            <w:noProof/>
            <w:webHidden/>
          </w:rPr>
          <w:t>22</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7" w:history="1">
        <w:r w:rsidR="002E338A" w:rsidRPr="007260E3">
          <w:rPr>
            <w:rStyle w:val="Hyperlink"/>
            <w:noProof/>
          </w:rPr>
          <w:t>B.2</w:t>
        </w:r>
        <w:r w:rsidR="002E338A">
          <w:rPr>
            <w:rFonts w:asciiTheme="minorHAnsi" w:eastAsiaTheme="minorEastAsia" w:hAnsiTheme="minorHAnsi" w:cstheme="minorBidi"/>
            <w:noProof/>
            <w:lang w:eastAsia="en-AU"/>
          </w:rPr>
          <w:tab/>
        </w:r>
        <w:r w:rsidR="002E338A" w:rsidRPr="007260E3">
          <w:rPr>
            <w:rStyle w:val="Hyperlink"/>
            <w:noProof/>
          </w:rPr>
          <w:t>Cost base</w:t>
        </w:r>
        <w:r w:rsidR="002E338A">
          <w:rPr>
            <w:noProof/>
            <w:webHidden/>
          </w:rPr>
          <w:tab/>
        </w:r>
        <w:r w:rsidR="002E338A">
          <w:rPr>
            <w:noProof/>
            <w:webHidden/>
          </w:rPr>
          <w:fldChar w:fldCharType="begin"/>
        </w:r>
        <w:r w:rsidR="002E338A">
          <w:rPr>
            <w:noProof/>
            <w:webHidden/>
          </w:rPr>
          <w:instrText xml:space="preserve"> PAGEREF _Toc433035567 \h </w:instrText>
        </w:r>
        <w:r w:rsidR="002E338A">
          <w:rPr>
            <w:noProof/>
            <w:webHidden/>
          </w:rPr>
        </w:r>
        <w:r w:rsidR="002E338A">
          <w:rPr>
            <w:noProof/>
            <w:webHidden/>
          </w:rPr>
          <w:fldChar w:fldCharType="separate"/>
        </w:r>
        <w:r>
          <w:rPr>
            <w:noProof/>
            <w:webHidden/>
          </w:rPr>
          <w:t>23</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8" w:history="1">
        <w:r w:rsidR="002E338A" w:rsidRPr="007260E3">
          <w:rPr>
            <w:rStyle w:val="Hyperlink"/>
            <w:noProof/>
          </w:rPr>
          <w:t>B.3</w:t>
        </w:r>
        <w:r w:rsidR="002E338A">
          <w:rPr>
            <w:rFonts w:asciiTheme="minorHAnsi" w:eastAsiaTheme="minorEastAsia" w:hAnsiTheme="minorHAnsi" w:cstheme="minorBidi"/>
            <w:noProof/>
            <w:lang w:eastAsia="en-AU"/>
          </w:rPr>
          <w:tab/>
        </w:r>
        <w:r w:rsidR="002E338A" w:rsidRPr="007260E3">
          <w:rPr>
            <w:rStyle w:val="Hyperlink"/>
            <w:noProof/>
          </w:rPr>
          <w:t>Financial estimates</w:t>
        </w:r>
        <w:r w:rsidR="002E338A">
          <w:rPr>
            <w:noProof/>
            <w:webHidden/>
          </w:rPr>
          <w:tab/>
        </w:r>
        <w:r w:rsidR="002E338A">
          <w:rPr>
            <w:noProof/>
            <w:webHidden/>
          </w:rPr>
          <w:fldChar w:fldCharType="begin"/>
        </w:r>
        <w:r w:rsidR="002E338A">
          <w:rPr>
            <w:noProof/>
            <w:webHidden/>
          </w:rPr>
          <w:instrText xml:space="preserve"> PAGEREF _Toc433035568 \h </w:instrText>
        </w:r>
        <w:r w:rsidR="002E338A">
          <w:rPr>
            <w:noProof/>
            <w:webHidden/>
          </w:rPr>
        </w:r>
        <w:r w:rsidR="002E338A">
          <w:rPr>
            <w:noProof/>
            <w:webHidden/>
          </w:rPr>
          <w:fldChar w:fldCharType="separate"/>
        </w:r>
        <w:r>
          <w:rPr>
            <w:noProof/>
            <w:webHidden/>
          </w:rPr>
          <w:t>25</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69" w:history="1">
        <w:r w:rsidR="002E338A" w:rsidRPr="007260E3">
          <w:rPr>
            <w:rStyle w:val="Hyperlink"/>
            <w:noProof/>
          </w:rPr>
          <w:t>B.4</w:t>
        </w:r>
        <w:r w:rsidR="002E338A">
          <w:rPr>
            <w:rFonts w:asciiTheme="minorHAnsi" w:eastAsiaTheme="minorEastAsia" w:hAnsiTheme="minorHAnsi" w:cstheme="minorBidi"/>
            <w:noProof/>
            <w:lang w:eastAsia="en-AU"/>
          </w:rPr>
          <w:tab/>
        </w:r>
        <w:r w:rsidR="002E338A" w:rsidRPr="007260E3">
          <w:rPr>
            <w:rStyle w:val="Hyperlink"/>
            <w:noProof/>
          </w:rPr>
          <w:t>Performance reporting</w:t>
        </w:r>
        <w:r w:rsidR="002E338A">
          <w:rPr>
            <w:noProof/>
            <w:webHidden/>
          </w:rPr>
          <w:tab/>
        </w:r>
        <w:r w:rsidR="002E338A">
          <w:rPr>
            <w:noProof/>
            <w:webHidden/>
          </w:rPr>
          <w:fldChar w:fldCharType="begin"/>
        </w:r>
        <w:r w:rsidR="002E338A">
          <w:rPr>
            <w:noProof/>
            <w:webHidden/>
          </w:rPr>
          <w:instrText xml:space="preserve"> PAGEREF _Toc433035569 \h </w:instrText>
        </w:r>
        <w:r w:rsidR="002E338A">
          <w:rPr>
            <w:noProof/>
            <w:webHidden/>
          </w:rPr>
        </w:r>
        <w:r w:rsidR="002E338A">
          <w:rPr>
            <w:noProof/>
            <w:webHidden/>
          </w:rPr>
          <w:fldChar w:fldCharType="separate"/>
        </w:r>
        <w:r>
          <w:rPr>
            <w:noProof/>
            <w:webHidden/>
          </w:rPr>
          <w:t>26</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70" w:history="1">
        <w:r w:rsidR="002E338A" w:rsidRPr="007260E3">
          <w:rPr>
            <w:rStyle w:val="Hyperlink"/>
            <w:noProof/>
          </w:rPr>
          <w:t>B.5</w:t>
        </w:r>
        <w:r w:rsidR="002E338A">
          <w:rPr>
            <w:rFonts w:asciiTheme="minorHAnsi" w:eastAsiaTheme="minorEastAsia" w:hAnsiTheme="minorHAnsi" w:cstheme="minorBidi"/>
            <w:noProof/>
            <w:lang w:eastAsia="en-AU"/>
          </w:rPr>
          <w:tab/>
        </w:r>
        <w:r w:rsidR="002E338A" w:rsidRPr="007260E3">
          <w:rPr>
            <w:rStyle w:val="Hyperlink"/>
            <w:noProof/>
          </w:rPr>
          <w:t>Horticulture exports stakeholder engagement</w:t>
        </w:r>
        <w:r w:rsidR="002E338A">
          <w:rPr>
            <w:noProof/>
            <w:webHidden/>
          </w:rPr>
          <w:tab/>
        </w:r>
        <w:r w:rsidR="002E338A">
          <w:rPr>
            <w:noProof/>
            <w:webHidden/>
          </w:rPr>
          <w:fldChar w:fldCharType="begin"/>
        </w:r>
        <w:r w:rsidR="002E338A">
          <w:rPr>
            <w:noProof/>
            <w:webHidden/>
          </w:rPr>
          <w:instrText xml:space="preserve"> PAGEREF _Toc433035570 \h </w:instrText>
        </w:r>
        <w:r w:rsidR="002E338A">
          <w:rPr>
            <w:noProof/>
            <w:webHidden/>
          </w:rPr>
        </w:r>
        <w:r w:rsidR="002E338A">
          <w:rPr>
            <w:noProof/>
            <w:webHidden/>
          </w:rPr>
          <w:fldChar w:fldCharType="separate"/>
        </w:r>
        <w:r>
          <w:rPr>
            <w:noProof/>
            <w:webHidden/>
          </w:rPr>
          <w:t>27</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71" w:history="1">
        <w:r w:rsidR="002E338A" w:rsidRPr="007260E3">
          <w:rPr>
            <w:rStyle w:val="Hyperlink"/>
            <w:noProof/>
          </w:rPr>
          <w:t>B.6</w:t>
        </w:r>
        <w:r w:rsidR="002E338A">
          <w:rPr>
            <w:rFonts w:asciiTheme="minorHAnsi" w:eastAsiaTheme="minorEastAsia" w:hAnsiTheme="minorHAnsi" w:cstheme="minorBidi"/>
            <w:noProof/>
            <w:lang w:eastAsia="en-AU"/>
          </w:rPr>
          <w:tab/>
        </w:r>
        <w:r w:rsidR="002E338A" w:rsidRPr="007260E3">
          <w:rPr>
            <w:rStyle w:val="Hyperlink"/>
            <w:noProof/>
          </w:rPr>
          <w:t>Horticulture export fees and levies</w:t>
        </w:r>
        <w:r w:rsidR="002E338A">
          <w:rPr>
            <w:noProof/>
            <w:webHidden/>
          </w:rPr>
          <w:tab/>
        </w:r>
        <w:r w:rsidR="002E338A">
          <w:rPr>
            <w:noProof/>
            <w:webHidden/>
          </w:rPr>
          <w:fldChar w:fldCharType="begin"/>
        </w:r>
        <w:r w:rsidR="002E338A">
          <w:rPr>
            <w:noProof/>
            <w:webHidden/>
          </w:rPr>
          <w:instrText xml:space="preserve"> PAGEREF _Toc433035571 \h </w:instrText>
        </w:r>
        <w:r w:rsidR="002E338A">
          <w:rPr>
            <w:noProof/>
            <w:webHidden/>
          </w:rPr>
        </w:r>
        <w:r w:rsidR="002E338A">
          <w:rPr>
            <w:noProof/>
            <w:webHidden/>
          </w:rPr>
          <w:fldChar w:fldCharType="separate"/>
        </w:r>
        <w:r>
          <w:rPr>
            <w:noProof/>
            <w:webHidden/>
          </w:rPr>
          <w:t>28</w:t>
        </w:r>
        <w:r w:rsidR="002E338A">
          <w:rPr>
            <w:noProof/>
            <w:webHidden/>
          </w:rPr>
          <w:fldChar w:fldCharType="end"/>
        </w:r>
      </w:hyperlink>
    </w:p>
    <w:p w:rsidR="002E338A" w:rsidRDefault="0058767D">
      <w:pPr>
        <w:pStyle w:val="TOC1"/>
        <w:rPr>
          <w:rFonts w:asciiTheme="minorHAnsi" w:eastAsiaTheme="minorEastAsia" w:hAnsiTheme="minorHAnsi" w:cstheme="minorBidi"/>
          <w:noProof/>
          <w:lang w:eastAsia="en-AU"/>
        </w:rPr>
      </w:pPr>
      <w:hyperlink w:anchor="_Toc433035572" w:history="1">
        <w:r w:rsidR="002E338A" w:rsidRPr="007260E3">
          <w:rPr>
            <w:rStyle w:val="Hyperlink"/>
            <w:noProof/>
          </w:rPr>
          <w:t>Attachment C — Description of cost model activities</w:t>
        </w:r>
        <w:r w:rsidR="002E338A">
          <w:rPr>
            <w:noProof/>
            <w:webHidden/>
          </w:rPr>
          <w:tab/>
        </w:r>
        <w:r w:rsidR="002E338A">
          <w:rPr>
            <w:noProof/>
            <w:webHidden/>
          </w:rPr>
          <w:fldChar w:fldCharType="begin"/>
        </w:r>
        <w:r w:rsidR="002E338A">
          <w:rPr>
            <w:noProof/>
            <w:webHidden/>
          </w:rPr>
          <w:instrText xml:space="preserve"> PAGEREF _Toc433035572 \h </w:instrText>
        </w:r>
        <w:r w:rsidR="002E338A">
          <w:rPr>
            <w:noProof/>
            <w:webHidden/>
          </w:rPr>
        </w:r>
        <w:r w:rsidR="002E338A">
          <w:rPr>
            <w:noProof/>
            <w:webHidden/>
          </w:rPr>
          <w:fldChar w:fldCharType="separate"/>
        </w:r>
        <w:r>
          <w:rPr>
            <w:noProof/>
            <w:webHidden/>
          </w:rPr>
          <w:t>34</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73" w:history="1">
        <w:r w:rsidR="002E338A" w:rsidRPr="007260E3">
          <w:rPr>
            <w:rStyle w:val="Hyperlink"/>
            <w:noProof/>
          </w:rPr>
          <w:t>Intervention activities</w:t>
        </w:r>
        <w:r w:rsidR="002E338A">
          <w:rPr>
            <w:noProof/>
            <w:webHidden/>
          </w:rPr>
          <w:tab/>
        </w:r>
        <w:r w:rsidR="002E338A">
          <w:rPr>
            <w:noProof/>
            <w:webHidden/>
          </w:rPr>
          <w:fldChar w:fldCharType="begin"/>
        </w:r>
        <w:r w:rsidR="002E338A">
          <w:rPr>
            <w:noProof/>
            <w:webHidden/>
          </w:rPr>
          <w:instrText xml:space="preserve"> PAGEREF _Toc433035573 \h </w:instrText>
        </w:r>
        <w:r w:rsidR="002E338A">
          <w:rPr>
            <w:noProof/>
            <w:webHidden/>
          </w:rPr>
        </w:r>
        <w:r w:rsidR="002E338A">
          <w:rPr>
            <w:noProof/>
            <w:webHidden/>
          </w:rPr>
          <w:fldChar w:fldCharType="separate"/>
        </w:r>
        <w:r>
          <w:rPr>
            <w:noProof/>
            <w:webHidden/>
          </w:rPr>
          <w:t>34</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74" w:history="1">
        <w:r w:rsidR="002E338A" w:rsidRPr="007260E3">
          <w:rPr>
            <w:rStyle w:val="Hyperlink"/>
            <w:noProof/>
          </w:rPr>
          <w:t>Incident management activities</w:t>
        </w:r>
        <w:r w:rsidR="002E338A">
          <w:rPr>
            <w:noProof/>
            <w:webHidden/>
          </w:rPr>
          <w:tab/>
        </w:r>
        <w:r w:rsidR="002E338A">
          <w:rPr>
            <w:noProof/>
            <w:webHidden/>
          </w:rPr>
          <w:fldChar w:fldCharType="begin"/>
        </w:r>
        <w:r w:rsidR="002E338A">
          <w:rPr>
            <w:noProof/>
            <w:webHidden/>
          </w:rPr>
          <w:instrText xml:space="preserve"> PAGEREF _Toc433035574 \h </w:instrText>
        </w:r>
        <w:r w:rsidR="002E338A">
          <w:rPr>
            <w:noProof/>
            <w:webHidden/>
          </w:rPr>
        </w:r>
        <w:r w:rsidR="002E338A">
          <w:rPr>
            <w:noProof/>
            <w:webHidden/>
          </w:rPr>
          <w:fldChar w:fldCharType="separate"/>
        </w:r>
        <w:r>
          <w:rPr>
            <w:noProof/>
            <w:webHidden/>
          </w:rPr>
          <w:t>34</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75" w:history="1">
        <w:r w:rsidR="002E338A" w:rsidRPr="007260E3">
          <w:rPr>
            <w:rStyle w:val="Hyperlink"/>
            <w:noProof/>
          </w:rPr>
          <w:t>Assurance activities</w:t>
        </w:r>
        <w:r w:rsidR="002E338A">
          <w:rPr>
            <w:noProof/>
            <w:webHidden/>
          </w:rPr>
          <w:tab/>
        </w:r>
        <w:r w:rsidR="002E338A">
          <w:rPr>
            <w:noProof/>
            <w:webHidden/>
          </w:rPr>
          <w:fldChar w:fldCharType="begin"/>
        </w:r>
        <w:r w:rsidR="002E338A">
          <w:rPr>
            <w:noProof/>
            <w:webHidden/>
          </w:rPr>
          <w:instrText xml:space="preserve"> PAGEREF _Toc433035575 \h </w:instrText>
        </w:r>
        <w:r w:rsidR="002E338A">
          <w:rPr>
            <w:noProof/>
            <w:webHidden/>
          </w:rPr>
        </w:r>
        <w:r w:rsidR="002E338A">
          <w:rPr>
            <w:noProof/>
            <w:webHidden/>
          </w:rPr>
          <w:fldChar w:fldCharType="separate"/>
        </w:r>
        <w:r>
          <w:rPr>
            <w:noProof/>
            <w:webHidden/>
          </w:rPr>
          <w:t>34</w:t>
        </w:r>
        <w:r w:rsidR="002E338A">
          <w:rPr>
            <w:noProof/>
            <w:webHidden/>
          </w:rPr>
          <w:fldChar w:fldCharType="end"/>
        </w:r>
      </w:hyperlink>
    </w:p>
    <w:p w:rsidR="002E338A" w:rsidRDefault="0058767D" w:rsidP="001B3F49">
      <w:pPr>
        <w:pStyle w:val="TOC2"/>
        <w:rPr>
          <w:rFonts w:asciiTheme="minorHAnsi" w:eastAsiaTheme="minorEastAsia" w:hAnsiTheme="minorHAnsi" w:cstheme="minorBidi"/>
          <w:noProof/>
          <w:lang w:eastAsia="en-AU"/>
        </w:rPr>
      </w:pPr>
      <w:hyperlink w:anchor="_Toc433035576" w:history="1">
        <w:r w:rsidR="002E338A" w:rsidRPr="007260E3">
          <w:rPr>
            <w:rStyle w:val="Hyperlink"/>
            <w:noProof/>
          </w:rPr>
          <w:t>Programme management and administration activities</w:t>
        </w:r>
        <w:r w:rsidR="002E338A">
          <w:rPr>
            <w:noProof/>
            <w:webHidden/>
          </w:rPr>
          <w:tab/>
        </w:r>
        <w:r w:rsidR="002E338A">
          <w:rPr>
            <w:noProof/>
            <w:webHidden/>
          </w:rPr>
          <w:fldChar w:fldCharType="begin"/>
        </w:r>
        <w:r w:rsidR="002E338A">
          <w:rPr>
            <w:noProof/>
            <w:webHidden/>
          </w:rPr>
          <w:instrText xml:space="preserve"> PAGEREF _Toc433035576 \h </w:instrText>
        </w:r>
        <w:r w:rsidR="002E338A">
          <w:rPr>
            <w:noProof/>
            <w:webHidden/>
          </w:rPr>
        </w:r>
        <w:r w:rsidR="002E338A">
          <w:rPr>
            <w:noProof/>
            <w:webHidden/>
          </w:rPr>
          <w:fldChar w:fldCharType="separate"/>
        </w:r>
        <w:r>
          <w:rPr>
            <w:noProof/>
            <w:webHidden/>
          </w:rPr>
          <w:t>34</w:t>
        </w:r>
        <w:r w:rsidR="002E338A">
          <w:rPr>
            <w:noProof/>
            <w:webHidden/>
          </w:rPr>
          <w:fldChar w:fldCharType="end"/>
        </w:r>
      </w:hyperlink>
    </w:p>
    <w:p w:rsidR="00DC4FFD" w:rsidRDefault="00CB513A" w:rsidP="00CB513A">
      <w:pPr>
        <w:pStyle w:val="Heading2"/>
        <w:numPr>
          <w:ilvl w:val="0"/>
          <w:numId w:val="0"/>
        </w:numPr>
        <w:ind w:left="794" w:hanging="794"/>
      </w:pPr>
      <w:r>
        <w:lastRenderedPageBreak/>
        <w:fldChar w:fldCharType="end"/>
      </w:r>
      <w:bookmarkStart w:id="13" w:name="_Toc418859285"/>
      <w:bookmarkStart w:id="14" w:name="_Toc433035540"/>
      <w:r w:rsidR="00DC4FFD">
        <w:t>Glossary</w:t>
      </w:r>
      <w:bookmarkEnd w:id="13"/>
      <w:bookmarkEnd w:id="14"/>
    </w:p>
    <w:p w:rsidR="00DC4FFD" w:rsidRDefault="00DC4FFD">
      <w:pPr>
        <w:keepNext/>
        <w:keepLines/>
      </w:pPr>
      <w:r w:rsidRPr="00005932">
        <w:rPr>
          <w:rStyle w:val="Strong"/>
        </w:rPr>
        <w:t>Activity:</w:t>
      </w:r>
      <w:r>
        <w:rPr>
          <w:b/>
          <w:bCs/>
        </w:rPr>
        <w:t xml:space="preserve"> </w:t>
      </w:r>
      <w:r>
        <w:t>any measurable work undertaken by the department to enable exportation of goods. This includes activities, business processes and outputs as described in the Australian Government Cost Recovery Guidelines (CRGs).</w:t>
      </w:r>
    </w:p>
    <w:p w:rsidR="00DC4FFD" w:rsidRDefault="00DC4FFD">
      <w:pPr>
        <w:keepNext/>
        <w:keepLines/>
      </w:pPr>
      <w:r w:rsidRPr="00005932">
        <w:rPr>
          <w:rStyle w:val="Strong"/>
        </w:rPr>
        <w:t>Approved Authorised officers:</w:t>
      </w:r>
      <w:r>
        <w:t xml:space="preserve"> specially trained individuals who </w:t>
      </w:r>
      <w:proofErr w:type="gramStart"/>
      <w:r>
        <w:t>are appointed</w:t>
      </w:r>
      <w:proofErr w:type="gramEnd"/>
      <w:r>
        <w:t xml:space="preserve"> to perform specific export inspection functions in accordance with Australian export legislation.</w:t>
      </w:r>
    </w:p>
    <w:p w:rsidR="00DC4FFD" w:rsidRDefault="00DC4FFD">
      <w:pPr>
        <w:keepNext/>
        <w:keepLines/>
      </w:pPr>
      <w:r w:rsidRPr="00005932">
        <w:rPr>
          <w:rStyle w:val="Strong"/>
        </w:rPr>
        <w:t>Charge:</w:t>
      </w:r>
      <w:r>
        <w:rPr>
          <w:b/>
          <w:bCs/>
        </w:rPr>
        <w:t xml:space="preserve"> </w:t>
      </w:r>
      <w:r>
        <w:t xml:space="preserve">a fee or a levy that the department imposes to recover costs. In the CRGs, charges </w:t>
      </w:r>
      <w:proofErr w:type="gramStart"/>
      <w:r>
        <w:t>are referred</w:t>
      </w:r>
      <w:proofErr w:type="gramEnd"/>
      <w:r>
        <w:t xml:space="preserve"> to as cost recovery charges.</w:t>
      </w:r>
    </w:p>
    <w:p w:rsidR="00DC4FFD" w:rsidRDefault="00DC4FFD">
      <w:pPr>
        <w:keepNext/>
        <w:keepLines/>
      </w:pPr>
      <w:r w:rsidRPr="00005932">
        <w:rPr>
          <w:rStyle w:val="Strong"/>
        </w:rPr>
        <w:t>Fee:</w:t>
      </w:r>
      <w:r>
        <w:rPr>
          <w:b/>
          <w:bCs/>
        </w:rPr>
        <w:t xml:space="preserve"> </w:t>
      </w:r>
      <w:r>
        <w:t xml:space="preserve">a charge imposed when activities </w:t>
      </w:r>
      <w:proofErr w:type="gramStart"/>
      <w:r>
        <w:t>are provided</w:t>
      </w:r>
      <w:proofErr w:type="gramEnd"/>
      <w:r>
        <w:t xml:space="preserve"> directly to a specific individual or organisation. In the CRGs, fees </w:t>
      </w:r>
      <w:proofErr w:type="gramStart"/>
      <w:r>
        <w:t>are referred</w:t>
      </w:r>
      <w:proofErr w:type="gramEnd"/>
      <w:r>
        <w:t xml:space="preserve"> to as cost recovery fees.</w:t>
      </w:r>
    </w:p>
    <w:p w:rsidR="00DC4FFD" w:rsidRPr="00EB43DF" w:rsidRDefault="00DC4FFD" w:rsidP="00EB43DF">
      <w:r w:rsidRPr="00005932">
        <w:rPr>
          <w:rStyle w:val="Strong"/>
        </w:rPr>
        <w:t>Levy:</w:t>
      </w:r>
      <w:r>
        <w:t xml:space="preserve"> a charge imposed when activities </w:t>
      </w:r>
      <w:proofErr w:type="gramStart"/>
      <w:r>
        <w:t>are provided</w:t>
      </w:r>
      <w:proofErr w:type="gramEnd"/>
      <w:r>
        <w:t xml:space="preserve"> to a group of individuals or organisations (e.g. an industry sector) rather than to a specific individual or organisation. A levy is legally a taxation charge and needs to </w:t>
      </w:r>
      <w:proofErr w:type="gramStart"/>
      <w:r>
        <w:t>be imposed</w:t>
      </w:r>
      <w:proofErr w:type="gramEnd"/>
      <w:r>
        <w:t xml:space="preserve"> in a separate taxation </w:t>
      </w:r>
      <w:r w:rsidRPr="00EB43DF">
        <w:t xml:space="preserve">Act to comply with constitutional requirements. A levy differs from general taxation, as it </w:t>
      </w:r>
      <w:proofErr w:type="gramStart"/>
      <w:r w:rsidRPr="00EB43DF">
        <w:t>is earmarked</w:t>
      </w:r>
      <w:proofErr w:type="gramEnd"/>
      <w:r w:rsidRPr="00EB43DF">
        <w:t xml:space="preserve"> to fund activities provided to the group being charged. In the CRGs, levies </w:t>
      </w:r>
      <w:proofErr w:type="gramStart"/>
      <w:r w:rsidRPr="00EB43DF">
        <w:t>are referred</w:t>
      </w:r>
      <w:proofErr w:type="gramEnd"/>
      <w:r w:rsidRPr="00EB43DF">
        <w:t xml:space="preserve"> to as cost recovery levies.</w:t>
      </w:r>
    </w:p>
    <w:p w:rsidR="00DC4FFD" w:rsidRPr="00EB43DF" w:rsidRDefault="00DC4FFD" w:rsidP="00EB43DF">
      <w:pPr>
        <w:sectPr w:rsidR="00DC4FFD" w:rsidRPr="00EB43DF" w:rsidSect="001B3F49">
          <w:headerReference w:type="even" r:id="rId15"/>
          <w:headerReference w:type="default" r:id="rId16"/>
          <w:footerReference w:type="even" r:id="rId17"/>
          <w:footerReference w:type="default" r:id="rId18"/>
          <w:headerReference w:type="first" r:id="rId19"/>
          <w:footerReference w:type="first" r:id="rId20"/>
          <w:pgSz w:w="11906" w:h="16838"/>
          <w:pgMar w:top="1276" w:right="1418" w:bottom="993" w:left="1418" w:header="425" w:footer="425" w:gutter="0"/>
          <w:pgNumType w:fmt="lowerRoman" w:start="1"/>
          <w:cols w:space="708"/>
          <w:titlePg/>
          <w:docGrid w:linePitch="360"/>
        </w:sectPr>
      </w:pPr>
    </w:p>
    <w:p w:rsidR="00DC4FFD" w:rsidRDefault="00DC4FFD" w:rsidP="003C0A2C">
      <w:pPr>
        <w:pStyle w:val="Heading2"/>
      </w:pPr>
      <w:bookmarkStart w:id="15" w:name="_Toc433035541"/>
      <w:r>
        <w:lastRenderedPageBreak/>
        <w:t>Purpose of the cost recovery implementation statement</w:t>
      </w:r>
      <w:bookmarkEnd w:id="15"/>
    </w:p>
    <w:p w:rsidR="00DC4FFD" w:rsidRDefault="00DC4FFD">
      <w:r>
        <w:rPr>
          <w:iCs/>
        </w:rPr>
        <w:t xml:space="preserve">This Cost Recovery Implementation Statement (CRIS) provides information on the </w:t>
      </w:r>
      <w:r w:rsidR="00ED499C">
        <w:t>Department of Agriculture and Water Resource</w:t>
      </w:r>
      <w:r>
        <w:t>s</w:t>
      </w:r>
      <w:r w:rsidR="00ED499C">
        <w:t>’</w:t>
      </w:r>
      <w:r>
        <w:t xml:space="preserve"> (the department’s) cost recovery arrangements provided to exporters of plant products including grain and horticulture products. It also reports financial and non-financial performance information for the delivery of these activities and contains financial forecasts out to 2018–19.</w:t>
      </w:r>
    </w:p>
    <w:p w:rsidR="00DC4FFD" w:rsidRDefault="00DC4FFD">
      <w:r>
        <w:t xml:space="preserve">This CRIS covers activities that </w:t>
      </w:r>
      <w:proofErr w:type="gramStart"/>
      <w:r>
        <w:t>have been previously described</w:t>
      </w:r>
      <w:proofErr w:type="gramEnd"/>
      <w:r>
        <w:t xml:space="preserve"> in the following documents:</w:t>
      </w:r>
    </w:p>
    <w:p w:rsidR="00DC4FFD" w:rsidRDefault="00DC4FFD" w:rsidP="00781323">
      <w:pPr>
        <w:pStyle w:val="ListBullet"/>
      </w:pPr>
      <w:r>
        <w:t>Cost Recovery Impact Statement—Grain and Plant Products (2011–12)</w:t>
      </w:r>
    </w:p>
    <w:p w:rsidR="00DC4FFD" w:rsidRDefault="00DC4FFD" w:rsidP="00781323">
      <w:pPr>
        <w:pStyle w:val="ListBullet"/>
      </w:pPr>
      <w:r>
        <w:t>Cost Recovery Impact Statement—Horticulture (2011–12)</w:t>
      </w:r>
    </w:p>
    <w:p w:rsidR="00DC4FFD" w:rsidRDefault="00DC4FFD" w:rsidP="00781323">
      <w:pPr>
        <w:pStyle w:val="ListBullet"/>
      </w:pPr>
      <w:r>
        <w:t>Elements of the Department of Agriculture, Fisheries and Forestry Portfolio Cost Recovery Impact Statement 2008 that relates to the organic certification of plant products.</w:t>
      </w:r>
    </w:p>
    <w:p w:rsidR="00DC4FFD" w:rsidRDefault="00DC4FFD">
      <w:pPr>
        <w:pStyle w:val="Heading3"/>
      </w:pPr>
      <w:bookmarkStart w:id="16" w:name="_Toc417483181"/>
      <w:bookmarkStart w:id="17" w:name="_Toc433035542"/>
      <w:r>
        <w:rPr>
          <w:lang w:val="en-AU"/>
        </w:rPr>
        <w:t>Plant</w:t>
      </w:r>
      <w:r>
        <w:t xml:space="preserve"> export</w:t>
      </w:r>
      <w:bookmarkEnd w:id="16"/>
      <w:r>
        <w:t>s</w:t>
      </w:r>
      <w:bookmarkEnd w:id="17"/>
    </w:p>
    <w:p w:rsidR="00DC4FFD" w:rsidRDefault="00DC4FFD">
      <w:bookmarkStart w:id="18" w:name="_Toc415217986"/>
      <w:r>
        <w:rPr>
          <w:lang w:val="en-US"/>
        </w:rPr>
        <w:t xml:space="preserve">The export of plants and plant products is a controlled activity and is regulated in accordance with the </w:t>
      </w:r>
      <w:r>
        <w:rPr>
          <w:i/>
          <w:lang w:val="en-US"/>
        </w:rPr>
        <w:t>Export Control Act 1982</w:t>
      </w:r>
      <w:r>
        <w:rPr>
          <w:lang w:val="en-US"/>
        </w:rPr>
        <w:t xml:space="preserve"> and its subordinate legislation.</w:t>
      </w:r>
      <w:r>
        <w:t xml:space="preserve"> Grain and horticulture products specified in the legislation are:</w:t>
      </w:r>
    </w:p>
    <w:p w:rsidR="00DC4FFD" w:rsidRDefault="00DC4FFD" w:rsidP="00781323">
      <w:pPr>
        <w:pStyle w:val="ListBullet"/>
      </w:pPr>
      <w:r>
        <w:t xml:space="preserve">prescribed grain (any seed or the following grains: barley, canola, chickpeas, dried field peas, </w:t>
      </w:r>
      <w:proofErr w:type="spellStart"/>
      <w:r>
        <w:t>faba</w:t>
      </w:r>
      <w:proofErr w:type="spellEnd"/>
      <w:r>
        <w:t xml:space="preserve"> beans, lentils, lupins, mung beans, oats, nuts, sorghum, soybeans, whole vetch and wheat)</w:t>
      </w:r>
    </w:p>
    <w:p w:rsidR="00DC4FFD" w:rsidRDefault="00DC4FFD" w:rsidP="00781323">
      <w:pPr>
        <w:pStyle w:val="ListBullet"/>
      </w:pPr>
      <w:r>
        <w:t>fresh fruit and vegetables (including mushrooms, sprouts)</w:t>
      </w:r>
    </w:p>
    <w:p w:rsidR="00DC4FFD" w:rsidRDefault="00DC4FFD" w:rsidP="00781323">
      <w:pPr>
        <w:pStyle w:val="ListBullet"/>
      </w:pPr>
      <w:r>
        <w:t>horticulture products (fodder, straw, timber products, nursery stock, tissue cultures, cotton and other grains and seeds not listed above) for which an importing country’s National Plant Protection Organisation requires a phytosanitary certificate or any other official certificate.</w:t>
      </w:r>
    </w:p>
    <w:p w:rsidR="00DC4FFD" w:rsidRDefault="00DC4FFD">
      <w:pPr>
        <w:rPr>
          <w:lang w:val="en-US"/>
        </w:rPr>
      </w:pPr>
      <w:r>
        <w:rPr>
          <w:lang w:val="en-US"/>
        </w:rPr>
        <w:lastRenderedPageBreak/>
        <w:t>Exporters of plants and plant products must obtain an export permit prior to the departure of goods from Australia. Additional export certification may be required by overseas government authorities to verify that the exported products comply with their respective import conditions.</w:t>
      </w:r>
    </w:p>
    <w:p w:rsidR="00DC4FFD" w:rsidRDefault="00DC4FFD">
      <w:pPr>
        <w:rPr>
          <w:lang w:val="en-US"/>
        </w:rPr>
      </w:pPr>
      <w:r>
        <w:rPr>
          <w:lang w:val="en-US"/>
        </w:rPr>
        <w:t>In order to certify a product’s compliance with these conditions the department undertakes a range of activities, including:</w:t>
      </w:r>
    </w:p>
    <w:p w:rsidR="00DC4FFD" w:rsidRDefault="00DC4FFD" w:rsidP="00781323">
      <w:pPr>
        <w:pStyle w:val="ListBullet"/>
      </w:pPr>
      <w:proofErr w:type="gramStart"/>
      <w:r>
        <w:t>the</w:t>
      </w:r>
      <w:proofErr w:type="gramEnd"/>
      <w:r>
        <w:t xml:space="preserve"> development, implementation and monitoring of operational policy and systems that ensure compliance with Australian export controls and any additional importing country requirements. These activities serve to maintain the eligibility of commodities for export from Australia and ensure that market access is maintained</w:t>
      </w:r>
    </w:p>
    <w:p w:rsidR="00DC4FFD" w:rsidRDefault="00DC4FFD" w:rsidP="00781323">
      <w:pPr>
        <w:pStyle w:val="ListBullet"/>
      </w:pPr>
      <w:r>
        <w:t>the provision of inspection and auditing activities to ensure that the production, storage, handling and transportation of grain and horticulture products intended for export comply with the prescribed conditions of the Australian export controls and any additional requirements imposed by an importing country’s national plant protection organisation</w:t>
      </w:r>
    </w:p>
    <w:p w:rsidR="00DC4FFD" w:rsidRDefault="00DC4FFD" w:rsidP="00781323">
      <w:pPr>
        <w:pStyle w:val="ListBullet"/>
      </w:pPr>
      <w:proofErr w:type="gramStart"/>
      <w:r>
        <w:t>the</w:t>
      </w:r>
      <w:proofErr w:type="gramEnd"/>
      <w:r>
        <w:t xml:space="preserve"> issue of permits, phytosanitary certification and other documentation necessary to confirm compliance with the export control orders and any additional importing country requirements.</w:t>
      </w:r>
    </w:p>
    <w:p w:rsidR="00DC4FFD" w:rsidRDefault="00DC4FFD">
      <w:r>
        <w:t xml:space="preserve">A detailed guide on exporting plant and plant products is available on the </w:t>
      </w:r>
      <w:hyperlink r:id="rId21" w:history="1">
        <w:r>
          <w:rPr>
            <w:rStyle w:val="Hyperlink"/>
          </w:rPr>
          <w:t>department’s website</w:t>
        </w:r>
      </w:hyperlink>
      <w:r>
        <w:t>.</w:t>
      </w:r>
    </w:p>
    <w:p w:rsidR="00DC4FFD" w:rsidRDefault="00DC4FFD">
      <w:r>
        <w:t xml:space="preserve">The grain exports cost recovery arrangement is separate from the horticulture export cost recovery arrangement. However, the department’s Plant Export Operations Branch now undertakes export certification activities for all plant products. </w:t>
      </w:r>
    </w:p>
    <w:p w:rsidR="00DC4FFD" w:rsidRDefault="00DC4FFD">
      <w:r>
        <w:t xml:space="preserve">Plant export certification occurs across </w:t>
      </w:r>
      <w:r w:rsidR="00FD19FD">
        <w:t xml:space="preserve">these </w:t>
      </w:r>
      <w:proofErr w:type="gramStart"/>
      <w:r>
        <w:t>two cost</w:t>
      </w:r>
      <w:proofErr w:type="gramEnd"/>
      <w:r>
        <w:t xml:space="preserve"> recovery arrangements. These two arrangements </w:t>
      </w:r>
      <w:proofErr w:type="gramStart"/>
      <w:r>
        <w:t>are presented</w:t>
      </w:r>
      <w:proofErr w:type="gramEnd"/>
      <w:r>
        <w:t xml:space="preserve"> in this CRIS. Common information for plant export certification, such as the authority to cost recover and the cost recovery methodology is in the body of the CRIS. Two schedules </w:t>
      </w:r>
      <w:proofErr w:type="gramStart"/>
      <w:r>
        <w:t>are attached</w:t>
      </w:r>
      <w:proofErr w:type="gramEnd"/>
      <w:r>
        <w:t xml:space="preserve"> which provide the specific details, cost base, levies and fees for each of the plant export certification cost recovery arrangements: </w:t>
      </w:r>
    </w:p>
    <w:p w:rsidR="00DC4FFD" w:rsidRDefault="00DC4FFD" w:rsidP="00781323">
      <w:pPr>
        <w:pStyle w:val="ListBullet"/>
      </w:pPr>
      <w:r>
        <w:lastRenderedPageBreak/>
        <w:t>Attachment A — Grain</w:t>
      </w:r>
      <w:r w:rsidR="00FD19FD">
        <w:t xml:space="preserve"> (including seed products and forestry)</w:t>
      </w:r>
    </w:p>
    <w:p w:rsidR="00DC4FFD" w:rsidRDefault="00DC4FFD" w:rsidP="00781323">
      <w:pPr>
        <w:pStyle w:val="ListBullet"/>
      </w:pPr>
      <w:r>
        <w:t>Attachment B — Horticulture</w:t>
      </w:r>
    </w:p>
    <w:p w:rsidR="00DC4FFD" w:rsidRDefault="00DC4FFD">
      <w:pPr>
        <w:pStyle w:val="Heading3"/>
      </w:pPr>
      <w:bookmarkStart w:id="19" w:name="_Toc433035543"/>
      <w:bookmarkEnd w:id="18"/>
      <w:r>
        <w:t>Why is cost recovery appropriate?</w:t>
      </w:r>
      <w:bookmarkEnd w:id="19"/>
    </w:p>
    <w:p w:rsidR="00DC4FFD" w:rsidRDefault="00DC4FFD">
      <w:r>
        <w:t xml:space="preserve">Cost recovery fees and levies fall within the Australian Government’s (the government’s) broader charging framework. Other charges in this framework include commercial charges and resource charges. The type of charge </w:t>
      </w:r>
      <w:proofErr w:type="gramStart"/>
      <w:r>
        <w:t>is determined</w:t>
      </w:r>
      <w:proofErr w:type="gramEnd"/>
      <w:r>
        <w:t xml:space="preserve"> by the characteristics of the services. </w:t>
      </w:r>
    </w:p>
    <w:p w:rsidR="00DC4FFD" w:rsidRDefault="00DC4FFD">
      <w:r>
        <w:t xml:space="preserve">The use of commercial charging is not appropriate as this approach relies on competitive markets. While the private sector can undertake some export certification activities, the government must provide the export certification framework. This is because it relies on negotiated arrangements with other countries. Resource charging is not </w:t>
      </w:r>
      <w:proofErr w:type="gramStart"/>
      <w:r>
        <w:t>appropriate</w:t>
      </w:r>
      <w:proofErr w:type="gramEnd"/>
      <w:r>
        <w:t xml:space="preserve"> as export certification is not based on the value of the activity to the recipient.</w:t>
      </w:r>
    </w:p>
    <w:p w:rsidR="00DC4FFD" w:rsidRDefault="00DC4FFD">
      <w:r>
        <w:t xml:space="preserve">The only viable alternative to cost recovering for export certification is funding this activity through consolidated revenue (general taxation). In most circumstances, however, general taxation is only appropriate for services that </w:t>
      </w:r>
      <w:proofErr w:type="gramStart"/>
      <w:r>
        <w:t>are provided</w:t>
      </w:r>
      <w:proofErr w:type="gramEnd"/>
      <w:r>
        <w:t xml:space="preserve"> to the wider community. Export certification services </w:t>
      </w:r>
      <w:proofErr w:type="gramStart"/>
      <w:r>
        <w:t>are provided</w:t>
      </w:r>
      <w:proofErr w:type="gramEnd"/>
      <w:r>
        <w:t xml:space="preserve"> to a clearly identifiable group—individuals and organisations that participate in the plant export supply chain. If it were not for the business activities of this group, export certification would not be required. </w:t>
      </w:r>
    </w:p>
    <w:p w:rsidR="00DC4FFD" w:rsidRDefault="00DC4FFD">
      <w:r>
        <w:t>There are additional benefits to funding export certification through cost recovery. When a business pays for the activities it receives, the government has an obligation to justify the prices it charges. Cost recovery also increases the cost consciousness of clients of how much a government activity actually costs.</w:t>
      </w:r>
    </w:p>
    <w:p w:rsidR="00DC4FFD" w:rsidRDefault="00DC4FFD">
      <w:r>
        <w:t xml:space="preserve">For these reasons, the government has determined cost recovery to be the most appropriate mechanism for funding export certification. The department has designed cost recovery of export certification services to be consistent with the </w:t>
      </w:r>
      <w:r>
        <w:lastRenderedPageBreak/>
        <w:t>Australian Government Cost Recovery Guidelines (CRGs). These provide the overarching framework under which government entities must design, implement and review cost recovery.</w:t>
      </w:r>
    </w:p>
    <w:p w:rsidR="00DC4FFD" w:rsidRDefault="00DC4FFD" w:rsidP="003C0A2C">
      <w:pPr>
        <w:pStyle w:val="Heading2"/>
      </w:pPr>
      <w:bookmarkStart w:id="20" w:name="_Toc433035544"/>
      <w:r>
        <w:lastRenderedPageBreak/>
        <w:t>Authority to cost recover</w:t>
      </w:r>
      <w:bookmarkEnd w:id="20"/>
    </w:p>
    <w:p w:rsidR="00DC4FFD" w:rsidRDefault="00DC4FFD">
      <w:bookmarkStart w:id="21" w:name="_Toc415217990"/>
      <w:r>
        <w:t>Under the CRGs, cost recovery requires both policy approval and statutory authority. The following section provides information on the government’s approval of cost recovery for plant export certification and the legislation that enables the collection of cost recovery fees and levies.</w:t>
      </w:r>
    </w:p>
    <w:p w:rsidR="00DC4FFD" w:rsidRDefault="00DC4FFD">
      <w:pPr>
        <w:pStyle w:val="Heading3"/>
      </w:pPr>
      <w:bookmarkStart w:id="22" w:name="_Toc416444968"/>
      <w:bookmarkStart w:id="23" w:name="_Toc417483184"/>
      <w:bookmarkStart w:id="24" w:name="_Toc433035545"/>
      <w:r>
        <w:t>Policy</w:t>
      </w:r>
      <w:bookmarkEnd w:id="22"/>
      <w:bookmarkEnd w:id="23"/>
      <w:r>
        <w:t xml:space="preserve"> approval</w:t>
      </w:r>
      <w:bookmarkEnd w:id="24"/>
    </w:p>
    <w:p w:rsidR="00DC4FFD" w:rsidRDefault="00DC4FFD">
      <w:bookmarkStart w:id="25" w:name="_Toc417651774"/>
      <w:bookmarkStart w:id="26" w:name="_Toc415217991"/>
      <w:bookmarkEnd w:id="21"/>
      <w:r>
        <w:t xml:space="preserve">The department commenced partial cost recovery of export certification activities in 1979 and implemented full cost recovery from 1 January 1991. </w:t>
      </w:r>
    </w:p>
    <w:p w:rsidR="00DC4FFD" w:rsidRDefault="00DC4FFD">
      <w:pPr>
        <w:rPr>
          <w:iCs/>
        </w:rPr>
      </w:pPr>
      <w:r>
        <w:rPr>
          <w:iCs/>
        </w:rPr>
        <w:t>The policy authority for continued export certification cos</w:t>
      </w:r>
      <w:r w:rsidR="00ED499C">
        <w:rPr>
          <w:iCs/>
        </w:rPr>
        <w:t xml:space="preserve">t recovery </w:t>
      </w:r>
      <w:proofErr w:type="gramStart"/>
      <w:r w:rsidR="00ED499C">
        <w:rPr>
          <w:iCs/>
        </w:rPr>
        <w:t>was confirmed</w:t>
      </w:r>
      <w:proofErr w:type="gramEnd"/>
      <w:r w:rsidR="00ED499C">
        <w:rPr>
          <w:iCs/>
        </w:rPr>
        <w:t xml:space="preserve"> in the</w:t>
      </w:r>
      <w:r w:rsidR="00ED499C">
        <w:rPr>
          <w:iCs/>
        </w:rPr>
        <w:br/>
      </w:r>
      <w:r>
        <w:rPr>
          <w:iCs/>
        </w:rPr>
        <w:t xml:space="preserve">2015–16 Budget when the government announced a </w:t>
      </w:r>
      <w:r>
        <w:t xml:space="preserve">redesign of the department’s biosecurity and export cost recovery arrangements. The redesign ensures the </w:t>
      </w:r>
      <w:proofErr w:type="gramStart"/>
      <w:r>
        <w:t>department’s</w:t>
      </w:r>
      <w:proofErr w:type="gramEnd"/>
      <w:r>
        <w:t xml:space="preserve"> cost recovery arrangements are equitable, financially sustainable and support the </w:t>
      </w:r>
      <w:r>
        <w:rPr>
          <w:iCs/>
        </w:rPr>
        <w:t xml:space="preserve">efficient and effective delivery of </w:t>
      </w:r>
      <w:r>
        <w:t>export activities into the future.</w:t>
      </w:r>
      <w:r>
        <w:rPr>
          <w:iCs/>
        </w:rPr>
        <w:t xml:space="preserve"> </w:t>
      </w:r>
    </w:p>
    <w:p w:rsidR="00DC4FFD" w:rsidRDefault="00DC4FFD">
      <w:r>
        <w:t>The redesign improves the cost recovery of export certification activities by:</w:t>
      </w:r>
    </w:p>
    <w:p w:rsidR="00DC4FFD" w:rsidRDefault="00DC4FFD" w:rsidP="00781323">
      <w:pPr>
        <w:pStyle w:val="ListBullet"/>
      </w:pPr>
      <w:r>
        <w:t xml:space="preserve">recovering the full cost of activities undertaken by the department where appropriate </w:t>
      </w:r>
    </w:p>
    <w:p w:rsidR="00DC4FFD" w:rsidRDefault="00DC4FFD" w:rsidP="00781323">
      <w:pPr>
        <w:pStyle w:val="ListBullet"/>
      </w:pPr>
      <w:r>
        <w:t>simplifying the structure of fees and levies where appropriate</w:t>
      </w:r>
    </w:p>
    <w:p w:rsidR="00DC4FFD" w:rsidRDefault="00DC4FFD" w:rsidP="00781323">
      <w:pPr>
        <w:pStyle w:val="ListBullet"/>
      </w:pPr>
      <w:r>
        <w:t>achieving greater equity in client contributions to system costs</w:t>
      </w:r>
    </w:p>
    <w:p w:rsidR="00DC4FFD" w:rsidRDefault="00DC4FFD" w:rsidP="00781323">
      <w:pPr>
        <w:pStyle w:val="ListBullet"/>
      </w:pPr>
      <w:proofErr w:type="gramStart"/>
      <w:r>
        <w:t>expanding</w:t>
      </w:r>
      <w:proofErr w:type="gramEnd"/>
      <w:r>
        <w:t xml:space="preserve"> and enhancing activities to strengthen export certification services.</w:t>
      </w:r>
    </w:p>
    <w:p w:rsidR="00DC4FFD" w:rsidRDefault="00DC4FFD">
      <w:pPr>
        <w:pStyle w:val="Heading3"/>
      </w:pPr>
      <w:bookmarkStart w:id="27" w:name="_Toc418840043"/>
      <w:bookmarkStart w:id="28" w:name="_Toc433035546"/>
      <w:r>
        <w:t>Statutory authority</w:t>
      </w:r>
      <w:bookmarkEnd w:id="27"/>
      <w:bookmarkEnd w:id="28"/>
    </w:p>
    <w:p w:rsidR="00DC4FFD" w:rsidRDefault="00DC4FFD">
      <w:bookmarkStart w:id="29" w:name="_Toc417651775"/>
      <w:bookmarkEnd w:id="25"/>
      <w:r>
        <w:t xml:space="preserve">Fees and levies for plant export certification </w:t>
      </w:r>
      <w:proofErr w:type="gramStart"/>
      <w:r>
        <w:t>are recovered</w:t>
      </w:r>
      <w:proofErr w:type="gramEnd"/>
      <w:r>
        <w:t xml:space="preserve"> under separate statutory authority.</w:t>
      </w:r>
    </w:p>
    <w:p w:rsidR="00DC4FFD" w:rsidRDefault="005750E5" w:rsidP="00DD4C7C">
      <w:pPr>
        <w:pStyle w:val="Heading4"/>
      </w:pPr>
      <w:r>
        <w:lastRenderedPageBreak/>
        <w:t>Cost recovery fees</w:t>
      </w:r>
    </w:p>
    <w:p w:rsidR="00DC4FFD" w:rsidRDefault="00DC4FFD">
      <w:pPr>
        <w:rPr>
          <w:iCs/>
        </w:rPr>
      </w:pPr>
      <w:r>
        <w:t>Section 25 of t</w:t>
      </w:r>
      <w:r>
        <w:rPr>
          <w:color w:val="000000"/>
          <w:szCs w:val="24"/>
        </w:rPr>
        <w:t xml:space="preserve">he </w:t>
      </w:r>
      <w:r>
        <w:rPr>
          <w:i/>
          <w:iCs/>
          <w:color w:val="000000"/>
          <w:szCs w:val="24"/>
        </w:rPr>
        <w:t xml:space="preserve">Export Control Act </w:t>
      </w:r>
      <w:r>
        <w:rPr>
          <w:i/>
          <w:iCs/>
          <w:szCs w:val="24"/>
        </w:rPr>
        <w:t xml:space="preserve">1982 </w:t>
      </w:r>
      <w:r>
        <w:t xml:space="preserve">provides the power to impose fees in relation to a range of export services. The specific amounts are set out in the </w:t>
      </w:r>
      <w:r>
        <w:rPr>
          <w:iCs/>
        </w:rPr>
        <w:t>Export Control (Fees) Orders 2001.</w:t>
      </w:r>
    </w:p>
    <w:p w:rsidR="00DC4FFD" w:rsidRPr="00C93F53" w:rsidRDefault="00DC4FFD" w:rsidP="00781323">
      <w:pPr>
        <w:pStyle w:val="ListBullet"/>
        <w:rPr>
          <w:rStyle w:val="Hyperlink"/>
          <w:color w:val="auto"/>
          <w:u w:val="none"/>
        </w:rPr>
      </w:pPr>
      <w:r>
        <w:t xml:space="preserve">The </w:t>
      </w:r>
      <w:r w:rsidRPr="00C93F53">
        <w:rPr>
          <w:i/>
          <w:iCs/>
          <w:color w:val="000000"/>
          <w:szCs w:val="24"/>
        </w:rPr>
        <w:t xml:space="preserve">Export </w:t>
      </w:r>
      <w:r w:rsidRPr="00C93F53">
        <w:rPr>
          <w:rStyle w:val="Hyperlink"/>
          <w:color w:val="auto"/>
          <w:u w:val="none"/>
        </w:rPr>
        <w:t>Control</w:t>
      </w:r>
      <w:r w:rsidRPr="00C93F53">
        <w:rPr>
          <w:i/>
          <w:iCs/>
          <w:color w:val="000000"/>
          <w:szCs w:val="24"/>
        </w:rPr>
        <w:t xml:space="preserve"> Act </w:t>
      </w:r>
      <w:r w:rsidRPr="00C93F53">
        <w:rPr>
          <w:i/>
          <w:iCs/>
          <w:szCs w:val="24"/>
        </w:rPr>
        <w:t xml:space="preserve">1982 </w:t>
      </w:r>
      <w:r>
        <w:t xml:space="preserve">and its subordinate legislation </w:t>
      </w:r>
      <w:proofErr w:type="gramStart"/>
      <w:r>
        <w:t>can be obtained</w:t>
      </w:r>
      <w:proofErr w:type="gramEnd"/>
      <w:r>
        <w:t xml:space="preserve"> at the </w:t>
      </w:r>
      <w:hyperlink r:id="rId22" w:history="1">
        <w:proofErr w:type="spellStart"/>
        <w:r>
          <w:rPr>
            <w:rStyle w:val="Hyperlink"/>
          </w:rPr>
          <w:t>Comlaw</w:t>
        </w:r>
        <w:proofErr w:type="spellEnd"/>
        <w:r>
          <w:rPr>
            <w:rStyle w:val="Hyperlink"/>
          </w:rPr>
          <w:t xml:space="preserve"> website</w:t>
        </w:r>
      </w:hyperlink>
      <w:r>
        <w:t xml:space="preserve">. </w:t>
      </w:r>
    </w:p>
    <w:p w:rsidR="008E5151" w:rsidRDefault="008E5151" w:rsidP="008E5151">
      <w:r>
        <w:t>Amendments to, or new subordinate legislation will provide for the fees detailed in this CRIS to be established. These and other delegated instruments will include descriptions of the charging points for plant export fees.</w:t>
      </w:r>
    </w:p>
    <w:p w:rsidR="00DC4FFD" w:rsidRDefault="00DC4FFD">
      <w:pPr>
        <w:pStyle w:val="Heading4"/>
      </w:pPr>
      <w:r>
        <w:t>Cost recovery levies</w:t>
      </w:r>
    </w:p>
    <w:p w:rsidR="00DC4FFD" w:rsidRDefault="00DC4FFD">
      <w:r>
        <w:t xml:space="preserve">Previously, export certification levies </w:t>
      </w:r>
      <w:proofErr w:type="gramStart"/>
      <w:r>
        <w:t>were collected</w:t>
      </w:r>
      <w:proofErr w:type="gramEnd"/>
      <w:r>
        <w:t xml:space="preserve"> under the followin</w:t>
      </w:r>
      <w:r w:rsidR="005750E5">
        <w:t>g legislation:</w:t>
      </w:r>
    </w:p>
    <w:p w:rsidR="00DC4FFD" w:rsidRPr="005750E5" w:rsidRDefault="00DC4FFD" w:rsidP="00781323">
      <w:pPr>
        <w:pStyle w:val="ListBullet"/>
        <w:rPr>
          <w:rStyle w:val="Emphasis"/>
        </w:rPr>
      </w:pPr>
      <w:r w:rsidRPr="005750E5">
        <w:rPr>
          <w:rStyle w:val="Emphasis"/>
        </w:rPr>
        <w:t>Export Inspection (Establishment</w:t>
      </w:r>
      <w:r w:rsidR="005750E5">
        <w:rPr>
          <w:rStyle w:val="Emphasis"/>
        </w:rPr>
        <w:t xml:space="preserve"> Registration Charges) Act 1985</w:t>
      </w:r>
    </w:p>
    <w:p w:rsidR="00DC4FFD" w:rsidRDefault="0058767D" w:rsidP="000A1901">
      <w:pPr>
        <w:pStyle w:val="ListBullet2"/>
      </w:pPr>
      <w:hyperlink r:id="rId23" w:history="1">
        <w:r w:rsidR="00DC4FFD">
          <w:rPr>
            <w:rStyle w:val="Hyperlink"/>
            <w:color w:val="auto"/>
            <w:u w:val="none"/>
          </w:rPr>
          <w:t>Export Inspection (Establishment Registration Charges) Regulations 1985</w:t>
        </w:r>
      </w:hyperlink>
    </w:p>
    <w:p w:rsidR="00DC4FFD" w:rsidRDefault="00DC4FFD" w:rsidP="000A1901">
      <w:pPr>
        <w:pStyle w:val="ListBullet2"/>
      </w:pPr>
      <w:r>
        <w:t xml:space="preserve">This legislation can be obtained at the </w:t>
      </w:r>
      <w:hyperlink r:id="rId24" w:history="1">
        <w:proofErr w:type="spellStart"/>
        <w:r>
          <w:rPr>
            <w:rStyle w:val="Hyperlink"/>
          </w:rPr>
          <w:t>Comlaw</w:t>
        </w:r>
        <w:proofErr w:type="spellEnd"/>
        <w:r>
          <w:rPr>
            <w:rStyle w:val="Hyperlink"/>
          </w:rPr>
          <w:t xml:space="preserve"> website.</w:t>
        </w:r>
      </w:hyperlink>
    </w:p>
    <w:p w:rsidR="00DC4FFD" w:rsidRPr="005750E5" w:rsidRDefault="00DC4FFD" w:rsidP="00781323">
      <w:pPr>
        <w:pStyle w:val="ListBullet"/>
        <w:rPr>
          <w:rStyle w:val="Emphasis"/>
        </w:rPr>
      </w:pPr>
      <w:r w:rsidRPr="005750E5">
        <w:rPr>
          <w:rStyle w:val="Emphasis"/>
        </w:rPr>
        <w:t>Export Inspection (Quantity Charge) Act 1985</w:t>
      </w:r>
    </w:p>
    <w:p w:rsidR="00DC4FFD" w:rsidRDefault="0058767D" w:rsidP="000A1901">
      <w:pPr>
        <w:pStyle w:val="ListBullet2"/>
      </w:pPr>
      <w:hyperlink r:id="rId25" w:history="1">
        <w:r w:rsidR="00DC4FFD">
          <w:t>Export Inspection (Quantity Charge) Regulations 1985</w:t>
        </w:r>
      </w:hyperlink>
    </w:p>
    <w:p w:rsidR="00DC4FFD" w:rsidRDefault="00DC4FFD" w:rsidP="000A1901">
      <w:pPr>
        <w:pStyle w:val="ListBullet2"/>
      </w:pPr>
      <w:r>
        <w:t xml:space="preserve">This legislation can be obtained at </w:t>
      </w:r>
      <w:hyperlink r:id="rId26" w:history="1">
        <w:r>
          <w:rPr>
            <w:rStyle w:val="Hyperlink"/>
          </w:rPr>
          <w:t xml:space="preserve">the </w:t>
        </w:r>
        <w:proofErr w:type="spellStart"/>
        <w:r>
          <w:rPr>
            <w:rStyle w:val="Hyperlink"/>
          </w:rPr>
          <w:t>Comlaw</w:t>
        </w:r>
        <w:proofErr w:type="spellEnd"/>
        <w:r>
          <w:rPr>
            <w:rStyle w:val="Hyperlink"/>
          </w:rPr>
          <w:t xml:space="preserve"> website.</w:t>
        </w:r>
      </w:hyperlink>
    </w:p>
    <w:p w:rsidR="00DC4FFD" w:rsidRPr="005750E5" w:rsidRDefault="00DC4FFD" w:rsidP="00781323">
      <w:pPr>
        <w:pStyle w:val="ListBullet"/>
        <w:rPr>
          <w:rStyle w:val="Emphasis"/>
        </w:rPr>
      </w:pPr>
      <w:r w:rsidRPr="005750E5">
        <w:rPr>
          <w:rStyle w:val="Emphasis"/>
        </w:rPr>
        <w:t>Export Inspection and Grain Charges Collection Act 1985</w:t>
      </w:r>
    </w:p>
    <w:p w:rsidR="00DC4FFD" w:rsidRDefault="0058767D" w:rsidP="000A1901">
      <w:pPr>
        <w:pStyle w:val="ListBullet2"/>
      </w:pPr>
      <w:hyperlink r:id="rId27" w:history="1">
        <w:r w:rsidR="00DC4FFD">
          <w:t>Export Inspection and Grain Charges Collection Regulations 1985</w:t>
        </w:r>
      </w:hyperlink>
    </w:p>
    <w:p w:rsidR="00DC4FFD" w:rsidRDefault="00DC4FFD" w:rsidP="000A1901">
      <w:pPr>
        <w:pStyle w:val="ListBullet2"/>
      </w:pPr>
      <w:r>
        <w:t xml:space="preserve">This legislation can be obtained at </w:t>
      </w:r>
      <w:hyperlink r:id="rId28" w:history="1">
        <w:r>
          <w:rPr>
            <w:rStyle w:val="Hyperlink"/>
          </w:rPr>
          <w:t xml:space="preserve">the </w:t>
        </w:r>
        <w:proofErr w:type="spellStart"/>
        <w:r>
          <w:rPr>
            <w:rStyle w:val="Hyperlink"/>
          </w:rPr>
          <w:t>Comlaw</w:t>
        </w:r>
        <w:proofErr w:type="spellEnd"/>
        <w:r>
          <w:rPr>
            <w:rStyle w:val="Hyperlink"/>
          </w:rPr>
          <w:t xml:space="preserve"> website.</w:t>
        </w:r>
      </w:hyperlink>
    </w:p>
    <w:p w:rsidR="00DC4FFD" w:rsidRPr="005750E5" w:rsidRDefault="00DC4FFD" w:rsidP="00781323">
      <w:pPr>
        <w:pStyle w:val="ListBullet"/>
        <w:rPr>
          <w:rStyle w:val="Emphasis"/>
        </w:rPr>
      </w:pPr>
      <w:r w:rsidRPr="005750E5">
        <w:rPr>
          <w:rStyle w:val="Emphasis"/>
        </w:rPr>
        <w:t>Export Inspect</w:t>
      </w:r>
      <w:r w:rsidR="005750E5">
        <w:rPr>
          <w:rStyle w:val="Emphasis"/>
        </w:rPr>
        <w:t>ion (Services Charges) Act 1985</w:t>
      </w:r>
    </w:p>
    <w:p w:rsidR="00DC4FFD" w:rsidRDefault="00DC4FFD" w:rsidP="000A1901">
      <w:pPr>
        <w:pStyle w:val="ListBullet2"/>
      </w:pPr>
      <w:r>
        <w:t>Export Inspection (Service Charge) Regulations 1985</w:t>
      </w:r>
    </w:p>
    <w:p w:rsidR="00DC4FFD" w:rsidRDefault="00DC4FFD" w:rsidP="000A1901">
      <w:pPr>
        <w:pStyle w:val="ListBullet2"/>
      </w:pPr>
      <w:r>
        <w:lastRenderedPageBreak/>
        <w:t xml:space="preserve">This legislation can be obtained at </w:t>
      </w:r>
      <w:hyperlink r:id="rId29" w:history="1">
        <w:r>
          <w:rPr>
            <w:rStyle w:val="Hyperlink"/>
          </w:rPr>
          <w:t xml:space="preserve">the </w:t>
        </w:r>
        <w:proofErr w:type="spellStart"/>
        <w:r>
          <w:rPr>
            <w:rStyle w:val="Hyperlink"/>
          </w:rPr>
          <w:t>Comlaw</w:t>
        </w:r>
        <w:proofErr w:type="spellEnd"/>
        <w:r>
          <w:rPr>
            <w:rStyle w:val="Hyperlink"/>
          </w:rPr>
          <w:t xml:space="preserve"> website.</w:t>
        </w:r>
      </w:hyperlink>
    </w:p>
    <w:p w:rsidR="008E5151" w:rsidRDefault="008E5151" w:rsidP="008E5151">
      <w:r>
        <w:t xml:space="preserve">New regulations made under the following Acts will provide for the </w:t>
      </w:r>
      <w:r w:rsidR="002D4067">
        <w:t>levies</w:t>
      </w:r>
      <w:r>
        <w:t xml:space="preserve"> detailed in this CRIS to be established. </w:t>
      </w:r>
      <w:r w:rsidR="00DC4FFD">
        <w:t>This change will allow for redundant legislation and regulations</w:t>
      </w:r>
      <w:r>
        <w:t xml:space="preserve"> listed above</w:t>
      </w:r>
      <w:r w:rsidR="00DC4FFD">
        <w:t xml:space="preserve"> to </w:t>
      </w:r>
      <w:proofErr w:type="gramStart"/>
      <w:r w:rsidR="00DC4FFD">
        <w:t>be repealed</w:t>
      </w:r>
      <w:proofErr w:type="gramEnd"/>
      <w:r w:rsidR="00DC4FFD">
        <w:t xml:space="preserve">. Commencement and transitional arrangement will mean that </w:t>
      </w:r>
      <w:r w:rsidR="002D4067">
        <w:t>levies</w:t>
      </w:r>
      <w:r w:rsidR="00DC4FFD">
        <w:t xml:space="preserve"> </w:t>
      </w:r>
      <w:proofErr w:type="gramStart"/>
      <w:r w:rsidR="00DC4FFD">
        <w:t>will not be duplicated</w:t>
      </w:r>
      <w:proofErr w:type="gramEnd"/>
      <w:r w:rsidR="00DC4FFD">
        <w:t xml:space="preserve">. </w:t>
      </w:r>
    </w:p>
    <w:p w:rsidR="008E5151" w:rsidRDefault="008E5151" w:rsidP="008E5151">
      <w:r>
        <w:t>New regulations and other delegated instruments will include descriptions of the charging points for the plant export levies.</w:t>
      </w:r>
    </w:p>
    <w:p w:rsidR="00DC4FFD" w:rsidRPr="00B6477E" w:rsidRDefault="00DC4FFD" w:rsidP="00781323">
      <w:pPr>
        <w:pStyle w:val="ListBullet"/>
        <w:rPr>
          <w:rStyle w:val="Emphasis"/>
        </w:rPr>
      </w:pPr>
      <w:r w:rsidRPr="00B6477E">
        <w:rPr>
          <w:rStyle w:val="Emphasis"/>
        </w:rPr>
        <w:t>Export Charges (Collections) Act 2015</w:t>
      </w:r>
    </w:p>
    <w:p w:rsidR="00DC4FFD" w:rsidRDefault="00DC4FFD" w:rsidP="002E338A">
      <w:pPr>
        <w:pStyle w:val="ListBullet2"/>
      </w:pPr>
      <w:r>
        <w:t xml:space="preserve">This legislation can be obtained at </w:t>
      </w:r>
      <w:hyperlink r:id="rId30" w:history="1">
        <w:r>
          <w:rPr>
            <w:rStyle w:val="Hyperlink"/>
          </w:rPr>
          <w:t xml:space="preserve">the </w:t>
        </w:r>
        <w:proofErr w:type="spellStart"/>
        <w:r>
          <w:rPr>
            <w:rStyle w:val="Hyperlink"/>
          </w:rPr>
          <w:t>Comlaw</w:t>
        </w:r>
        <w:proofErr w:type="spellEnd"/>
        <w:r>
          <w:rPr>
            <w:rStyle w:val="Hyperlink"/>
          </w:rPr>
          <w:t xml:space="preserve"> website.</w:t>
        </w:r>
      </w:hyperlink>
    </w:p>
    <w:p w:rsidR="00DC4FFD" w:rsidRPr="00B6477E" w:rsidRDefault="00DC4FFD" w:rsidP="00781323">
      <w:pPr>
        <w:pStyle w:val="ListBullet"/>
        <w:rPr>
          <w:rStyle w:val="Emphasis"/>
        </w:rPr>
      </w:pPr>
      <w:r w:rsidRPr="00B6477E">
        <w:rPr>
          <w:rStyle w:val="Emphasis"/>
        </w:rPr>
        <w:t>Export Charges (Imposition—Customs) Act 2015</w:t>
      </w:r>
    </w:p>
    <w:p w:rsidR="00DC4FFD" w:rsidRDefault="00DC4FFD" w:rsidP="002E338A">
      <w:pPr>
        <w:pStyle w:val="ListBullet2"/>
      </w:pPr>
      <w:r>
        <w:t xml:space="preserve">This legislation can be obtained at </w:t>
      </w:r>
      <w:hyperlink r:id="rId31" w:history="1">
        <w:r>
          <w:rPr>
            <w:rStyle w:val="Hyperlink"/>
          </w:rPr>
          <w:t xml:space="preserve">the </w:t>
        </w:r>
        <w:proofErr w:type="spellStart"/>
        <w:r>
          <w:rPr>
            <w:rStyle w:val="Hyperlink"/>
          </w:rPr>
          <w:t>Comlaw</w:t>
        </w:r>
        <w:proofErr w:type="spellEnd"/>
        <w:r>
          <w:rPr>
            <w:rStyle w:val="Hyperlink"/>
          </w:rPr>
          <w:t xml:space="preserve"> website.</w:t>
        </w:r>
      </w:hyperlink>
    </w:p>
    <w:p w:rsidR="00DC4FFD" w:rsidRPr="00B6477E" w:rsidRDefault="00DC4FFD" w:rsidP="00781323">
      <w:pPr>
        <w:pStyle w:val="ListBullet"/>
        <w:rPr>
          <w:rStyle w:val="Emphasis"/>
        </w:rPr>
      </w:pPr>
      <w:r w:rsidRPr="00B6477E">
        <w:rPr>
          <w:rStyle w:val="Emphasis"/>
        </w:rPr>
        <w:t>Export Charges (Imposition—Excise) Act 2015</w:t>
      </w:r>
    </w:p>
    <w:p w:rsidR="00DC4FFD" w:rsidRDefault="00DC4FFD" w:rsidP="002E338A">
      <w:pPr>
        <w:pStyle w:val="ListBullet2"/>
      </w:pPr>
      <w:r>
        <w:t xml:space="preserve">This legislation can be obtained at </w:t>
      </w:r>
      <w:hyperlink r:id="rId32" w:history="1">
        <w:r>
          <w:rPr>
            <w:rStyle w:val="Hyperlink"/>
          </w:rPr>
          <w:t xml:space="preserve">the </w:t>
        </w:r>
        <w:proofErr w:type="spellStart"/>
        <w:r>
          <w:rPr>
            <w:rStyle w:val="Hyperlink"/>
          </w:rPr>
          <w:t>Comlaw</w:t>
        </w:r>
        <w:proofErr w:type="spellEnd"/>
        <w:r>
          <w:rPr>
            <w:rStyle w:val="Hyperlink"/>
          </w:rPr>
          <w:t xml:space="preserve"> website.</w:t>
        </w:r>
      </w:hyperlink>
    </w:p>
    <w:p w:rsidR="00DC4FFD" w:rsidRPr="00B6477E" w:rsidRDefault="00DC4FFD" w:rsidP="00781323">
      <w:pPr>
        <w:pStyle w:val="ListBullet"/>
        <w:rPr>
          <w:rStyle w:val="Emphasis"/>
        </w:rPr>
      </w:pPr>
      <w:r w:rsidRPr="00B6477E">
        <w:rPr>
          <w:rStyle w:val="Emphasis"/>
        </w:rPr>
        <w:t>Export Charges (Imposition—General) Act 2015</w:t>
      </w:r>
    </w:p>
    <w:p w:rsidR="00DC4FFD" w:rsidRDefault="00DC4FFD" w:rsidP="002E338A">
      <w:pPr>
        <w:pStyle w:val="ListBullet2"/>
      </w:pPr>
      <w:r>
        <w:t xml:space="preserve">This legislation can be obtained at </w:t>
      </w:r>
      <w:hyperlink r:id="rId33" w:history="1">
        <w:r>
          <w:rPr>
            <w:rStyle w:val="Hyperlink"/>
          </w:rPr>
          <w:t xml:space="preserve">the </w:t>
        </w:r>
        <w:proofErr w:type="spellStart"/>
        <w:r>
          <w:rPr>
            <w:rStyle w:val="Hyperlink"/>
          </w:rPr>
          <w:t>Comlaw</w:t>
        </w:r>
        <w:proofErr w:type="spellEnd"/>
        <w:r>
          <w:rPr>
            <w:rStyle w:val="Hyperlink"/>
          </w:rPr>
          <w:t xml:space="preserve"> website.</w:t>
        </w:r>
      </w:hyperlink>
      <w:r>
        <w:t xml:space="preserve"> </w:t>
      </w:r>
      <w:bookmarkStart w:id="30" w:name="_Toc418840044"/>
      <w:bookmarkStart w:id="31" w:name="OLE_LINK7"/>
      <w:bookmarkStart w:id="32" w:name="OLE_LINK8"/>
      <w:bookmarkStart w:id="33" w:name="_Toc417047919"/>
      <w:bookmarkEnd w:id="26"/>
      <w:bookmarkEnd w:id="29"/>
    </w:p>
    <w:p w:rsidR="00DC4FFD" w:rsidRDefault="00DC4FFD" w:rsidP="003C0A2C">
      <w:pPr>
        <w:pStyle w:val="Heading2"/>
      </w:pPr>
      <w:bookmarkStart w:id="34" w:name="_Toc433035547"/>
      <w:r>
        <w:lastRenderedPageBreak/>
        <w:t>Cost recovery methodology</w:t>
      </w:r>
      <w:bookmarkEnd w:id="30"/>
      <w:bookmarkEnd w:id="34"/>
    </w:p>
    <w:p w:rsidR="00DC4FFD" w:rsidRDefault="00DC4FFD">
      <w:bookmarkStart w:id="35" w:name="_Toc418840045"/>
      <w:r>
        <w:t>The department has applied a consistent methodology to determine the fees and levies in its biosecurity and export cost recovery arrangements. Determining fees and levies for each cost recovery arrangement is a four-step process.</w:t>
      </w:r>
    </w:p>
    <w:p w:rsidR="00DC4FFD" w:rsidRDefault="00DC4FFD" w:rsidP="00163DC2">
      <w:pPr>
        <w:pStyle w:val="ListNumber"/>
      </w:pPr>
      <w:r>
        <w:t>Determine the cost base.</w:t>
      </w:r>
    </w:p>
    <w:p w:rsidR="00DC4FFD" w:rsidRDefault="00DC4FFD" w:rsidP="00163DC2">
      <w:pPr>
        <w:pStyle w:val="ListNumber"/>
      </w:pPr>
      <w:r>
        <w:t>Incorporate the cost base into a consistent activity based cost model.</w:t>
      </w:r>
    </w:p>
    <w:p w:rsidR="00DC4FFD" w:rsidRDefault="00DC4FFD" w:rsidP="00163DC2">
      <w:pPr>
        <w:pStyle w:val="ListNumber"/>
      </w:pPr>
      <w:r>
        <w:t>Establish charges and forecast volumes.</w:t>
      </w:r>
    </w:p>
    <w:p w:rsidR="00DC4FFD" w:rsidRDefault="00DC4FFD" w:rsidP="00163DC2">
      <w:pPr>
        <w:pStyle w:val="ListNumber"/>
      </w:pPr>
      <w:r>
        <w:t>Calculate prices for fees and levies using the cost model and volumes.</w:t>
      </w:r>
    </w:p>
    <w:p w:rsidR="00DC4FFD" w:rsidRDefault="00DC4FFD">
      <w:r>
        <w:t xml:space="preserve">The department’s new cost recovery model used in the redesign is consistent with the principles and processes set out in the CRGs. Although the model is new, it </w:t>
      </w:r>
      <w:proofErr w:type="gramStart"/>
      <w:r>
        <w:t>is based</w:t>
      </w:r>
      <w:proofErr w:type="gramEnd"/>
      <w:r>
        <w:t xml:space="preserve"> on previous activity based costing models. These models have been developed and improved over the time the department has undertaken cost recovery.</w:t>
      </w:r>
    </w:p>
    <w:p w:rsidR="00DC4FFD" w:rsidRDefault="00DC4FFD">
      <w:pPr>
        <w:pStyle w:val="Heading3"/>
      </w:pPr>
      <w:bookmarkStart w:id="36" w:name="_Toc433035548"/>
      <w:r>
        <w:t>Determining the cost base</w:t>
      </w:r>
      <w:bookmarkEnd w:id="35"/>
      <w:bookmarkEnd w:id="36"/>
      <w:r>
        <w:t xml:space="preserve"> </w:t>
      </w:r>
    </w:p>
    <w:p w:rsidR="00DC4FFD" w:rsidRDefault="00DC4FFD">
      <w:r>
        <w:t xml:space="preserve">The department’s 2014–15 budget </w:t>
      </w:r>
      <w:proofErr w:type="gramStart"/>
      <w:r>
        <w:t>has been used</w:t>
      </w:r>
      <w:proofErr w:type="gramEnd"/>
      <w:r>
        <w:t xml:space="preserve"> as the starting point for determining the cost base. It </w:t>
      </w:r>
      <w:proofErr w:type="gramStart"/>
      <w:r>
        <w:t>is drawn</w:t>
      </w:r>
      <w:proofErr w:type="gramEnd"/>
      <w:r>
        <w:t xml:space="preserve"> from the department’s Financial Management Information System (FMIS) and is made up of three types of costs:</w:t>
      </w:r>
    </w:p>
    <w:p w:rsidR="00DC4FFD" w:rsidRDefault="00DC4FFD" w:rsidP="00781323">
      <w:pPr>
        <w:pStyle w:val="ListBullet"/>
      </w:pPr>
      <w:r>
        <w:t xml:space="preserve">Direct expenses— these </w:t>
      </w:r>
      <w:proofErr w:type="gramStart"/>
      <w:r>
        <w:t>can be traced</w:t>
      </w:r>
      <w:proofErr w:type="gramEnd"/>
      <w:r>
        <w:t xml:space="preserve"> to the provision of an activity, for example inspections. Direct expenses include staff salaries and supplier costs.</w:t>
      </w:r>
    </w:p>
    <w:p w:rsidR="00DC4FFD" w:rsidRDefault="00DC4FFD" w:rsidP="00781323">
      <w:pPr>
        <w:pStyle w:val="ListBullet"/>
      </w:pPr>
      <w:r>
        <w:t xml:space="preserve">Indirect expenses—these </w:t>
      </w:r>
      <w:proofErr w:type="gramStart"/>
      <w:r>
        <w:t>are not easily linked</w:t>
      </w:r>
      <w:proofErr w:type="gramEnd"/>
      <w:r>
        <w:t xml:space="preserve"> to an activity provided by the department. Indirect expenses include corporate employee salaries and overheads such as information technology, finance and human resources cost.</w:t>
      </w:r>
    </w:p>
    <w:p w:rsidR="00DC4FFD" w:rsidRDefault="00DC4FFD" w:rsidP="00781323">
      <w:pPr>
        <w:pStyle w:val="ListBullet"/>
      </w:pPr>
      <w:r>
        <w:t>Capital expenses—this includes plant, property and depreciation.</w:t>
      </w:r>
    </w:p>
    <w:p w:rsidR="00DC4FFD" w:rsidRDefault="00DC4FFD" w:rsidP="00163DC2">
      <w:r>
        <w:lastRenderedPageBreak/>
        <w:t xml:space="preserve">Indirect expenses </w:t>
      </w:r>
      <w:proofErr w:type="gramStart"/>
      <w:r>
        <w:t>are allocated</w:t>
      </w:r>
      <w:proofErr w:type="gramEnd"/>
      <w:r>
        <w:t xml:space="preserve"> to activities using appropriate drivers in the FMIS costing methodology such as the number of full time equivalents (FTE) of staff and technology assets. Effort surveys and the use of department cost drivers provides a consistent approach for allocating expenses into the activity based cost recovery model across all of the department’s cost recovery arrangements.</w:t>
      </w:r>
    </w:p>
    <w:p w:rsidR="00DC4FFD" w:rsidRDefault="00DC4FFD" w:rsidP="00163DC2">
      <w:r>
        <w:t xml:space="preserve">To project the cost base over the next four years, adjustments </w:t>
      </w:r>
      <w:proofErr w:type="gramStart"/>
      <w:r>
        <w:t>are applied</w:t>
      </w:r>
      <w:proofErr w:type="gramEnd"/>
      <w:r>
        <w:t xml:space="preserve"> to capture expected changes to the costs. These </w:t>
      </w:r>
      <w:proofErr w:type="gramStart"/>
      <w:r>
        <w:t>are changes that</w:t>
      </w:r>
      <w:proofErr w:type="gramEnd"/>
      <w:r>
        <w:t xml:space="preserve"> have not yet been captured in the department’s FMIS. Reductions in costs will arise from reforms such as service delivery modernisation, while factors such as inflation on supplier expenses and new capital items will increase costs.</w:t>
      </w:r>
    </w:p>
    <w:p w:rsidR="00DC4FFD" w:rsidRDefault="00DC4FFD">
      <w:pPr>
        <w:pStyle w:val="Heading3"/>
      </w:pPr>
      <w:bookmarkStart w:id="37" w:name="_Toc418840047"/>
      <w:bookmarkStart w:id="38" w:name="_Toc433035549"/>
      <w:r>
        <w:t>Activity-based cost model</w:t>
      </w:r>
      <w:bookmarkEnd w:id="37"/>
      <w:bookmarkEnd w:id="38"/>
    </w:p>
    <w:p w:rsidR="00DC4FFD" w:rsidRDefault="00DC4FFD">
      <w:r>
        <w:t xml:space="preserve">The department’s cost recovery model consists of 17 activities divided into four groups (as shown in </w:t>
      </w:r>
      <w:r w:rsidR="00D47C5E">
        <w:fldChar w:fldCharType="begin"/>
      </w:r>
      <w:r w:rsidR="00D47C5E">
        <w:instrText xml:space="preserve"> REF _Ref433376561 \h </w:instrText>
      </w:r>
      <w:r w:rsidR="00D47C5E">
        <w:fldChar w:fldCharType="separate"/>
      </w:r>
      <w:r w:rsidR="0058767D">
        <w:t xml:space="preserve">Table </w:t>
      </w:r>
      <w:r w:rsidR="0058767D">
        <w:rPr>
          <w:noProof/>
        </w:rPr>
        <w:t>1</w:t>
      </w:r>
      <w:r w:rsidR="00D47C5E">
        <w:fldChar w:fldCharType="end"/>
      </w:r>
      <w:r>
        <w:t xml:space="preserve">). The activities and groups </w:t>
      </w:r>
      <w:proofErr w:type="gramStart"/>
      <w:r>
        <w:t>are based</w:t>
      </w:r>
      <w:proofErr w:type="gramEnd"/>
      <w:r>
        <w:t xml:space="preserve"> on the department’s business service catalogue of activities. The business service catalogue provides consistent descriptions of the department’s activities and underpins a range of reforms across the department. The cost model ensures that fees or levies collect similar costs consistently across all biosecurity and export cost recovery arrangements.</w:t>
      </w:r>
    </w:p>
    <w:p w:rsidR="00DC4FFD" w:rsidRDefault="00DC4FFD">
      <w:r>
        <w:t xml:space="preserve">The four groups of activities in </w:t>
      </w:r>
      <w:r w:rsidR="00D47C5E">
        <w:fldChar w:fldCharType="begin"/>
      </w:r>
      <w:r w:rsidR="00D47C5E">
        <w:instrText xml:space="preserve"> REF _Ref433377098 \h </w:instrText>
      </w:r>
      <w:r w:rsidR="00D47C5E">
        <w:fldChar w:fldCharType="separate"/>
      </w:r>
      <w:r w:rsidR="0058767D">
        <w:t xml:space="preserve">Figure </w:t>
      </w:r>
      <w:r w:rsidR="0058767D">
        <w:rPr>
          <w:noProof/>
        </w:rPr>
        <w:t>1</w:t>
      </w:r>
      <w:r w:rsidR="00D47C5E">
        <w:fldChar w:fldCharType="end"/>
      </w:r>
      <w:r w:rsidR="00D47C5E">
        <w:t xml:space="preserve"> </w:t>
      </w:r>
      <w:r>
        <w:t xml:space="preserve">determine how the costs of each activity </w:t>
      </w:r>
      <w:proofErr w:type="gramStart"/>
      <w:r>
        <w:t>are recovered</w:t>
      </w:r>
      <w:proofErr w:type="gramEnd"/>
      <w:r>
        <w:t xml:space="preserve">. The costs associated with programme management and administration, assurance, and incident management activities </w:t>
      </w:r>
      <w:proofErr w:type="gramStart"/>
      <w:r>
        <w:t>are recovered</w:t>
      </w:r>
      <w:proofErr w:type="gramEnd"/>
      <w:r>
        <w:t xml:space="preserve"> through levies. Levies recover costs of activities provided to a group of individuals, businesses or organisations. The costs associated with the intervention activities </w:t>
      </w:r>
      <w:proofErr w:type="gramStart"/>
      <w:r>
        <w:t>are recovered</w:t>
      </w:r>
      <w:proofErr w:type="gramEnd"/>
      <w:r>
        <w:t xml:space="preserve"> through fees. A fee applies to those activities provided directly to an individual, business or organisation. This application of fees and levies aligns with the CRGs.</w:t>
      </w:r>
    </w:p>
    <w:p w:rsidR="00D47C5E" w:rsidRDefault="00D47C5E" w:rsidP="00D47C5E">
      <w:pPr>
        <w:pStyle w:val="Caption"/>
        <w:keepNext/>
      </w:pPr>
      <w:bookmarkStart w:id="39" w:name="_Ref433377098"/>
      <w:bookmarkStart w:id="40" w:name="_Ref433377030"/>
      <w:r>
        <w:lastRenderedPageBreak/>
        <w:t xml:space="preserve">Figure </w:t>
      </w:r>
      <w:r w:rsidR="0058767D">
        <w:fldChar w:fldCharType="begin"/>
      </w:r>
      <w:r w:rsidR="0058767D">
        <w:instrText xml:space="preserve"> SEQ Figure \* ARABIC </w:instrText>
      </w:r>
      <w:r w:rsidR="0058767D">
        <w:fldChar w:fldCharType="separate"/>
      </w:r>
      <w:r w:rsidR="0058767D">
        <w:rPr>
          <w:noProof/>
        </w:rPr>
        <w:t>1</w:t>
      </w:r>
      <w:r w:rsidR="0058767D">
        <w:rPr>
          <w:noProof/>
        </w:rPr>
        <w:fldChar w:fldCharType="end"/>
      </w:r>
      <w:bookmarkEnd w:id="39"/>
      <w:r>
        <w:t xml:space="preserve">: </w:t>
      </w:r>
      <w:r w:rsidRPr="00524887">
        <w:t>The department’s activity base cost model</w:t>
      </w:r>
      <w:bookmarkEnd w:id="40"/>
    </w:p>
    <w:p w:rsidR="00DC4FFD" w:rsidRDefault="00803586">
      <w:r>
        <w:rPr>
          <w:noProof/>
          <w:lang w:eastAsia="en-AU"/>
        </w:rPr>
        <w:drawing>
          <wp:inline distT="0" distB="0" distL="0" distR="0" wp14:anchorId="30674E85" wp14:editId="063C231B">
            <wp:extent cx="5938520" cy="3768090"/>
            <wp:effectExtent l="0" t="0" r="5080" b="3810"/>
            <wp:docPr id="4" name="Picture 1" descr="The department’s cost model is made up of four categories of activities.&#10;Costs that fall into the Programme Management and Administration, Assurance and Incident Management categories are recovered through levies.&#10;Programme management and administration activities include workforce and business management, business systems administration, stakeholder engagement, policy and instructional material, and business improvement.&#10;Assurance activities include risk management, verification, and surveillance.&#10;Incident management costs include incident management, investigation support, and corrective action&#10;Costs in the intervention category are recovered through fees.&#10;Intervention activities include assessment, issuing approvals and certification, inspections, treatments, husbandry, and audits.&#10;" title="Figure 1: The department’s activity base cos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38520" cy="3768090"/>
                    </a:xfrm>
                    <a:prstGeom prst="rect">
                      <a:avLst/>
                    </a:prstGeom>
                    <a:noFill/>
                    <a:ln>
                      <a:noFill/>
                    </a:ln>
                  </pic:spPr>
                </pic:pic>
              </a:graphicData>
            </a:graphic>
          </wp:inline>
        </w:drawing>
      </w:r>
    </w:p>
    <w:p w:rsidR="00DC4FFD" w:rsidRDefault="00DC4FFD">
      <w:pPr>
        <w:pStyle w:val="Heading3"/>
        <w:spacing w:after="0"/>
      </w:pPr>
      <w:bookmarkStart w:id="41" w:name="_Toc433035550"/>
      <w:r>
        <w:t>Activities undertaken for</w:t>
      </w:r>
      <w:r w:rsidR="00FD19FD">
        <w:rPr>
          <w:lang w:val="en-AU"/>
        </w:rPr>
        <w:t xml:space="preserve"> the</w:t>
      </w:r>
      <w:r>
        <w:t xml:space="preserve"> plant export</w:t>
      </w:r>
      <w:r>
        <w:rPr>
          <w:lang w:val="en-AU"/>
        </w:rPr>
        <w:t>s</w:t>
      </w:r>
      <w:r>
        <w:t xml:space="preserve"> cost recovery arrangement</w:t>
      </w:r>
      <w:bookmarkEnd w:id="41"/>
      <w:r w:rsidR="001B5398">
        <w:rPr>
          <w:lang w:val="en-AU"/>
        </w:rPr>
        <w:t>s</w:t>
      </w:r>
    </w:p>
    <w:p w:rsidR="00DC4FFD" w:rsidRDefault="00DC4FFD">
      <w:r>
        <w:t xml:space="preserve">Plant exports cost recovery arrangements incur costs in 12 of the 17 activities under the department’s cost model. Charges, volumetric forecasts and revenue projections for the grain exports cost recovery arrangement </w:t>
      </w:r>
      <w:proofErr w:type="gramStart"/>
      <w:r>
        <w:t>is provided</w:t>
      </w:r>
      <w:proofErr w:type="gramEnd"/>
      <w:r>
        <w:t xml:space="preserve"> at </w:t>
      </w:r>
      <w:r>
        <w:rPr>
          <w:b/>
        </w:rPr>
        <w:t xml:space="preserve">Attachments A. </w:t>
      </w:r>
      <w:r>
        <w:t xml:space="preserve"> Charges, volumetric forecasts and revenue projections for the horticultural exports cost recovery arrangement </w:t>
      </w:r>
      <w:proofErr w:type="gramStart"/>
      <w:r>
        <w:t>is provided</w:t>
      </w:r>
      <w:proofErr w:type="gramEnd"/>
      <w:r>
        <w:t xml:space="preserve"> at </w:t>
      </w:r>
      <w:r>
        <w:rPr>
          <w:b/>
        </w:rPr>
        <w:t xml:space="preserve">Attachments B. </w:t>
      </w:r>
      <w:r>
        <w:t xml:space="preserve">A description of the activities relevant to both grain and horticulture export certification is at </w:t>
      </w:r>
      <w:r>
        <w:rPr>
          <w:b/>
        </w:rPr>
        <w:t>Attachment C</w:t>
      </w:r>
      <w:r>
        <w:t>.</w:t>
      </w:r>
    </w:p>
    <w:p w:rsidR="00DC4FFD" w:rsidRDefault="00DC4FFD">
      <w:pPr>
        <w:pStyle w:val="Heading3"/>
      </w:pPr>
      <w:bookmarkStart w:id="42" w:name="_Toc418840048"/>
      <w:bookmarkStart w:id="43" w:name="_Toc433035551"/>
      <w:bookmarkStart w:id="44" w:name="OLE_LINK9"/>
      <w:bookmarkStart w:id="45" w:name="OLE_LINK10"/>
      <w:r>
        <w:lastRenderedPageBreak/>
        <w:t>Volumetric forecasts</w:t>
      </w:r>
      <w:bookmarkEnd w:id="42"/>
      <w:bookmarkEnd w:id="43"/>
    </w:p>
    <w:p w:rsidR="00DC4FFD" w:rsidRDefault="00DC4FFD">
      <w:pPr>
        <w:spacing w:after="120"/>
        <w:rPr>
          <w:lang w:eastAsia="en-AU"/>
        </w:rPr>
      </w:pPr>
      <w:r>
        <w:rPr>
          <w:lang w:eastAsia="en-AU"/>
        </w:rPr>
        <w:t>The demand for the department’s services drives costs and hence the level of revenue required to recover those costs. The forecast volumes of services, such as certificates issued or premises registered, or volumes of exports, are required to calculate the price of fees and levies. To incorporate volume changes into projected prices, the department maintains a volume forecast model. This uses historical volumes of exports and predicts future market conditions and their likely impact on demand for the department’s activities.</w:t>
      </w:r>
    </w:p>
    <w:p w:rsidR="00DC4FFD" w:rsidRDefault="00DC4FFD">
      <w:pPr>
        <w:keepNext/>
        <w:spacing w:after="120"/>
        <w:rPr>
          <w:lang w:eastAsia="en-AU"/>
        </w:rPr>
      </w:pPr>
      <w:r>
        <w:rPr>
          <w:lang w:eastAsia="en-AU"/>
        </w:rPr>
        <w:t>The volumetric model:</w:t>
      </w:r>
    </w:p>
    <w:p w:rsidR="00DC4FFD" w:rsidRDefault="00DC4FFD" w:rsidP="00781323">
      <w:pPr>
        <w:pStyle w:val="ListBullet"/>
      </w:pPr>
      <w:r>
        <w:t>uses Australian Bureau of Agricultural and Resource Economics and Sciences (ABARES) analysis to forecast the impact of macro-economic drivers on historical volumes</w:t>
      </w:r>
    </w:p>
    <w:p w:rsidR="00DC4FFD" w:rsidRDefault="00DC4FFD" w:rsidP="00781323">
      <w:pPr>
        <w:pStyle w:val="ListBullet"/>
      </w:pPr>
      <w:r>
        <w:t>incorporates industry forecasts and the ABARES commodity forecasts</w:t>
      </w:r>
    </w:p>
    <w:p w:rsidR="00DC4FFD" w:rsidRDefault="00DC4FFD" w:rsidP="00781323">
      <w:pPr>
        <w:pStyle w:val="ListBullet"/>
      </w:pPr>
      <w:proofErr w:type="gramStart"/>
      <w:r>
        <w:t>projects</w:t>
      </w:r>
      <w:proofErr w:type="gramEnd"/>
      <w:r>
        <w:t xml:space="preserve"> the effect of change business processes on historical trends, such as changes in regulation, service delivery, organisational structure, and charging structures.</w:t>
      </w:r>
    </w:p>
    <w:p w:rsidR="00DC4FFD" w:rsidRDefault="00DC4FFD">
      <w:r>
        <w:t xml:space="preserve">External business information, which </w:t>
      </w:r>
      <w:proofErr w:type="gramStart"/>
      <w:r>
        <w:t>is provided</w:t>
      </w:r>
      <w:proofErr w:type="gramEnd"/>
      <w:r>
        <w:t xml:space="preserve"> through established industry consultative committees, is also used to improve and validate the volumetric forecasts.</w:t>
      </w:r>
    </w:p>
    <w:p w:rsidR="00DC4FFD" w:rsidRDefault="00DC4FFD">
      <w:pPr>
        <w:pStyle w:val="Heading3"/>
      </w:pPr>
      <w:bookmarkStart w:id="46" w:name="_Toc433035552"/>
      <w:bookmarkEnd w:id="31"/>
      <w:bookmarkEnd w:id="32"/>
      <w:bookmarkEnd w:id="44"/>
      <w:bookmarkEnd w:id="45"/>
      <w:r>
        <w:t>Cost recovery reserve</w:t>
      </w:r>
      <w:bookmarkEnd w:id="46"/>
    </w:p>
    <w:p w:rsidR="00DC4FFD" w:rsidRDefault="00DC4FFD">
      <w:r>
        <w:t xml:space="preserve">The department has revised its cost recovery reserve (previously industry reserve) policy to assist with managing the alignment of revenue and expenses. This has meant changing the policy from maintaining a balance of between two and ten percent of annual programme expenditure to a balance of between zero and five percent of annual programme expenditure. Closer management of the financial performance of arrangements may lead </w:t>
      </w:r>
      <w:proofErr w:type="gramStart"/>
      <w:r>
        <w:t>to more frequent adjustments to charges</w:t>
      </w:r>
      <w:proofErr w:type="gramEnd"/>
      <w:r>
        <w:t xml:space="preserve">. Subject to government approval, over recoveries </w:t>
      </w:r>
      <w:proofErr w:type="gramStart"/>
      <w:r>
        <w:t>may be managed</w:t>
      </w:r>
      <w:proofErr w:type="gramEnd"/>
      <w:r>
        <w:t xml:space="preserve"> through remittance, or investment initiatives.</w:t>
      </w:r>
    </w:p>
    <w:p w:rsidR="00DC4FFD" w:rsidRDefault="00DC4FFD">
      <w:r>
        <w:lastRenderedPageBreak/>
        <w:t xml:space="preserve">A single reserve </w:t>
      </w:r>
      <w:proofErr w:type="gramStart"/>
      <w:r>
        <w:t>will be maintained</w:t>
      </w:r>
      <w:proofErr w:type="gramEnd"/>
      <w:r>
        <w:t xml:space="preserve"> for each cost recovery arrangement.</w:t>
      </w:r>
      <w:bookmarkEnd w:id="33"/>
    </w:p>
    <w:p w:rsidR="00DC4FFD" w:rsidRDefault="00DC4FFD" w:rsidP="003C0A2C">
      <w:pPr>
        <w:pStyle w:val="Heading2"/>
      </w:pPr>
      <w:bookmarkStart w:id="47" w:name="_Toc433035553"/>
      <w:r>
        <w:lastRenderedPageBreak/>
        <w:t>Risk Management</w:t>
      </w:r>
      <w:bookmarkEnd w:id="47"/>
    </w:p>
    <w:p w:rsidR="00C54C90" w:rsidRDefault="00C54C90" w:rsidP="00C54C90">
      <w:bookmarkStart w:id="48" w:name="_Toc433035554"/>
      <w:r>
        <w:t xml:space="preserve">The department completed a Cost Recovery Risk Assessment (CCRA) for the redesign of its biosecurity and export certification cost recovery arrangements. The CRRA’s overall risk rating for the redesign is medium. Under the CRRA methodology, an overall rating is high if three or more predetermined criteria are categorised as high across the CRRA’s seven implementation risks. </w:t>
      </w:r>
    </w:p>
    <w:p w:rsidR="00C54C90" w:rsidRDefault="00C54C90" w:rsidP="00C54C90">
      <w:r>
        <w:t xml:space="preserve">Only </w:t>
      </w:r>
      <w:proofErr w:type="gramStart"/>
      <w:r>
        <w:t>two implementation</w:t>
      </w:r>
      <w:proofErr w:type="gramEnd"/>
      <w:r>
        <w:t xml:space="preserve"> risks fall into the high category: over $330 million in annual costs are to be recovered; and some activities that had not been previously cost recovered will now be cost recovered. Four implementation risks are in the medium category: the types of charges used are fees and levies, acts of Parliament enable the changes; there is a medium level of impact on payers; and that stakeholders </w:t>
      </w:r>
      <w:proofErr w:type="gramStart"/>
      <w:r>
        <w:t>have been consulted</w:t>
      </w:r>
      <w:proofErr w:type="gramEnd"/>
      <w:r>
        <w:t xml:space="preserve"> and have raised issues, but these issues can be addressed. One implementation risk, that the change in annual cost recovery revenue is less than 5 per cent from the current arrangements, falls in the low risk category. </w:t>
      </w:r>
    </w:p>
    <w:p w:rsidR="00C54C90" w:rsidRDefault="00C54C90" w:rsidP="00C54C90">
      <w:r>
        <w:t>The department has also considered a number of risks in addition to the CRRA associated with cost recovering plant export activities and their management</w:t>
      </w:r>
      <w:r w:rsidR="00D47C5E">
        <w:t xml:space="preserve"> (</w:t>
      </w:r>
      <w:r w:rsidR="00D47C5E">
        <w:fldChar w:fldCharType="begin"/>
      </w:r>
      <w:r w:rsidR="00D47C5E">
        <w:instrText xml:space="preserve"> REF _Ref433376561 \h </w:instrText>
      </w:r>
      <w:r w:rsidR="00D47C5E">
        <w:fldChar w:fldCharType="separate"/>
      </w:r>
      <w:r w:rsidR="0058767D">
        <w:t xml:space="preserve">Table </w:t>
      </w:r>
      <w:r w:rsidR="0058767D">
        <w:rPr>
          <w:noProof/>
        </w:rPr>
        <w:t>1</w:t>
      </w:r>
      <w:r w:rsidR="00D47C5E">
        <w:fldChar w:fldCharType="end"/>
      </w:r>
      <w:r w:rsidR="00D47C5E">
        <w:t>)</w:t>
      </w:r>
      <w:r>
        <w:t>.</w:t>
      </w:r>
    </w:p>
    <w:p w:rsidR="00D47C5E" w:rsidRDefault="00D47C5E" w:rsidP="00D47C5E">
      <w:pPr>
        <w:pStyle w:val="Caption"/>
        <w:keepNext/>
      </w:pPr>
      <w:bookmarkStart w:id="49" w:name="_Ref433376561"/>
      <w:r>
        <w:t xml:space="preserve">Table </w:t>
      </w:r>
      <w:r w:rsidR="0058767D">
        <w:fldChar w:fldCharType="begin"/>
      </w:r>
      <w:r w:rsidR="0058767D">
        <w:instrText xml:space="preserve"> SEQ Table \* ARABIC </w:instrText>
      </w:r>
      <w:r w:rsidR="0058767D">
        <w:fldChar w:fldCharType="separate"/>
      </w:r>
      <w:r w:rsidR="0058767D">
        <w:rPr>
          <w:noProof/>
        </w:rPr>
        <w:t>1</w:t>
      </w:r>
      <w:r w:rsidR="0058767D">
        <w:rPr>
          <w:noProof/>
        </w:rPr>
        <w:fldChar w:fldCharType="end"/>
      </w:r>
      <w:bookmarkEnd w:id="49"/>
      <w:r>
        <w:t xml:space="preserve">: </w:t>
      </w:r>
      <w:r w:rsidRPr="007D3820">
        <w:t>Risks—plant exports cost recovery arrangement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81"/>
        <w:gridCol w:w="5479"/>
      </w:tblGrid>
      <w:tr w:rsidR="00C54C90" w:rsidTr="00D47C5E">
        <w:trPr>
          <w:cantSplit/>
          <w:tblHeader/>
        </w:trPr>
        <w:tc>
          <w:tcPr>
            <w:tcW w:w="3581" w:type="dxa"/>
            <w:tcBorders>
              <w:bottom w:val="single" w:sz="4" w:space="0" w:color="auto"/>
            </w:tcBorders>
            <w:shd w:val="solid" w:color="DBE5F1" w:fill="C6D9F1"/>
            <w:vAlign w:val="center"/>
          </w:tcPr>
          <w:p w:rsidR="00C54C90" w:rsidRDefault="00C54C90" w:rsidP="00F13B84">
            <w:pPr>
              <w:jc w:val="center"/>
            </w:pPr>
            <w:r>
              <w:t xml:space="preserve">Risk </w:t>
            </w:r>
          </w:p>
        </w:tc>
        <w:tc>
          <w:tcPr>
            <w:tcW w:w="5479" w:type="dxa"/>
            <w:shd w:val="solid" w:color="DBE5F1" w:fill="C6D9F1"/>
            <w:vAlign w:val="center"/>
          </w:tcPr>
          <w:p w:rsidR="00C54C90" w:rsidRDefault="00C54C90" w:rsidP="00F13B84">
            <w:pPr>
              <w:jc w:val="center"/>
            </w:pPr>
            <w:r>
              <w:t>Management</w:t>
            </w:r>
          </w:p>
        </w:tc>
      </w:tr>
      <w:tr w:rsidR="00C54C90" w:rsidTr="00D47C5E">
        <w:trPr>
          <w:trHeight w:val="567"/>
        </w:trPr>
        <w:tc>
          <w:tcPr>
            <w:tcW w:w="3581" w:type="dxa"/>
            <w:tcBorders>
              <w:top w:val="single" w:sz="4" w:space="0" w:color="auto"/>
              <w:left w:val="single" w:sz="4" w:space="0" w:color="auto"/>
              <w:bottom w:val="single" w:sz="4" w:space="0" w:color="auto"/>
              <w:right w:val="single" w:sz="4" w:space="0" w:color="auto"/>
            </w:tcBorders>
            <w:shd w:val="clear" w:color="auto" w:fill="auto"/>
          </w:tcPr>
          <w:p w:rsidR="00C54C90" w:rsidRDefault="00C54C90" w:rsidP="00F13B84">
            <w:r>
              <w:t>Cost of export certification impacts on industry competitiveness.</w:t>
            </w:r>
          </w:p>
        </w:tc>
        <w:tc>
          <w:tcPr>
            <w:tcW w:w="5479" w:type="dxa"/>
            <w:tcBorders>
              <w:left w:val="single" w:sz="4" w:space="0" w:color="auto"/>
            </w:tcBorders>
            <w:shd w:val="clear" w:color="auto" w:fill="auto"/>
          </w:tcPr>
          <w:p w:rsidR="00C54C90" w:rsidRDefault="00C54C90" w:rsidP="00F13B84">
            <w:r>
              <w:t>The department is implementing a range of reforms to deliver efficiencies in its export certification processes. Analysis by ABARES shows that full recovery of the department’s export certification costs has a small impact on the value of agriculture exports—less than 0.8 percent for each of the commodities considered.</w:t>
            </w:r>
          </w:p>
        </w:tc>
      </w:tr>
      <w:tr w:rsidR="00C54C90" w:rsidTr="00D47C5E">
        <w:trPr>
          <w:trHeight w:val="567"/>
        </w:trPr>
        <w:tc>
          <w:tcPr>
            <w:tcW w:w="3581" w:type="dxa"/>
            <w:tcBorders>
              <w:top w:val="single" w:sz="4" w:space="0" w:color="auto"/>
              <w:left w:val="single" w:sz="4" w:space="0" w:color="auto"/>
              <w:bottom w:val="single" w:sz="4" w:space="0" w:color="auto"/>
              <w:right w:val="single" w:sz="4" w:space="0" w:color="auto"/>
            </w:tcBorders>
            <w:shd w:val="clear" w:color="auto" w:fill="auto"/>
          </w:tcPr>
          <w:p w:rsidR="00C54C90" w:rsidRDefault="00C54C90" w:rsidP="00F13B84">
            <w:r>
              <w:lastRenderedPageBreak/>
              <w:t xml:space="preserve">The redesigned fee </w:t>
            </w:r>
            <w:r w:rsidR="00FD19FD">
              <w:t xml:space="preserve">and levy </w:t>
            </w:r>
            <w:r>
              <w:t xml:space="preserve">structure </w:t>
            </w:r>
            <w:proofErr w:type="gramStart"/>
            <w:r>
              <w:t>doesn’t</w:t>
            </w:r>
            <w:proofErr w:type="gramEnd"/>
            <w:r>
              <w:t xml:space="preserve"> support future regulatory reforms.</w:t>
            </w:r>
          </w:p>
        </w:tc>
        <w:tc>
          <w:tcPr>
            <w:tcW w:w="5479" w:type="dxa"/>
            <w:tcBorders>
              <w:left w:val="single" w:sz="4" w:space="0" w:color="auto"/>
            </w:tcBorders>
            <w:shd w:val="clear" w:color="auto" w:fill="auto"/>
          </w:tcPr>
          <w:p w:rsidR="00C54C90" w:rsidRDefault="00C54C90" w:rsidP="00FD19FD">
            <w:r>
              <w:t xml:space="preserve">The fee </w:t>
            </w:r>
            <w:r w:rsidR="00FD19FD">
              <w:t xml:space="preserve">and levy </w:t>
            </w:r>
            <w:r>
              <w:t xml:space="preserve">structure </w:t>
            </w:r>
            <w:proofErr w:type="gramStart"/>
            <w:r w:rsidR="00FD19FD">
              <w:t>was</w:t>
            </w:r>
            <w:r>
              <w:t xml:space="preserve"> designed</w:t>
            </w:r>
            <w:proofErr w:type="gramEnd"/>
            <w:r>
              <w:t xml:space="preserve"> taking into consideration future reforms. The structure </w:t>
            </w:r>
            <w:proofErr w:type="gramStart"/>
            <w:r>
              <w:t>has been developed</w:t>
            </w:r>
            <w:proofErr w:type="gramEnd"/>
            <w:r>
              <w:t xml:space="preserve"> to enable it to be adapted to proposed reforms.</w:t>
            </w:r>
          </w:p>
        </w:tc>
      </w:tr>
      <w:tr w:rsidR="00C54C90" w:rsidTr="00D47C5E">
        <w:trPr>
          <w:cantSplit/>
          <w:trHeight w:val="504"/>
        </w:trPr>
        <w:tc>
          <w:tcPr>
            <w:tcW w:w="3581" w:type="dxa"/>
            <w:tcBorders>
              <w:top w:val="single" w:sz="4" w:space="0" w:color="auto"/>
              <w:left w:val="single" w:sz="4" w:space="0" w:color="auto"/>
              <w:bottom w:val="single" w:sz="4" w:space="0" w:color="auto"/>
              <w:right w:val="single" w:sz="4" w:space="0" w:color="auto"/>
            </w:tcBorders>
            <w:shd w:val="clear" w:color="auto" w:fill="auto"/>
          </w:tcPr>
          <w:p w:rsidR="00C54C90" w:rsidRDefault="00C54C90" w:rsidP="00F13B84">
            <w:r>
              <w:t>Government policy changes and activities described are no longer undertaken.</w:t>
            </w:r>
          </w:p>
        </w:tc>
        <w:tc>
          <w:tcPr>
            <w:tcW w:w="5479" w:type="dxa"/>
            <w:tcBorders>
              <w:left w:val="single" w:sz="4" w:space="0" w:color="auto"/>
            </w:tcBorders>
            <w:shd w:val="clear" w:color="auto" w:fill="auto"/>
          </w:tcPr>
          <w:p w:rsidR="00C54C90" w:rsidRDefault="00C54C90" w:rsidP="00F13B84">
            <w:r>
              <w:t>Regular assessments of the arrangement will inform whether a cost recovery review is required.</w:t>
            </w:r>
          </w:p>
        </w:tc>
      </w:tr>
      <w:tr w:rsidR="00C54C90" w:rsidTr="00D47C5E">
        <w:trPr>
          <w:trHeight w:val="444"/>
        </w:trPr>
        <w:tc>
          <w:tcPr>
            <w:tcW w:w="3581" w:type="dxa"/>
            <w:tcBorders>
              <w:top w:val="single" w:sz="4" w:space="0" w:color="auto"/>
              <w:left w:val="single" w:sz="4" w:space="0" w:color="auto"/>
              <w:bottom w:val="single" w:sz="4" w:space="0" w:color="auto"/>
              <w:right w:val="single" w:sz="4" w:space="0" w:color="auto"/>
            </w:tcBorders>
            <w:shd w:val="clear" w:color="auto" w:fill="auto"/>
          </w:tcPr>
          <w:p w:rsidR="00C54C90" w:rsidRDefault="00C54C90" w:rsidP="00F13B84">
            <w:r>
              <w:t xml:space="preserve">Importing countries change export certification requirements – the cost of providing certification no longer reflects associated effort. </w:t>
            </w:r>
          </w:p>
        </w:tc>
        <w:tc>
          <w:tcPr>
            <w:tcW w:w="5479" w:type="dxa"/>
            <w:tcBorders>
              <w:left w:val="single" w:sz="4" w:space="0" w:color="auto"/>
            </w:tcBorders>
            <w:shd w:val="clear" w:color="auto" w:fill="auto"/>
          </w:tcPr>
          <w:p w:rsidR="00C54C90" w:rsidRDefault="00C54C90" w:rsidP="00F13B84">
            <w:r>
              <w:t>Regular assessments of the arrangement will inform whether a cost recovery review is required.</w:t>
            </w:r>
          </w:p>
        </w:tc>
      </w:tr>
      <w:tr w:rsidR="00C54C90" w:rsidTr="00D47C5E">
        <w:trPr>
          <w:trHeight w:val="444"/>
        </w:trPr>
        <w:tc>
          <w:tcPr>
            <w:tcW w:w="3581" w:type="dxa"/>
            <w:tcBorders>
              <w:top w:val="single" w:sz="4" w:space="0" w:color="auto"/>
              <w:left w:val="single" w:sz="4" w:space="0" w:color="auto"/>
              <w:bottom w:val="single" w:sz="4" w:space="0" w:color="auto"/>
              <w:right w:val="single" w:sz="4" w:space="0" w:color="auto"/>
            </w:tcBorders>
            <w:shd w:val="clear" w:color="auto" w:fill="auto"/>
          </w:tcPr>
          <w:p w:rsidR="00C54C90" w:rsidRDefault="00C54C90" w:rsidP="00F13B84">
            <w:r>
              <w:t>Over recovery occurs.</w:t>
            </w:r>
          </w:p>
        </w:tc>
        <w:tc>
          <w:tcPr>
            <w:tcW w:w="5479" w:type="dxa"/>
            <w:tcBorders>
              <w:left w:val="single" w:sz="4" w:space="0" w:color="auto"/>
            </w:tcBorders>
            <w:shd w:val="clear" w:color="auto" w:fill="auto"/>
          </w:tcPr>
          <w:p w:rsidR="00C54C90" w:rsidRDefault="00C54C90" w:rsidP="00F13B84">
            <w:r>
              <w:t xml:space="preserve">Subject to government approval, over recoveries </w:t>
            </w:r>
            <w:proofErr w:type="gramStart"/>
            <w:r>
              <w:t>may be managed</w:t>
            </w:r>
            <w:proofErr w:type="gramEnd"/>
            <w:r>
              <w:t xml:space="preserve"> through remittance, or investment initiatives.</w:t>
            </w:r>
          </w:p>
        </w:tc>
      </w:tr>
    </w:tbl>
    <w:p w:rsidR="00DC4FFD" w:rsidRDefault="00DC4FFD" w:rsidP="003C0A2C">
      <w:pPr>
        <w:pStyle w:val="Heading2"/>
      </w:pPr>
      <w:r>
        <w:lastRenderedPageBreak/>
        <w:t>Stakeholder engagement</w:t>
      </w:r>
      <w:bookmarkEnd w:id="48"/>
    </w:p>
    <w:p w:rsidR="00DC4FFD" w:rsidRDefault="00DC4FFD">
      <w:bookmarkStart w:id="50" w:name="_Toc415218008"/>
      <w:r>
        <w:t xml:space="preserve">Communication with the department’s clients has been an integral part of redesigning the fee and levy structure and prices for recovering the costs of the department’s biosecurity and export certification </w:t>
      </w:r>
      <w:r>
        <w:rPr>
          <w:lang w:eastAsia="en-AU"/>
        </w:rPr>
        <w:t>activities</w:t>
      </w:r>
      <w:r>
        <w:t>. Since September 2014, the department has consulted with over 400 individuals and organisations including through Industry Consultative Committees.</w:t>
      </w:r>
    </w:p>
    <w:p w:rsidR="00DC4FFD" w:rsidRDefault="00DC4FFD">
      <w:r>
        <w:t xml:space="preserve">There is a general view that the department must remain committed to the export certification reforms and continue to drive down its costs. Committees would also like to see the implementation of operational efficiencies to reduce the department’s costs. Under the new cost recovery model, efficiencies </w:t>
      </w:r>
      <w:proofErr w:type="gramStart"/>
      <w:r>
        <w:t>have already been found</w:t>
      </w:r>
      <w:proofErr w:type="gramEnd"/>
      <w:r>
        <w:t xml:space="preserve"> and the department is developing a framework to further drive optimisation of its resources.</w:t>
      </w:r>
    </w:p>
    <w:p w:rsidR="00DC4FFD" w:rsidRDefault="00DC4FFD">
      <w:r>
        <w:t>Other specific issues included the level of service provided by the department for inspection and documentation activities; delays and failures in opening and maintaining access to existing and new markets; and frustration in the delays in the acceptance of authorised officers by overseas countries for plant exports to protocol markets.</w:t>
      </w:r>
    </w:p>
    <w:p w:rsidR="00DC4FFD" w:rsidRDefault="00DC4FFD">
      <w:pPr>
        <w:rPr>
          <w:iCs/>
        </w:rPr>
      </w:pPr>
      <w:r>
        <w:rPr>
          <w:iCs/>
        </w:rPr>
        <w:t xml:space="preserve">In relation to plant exports, direct engagement </w:t>
      </w:r>
      <w:proofErr w:type="gramStart"/>
      <w:r>
        <w:rPr>
          <w:iCs/>
        </w:rPr>
        <w:t>has been undertaken</w:t>
      </w:r>
      <w:proofErr w:type="gramEnd"/>
      <w:r>
        <w:rPr>
          <w:iCs/>
        </w:rPr>
        <w:t xml:space="preserve"> with industry and fee payer representatives through the:</w:t>
      </w:r>
    </w:p>
    <w:p w:rsidR="00DC4FFD" w:rsidRDefault="00DC4FFD" w:rsidP="00781323">
      <w:pPr>
        <w:pStyle w:val="ListBullet"/>
      </w:pPr>
      <w:r>
        <w:t>the Grain and Plant Products Industry Consultative Committee</w:t>
      </w:r>
    </w:p>
    <w:p w:rsidR="00DC4FFD" w:rsidRDefault="00DC4FFD" w:rsidP="00781323">
      <w:pPr>
        <w:pStyle w:val="ListBullet"/>
      </w:pPr>
      <w:proofErr w:type="gramStart"/>
      <w:r>
        <w:t>the</w:t>
      </w:r>
      <w:proofErr w:type="gramEnd"/>
      <w:r>
        <w:t xml:space="preserve"> Horticulture Export Industry Consultative Committee.</w:t>
      </w:r>
    </w:p>
    <w:p w:rsidR="00DC4FFD" w:rsidRDefault="00DC4FFD">
      <w:r>
        <w:t>Throughout this process, industry was consulted on; the harmonising of fee</w:t>
      </w:r>
      <w:r w:rsidR="00FD19FD">
        <w:t xml:space="preserve"> and levy</w:t>
      </w:r>
      <w:r>
        <w:t xml:space="preserve"> structures across all arrangements; standardising charging for travel; standardising operating hours; the proposed charging structure; the cost base and the proposed charges.</w:t>
      </w:r>
    </w:p>
    <w:p w:rsidR="00DC4FFD" w:rsidRDefault="00DC4FFD">
      <w:r>
        <w:t xml:space="preserve">Information on the issues raised by industry committee members in consultation with the department </w:t>
      </w:r>
      <w:proofErr w:type="gramStart"/>
      <w:r>
        <w:t>can be found</w:t>
      </w:r>
      <w:proofErr w:type="gramEnd"/>
      <w:r>
        <w:t xml:space="preserve"> in each of the attachments to this CRIS.</w:t>
      </w:r>
    </w:p>
    <w:p w:rsidR="00DC4FFD" w:rsidRDefault="00DC4FFD">
      <w:r>
        <w:lastRenderedPageBreak/>
        <w:t xml:space="preserve">Public consultation allowed all stakeholders the opportunity to comment on the proposals. Engagement will continue throughout the implementation process. This </w:t>
      </w:r>
      <w:proofErr w:type="gramStart"/>
      <w:r>
        <w:t>will be achieved</w:t>
      </w:r>
      <w:proofErr w:type="gramEnd"/>
      <w:r>
        <w:t xml:space="preserve"> through established industry consultative committees as well as broad consultation processes and information sessions. There is a dedicated inbox linked to </w:t>
      </w:r>
      <w:r>
        <w:rPr>
          <w:lang w:val="en-US"/>
        </w:rPr>
        <w:t>the department</w:t>
      </w:r>
      <w:r>
        <w:t>’s website.</w:t>
      </w:r>
    </w:p>
    <w:p w:rsidR="00DC4FFD" w:rsidRDefault="00DC4FFD">
      <w:r>
        <w:t xml:space="preserve">On implementation of the new arrangements, quarterly reporting of cost recovery performance will continue to </w:t>
      </w:r>
      <w:proofErr w:type="gramStart"/>
      <w:r>
        <w:t>be provided</w:t>
      </w:r>
      <w:proofErr w:type="gramEnd"/>
      <w:r>
        <w:t xml:space="preserve"> to relevant consultation committees. This provides a mechanism for continual engagement and review of cost recovery arrangements and ensures any unintended consequences or issues are resolved in a timely manner.</w:t>
      </w:r>
    </w:p>
    <w:p w:rsidR="00DC4FFD" w:rsidRDefault="00DC4FFD" w:rsidP="003C0A2C">
      <w:pPr>
        <w:pStyle w:val="Heading2"/>
      </w:pPr>
      <w:bookmarkStart w:id="51" w:name="_Toc433035555"/>
      <w:bookmarkEnd w:id="50"/>
      <w:r>
        <w:lastRenderedPageBreak/>
        <w:t>Key dates and events</w:t>
      </w:r>
      <w:bookmarkEnd w:id="51"/>
    </w:p>
    <w:p w:rsidR="00DC4FFD" w:rsidRDefault="00DC4FFD">
      <w:pPr>
        <w:pStyle w:val="Heading3"/>
      </w:pPr>
      <w:bookmarkStart w:id="52" w:name="_Toc416271324"/>
      <w:bookmarkStart w:id="53" w:name="_Toc417483213"/>
      <w:bookmarkStart w:id="54" w:name="_Toc423939512"/>
      <w:bookmarkStart w:id="55" w:name="_Toc433035556"/>
      <w:r>
        <w:t>Consultation</w:t>
      </w:r>
      <w:bookmarkEnd w:id="52"/>
      <w:bookmarkEnd w:id="53"/>
      <w:bookmarkEnd w:id="54"/>
      <w:bookmarkEnd w:id="55"/>
    </w:p>
    <w:p w:rsidR="00DC4FFD" w:rsidRDefault="00DC4FFD">
      <w:r>
        <w:t>This CRIS built on consultation that had occurred with stakeholders since mid</w:t>
      </w:r>
      <w:r>
        <w:noBreakHyphen/>
        <w:t>2014.</w:t>
      </w:r>
    </w:p>
    <w:p w:rsidR="00DC4FFD" w:rsidRDefault="00DC4FFD">
      <w:pPr>
        <w:keepNext/>
      </w:pPr>
      <w:r>
        <w:t>Key dates in the CRIS consultation process were:</w:t>
      </w:r>
    </w:p>
    <w:p w:rsidR="00DC4FFD" w:rsidRDefault="00DC4FFD" w:rsidP="00781323">
      <w:pPr>
        <w:pStyle w:val="ListBullet"/>
      </w:pPr>
      <w:r>
        <w:t>July 2015—Consultation Draft of CRIS released.</w:t>
      </w:r>
    </w:p>
    <w:p w:rsidR="00DC4FFD" w:rsidRDefault="00DC4FFD" w:rsidP="00781323">
      <w:pPr>
        <w:pStyle w:val="ListBullet"/>
      </w:pPr>
      <w:r>
        <w:t>July</w:t>
      </w:r>
      <w:r w:rsidR="003C0A2C">
        <w:t xml:space="preserve"> </w:t>
      </w:r>
      <w:r>
        <w:t>2015 to August 2015—consultation with industry consultative committees, industry and public forums.</w:t>
      </w:r>
    </w:p>
    <w:p w:rsidR="00DC4FFD" w:rsidRDefault="00DC4FFD" w:rsidP="00781323">
      <w:pPr>
        <w:pStyle w:val="ListBullet"/>
      </w:pPr>
      <w:r>
        <w:t>14 August 2015—deadline to provide submissions to the department on the proposed changes.</w:t>
      </w:r>
    </w:p>
    <w:p w:rsidR="00DC4FFD" w:rsidRDefault="00DC4FFD">
      <w:r>
        <w:t xml:space="preserve">It </w:t>
      </w:r>
      <w:proofErr w:type="gramStart"/>
      <w:r>
        <w:t>is expected</w:t>
      </w:r>
      <w:proofErr w:type="gramEnd"/>
      <w:r>
        <w:t xml:space="preserve"> that the new charging arrangements will commence on 1 </w:t>
      </w:r>
      <w:r w:rsidR="00727BA1">
        <w:t>December</w:t>
      </w:r>
      <w:r>
        <w:t xml:space="preserve"> 2015.</w:t>
      </w:r>
    </w:p>
    <w:p w:rsidR="00DC4FFD" w:rsidRDefault="00DC4FFD">
      <w:pPr>
        <w:pStyle w:val="Heading3"/>
      </w:pPr>
      <w:bookmarkStart w:id="56" w:name="_Toc416271325"/>
      <w:bookmarkStart w:id="57" w:name="_Toc417483214"/>
      <w:bookmarkStart w:id="58" w:name="_Toc423939513"/>
      <w:bookmarkStart w:id="59" w:name="_Toc433035557"/>
      <w:r>
        <w:t>CRIS approval process</w:t>
      </w:r>
      <w:bookmarkEnd w:id="56"/>
      <w:bookmarkEnd w:id="57"/>
      <w:r>
        <w:t xml:space="preserve"> and change register</w:t>
      </w:r>
      <w:bookmarkEnd w:id="58"/>
      <w:bookmarkEnd w:id="59"/>
    </w:p>
    <w:p w:rsidR="00DC4FFD" w:rsidRDefault="00DC4FFD">
      <w:r>
        <w:t xml:space="preserve">The department considered stakeholder feedback when preparing this final CRIS. This CRIS </w:t>
      </w:r>
      <w:proofErr w:type="gramStart"/>
      <w:r>
        <w:t>was certified</w:t>
      </w:r>
      <w:proofErr w:type="gramEnd"/>
      <w:r>
        <w:t xml:space="preserve"> by the secretary of the department before being presented to the Minister for Agriculture </w:t>
      </w:r>
      <w:r w:rsidR="0001300B">
        <w:t xml:space="preserve">and Water Resources </w:t>
      </w:r>
      <w:r>
        <w:t xml:space="preserve">for approval and the Minister for Finance for agreement. This CRIS </w:t>
      </w:r>
      <w:proofErr w:type="gramStart"/>
      <w:r>
        <w:t>was published</w:t>
      </w:r>
      <w:proofErr w:type="gramEnd"/>
      <w:r>
        <w:t xml:space="preserve"> on the department’s website in late 2015. The CRIS </w:t>
      </w:r>
      <w:proofErr w:type="gramStart"/>
      <w:r>
        <w:t>will be reviewed</w:t>
      </w:r>
      <w:proofErr w:type="gramEnd"/>
      <w:r>
        <w:t xml:space="preserve"> annually as recommended by the Department of Finance.</w:t>
      </w:r>
    </w:p>
    <w:p w:rsidR="00D47C5E" w:rsidRDefault="00D47C5E">
      <w:r>
        <w:fldChar w:fldCharType="begin"/>
      </w:r>
      <w:r>
        <w:instrText xml:space="preserve"> REF _Ref433376591 \h </w:instrText>
      </w:r>
      <w:r>
        <w:fldChar w:fldCharType="separate"/>
      </w:r>
      <w:r w:rsidR="0058767D">
        <w:t xml:space="preserve">Table </w:t>
      </w:r>
      <w:r w:rsidR="0058767D">
        <w:rPr>
          <w:noProof/>
        </w:rPr>
        <w:t>2</w:t>
      </w:r>
      <w:r>
        <w:fldChar w:fldCharType="end"/>
      </w:r>
      <w:r>
        <w:t xml:space="preserve"> </w:t>
      </w:r>
      <w:r w:rsidR="00FD19FD">
        <w:t>will provide</w:t>
      </w:r>
      <w:r>
        <w:t xml:space="preserve"> a record of </w:t>
      </w:r>
      <w:r w:rsidR="00FD19FD">
        <w:t>future changes</w:t>
      </w:r>
      <w:r w:rsidR="001B5398">
        <w:t xml:space="preserve"> and</w:t>
      </w:r>
      <w:r w:rsidR="00FD19FD">
        <w:t xml:space="preserve"> </w:t>
      </w:r>
      <w:r>
        <w:t>updates to this CRIS.</w:t>
      </w:r>
    </w:p>
    <w:p w:rsidR="00D47C5E" w:rsidRDefault="00D47C5E" w:rsidP="00D47C5E">
      <w:pPr>
        <w:pStyle w:val="Caption"/>
        <w:keepNext/>
      </w:pPr>
      <w:bookmarkStart w:id="60" w:name="_Ref433376591"/>
      <w:r>
        <w:t xml:space="preserve">Table </w:t>
      </w:r>
      <w:r w:rsidR="0058767D">
        <w:fldChar w:fldCharType="begin"/>
      </w:r>
      <w:r w:rsidR="0058767D">
        <w:instrText xml:space="preserve"> SEQ Table \* ARABIC </w:instrText>
      </w:r>
      <w:r w:rsidR="0058767D">
        <w:fldChar w:fldCharType="separate"/>
      </w:r>
      <w:r w:rsidR="0058767D">
        <w:rPr>
          <w:noProof/>
        </w:rPr>
        <w:t>2</w:t>
      </w:r>
      <w:r w:rsidR="0058767D">
        <w:rPr>
          <w:noProof/>
        </w:rPr>
        <w:fldChar w:fldCharType="end"/>
      </w:r>
      <w:bookmarkEnd w:id="60"/>
      <w:r>
        <w:t xml:space="preserve">: </w:t>
      </w:r>
      <w:r w:rsidRPr="008821C5">
        <w:t>Change register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8"/>
        <w:gridCol w:w="2251"/>
        <w:gridCol w:w="2390"/>
        <w:gridCol w:w="2531"/>
      </w:tblGrid>
      <w:tr w:rsidR="00DC4FFD" w:rsidTr="00D47C5E">
        <w:trPr>
          <w:cantSplit/>
          <w:trHeight w:val="794"/>
          <w:tblHeader/>
        </w:trPr>
        <w:tc>
          <w:tcPr>
            <w:tcW w:w="1042" w:type="pct"/>
            <w:shd w:val="solid" w:color="DBE5F1" w:fill="C6D9F1"/>
            <w:vAlign w:val="center"/>
          </w:tcPr>
          <w:p w:rsidR="00DC4FFD" w:rsidRDefault="00DC4FFD" w:rsidP="003C0A2C">
            <w:pPr>
              <w:pStyle w:val="Tabletext"/>
            </w:pPr>
            <w:r>
              <w:t>Date of CRIS change</w:t>
            </w:r>
          </w:p>
        </w:tc>
        <w:tc>
          <w:tcPr>
            <w:tcW w:w="1242" w:type="pct"/>
            <w:shd w:val="solid" w:color="DBE5F1" w:fill="C6D9F1"/>
            <w:vAlign w:val="center"/>
          </w:tcPr>
          <w:p w:rsidR="00DC4FFD" w:rsidRDefault="00DC4FFD" w:rsidP="003C0A2C">
            <w:pPr>
              <w:pStyle w:val="Tabletext"/>
            </w:pPr>
            <w:r>
              <w:t>CRIS change</w:t>
            </w:r>
          </w:p>
        </w:tc>
        <w:tc>
          <w:tcPr>
            <w:tcW w:w="1319" w:type="pct"/>
            <w:shd w:val="solid" w:color="DBE5F1" w:fill="C6D9F1"/>
            <w:vAlign w:val="center"/>
          </w:tcPr>
          <w:p w:rsidR="00DC4FFD" w:rsidRDefault="00DC4FFD" w:rsidP="003C0A2C">
            <w:pPr>
              <w:pStyle w:val="Tabletext"/>
            </w:pPr>
            <w:r>
              <w:t>Approver</w:t>
            </w:r>
          </w:p>
        </w:tc>
        <w:tc>
          <w:tcPr>
            <w:tcW w:w="1397" w:type="pct"/>
            <w:shd w:val="solid" w:color="DBE5F1" w:fill="C6D9F1"/>
            <w:vAlign w:val="center"/>
          </w:tcPr>
          <w:p w:rsidR="00DC4FFD" w:rsidRDefault="00DC4FFD" w:rsidP="003C0A2C">
            <w:pPr>
              <w:pStyle w:val="Tabletext"/>
            </w:pPr>
            <w:r>
              <w:t>Basis for change</w:t>
            </w:r>
          </w:p>
        </w:tc>
      </w:tr>
      <w:tr w:rsidR="00DC4FFD" w:rsidTr="00D47C5E">
        <w:tc>
          <w:tcPr>
            <w:tcW w:w="1042" w:type="pct"/>
            <w:shd w:val="clear" w:color="auto" w:fill="auto"/>
            <w:vAlign w:val="center"/>
          </w:tcPr>
          <w:p w:rsidR="00DC4FFD" w:rsidRDefault="00DC4FFD" w:rsidP="003C0A2C">
            <w:pPr>
              <w:pStyle w:val="Tabletext"/>
              <w:rPr>
                <w:szCs w:val="24"/>
              </w:rPr>
            </w:pPr>
          </w:p>
        </w:tc>
        <w:tc>
          <w:tcPr>
            <w:tcW w:w="1242" w:type="pct"/>
            <w:shd w:val="clear" w:color="auto" w:fill="auto"/>
            <w:vAlign w:val="center"/>
          </w:tcPr>
          <w:p w:rsidR="00DC4FFD" w:rsidRDefault="00DC4FFD" w:rsidP="003C0A2C">
            <w:pPr>
              <w:pStyle w:val="Tabletext"/>
            </w:pPr>
          </w:p>
        </w:tc>
        <w:tc>
          <w:tcPr>
            <w:tcW w:w="1319" w:type="pct"/>
            <w:shd w:val="clear" w:color="auto" w:fill="auto"/>
            <w:vAlign w:val="center"/>
          </w:tcPr>
          <w:p w:rsidR="00DC4FFD" w:rsidRDefault="00DC4FFD" w:rsidP="003C0A2C">
            <w:pPr>
              <w:pStyle w:val="Tabletext"/>
              <w:rPr>
                <w:szCs w:val="24"/>
              </w:rPr>
            </w:pPr>
          </w:p>
        </w:tc>
        <w:tc>
          <w:tcPr>
            <w:tcW w:w="1397" w:type="pct"/>
            <w:shd w:val="clear" w:color="auto" w:fill="auto"/>
            <w:vAlign w:val="center"/>
          </w:tcPr>
          <w:p w:rsidR="00DC4FFD" w:rsidRDefault="00DC4FFD" w:rsidP="003C0A2C">
            <w:pPr>
              <w:pStyle w:val="Tabletext"/>
              <w:rPr>
                <w:szCs w:val="24"/>
              </w:rPr>
            </w:pPr>
          </w:p>
        </w:tc>
      </w:tr>
    </w:tbl>
    <w:p w:rsidR="00DC4FFD" w:rsidRDefault="00DC4FFD" w:rsidP="00754EF7">
      <w:pPr>
        <w:pStyle w:val="Heading2"/>
        <w:numPr>
          <w:ilvl w:val="0"/>
          <w:numId w:val="0"/>
        </w:numPr>
      </w:pPr>
      <w:bookmarkStart w:id="61" w:name="_Toc424305783"/>
      <w:bookmarkStart w:id="62" w:name="_Toc433035558"/>
      <w:r>
        <w:lastRenderedPageBreak/>
        <w:t>Attachment A — Grain exports</w:t>
      </w:r>
      <w:bookmarkEnd w:id="61"/>
      <w:r>
        <w:t xml:space="preserve"> (including seed products and forestry)</w:t>
      </w:r>
      <w:bookmarkEnd w:id="62"/>
    </w:p>
    <w:p w:rsidR="00DC4FFD" w:rsidRDefault="00DC4FFD">
      <w:r>
        <w:t xml:space="preserve">This attachment describes the proposed changes to the grain export cost recovery arrangement, the cost base, fees and levies as well as additional financial information associated with grain export inspection and certification </w:t>
      </w:r>
      <w:r>
        <w:rPr>
          <w:lang w:eastAsia="en-AU"/>
        </w:rPr>
        <w:t>activities</w:t>
      </w:r>
      <w:r>
        <w:t xml:space="preserve">. </w:t>
      </w:r>
    </w:p>
    <w:p w:rsidR="00DC4FFD" w:rsidRDefault="00DC4FFD" w:rsidP="0060492A">
      <w:pPr>
        <w:pStyle w:val="Heading3"/>
        <w:numPr>
          <w:ilvl w:val="0"/>
          <w:numId w:val="0"/>
        </w:numPr>
        <w:ind w:left="794" w:hanging="794"/>
      </w:pPr>
      <w:bookmarkStart w:id="63" w:name="_Toc424305784"/>
      <w:bookmarkStart w:id="64" w:name="_Toc433035559"/>
      <w:r>
        <w:t>A.1</w:t>
      </w:r>
      <w:r>
        <w:tab/>
        <w:t>Design of cost recovered charges</w:t>
      </w:r>
      <w:bookmarkEnd w:id="63"/>
      <w:bookmarkEnd w:id="64"/>
    </w:p>
    <w:p w:rsidR="00DC4FFD" w:rsidRDefault="00DC4FFD">
      <w:pPr>
        <w:rPr>
          <w:b/>
          <w:sz w:val="32"/>
        </w:rPr>
      </w:pPr>
      <w:bookmarkStart w:id="65" w:name="_Toc424305785"/>
      <w:r>
        <w:t xml:space="preserve">Some grain exports cost recovery fees and levies will change from those established in the 2011–12 Cost Recovery Impact Statement. Changes are predominantly in the areas of registered establishment rates, volume levies and authorised </w:t>
      </w:r>
      <w:proofErr w:type="gramStart"/>
      <w:r>
        <w:t>officers</w:t>
      </w:r>
      <w:proofErr w:type="gramEnd"/>
      <w:r>
        <w:t xml:space="preserve"> charges. Basic inspection and audit fees will remain the same. </w:t>
      </w:r>
    </w:p>
    <w:p w:rsidR="00DC4FFD" w:rsidRDefault="00DC4FFD">
      <w:pPr>
        <w:tabs>
          <w:tab w:val="left" w:pos="6600"/>
        </w:tabs>
        <w:rPr>
          <w:b/>
          <w:sz w:val="32"/>
        </w:rPr>
      </w:pPr>
      <w:r>
        <w:t xml:space="preserve">Some revisions are proposed to the current levy and fee structure to reflect the new cost recovery </w:t>
      </w:r>
      <w:proofErr w:type="gramStart"/>
      <w:r>
        <w:t>model and improve the consistency of fee</w:t>
      </w:r>
      <w:proofErr w:type="gramEnd"/>
      <w:r>
        <w:t xml:space="preserve"> and levy arrangements across the department’s export certification activities. Table 8 provides a list of levies and fees.</w:t>
      </w:r>
    </w:p>
    <w:p w:rsidR="00DC4FFD" w:rsidRDefault="00DC4FFD" w:rsidP="0060492A">
      <w:pPr>
        <w:pStyle w:val="Heading4"/>
      </w:pPr>
      <w:r>
        <w:t>A.1.1</w:t>
      </w:r>
      <w:r>
        <w:tab/>
        <w:t>Changes to fee and levy structure</w:t>
      </w:r>
      <w:bookmarkEnd w:id="65"/>
    </w:p>
    <w:p w:rsidR="00DC4FFD" w:rsidRDefault="00FD19FD" w:rsidP="00FD19FD">
      <w:pPr>
        <w:pStyle w:val="ListBullet"/>
        <w:numPr>
          <w:ilvl w:val="0"/>
          <w:numId w:val="0"/>
        </w:numPr>
        <w:ind w:left="567" w:hanging="567"/>
      </w:pPr>
      <w:r>
        <w:t>Prior to 1 December 2015,</w:t>
      </w:r>
      <w:r w:rsidR="00DC4FFD">
        <w:t xml:space="preserve"> exporters of grain and seed products had four key costs:</w:t>
      </w:r>
    </w:p>
    <w:p w:rsidR="00DC4FFD" w:rsidRDefault="00DC4FFD" w:rsidP="00781323">
      <w:pPr>
        <w:pStyle w:val="ListBullet"/>
      </w:pPr>
      <w:r>
        <w:t xml:space="preserve">An annual levy </w:t>
      </w:r>
      <w:proofErr w:type="gramStart"/>
      <w:r>
        <w:t>was applied</w:t>
      </w:r>
      <w:proofErr w:type="gramEnd"/>
      <w:r>
        <w:t xml:space="preserve"> to registered establishments. There were two rates depending on the type of establishment: exporters of bulk grain ($4 300 per annum) and all other facilities ($2 500 per annum).</w:t>
      </w:r>
    </w:p>
    <w:p w:rsidR="00DC4FFD" w:rsidRDefault="00DC4FFD" w:rsidP="00781323">
      <w:pPr>
        <w:pStyle w:val="ListBullet"/>
      </w:pPr>
      <w:r>
        <w:t xml:space="preserve">Volume levies </w:t>
      </w:r>
      <w:proofErr w:type="gramStart"/>
      <w:r>
        <w:t>were applied</w:t>
      </w:r>
      <w:proofErr w:type="gramEnd"/>
      <w:r>
        <w:t xml:space="preserve"> at a rate of $0.11 per tonne for each tonne of grain exported from a registered establishment.</w:t>
      </w:r>
    </w:p>
    <w:p w:rsidR="00DC4FFD" w:rsidRDefault="00DC4FFD" w:rsidP="00781323">
      <w:pPr>
        <w:pStyle w:val="ListBullet"/>
      </w:pPr>
      <w:r>
        <w:lastRenderedPageBreak/>
        <w:t xml:space="preserve">Inspection and audit ($36 per 15 minutes), which related to inspection of products intended for export and ensuring facilities and processes </w:t>
      </w:r>
      <w:r w:rsidR="00FD19FD">
        <w:t>undertaken at establishments me</w:t>
      </w:r>
      <w:r>
        <w:t>t standards required by Australia’s trading partners.</w:t>
      </w:r>
    </w:p>
    <w:p w:rsidR="00DC4FFD" w:rsidRDefault="00DC4FFD" w:rsidP="00781323">
      <w:pPr>
        <w:pStyle w:val="ListBullet"/>
      </w:pPr>
      <w:r>
        <w:t>Export permits and certification ($16 per electronic issue of document), which allowed products to exit Australia and enter into overseas markets.</w:t>
      </w:r>
    </w:p>
    <w:p w:rsidR="00DC4FFD" w:rsidRDefault="00DC4FFD" w:rsidP="0060492A">
      <w:r>
        <w:t xml:space="preserve">The redesign will ensure a more sustainable and proportionate contribution by grain and seed exporters to the cost of the </w:t>
      </w:r>
      <w:proofErr w:type="gramStart"/>
      <w:r>
        <w:t>plant export certification system</w:t>
      </w:r>
      <w:proofErr w:type="gramEnd"/>
      <w:r>
        <w:t>.</w:t>
      </w:r>
    </w:p>
    <w:p w:rsidR="00DC4FFD" w:rsidRDefault="00DC4FFD" w:rsidP="0060492A">
      <w:r>
        <w:t xml:space="preserve">Key changes for grain and seed exporters </w:t>
      </w:r>
      <w:r w:rsidR="00FD19FD">
        <w:t xml:space="preserve">from 1 December 2015 </w:t>
      </w:r>
      <w:r>
        <w:t>include:</w:t>
      </w:r>
    </w:p>
    <w:p w:rsidR="00DC4FFD" w:rsidRDefault="00DC4FFD" w:rsidP="00781323">
      <w:pPr>
        <w:pStyle w:val="ListBullet"/>
      </w:pPr>
      <w:r>
        <w:t xml:space="preserve">The annual levy applied to registered establishment has changed. The rates </w:t>
      </w:r>
      <w:proofErr w:type="gramStart"/>
      <w:r>
        <w:t>will now be based</w:t>
      </w:r>
      <w:proofErr w:type="gramEnd"/>
      <w:r>
        <w:t xml:space="preserve"> on establishment type: </w:t>
      </w:r>
      <w:r w:rsidR="00102E91">
        <w:t>simple ($3 000 per annum)</w:t>
      </w:r>
      <w:r>
        <w:t xml:space="preserve"> and complex ($6 000 per annum). </w:t>
      </w:r>
    </w:p>
    <w:p w:rsidR="00DC4FFD" w:rsidRDefault="00DC4FFD" w:rsidP="00781323">
      <w:pPr>
        <w:pStyle w:val="ListBullet"/>
      </w:pPr>
      <w:r>
        <w:t>Applications for new registered establishments will also now incur a one-off $600 levy.</w:t>
      </w:r>
    </w:p>
    <w:p w:rsidR="00DC4FFD" w:rsidRDefault="00DC4FFD" w:rsidP="00781323">
      <w:pPr>
        <w:pStyle w:val="ListBullet"/>
      </w:pPr>
      <w:r>
        <w:t xml:space="preserve">The tonnage levy has increased to 15 cents per tonne in 2015–16, reducing to 11 cents per tonne from 2017–18. The levy </w:t>
      </w:r>
      <w:proofErr w:type="gramStart"/>
      <w:r>
        <w:t>will be applied</w:t>
      </w:r>
      <w:proofErr w:type="gramEnd"/>
      <w:r>
        <w:t xml:space="preserve"> as a minimum charge of one tonne per product line.</w:t>
      </w:r>
    </w:p>
    <w:p w:rsidR="00DC4FFD" w:rsidRDefault="00DC4FFD" w:rsidP="00781323">
      <w:pPr>
        <w:pStyle w:val="ListBullet"/>
      </w:pPr>
      <w:r>
        <w:t>Inspection and audit fees will remain at $36 per 15 minutes. However, where an exporter could use an approved authorised officer but instead chooses to use a departmental officer, the inspection cost will be $75 per 15 minutes. If an exporter does not have the option of an approved authorised officer (for example, protocol markets) this cost will be $36 per 15 minutes.</w:t>
      </w:r>
    </w:p>
    <w:p w:rsidR="00DC4FFD" w:rsidRDefault="00DC4FFD" w:rsidP="00781323">
      <w:pPr>
        <w:pStyle w:val="ListBullet"/>
      </w:pPr>
      <w:r>
        <w:t xml:space="preserve">The department’s future business model </w:t>
      </w:r>
      <w:proofErr w:type="gramStart"/>
      <w:r>
        <w:t>is based</w:t>
      </w:r>
      <w:proofErr w:type="gramEnd"/>
      <w:r>
        <w:t xml:space="preserve"> on the uptake of authorised officers. The higher rate of the additional inspection fee reflects the cost to the department of making officers available to respond to unanticipated requests. For budgeted staff, overheads </w:t>
      </w:r>
      <w:proofErr w:type="gramStart"/>
      <w:r>
        <w:t>are collected</w:t>
      </w:r>
      <w:proofErr w:type="gramEnd"/>
      <w:r>
        <w:t xml:space="preserve"> through levies with direct costs collected through inspection and audits fees. For additional staff, both overheads and direct costs </w:t>
      </w:r>
      <w:proofErr w:type="gramStart"/>
      <w:r>
        <w:t>must be recovered</w:t>
      </w:r>
      <w:proofErr w:type="gramEnd"/>
      <w:r>
        <w:t xml:space="preserve"> through the additional inspection fees.</w:t>
      </w:r>
    </w:p>
    <w:p w:rsidR="00DC4FFD" w:rsidRDefault="00DC4FFD" w:rsidP="00781323">
      <w:pPr>
        <w:pStyle w:val="ListBullet"/>
      </w:pPr>
      <w:r>
        <w:lastRenderedPageBreak/>
        <w:t>The cost of export permits and phytosanitary certificates, where delivered electronically, will decrease to $12 per document. However, there will be an additional levy on phytosanitary certificates of $38 per document, bringing the total cost to $50 from 2015–16. The levy will decrease to $36 in 2017–18, bringing the total cost to $48 per phytosanitary certificate.</w:t>
      </w:r>
    </w:p>
    <w:p w:rsidR="00DC4FFD" w:rsidRDefault="00DC4FFD" w:rsidP="00781323">
      <w:pPr>
        <w:pStyle w:val="ListBullet"/>
      </w:pPr>
      <w:r>
        <w:t>The introduction of a levy for approving authorised officers ($750 per annum) will recover the costs of administering the authorised officer programme. Fees for service will also be introduced to recover the costs of assessing applications ($250), training and assessment ($1</w:t>
      </w:r>
      <w:r w:rsidR="00102E91">
        <w:t> </w:t>
      </w:r>
      <w:r>
        <w:t xml:space="preserve">750 and $2 000) and approval ($250). Costs for the authorised officer programme </w:t>
      </w:r>
      <w:proofErr w:type="gramStart"/>
      <w:r>
        <w:t>should be recovered</w:t>
      </w:r>
      <w:proofErr w:type="gramEnd"/>
      <w:r>
        <w:t xml:space="preserve"> from clients using this service. Further, the introduction of a price signal will ensure that departmental training resources are most effectively utilised.</w:t>
      </w:r>
    </w:p>
    <w:p w:rsidR="00DC4FFD" w:rsidRDefault="00DC4FFD" w:rsidP="0060492A">
      <w:pPr>
        <w:pStyle w:val="Heading4"/>
      </w:pPr>
      <w:r>
        <w:t>Changes to forestry product charges</w:t>
      </w:r>
    </w:p>
    <w:p w:rsidR="00DC4FFD" w:rsidRDefault="00FD19FD">
      <w:r>
        <w:t>Prior to 1 December 2015,</w:t>
      </w:r>
      <w:r w:rsidR="00DC4FFD">
        <w:t xml:space="preserve"> exporters of timber products had three key costs:</w:t>
      </w:r>
    </w:p>
    <w:p w:rsidR="00DC4FFD" w:rsidRDefault="00DC4FFD" w:rsidP="00781323">
      <w:pPr>
        <w:pStyle w:val="ListBullet"/>
      </w:pPr>
      <w:r>
        <w:t>Establishments that were registered in the system paid an annual levy of $2 500 per annum.</w:t>
      </w:r>
    </w:p>
    <w:p w:rsidR="00DC4FFD" w:rsidRDefault="00DC4FFD" w:rsidP="00781323">
      <w:pPr>
        <w:pStyle w:val="ListBullet"/>
      </w:pPr>
      <w:r>
        <w:t>Inspection and audit ($36 per 15 minutes), which related to inspection of products intended for export and ensuring facilities and processes undertaken at establishments met standards required by Australia’s trading partners.</w:t>
      </w:r>
    </w:p>
    <w:p w:rsidR="00DC4FFD" w:rsidRDefault="00DC4FFD" w:rsidP="00781323">
      <w:pPr>
        <w:pStyle w:val="ListBullet"/>
      </w:pPr>
      <w:r>
        <w:t>Export permits and certification ($16 per electronic issue of document), which allowed products to exit Australia and enter into overseas markets.</w:t>
      </w:r>
    </w:p>
    <w:p w:rsidR="00DC4FFD" w:rsidRDefault="00DC4FFD" w:rsidP="00CE56DA">
      <w:r>
        <w:t xml:space="preserve">Key changes for exporters of forestry products </w:t>
      </w:r>
      <w:r w:rsidR="00FD19FD">
        <w:t xml:space="preserve">from 1 December 2015 </w:t>
      </w:r>
      <w:r>
        <w:t>are as follows:</w:t>
      </w:r>
    </w:p>
    <w:p w:rsidR="00DC4FFD" w:rsidRPr="006864E5" w:rsidRDefault="00DC4FFD" w:rsidP="00781323">
      <w:pPr>
        <w:pStyle w:val="ListBullet"/>
      </w:pPr>
      <w:r w:rsidRPr="006864E5">
        <w:t xml:space="preserve">The annual levy applied to registered establishment has changed. The rates </w:t>
      </w:r>
      <w:proofErr w:type="gramStart"/>
      <w:r w:rsidRPr="006864E5">
        <w:t>will now be based</w:t>
      </w:r>
      <w:proofErr w:type="gramEnd"/>
      <w:r w:rsidRPr="006864E5">
        <w:t xml:space="preserve"> on establishment type: simple ($3 000 per annum) and complex ($6 000 per annum).  Applications for new registered establishments will also now incur a one-off $600 levy.</w:t>
      </w:r>
    </w:p>
    <w:p w:rsidR="00DC4FFD" w:rsidRDefault="00DC4FFD" w:rsidP="00781323">
      <w:pPr>
        <w:pStyle w:val="ListBullet"/>
      </w:pPr>
      <w:r>
        <w:t xml:space="preserve">A tonnage levy of 15 cents per tonne in 2015–16, reducing to 11 cents per tonne from 2017–18 has been introduced. The levy </w:t>
      </w:r>
      <w:proofErr w:type="gramStart"/>
      <w:r>
        <w:t>will be applied</w:t>
      </w:r>
      <w:proofErr w:type="gramEnd"/>
      <w:r>
        <w:t xml:space="preserve"> as a minimum charge of one tonne per product line.</w:t>
      </w:r>
    </w:p>
    <w:p w:rsidR="00DC4FFD" w:rsidRDefault="00DC4FFD" w:rsidP="00781323">
      <w:pPr>
        <w:pStyle w:val="ListBullet"/>
      </w:pPr>
      <w:r>
        <w:lastRenderedPageBreak/>
        <w:t>Inspection and audit fees will remain at $36 per 15 minutes. However, where an exporter could use an approved authorised officer but instead chooses to use a departmental officer, the inspection cost will be $75 per 15 minutes. If an exporter does not have the option of an approved authorised officer (for example, protocol markets) this cost will be $36 per 15 minutes.</w:t>
      </w:r>
    </w:p>
    <w:p w:rsidR="00DC4FFD" w:rsidRDefault="00DC4FFD" w:rsidP="00781323">
      <w:pPr>
        <w:pStyle w:val="ListBullet"/>
      </w:pPr>
      <w:r>
        <w:t xml:space="preserve">The department’s future business model </w:t>
      </w:r>
      <w:proofErr w:type="gramStart"/>
      <w:r>
        <w:t>is based</w:t>
      </w:r>
      <w:proofErr w:type="gramEnd"/>
      <w:r>
        <w:t xml:space="preserve"> on the uptake of authorised officers. The higher rate of the additional inspection fee reflects the cost to the department of making officers available to respond to unanticipated requests. For budgeted staff, overheads </w:t>
      </w:r>
      <w:proofErr w:type="gramStart"/>
      <w:r>
        <w:t>are collected</w:t>
      </w:r>
      <w:proofErr w:type="gramEnd"/>
      <w:r>
        <w:t xml:space="preserve"> through levies with direct costs collected through inspection and audits fees. For additional staff, both overheads and direct costs </w:t>
      </w:r>
      <w:proofErr w:type="gramStart"/>
      <w:r>
        <w:t>must be recovered</w:t>
      </w:r>
      <w:proofErr w:type="gramEnd"/>
      <w:r>
        <w:t xml:space="preserve"> through the additional inspection fees.</w:t>
      </w:r>
    </w:p>
    <w:p w:rsidR="00DC4FFD" w:rsidRDefault="00DC4FFD" w:rsidP="00781323">
      <w:pPr>
        <w:pStyle w:val="ListBullet"/>
      </w:pPr>
      <w:r>
        <w:t>The cost of export permits and phytosanitary certificates, where delivered electronically, will decrease to $12 per document. However, there will be an additional levy on phytosanitary certificates of $38 per document, bringing the total cost to $50 from 2015–16. The levy will decrease to $36 in 2017–18, bringing the total cost to $48 per phytosanitary certificate.</w:t>
      </w:r>
    </w:p>
    <w:p w:rsidR="00DC4FFD" w:rsidRDefault="00DC4FFD" w:rsidP="00781323">
      <w:pPr>
        <w:pStyle w:val="ListBullet"/>
      </w:pPr>
      <w:r>
        <w:t>The introduction of a levy for approving authorised officers ($750 per annum) will recover the costs of administering the authorised officer programme. Fees for service will also be introduced to recover the costs of assessing applications ($25</w:t>
      </w:r>
      <w:r w:rsidR="00781323">
        <w:t>0), training and assessment ($1 </w:t>
      </w:r>
      <w:r>
        <w:t xml:space="preserve">750 and $2 000) and approval ($250). Costs for the authorised officer programme </w:t>
      </w:r>
      <w:proofErr w:type="gramStart"/>
      <w:r>
        <w:t>should be recovered</w:t>
      </w:r>
      <w:proofErr w:type="gramEnd"/>
      <w:r>
        <w:t xml:space="preserve"> from clients using this service. Further, the introduction of a price signal will ensure that departmental training resources are most effectively utilised.</w:t>
      </w:r>
    </w:p>
    <w:p w:rsidR="00DC4FFD" w:rsidRDefault="00DC4FFD" w:rsidP="00CE56DA">
      <w:pPr>
        <w:pStyle w:val="Heading3"/>
        <w:numPr>
          <w:ilvl w:val="0"/>
          <w:numId w:val="0"/>
        </w:numPr>
        <w:ind w:left="794" w:hanging="794"/>
      </w:pPr>
      <w:bookmarkStart w:id="66" w:name="_Toc424305789"/>
      <w:bookmarkStart w:id="67" w:name="_Toc433035560"/>
      <w:r>
        <w:t>A.2</w:t>
      </w:r>
      <w:r>
        <w:tab/>
        <w:t>Cost base</w:t>
      </w:r>
      <w:bookmarkEnd w:id="66"/>
      <w:bookmarkEnd w:id="67"/>
    </w:p>
    <w:p w:rsidR="00DC4FFD" w:rsidRDefault="00DC4FFD" w:rsidP="00CE56DA">
      <w:bookmarkStart w:id="68" w:name="_Toc423939500"/>
      <w:bookmarkStart w:id="69" w:name="_Toc424305790"/>
      <w:r>
        <w:t xml:space="preserve">The following information on the grain exports arrangement cost base is </w:t>
      </w:r>
      <w:proofErr w:type="gramStart"/>
      <w:r>
        <w:t>provided</w:t>
      </w:r>
      <w:proofErr w:type="gramEnd"/>
      <w:r>
        <w:t xml:space="preserve"> as a four-year average from 2015–16 to 2018–19. </w:t>
      </w:r>
    </w:p>
    <w:p w:rsidR="00DC4FFD" w:rsidRDefault="00DC4FFD">
      <w:pPr>
        <w:keepNext/>
        <w:keepLines/>
      </w:pPr>
      <w:r>
        <w:lastRenderedPageBreak/>
        <w:t xml:space="preserve">The revised cost recovery model is a resource-based model premised on the efficient utilisation of departmental resources. This </w:t>
      </w:r>
      <w:proofErr w:type="gramStart"/>
      <w:r>
        <w:t>is enabled</w:t>
      </w:r>
      <w:proofErr w:type="gramEnd"/>
      <w:r>
        <w:t xml:space="preserve"> by improvements to business processes and IT capability systems (e.g. national service delivery, tablets enabling a mobile workforce and the new Plant Export Management System). It assumes full industry adoption of the authorised officer program, which will lower demand for inspection to </w:t>
      </w:r>
      <w:proofErr w:type="gramStart"/>
      <w:r>
        <w:t>be undertaken</w:t>
      </w:r>
      <w:proofErr w:type="gramEnd"/>
      <w:r>
        <w:t xml:space="preserve"> by the department.</w:t>
      </w:r>
    </w:p>
    <w:p w:rsidR="00DC4FFD" w:rsidRDefault="00DC4FFD" w:rsidP="00CE56DA">
      <w:pPr>
        <w:pStyle w:val="Heading4"/>
      </w:pPr>
      <w:r>
        <w:t>A.2.1</w:t>
      </w:r>
      <w:r>
        <w:tab/>
        <w:t>Projected cost base</w:t>
      </w:r>
      <w:bookmarkEnd w:id="68"/>
      <w:bookmarkEnd w:id="69"/>
    </w:p>
    <w:p w:rsidR="00DC4FFD" w:rsidRDefault="00D47C5E">
      <w:pPr>
        <w:keepNext/>
        <w:keepLines/>
      </w:pPr>
      <w:r>
        <w:lastRenderedPageBreak/>
        <w:fldChar w:fldCharType="begin"/>
      </w:r>
      <w:r>
        <w:instrText xml:space="preserve"> REF _Ref433377030 \h </w:instrText>
      </w:r>
      <w:r>
        <w:fldChar w:fldCharType="separate"/>
      </w:r>
      <w:r w:rsidR="0058767D">
        <w:t xml:space="preserve">Figure </w:t>
      </w:r>
      <w:r w:rsidR="0058767D">
        <w:rPr>
          <w:noProof/>
        </w:rPr>
        <w:t>1</w:t>
      </w:r>
      <w:r w:rsidR="0058767D">
        <w:t xml:space="preserve">: </w:t>
      </w:r>
      <w:r w:rsidR="0058767D" w:rsidRPr="00524887">
        <w:t>The department’s activity base cost model</w:t>
      </w:r>
      <w:r>
        <w:fldChar w:fldCharType="end"/>
      </w:r>
      <w:r w:rsidR="00DC4FFD">
        <w:t xml:space="preserve"> presents costs for the grain export arrangement by cost activity, attributed through the cost model presented in Section 3</w:t>
      </w:r>
      <w:r w:rsidR="00FD19FD">
        <w:t xml:space="preserve">. </w:t>
      </w:r>
      <w:proofErr w:type="gramStart"/>
      <w:r w:rsidR="00FD19FD">
        <w:t xml:space="preserve">A </w:t>
      </w:r>
      <w:r w:rsidR="00DC4FFD">
        <w:t xml:space="preserve"> detailed</w:t>
      </w:r>
      <w:proofErr w:type="gramEnd"/>
      <w:r w:rsidR="00DC4FFD">
        <w:t xml:space="preserve"> description of cost activities is provided in </w:t>
      </w:r>
      <w:r w:rsidR="00DC4FFD">
        <w:rPr>
          <w:b/>
        </w:rPr>
        <w:t>Attachment B</w:t>
      </w:r>
      <w:r w:rsidR="00DC4FFD">
        <w:t>.</w:t>
      </w:r>
    </w:p>
    <w:p w:rsidR="00D47C5E" w:rsidRDefault="00D47C5E" w:rsidP="00D47C5E">
      <w:pPr>
        <w:pStyle w:val="Caption"/>
        <w:keepNext/>
      </w:pPr>
      <w:bookmarkStart w:id="70" w:name="_Ref433377037"/>
      <w:r>
        <w:t xml:space="preserve">Figure </w:t>
      </w:r>
      <w:r w:rsidR="0058767D">
        <w:fldChar w:fldCharType="begin"/>
      </w:r>
      <w:r w:rsidR="0058767D">
        <w:instrText xml:space="preserve"> SEQ Figure \* ARABIC </w:instrText>
      </w:r>
      <w:r w:rsidR="0058767D">
        <w:fldChar w:fldCharType="separate"/>
      </w:r>
      <w:r w:rsidR="0058767D">
        <w:rPr>
          <w:noProof/>
        </w:rPr>
        <w:t>2</w:t>
      </w:r>
      <w:r w:rsidR="0058767D">
        <w:rPr>
          <w:noProof/>
        </w:rPr>
        <w:fldChar w:fldCharType="end"/>
      </w:r>
      <w:bookmarkEnd w:id="70"/>
      <w:r>
        <w:t>: Cost base – grain exports cost recovery arrangement (</w:t>
      </w:r>
      <w:proofErr w:type="gramStart"/>
      <w:r>
        <w:t>four year</w:t>
      </w:r>
      <w:proofErr w:type="gramEnd"/>
      <w:r>
        <w:t xml:space="preserve"> average 2015–16 to</w:t>
      </w:r>
      <w:r>
        <w:br/>
        <w:t>2018–19)</w:t>
      </w:r>
    </w:p>
    <w:p w:rsidR="00781323" w:rsidRDefault="00803586">
      <w:pPr>
        <w:spacing w:after="0"/>
        <w:rPr>
          <w:noProof/>
          <w:lang w:eastAsia="en-AU"/>
        </w:rPr>
      </w:pPr>
      <w:r>
        <w:rPr>
          <w:noProof/>
          <w:lang w:eastAsia="en-AU"/>
        </w:rPr>
        <w:drawing>
          <wp:inline distT="0" distB="0" distL="0" distR="0" wp14:anchorId="024F0A7B" wp14:editId="2D51CFED">
            <wp:extent cx="5707380" cy="3870960"/>
            <wp:effectExtent l="0" t="0" r="7620" b="0"/>
            <wp:docPr id="9" name="Picture 9" descr="The grain exports programme is projected to cost an average of $12.738 million per year.&#10;Programme management and administration activities are projected to cost an average of $8.677 million per year. This consists of $2.975 million in workforce and business management costs, $2.376 million in business systems administration costs, $206,000 in stakeholder engagement costs, $2.038 million in policy and instructional material costs, and $1.082 million in business improvement costs.&#10;Assurance activities are projected to cost $0 per year. &#10;Incident management activities are projected to cost an average of $150,000 per year. This consists entirely of $150,000 in incident management costs.&#10;Intervention activities are projected to cost an average of $3.911 million per year. This consists of $1.915 million in assessment costs, $886,000 in inspection costs and $1.11 million in audits costs.&#10;" title="Figure 2: Cost base – grain exports cost recovery arrangement (four year average 2015–16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7380" cy="3870960"/>
                    </a:xfrm>
                    <a:prstGeom prst="rect">
                      <a:avLst/>
                    </a:prstGeom>
                    <a:noFill/>
                  </pic:spPr>
                </pic:pic>
              </a:graphicData>
            </a:graphic>
          </wp:inline>
        </w:drawing>
      </w:r>
    </w:p>
    <w:p w:rsidR="00781323" w:rsidRDefault="00781323">
      <w:pPr>
        <w:spacing w:after="0"/>
      </w:pPr>
      <w:r>
        <w:br w:type="page"/>
      </w:r>
    </w:p>
    <w:p w:rsidR="00DC4FFD" w:rsidRDefault="00DC4FFD" w:rsidP="000038D6">
      <w:r>
        <w:lastRenderedPageBreak/>
        <w:t>Table 3 provides a breakdown of expenses averaged over the next four financial years.</w:t>
      </w:r>
      <w:r w:rsidR="0050567D">
        <w:t xml:space="preserve"> </w:t>
      </w:r>
      <w:r>
        <w:t xml:space="preserve">Direct expenses </w:t>
      </w:r>
      <w:proofErr w:type="gramStart"/>
      <w:r>
        <w:t>can be traced</w:t>
      </w:r>
      <w:proofErr w:type="gramEnd"/>
      <w:r>
        <w:t xml:space="preserve"> to the provision of an activity, such as staff salaries and supplier costs.</w:t>
      </w:r>
      <w:r w:rsidR="0050567D">
        <w:t xml:space="preserve"> </w:t>
      </w:r>
      <w:r>
        <w:t xml:space="preserve">Indirect expenses </w:t>
      </w:r>
      <w:proofErr w:type="gramStart"/>
      <w:r>
        <w:t>are not easily linked</w:t>
      </w:r>
      <w:proofErr w:type="gramEnd"/>
      <w:r>
        <w:t xml:space="preserve"> to an activity, such as corporate employee salaries and overheads, including information technology, finance and human resources costs.</w:t>
      </w:r>
      <w:r w:rsidR="0050567D">
        <w:t xml:space="preserve"> </w:t>
      </w:r>
      <w:r>
        <w:t>Capital expenses include plant, property and depreciation.</w:t>
      </w:r>
    </w:p>
    <w:p w:rsidR="001128BD" w:rsidRDefault="001128BD" w:rsidP="001128BD">
      <w:pPr>
        <w:pStyle w:val="Caption"/>
        <w:keepNext/>
      </w:pPr>
      <w:r>
        <w:t xml:space="preserve">Table </w:t>
      </w:r>
      <w:r w:rsidR="0058767D">
        <w:fldChar w:fldCharType="begin"/>
      </w:r>
      <w:r w:rsidR="0058767D">
        <w:instrText xml:space="preserve"> SEQ Table \* ARABIC </w:instrText>
      </w:r>
      <w:r w:rsidR="0058767D">
        <w:fldChar w:fldCharType="separate"/>
      </w:r>
      <w:r w:rsidR="0058767D">
        <w:rPr>
          <w:noProof/>
        </w:rPr>
        <w:t>3</w:t>
      </w:r>
      <w:r w:rsidR="0058767D">
        <w:rPr>
          <w:noProof/>
        </w:rPr>
        <w:fldChar w:fldCharType="end"/>
      </w:r>
      <w:r>
        <w:t>: Cost type breakdown—grain exports cost recovery arrangement (</w:t>
      </w:r>
      <w:proofErr w:type="gramStart"/>
      <w:r>
        <w:t>four year</w:t>
      </w:r>
      <w:proofErr w:type="gramEnd"/>
      <w:r>
        <w:t xml:space="preserve"> average 2015–16 to 2018–19)</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46"/>
        <w:gridCol w:w="3885"/>
      </w:tblGrid>
      <w:tr w:rsidR="0050567D" w:rsidRPr="0050567D" w:rsidTr="002D4067">
        <w:trPr>
          <w:cantSplit/>
          <w:tblHeader/>
        </w:trPr>
        <w:tc>
          <w:tcPr>
            <w:tcW w:w="5046" w:type="dxa"/>
            <w:tcBorders>
              <w:bottom w:val="single" w:sz="4" w:space="0" w:color="auto"/>
            </w:tcBorders>
            <w:shd w:val="solid" w:color="DBE5F1" w:fill="C6D9F1"/>
            <w:vAlign w:val="center"/>
          </w:tcPr>
          <w:p w:rsidR="0050567D" w:rsidRPr="0050567D" w:rsidRDefault="0050567D" w:rsidP="0050567D">
            <w:pPr>
              <w:pStyle w:val="Tabletext"/>
              <w:rPr>
                <w:rStyle w:val="Strong"/>
              </w:rPr>
            </w:pPr>
            <w:r w:rsidRPr="0050567D">
              <w:rPr>
                <w:rStyle w:val="Strong"/>
              </w:rPr>
              <w:t>Expense</w:t>
            </w:r>
          </w:p>
        </w:tc>
        <w:tc>
          <w:tcPr>
            <w:tcW w:w="3885" w:type="dxa"/>
            <w:tcBorders>
              <w:bottom w:val="single" w:sz="4" w:space="0" w:color="auto"/>
            </w:tcBorders>
            <w:shd w:val="solid" w:color="DBE5F1" w:fill="C6D9F1"/>
            <w:vAlign w:val="center"/>
          </w:tcPr>
          <w:p w:rsidR="0050567D" w:rsidRPr="0050567D" w:rsidRDefault="0050567D" w:rsidP="0050567D">
            <w:pPr>
              <w:pStyle w:val="Tabletext"/>
              <w:rPr>
                <w:rStyle w:val="Strong"/>
              </w:rPr>
            </w:pPr>
            <w:r w:rsidRPr="0050567D">
              <w:rPr>
                <w:rStyle w:val="Strong"/>
              </w:rPr>
              <w:t>Forecast ($ millions)</w:t>
            </w:r>
          </w:p>
        </w:tc>
      </w:tr>
      <w:tr w:rsidR="0050567D" w:rsidRPr="0050567D" w:rsidTr="002D4067">
        <w:trPr>
          <w:cantSplit/>
        </w:trPr>
        <w:tc>
          <w:tcPr>
            <w:tcW w:w="5046" w:type="dxa"/>
            <w:tcBorders>
              <w:top w:val="single" w:sz="4" w:space="0" w:color="auto"/>
            </w:tcBorders>
            <w:shd w:val="clear" w:color="auto" w:fill="auto"/>
            <w:vAlign w:val="center"/>
          </w:tcPr>
          <w:p w:rsidR="0050567D" w:rsidRPr="0050567D" w:rsidRDefault="0050567D" w:rsidP="0050567D">
            <w:pPr>
              <w:pStyle w:val="Tabletext"/>
            </w:pPr>
            <w:r w:rsidRPr="0050567D">
              <w:t>Direct labour</w:t>
            </w:r>
          </w:p>
        </w:tc>
        <w:tc>
          <w:tcPr>
            <w:tcW w:w="3885" w:type="dxa"/>
            <w:tcBorders>
              <w:top w:val="single" w:sz="4" w:space="0" w:color="auto"/>
            </w:tcBorders>
            <w:shd w:val="clear" w:color="auto" w:fill="auto"/>
            <w:vAlign w:val="bottom"/>
          </w:tcPr>
          <w:p w:rsidR="0050567D" w:rsidRPr="0050567D" w:rsidRDefault="0050567D" w:rsidP="0050567D">
            <w:pPr>
              <w:pStyle w:val="Tabletext"/>
            </w:pPr>
            <w:r w:rsidRPr="0050567D">
              <w:t>$5.968</w:t>
            </w:r>
          </w:p>
        </w:tc>
      </w:tr>
      <w:tr w:rsidR="0050567D" w:rsidRPr="0050567D" w:rsidTr="002D4067">
        <w:trPr>
          <w:cantSplit/>
        </w:trPr>
        <w:tc>
          <w:tcPr>
            <w:tcW w:w="5046" w:type="dxa"/>
            <w:shd w:val="clear" w:color="auto" w:fill="auto"/>
            <w:vAlign w:val="center"/>
          </w:tcPr>
          <w:p w:rsidR="0050567D" w:rsidRPr="0050567D" w:rsidRDefault="0050567D" w:rsidP="0050567D">
            <w:pPr>
              <w:pStyle w:val="Tabletext"/>
            </w:pPr>
            <w:r w:rsidRPr="0050567D">
              <w:t>Direct materials</w:t>
            </w:r>
          </w:p>
        </w:tc>
        <w:tc>
          <w:tcPr>
            <w:tcW w:w="3885" w:type="dxa"/>
            <w:shd w:val="clear" w:color="auto" w:fill="auto"/>
            <w:vAlign w:val="center"/>
          </w:tcPr>
          <w:p w:rsidR="0050567D" w:rsidRPr="0050567D" w:rsidRDefault="0050567D" w:rsidP="0050567D">
            <w:pPr>
              <w:pStyle w:val="Tabletext"/>
            </w:pPr>
            <w:r w:rsidRPr="0050567D">
              <w:t>$1.584</w:t>
            </w:r>
          </w:p>
        </w:tc>
      </w:tr>
      <w:tr w:rsidR="0050567D" w:rsidRPr="0050567D" w:rsidTr="002D4067">
        <w:trPr>
          <w:cantSplit/>
        </w:trPr>
        <w:tc>
          <w:tcPr>
            <w:tcW w:w="5046" w:type="dxa"/>
            <w:shd w:val="clear" w:color="auto" w:fill="auto"/>
            <w:vAlign w:val="center"/>
          </w:tcPr>
          <w:p w:rsidR="0050567D" w:rsidRPr="0050567D" w:rsidRDefault="0050567D" w:rsidP="0050567D">
            <w:pPr>
              <w:pStyle w:val="Tabletext"/>
            </w:pPr>
            <w:r w:rsidRPr="0050567D">
              <w:t>Capital expenses</w:t>
            </w:r>
          </w:p>
        </w:tc>
        <w:tc>
          <w:tcPr>
            <w:tcW w:w="3885" w:type="dxa"/>
            <w:shd w:val="clear" w:color="auto" w:fill="auto"/>
            <w:vAlign w:val="center"/>
          </w:tcPr>
          <w:p w:rsidR="0050567D" w:rsidRPr="0050567D" w:rsidRDefault="0050567D" w:rsidP="0050567D">
            <w:pPr>
              <w:pStyle w:val="Tabletext"/>
            </w:pPr>
            <w:r w:rsidRPr="0050567D">
              <w:t>$0.935</w:t>
            </w:r>
          </w:p>
        </w:tc>
      </w:tr>
      <w:tr w:rsidR="0050567D" w:rsidRPr="0050567D" w:rsidTr="002D4067">
        <w:trPr>
          <w:cantSplit/>
        </w:trPr>
        <w:tc>
          <w:tcPr>
            <w:tcW w:w="5046" w:type="dxa"/>
            <w:shd w:val="clear" w:color="auto" w:fill="auto"/>
            <w:vAlign w:val="center"/>
          </w:tcPr>
          <w:p w:rsidR="0050567D" w:rsidRPr="0050567D" w:rsidRDefault="0050567D" w:rsidP="0050567D">
            <w:pPr>
              <w:pStyle w:val="Tabletext"/>
            </w:pPr>
            <w:r w:rsidRPr="0050567D">
              <w:t>Other expenses</w:t>
            </w:r>
          </w:p>
        </w:tc>
        <w:tc>
          <w:tcPr>
            <w:tcW w:w="3885" w:type="dxa"/>
            <w:shd w:val="clear" w:color="auto" w:fill="auto"/>
            <w:vAlign w:val="center"/>
          </w:tcPr>
          <w:p w:rsidR="0050567D" w:rsidRPr="0050567D" w:rsidRDefault="0050567D" w:rsidP="0050567D">
            <w:pPr>
              <w:pStyle w:val="Tabletext"/>
            </w:pPr>
            <w:r w:rsidRPr="0050567D">
              <w:t>$0.098</w:t>
            </w:r>
          </w:p>
        </w:tc>
      </w:tr>
      <w:tr w:rsidR="0050567D" w:rsidRPr="0050567D" w:rsidTr="002D4067">
        <w:trPr>
          <w:cantSplit/>
        </w:trPr>
        <w:tc>
          <w:tcPr>
            <w:tcW w:w="5046" w:type="dxa"/>
            <w:shd w:val="clear" w:color="auto" w:fill="auto"/>
            <w:vAlign w:val="center"/>
          </w:tcPr>
          <w:p w:rsidR="0050567D" w:rsidRPr="0050567D" w:rsidRDefault="0050567D" w:rsidP="0050567D">
            <w:pPr>
              <w:pStyle w:val="Tabletext"/>
              <w:rPr>
                <w:b/>
              </w:rPr>
            </w:pPr>
            <w:r w:rsidRPr="0050567D">
              <w:rPr>
                <w:b/>
              </w:rPr>
              <w:t>Direct expenses total</w:t>
            </w:r>
          </w:p>
        </w:tc>
        <w:tc>
          <w:tcPr>
            <w:tcW w:w="3885" w:type="dxa"/>
            <w:shd w:val="clear" w:color="auto" w:fill="auto"/>
            <w:vAlign w:val="center"/>
          </w:tcPr>
          <w:p w:rsidR="0050567D" w:rsidRPr="0050567D" w:rsidRDefault="0050567D" w:rsidP="0050567D">
            <w:pPr>
              <w:pStyle w:val="Tabletext"/>
              <w:rPr>
                <w:b/>
              </w:rPr>
            </w:pPr>
            <w:r w:rsidRPr="0050567D">
              <w:rPr>
                <w:b/>
              </w:rPr>
              <w:t>$8.585</w:t>
            </w:r>
          </w:p>
        </w:tc>
      </w:tr>
      <w:tr w:rsidR="0050567D" w:rsidRPr="0050567D" w:rsidTr="002D4067">
        <w:trPr>
          <w:cantSplit/>
        </w:trPr>
        <w:tc>
          <w:tcPr>
            <w:tcW w:w="5046" w:type="dxa"/>
            <w:shd w:val="clear" w:color="auto" w:fill="auto"/>
            <w:vAlign w:val="center"/>
          </w:tcPr>
          <w:p w:rsidR="0050567D" w:rsidRPr="0050567D" w:rsidRDefault="0050567D" w:rsidP="0050567D">
            <w:pPr>
              <w:pStyle w:val="Tabletext"/>
              <w:rPr>
                <w:b/>
              </w:rPr>
            </w:pPr>
            <w:r w:rsidRPr="0050567D">
              <w:rPr>
                <w:b/>
              </w:rPr>
              <w:t>Indirect expenses total</w:t>
            </w:r>
          </w:p>
        </w:tc>
        <w:tc>
          <w:tcPr>
            <w:tcW w:w="3885" w:type="dxa"/>
            <w:shd w:val="clear" w:color="auto" w:fill="auto"/>
            <w:vAlign w:val="center"/>
          </w:tcPr>
          <w:p w:rsidR="0050567D" w:rsidRPr="0050567D" w:rsidRDefault="0050567D" w:rsidP="0050567D">
            <w:pPr>
              <w:pStyle w:val="Tabletext"/>
              <w:rPr>
                <w:b/>
              </w:rPr>
            </w:pPr>
            <w:r w:rsidRPr="0050567D">
              <w:rPr>
                <w:b/>
              </w:rPr>
              <w:t>$4.153</w:t>
            </w:r>
          </w:p>
        </w:tc>
      </w:tr>
      <w:tr w:rsidR="0050567D" w:rsidRPr="0050567D" w:rsidTr="002D4067">
        <w:trPr>
          <w:cantSplit/>
        </w:trPr>
        <w:tc>
          <w:tcPr>
            <w:tcW w:w="5046" w:type="dxa"/>
            <w:shd w:val="clear" w:color="auto" w:fill="auto"/>
            <w:vAlign w:val="center"/>
          </w:tcPr>
          <w:p w:rsidR="0050567D" w:rsidRPr="0050567D" w:rsidRDefault="0050567D" w:rsidP="0050567D">
            <w:pPr>
              <w:pStyle w:val="Tabletext"/>
              <w:rPr>
                <w:b/>
              </w:rPr>
            </w:pPr>
            <w:r w:rsidRPr="0050567D">
              <w:rPr>
                <w:b/>
              </w:rPr>
              <w:t>Total Expenses</w:t>
            </w:r>
          </w:p>
        </w:tc>
        <w:tc>
          <w:tcPr>
            <w:tcW w:w="3885" w:type="dxa"/>
            <w:shd w:val="clear" w:color="auto" w:fill="auto"/>
            <w:vAlign w:val="center"/>
          </w:tcPr>
          <w:p w:rsidR="0050567D" w:rsidRPr="0050567D" w:rsidRDefault="0050567D" w:rsidP="0050567D">
            <w:pPr>
              <w:pStyle w:val="Tabletext"/>
              <w:rPr>
                <w:b/>
              </w:rPr>
            </w:pPr>
            <w:r w:rsidRPr="0050567D">
              <w:rPr>
                <w:b/>
              </w:rPr>
              <w:t>$12.738</w:t>
            </w:r>
          </w:p>
        </w:tc>
      </w:tr>
    </w:tbl>
    <w:p w:rsidR="0050567D" w:rsidRPr="0050567D" w:rsidRDefault="0050567D" w:rsidP="000038D6"/>
    <w:p w:rsidR="00DC4FFD" w:rsidRDefault="00DC4FFD" w:rsidP="00A33A10">
      <w:pPr>
        <w:pStyle w:val="Heading4"/>
      </w:pPr>
      <w:bookmarkStart w:id="71" w:name="_Toc423939501"/>
      <w:bookmarkStart w:id="72" w:name="_Toc424305791"/>
      <w:r>
        <w:t>A.2.2</w:t>
      </w:r>
      <w:r>
        <w:tab/>
      </w:r>
      <w:bookmarkEnd w:id="71"/>
      <w:bookmarkEnd w:id="72"/>
      <w:r>
        <w:t>Inclusions to the cost base</w:t>
      </w:r>
    </w:p>
    <w:p w:rsidR="00DC4FFD" w:rsidRDefault="00DC4FFD">
      <w:pPr>
        <w:keepNext/>
        <w:keepLines/>
      </w:pPr>
      <w:r>
        <w:t xml:space="preserve">While the cost base </w:t>
      </w:r>
      <w:proofErr w:type="gramStart"/>
      <w:r>
        <w:t>has been reduced</w:t>
      </w:r>
      <w:proofErr w:type="gramEnd"/>
      <w:r>
        <w:t xml:space="preserve">, additional costs associated with detained cargo have been incorporated. Detained cargo is cargo that has left Australia and encounters difficulty in transit or at the country of import. Due to the highly reactive, uncertain and expensive nature of managing detained cargo, it is important that there is certainty for funding these activities while ensuring the most effective and efficient cost recovery arrangements are in place. Currently no cost recovery arrangement recovers for activities undertaken by the department for detained cargo. Under the redesign, the department will recover costs of managing these incidents through levies imposed on users. </w:t>
      </w:r>
    </w:p>
    <w:p w:rsidR="00DC4FFD" w:rsidRDefault="00FD19FD">
      <w:r>
        <w:t xml:space="preserve">Cost recovery is </w:t>
      </w:r>
      <w:r w:rsidR="00DC4FFD">
        <w:t>appropriate as industry benefits by having a system in place that allows the department to manage detained cargo situations when they arise. Activities undertaken by the department in cases of detained cargo include:</w:t>
      </w:r>
    </w:p>
    <w:p w:rsidR="00DC4FFD" w:rsidRDefault="00DC4FFD" w:rsidP="00781323">
      <w:pPr>
        <w:pStyle w:val="ListBullet"/>
      </w:pPr>
      <w:r>
        <w:t>working with foreign governments and agricultural posts</w:t>
      </w:r>
    </w:p>
    <w:p w:rsidR="00DC4FFD" w:rsidRDefault="00DC4FFD" w:rsidP="00781323">
      <w:pPr>
        <w:pStyle w:val="ListBullet"/>
      </w:pPr>
      <w:r>
        <w:t>identifying new markets for the detained cargo</w:t>
      </w:r>
    </w:p>
    <w:p w:rsidR="00DC4FFD" w:rsidRDefault="00DC4FFD" w:rsidP="00781323">
      <w:pPr>
        <w:pStyle w:val="ListBullet"/>
      </w:pPr>
      <w:proofErr w:type="gramStart"/>
      <w:r>
        <w:lastRenderedPageBreak/>
        <w:t>issuing</w:t>
      </w:r>
      <w:proofErr w:type="gramEnd"/>
      <w:r>
        <w:t xml:space="preserve"> certificates to meet new importing country requirements.</w:t>
      </w:r>
    </w:p>
    <w:p w:rsidR="00FD19FD" w:rsidRDefault="00FD19FD" w:rsidP="00FD19FD">
      <w:pPr>
        <w:pStyle w:val="ListBullet"/>
        <w:numPr>
          <w:ilvl w:val="0"/>
          <w:numId w:val="0"/>
        </w:numPr>
      </w:pPr>
      <w:r>
        <w:t>Table 4 summarises changes to the cost base.</w:t>
      </w:r>
    </w:p>
    <w:p w:rsidR="001128BD" w:rsidRDefault="001128BD" w:rsidP="001128BD">
      <w:pPr>
        <w:pStyle w:val="Caption"/>
        <w:keepNext/>
      </w:pPr>
      <w:r>
        <w:t xml:space="preserve">Table </w:t>
      </w:r>
      <w:r w:rsidR="0058767D">
        <w:fldChar w:fldCharType="begin"/>
      </w:r>
      <w:r w:rsidR="0058767D">
        <w:instrText xml:space="preserve"> SEQ Table \* ARABIC </w:instrText>
      </w:r>
      <w:r w:rsidR="0058767D">
        <w:fldChar w:fldCharType="separate"/>
      </w:r>
      <w:r w:rsidR="0058767D">
        <w:rPr>
          <w:noProof/>
        </w:rPr>
        <w:t>4</w:t>
      </w:r>
      <w:r w:rsidR="0058767D">
        <w:rPr>
          <w:noProof/>
        </w:rPr>
        <w:fldChar w:fldCharType="end"/>
      </w:r>
      <w:r>
        <w:t xml:space="preserve">: </w:t>
      </w:r>
      <w:r w:rsidRPr="00DD1C5B">
        <w:t>Changes to cost base, grain exports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54"/>
        <w:gridCol w:w="1984"/>
        <w:gridCol w:w="1134"/>
      </w:tblGrid>
      <w:tr w:rsidR="00DC4FFD" w:rsidTr="00176614">
        <w:tc>
          <w:tcPr>
            <w:tcW w:w="5954" w:type="dxa"/>
            <w:shd w:val="solid" w:color="DBE5F1" w:fill="C6D9F1"/>
            <w:vAlign w:val="center"/>
          </w:tcPr>
          <w:p w:rsidR="00DC4FFD" w:rsidRPr="0096735D" w:rsidRDefault="00DC4FFD" w:rsidP="0096735D">
            <w:pPr>
              <w:pStyle w:val="Tabletext"/>
              <w:rPr>
                <w:rStyle w:val="Strong"/>
              </w:rPr>
            </w:pPr>
            <w:r w:rsidRPr="0096735D">
              <w:rPr>
                <w:rStyle w:val="Strong"/>
              </w:rPr>
              <w:t>Adjustment to cost base</w:t>
            </w:r>
          </w:p>
        </w:tc>
        <w:tc>
          <w:tcPr>
            <w:tcW w:w="1984" w:type="dxa"/>
            <w:shd w:val="solid" w:color="DBE5F1" w:fill="C6D9F1"/>
            <w:vAlign w:val="center"/>
          </w:tcPr>
          <w:p w:rsidR="00DC4FFD" w:rsidRPr="0096735D" w:rsidRDefault="00DC4FFD" w:rsidP="0096735D">
            <w:pPr>
              <w:pStyle w:val="Tabletext"/>
              <w:rPr>
                <w:rStyle w:val="Strong"/>
              </w:rPr>
            </w:pPr>
            <w:r w:rsidRPr="0096735D">
              <w:rPr>
                <w:rStyle w:val="Strong"/>
              </w:rPr>
              <w:t>Impact on cost base</w:t>
            </w:r>
          </w:p>
        </w:tc>
        <w:tc>
          <w:tcPr>
            <w:tcW w:w="1134" w:type="dxa"/>
            <w:shd w:val="solid" w:color="DBE5F1" w:fill="C6D9F1"/>
            <w:vAlign w:val="center"/>
          </w:tcPr>
          <w:p w:rsidR="0096735D" w:rsidRDefault="0096735D" w:rsidP="0096735D">
            <w:pPr>
              <w:pStyle w:val="Tabletext"/>
              <w:rPr>
                <w:rStyle w:val="Strong"/>
              </w:rPr>
            </w:pPr>
            <w:r>
              <w:rPr>
                <w:rStyle w:val="Strong"/>
              </w:rPr>
              <w:t>Forecast</w:t>
            </w:r>
          </w:p>
          <w:p w:rsidR="00DC4FFD" w:rsidRPr="0096735D" w:rsidRDefault="00DC4FFD" w:rsidP="0096735D">
            <w:pPr>
              <w:pStyle w:val="Tabletext"/>
              <w:rPr>
                <w:rStyle w:val="Strong"/>
              </w:rPr>
            </w:pPr>
            <w:r w:rsidRPr="0096735D">
              <w:rPr>
                <w:rStyle w:val="Strong"/>
              </w:rPr>
              <w:t>($ ’000s)</w:t>
            </w:r>
          </w:p>
        </w:tc>
      </w:tr>
      <w:tr w:rsidR="00DC4FFD" w:rsidTr="00176614">
        <w:tc>
          <w:tcPr>
            <w:tcW w:w="5954" w:type="dxa"/>
            <w:shd w:val="clear" w:color="auto" w:fill="auto"/>
          </w:tcPr>
          <w:p w:rsidR="00DC4FFD" w:rsidRDefault="00DC4FFD" w:rsidP="0096735D">
            <w:pPr>
              <w:pStyle w:val="Tabletext"/>
            </w:pPr>
            <w:r>
              <w:t>1. Detained consignments</w:t>
            </w:r>
          </w:p>
        </w:tc>
        <w:tc>
          <w:tcPr>
            <w:tcW w:w="1984" w:type="dxa"/>
            <w:shd w:val="clear" w:color="auto" w:fill="auto"/>
            <w:vAlign w:val="center"/>
          </w:tcPr>
          <w:p w:rsidR="00DC4FFD" w:rsidRDefault="00DC4FFD" w:rsidP="0096735D">
            <w:pPr>
              <w:pStyle w:val="Tabletext"/>
            </w:pPr>
            <w:r>
              <w:t>Increase</w:t>
            </w:r>
          </w:p>
        </w:tc>
        <w:tc>
          <w:tcPr>
            <w:tcW w:w="1134" w:type="dxa"/>
            <w:shd w:val="clear" w:color="auto" w:fill="auto"/>
            <w:vAlign w:val="center"/>
          </w:tcPr>
          <w:p w:rsidR="00DC4FFD" w:rsidRDefault="00DC4FFD" w:rsidP="0096735D">
            <w:pPr>
              <w:pStyle w:val="Tabletext"/>
            </w:pPr>
            <w:r>
              <w:t>$150</w:t>
            </w:r>
          </w:p>
        </w:tc>
      </w:tr>
      <w:tr w:rsidR="00DC4FFD" w:rsidTr="00176614">
        <w:tc>
          <w:tcPr>
            <w:tcW w:w="5954" w:type="dxa"/>
            <w:shd w:val="clear" w:color="auto" w:fill="auto"/>
          </w:tcPr>
          <w:p w:rsidR="00DC4FFD" w:rsidRDefault="00DC4FFD" w:rsidP="0096735D">
            <w:pPr>
              <w:pStyle w:val="Tabletext"/>
            </w:pPr>
            <w:r>
              <w:t>2. Organic export certification</w:t>
            </w:r>
          </w:p>
        </w:tc>
        <w:tc>
          <w:tcPr>
            <w:tcW w:w="1984" w:type="dxa"/>
            <w:shd w:val="clear" w:color="auto" w:fill="auto"/>
            <w:vAlign w:val="center"/>
          </w:tcPr>
          <w:p w:rsidR="00DC4FFD" w:rsidRDefault="00DC4FFD" w:rsidP="0096735D">
            <w:pPr>
              <w:pStyle w:val="Tabletext"/>
            </w:pPr>
            <w:r>
              <w:t>Increase</w:t>
            </w:r>
          </w:p>
        </w:tc>
        <w:tc>
          <w:tcPr>
            <w:tcW w:w="1134" w:type="dxa"/>
            <w:shd w:val="clear" w:color="auto" w:fill="auto"/>
            <w:vAlign w:val="center"/>
          </w:tcPr>
          <w:p w:rsidR="00DC4FFD" w:rsidRDefault="00DC4FFD" w:rsidP="0096735D">
            <w:pPr>
              <w:pStyle w:val="Tabletext"/>
            </w:pPr>
            <w:r>
              <w:t>$9</w:t>
            </w:r>
          </w:p>
        </w:tc>
      </w:tr>
      <w:tr w:rsidR="00DC4FFD" w:rsidTr="00176614">
        <w:tc>
          <w:tcPr>
            <w:tcW w:w="5954" w:type="dxa"/>
            <w:shd w:val="clear" w:color="auto" w:fill="auto"/>
          </w:tcPr>
          <w:p w:rsidR="00DC4FFD" w:rsidRDefault="00DC4FFD" w:rsidP="0096735D">
            <w:pPr>
              <w:pStyle w:val="Tabletext"/>
            </w:pPr>
            <w:r>
              <w:t>3. Depreciation expenses</w:t>
            </w:r>
          </w:p>
        </w:tc>
        <w:tc>
          <w:tcPr>
            <w:tcW w:w="1984" w:type="dxa"/>
            <w:shd w:val="clear" w:color="auto" w:fill="auto"/>
            <w:vAlign w:val="bottom"/>
          </w:tcPr>
          <w:p w:rsidR="00DC4FFD" w:rsidRDefault="00DC4FFD" w:rsidP="0096735D">
            <w:pPr>
              <w:pStyle w:val="Tabletext"/>
            </w:pPr>
            <w:r>
              <w:t>Increase</w:t>
            </w:r>
          </w:p>
        </w:tc>
        <w:tc>
          <w:tcPr>
            <w:tcW w:w="1134" w:type="dxa"/>
            <w:shd w:val="clear" w:color="auto" w:fill="auto"/>
            <w:vAlign w:val="center"/>
          </w:tcPr>
          <w:p w:rsidR="00DC4FFD" w:rsidRDefault="00DC4FFD" w:rsidP="0096735D">
            <w:pPr>
              <w:pStyle w:val="Tabletext"/>
            </w:pPr>
            <w:r>
              <w:t>$285</w:t>
            </w:r>
          </w:p>
        </w:tc>
      </w:tr>
      <w:tr w:rsidR="00DC4FFD" w:rsidTr="00176614">
        <w:tc>
          <w:tcPr>
            <w:tcW w:w="5954" w:type="dxa"/>
            <w:shd w:val="clear" w:color="auto" w:fill="auto"/>
          </w:tcPr>
          <w:p w:rsidR="00DC4FFD" w:rsidRPr="0096735D" w:rsidRDefault="00DC4FFD" w:rsidP="0096735D">
            <w:pPr>
              <w:pStyle w:val="Tabletext"/>
              <w:ind w:left="488"/>
              <w:rPr>
                <w:rStyle w:val="Strong"/>
              </w:rPr>
            </w:pPr>
            <w:r w:rsidRPr="0096735D">
              <w:rPr>
                <w:rStyle w:val="Strong"/>
              </w:rPr>
              <w:t>Total expenditure of adjustments to cost base</w:t>
            </w:r>
          </w:p>
        </w:tc>
        <w:tc>
          <w:tcPr>
            <w:tcW w:w="1984" w:type="dxa"/>
            <w:shd w:val="clear" w:color="auto" w:fill="auto"/>
            <w:vAlign w:val="bottom"/>
          </w:tcPr>
          <w:p w:rsidR="00DC4FFD" w:rsidRDefault="00DC4FFD" w:rsidP="0096735D">
            <w:pPr>
              <w:pStyle w:val="Tabletext"/>
            </w:pPr>
            <w:r>
              <w:t>Increase</w:t>
            </w:r>
          </w:p>
        </w:tc>
        <w:tc>
          <w:tcPr>
            <w:tcW w:w="1134" w:type="dxa"/>
            <w:shd w:val="clear" w:color="auto" w:fill="auto"/>
            <w:vAlign w:val="center"/>
          </w:tcPr>
          <w:p w:rsidR="00DC4FFD" w:rsidRDefault="00DC4FFD" w:rsidP="0096735D">
            <w:pPr>
              <w:pStyle w:val="Tabletext"/>
            </w:pPr>
            <w:r>
              <w:t>$444</w:t>
            </w:r>
          </w:p>
        </w:tc>
      </w:tr>
      <w:tr w:rsidR="00DC4FFD" w:rsidTr="00176614">
        <w:tc>
          <w:tcPr>
            <w:tcW w:w="5954" w:type="dxa"/>
            <w:shd w:val="clear" w:color="auto" w:fill="auto"/>
          </w:tcPr>
          <w:p w:rsidR="00DC4FFD" w:rsidRPr="0096735D" w:rsidRDefault="00DC4FFD" w:rsidP="0096735D">
            <w:pPr>
              <w:pStyle w:val="Tabletext"/>
              <w:ind w:left="488"/>
              <w:rPr>
                <w:rStyle w:val="Strong"/>
              </w:rPr>
            </w:pPr>
            <w:r w:rsidRPr="0096735D">
              <w:rPr>
                <w:rStyle w:val="Strong"/>
              </w:rPr>
              <w:t>Total baseline expenditure</w:t>
            </w:r>
          </w:p>
        </w:tc>
        <w:tc>
          <w:tcPr>
            <w:tcW w:w="1984" w:type="dxa"/>
            <w:shd w:val="clear" w:color="auto" w:fill="auto"/>
            <w:vAlign w:val="bottom"/>
          </w:tcPr>
          <w:p w:rsidR="00DC4FFD" w:rsidRDefault="00DC4FFD" w:rsidP="0096735D">
            <w:pPr>
              <w:pStyle w:val="Tabletext"/>
            </w:pPr>
          </w:p>
        </w:tc>
        <w:tc>
          <w:tcPr>
            <w:tcW w:w="1134" w:type="dxa"/>
            <w:shd w:val="clear" w:color="auto" w:fill="auto"/>
            <w:vAlign w:val="center"/>
          </w:tcPr>
          <w:p w:rsidR="00DC4FFD" w:rsidRDefault="00DC4FFD" w:rsidP="0096735D">
            <w:pPr>
              <w:pStyle w:val="Tabletext"/>
            </w:pPr>
            <w:r>
              <w:t>$12 294</w:t>
            </w:r>
          </w:p>
        </w:tc>
      </w:tr>
      <w:tr w:rsidR="00DC4FFD" w:rsidTr="00176614">
        <w:tc>
          <w:tcPr>
            <w:tcW w:w="5954" w:type="dxa"/>
            <w:shd w:val="clear" w:color="auto" w:fill="auto"/>
          </w:tcPr>
          <w:p w:rsidR="00DC4FFD" w:rsidRPr="0096735D" w:rsidRDefault="00DC4FFD" w:rsidP="0096735D">
            <w:pPr>
              <w:pStyle w:val="Tabletext"/>
              <w:ind w:left="488"/>
              <w:rPr>
                <w:rStyle w:val="Strong"/>
              </w:rPr>
            </w:pPr>
            <w:r w:rsidRPr="0096735D">
              <w:rPr>
                <w:rStyle w:val="Strong"/>
              </w:rPr>
              <w:t>Adjusted cost recoverable expenditure (cost base)</w:t>
            </w:r>
          </w:p>
        </w:tc>
        <w:tc>
          <w:tcPr>
            <w:tcW w:w="1984" w:type="dxa"/>
            <w:shd w:val="clear" w:color="auto" w:fill="auto"/>
            <w:vAlign w:val="bottom"/>
          </w:tcPr>
          <w:p w:rsidR="00DC4FFD" w:rsidRDefault="00DC4FFD" w:rsidP="0096735D">
            <w:pPr>
              <w:pStyle w:val="Tabletext"/>
            </w:pPr>
          </w:p>
        </w:tc>
        <w:tc>
          <w:tcPr>
            <w:tcW w:w="1134" w:type="dxa"/>
            <w:shd w:val="clear" w:color="auto" w:fill="auto"/>
            <w:vAlign w:val="center"/>
          </w:tcPr>
          <w:p w:rsidR="00DC4FFD" w:rsidRDefault="00DC4FFD" w:rsidP="0096735D">
            <w:pPr>
              <w:pStyle w:val="Tabletext"/>
            </w:pPr>
            <w:r>
              <w:t>$12 738</w:t>
            </w:r>
          </w:p>
        </w:tc>
      </w:tr>
      <w:tr w:rsidR="00DC4FFD" w:rsidTr="00176614">
        <w:tc>
          <w:tcPr>
            <w:tcW w:w="5954" w:type="dxa"/>
            <w:shd w:val="clear" w:color="auto" w:fill="auto"/>
          </w:tcPr>
          <w:p w:rsidR="00DC4FFD" w:rsidRPr="0096735D" w:rsidRDefault="00DC4FFD" w:rsidP="0096735D">
            <w:pPr>
              <w:pStyle w:val="Tabletext"/>
              <w:ind w:left="488"/>
              <w:rPr>
                <w:rStyle w:val="Strong"/>
              </w:rPr>
            </w:pPr>
            <w:r w:rsidRPr="0096735D">
              <w:rPr>
                <w:rStyle w:val="Strong"/>
              </w:rPr>
              <w:t>Change in expenditure</w:t>
            </w:r>
          </w:p>
        </w:tc>
        <w:tc>
          <w:tcPr>
            <w:tcW w:w="1984" w:type="dxa"/>
            <w:shd w:val="clear" w:color="auto" w:fill="auto"/>
            <w:vAlign w:val="bottom"/>
          </w:tcPr>
          <w:p w:rsidR="00DC4FFD" w:rsidRDefault="00DC4FFD" w:rsidP="0096735D">
            <w:pPr>
              <w:pStyle w:val="Tabletext"/>
            </w:pPr>
            <w:r>
              <w:t>Increase</w:t>
            </w:r>
          </w:p>
        </w:tc>
        <w:tc>
          <w:tcPr>
            <w:tcW w:w="1134" w:type="dxa"/>
            <w:shd w:val="clear" w:color="auto" w:fill="auto"/>
            <w:vAlign w:val="center"/>
          </w:tcPr>
          <w:p w:rsidR="00DC4FFD" w:rsidRPr="0096735D" w:rsidRDefault="00DC4FFD" w:rsidP="0096735D">
            <w:pPr>
              <w:pStyle w:val="Tabletext"/>
              <w:rPr>
                <w:rStyle w:val="Strong"/>
              </w:rPr>
            </w:pPr>
            <w:r w:rsidRPr="0096735D">
              <w:rPr>
                <w:rStyle w:val="Strong"/>
              </w:rPr>
              <w:t>4%</w:t>
            </w:r>
          </w:p>
        </w:tc>
      </w:tr>
    </w:tbl>
    <w:p w:rsidR="00DC4FFD" w:rsidRDefault="00DC4FFD" w:rsidP="0096735D">
      <w:pPr>
        <w:pStyle w:val="Heading3"/>
        <w:numPr>
          <w:ilvl w:val="0"/>
          <w:numId w:val="0"/>
        </w:numPr>
        <w:ind w:left="794" w:hanging="794"/>
      </w:pPr>
      <w:bookmarkStart w:id="73" w:name="_Toc424305792"/>
      <w:bookmarkStart w:id="74" w:name="_Toc433035561"/>
      <w:r>
        <w:t>A.3</w:t>
      </w:r>
      <w:r>
        <w:tab/>
        <w:t>Financial estimates</w:t>
      </w:r>
      <w:bookmarkEnd w:id="73"/>
      <w:bookmarkEnd w:id="74"/>
    </w:p>
    <w:p w:rsidR="00DC4FFD" w:rsidRDefault="00DC4FFD">
      <w:pPr>
        <w:keepLines/>
      </w:pPr>
      <w:r>
        <w:t xml:space="preserve">A summary of the annual budgeted operating position for the grain export cost recovery arrangement </w:t>
      </w:r>
      <w:proofErr w:type="gramStart"/>
      <w:r>
        <w:t>is provided</w:t>
      </w:r>
      <w:proofErr w:type="gramEnd"/>
      <w:r>
        <w:t xml:space="preserve"> at Table 5. All </w:t>
      </w:r>
      <w:proofErr w:type="gramStart"/>
      <w:r>
        <w:t>cost recovered</w:t>
      </w:r>
      <w:proofErr w:type="gramEnd"/>
      <w:r>
        <w:t xml:space="preserve"> activities are subject to a detailed semi-annual review as part of departmental budgeting processes.</w:t>
      </w:r>
    </w:p>
    <w:p w:rsidR="00F0251E" w:rsidRDefault="00F0251E" w:rsidP="00F0251E">
      <w:pPr>
        <w:pStyle w:val="Caption"/>
        <w:keepNext/>
      </w:pPr>
      <w:r>
        <w:t xml:space="preserve">Table </w:t>
      </w:r>
      <w:r w:rsidR="0058767D">
        <w:fldChar w:fldCharType="begin"/>
      </w:r>
      <w:r w:rsidR="0058767D">
        <w:instrText xml:space="preserve"> SEQ Table \* ARABIC </w:instrText>
      </w:r>
      <w:r w:rsidR="0058767D">
        <w:fldChar w:fldCharType="separate"/>
      </w:r>
      <w:r w:rsidR="0058767D">
        <w:rPr>
          <w:noProof/>
        </w:rPr>
        <w:t>5</w:t>
      </w:r>
      <w:r w:rsidR="0058767D">
        <w:rPr>
          <w:noProof/>
        </w:rPr>
        <w:fldChar w:fldCharType="end"/>
      </w:r>
      <w:r>
        <w:t xml:space="preserve">: </w:t>
      </w:r>
      <w:r w:rsidRPr="00BC3753">
        <w:t>Financial estimates—grain exports cost recovery arrangement</w:t>
      </w:r>
    </w:p>
    <w:tbl>
      <w:tblPr>
        <w:tblW w:w="90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417"/>
        <w:gridCol w:w="1418"/>
        <w:gridCol w:w="1417"/>
        <w:gridCol w:w="1418"/>
        <w:gridCol w:w="1221"/>
      </w:tblGrid>
      <w:tr w:rsidR="00DC4FFD" w:rsidTr="00176614">
        <w:trPr>
          <w:cantSplit/>
          <w:tblHeader/>
          <w:jc w:val="center"/>
        </w:trPr>
        <w:tc>
          <w:tcPr>
            <w:tcW w:w="2182" w:type="dxa"/>
            <w:shd w:val="solid" w:color="C6D9F1" w:fill="C6D9F1"/>
            <w:vAlign w:val="center"/>
          </w:tcPr>
          <w:p w:rsidR="00DC4FFD" w:rsidRPr="008B4E48" w:rsidRDefault="00DC4FFD" w:rsidP="008B4E48">
            <w:pPr>
              <w:pStyle w:val="Tabletext"/>
              <w:rPr>
                <w:rStyle w:val="Strong"/>
              </w:rPr>
            </w:pPr>
            <w:bookmarkStart w:id="75" w:name="_Toc424305793"/>
            <w:r w:rsidRPr="008B4E48">
              <w:rPr>
                <w:rStyle w:val="Strong"/>
              </w:rPr>
              <w:br w:type="page"/>
              <w:t>Finance element</w:t>
            </w:r>
          </w:p>
        </w:tc>
        <w:tc>
          <w:tcPr>
            <w:tcW w:w="1417" w:type="dxa"/>
            <w:shd w:val="solid" w:color="C6D9F1" w:fill="C6D9F1"/>
          </w:tcPr>
          <w:p w:rsidR="00DC4FFD" w:rsidRPr="008B4E48" w:rsidRDefault="00DC4FFD" w:rsidP="008B4E48">
            <w:pPr>
              <w:pStyle w:val="Tabletext"/>
              <w:rPr>
                <w:rStyle w:val="Strong"/>
              </w:rPr>
            </w:pPr>
            <w:r w:rsidRPr="008B4E48">
              <w:rPr>
                <w:rStyle w:val="Strong"/>
              </w:rPr>
              <w:t>A</w:t>
            </w:r>
          </w:p>
          <w:p w:rsidR="00DC4FFD" w:rsidRPr="008B4E48" w:rsidRDefault="00DC4FFD" w:rsidP="008B4E48">
            <w:pPr>
              <w:pStyle w:val="Tabletext"/>
              <w:rPr>
                <w:rStyle w:val="Strong"/>
              </w:rPr>
            </w:pPr>
            <w:r w:rsidRPr="008B4E48">
              <w:rPr>
                <w:rStyle w:val="Strong"/>
              </w:rPr>
              <w:t>2014–15</w:t>
            </w:r>
          </w:p>
        </w:tc>
        <w:tc>
          <w:tcPr>
            <w:tcW w:w="1418" w:type="dxa"/>
            <w:shd w:val="solid" w:color="C6D9F1" w:fill="C6D9F1"/>
          </w:tcPr>
          <w:p w:rsidR="00DC4FFD" w:rsidRPr="008B4E48" w:rsidRDefault="00DC4FFD" w:rsidP="008B4E48">
            <w:pPr>
              <w:pStyle w:val="Tabletext"/>
              <w:rPr>
                <w:rStyle w:val="Strong"/>
              </w:rPr>
            </w:pPr>
            <w:r w:rsidRPr="008B4E48">
              <w:rPr>
                <w:rStyle w:val="Strong"/>
              </w:rPr>
              <w:t>B</w:t>
            </w:r>
          </w:p>
          <w:p w:rsidR="00DC4FFD" w:rsidRPr="008B4E48" w:rsidRDefault="00DC4FFD" w:rsidP="008B4E48">
            <w:pPr>
              <w:pStyle w:val="Tabletext"/>
              <w:rPr>
                <w:rStyle w:val="Strong"/>
              </w:rPr>
            </w:pPr>
            <w:r w:rsidRPr="008B4E48">
              <w:rPr>
                <w:rStyle w:val="Strong"/>
              </w:rPr>
              <w:t>2015–16</w:t>
            </w:r>
          </w:p>
        </w:tc>
        <w:tc>
          <w:tcPr>
            <w:tcW w:w="1417" w:type="dxa"/>
            <w:shd w:val="solid" w:color="C6D9F1" w:fill="C6D9F1"/>
          </w:tcPr>
          <w:p w:rsidR="00DC4FFD" w:rsidRPr="008B4E48" w:rsidRDefault="00DC4FFD" w:rsidP="008B4E48">
            <w:pPr>
              <w:pStyle w:val="Tabletext"/>
              <w:rPr>
                <w:rStyle w:val="Strong"/>
              </w:rPr>
            </w:pPr>
            <w:r w:rsidRPr="008B4E48">
              <w:rPr>
                <w:rStyle w:val="Strong"/>
              </w:rPr>
              <w:t>C</w:t>
            </w:r>
          </w:p>
          <w:p w:rsidR="00DC4FFD" w:rsidRPr="008B4E48" w:rsidRDefault="00DC4FFD" w:rsidP="008B4E48">
            <w:pPr>
              <w:pStyle w:val="Tabletext"/>
              <w:rPr>
                <w:rStyle w:val="Strong"/>
              </w:rPr>
            </w:pPr>
            <w:r w:rsidRPr="008B4E48">
              <w:rPr>
                <w:rStyle w:val="Strong"/>
              </w:rPr>
              <w:t>2016–17</w:t>
            </w:r>
          </w:p>
        </w:tc>
        <w:tc>
          <w:tcPr>
            <w:tcW w:w="1418" w:type="dxa"/>
            <w:shd w:val="solid" w:color="C6D9F1" w:fill="C6D9F1"/>
          </w:tcPr>
          <w:p w:rsidR="00DC4FFD" w:rsidRPr="008B4E48" w:rsidRDefault="00DC4FFD" w:rsidP="008B4E48">
            <w:pPr>
              <w:pStyle w:val="Tabletext"/>
              <w:rPr>
                <w:rStyle w:val="Strong"/>
              </w:rPr>
            </w:pPr>
            <w:r w:rsidRPr="008B4E48">
              <w:rPr>
                <w:rStyle w:val="Strong"/>
              </w:rPr>
              <w:t>D</w:t>
            </w:r>
          </w:p>
          <w:p w:rsidR="00DC4FFD" w:rsidRPr="008B4E48" w:rsidRDefault="00DC4FFD" w:rsidP="008B4E48">
            <w:pPr>
              <w:pStyle w:val="Tabletext"/>
              <w:rPr>
                <w:rStyle w:val="Strong"/>
              </w:rPr>
            </w:pPr>
            <w:r w:rsidRPr="008B4E48">
              <w:rPr>
                <w:rStyle w:val="Strong"/>
              </w:rPr>
              <w:t>2017–18</w:t>
            </w:r>
          </w:p>
        </w:tc>
        <w:tc>
          <w:tcPr>
            <w:tcW w:w="1221" w:type="dxa"/>
            <w:shd w:val="solid" w:color="C6D9F1" w:fill="C6D9F1"/>
          </w:tcPr>
          <w:p w:rsidR="008B4E48" w:rsidRDefault="00DC4FFD" w:rsidP="008B4E48">
            <w:pPr>
              <w:pStyle w:val="Tabletext"/>
              <w:rPr>
                <w:rStyle w:val="Strong"/>
              </w:rPr>
            </w:pPr>
            <w:r w:rsidRPr="008B4E48">
              <w:rPr>
                <w:rStyle w:val="Strong"/>
              </w:rPr>
              <w:t>E</w:t>
            </w:r>
          </w:p>
          <w:p w:rsidR="00DC4FFD" w:rsidRPr="008B4E48" w:rsidRDefault="00DC4FFD" w:rsidP="008B4E48">
            <w:pPr>
              <w:pStyle w:val="Tabletext"/>
              <w:rPr>
                <w:rStyle w:val="Strong"/>
              </w:rPr>
            </w:pPr>
            <w:r w:rsidRPr="008B4E48">
              <w:rPr>
                <w:rStyle w:val="Strong"/>
              </w:rPr>
              <w:t>2018–19</w:t>
            </w:r>
          </w:p>
        </w:tc>
      </w:tr>
      <w:tr w:rsidR="00DC4FFD" w:rsidTr="00176614">
        <w:trPr>
          <w:cantSplit/>
          <w:trHeight w:val="479"/>
          <w:jc w:val="center"/>
        </w:trPr>
        <w:tc>
          <w:tcPr>
            <w:tcW w:w="2182" w:type="dxa"/>
            <w:shd w:val="clear" w:color="auto" w:fill="auto"/>
            <w:vAlign w:val="center"/>
          </w:tcPr>
          <w:p w:rsidR="00DC4FFD" w:rsidRDefault="00DC4FFD" w:rsidP="008B4E48">
            <w:pPr>
              <w:pStyle w:val="Tabletext"/>
            </w:pPr>
            <w:r>
              <w:t>Expenses = X</w:t>
            </w:r>
          </w:p>
        </w:tc>
        <w:tc>
          <w:tcPr>
            <w:tcW w:w="1417" w:type="dxa"/>
            <w:shd w:val="clear" w:color="auto" w:fill="auto"/>
            <w:vAlign w:val="center"/>
          </w:tcPr>
          <w:p w:rsidR="00DC4FFD" w:rsidRPr="0050567D" w:rsidRDefault="00DC4FFD" w:rsidP="008B4E48">
            <w:pPr>
              <w:pStyle w:val="Tabletext"/>
            </w:pPr>
            <w:r w:rsidRPr="0050567D">
              <w:t>$22 945 560</w:t>
            </w:r>
          </w:p>
        </w:tc>
        <w:tc>
          <w:tcPr>
            <w:tcW w:w="1418" w:type="dxa"/>
            <w:shd w:val="clear" w:color="auto" w:fill="auto"/>
            <w:vAlign w:val="center"/>
          </w:tcPr>
          <w:p w:rsidR="00DC4FFD" w:rsidRPr="0050567D" w:rsidRDefault="00DC4FFD" w:rsidP="008B4E48">
            <w:pPr>
              <w:pStyle w:val="Tabletext"/>
            </w:pPr>
            <w:r w:rsidRPr="0050567D">
              <w:t>$14 640 753</w:t>
            </w:r>
          </w:p>
        </w:tc>
        <w:tc>
          <w:tcPr>
            <w:tcW w:w="1417" w:type="dxa"/>
            <w:shd w:val="clear" w:color="auto" w:fill="auto"/>
            <w:vAlign w:val="center"/>
          </w:tcPr>
          <w:p w:rsidR="00DC4FFD" w:rsidRPr="0050567D" w:rsidRDefault="00DC4FFD" w:rsidP="008B4E48">
            <w:pPr>
              <w:pStyle w:val="Tabletext"/>
            </w:pPr>
            <w:r w:rsidRPr="0050567D">
              <w:t>$13 081 349</w:t>
            </w:r>
          </w:p>
        </w:tc>
        <w:tc>
          <w:tcPr>
            <w:tcW w:w="1418" w:type="dxa"/>
            <w:shd w:val="clear" w:color="auto" w:fill="auto"/>
            <w:vAlign w:val="center"/>
          </w:tcPr>
          <w:p w:rsidR="00DC4FFD" w:rsidRPr="0050567D" w:rsidRDefault="00DC4FFD" w:rsidP="008B4E48">
            <w:pPr>
              <w:pStyle w:val="Tabletext"/>
            </w:pPr>
            <w:r w:rsidRPr="0050567D">
              <w:t>$11 684 169</w:t>
            </w:r>
          </w:p>
        </w:tc>
        <w:tc>
          <w:tcPr>
            <w:tcW w:w="1221" w:type="dxa"/>
            <w:vAlign w:val="center"/>
          </w:tcPr>
          <w:p w:rsidR="00DC4FFD" w:rsidRPr="0050567D" w:rsidRDefault="00DC4FFD" w:rsidP="008B4E48">
            <w:pPr>
              <w:pStyle w:val="Tabletext"/>
            </w:pPr>
            <w:r w:rsidRPr="0050567D">
              <w:t>$11 544 338</w:t>
            </w:r>
          </w:p>
        </w:tc>
      </w:tr>
      <w:tr w:rsidR="00DC4FFD" w:rsidTr="00176614">
        <w:trPr>
          <w:cantSplit/>
          <w:trHeight w:val="415"/>
          <w:jc w:val="center"/>
        </w:trPr>
        <w:tc>
          <w:tcPr>
            <w:tcW w:w="2182" w:type="dxa"/>
            <w:shd w:val="clear" w:color="auto" w:fill="auto"/>
            <w:vAlign w:val="center"/>
          </w:tcPr>
          <w:p w:rsidR="00DC4FFD" w:rsidRDefault="00DC4FFD" w:rsidP="008B4E48">
            <w:pPr>
              <w:pStyle w:val="Tabletext"/>
            </w:pPr>
            <w:r>
              <w:t>Revenue = Y</w:t>
            </w:r>
          </w:p>
        </w:tc>
        <w:tc>
          <w:tcPr>
            <w:tcW w:w="1417" w:type="dxa"/>
            <w:tcBorders>
              <w:top w:val="nil"/>
              <w:left w:val="nil"/>
              <w:bottom w:val="single" w:sz="8" w:space="0" w:color="000000"/>
              <w:right w:val="single" w:sz="8" w:space="0" w:color="000000"/>
            </w:tcBorders>
            <w:shd w:val="clear" w:color="auto" w:fill="auto"/>
            <w:vAlign w:val="center"/>
          </w:tcPr>
          <w:p w:rsidR="00DC4FFD" w:rsidRPr="0050567D" w:rsidRDefault="00DC4FFD" w:rsidP="008B4E48">
            <w:pPr>
              <w:pStyle w:val="Tabletext"/>
            </w:pPr>
            <w:r w:rsidRPr="0050567D">
              <w:t>$16 306 774</w:t>
            </w:r>
          </w:p>
        </w:tc>
        <w:tc>
          <w:tcPr>
            <w:tcW w:w="1418" w:type="dxa"/>
            <w:tcBorders>
              <w:top w:val="nil"/>
              <w:left w:val="nil"/>
              <w:bottom w:val="single" w:sz="8" w:space="0" w:color="000000"/>
              <w:right w:val="single" w:sz="8" w:space="0" w:color="000000"/>
            </w:tcBorders>
            <w:shd w:val="clear" w:color="auto" w:fill="auto"/>
            <w:vAlign w:val="center"/>
          </w:tcPr>
          <w:p w:rsidR="00DC4FFD" w:rsidRPr="0050567D" w:rsidRDefault="00DC4FFD" w:rsidP="008B4E48">
            <w:pPr>
              <w:pStyle w:val="Tabletext"/>
            </w:pPr>
            <w:r w:rsidRPr="0050567D">
              <w:t>$14 956 307</w:t>
            </w:r>
          </w:p>
        </w:tc>
        <w:tc>
          <w:tcPr>
            <w:tcW w:w="1417" w:type="dxa"/>
            <w:tcBorders>
              <w:top w:val="nil"/>
              <w:left w:val="nil"/>
              <w:bottom w:val="single" w:sz="8" w:space="0" w:color="000000"/>
              <w:right w:val="single" w:sz="8" w:space="0" w:color="000000"/>
            </w:tcBorders>
            <w:shd w:val="clear" w:color="auto" w:fill="auto"/>
            <w:vAlign w:val="center"/>
          </w:tcPr>
          <w:p w:rsidR="00DC4FFD" w:rsidRPr="0050567D" w:rsidRDefault="00DC4FFD" w:rsidP="008B4E48">
            <w:pPr>
              <w:pStyle w:val="Tabletext"/>
            </w:pPr>
            <w:r w:rsidRPr="0050567D">
              <w:t>$13 275 993</w:t>
            </w:r>
          </w:p>
        </w:tc>
        <w:tc>
          <w:tcPr>
            <w:tcW w:w="1418" w:type="dxa"/>
            <w:tcBorders>
              <w:top w:val="nil"/>
              <w:left w:val="nil"/>
              <w:bottom w:val="single" w:sz="8" w:space="0" w:color="000000"/>
              <w:right w:val="single" w:sz="8" w:space="0" w:color="000000"/>
            </w:tcBorders>
            <w:shd w:val="clear" w:color="auto" w:fill="auto"/>
            <w:vAlign w:val="center"/>
          </w:tcPr>
          <w:p w:rsidR="00DC4FFD" w:rsidRPr="0050567D" w:rsidRDefault="00DC4FFD" w:rsidP="008B4E48">
            <w:pPr>
              <w:pStyle w:val="Tabletext"/>
            </w:pPr>
            <w:r w:rsidRPr="0050567D">
              <w:t>$11 650 020</w:t>
            </w:r>
          </w:p>
        </w:tc>
        <w:tc>
          <w:tcPr>
            <w:tcW w:w="1221" w:type="dxa"/>
            <w:tcBorders>
              <w:top w:val="nil"/>
              <w:left w:val="nil"/>
              <w:bottom w:val="single" w:sz="8" w:space="0" w:color="000000"/>
              <w:right w:val="single" w:sz="8" w:space="0" w:color="000000"/>
            </w:tcBorders>
            <w:shd w:val="clear" w:color="auto" w:fill="auto"/>
            <w:vAlign w:val="center"/>
          </w:tcPr>
          <w:p w:rsidR="00DC4FFD" w:rsidRPr="0050567D" w:rsidRDefault="00DC4FFD" w:rsidP="008B4E48">
            <w:pPr>
              <w:pStyle w:val="Tabletext"/>
            </w:pPr>
            <w:r w:rsidRPr="0050567D">
              <w:t>$11 429 520</w:t>
            </w:r>
          </w:p>
        </w:tc>
      </w:tr>
      <w:tr w:rsidR="00DC4FFD" w:rsidTr="00176614">
        <w:trPr>
          <w:cantSplit/>
          <w:trHeight w:val="397"/>
          <w:jc w:val="center"/>
        </w:trPr>
        <w:tc>
          <w:tcPr>
            <w:tcW w:w="2182" w:type="dxa"/>
            <w:shd w:val="clear" w:color="auto" w:fill="auto"/>
            <w:vAlign w:val="center"/>
          </w:tcPr>
          <w:p w:rsidR="00DC4FFD" w:rsidRDefault="00DC4FFD" w:rsidP="008B4E48">
            <w:pPr>
              <w:pStyle w:val="Tabletext"/>
            </w:pPr>
            <w:r>
              <w:t>Balance = Y – X</w:t>
            </w:r>
          </w:p>
        </w:tc>
        <w:tc>
          <w:tcPr>
            <w:tcW w:w="1417"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$-6 638 786</w:t>
            </w:r>
          </w:p>
        </w:tc>
        <w:tc>
          <w:tcPr>
            <w:tcW w:w="1418"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$315 554</w:t>
            </w:r>
          </w:p>
        </w:tc>
        <w:tc>
          <w:tcPr>
            <w:tcW w:w="1417"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$194 644</w:t>
            </w:r>
          </w:p>
        </w:tc>
        <w:tc>
          <w:tcPr>
            <w:tcW w:w="1418"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$-34 148</w:t>
            </w:r>
          </w:p>
        </w:tc>
        <w:tc>
          <w:tcPr>
            <w:tcW w:w="1221"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$-114 817</w:t>
            </w:r>
          </w:p>
        </w:tc>
      </w:tr>
      <w:tr w:rsidR="00DC4FFD" w:rsidTr="00176614">
        <w:trPr>
          <w:cantSplit/>
          <w:trHeight w:val="365"/>
          <w:jc w:val="center"/>
        </w:trPr>
        <w:tc>
          <w:tcPr>
            <w:tcW w:w="2182" w:type="dxa"/>
            <w:shd w:val="clear" w:color="auto" w:fill="auto"/>
            <w:vAlign w:val="center"/>
          </w:tcPr>
          <w:p w:rsidR="00DC4FFD" w:rsidRDefault="00DC4FFD" w:rsidP="008B4E48">
            <w:pPr>
              <w:pStyle w:val="Tabletext"/>
            </w:pPr>
            <w:r>
              <w:t>Forecast opening cost recovery reserve balance</w:t>
            </w:r>
          </w:p>
        </w:tc>
        <w:tc>
          <w:tcPr>
            <w:tcW w:w="1417" w:type="dxa"/>
            <w:shd w:val="clear" w:color="auto" w:fill="auto"/>
            <w:vAlign w:val="center"/>
          </w:tcPr>
          <w:p w:rsidR="00DC4FFD" w:rsidRDefault="00DC4FFD" w:rsidP="008B4E48">
            <w:pPr>
              <w:pStyle w:val="Tabletext"/>
            </w:pPr>
            <w:r>
              <w:t>NA</w:t>
            </w:r>
          </w:p>
        </w:tc>
        <w:tc>
          <w:tcPr>
            <w:tcW w:w="1418" w:type="dxa"/>
            <w:shd w:val="clear" w:color="auto" w:fill="auto"/>
            <w:vAlign w:val="center"/>
          </w:tcPr>
          <w:p w:rsidR="00DC4FFD" w:rsidRDefault="00DC4FFD" w:rsidP="008B4E48">
            <w:pPr>
              <w:pStyle w:val="Tabletext"/>
            </w:pPr>
            <w:r>
              <w:t>-</w:t>
            </w:r>
          </w:p>
        </w:tc>
        <w:tc>
          <w:tcPr>
            <w:tcW w:w="1417"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lang w:eastAsia="en-AU"/>
              </w:rPr>
            </w:pPr>
            <w:r>
              <w:rPr>
                <w:rFonts w:cs="Arial"/>
              </w:rPr>
              <w:t>$315 554</w:t>
            </w:r>
          </w:p>
        </w:tc>
        <w:tc>
          <w:tcPr>
            <w:tcW w:w="1418"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rPr>
            </w:pPr>
            <w:r>
              <w:rPr>
                <w:rFonts w:cs="Arial"/>
              </w:rPr>
              <w:t>$510 198</w:t>
            </w:r>
          </w:p>
        </w:tc>
        <w:tc>
          <w:tcPr>
            <w:tcW w:w="1221"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rPr>
            </w:pPr>
            <w:r>
              <w:rPr>
                <w:rFonts w:cs="Arial"/>
              </w:rPr>
              <w:t>$476 049</w:t>
            </w:r>
          </w:p>
        </w:tc>
      </w:tr>
      <w:tr w:rsidR="00DC4FFD" w:rsidTr="00176614">
        <w:trPr>
          <w:cantSplit/>
          <w:trHeight w:val="365"/>
          <w:jc w:val="center"/>
        </w:trPr>
        <w:tc>
          <w:tcPr>
            <w:tcW w:w="2182" w:type="dxa"/>
            <w:shd w:val="clear" w:color="auto" w:fill="auto"/>
            <w:vAlign w:val="center"/>
          </w:tcPr>
          <w:p w:rsidR="00DC4FFD" w:rsidRDefault="00DC4FFD" w:rsidP="008B4E48">
            <w:pPr>
              <w:pStyle w:val="Tabletext"/>
            </w:pPr>
            <w:r>
              <w:t>Transfer</w:t>
            </w:r>
          </w:p>
        </w:tc>
        <w:tc>
          <w:tcPr>
            <w:tcW w:w="1417" w:type="dxa"/>
            <w:shd w:val="clear" w:color="auto" w:fill="auto"/>
            <w:vAlign w:val="center"/>
          </w:tcPr>
          <w:p w:rsidR="00DC4FFD" w:rsidRDefault="00DC4FFD" w:rsidP="008B4E48">
            <w:pPr>
              <w:pStyle w:val="Tabletext"/>
              <w:rPr>
                <w:rFonts w:cs="Arial"/>
                <w:lang w:eastAsia="en-AU"/>
              </w:rPr>
            </w:pPr>
            <w:r>
              <w:rPr>
                <w:rFonts w:cs="Arial"/>
                <w:lang w:eastAsia="en-AU"/>
              </w:rPr>
              <w:t>NA</w:t>
            </w:r>
          </w:p>
        </w:tc>
        <w:tc>
          <w:tcPr>
            <w:tcW w:w="1418"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lang w:eastAsia="en-AU"/>
              </w:rPr>
            </w:pPr>
            <w:r>
              <w:rPr>
                <w:rFonts w:cs="Arial"/>
                <w:bCs/>
              </w:rPr>
              <w:t>$315 554</w:t>
            </w:r>
          </w:p>
        </w:tc>
        <w:tc>
          <w:tcPr>
            <w:tcW w:w="1417"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rPr>
            </w:pPr>
            <w:r>
              <w:rPr>
                <w:rFonts w:cs="Arial"/>
                <w:bCs/>
              </w:rPr>
              <w:t>$194 644</w:t>
            </w:r>
          </w:p>
        </w:tc>
        <w:tc>
          <w:tcPr>
            <w:tcW w:w="1418"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rPr>
            </w:pPr>
            <w:r>
              <w:rPr>
                <w:rFonts w:cs="Arial"/>
              </w:rPr>
              <w:t>$-34 148</w:t>
            </w:r>
          </w:p>
        </w:tc>
        <w:tc>
          <w:tcPr>
            <w:tcW w:w="1221" w:type="dxa"/>
            <w:tcBorders>
              <w:top w:val="nil"/>
              <w:left w:val="nil"/>
              <w:bottom w:val="single" w:sz="8" w:space="0" w:color="000000"/>
              <w:right w:val="single" w:sz="8" w:space="0" w:color="000000"/>
            </w:tcBorders>
            <w:shd w:val="clear" w:color="auto" w:fill="auto"/>
            <w:vAlign w:val="center"/>
          </w:tcPr>
          <w:p w:rsidR="00DC4FFD" w:rsidRDefault="00DC4FFD" w:rsidP="008B4E48">
            <w:pPr>
              <w:pStyle w:val="Tabletext"/>
              <w:rPr>
                <w:rFonts w:cs="Arial"/>
              </w:rPr>
            </w:pPr>
            <w:r>
              <w:rPr>
                <w:rFonts w:cs="Arial"/>
              </w:rPr>
              <w:t>$-114 817</w:t>
            </w:r>
          </w:p>
        </w:tc>
      </w:tr>
      <w:tr w:rsidR="00DC4FFD" w:rsidRPr="008B4E48" w:rsidTr="00176614">
        <w:trPr>
          <w:cantSplit/>
          <w:trHeight w:val="365"/>
          <w:jc w:val="center"/>
        </w:trPr>
        <w:tc>
          <w:tcPr>
            <w:tcW w:w="2182" w:type="dxa"/>
            <w:shd w:val="clear" w:color="auto" w:fill="auto"/>
            <w:vAlign w:val="center"/>
          </w:tcPr>
          <w:p w:rsidR="00DC4FFD" w:rsidRDefault="00DC4FFD" w:rsidP="008B4E48">
            <w:pPr>
              <w:pStyle w:val="Tabletext"/>
            </w:pPr>
            <w:r>
              <w:lastRenderedPageBreak/>
              <w:t>Forecast closing cost recovery reserve balance</w:t>
            </w:r>
          </w:p>
        </w:tc>
        <w:tc>
          <w:tcPr>
            <w:tcW w:w="1417" w:type="dxa"/>
            <w:shd w:val="clear" w:color="auto" w:fill="auto"/>
            <w:vAlign w:val="center"/>
          </w:tcPr>
          <w:p w:rsidR="00DC4FFD" w:rsidRDefault="00DC4FFD" w:rsidP="008B4E48">
            <w:pPr>
              <w:pStyle w:val="Tabletext"/>
              <w:rPr>
                <w:rFonts w:cs="Arial"/>
                <w:lang w:eastAsia="en-AU"/>
              </w:rPr>
            </w:pPr>
            <w:r>
              <w:rPr>
                <w:rFonts w:cs="Arial"/>
                <w:lang w:eastAsia="en-AU"/>
              </w:rPr>
              <w:t>NA</w:t>
            </w:r>
          </w:p>
        </w:tc>
        <w:tc>
          <w:tcPr>
            <w:tcW w:w="1418"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$315 554</w:t>
            </w:r>
          </w:p>
        </w:tc>
        <w:tc>
          <w:tcPr>
            <w:tcW w:w="1417"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$510 198</w:t>
            </w:r>
          </w:p>
        </w:tc>
        <w:tc>
          <w:tcPr>
            <w:tcW w:w="1418"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$476 049</w:t>
            </w:r>
          </w:p>
        </w:tc>
        <w:tc>
          <w:tcPr>
            <w:tcW w:w="1221" w:type="dxa"/>
            <w:tcBorders>
              <w:top w:val="nil"/>
              <w:left w:val="nil"/>
              <w:bottom w:val="single" w:sz="8" w:space="0" w:color="000000"/>
              <w:right w:val="single" w:sz="8" w:space="0" w:color="000000"/>
            </w:tcBorders>
            <w:shd w:val="clear" w:color="auto" w:fill="auto"/>
            <w:vAlign w:val="center"/>
          </w:tcPr>
          <w:p w:rsidR="00DC4FFD" w:rsidRPr="008B4E48" w:rsidRDefault="00DC4FFD" w:rsidP="008B4E48">
            <w:pPr>
              <w:pStyle w:val="Tabletext"/>
              <w:rPr>
                <w:rStyle w:val="Strong"/>
              </w:rPr>
            </w:pPr>
            <w:r w:rsidRPr="008B4E48">
              <w:rPr>
                <w:rStyle w:val="Strong"/>
              </w:rPr>
              <w:t>$361 232</w:t>
            </w:r>
          </w:p>
        </w:tc>
      </w:tr>
    </w:tbl>
    <w:p w:rsidR="00DC4FFD" w:rsidRDefault="002A5F70" w:rsidP="000038D6">
      <w:r>
        <w:br/>
        <w:t>M</w:t>
      </w:r>
      <w:r w:rsidR="00DC4FFD">
        <w:t>ateriality is applied in accordance with Public Governance, Performance and Accountability (Financial Reporting) Rule 2015 Part 2 - 7 (2), AASB 108 Accounting Policies, Changes in Accounting Estimates and Errors and AASB 101 Presentation of Financial Statements  as defined by AASB108.</w:t>
      </w:r>
    </w:p>
    <w:p w:rsidR="00DC4FFD" w:rsidRDefault="00DC4FFD" w:rsidP="000038D6">
      <w:r>
        <w:t>In line with existing industry reserves policy, the cumulative balance will remain consistent with the target range of zero to five percent of annual programme expenditure.</w:t>
      </w:r>
    </w:p>
    <w:p w:rsidR="00DC4FFD" w:rsidRDefault="00DC4FFD" w:rsidP="008B4E48">
      <w:pPr>
        <w:pStyle w:val="Heading3"/>
        <w:numPr>
          <w:ilvl w:val="0"/>
          <w:numId w:val="0"/>
        </w:numPr>
        <w:ind w:left="794" w:hanging="794"/>
      </w:pPr>
      <w:bookmarkStart w:id="76" w:name="_Toc433035562"/>
      <w:r>
        <w:t>A.4</w:t>
      </w:r>
      <w:r>
        <w:tab/>
        <w:t>Performance reporting</w:t>
      </w:r>
      <w:bookmarkEnd w:id="75"/>
      <w:bookmarkEnd w:id="76"/>
    </w:p>
    <w:p w:rsidR="00DC4FFD" w:rsidRDefault="00DC4FFD">
      <w:pPr>
        <w:keepNext/>
        <w:keepLines/>
      </w:pPr>
      <w:bookmarkStart w:id="77" w:name="_Toc417651798"/>
      <w:bookmarkStart w:id="78" w:name="_Toc424305794"/>
      <w:r>
        <w:t xml:space="preserve">The following section presents information on the financial and non-financial performance of the grain exports cost recovery arrangement. This </w:t>
      </w:r>
      <w:proofErr w:type="gramStart"/>
      <w:r>
        <w:t>is intended</w:t>
      </w:r>
      <w:proofErr w:type="gramEnd"/>
      <w:r>
        <w:t xml:space="preserve"> to provide s</w:t>
      </w:r>
      <w:r>
        <w:rPr>
          <w:rFonts w:eastAsia="Times New Roman"/>
        </w:rPr>
        <w:t>takeholders with an overview of the department’s performance in recovering forecasted revenue and meeting service delivery objectives.</w:t>
      </w:r>
    </w:p>
    <w:p w:rsidR="00DC4FFD" w:rsidRDefault="00DC4FFD" w:rsidP="008B4E48">
      <w:pPr>
        <w:pStyle w:val="Heading4"/>
      </w:pPr>
      <w:r>
        <w:t>A.4.1</w:t>
      </w:r>
      <w:r>
        <w:tab/>
        <w:t>Financial performance</w:t>
      </w:r>
      <w:bookmarkEnd w:id="77"/>
      <w:bookmarkEnd w:id="78"/>
    </w:p>
    <w:p w:rsidR="00DC4FFD" w:rsidRDefault="00DC4FFD">
      <w:pPr>
        <w:keepNext/>
        <w:keepLines/>
      </w:pPr>
      <w:bookmarkStart w:id="79" w:name="_Toc417651799"/>
      <w:r>
        <w:t xml:space="preserve">Financial performance for the grain export cost recovery arrangement </w:t>
      </w:r>
      <w:proofErr w:type="gramStart"/>
      <w:r>
        <w:t>is provided</w:t>
      </w:r>
      <w:proofErr w:type="gramEnd"/>
      <w:r>
        <w:t xml:space="preserve"> at Table 6. The 2015–16 financial year and three forward years </w:t>
      </w:r>
      <w:proofErr w:type="gramStart"/>
      <w:r>
        <w:t>will be updated</w:t>
      </w:r>
      <w:proofErr w:type="gramEnd"/>
      <w:r>
        <w:t xml:space="preserve"> each year as financial</w:t>
      </w:r>
      <w:r w:rsidR="007A4134">
        <w:t xml:space="preserve"> information becomes available.</w:t>
      </w:r>
    </w:p>
    <w:p w:rsidR="00DC4FFD" w:rsidRDefault="00DC4FFD">
      <w:pPr>
        <w:pStyle w:val="Caption"/>
        <w:keepNext/>
      </w:pPr>
      <w:bookmarkStart w:id="80" w:name="_Toc424305795"/>
      <w:r>
        <w:t>Table 6: Financial performance—grain exports cost recovery arrangement</w:t>
      </w:r>
    </w:p>
    <w:tbl>
      <w:tblPr>
        <w:tblW w:w="8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50"/>
        <w:gridCol w:w="1346"/>
        <w:gridCol w:w="1347"/>
        <w:gridCol w:w="1346"/>
        <w:gridCol w:w="1347"/>
      </w:tblGrid>
      <w:tr w:rsidR="00176614" w:rsidTr="0050567D">
        <w:trPr>
          <w:trHeight w:val="340"/>
          <w:jc w:val="center"/>
        </w:trPr>
        <w:tc>
          <w:tcPr>
            <w:tcW w:w="3550" w:type="dxa"/>
            <w:shd w:val="solid" w:color="DBE5F1" w:fill="C6D9F1"/>
            <w:vAlign w:val="center"/>
          </w:tcPr>
          <w:p w:rsidR="0050567D" w:rsidRPr="00902CCD" w:rsidRDefault="00176614" w:rsidP="00902CCD">
            <w:pPr>
              <w:pStyle w:val="Tabletext"/>
              <w:rPr>
                <w:rStyle w:val="Strong"/>
              </w:rPr>
            </w:pPr>
            <w:r w:rsidRPr="00902CCD">
              <w:rPr>
                <w:rStyle w:val="Strong"/>
              </w:rPr>
              <w:t>Finance element</w:t>
            </w:r>
          </w:p>
        </w:tc>
        <w:tc>
          <w:tcPr>
            <w:tcW w:w="1346" w:type="dxa"/>
            <w:shd w:val="solid" w:color="DBE5F1" w:fill="C6D9F1"/>
            <w:vAlign w:val="center"/>
          </w:tcPr>
          <w:p w:rsidR="00176614" w:rsidRDefault="00176614" w:rsidP="00902CCD">
            <w:pPr>
              <w:pStyle w:val="Tabletext"/>
              <w:rPr>
                <w:sz w:val="18"/>
                <w:szCs w:val="18"/>
              </w:rPr>
            </w:pPr>
            <w:r>
              <w:rPr>
                <w:sz w:val="18"/>
                <w:szCs w:val="18"/>
              </w:rPr>
              <w:t>2011–12</w:t>
            </w:r>
          </w:p>
        </w:tc>
        <w:tc>
          <w:tcPr>
            <w:tcW w:w="1347" w:type="dxa"/>
            <w:shd w:val="solid" w:color="DBE5F1" w:fill="C6D9F1"/>
            <w:vAlign w:val="center"/>
          </w:tcPr>
          <w:p w:rsidR="00176614" w:rsidRDefault="00176614" w:rsidP="00902CCD">
            <w:pPr>
              <w:pStyle w:val="Tabletext"/>
              <w:rPr>
                <w:sz w:val="18"/>
                <w:szCs w:val="18"/>
              </w:rPr>
            </w:pPr>
            <w:r>
              <w:rPr>
                <w:sz w:val="18"/>
                <w:szCs w:val="18"/>
              </w:rPr>
              <w:t>2012–13</w:t>
            </w:r>
          </w:p>
        </w:tc>
        <w:tc>
          <w:tcPr>
            <w:tcW w:w="1346" w:type="dxa"/>
            <w:shd w:val="solid" w:color="DBE5F1" w:fill="C6D9F1"/>
            <w:vAlign w:val="center"/>
          </w:tcPr>
          <w:p w:rsidR="00176614" w:rsidRDefault="00176614" w:rsidP="00902CCD">
            <w:pPr>
              <w:pStyle w:val="Tabletext"/>
              <w:rPr>
                <w:sz w:val="18"/>
                <w:szCs w:val="18"/>
              </w:rPr>
            </w:pPr>
            <w:r>
              <w:rPr>
                <w:sz w:val="18"/>
                <w:szCs w:val="18"/>
              </w:rPr>
              <w:t>2013–14</w:t>
            </w:r>
          </w:p>
        </w:tc>
        <w:tc>
          <w:tcPr>
            <w:tcW w:w="1347" w:type="dxa"/>
            <w:shd w:val="solid" w:color="DBE5F1" w:fill="C6D9F1"/>
            <w:vAlign w:val="center"/>
          </w:tcPr>
          <w:p w:rsidR="00176614" w:rsidRDefault="00176614" w:rsidP="00902CCD">
            <w:pPr>
              <w:pStyle w:val="Tabletext"/>
              <w:rPr>
                <w:sz w:val="18"/>
                <w:szCs w:val="18"/>
              </w:rPr>
            </w:pPr>
            <w:r>
              <w:rPr>
                <w:sz w:val="18"/>
                <w:szCs w:val="18"/>
              </w:rPr>
              <w:t>2014–15</w:t>
            </w:r>
          </w:p>
        </w:tc>
      </w:tr>
      <w:tr w:rsidR="00176614" w:rsidTr="0050567D">
        <w:trPr>
          <w:trHeight w:val="340"/>
          <w:jc w:val="center"/>
        </w:trPr>
        <w:tc>
          <w:tcPr>
            <w:tcW w:w="3550" w:type="dxa"/>
            <w:shd w:val="clear" w:color="auto" w:fill="auto"/>
            <w:vAlign w:val="center"/>
          </w:tcPr>
          <w:p w:rsidR="00176614" w:rsidRDefault="00176614" w:rsidP="00902CCD">
            <w:pPr>
              <w:pStyle w:val="Tabletext"/>
            </w:pPr>
            <w:r>
              <w:t>Expenses = X</w:t>
            </w:r>
          </w:p>
        </w:tc>
        <w:tc>
          <w:tcPr>
            <w:tcW w:w="1346" w:type="dxa"/>
            <w:shd w:val="clear" w:color="auto" w:fill="auto"/>
            <w:vAlign w:val="center"/>
          </w:tcPr>
          <w:p w:rsidR="00176614" w:rsidRPr="0050567D" w:rsidRDefault="00176614" w:rsidP="00902CCD">
            <w:pPr>
              <w:pStyle w:val="Tabletext"/>
            </w:pPr>
            <w:r w:rsidRPr="0050567D">
              <w:t>$19 760 181</w:t>
            </w:r>
          </w:p>
        </w:tc>
        <w:tc>
          <w:tcPr>
            <w:tcW w:w="1347" w:type="dxa"/>
            <w:shd w:val="clear" w:color="auto" w:fill="auto"/>
            <w:vAlign w:val="center"/>
          </w:tcPr>
          <w:p w:rsidR="00176614" w:rsidRPr="0050567D" w:rsidRDefault="00176614" w:rsidP="00902CCD">
            <w:pPr>
              <w:pStyle w:val="Tabletext"/>
            </w:pPr>
            <w:r w:rsidRPr="0050567D">
              <w:t>$20 498 963</w:t>
            </w:r>
          </w:p>
        </w:tc>
        <w:tc>
          <w:tcPr>
            <w:tcW w:w="1346" w:type="dxa"/>
            <w:shd w:val="clear" w:color="auto" w:fill="auto"/>
            <w:vAlign w:val="center"/>
          </w:tcPr>
          <w:p w:rsidR="00176614" w:rsidRPr="0050567D" w:rsidRDefault="00176614" w:rsidP="00902CCD">
            <w:pPr>
              <w:pStyle w:val="Tabletext"/>
            </w:pPr>
            <w:r w:rsidRPr="0050567D">
              <w:t>$24 794 412</w:t>
            </w:r>
          </w:p>
        </w:tc>
        <w:tc>
          <w:tcPr>
            <w:tcW w:w="1347" w:type="dxa"/>
            <w:shd w:val="clear" w:color="auto" w:fill="auto"/>
            <w:vAlign w:val="center"/>
          </w:tcPr>
          <w:p w:rsidR="00176614" w:rsidRPr="0050567D" w:rsidRDefault="00176614" w:rsidP="00902CCD">
            <w:pPr>
              <w:pStyle w:val="Tabletext"/>
            </w:pPr>
            <w:r w:rsidRPr="0050567D">
              <w:t>$22 945 560</w:t>
            </w:r>
          </w:p>
        </w:tc>
      </w:tr>
      <w:tr w:rsidR="00176614" w:rsidTr="0050567D">
        <w:trPr>
          <w:trHeight w:val="340"/>
          <w:jc w:val="center"/>
        </w:trPr>
        <w:tc>
          <w:tcPr>
            <w:tcW w:w="3550" w:type="dxa"/>
            <w:shd w:val="clear" w:color="auto" w:fill="auto"/>
            <w:vAlign w:val="center"/>
          </w:tcPr>
          <w:p w:rsidR="00176614" w:rsidRDefault="00176614" w:rsidP="00902CCD">
            <w:pPr>
              <w:pStyle w:val="Tabletext"/>
            </w:pPr>
            <w:r>
              <w:t>Revenue = Y</w:t>
            </w:r>
          </w:p>
        </w:tc>
        <w:tc>
          <w:tcPr>
            <w:tcW w:w="1346" w:type="dxa"/>
            <w:shd w:val="clear" w:color="auto" w:fill="auto"/>
            <w:vAlign w:val="center"/>
          </w:tcPr>
          <w:p w:rsidR="00176614" w:rsidRPr="0050567D" w:rsidRDefault="00176614" w:rsidP="00902CCD">
            <w:pPr>
              <w:pStyle w:val="Tabletext"/>
            </w:pPr>
            <w:r w:rsidRPr="0050567D">
              <w:t>$26 649 221</w:t>
            </w:r>
          </w:p>
        </w:tc>
        <w:tc>
          <w:tcPr>
            <w:tcW w:w="1347" w:type="dxa"/>
            <w:shd w:val="clear" w:color="auto" w:fill="auto"/>
            <w:vAlign w:val="center"/>
          </w:tcPr>
          <w:p w:rsidR="00176614" w:rsidRPr="0050567D" w:rsidRDefault="00176614" w:rsidP="00902CCD">
            <w:pPr>
              <w:pStyle w:val="Tabletext"/>
            </w:pPr>
            <w:r w:rsidRPr="0050567D">
              <w:t>$21 937 855</w:t>
            </w:r>
          </w:p>
        </w:tc>
        <w:tc>
          <w:tcPr>
            <w:tcW w:w="1346" w:type="dxa"/>
            <w:shd w:val="clear" w:color="auto" w:fill="auto"/>
            <w:vAlign w:val="center"/>
          </w:tcPr>
          <w:p w:rsidR="00176614" w:rsidRPr="0050567D" w:rsidRDefault="00176614" w:rsidP="00902CCD">
            <w:pPr>
              <w:pStyle w:val="Tabletext"/>
            </w:pPr>
            <w:r w:rsidRPr="0050567D">
              <w:t>$18 622 749</w:t>
            </w:r>
          </w:p>
        </w:tc>
        <w:tc>
          <w:tcPr>
            <w:tcW w:w="1347" w:type="dxa"/>
            <w:shd w:val="clear" w:color="auto" w:fill="auto"/>
            <w:vAlign w:val="center"/>
          </w:tcPr>
          <w:p w:rsidR="00176614" w:rsidRPr="0050567D" w:rsidRDefault="00176614" w:rsidP="00902CCD">
            <w:pPr>
              <w:pStyle w:val="Tabletext"/>
            </w:pPr>
            <w:r w:rsidRPr="0050567D">
              <w:t>$16 306 774</w:t>
            </w:r>
          </w:p>
        </w:tc>
      </w:tr>
      <w:tr w:rsidR="00176614" w:rsidTr="0050567D">
        <w:trPr>
          <w:trHeight w:val="340"/>
          <w:jc w:val="center"/>
        </w:trPr>
        <w:tc>
          <w:tcPr>
            <w:tcW w:w="3550" w:type="dxa"/>
            <w:shd w:val="clear" w:color="auto" w:fill="auto"/>
            <w:vAlign w:val="center"/>
          </w:tcPr>
          <w:p w:rsidR="00176614" w:rsidRDefault="00176614" w:rsidP="00902CCD">
            <w:pPr>
              <w:pStyle w:val="Tabletext"/>
            </w:pPr>
            <w:r>
              <w:t>Balance = Y – X</w:t>
            </w:r>
          </w:p>
        </w:tc>
        <w:tc>
          <w:tcPr>
            <w:tcW w:w="1346" w:type="dxa"/>
            <w:shd w:val="clear" w:color="auto" w:fill="auto"/>
            <w:vAlign w:val="center"/>
          </w:tcPr>
          <w:p w:rsidR="00176614" w:rsidRPr="0050567D" w:rsidRDefault="00176614" w:rsidP="00902CCD">
            <w:pPr>
              <w:pStyle w:val="Tabletext"/>
            </w:pPr>
            <w:r w:rsidRPr="0050567D">
              <w:t>$6 889 040</w:t>
            </w:r>
          </w:p>
        </w:tc>
        <w:tc>
          <w:tcPr>
            <w:tcW w:w="1347" w:type="dxa"/>
            <w:shd w:val="clear" w:color="auto" w:fill="auto"/>
            <w:vAlign w:val="center"/>
          </w:tcPr>
          <w:p w:rsidR="00176614" w:rsidRPr="0050567D" w:rsidRDefault="00176614" w:rsidP="00902CCD">
            <w:pPr>
              <w:pStyle w:val="Tabletext"/>
            </w:pPr>
            <w:r w:rsidRPr="0050567D">
              <w:t>$1 438 891</w:t>
            </w:r>
          </w:p>
        </w:tc>
        <w:tc>
          <w:tcPr>
            <w:tcW w:w="1346" w:type="dxa"/>
            <w:shd w:val="clear" w:color="auto" w:fill="auto"/>
            <w:vAlign w:val="center"/>
          </w:tcPr>
          <w:p w:rsidR="00176614" w:rsidRPr="0050567D" w:rsidRDefault="00176614" w:rsidP="00902CCD">
            <w:pPr>
              <w:pStyle w:val="Tabletext"/>
            </w:pPr>
            <w:r w:rsidRPr="0050567D">
              <w:t>$-6 171 664</w:t>
            </w:r>
          </w:p>
        </w:tc>
        <w:tc>
          <w:tcPr>
            <w:tcW w:w="1347" w:type="dxa"/>
            <w:shd w:val="clear" w:color="auto" w:fill="auto"/>
            <w:vAlign w:val="center"/>
          </w:tcPr>
          <w:p w:rsidR="00176614" w:rsidRPr="0050567D" w:rsidRDefault="00176614" w:rsidP="00902CCD">
            <w:pPr>
              <w:pStyle w:val="Tabletext"/>
            </w:pPr>
            <w:r w:rsidRPr="0050567D">
              <w:t>$-6 638 786</w:t>
            </w:r>
          </w:p>
        </w:tc>
      </w:tr>
      <w:tr w:rsidR="00176614" w:rsidTr="00F0251E">
        <w:trPr>
          <w:trHeight w:val="340"/>
          <w:jc w:val="center"/>
        </w:trPr>
        <w:tc>
          <w:tcPr>
            <w:tcW w:w="3550" w:type="dxa"/>
            <w:shd w:val="clear" w:color="auto" w:fill="DEEAF6" w:themeFill="accent1" w:themeFillTint="33"/>
            <w:vAlign w:val="center"/>
          </w:tcPr>
          <w:p w:rsidR="00176614" w:rsidRPr="00902CCD" w:rsidRDefault="00176614" w:rsidP="00176614">
            <w:pPr>
              <w:pStyle w:val="Tabletext"/>
              <w:rPr>
                <w:rStyle w:val="Strong"/>
              </w:rPr>
            </w:pPr>
            <w:r w:rsidRPr="00902CCD">
              <w:rPr>
                <w:rStyle w:val="Strong"/>
              </w:rPr>
              <w:lastRenderedPageBreak/>
              <w:t>Finance element</w:t>
            </w:r>
          </w:p>
        </w:tc>
        <w:tc>
          <w:tcPr>
            <w:tcW w:w="1346" w:type="dxa"/>
            <w:shd w:val="clear" w:color="auto" w:fill="DEEAF6" w:themeFill="accent1" w:themeFillTint="33"/>
            <w:vAlign w:val="center"/>
          </w:tcPr>
          <w:p w:rsidR="00176614" w:rsidRDefault="00176614" w:rsidP="00F0251E">
            <w:pPr>
              <w:pStyle w:val="Tabletext"/>
              <w:rPr>
                <w:sz w:val="16"/>
                <w:szCs w:val="16"/>
              </w:rPr>
            </w:pPr>
            <w:r>
              <w:rPr>
                <w:sz w:val="16"/>
                <w:szCs w:val="16"/>
              </w:rPr>
              <w:t>2015–16</w:t>
            </w:r>
            <w:r>
              <w:rPr>
                <w:sz w:val="16"/>
                <w:szCs w:val="16"/>
              </w:rPr>
              <w:br/>
            </w:r>
          </w:p>
        </w:tc>
        <w:tc>
          <w:tcPr>
            <w:tcW w:w="1347" w:type="dxa"/>
            <w:shd w:val="clear" w:color="auto" w:fill="DEEAF6" w:themeFill="accent1" w:themeFillTint="33"/>
            <w:vAlign w:val="center"/>
          </w:tcPr>
          <w:p w:rsidR="00176614" w:rsidRDefault="00176614" w:rsidP="00F0251E">
            <w:pPr>
              <w:pStyle w:val="Tabletext"/>
              <w:rPr>
                <w:sz w:val="16"/>
                <w:szCs w:val="16"/>
              </w:rPr>
            </w:pPr>
            <w:r>
              <w:rPr>
                <w:sz w:val="16"/>
                <w:szCs w:val="16"/>
              </w:rPr>
              <w:t>2016–17</w:t>
            </w:r>
            <w:r>
              <w:rPr>
                <w:sz w:val="16"/>
                <w:szCs w:val="16"/>
              </w:rPr>
              <w:br/>
            </w:r>
          </w:p>
        </w:tc>
        <w:tc>
          <w:tcPr>
            <w:tcW w:w="1346" w:type="dxa"/>
            <w:shd w:val="clear" w:color="auto" w:fill="DEEAF6" w:themeFill="accent1" w:themeFillTint="33"/>
            <w:vAlign w:val="center"/>
          </w:tcPr>
          <w:p w:rsidR="00176614" w:rsidRDefault="00176614" w:rsidP="00F0251E">
            <w:pPr>
              <w:pStyle w:val="Tabletext"/>
              <w:rPr>
                <w:sz w:val="16"/>
                <w:szCs w:val="16"/>
              </w:rPr>
            </w:pPr>
            <w:r>
              <w:rPr>
                <w:sz w:val="16"/>
                <w:szCs w:val="16"/>
              </w:rPr>
              <w:t>2017–18</w:t>
            </w:r>
            <w:r>
              <w:rPr>
                <w:sz w:val="16"/>
                <w:szCs w:val="16"/>
              </w:rPr>
              <w:br/>
            </w:r>
          </w:p>
        </w:tc>
        <w:tc>
          <w:tcPr>
            <w:tcW w:w="1347" w:type="dxa"/>
            <w:shd w:val="clear" w:color="auto" w:fill="DEEAF6" w:themeFill="accent1" w:themeFillTint="33"/>
            <w:vAlign w:val="center"/>
          </w:tcPr>
          <w:p w:rsidR="00176614" w:rsidRDefault="00176614" w:rsidP="00F0251E">
            <w:pPr>
              <w:pStyle w:val="Tabletext"/>
              <w:rPr>
                <w:sz w:val="16"/>
                <w:szCs w:val="16"/>
              </w:rPr>
            </w:pPr>
            <w:r>
              <w:rPr>
                <w:sz w:val="16"/>
                <w:szCs w:val="16"/>
              </w:rPr>
              <w:t>2018–19</w:t>
            </w:r>
            <w:r>
              <w:rPr>
                <w:sz w:val="16"/>
                <w:szCs w:val="16"/>
              </w:rPr>
              <w:br/>
            </w:r>
          </w:p>
        </w:tc>
      </w:tr>
      <w:tr w:rsidR="00F0251E" w:rsidTr="002D4067">
        <w:trPr>
          <w:trHeight w:val="340"/>
          <w:jc w:val="center"/>
        </w:trPr>
        <w:tc>
          <w:tcPr>
            <w:tcW w:w="3550" w:type="dxa"/>
            <w:shd w:val="clear" w:color="auto" w:fill="auto"/>
            <w:vAlign w:val="center"/>
          </w:tcPr>
          <w:p w:rsidR="00F0251E" w:rsidRDefault="00F0251E" w:rsidP="00F0251E">
            <w:pPr>
              <w:pStyle w:val="Tabletext"/>
            </w:pPr>
            <w:r>
              <w:t>Expenses = X</w:t>
            </w:r>
          </w:p>
        </w:tc>
        <w:tc>
          <w:tcPr>
            <w:tcW w:w="1346" w:type="dxa"/>
            <w:shd w:val="clear" w:color="auto" w:fill="auto"/>
          </w:tcPr>
          <w:p w:rsidR="00F0251E" w:rsidRDefault="00F0251E" w:rsidP="00F0251E">
            <w:r w:rsidRPr="009D16EB">
              <w:rPr>
                <w:i/>
                <w:sz w:val="16"/>
                <w:szCs w:val="16"/>
              </w:rPr>
              <w:t>Updated in 2016</w:t>
            </w:r>
          </w:p>
        </w:tc>
        <w:tc>
          <w:tcPr>
            <w:tcW w:w="1347" w:type="dxa"/>
            <w:shd w:val="clear" w:color="auto" w:fill="auto"/>
          </w:tcPr>
          <w:p w:rsidR="00F0251E" w:rsidRDefault="00F0251E" w:rsidP="00F0251E">
            <w:r w:rsidRPr="000F7C51">
              <w:rPr>
                <w:i/>
                <w:sz w:val="16"/>
                <w:szCs w:val="16"/>
              </w:rPr>
              <w:t>Updated in 2017</w:t>
            </w:r>
          </w:p>
        </w:tc>
        <w:tc>
          <w:tcPr>
            <w:tcW w:w="1346" w:type="dxa"/>
            <w:shd w:val="clear" w:color="auto" w:fill="auto"/>
          </w:tcPr>
          <w:p w:rsidR="00F0251E" w:rsidRDefault="00F0251E" w:rsidP="00F0251E">
            <w:r w:rsidRPr="005343A0">
              <w:rPr>
                <w:i/>
                <w:sz w:val="16"/>
                <w:szCs w:val="16"/>
              </w:rPr>
              <w:t>Updated in 2018</w:t>
            </w:r>
          </w:p>
        </w:tc>
        <w:tc>
          <w:tcPr>
            <w:tcW w:w="1347" w:type="dxa"/>
            <w:shd w:val="clear" w:color="auto" w:fill="auto"/>
          </w:tcPr>
          <w:p w:rsidR="00F0251E" w:rsidRDefault="00F0251E" w:rsidP="00F0251E">
            <w:r w:rsidRPr="00CD313C">
              <w:rPr>
                <w:i/>
                <w:sz w:val="16"/>
                <w:szCs w:val="16"/>
              </w:rPr>
              <w:t>Updated in 2019</w:t>
            </w:r>
          </w:p>
        </w:tc>
      </w:tr>
      <w:tr w:rsidR="00F0251E" w:rsidTr="002D4067">
        <w:trPr>
          <w:trHeight w:val="340"/>
          <w:jc w:val="center"/>
        </w:trPr>
        <w:tc>
          <w:tcPr>
            <w:tcW w:w="3550" w:type="dxa"/>
            <w:shd w:val="clear" w:color="auto" w:fill="auto"/>
            <w:vAlign w:val="center"/>
          </w:tcPr>
          <w:p w:rsidR="00F0251E" w:rsidRDefault="00F0251E" w:rsidP="00F0251E">
            <w:pPr>
              <w:pStyle w:val="Tabletext"/>
            </w:pPr>
            <w:r>
              <w:t>Revenue = Y</w:t>
            </w:r>
          </w:p>
        </w:tc>
        <w:tc>
          <w:tcPr>
            <w:tcW w:w="1346" w:type="dxa"/>
            <w:shd w:val="clear" w:color="auto" w:fill="auto"/>
          </w:tcPr>
          <w:p w:rsidR="00F0251E" w:rsidRDefault="00F0251E" w:rsidP="00F0251E">
            <w:r w:rsidRPr="009D16EB">
              <w:rPr>
                <w:i/>
                <w:sz w:val="16"/>
                <w:szCs w:val="16"/>
              </w:rPr>
              <w:t>Updated in 2016</w:t>
            </w:r>
          </w:p>
        </w:tc>
        <w:tc>
          <w:tcPr>
            <w:tcW w:w="1347" w:type="dxa"/>
            <w:shd w:val="clear" w:color="auto" w:fill="auto"/>
          </w:tcPr>
          <w:p w:rsidR="00F0251E" w:rsidRDefault="00F0251E" w:rsidP="00F0251E">
            <w:r w:rsidRPr="000F7C51">
              <w:rPr>
                <w:i/>
                <w:sz w:val="16"/>
                <w:szCs w:val="16"/>
              </w:rPr>
              <w:t>Updated in 2017</w:t>
            </w:r>
          </w:p>
        </w:tc>
        <w:tc>
          <w:tcPr>
            <w:tcW w:w="1346" w:type="dxa"/>
            <w:shd w:val="clear" w:color="auto" w:fill="auto"/>
          </w:tcPr>
          <w:p w:rsidR="00F0251E" w:rsidRDefault="00F0251E" w:rsidP="00F0251E">
            <w:r w:rsidRPr="005343A0">
              <w:rPr>
                <w:i/>
                <w:sz w:val="16"/>
                <w:szCs w:val="16"/>
              </w:rPr>
              <w:t>Updated in 2018</w:t>
            </w:r>
          </w:p>
        </w:tc>
        <w:tc>
          <w:tcPr>
            <w:tcW w:w="1347" w:type="dxa"/>
            <w:shd w:val="clear" w:color="auto" w:fill="auto"/>
          </w:tcPr>
          <w:p w:rsidR="00F0251E" w:rsidRDefault="00F0251E" w:rsidP="00F0251E">
            <w:r w:rsidRPr="00CD313C">
              <w:rPr>
                <w:i/>
                <w:sz w:val="16"/>
                <w:szCs w:val="16"/>
              </w:rPr>
              <w:t>Updated in 2019</w:t>
            </w:r>
          </w:p>
        </w:tc>
      </w:tr>
      <w:tr w:rsidR="00F0251E" w:rsidTr="002D4067">
        <w:trPr>
          <w:trHeight w:val="340"/>
          <w:jc w:val="center"/>
        </w:trPr>
        <w:tc>
          <w:tcPr>
            <w:tcW w:w="3550" w:type="dxa"/>
            <w:shd w:val="clear" w:color="auto" w:fill="auto"/>
            <w:vAlign w:val="center"/>
          </w:tcPr>
          <w:p w:rsidR="00F0251E" w:rsidRDefault="00F0251E" w:rsidP="00F0251E">
            <w:pPr>
              <w:pStyle w:val="Tabletext"/>
            </w:pPr>
            <w:r>
              <w:t>Balance = Y – X</w:t>
            </w:r>
          </w:p>
        </w:tc>
        <w:tc>
          <w:tcPr>
            <w:tcW w:w="1346" w:type="dxa"/>
            <w:shd w:val="clear" w:color="auto" w:fill="auto"/>
          </w:tcPr>
          <w:p w:rsidR="00F0251E" w:rsidRDefault="00F0251E" w:rsidP="00F0251E">
            <w:r w:rsidRPr="009D16EB">
              <w:rPr>
                <w:i/>
                <w:sz w:val="16"/>
                <w:szCs w:val="16"/>
              </w:rPr>
              <w:t>Updated in 2016</w:t>
            </w:r>
          </w:p>
        </w:tc>
        <w:tc>
          <w:tcPr>
            <w:tcW w:w="1347" w:type="dxa"/>
            <w:shd w:val="clear" w:color="auto" w:fill="auto"/>
          </w:tcPr>
          <w:p w:rsidR="00F0251E" w:rsidRDefault="00F0251E" w:rsidP="00F0251E">
            <w:r w:rsidRPr="000F7C51">
              <w:rPr>
                <w:i/>
                <w:sz w:val="16"/>
                <w:szCs w:val="16"/>
              </w:rPr>
              <w:t>Updated in 2017</w:t>
            </w:r>
          </w:p>
        </w:tc>
        <w:tc>
          <w:tcPr>
            <w:tcW w:w="1346" w:type="dxa"/>
            <w:shd w:val="clear" w:color="auto" w:fill="auto"/>
          </w:tcPr>
          <w:p w:rsidR="00F0251E" w:rsidRDefault="00F0251E" w:rsidP="00F0251E">
            <w:r w:rsidRPr="005343A0">
              <w:rPr>
                <w:i/>
                <w:sz w:val="16"/>
                <w:szCs w:val="16"/>
              </w:rPr>
              <w:t>Updated in 2018</w:t>
            </w:r>
          </w:p>
        </w:tc>
        <w:tc>
          <w:tcPr>
            <w:tcW w:w="1347" w:type="dxa"/>
            <w:shd w:val="clear" w:color="auto" w:fill="auto"/>
          </w:tcPr>
          <w:p w:rsidR="00F0251E" w:rsidRDefault="00F0251E" w:rsidP="00F0251E">
            <w:r w:rsidRPr="00CD313C">
              <w:rPr>
                <w:i/>
                <w:sz w:val="16"/>
                <w:szCs w:val="16"/>
              </w:rPr>
              <w:t>Updated in 2019</w:t>
            </w:r>
          </w:p>
        </w:tc>
      </w:tr>
    </w:tbl>
    <w:p w:rsidR="00A740B5" w:rsidRDefault="00A740B5" w:rsidP="007064A6">
      <w:pPr>
        <w:pStyle w:val="Heading4"/>
      </w:pPr>
    </w:p>
    <w:p w:rsidR="00A740B5" w:rsidRDefault="00A740B5" w:rsidP="00A740B5">
      <w:pPr>
        <w:rPr>
          <w:sz w:val="28"/>
          <w:szCs w:val="20"/>
          <w:lang w:val="x-none"/>
        </w:rPr>
      </w:pPr>
      <w:r>
        <w:br w:type="page"/>
      </w:r>
    </w:p>
    <w:p w:rsidR="00DC4FFD" w:rsidRDefault="00DC4FFD" w:rsidP="007064A6">
      <w:pPr>
        <w:pStyle w:val="Heading4"/>
      </w:pPr>
      <w:r>
        <w:lastRenderedPageBreak/>
        <w:t>A.4.2</w:t>
      </w:r>
      <w:r>
        <w:tab/>
        <w:t>Non-financial performance</w:t>
      </w:r>
      <w:bookmarkEnd w:id="79"/>
      <w:bookmarkEnd w:id="80"/>
    </w:p>
    <w:p w:rsidR="00DC4FFD" w:rsidRDefault="00DC4FFD">
      <w:pPr>
        <w:keepLines/>
      </w:pPr>
      <w:r>
        <w:t xml:space="preserve">Key non-financial performance measures </w:t>
      </w:r>
      <w:proofErr w:type="gramStart"/>
      <w:r>
        <w:t>are made</w:t>
      </w:r>
      <w:proofErr w:type="gramEnd"/>
      <w:r>
        <w:t xml:space="preserve"> available in the department’s annual report.</w:t>
      </w:r>
    </w:p>
    <w:p w:rsidR="00DC4FFD" w:rsidRDefault="00DC4FFD">
      <w:pPr>
        <w:pStyle w:val="Caption"/>
        <w:keepLines/>
      </w:pPr>
      <w:r>
        <w:t>Table 7: Non-financial performance measures—grain exports cost recovery arrangement</w:t>
      </w:r>
    </w:p>
    <w:tbl>
      <w:tblPr>
        <w:tblW w:w="907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2694"/>
        <w:gridCol w:w="1275"/>
        <w:gridCol w:w="1276"/>
        <w:gridCol w:w="1275"/>
        <w:gridCol w:w="1276"/>
        <w:gridCol w:w="1276"/>
      </w:tblGrid>
      <w:tr w:rsidR="00DC4FFD" w:rsidTr="0050567D">
        <w:trPr>
          <w:cantSplit/>
          <w:tblHeader/>
        </w:trPr>
        <w:tc>
          <w:tcPr>
            <w:tcW w:w="2694"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C4FFD" w:rsidRDefault="00DC4FFD" w:rsidP="007064A6">
            <w:pPr>
              <w:pStyle w:val="Tabletext"/>
            </w:pPr>
            <w:r>
              <w:t>KPI</w:t>
            </w:r>
          </w:p>
        </w:tc>
        <w:tc>
          <w:tcPr>
            <w:tcW w:w="127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C4FFD" w:rsidRDefault="00DC4FFD" w:rsidP="007064A6">
            <w:pPr>
              <w:pStyle w:val="Tabletext"/>
              <w:rPr>
                <w:szCs w:val="20"/>
              </w:rPr>
            </w:pPr>
            <w:r>
              <w:rPr>
                <w:szCs w:val="20"/>
              </w:rPr>
              <w:t>2014–15</w:t>
            </w:r>
          </w:p>
          <w:p w:rsidR="00DC4FFD" w:rsidRDefault="00DC4FFD" w:rsidP="007064A6">
            <w:pPr>
              <w:pStyle w:val="Tabletext"/>
              <w:rPr>
                <w:szCs w:val="20"/>
              </w:rPr>
            </w:pPr>
            <w:r>
              <w:rPr>
                <w:szCs w:val="20"/>
              </w:rPr>
              <w:t>Performance</w:t>
            </w:r>
          </w:p>
        </w:tc>
        <w:tc>
          <w:tcPr>
            <w:tcW w:w="1276"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C4FFD" w:rsidRDefault="00DC4FFD" w:rsidP="007064A6">
            <w:pPr>
              <w:pStyle w:val="Tabletext"/>
              <w:rPr>
                <w:szCs w:val="20"/>
              </w:rPr>
            </w:pPr>
            <w:r>
              <w:rPr>
                <w:szCs w:val="20"/>
              </w:rPr>
              <w:t>2015–16 Target</w:t>
            </w:r>
          </w:p>
        </w:tc>
        <w:tc>
          <w:tcPr>
            <w:tcW w:w="1275"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C4FFD" w:rsidRDefault="00DC4FFD" w:rsidP="007064A6">
            <w:pPr>
              <w:pStyle w:val="Tabletext"/>
              <w:rPr>
                <w:szCs w:val="20"/>
              </w:rPr>
            </w:pPr>
            <w:r>
              <w:rPr>
                <w:szCs w:val="20"/>
              </w:rPr>
              <w:t>2016–17 Target</w:t>
            </w:r>
          </w:p>
        </w:tc>
        <w:tc>
          <w:tcPr>
            <w:tcW w:w="1276"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C4FFD" w:rsidRDefault="00DC4FFD" w:rsidP="007064A6">
            <w:pPr>
              <w:pStyle w:val="Tabletext"/>
              <w:rPr>
                <w:szCs w:val="20"/>
              </w:rPr>
            </w:pPr>
            <w:r>
              <w:rPr>
                <w:szCs w:val="20"/>
              </w:rPr>
              <w:t>2017–18 Target</w:t>
            </w:r>
          </w:p>
        </w:tc>
        <w:tc>
          <w:tcPr>
            <w:tcW w:w="1276" w:type="dxa"/>
            <w:tcBorders>
              <w:top w:val="single" w:sz="8" w:space="0" w:color="auto"/>
              <w:left w:val="single" w:sz="8" w:space="0" w:color="auto"/>
              <w:bottom w:val="single" w:sz="8" w:space="0" w:color="auto"/>
              <w:right w:val="single" w:sz="8" w:space="0" w:color="auto"/>
            </w:tcBorders>
            <w:shd w:val="clear" w:color="auto" w:fill="C6D9F1"/>
            <w:tcMar>
              <w:top w:w="0" w:type="dxa"/>
              <w:left w:w="108" w:type="dxa"/>
              <w:bottom w:w="0" w:type="dxa"/>
              <w:right w:w="108" w:type="dxa"/>
            </w:tcMar>
            <w:hideMark/>
          </w:tcPr>
          <w:p w:rsidR="00DC4FFD" w:rsidRDefault="00DC4FFD" w:rsidP="007064A6">
            <w:pPr>
              <w:pStyle w:val="Tabletext"/>
              <w:rPr>
                <w:szCs w:val="20"/>
              </w:rPr>
            </w:pPr>
            <w:r>
              <w:rPr>
                <w:szCs w:val="20"/>
              </w:rPr>
              <w:t>2018–19 Target</w:t>
            </w:r>
          </w:p>
        </w:tc>
      </w:tr>
      <w:tr w:rsidR="00DC4FFD" w:rsidTr="0050567D">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Markets lost as a result of failed departmental certification services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Nil</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Nil</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Nil</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Nil</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Nil</w:t>
            </w:r>
          </w:p>
        </w:tc>
      </w:tr>
      <w:tr w:rsidR="00DC4FFD" w:rsidTr="0050567D">
        <w:tc>
          <w:tcPr>
            <w:tcW w:w="2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2A5F70">
            <w:pPr>
              <w:pStyle w:val="Tabletext"/>
              <w:ind w:left="34"/>
            </w:pPr>
            <w:r>
              <w:t>Export consignments rejected because of failure to meet export certificate requirements.</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Less than 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Less than 1%</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Less than 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Less than 1%</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DC4FFD" w:rsidRDefault="00DC4FFD" w:rsidP="007064A6">
            <w:pPr>
              <w:pStyle w:val="Tabletext"/>
            </w:pPr>
            <w:r>
              <w:t>Less than 1%</w:t>
            </w:r>
          </w:p>
        </w:tc>
      </w:tr>
    </w:tbl>
    <w:p w:rsidR="00DC4FFD" w:rsidRDefault="00DC4FFD" w:rsidP="007064A6">
      <w:pPr>
        <w:pStyle w:val="Heading3"/>
        <w:numPr>
          <w:ilvl w:val="0"/>
          <w:numId w:val="0"/>
        </w:numPr>
        <w:ind w:left="794" w:hanging="794"/>
      </w:pPr>
      <w:bookmarkStart w:id="81" w:name="_Toc433035563"/>
      <w:r>
        <w:t>A.5</w:t>
      </w:r>
      <w:r>
        <w:tab/>
        <w:t>Grain export stakeholder engagement</w:t>
      </w:r>
      <w:bookmarkEnd w:id="81"/>
      <w:r>
        <w:t xml:space="preserve"> </w:t>
      </w:r>
    </w:p>
    <w:p w:rsidR="00DC4FFD" w:rsidRDefault="00DC4FFD">
      <w:r>
        <w:t xml:space="preserve">Grain industry members stated that the costs of the Authorised Officers (AO) programme </w:t>
      </w:r>
      <w:proofErr w:type="gramStart"/>
      <w:r>
        <w:t>should not be entirely funded</w:t>
      </w:r>
      <w:proofErr w:type="gramEnd"/>
      <w:r>
        <w:t xml:space="preserve"> through levies as had been originally proposed. Instead, some form of fee for service component </w:t>
      </w:r>
      <w:proofErr w:type="gramStart"/>
      <w:r>
        <w:t>was requested</w:t>
      </w:r>
      <w:proofErr w:type="gramEnd"/>
      <w:r>
        <w:t xml:space="preserve"> in addition to a levy component. This </w:t>
      </w:r>
      <w:proofErr w:type="gramStart"/>
      <w:r>
        <w:t>was seen</w:t>
      </w:r>
      <w:proofErr w:type="gramEnd"/>
      <w:r>
        <w:t xml:space="preserve"> as important in both ensuring that users contributed directly </w:t>
      </w:r>
      <w:r>
        <w:rPr>
          <w:lang w:eastAsia="en-AU"/>
        </w:rPr>
        <w:t>to the costs of the AO programme, and at the same time would reduce the levy amount. The department has adjusted the proposed model to introduce a fee for service component for the AO activities in the grain export area.</w:t>
      </w:r>
    </w:p>
    <w:p w:rsidR="00DC4FFD" w:rsidRDefault="00DC4FFD">
      <w:r>
        <w:t>In consultative meetings with the department, grains industry representatives raised strong concerns that the proposed 20 cent per tonne volume charge was a significant increase over the current 11 cent per tonne charge, especially as other export certification costs also seemed to be rising.</w:t>
      </w:r>
    </w:p>
    <w:p w:rsidR="00DC4FFD" w:rsidRDefault="00DC4FFD">
      <w:r>
        <w:t xml:space="preserve">Grain members argued that a doubling of the volume charge was unacceptable, and said the department must find a more equitable way to distribute costs. It </w:t>
      </w:r>
      <w:proofErr w:type="gramStart"/>
      <w:r>
        <w:t>was suggested</w:t>
      </w:r>
      <w:proofErr w:type="gramEnd"/>
      <w:r>
        <w:t xml:space="preserve"> by some grain industry members that a reduction in the tonnage charge could be achieved by increasing the certification charges for phytosanitary certificates. Similar concerns </w:t>
      </w:r>
      <w:proofErr w:type="gramStart"/>
      <w:r>
        <w:t>were raised</w:t>
      </w:r>
      <w:proofErr w:type="gramEnd"/>
      <w:r>
        <w:t xml:space="preserve"> by the grain industry during public consultation.</w:t>
      </w:r>
    </w:p>
    <w:p w:rsidR="00DC4FFD" w:rsidRDefault="00FD19FD">
      <w:r>
        <w:lastRenderedPageBreak/>
        <w:t>Grain exporters did not</w:t>
      </w:r>
      <w:r w:rsidR="00DC4FFD">
        <w:t xml:space="preserve"> support the </w:t>
      </w:r>
      <w:r>
        <w:t xml:space="preserve">draft proposal to consolidate </w:t>
      </w:r>
      <w:r w:rsidR="00DC4FFD">
        <w:t xml:space="preserve">the </w:t>
      </w:r>
      <w:r>
        <w:t>grain and horticulture programmes</w:t>
      </w:r>
      <w:r w:rsidR="00DC4FFD">
        <w:t xml:space="preserve"> into a single plant</w:t>
      </w:r>
      <w:r>
        <w:t xml:space="preserve"> export arrangement. They</w:t>
      </w:r>
      <w:r w:rsidR="00DC4FFD">
        <w:t xml:space="preserve"> claim</w:t>
      </w:r>
      <w:r>
        <w:t>ed that if the two programmes were consolidated they would be</w:t>
      </w:r>
      <w:r w:rsidR="00DC4FFD">
        <w:t xml:space="preserve"> </w:t>
      </w:r>
      <w:proofErr w:type="gramStart"/>
      <w:r w:rsidR="00DC4FFD">
        <w:t>cross-subs</w:t>
      </w:r>
      <w:r>
        <w:t>idising</w:t>
      </w:r>
      <w:proofErr w:type="gramEnd"/>
      <w:r>
        <w:t xml:space="preserve"> the costs of horticulture</w:t>
      </w:r>
      <w:r w:rsidR="00DC4FFD">
        <w:t xml:space="preserve"> exporters.</w:t>
      </w:r>
    </w:p>
    <w:p w:rsidR="00DC4FFD" w:rsidRDefault="00DC4FFD">
      <w:pPr>
        <w:rPr>
          <w:lang w:eastAsia="en-AU"/>
        </w:rPr>
      </w:pPr>
      <w:r>
        <w:rPr>
          <w:lang w:eastAsia="en-AU"/>
        </w:rPr>
        <w:t xml:space="preserve">Following the grain industry consultative meetings, and the feedback from public submissions, the department revised the grain export charges, and separated the </w:t>
      </w:r>
      <w:r w:rsidR="00FD19FD">
        <w:rPr>
          <w:lang w:eastAsia="en-AU"/>
        </w:rPr>
        <w:t xml:space="preserve">grain and horticulture </w:t>
      </w:r>
      <w:r>
        <w:rPr>
          <w:lang w:eastAsia="en-AU"/>
        </w:rPr>
        <w:t>arrangements as separate programmes within the Plant Exports CRIS.</w:t>
      </w:r>
    </w:p>
    <w:p w:rsidR="00DC4FFD" w:rsidRDefault="00DC4FFD">
      <w:r w:rsidRPr="006864E5">
        <w:t>There were slight increases in the rates for simple establishments and complex establishments</w:t>
      </w:r>
      <w:r w:rsidR="002419B5" w:rsidRPr="006864E5">
        <w:t>.</w:t>
      </w:r>
    </w:p>
    <w:p w:rsidR="00DC4FFD" w:rsidRDefault="00DC4FFD">
      <w:r>
        <w:t xml:space="preserve">There is now only one tonnage rate for grain, which </w:t>
      </w:r>
      <w:proofErr w:type="gramStart"/>
      <w:r>
        <w:t>has been reduced</w:t>
      </w:r>
      <w:proofErr w:type="gramEnd"/>
      <w:r>
        <w:t>.</w:t>
      </w:r>
    </w:p>
    <w:p w:rsidR="00DC4FFD" w:rsidRDefault="00DC4FFD">
      <w:r>
        <w:t>Inspection and audit fees will remain at $36 per 15 minutes. However, where an exporter could use an approved authorised officer but instead chooses to use a departmental officer, the inspection cost will be $75 per 15 minutes. If an exporter does not have the option of an approved authorised officer (for example, protocol markets) this cost will be $36 per 15 minutes.</w:t>
      </w:r>
    </w:p>
    <w:p w:rsidR="002A5F70" w:rsidRPr="001F32EC" w:rsidRDefault="00DC4FFD" w:rsidP="001F32EC">
      <w:r>
        <w:t xml:space="preserve">On implementation of the new arrangements, quarterly reporting of cost recovery performance will continue to </w:t>
      </w:r>
      <w:proofErr w:type="gramStart"/>
      <w:r>
        <w:t>be provided</w:t>
      </w:r>
      <w:proofErr w:type="gramEnd"/>
      <w:r>
        <w:t xml:space="preserve"> to relevant Industry Consultative Committees. This provides a mechanism for continual engagement and review of cost recovery arrangements and ensures any unintended consequences or issues are resolved in a timely manner.</w:t>
      </w:r>
      <w:bookmarkStart w:id="82" w:name="_Toc424305796"/>
      <w:bookmarkStart w:id="83" w:name="_Toc433035564"/>
    </w:p>
    <w:p w:rsidR="00DC4FFD" w:rsidRDefault="00DC4FFD" w:rsidP="007064A6">
      <w:pPr>
        <w:pStyle w:val="Heading3"/>
        <w:numPr>
          <w:ilvl w:val="0"/>
          <w:numId w:val="0"/>
        </w:numPr>
        <w:ind w:left="794" w:hanging="794"/>
      </w:pPr>
      <w:r>
        <w:t>A.6</w:t>
      </w:r>
      <w:r>
        <w:tab/>
        <w:t>Grain export fees and levies</w:t>
      </w:r>
      <w:bookmarkEnd w:id="82"/>
      <w:bookmarkEnd w:id="83"/>
    </w:p>
    <w:p w:rsidR="00DC4FFD" w:rsidRDefault="00DC4FFD" w:rsidP="006864E5">
      <w:pPr>
        <w:pStyle w:val="Caption"/>
        <w:keepNext/>
        <w:keepLines/>
      </w:pPr>
      <w:r>
        <w:t>Table 8: Fees, levies and volumes—grain export cost recovery arrangement (2015–16)</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7064A6" w:rsidRDefault="00DC4FFD" w:rsidP="007064A6">
            <w:pPr>
              <w:pStyle w:val="Tabletext"/>
              <w:rPr>
                <w:rStyle w:val="Strong"/>
              </w:rPr>
            </w:pPr>
            <w:r w:rsidRPr="007064A6">
              <w:rPr>
                <w:rStyle w:val="Strong"/>
              </w:rPr>
              <w:t>Charge title</w:t>
            </w:r>
          </w:p>
        </w:tc>
        <w:tc>
          <w:tcPr>
            <w:tcW w:w="992" w:type="dxa"/>
            <w:shd w:val="clear" w:color="auto" w:fill="C6D9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C6D9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C6D9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Plant exporter levies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vAlign w:val="center"/>
          </w:tcPr>
          <w:p w:rsidR="00DC4FFD" w:rsidRDefault="00DC4FFD" w:rsidP="007064A6">
            <w:pPr>
              <w:pStyle w:val="Tabletext"/>
            </w:pPr>
            <w:r>
              <w:lastRenderedPageBreak/>
              <w:t>Establishment registration—simple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495</w:t>
            </w:r>
          </w:p>
        </w:tc>
        <w:tc>
          <w:tcPr>
            <w:tcW w:w="1559" w:type="dxa"/>
            <w:vAlign w:val="center"/>
          </w:tcPr>
          <w:p w:rsidR="00DC4FFD" w:rsidRDefault="00DC4FFD" w:rsidP="007064A6">
            <w:pPr>
              <w:pStyle w:val="Tabletext"/>
            </w:pPr>
            <w:r>
              <w:t>$1 485 000</w:t>
            </w:r>
          </w:p>
        </w:tc>
      </w:tr>
      <w:tr w:rsidR="00DC4FFD">
        <w:trPr>
          <w:cantSplit/>
          <w:trHeight w:val="680"/>
        </w:trPr>
        <w:tc>
          <w:tcPr>
            <w:tcW w:w="3227" w:type="dxa"/>
            <w:vAlign w:val="center"/>
          </w:tcPr>
          <w:p w:rsidR="00DC4FFD" w:rsidRDefault="00DC4FFD" w:rsidP="007064A6">
            <w:pPr>
              <w:pStyle w:val="Tabletext"/>
            </w:pPr>
            <w:r>
              <w:t>Establishment registration—complex</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37</w:t>
            </w:r>
          </w:p>
        </w:tc>
        <w:tc>
          <w:tcPr>
            <w:tcW w:w="1559" w:type="dxa"/>
            <w:vAlign w:val="center"/>
          </w:tcPr>
          <w:p w:rsidR="00DC4FFD" w:rsidRDefault="00DC4FFD" w:rsidP="007064A6">
            <w:pPr>
              <w:pStyle w:val="Tabletext"/>
            </w:pPr>
            <w:r>
              <w:t>$222 000</w:t>
            </w:r>
          </w:p>
        </w:tc>
      </w:tr>
      <w:tr w:rsidR="00DC4FFD">
        <w:trPr>
          <w:cantSplit/>
          <w:trHeight w:val="680"/>
        </w:trPr>
        <w:tc>
          <w:tcPr>
            <w:tcW w:w="3227" w:type="dxa"/>
            <w:vAlign w:val="center"/>
          </w:tcPr>
          <w:p w:rsidR="00DC4FFD" w:rsidRDefault="00DC4FFD" w:rsidP="007064A6">
            <w:pPr>
              <w:pStyle w:val="Tabletext"/>
            </w:pPr>
            <w:r>
              <w:t>Authorised officer approval</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$ 750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977</w:t>
            </w:r>
          </w:p>
        </w:tc>
        <w:tc>
          <w:tcPr>
            <w:tcW w:w="1559" w:type="dxa"/>
            <w:vAlign w:val="center"/>
          </w:tcPr>
          <w:p w:rsidR="00DC4FFD" w:rsidRDefault="00DC4FFD" w:rsidP="007064A6">
            <w:pPr>
              <w:pStyle w:val="Tabletext"/>
            </w:pPr>
            <w:r>
              <w:t>$732 750</w:t>
            </w:r>
          </w:p>
        </w:tc>
      </w:tr>
      <w:tr w:rsidR="00DC4FFD">
        <w:trPr>
          <w:cantSplit/>
          <w:trHeight w:val="680"/>
        </w:trPr>
        <w:tc>
          <w:tcPr>
            <w:tcW w:w="3227" w:type="dxa"/>
            <w:vAlign w:val="center"/>
          </w:tcPr>
          <w:p w:rsidR="00DC4FFD" w:rsidRDefault="00DC4FFD" w:rsidP="007064A6">
            <w:pPr>
              <w:pStyle w:val="Tabletext"/>
            </w:pPr>
            <w:r>
              <w:t>Organic certifying organisation</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$7 500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1</w:t>
            </w:r>
          </w:p>
        </w:tc>
        <w:tc>
          <w:tcPr>
            <w:tcW w:w="1559" w:type="dxa"/>
            <w:vAlign w:val="center"/>
          </w:tcPr>
          <w:p w:rsidR="00DC4FFD" w:rsidRDefault="00DC4FFD" w:rsidP="007064A6">
            <w:pPr>
              <w:pStyle w:val="Tabletext"/>
            </w:pPr>
            <w:r>
              <w:t>$7 500</w:t>
            </w:r>
          </w:p>
        </w:tc>
      </w:tr>
      <w:tr w:rsidR="00DC4FFD">
        <w:trPr>
          <w:cantSplit/>
          <w:trHeight w:val="680"/>
        </w:trPr>
        <w:tc>
          <w:tcPr>
            <w:tcW w:w="3227" w:type="dxa"/>
            <w:vAlign w:val="center"/>
          </w:tcPr>
          <w:p w:rsidR="00DC4FFD" w:rsidRDefault="00DC4FFD" w:rsidP="007064A6">
            <w:pPr>
              <w:pStyle w:val="Tabletext"/>
            </w:pPr>
            <w:r>
              <w:t>Export volume—grain and related products rate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$0.15</w:t>
            </w:r>
          </w:p>
        </w:tc>
        <w:tc>
          <w:tcPr>
            <w:tcW w:w="1559" w:type="dxa"/>
            <w:vAlign w:val="center"/>
          </w:tcPr>
          <w:p w:rsidR="00DC4FFD" w:rsidRDefault="00DC4FFD" w:rsidP="007064A6">
            <w:pPr>
              <w:pStyle w:val="Tabletext"/>
            </w:pPr>
            <w:r>
              <w:t>Per tonne</w:t>
            </w:r>
            <w:r>
              <w:br/>
            </w:r>
            <w:r>
              <w:rPr>
                <w:rFonts w:cs="Arial"/>
                <w:sz w:val="18"/>
                <w:szCs w:val="18"/>
              </w:rPr>
              <w:t>(or part thereof)</w:t>
            </w:r>
          </w:p>
        </w:tc>
        <w:tc>
          <w:tcPr>
            <w:tcW w:w="1418" w:type="dxa"/>
            <w:vAlign w:val="center"/>
          </w:tcPr>
          <w:p w:rsidR="00DC4FFD" w:rsidRDefault="00DC4FFD" w:rsidP="007064A6">
            <w:pPr>
              <w:pStyle w:val="Tabletext"/>
            </w:pPr>
            <w:r>
              <w:t>37 781 366</w:t>
            </w:r>
          </w:p>
        </w:tc>
        <w:tc>
          <w:tcPr>
            <w:tcW w:w="1559" w:type="dxa"/>
            <w:vAlign w:val="center"/>
          </w:tcPr>
          <w:p w:rsidR="00DC4FFD" w:rsidRDefault="00DC4FFD" w:rsidP="007064A6">
            <w:pPr>
              <w:pStyle w:val="Tabletext"/>
            </w:pPr>
            <w:r>
              <w:t>$5 667 205</w:t>
            </w:r>
          </w:p>
        </w:tc>
      </w:tr>
      <w:tr w:rsidR="00DC4FFD">
        <w:trPr>
          <w:cantSplit/>
          <w:trHeight w:val="680"/>
        </w:trPr>
        <w:tc>
          <w:tcPr>
            <w:tcW w:w="3227" w:type="dxa"/>
            <w:vAlign w:val="center"/>
          </w:tcPr>
          <w:p w:rsidR="00DC4FFD" w:rsidRDefault="00DC4FFD" w:rsidP="007064A6">
            <w:pPr>
              <w:pStyle w:val="Tabletext"/>
            </w:pPr>
            <w:r>
              <w:t>Phytosanitary certificate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$38</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39 516</w:t>
            </w:r>
          </w:p>
        </w:tc>
        <w:tc>
          <w:tcPr>
            <w:tcW w:w="1559" w:type="dxa"/>
            <w:vAlign w:val="center"/>
          </w:tcPr>
          <w:p w:rsidR="00DC4FFD" w:rsidRDefault="00DC4FFD" w:rsidP="007064A6">
            <w:pPr>
              <w:pStyle w:val="Tabletext"/>
            </w:pPr>
            <w:r>
              <w:t>$1 501 608</w:t>
            </w:r>
          </w:p>
        </w:tc>
      </w:tr>
      <w:tr w:rsidR="00DC4FFD">
        <w:trPr>
          <w:cantSplit/>
          <w:trHeight w:val="680"/>
        </w:trPr>
        <w:tc>
          <w:tcPr>
            <w:tcW w:w="3227" w:type="dxa"/>
            <w:vAlign w:val="center"/>
          </w:tcPr>
          <w:p w:rsidR="00DC4FFD" w:rsidRDefault="00DC4FFD" w:rsidP="007064A6">
            <w:pPr>
              <w:pStyle w:val="Tabletext"/>
            </w:pPr>
            <w:r>
              <w:t>Establishment application (one-off)</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$600</w:t>
            </w:r>
          </w:p>
        </w:tc>
        <w:tc>
          <w:tcPr>
            <w:tcW w:w="1559" w:type="dxa"/>
            <w:vAlign w:val="center"/>
          </w:tcPr>
          <w:p w:rsidR="00DC4FFD" w:rsidRDefault="00DC4FFD" w:rsidP="007064A6">
            <w:pPr>
              <w:pStyle w:val="Tabletext"/>
            </w:pPr>
            <w:r>
              <w:t>Per initial establishment application</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Audit and Inspection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Audit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31 439</w:t>
            </w:r>
          </w:p>
        </w:tc>
        <w:tc>
          <w:tcPr>
            <w:tcW w:w="1559" w:type="dxa"/>
            <w:vAlign w:val="center"/>
          </w:tcPr>
          <w:p w:rsidR="00DC4FFD" w:rsidRDefault="00DC4FFD" w:rsidP="007064A6">
            <w:pPr>
              <w:pStyle w:val="Tabletext"/>
            </w:pPr>
            <w:r>
              <w:t>$1 131 804</w:t>
            </w:r>
          </w:p>
        </w:tc>
      </w:tr>
      <w:tr w:rsidR="00DC4FFD">
        <w:trPr>
          <w:trHeight w:val="680"/>
        </w:trPr>
        <w:tc>
          <w:tcPr>
            <w:tcW w:w="3227" w:type="dxa"/>
            <w:vAlign w:val="center"/>
          </w:tcPr>
          <w:p w:rsidR="00DC4FFD" w:rsidRDefault="00DC4FFD" w:rsidP="007064A6">
            <w:pPr>
              <w:pStyle w:val="Tabletext"/>
            </w:pPr>
            <w:r>
              <w:t>Core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25 311</w:t>
            </w:r>
          </w:p>
        </w:tc>
        <w:tc>
          <w:tcPr>
            <w:tcW w:w="1559" w:type="dxa"/>
            <w:vAlign w:val="center"/>
          </w:tcPr>
          <w:p w:rsidR="00DC4FFD" w:rsidRDefault="00DC4FFD" w:rsidP="007064A6">
            <w:pPr>
              <w:pStyle w:val="Tabletext"/>
            </w:pPr>
            <w:r>
              <w:t>$911 196</w:t>
            </w:r>
          </w:p>
        </w:tc>
      </w:tr>
      <w:tr w:rsidR="00DC4FFD">
        <w:trPr>
          <w:trHeight w:val="680"/>
        </w:trPr>
        <w:tc>
          <w:tcPr>
            <w:tcW w:w="3227" w:type="dxa"/>
            <w:vAlign w:val="center"/>
          </w:tcPr>
          <w:p w:rsidR="00DC4FFD" w:rsidRDefault="00DC4FFD" w:rsidP="007064A6">
            <w:pPr>
              <w:pStyle w:val="Tabletext"/>
            </w:pPr>
            <w:r>
              <w:t>Additional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$75</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Documentation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lastRenderedPageBreak/>
              <w:t>Document</w:t>
            </w:r>
            <w:r>
              <w:noBreakHyphen/>
              <w:t>Electronic</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$12</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84 687</w:t>
            </w:r>
          </w:p>
        </w:tc>
        <w:tc>
          <w:tcPr>
            <w:tcW w:w="1559" w:type="dxa"/>
            <w:vAlign w:val="center"/>
          </w:tcPr>
          <w:p w:rsidR="00DC4FFD" w:rsidRDefault="00DC4FFD" w:rsidP="007064A6">
            <w:pPr>
              <w:pStyle w:val="Tabletext"/>
            </w:pPr>
            <w:r>
              <w:t>$1 016 244</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Document</w:t>
            </w:r>
            <w:r>
              <w:noBreakHyphen/>
              <w:t>Manual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$100</w:t>
            </w:r>
          </w:p>
        </w:tc>
        <w:tc>
          <w:tcPr>
            <w:tcW w:w="1559" w:type="dxa"/>
            <w:tcBorders>
              <w:bottom w:val="single" w:sz="4" w:space="0" w:color="000000"/>
            </w:tcBorders>
            <w:vAlign w:val="center"/>
          </w:tcPr>
          <w:p w:rsidR="00DC4FFD" w:rsidRDefault="00DC4FFD" w:rsidP="007064A6">
            <w:pPr>
              <w:pStyle w:val="Tabletext"/>
            </w:pPr>
            <w:r>
              <w:t>Per document</w:t>
            </w:r>
          </w:p>
        </w:tc>
        <w:tc>
          <w:tcPr>
            <w:tcW w:w="1418" w:type="dxa"/>
            <w:tcBorders>
              <w:bottom w:val="single" w:sz="4" w:space="0" w:color="000000"/>
            </w:tcBorders>
            <w:vAlign w:val="center"/>
          </w:tcPr>
          <w:p w:rsidR="00DC4FFD" w:rsidRDefault="00DC4FFD" w:rsidP="007064A6">
            <w:pPr>
              <w:pStyle w:val="Tabletext"/>
            </w:pPr>
            <w:r>
              <w:t>-</w:t>
            </w:r>
          </w:p>
        </w:tc>
        <w:tc>
          <w:tcPr>
            <w:tcW w:w="1559" w:type="dxa"/>
            <w:tcBorders>
              <w:bottom w:val="single" w:sz="4" w:space="0" w:color="000000"/>
            </w:tcBorders>
            <w:vAlign w:val="center"/>
          </w:tcPr>
          <w:p w:rsidR="00DC4FFD" w:rsidRDefault="00DC4FFD" w:rsidP="007064A6">
            <w:pPr>
              <w:pStyle w:val="Tabletext"/>
            </w:pPr>
            <w:r>
              <w:t>-</w:t>
            </w:r>
          </w:p>
        </w:tc>
      </w:tr>
      <w:tr w:rsidR="00DC4FFD">
        <w:trPr>
          <w:trHeight w:val="680"/>
        </w:trPr>
        <w:tc>
          <w:tcPr>
            <w:tcW w:w="3227" w:type="dxa"/>
            <w:vAlign w:val="center"/>
          </w:tcPr>
          <w:p w:rsidR="00DC4FFD" w:rsidRDefault="00DC4FFD" w:rsidP="007064A6">
            <w:pPr>
              <w:pStyle w:val="Tabletext"/>
            </w:pPr>
            <w:r>
              <w:t>Replacement certificate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$500</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Approved Authorised Officer (AAO)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AAO Application Fee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$250</w:t>
            </w:r>
          </w:p>
        </w:tc>
        <w:tc>
          <w:tcPr>
            <w:tcW w:w="1559" w:type="dxa"/>
            <w:vAlign w:val="center"/>
          </w:tcPr>
          <w:p w:rsidR="00DC4FFD" w:rsidRDefault="00DC4FFD" w:rsidP="007064A6">
            <w:pPr>
              <w:pStyle w:val="Tabletext"/>
            </w:pPr>
            <w:r>
              <w:t>per AO application</w:t>
            </w:r>
          </w:p>
        </w:tc>
        <w:tc>
          <w:tcPr>
            <w:tcW w:w="1418" w:type="dxa"/>
            <w:vAlign w:val="center"/>
          </w:tcPr>
          <w:p w:rsidR="00DC4FFD" w:rsidRDefault="00DC4FFD" w:rsidP="007064A6">
            <w:pPr>
              <w:pStyle w:val="Tabletext"/>
            </w:pPr>
            <w:r>
              <w:t>444</w:t>
            </w:r>
          </w:p>
        </w:tc>
        <w:tc>
          <w:tcPr>
            <w:tcW w:w="1559" w:type="dxa"/>
            <w:vAlign w:val="center"/>
          </w:tcPr>
          <w:p w:rsidR="00DC4FFD" w:rsidRDefault="00DC4FFD" w:rsidP="007064A6">
            <w:pPr>
              <w:pStyle w:val="Tabletext"/>
            </w:pPr>
            <w:r>
              <w:t>$111 000</w:t>
            </w:r>
          </w:p>
        </w:tc>
      </w:tr>
      <w:tr w:rsidR="00DC4FFD">
        <w:trPr>
          <w:trHeight w:val="680"/>
        </w:trPr>
        <w:tc>
          <w:tcPr>
            <w:tcW w:w="3227" w:type="dxa"/>
            <w:vAlign w:val="center"/>
          </w:tcPr>
          <w:p w:rsidR="00DC4FFD" w:rsidRDefault="00DC4FFD" w:rsidP="007064A6">
            <w:pPr>
              <w:pStyle w:val="Tabletext"/>
            </w:pPr>
            <w:r>
              <w:t>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$1 750</w:t>
            </w:r>
          </w:p>
        </w:tc>
        <w:tc>
          <w:tcPr>
            <w:tcW w:w="1559" w:type="dxa"/>
            <w:vAlign w:val="center"/>
          </w:tcPr>
          <w:p w:rsidR="00DC4FFD" w:rsidRDefault="00DC4FFD" w:rsidP="007064A6">
            <w:pPr>
              <w:pStyle w:val="Tabletext"/>
            </w:pPr>
            <w:r>
              <w:t>per person delivered training</w:t>
            </w:r>
          </w:p>
        </w:tc>
        <w:tc>
          <w:tcPr>
            <w:tcW w:w="1418" w:type="dxa"/>
            <w:vAlign w:val="center"/>
          </w:tcPr>
          <w:p w:rsidR="00DC4FFD" w:rsidRDefault="00DC4FFD" w:rsidP="007064A6">
            <w:pPr>
              <w:pStyle w:val="Tabletext"/>
            </w:pPr>
            <w:r>
              <w:t>904</w:t>
            </w:r>
          </w:p>
        </w:tc>
        <w:tc>
          <w:tcPr>
            <w:tcW w:w="1559" w:type="dxa"/>
            <w:vAlign w:val="center"/>
          </w:tcPr>
          <w:p w:rsidR="00DC4FFD" w:rsidRDefault="00DC4FFD" w:rsidP="007064A6">
            <w:pPr>
              <w:pStyle w:val="Tabletext"/>
            </w:pPr>
            <w:r>
              <w:t>$1 582 000</w:t>
            </w:r>
          </w:p>
        </w:tc>
      </w:tr>
      <w:tr w:rsidR="00DC4FFD">
        <w:trPr>
          <w:trHeight w:val="680"/>
        </w:trPr>
        <w:tc>
          <w:tcPr>
            <w:tcW w:w="3227" w:type="dxa"/>
            <w:vAlign w:val="center"/>
          </w:tcPr>
          <w:p w:rsidR="00DC4FFD" w:rsidRDefault="00DC4FFD" w:rsidP="007064A6">
            <w:pPr>
              <w:pStyle w:val="Tabletext"/>
            </w:pPr>
            <w:r>
              <w:t>Additional 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$2 000</w:t>
            </w:r>
          </w:p>
        </w:tc>
        <w:tc>
          <w:tcPr>
            <w:tcW w:w="1559" w:type="dxa"/>
            <w:vAlign w:val="center"/>
          </w:tcPr>
          <w:p w:rsidR="00DC4FFD" w:rsidRDefault="00DC4FFD" w:rsidP="007064A6">
            <w:pPr>
              <w:pStyle w:val="Tabletext"/>
            </w:pPr>
            <w:r>
              <w:t>per person delivered additional training</w:t>
            </w:r>
          </w:p>
        </w:tc>
        <w:tc>
          <w:tcPr>
            <w:tcW w:w="1418" w:type="dxa"/>
            <w:vAlign w:val="center"/>
          </w:tcPr>
          <w:p w:rsidR="00DC4FFD" w:rsidRDefault="00DC4FFD" w:rsidP="007064A6">
            <w:pPr>
              <w:pStyle w:val="Tabletext"/>
            </w:pPr>
            <w:r>
              <w:t>181</w:t>
            </w:r>
          </w:p>
        </w:tc>
        <w:tc>
          <w:tcPr>
            <w:tcW w:w="1559" w:type="dxa"/>
            <w:vAlign w:val="center"/>
          </w:tcPr>
          <w:p w:rsidR="00DC4FFD" w:rsidRDefault="00DC4FFD" w:rsidP="007064A6">
            <w:pPr>
              <w:pStyle w:val="Tabletext"/>
            </w:pPr>
            <w:r>
              <w:t>$362 000</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AAO Approval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$250</w:t>
            </w:r>
          </w:p>
        </w:tc>
        <w:tc>
          <w:tcPr>
            <w:tcW w:w="1559" w:type="dxa"/>
            <w:tcBorders>
              <w:bottom w:val="single" w:sz="4" w:space="0" w:color="000000"/>
            </w:tcBorders>
            <w:vAlign w:val="center"/>
          </w:tcPr>
          <w:p w:rsidR="00DC4FFD" w:rsidRDefault="00DC4FFD" w:rsidP="007064A6">
            <w:pPr>
              <w:pStyle w:val="Tabletext"/>
            </w:pPr>
            <w:r>
              <w:t>per AO approval</w:t>
            </w:r>
          </w:p>
        </w:tc>
        <w:tc>
          <w:tcPr>
            <w:tcW w:w="1418" w:type="dxa"/>
            <w:tcBorders>
              <w:bottom w:val="single" w:sz="4" w:space="0" w:color="000000"/>
            </w:tcBorders>
            <w:vAlign w:val="center"/>
          </w:tcPr>
          <w:p w:rsidR="00DC4FFD" w:rsidRDefault="00DC4FFD" w:rsidP="007064A6">
            <w:pPr>
              <w:pStyle w:val="Tabletext"/>
            </w:pPr>
            <w:r>
              <w:t>904</w:t>
            </w:r>
          </w:p>
        </w:tc>
        <w:tc>
          <w:tcPr>
            <w:tcW w:w="1559" w:type="dxa"/>
            <w:tcBorders>
              <w:bottom w:val="single" w:sz="4" w:space="0" w:color="000000"/>
            </w:tcBorders>
            <w:vAlign w:val="center"/>
          </w:tcPr>
          <w:p w:rsidR="00DC4FFD" w:rsidRDefault="00DC4FFD" w:rsidP="007064A6">
            <w:pPr>
              <w:pStyle w:val="Tabletext"/>
            </w:pPr>
            <w:r>
              <w:t>$226 000</w:t>
            </w:r>
          </w:p>
        </w:tc>
      </w:tr>
    </w:tbl>
    <w:p w:rsidR="00DC4FFD" w:rsidRDefault="00DC4FFD" w:rsidP="006864E5">
      <w:pPr>
        <w:pStyle w:val="Caption"/>
        <w:keepNext/>
        <w:keepLines/>
      </w:pPr>
      <w:r>
        <w:t>Table 9: Fees, levies and volumes—grain export cost recovery arrangement (2016–17)</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7064A6" w:rsidRDefault="00DC4FFD" w:rsidP="007064A6">
            <w:pPr>
              <w:pStyle w:val="Tabletext"/>
              <w:rPr>
                <w:rStyle w:val="Strong"/>
              </w:rPr>
            </w:pPr>
            <w:r w:rsidRPr="007064A6">
              <w:rPr>
                <w:rStyle w:val="Strong"/>
              </w:rPr>
              <w:t>Charge title</w:t>
            </w:r>
          </w:p>
        </w:tc>
        <w:tc>
          <w:tcPr>
            <w:tcW w:w="992" w:type="dxa"/>
            <w:shd w:val="clear" w:color="auto" w:fill="C6D9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C6D9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C6D9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Plant exporter levies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vAlign w:val="center"/>
          </w:tcPr>
          <w:p w:rsidR="00DC4FFD" w:rsidRDefault="00DC4FFD" w:rsidP="007064A6">
            <w:pPr>
              <w:pStyle w:val="Tabletext"/>
            </w:pPr>
            <w:r>
              <w:t>Establishment registration—simple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495</w:t>
            </w:r>
          </w:p>
        </w:tc>
        <w:tc>
          <w:tcPr>
            <w:tcW w:w="1559" w:type="dxa"/>
            <w:vAlign w:val="center"/>
          </w:tcPr>
          <w:p w:rsidR="00DC4FFD" w:rsidRDefault="00DC4FFD" w:rsidP="007064A6">
            <w:pPr>
              <w:pStyle w:val="Tabletext"/>
            </w:pPr>
            <w:r>
              <w:t>$1 485 000</w:t>
            </w:r>
          </w:p>
        </w:tc>
      </w:tr>
      <w:tr w:rsidR="00DC4FFD">
        <w:trPr>
          <w:cantSplit/>
          <w:trHeight w:val="680"/>
        </w:trPr>
        <w:tc>
          <w:tcPr>
            <w:tcW w:w="3227" w:type="dxa"/>
            <w:vAlign w:val="center"/>
          </w:tcPr>
          <w:p w:rsidR="00DC4FFD" w:rsidRDefault="00DC4FFD" w:rsidP="007064A6">
            <w:pPr>
              <w:pStyle w:val="Tabletext"/>
            </w:pPr>
            <w:r>
              <w:t>Establishment registration—complex</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37</w:t>
            </w:r>
          </w:p>
        </w:tc>
        <w:tc>
          <w:tcPr>
            <w:tcW w:w="1559" w:type="dxa"/>
            <w:vAlign w:val="center"/>
          </w:tcPr>
          <w:p w:rsidR="00DC4FFD" w:rsidRDefault="00DC4FFD" w:rsidP="007064A6">
            <w:pPr>
              <w:pStyle w:val="Tabletext"/>
            </w:pPr>
            <w:r>
              <w:t>$222 000</w:t>
            </w:r>
          </w:p>
        </w:tc>
      </w:tr>
      <w:tr w:rsidR="00DC4FFD">
        <w:trPr>
          <w:cantSplit/>
          <w:trHeight w:val="680"/>
        </w:trPr>
        <w:tc>
          <w:tcPr>
            <w:tcW w:w="3227" w:type="dxa"/>
            <w:vAlign w:val="center"/>
          </w:tcPr>
          <w:p w:rsidR="00DC4FFD" w:rsidRDefault="00DC4FFD" w:rsidP="007064A6">
            <w:pPr>
              <w:pStyle w:val="Tabletext"/>
            </w:pPr>
            <w:r>
              <w:lastRenderedPageBreak/>
              <w:t>Authorised officer approval</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$ 750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1 539</w:t>
            </w:r>
          </w:p>
        </w:tc>
        <w:tc>
          <w:tcPr>
            <w:tcW w:w="1559" w:type="dxa"/>
            <w:vAlign w:val="center"/>
          </w:tcPr>
          <w:p w:rsidR="00DC4FFD" w:rsidRDefault="00DC4FFD" w:rsidP="007064A6">
            <w:pPr>
              <w:pStyle w:val="Tabletext"/>
            </w:pPr>
            <w:r>
              <w:t>$1 154 250</w:t>
            </w:r>
          </w:p>
        </w:tc>
      </w:tr>
      <w:tr w:rsidR="00DC4FFD">
        <w:trPr>
          <w:cantSplit/>
          <w:trHeight w:val="680"/>
        </w:trPr>
        <w:tc>
          <w:tcPr>
            <w:tcW w:w="3227" w:type="dxa"/>
            <w:vAlign w:val="center"/>
          </w:tcPr>
          <w:p w:rsidR="00DC4FFD" w:rsidRDefault="00DC4FFD" w:rsidP="007064A6">
            <w:pPr>
              <w:pStyle w:val="Tabletext"/>
            </w:pPr>
            <w:r>
              <w:t>Organic certifying organisation</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$7 500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1</w:t>
            </w:r>
          </w:p>
        </w:tc>
        <w:tc>
          <w:tcPr>
            <w:tcW w:w="1559" w:type="dxa"/>
            <w:vAlign w:val="center"/>
          </w:tcPr>
          <w:p w:rsidR="00DC4FFD" w:rsidRDefault="00DC4FFD" w:rsidP="007064A6">
            <w:pPr>
              <w:pStyle w:val="Tabletext"/>
            </w:pPr>
            <w:r>
              <w:t>$7 500</w:t>
            </w:r>
          </w:p>
        </w:tc>
      </w:tr>
      <w:tr w:rsidR="00DC4FFD">
        <w:trPr>
          <w:cantSplit/>
          <w:trHeight w:val="680"/>
        </w:trPr>
        <w:tc>
          <w:tcPr>
            <w:tcW w:w="3227" w:type="dxa"/>
            <w:vAlign w:val="center"/>
          </w:tcPr>
          <w:p w:rsidR="00DC4FFD" w:rsidRDefault="00DC4FFD" w:rsidP="007064A6">
            <w:pPr>
              <w:pStyle w:val="Tabletext"/>
            </w:pPr>
            <w:r>
              <w:t>Export volume—grain and related products rate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$0.14</w:t>
            </w:r>
          </w:p>
        </w:tc>
        <w:tc>
          <w:tcPr>
            <w:tcW w:w="1559" w:type="dxa"/>
            <w:vAlign w:val="center"/>
          </w:tcPr>
          <w:p w:rsidR="00DC4FFD" w:rsidRDefault="00DC4FFD" w:rsidP="007064A6">
            <w:pPr>
              <w:pStyle w:val="Tabletext"/>
            </w:pPr>
            <w:r>
              <w:t>Per tonne</w:t>
            </w:r>
            <w:r>
              <w:br/>
            </w:r>
            <w:r>
              <w:rPr>
                <w:rFonts w:cs="Arial"/>
                <w:sz w:val="18"/>
                <w:szCs w:val="18"/>
              </w:rPr>
              <w:t>(or part thereof)</w:t>
            </w:r>
          </w:p>
        </w:tc>
        <w:tc>
          <w:tcPr>
            <w:tcW w:w="1418" w:type="dxa"/>
            <w:vAlign w:val="center"/>
          </w:tcPr>
          <w:p w:rsidR="00DC4FFD" w:rsidRDefault="00DC4FFD" w:rsidP="007064A6">
            <w:pPr>
              <w:pStyle w:val="Tabletext"/>
            </w:pPr>
            <w:r>
              <w:t>37 781 366</w:t>
            </w:r>
          </w:p>
        </w:tc>
        <w:tc>
          <w:tcPr>
            <w:tcW w:w="1559" w:type="dxa"/>
            <w:vAlign w:val="center"/>
          </w:tcPr>
          <w:p w:rsidR="00DC4FFD" w:rsidRDefault="00DC4FFD" w:rsidP="007064A6">
            <w:pPr>
              <w:pStyle w:val="Tabletext"/>
            </w:pPr>
            <w:r>
              <w:t>$5 289 391</w:t>
            </w:r>
          </w:p>
        </w:tc>
      </w:tr>
      <w:tr w:rsidR="00DC4FFD">
        <w:trPr>
          <w:cantSplit/>
          <w:trHeight w:val="680"/>
        </w:trPr>
        <w:tc>
          <w:tcPr>
            <w:tcW w:w="3227" w:type="dxa"/>
            <w:vAlign w:val="center"/>
          </w:tcPr>
          <w:p w:rsidR="00DC4FFD" w:rsidRDefault="00DC4FFD" w:rsidP="007064A6">
            <w:pPr>
              <w:pStyle w:val="Tabletext"/>
            </w:pPr>
            <w:r>
              <w:t>Phytosanitary certificate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$38</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39 516</w:t>
            </w:r>
          </w:p>
        </w:tc>
        <w:tc>
          <w:tcPr>
            <w:tcW w:w="1559" w:type="dxa"/>
            <w:vAlign w:val="center"/>
          </w:tcPr>
          <w:p w:rsidR="00DC4FFD" w:rsidRDefault="00DC4FFD" w:rsidP="007064A6">
            <w:pPr>
              <w:pStyle w:val="Tabletext"/>
            </w:pPr>
            <w:r>
              <w:t>$1 501 608</w:t>
            </w:r>
          </w:p>
        </w:tc>
      </w:tr>
      <w:tr w:rsidR="00DC4FFD">
        <w:trPr>
          <w:cantSplit/>
          <w:trHeight w:val="680"/>
        </w:trPr>
        <w:tc>
          <w:tcPr>
            <w:tcW w:w="3227" w:type="dxa"/>
            <w:vAlign w:val="center"/>
          </w:tcPr>
          <w:p w:rsidR="00DC4FFD" w:rsidRDefault="00DC4FFD" w:rsidP="007064A6">
            <w:pPr>
              <w:pStyle w:val="Tabletext"/>
            </w:pPr>
            <w:r>
              <w:t>Establishment application (one-off)</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$600</w:t>
            </w:r>
          </w:p>
        </w:tc>
        <w:tc>
          <w:tcPr>
            <w:tcW w:w="1559" w:type="dxa"/>
            <w:vAlign w:val="center"/>
          </w:tcPr>
          <w:p w:rsidR="00DC4FFD" w:rsidRDefault="00DC4FFD" w:rsidP="007064A6">
            <w:pPr>
              <w:pStyle w:val="Tabletext"/>
            </w:pPr>
            <w:r>
              <w:t>Per initial establishment application</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Audit and Inspection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Audit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31 439</w:t>
            </w:r>
          </w:p>
        </w:tc>
        <w:tc>
          <w:tcPr>
            <w:tcW w:w="1559" w:type="dxa"/>
            <w:vAlign w:val="center"/>
          </w:tcPr>
          <w:p w:rsidR="00DC4FFD" w:rsidRDefault="00DC4FFD" w:rsidP="007064A6">
            <w:pPr>
              <w:pStyle w:val="Tabletext"/>
            </w:pPr>
            <w:r>
              <w:t>$1 131 804</w:t>
            </w:r>
          </w:p>
        </w:tc>
      </w:tr>
      <w:tr w:rsidR="00DC4FFD">
        <w:trPr>
          <w:trHeight w:val="680"/>
        </w:trPr>
        <w:tc>
          <w:tcPr>
            <w:tcW w:w="3227" w:type="dxa"/>
            <w:vAlign w:val="center"/>
          </w:tcPr>
          <w:p w:rsidR="00DC4FFD" w:rsidRDefault="00DC4FFD" w:rsidP="007064A6">
            <w:pPr>
              <w:pStyle w:val="Tabletext"/>
            </w:pPr>
            <w:r>
              <w:t>Core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25 311</w:t>
            </w:r>
          </w:p>
        </w:tc>
        <w:tc>
          <w:tcPr>
            <w:tcW w:w="1559" w:type="dxa"/>
            <w:vAlign w:val="center"/>
          </w:tcPr>
          <w:p w:rsidR="00DC4FFD" w:rsidRDefault="00DC4FFD" w:rsidP="007064A6">
            <w:pPr>
              <w:pStyle w:val="Tabletext"/>
            </w:pPr>
            <w:r>
              <w:t>$911 196</w:t>
            </w:r>
          </w:p>
        </w:tc>
      </w:tr>
      <w:tr w:rsidR="00DC4FFD">
        <w:trPr>
          <w:trHeight w:val="680"/>
        </w:trPr>
        <w:tc>
          <w:tcPr>
            <w:tcW w:w="3227" w:type="dxa"/>
            <w:vAlign w:val="center"/>
          </w:tcPr>
          <w:p w:rsidR="00DC4FFD" w:rsidRDefault="00DC4FFD" w:rsidP="007064A6">
            <w:pPr>
              <w:pStyle w:val="Tabletext"/>
            </w:pPr>
            <w:r>
              <w:t>Additional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$75</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Documentation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Document</w:t>
            </w:r>
            <w:r>
              <w:noBreakHyphen/>
              <w:t>Electronic</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$12</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84 687</w:t>
            </w:r>
          </w:p>
        </w:tc>
        <w:tc>
          <w:tcPr>
            <w:tcW w:w="1559" w:type="dxa"/>
            <w:vAlign w:val="center"/>
          </w:tcPr>
          <w:p w:rsidR="00DC4FFD" w:rsidRDefault="00DC4FFD" w:rsidP="007064A6">
            <w:pPr>
              <w:pStyle w:val="Tabletext"/>
            </w:pPr>
            <w:r>
              <w:t>$1 016 244</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Document</w:t>
            </w:r>
            <w:r>
              <w:noBreakHyphen/>
              <w:t>Manual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$100</w:t>
            </w:r>
          </w:p>
        </w:tc>
        <w:tc>
          <w:tcPr>
            <w:tcW w:w="1559" w:type="dxa"/>
            <w:tcBorders>
              <w:bottom w:val="single" w:sz="4" w:space="0" w:color="000000"/>
            </w:tcBorders>
            <w:vAlign w:val="center"/>
          </w:tcPr>
          <w:p w:rsidR="00DC4FFD" w:rsidRDefault="00DC4FFD" w:rsidP="007064A6">
            <w:pPr>
              <w:pStyle w:val="Tabletext"/>
            </w:pPr>
            <w:r>
              <w:t>Per document</w:t>
            </w:r>
          </w:p>
        </w:tc>
        <w:tc>
          <w:tcPr>
            <w:tcW w:w="1418" w:type="dxa"/>
            <w:tcBorders>
              <w:bottom w:val="single" w:sz="4" w:space="0" w:color="000000"/>
            </w:tcBorders>
            <w:vAlign w:val="center"/>
          </w:tcPr>
          <w:p w:rsidR="00DC4FFD" w:rsidRDefault="00DC4FFD" w:rsidP="007064A6">
            <w:pPr>
              <w:pStyle w:val="Tabletext"/>
            </w:pPr>
            <w:r>
              <w:t>-</w:t>
            </w:r>
          </w:p>
        </w:tc>
        <w:tc>
          <w:tcPr>
            <w:tcW w:w="1559" w:type="dxa"/>
            <w:tcBorders>
              <w:bottom w:val="single" w:sz="4" w:space="0" w:color="000000"/>
            </w:tcBorders>
            <w:vAlign w:val="center"/>
          </w:tcPr>
          <w:p w:rsidR="00DC4FFD" w:rsidRDefault="00DC4FFD" w:rsidP="007064A6">
            <w:pPr>
              <w:pStyle w:val="Tabletext"/>
            </w:pPr>
            <w:r>
              <w:t>-</w:t>
            </w:r>
          </w:p>
        </w:tc>
      </w:tr>
      <w:tr w:rsidR="00DC4FFD">
        <w:trPr>
          <w:trHeight w:val="680"/>
        </w:trPr>
        <w:tc>
          <w:tcPr>
            <w:tcW w:w="3227" w:type="dxa"/>
            <w:vAlign w:val="center"/>
          </w:tcPr>
          <w:p w:rsidR="00DC4FFD" w:rsidRDefault="00DC4FFD" w:rsidP="007064A6">
            <w:pPr>
              <w:pStyle w:val="Tabletext"/>
            </w:pPr>
            <w:r>
              <w:lastRenderedPageBreak/>
              <w:t>Replacement certificate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$500</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Approved Authorised Officer (AAO)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AAO Application Fee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$250</w:t>
            </w:r>
          </w:p>
        </w:tc>
        <w:tc>
          <w:tcPr>
            <w:tcW w:w="1559" w:type="dxa"/>
            <w:vAlign w:val="center"/>
          </w:tcPr>
          <w:p w:rsidR="00DC4FFD" w:rsidRDefault="00DC4FFD" w:rsidP="007064A6">
            <w:pPr>
              <w:pStyle w:val="Tabletext"/>
            </w:pPr>
            <w:r>
              <w:t>per AO application</w:t>
            </w:r>
          </w:p>
        </w:tc>
        <w:tc>
          <w:tcPr>
            <w:tcW w:w="1418" w:type="dxa"/>
            <w:vAlign w:val="center"/>
          </w:tcPr>
          <w:p w:rsidR="00DC4FFD" w:rsidRDefault="00DC4FFD" w:rsidP="007064A6">
            <w:pPr>
              <w:pStyle w:val="Tabletext"/>
            </w:pPr>
            <w:r>
              <w:t>364</w:t>
            </w:r>
          </w:p>
        </w:tc>
        <w:tc>
          <w:tcPr>
            <w:tcW w:w="1559" w:type="dxa"/>
            <w:vAlign w:val="center"/>
          </w:tcPr>
          <w:p w:rsidR="00DC4FFD" w:rsidRDefault="00DC4FFD" w:rsidP="007064A6">
            <w:pPr>
              <w:pStyle w:val="Tabletext"/>
            </w:pPr>
            <w:r>
              <w:t>$91 000</w:t>
            </w:r>
          </w:p>
        </w:tc>
      </w:tr>
      <w:tr w:rsidR="00DC4FFD">
        <w:trPr>
          <w:trHeight w:val="680"/>
        </w:trPr>
        <w:tc>
          <w:tcPr>
            <w:tcW w:w="3227" w:type="dxa"/>
            <w:vAlign w:val="center"/>
          </w:tcPr>
          <w:p w:rsidR="00DC4FFD" w:rsidRDefault="00DC4FFD" w:rsidP="007064A6">
            <w:pPr>
              <w:pStyle w:val="Tabletext"/>
            </w:pPr>
            <w:r>
              <w:t>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$1 750</w:t>
            </w:r>
          </w:p>
        </w:tc>
        <w:tc>
          <w:tcPr>
            <w:tcW w:w="1559" w:type="dxa"/>
            <w:vAlign w:val="center"/>
          </w:tcPr>
          <w:p w:rsidR="00DC4FFD" w:rsidRDefault="00DC4FFD" w:rsidP="007064A6">
            <w:pPr>
              <w:pStyle w:val="Tabletext"/>
            </w:pPr>
            <w:r>
              <w:t>per person delivered training</w:t>
            </w:r>
          </w:p>
        </w:tc>
        <w:tc>
          <w:tcPr>
            <w:tcW w:w="1418" w:type="dxa"/>
            <w:vAlign w:val="center"/>
          </w:tcPr>
          <w:p w:rsidR="00DC4FFD" w:rsidRDefault="00DC4FFD" w:rsidP="007064A6">
            <w:pPr>
              <w:pStyle w:val="Tabletext"/>
            </w:pPr>
            <w:r>
              <w:t>194</w:t>
            </w:r>
          </w:p>
        </w:tc>
        <w:tc>
          <w:tcPr>
            <w:tcW w:w="1559" w:type="dxa"/>
            <w:vAlign w:val="center"/>
          </w:tcPr>
          <w:p w:rsidR="00DC4FFD" w:rsidRDefault="00DC4FFD" w:rsidP="007064A6">
            <w:pPr>
              <w:pStyle w:val="Tabletext"/>
            </w:pPr>
            <w:r>
              <w:t>$339 500</w:t>
            </w:r>
          </w:p>
        </w:tc>
      </w:tr>
      <w:tr w:rsidR="00DC4FFD">
        <w:trPr>
          <w:trHeight w:val="680"/>
        </w:trPr>
        <w:tc>
          <w:tcPr>
            <w:tcW w:w="3227" w:type="dxa"/>
            <w:vAlign w:val="center"/>
          </w:tcPr>
          <w:p w:rsidR="00DC4FFD" w:rsidRDefault="00DC4FFD" w:rsidP="007064A6">
            <w:pPr>
              <w:pStyle w:val="Tabletext"/>
            </w:pPr>
            <w:r>
              <w:t>Additional 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$2 000</w:t>
            </w:r>
          </w:p>
        </w:tc>
        <w:tc>
          <w:tcPr>
            <w:tcW w:w="1559" w:type="dxa"/>
            <w:vAlign w:val="center"/>
          </w:tcPr>
          <w:p w:rsidR="00DC4FFD" w:rsidRDefault="00DC4FFD" w:rsidP="007064A6">
            <w:pPr>
              <w:pStyle w:val="Tabletext"/>
            </w:pPr>
            <w:r>
              <w:t>per person delivered additional training</w:t>
            </w:r>
          </w:p>
        </w:tc>
        <w:tc>
          <w:tcPr>
            <w:tcW w:w="1418" w:type="dxa"/>
            <w:vAlign w:val="center"/>
          </w:tcPr>
          <w:p w:rsidR="00DC4FFD" w:rsidRDefault="00DC4FFD" w:rsidP="007064A6">
            <w:pPr>
              <w:pStyle w:val="Tabletext"/>
            </w:pPr>
            <w:r>
              <w:t>39</w:t>
            </w:r>
          </w:p>
        </w:tc>
        <w:tc>
          <w:tcPr>
            <w:tcW w:w="1559" w:type="dxa"/>
            <w:vAlign w:val="center"/>
          </w:tcPr>
          <w:p w:rsidR="00DC4FFD" w:rsidRDefault="00DC4FFD" w:rsidP="007064A6">
            <w:pPr>
              <w:pStyle w:val="Tabletext"/>
            </w:pPr>
            <w:r>
              <w:t>$78 000</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AAO Approval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$250</w:t>
            </w:r>
          </w:p>
        </w:tc>
        <w:tc>
          <w:tcPr>
            <w:tcW w:w="1559" w:type="dxa"/>
            <w:tcBorders>
              <w:bottom w:val="single" w:sz="4" w:space="0" w:color="000000"/>
            </w:tcBorders>
            <w:vAlign w:val="center"/>
          </w:tcPr>
          <w:p w:rsidR="00DC4FFD" w:rsidRDefault="00DC4FFD" w:rsidP="007064A6">
            <w:pPr>
              <w:pStyle w:val="Tabletext"/>
            </w:pPr>
            <w:r>
              <w:t>per AO approval</w:t>
            </w:r>
          </w:p>
        </w:tc>
        <w:tc>
          <w:tcPr>
            <w:tcW w:w="1418" w:type="dxa"/>
            <w:tcBorders>
              <w:bottom w:val="single" w:sz="4" w:space="0" w:color="000000"/>
            </w:tcBorders>
            <w:vAlign w:val="center"/>
          </w:tcPr>
          <w:p w:rsidR="00DC4FFD" w:rsidRDefault="00DC4FFD" w:rsidP="007064A6">
            <w:pPr>
              <w:pStyle w:val="Tabletext"/>
            </w:pPr>
            <w:r>
              <w:t>194</w:t>
            </w:r>
          </w:p>
        </w:tc>
        <w:tc>
          <w:tcPr>
            <w:tcW w:w="1559" w:type="dxa"/>
            <w:tcBorders>
              <w:bottom w:val="single" w:sz="4" w:space="0" w:color="000000"/>
            </w:tcBorders>
            <w:vAlign w:val="center"/>
          </w:tcPr>
          <w:p w:rsidR="00DC4FFD" w:rsidRDefault="00DC4FFD" w:rsidP="007064A6">
            <w:pPr>
              <w:pStyle w:val="Tabletext"/>
            </w:pPr>
            <w:r>
              <w:t>$48 500</w:t>
            </w:r>
          </w:p>
        </w:tc>
      </w:tr>
    </w:tbl>
    <w:p w:rsidR="00DC4FFD" w:rsidRDefault="00DC4FFD">
      <w:pPr>
        <w:pStyle w:val="Caption"/>
        <w:keepNext/>
      </w:pPr>
      <w:r>
        <w:t>Table 10: Fees, levies and volumes—grain export cost recovery arrangement (2017–18)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7064A6" w:rsidRDefault="00DC4FFD" w:rsidP="007064A6">
            <w:pPr>
              <w:pStyle w:val="Tabletext"/>
              <w:rPr>
                <w:rStyle w:val="Strong"/>
              </w:rPr>
            </w:pPr>
            <w:r w:rsidRPr="007064A6">
              <w:rPr>
                <w:rStyle w:val="Strong"/>
              </w:rPr>
              <w:t>Charge title</w:t>
            </w:r>
          </w:p>
        </w:tc>
        <w:tc>
          <w:tcPr>
            <w:tcW w:w="992" w:type="dxa"/>
            <w:shd w:val="clear" w:color="auto" w:fill="C6D9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C6D9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C6D9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Plant exporter levies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vAlign w:val="center"/>
          </w:tcPr>
          <w:p w:rsidR="00DC4FFD" w:rsidRDefault="00DC4FFD" w:rsidP="007064A6">
            <w:pPr>
              <w:pStyle w:val="Tabletext"/>
            </w:pPr>
            <w:r>
              <w:t>Establishment registration—simple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495</w:t>
            </w:r>
          </w:p>
        </w:tc>
        <w:tc>
          <w:tcPr>
            <w:tcW w:w="1559" w:type="dxa"/>
            <w:vAlign w:val="center"/>
          </w:tcPr>
          <w:p w:rsidR="00DC4FFD" w:rsidRDefault="00DC4FFD" w:rsidP="007064A6">
            <w:pPr>
              <w:pStyle w:val="Tabletext"/>
            </w:pPr>
            <w:r>
              <w:t>$1 485 000</w:t>
            </w:r>
          </w:p>
        </w:tc>
      </w:tr>
      <w:tr w:rsidR="00DC4FFD">
        <w:trPr>
          <w:cantSplit/>
          <w:trHeight w:val="680"/>
        </w:trPr>
        <w:tc>
          <w:tcPr>
            <w:tcW w:w="3227" w:type="dxa"/>
            <w:vAlign w:val="center"/>
          </w:tcPr>
          <w:p w:rsidR="00DC4FFD" w:rsidRDefault="00DC4FFD" w:rsidP="007064A6">
            <w:pPr>
              <w:pStyle w:val="Tabletext"/>
            </w:pPr>
            <w:r>
              <w:t>Establishment registration—complex</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37</w:t>
            </w:r>
          </w:p>
        </w:tc>
        <w:tc>
          <w:tcPr>
            <w:tcW w:w="1559" w:type="dxa"/>
            <w:vAlign w:val="center"/>
          </w:tcPr>
          <w:p w:rsidR="00DC4FFD" w:rsidRDefault="00DC4FFD" w:rsidP="007064A6">
            <w:pPr>
              <w:pStyle w:val="Tabletext"/>
            </w:pPr>
            <w:r>
              <w:t>$222 000</w:t>
            </w:r>
          </w:p>
        </w:tc>
      </w:tr>
      <w:tr w:rsidR="00DC4FFD">
        <w:trPr>
          <w:cantSplit/>
          <w:trHeight w:val="680"/>
        </w:trPr>
        <w:tc>
          <w:tcPr>
            <w:tcW w:w="3227" w:type="dxa"/>
            <w:vAlign w:val="center"/>
          </w:tcPr>
          <w:p w:rsidR="00DC4FFD" w:rsidRDefault="00DC4FFD" w:rsidP="007064A6">
            <w:pPr>
              <w:pStyle w:val="Tabletext"/>
            </w:pPr>
            <w:r>
              <w:t>Authorised officer approval</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$ 750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1 194</w:t>
            </w:r>
          </w:p>
        </w:tc>
        <w:tc>
          <w:tcPr>
            <w:tcW w:w="1559" w:type="dxa"/>
            <w:vAlign w:val="center"/>
          </w:tcPr>
          <w:p w:rsidR="00DC4FFD" w:rsidRDefault="00DC4FFD" w:rsidP="007064A6">
            <w:pPr>
              <w:pStyle w:val="Tabletext"/>
            </w:pPr>
            <w:r>
              <w:t>$895 500</w:t>
            </w:r>
          </w:p>
        </w:tc>
      </w:tr>
      <w:tr w:rsidR="00DC4FFD">
        <w:trPr>
          <w:cantSplit/>
          <w:trHeight w:val="680"/>
        </w:trPr>
        <w:tc>
          <w:tcPr>
            <w:tcW w:w="3227" w:type="dxa"/>
            <w:vAlign w:val="center"/>
          </w:tcPr>
          <w:p w:rsidR="00DC4FFD" w:rsidRDefault="00DC4FFD" w:rsidP="007064A6">
            <w:pPr>
              <w:pStyle w:val="Tabletext"/>
            </w:pPr>
            <w:r>
              <w:t>Organic certifying organisation</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$7 500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1</w:t>
            </w:r>
          </w:p>
        </w:tc>
        <w:tc>
          <w:tcPr>
            <w:tcW w:w="1559" w:type="dxa"/>
            <w:vAlign w:val="center"/>
          </w:tcPr>
          <w:p w:rsidR="00DC4FFD" w:rsidRDefault="00DC4FFD" w:rsidP="007064A6">
            <w:pPr>
              <w:pStyle w:val="Tabletext"/>
            </w:pPr>
            <w:r>
              <w:t>$7 500</w:t>
            </w:r>
          </w:p>
        </w:tc>
      </w:tr>
      <w:tr w:rsidR="00DC4FFD">
        <w:trPr>
          <w:cantSplit/>
          <w:trHeight w:val="680"/>
        </w:trPr>
        <w:tc>
          <w:tcPr>
            <w:tcW w:w="3227" w:type="dxa"/>
            <w:vAlign w:val="center"/>
          </w:tcPr>
          <w:p w:rsidR="00DC4FFD" w:rsidRDefault="00DC4FFD" w:rsidP="007064A6">
            <w:pPr>
              <w:pStyle w:val="Tabletext"/>
            </w:pPr>
            <w:r>
              <w:lastRenderedPageBreak/>
              <w:t>Export volume—grain and related products rate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$0.11</w:t>
            </w:r>
          </w:p>
        </w:tc>
        <w:tc>
          <w:tcPr>
            <w:tcW w:w="1559" w:type="dxa"/>
            <w:vAlign w:val="center"/>
          </w:tcPr>
          <w:p w:rsidR="00DC4FFD" w:rsidRDefault="00DC4FFD" w:rsidP="007064A6">
            <w:pPr>
              <w:pStyle w:val="Tabletext"/>
            </w:pPr>
            <w:r>
              <w:t>Per tonne</w:t>
            </w:r>
            <w:r>
              <w:br/>
            </w:r>
            <w:r>
              <w:rPr>
                <w:rFonts w:cs="Arial"/>
                <w:sz w:val="18"/>
                <w:szCs w:val="18"/>
              </w:rPr>
              <w:t>(or part thereof)</w:t>
            </w:r>
          </w:p>
        </w:tc>
        <w:tc>
          <w:tcPr>
            <w:tcW w:w="1418" w:type="dxa"/>
            <w:vAlign w:val="center"/>
          </w:tcPr>
          <w:p w:rsidR="00DC4FFD" w:rsidRDefault="00DC4FFD" w:rsidP="007064A6">
            <w:pPr>
              <w:pStyle w:val="Tabletext"/>
            </w:pPr>
            <w:r>
              <w:t>37 781 366</w:t>
            </w:r>
          </w:p>
        </w:tc>
        <w:tc>
          <w:tcPr>
            <w:tcW w:w="1559" w:type="dxa"/>
            <w:vAlign w:val="center"/>
          </w:tcPr>
          <w:p w:rsidR="00DC4FFD" w:rsidRDefault="00DC4FFD" w:rsidP="007064A6">
            <w:pPr>
              <w:pStyle w:val="Tabletext"/>
            </w:pPr>
            <w:r>
              <w:t>$4 155 950</w:t>
            </w:r>
          </w:p>
        </w:tc>
      </w:tr>
      <w:tr w:rsidR="00DC4FFD">
        <w:trPr>
          <w:cantSplit/>
          <w:trHeight w:val="680"/>
        </w:trPr>
        <w:tc>
          <w:tcPr>
            <w:tcW w:w="3227" w:type="dxa"/>
            <w:vAlign w:val="center"/>
          </w:tcPr>
          <w:p w:rsidR="00DC4FFD" w:rsidRDefault="00DC4FFD" w:rsidP="007064A6">
            <w:pPr>
              <w:pStyle w:val="Tabletext"/>
            </w:pPr>
            <w:r>
              <w:t>Phytosanitary certificate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39 516</w:t>
            </w:r>
          </w:p>
        </w:tc>
        <w:tc>
          <w:tcPr>
            <w:tcW w:w="1559" w:type="dxa"/>
            <w:vAlign w:val="center"/>
          </w:tcPr>
          <w:p w:rsidR="00DC4FFD" w:rsidRDefault="00DC4FFD" w:rsidP="007064A6">
            <w:pPr>
              <w:pStyle w:val="Tabletext"/>
            </w:pPr>
            <w:r>
              <w:t>$1 422 576</w:t>
            </w:r>
          </w:p>
        </w:tc>
      </w:tr>
      <w:tr w:rsidR="00DC4FFD">
        <w:trPr>
          <w:cantSplit/>
          <w:trHeight w:val="680"/>
        </w:trPr>
        <w:tc>
          <w:tcPr>
            <w:tcW w:w="3227" w:type="dxa"/>
            <w:vAlign w:val="center"/>
          </w:tcPr>
          <w:p w:rsidR="00DC4FFD" w:rsidRDefault="00DC4FFD" w:rsidP="007064A6">
            <w:pPr>
              <w:pStyle w:val="Tabletext"/>
            </w:pPr>
            <w:r>
              <w:t>Establishment application (one-off)</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$600</w:t>
            </w:r>
          </w:p>
        </w:tc>
        <w:tc>
          <w:tcPr>
            <w:tcW w:w="1559" w:type="dxa"/>
            <w:vAlign w:val="center"/>
          </w:tcPr>
          <w:p w:rsidR="00DC4FFD" w:rsidRDefault="00DC4FFD" w:rsidP="007064A6">
            <w:pPr>
              <w:pStyle w:val="Tabletext"/>
            </w:pPr>
            <w:r>
              <w:t>Per initial establishment application</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rsidRPr="007064A6">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Audit and Inspection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Audit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31 439</w:t>
            </w:r>
          </w:p>
        </w:tc>
        <w:tc>
          <w:tcPr>
            <w:tcW w:w="1559" w:type="dxa"/>
            <w:vAlign w:val="center"/>
          </w:tcPr>
          <w:p w:rsidR="00DC4FFD" w:rsidRDefault="00DC4FFD" w:rsidP="007064A6">
            <w:pPr>
              <w:pStyle w:val="Tabletext"/>
            </w:pPr>
            <w:r>
              <w:t>$1 131 804</w:t>
            </w:r>
          </w:p>
        </w:tc>
      </w:tr>
      <w:tr w:rsidR="00DC4FFD">
        <w:trPr>
          <w:trHeight w:val="680"/>
        </w:trPr>
        <w:tc>
          <w:tcPr>
            <w:tcW w:w="3227" w:type="dxa"/>
            <w:vAlign w:val="center"/>
          </w:tcPr>
          <w:p w:rsidR="00DC4FFD" w:rsidRDefault="00DC4FFD" w:rsidP="007064A6">
            <w:pPr>
              <w:pStyle w:val="Tabletext"/>
            </w:pPr>
            <w:r>
              <w:t>Core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25 311</w:t>
            </w:r>
          </w:p>
        </w:tc>
        <w:tc>
          <w:tcPr>
            <w:tcW w:w="1559" w:type="dxa"/>
            <w:vAlign w:val="center"/>
          </w:tcPr>
          <w:p w:rsidR="00DC4FFD" w:rsidRDefault="00DC4FFD" w:rsidP="007064A6">
            <w:pPr>
              <w:pStyle w:val="Tabletext"/>
            </w:pPr>
            <w:r>
              <w:t>$911 196</w:t>
            </w:r>
          </w:p>
        </w:tc>
      </w:tr>
      <w:tr w:rsidR="00DC4FFD">
        <w:trPr>
          <w:trHeight w:val="680"/>
        </w:trPr>
        <w:tc>
          <w:tcPr>
            <w:tcW w:w="3227" w:type="dxa"/>
            <w:vAlign w:val="center"/>
          </w:tcPr>
          <w:p w:rsidR="00DC4FFD" w:rsidRDefault="00DC4FFD" w:rsidP="007064A6">
            <w:pPr>
              <w:pStyle w:val="Tabletext"/>
            </w:pPr>
            <w:r>
              <w:t>Additional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$75</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Documentation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Document</w:t>
            </w:r>
            <w:r>
              <w:noBreakHyphen/>
              <w:t>Electronic</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$12</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84 687</w:t>
            </w:r>
          </w:p>
        </w:tc>
        <w:tc>
          <w:tcPr>
            <w:tcW w:w="1559" w:type="dxa"/>
            <w:vAlign w:val="center"/>
          </w:tcPr>
          <w:p w:rsidR="00DC4FFD" w:rsidRDefault="00DC4FFD" w:rsidP="007064A6">
            <w:pPr>
              <w:pStyle w:val="Tabletext"/>
            </w:pPr>
            <w:r>
              <w:t>$1 016 244</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Document</w:t>
            </w:r>
            <w:r>
              <w:noBreakHyphen/>
              <w:t>Manual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$100</w:t>
            </w:r>
          </w:p>
        </w:tc>
        <w:tc>
          <w:tcPr>
            <w:tcW w:w="1559" w:type="dxa"/>
            <w:tcBorders>
              <w:bottom w:val="single" w:sz="4" w:space="0" w:color="000000"/>
            </w:tcBorders>
            <w:vAlign w:val="center"/>
          </w:tcPr>
          <w:p w:rsidR="00DC4FFD" w:rsidRDefault="00DC4FFD" w:rsidP="007064A6">
            <w:pPr>
              <w:pStyle w:val="Tabletext"/>
            </w:pPr>
            <w:r>
              <w:t>Per document</w:t>
            </w:r>
          </w:p>
        </w:tc>
        <w:tc>
          <w:tcPr>
            <w:tcW w:w="1418" w:type="dxa"/>
            <w:tcBorders>
              <w:bottom w:val="single" w:sz="4" w:space="0" w:color="000000"/>
            </w:tcBorders>
            <w:vAlign w:val="center"/>
          </w:tcPr>
          <w:p w:rsidR="00DC4FFD" w:rsidRDefault="00DC4FFD" w:rsidP="007064A6">
            <w:pPr>
              <w:pStyle w:val="Tabletext"/>
            </w:pPr>
            <w:r>
              <w:t>-</w:t>
            </w:r>
          </w:p>
        </w:tc>
        <w:tc>
          <w:tcPr>
            <w:tcW w:w="1559" w:type="dxa"/>
            <w:tcBorders>
              <w:bottom w:val="single" w:sz="4" w:space="0" w:color="000000"/>
            </w:tcBorders>
            <w:vAlign w:val="center"/>
          </w:tcPr>
          <w:p w:rsidR="00DC4FFD" w:rsidRDefault="00DC4FFD" w:rsidP="007064A6">
            <w:pPr>
              <w:pStyle w:val="Tabletext"/>
            </w:pPr>
            <w:r>
              <w:t>-</w:t>
            </w:r>
          </w:p>
        </w:tc>
      </w:tr>
      <w:tr w:rsidR="00DC4FFD">
        <w:trPr>
          <w:trHeight w:val="680"/>
        </w:trPr>
        <w:tc>
          <w:tcPr>
            <w:tcW w:w="3227" w:type="dxa"/>
            <w:vAlign w:val="center"/>
          </w:tcPr>
          <w:p w:rsidR="00DC4FFD" w:rsidRDefault="00DC4FFD" w:rsidP="007064A6">
            <w:pPr>
              <w:pStyle w:val="Tabletext"/>
            </w:pPr>
            <w:r>
              <w:t>Replacement certificate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$500</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Approved Authorised Officer (AAO)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lastRenderedPageBreak/>
              <w:t>AAO Application Fee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$250</w:t>
            </w:r>
          </w:p>
        </w:tc>
        <w:tc>
          <w:tcPr>
            <w:tcW w:w="1559" w:type="dxa"/>
            <w:vAlign w:val="center"/>
          </w:tcPr>
          <w:p w:rsidR="00DC4FFD" w:rsidRDefault="00DC4FFD" w:rsidP="007064A6">
            <w:pPr>
              <w:pStyle w:val="Tabletext"/>
            </w:pPr>
            <w:r>
              <w:t>per AO application</w:t>
            </w:r>
          </w:p>
        </w:tc>
        <w:tc>
          <w:tcPr>
            <w:tcW w:w="1418" w:type="dxa"/>
            <w:vAlign w:val="center"/>
          </w:tcPr>
          <w:p w:rsidR="00DC4FFD" w:rsidRDefault="00DC4FFD" w:rsidP="007064A6">
            <w:pPr>
              <w:pStyle w:val="Tabletext"/>
            </w:pPr>
            <w:r>
              <w:t>273</w:t>
            </w:r>
          </w:p>
        </w:tc>
        <w:tc>
          <w:tcPr>
            <w:tcW w:w="1559" w:type="dxa"/>
            <w:vAlign w:val="center"/>
          </w:tcPr>
          <w:p w:rsidR="00DC4FFD" w:rsidRDefault="00DC4FFD" w:rsidP="007064A6">
            <w:pPr>
              <w:pStyle w:val="Tabletext"/>
            </w:pPr>
            <w:r>
              <w:t>$ 68 250</w:t>
            </w:r>
          </w:p>
        </w:tc>
      </w:tr>
      <w:tr w:rsidR="00DC4FFD">
        <w:trPr>
          <w:trHeight w:val="680"/>
        </w:trPr>
        <w:tc>
          <w:tcPr>
            <w:tcW w:w="3227" w:type="dxa"/>
            <w:vAlign w:val="center"/>
          </w:tcPr>
          <w:p w:rsidR="00DC4FFD" w:rsidRDefault="00DC4FFD" w:rsidP="007064A6">
            <w:pPr>
              <w:pStyle w:val="Tabletext"/>
            </w:pPr>
            <w:r>
              <w:t>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$1 750</w:t>
            </w:r>
          </w:p>
        </w:tc>
        <w:tc>
          <w:tcPr>
            <w:tcW w:w="1559" w:type="dxa"/>
            <w:vAlign w:val="center"/>
          </w:tcPr>
          <w:p w:rsidR="00DC4FFD" w:rsidRDefault="00DC4FFD" w:rsidP="007064A6">
            <w:pPr>
              <w:pStyle w:val="Tabletext"/>
            </w:pPr>
            <w:r>
              <w:t>per person delivered training</w:t>
            </w:r>
          </w:p>
        </w:tc>
        <w:tc>
          <w:tcPr>
            <w:tcW w:w="1418" w:type="dxa"/>
            <w:vAlign w:val="center"/>
          </w:tcPr>
          <w:p w:rsidR="00DC4FFD" w:rsidRDefault="00DC4FFD" w:rsidP="007064A6">
            <w:pPr>
              <w:pStyle w:val="Tabletext"/>
            </w:pPr>
            <w:r>
              <w:t>139</w:t>
            </w:r>
          </w:p>
        </w:tc>
        <w:tc>
          <w:tcPr>
            <w:tcW w:w="1559" w:type="dxa"/>
            <w:vAlign w:val="center"/>
          </w:tcPr>
          <w:p w:rsidR="00DC4FFD" w:rsidRDefault="00DC4FFD" w:rsidP="007064A6">
            <w:pPr>
              <w:pStyle w:val="Tabletext"/>
            </w:pPr>
            <w:r>
              <w:t>$243 250</w:t>
            </w:r>
          </w:p>
        </w:tc>
      </w:tr>
      <w:tr w:rsidR="00DC4FFD">
        <w:trPr>
          <w:trHeight w:val="680"/>
        </w:trPr>
        <w:tc>
          <w:tcPr>
            <w:tcW w:w="3227" w:type="dxa"/>
            <w:vAlign w:val="center"/>
          </w:tcPr>
          <w:p w:rsidR="00DC4FFD" w:rsidRDefault="00DC4FFD" w:rsidP="007064A6">
            <w:pPr>
              <w:pStyle w:val="Tabletext"/>
            </w:pPr>
            <w:r>
              <w:t>Additional 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$2 000</w:t>
            </w:r>
          </w:p>
        </w:tc>
        <w:tc>
          <w:tcPr>
            <w:tcW w:w="1559" w:type="dxa"/>
            <w:vAlign w:val="center"/>
          </w:tcPr>
          <w:p w:rsidR="00DC4FFD" w:rsidRDefault="00DC4FFD" w:rsidP="007064A6">
            <w:pPr>
              <w:pStyle w:val="Tabletext"/>
            </w:pPr>
            <w:r>
              <w:t>per person delivered additional training</w:t>
            </w:r>
          </w:p>
        </w:tc>
        <w:tc>
          <w:tcPr>
            <w:tcW w:w="1418" w:type="dxa"/>
            <w:vAlign w:val="center"/>
          </w:tcPr>
          <w:p w:rsidR="00DC4FFD" w:rsidRDefault="00DC4FFD" w:rsidP="007064A6">
            <w:pPr>
              <w:pStyle w:val="Tabletext"/>
            </w:pPr>
            <w:r>
              <w:t>28</w:t>
            </w:r>
          </w:p>
        </w:tc>
        <w:tc>
          <w:tcPr>
            <w:tcW w:w="1559" w:type="dxa"/>
            <w:vAlign w:val="center"/>
          </w:tcPr>
          <w:p w:rsidR="00DC4FFD" w:rsidRDefault="00DC4FFD" w:rsidP="007064A6">
            <w:pPr>
              <w:pStyle w:val="Tabletext"/>
            </w:pPr>
            <w:r>
              <w:t>$56 000</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AAO Approval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$250</w:t>
            </w:r>
          </w:p>
        </w:tc>
        <w:tc>
          <w:tcPr>
            <w:tcW w:w="1559" w:type="dxa"/>
            <w:tcBorders>
              <w:bottom w:val="single" w:sz="4" w:space="0" w:color="000000"/>
            </w:tcBorders>
            <w:vAlign w:val="center"/>
          </w:tcPr>
          <w:p w:rsidR="00DC4FFD" w:rsidRDefault="00DC4FFD" w:rsidP="007064A6">
            <w:pPr>
              <w:pStyle w:val="Tabletext"/>
            </w:pPr>
            <w:r>
              <w:t>per AO approval</w:t>
            </w:r>
          </w:p>
        </w:tc>
        <w:tc>
          <w:tcPr>
            <w:tcW w:w="1418" w:type="dxa"/>
            <w:tcBorders>
              <w:bottom w:val="single" w:sz="4" w:space="0" w:color="000000"/>
            </w:tcBorders>
            <w:vAlign w:val="center"/>
          </w:tcPr>
          <w:p w:rsidR="00DC4FFD" w:rsidRDefault="00DC4FFD" w:rsidP="007064A6">
            <w:pPr>
              <w:pStyle w:val="Tabletext"/>
            </w:pPr>
            <w:r>
              <w:t>139</w:t>
            </w:r>
          </w:p>
        </w:tc>
        <w:tc>
          <w:tcPr>
            <w:tcW w:w="1559" w:type="dxa"/>
            <w:tcBorders>
              <w:bottom w:val="single" w:sz="4" w:space="0" w:color="000000"/>
            </w:tcBorders>
            <w:vAlign w:val="center"/>
          </w:tcPr>
          <w:p w:rsidR="00DC4FFD" w:rsidRDefault="00DC4FFD" w:rsidP="007064A6">
            <w:pPr>
              <w:pStyle w:val="Tabletext"/>
            </w:pPr>
            <w:r>
              <w:t>$34 750</w:t>
            </w:r>
          </w:p>
        </w:tc>
      </w:tr>
    </w:tbl>
    <w:p w:rsidR="00DC4FFD" w:rsidRDefault="00DC4FFD" w:rsidP="006864E5">
      <w:pPr>
        <w:pStyle w:val="Caption"/>
        <w:keepNext/>
        <w:keepLines/>
      </w:pPr>
      <w:r>
        <w:t>Table 11: Fees, levies and volumes—grain export cost recovery arrangement (2018–19)</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7064A6" w:rsidRDefault="00DC4FFD" w:rsidP="007064A6">
            <w:pPr>
              <w:pStyle w:val="Tabletext"/>
              <w:rPr>
                <w:rStyle w:val="Strong"/>
              </w:rPr>
            </w:pPr>
            <w:r w:rsidRPr="007064A6">
              <w:rPr>
                <w:rStyle w:val="Strong"/>
              </w:rPr>
              <w:t>Charge title</w:t>
            </w:r>
          </w:p>
        </w:tc>
        <w:tc>
          <w:tcPr>
            <w:tcW w:w="992" w:type="dxa"/>
            <w:shd w:val="clear" w:color="auto" w:fill="C6D9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C6D9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C6D9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C6D9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Plant exporter levies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cantSplit/>
          <w:trHeight w:val="680"/>
        </w:trPr>
        <w:tc>
          <w:tcPr>
            <w:tcW w:w="3227" w:type="dxa"/>
            <w:vAlign w:val="center"/>
          </w:tcPr>
          <w:p w:rsidR="00DC4FFD" w:rsidRDefault="00DC4FFD" w:rsidP="007064A6">
            <w:pPr>
              <w:pStyle w:val="Tabletext"/>
            </w:pPr>
            <w:r>
              <w:t>Establishment registration—simple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495</w:t>
            </w:r>
          </w:p>
        </w:tc>
        <w:tc>
          <w:tcPr>
            <w:tcW w:w="1559" w:type="dxa"/>
            <w:vAlign w:val="center"/>
          </w:tcPr>
          <w:p w:rsidR="00DC4FFD" w:rsidRDefault="00DC4FFD" w:rsidP="007064A6">
            <w:pPr>
              <w:pStyle w:val="Tabletext"/>
            </w:pPr>
            <w:r>
              <w:t>$1 485 000</w:t>
            </w:r>
          </w:p>
        </w:tc>
      </w:tr>
      <w:tr w:rsidR="00DC4FFD">
        <w:trPr>
          <w:cantSplit/>
          <w:trHeight w:val="680"/>
        </w:trPr>
        <w:tc>
          <w:tcPr>
            <w:tcW w:w="3227" w:type="dxa"/>
            <w:vAlign w:val="center"/>
          </w:tcPr>
          <w:p w:rsidR="00DC4FFD" w:rsidRDefault="00DC4FFD" w:rsidP="007064A6">
            <w:pPr>
              <w:pStyle w:val="Tabletext"/>
            </w:pPr>
            <w:r>
              <w:t>Establishment registration—complex</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$6 000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37</w:t>
            </w:r>
          </w:p>
        </w:tc>
        <w:tc>
          <w:tcPr>
            <w:tcW w:w="1559" w:type="dxa"/>
            <w:vAlign w:val="center"/>
          </w:tcPr>
          <w:p w:rsidR="00DC4FFD" w:rsidRDefault="00DC4FFD" w:rsidP="007064A6">
            <w:pPr>
              <w:pStyle w:val="Tabletext"/>
            </w:pPr>
            <w:r>
              <w:t>$222 000</w:t>
            </w:r>
          </w:p>
        </w:tc>
      </w:tr>
      <w:tr w:rsidR="00DC4FFD">
        <w:trPr>
          <w:cantSplit/>
          <w:trHeight w:val="680"/>
        </w:trPr>
        <w:tc>
          <w:tcPr>
            <w:tcW w:w="3227" w:type="dxa"/>
            <w:vAlign w:val="center"/>
          </w:tcPr>
          <w:p w:rsidR="00DC4FFD" w:rsidRDefault="00DC4FFD" w:rsidP="007064A6">
            <w:pPr>
              <w:pStyle w:val="Tabletext"/>
            </w:pPr>
            <w:r>
              <w:t>Authorised officer approval</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$ 750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980</w:t>
            </w:r>
          </w:p>
        </w:tc>
        <w:tc>
          <w:tcPr>
            <w:tcW w:w="1559" w:type="dxa"/>
            <w:vAlign w:val="center"/>
          </w:tcPr>
          <w:p w:rsidR="00DC4FFD" w:rsidRDefault="00DC4FFD" w:rsidP="007064A6">
            <w:pPr>
              <w:pStyle w:val="Tabletext"/>
            </w:pPr>
            <w:r>
              <w:t>$735 000</w:t>
            </w:r>
          </w:p>
        </w:tc>
      </w:tr>
      <w:tr w:rsidR="00DC4FFD">
        <w:trPr>
          <w:cantSplit/>
          <w:trHeight w:val="680"/>
        </w:trPr>
        <w:tc>
          <w:tcPr>
            <w:tcW w:w="3227" w:type="dxa"/>
            <w:vAlign w:val="center"/>
          </w:tcPr>
          <w:p w:rsidR="00DC4FFD" w:rsidRDefault="00DC4FFD" w:rsidP="007064A6">
            <w:pPr>
              <w:pStyle w:val="Tabletext"/>
            </w:pPr>
            <w:r>
              <w:t>Organic certifying organisation</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$7 500</w:t>
            </w:r>
          </w:p>
        </w:tc>
        <w:tc>
          <w:tcPr>
            <w:tcW w:w="1559" w:type="dxa"/>
            <w:vAlign w:val="center"/>
          </w:tcPr>
          <w:p w:rsidR="00DC4FFD" w:rsidRDefault="00DC4FFD" w:rsidP="007064A6">
            <w:pPr>
              <w:pStyle w:val="Tabletext"/>
            </w:pPr>
            <w:r>
              <w:t>Annual</w:t>
            </w:r>
          </w:p>
        </w:tc>
        <w:tc>
          <w:tcPr>
            <w:tcW w:w="1418" w:type="dxa"/>
            <w:vAlign w:val="center"/>
          </w:tcPr>
          <w:p w:rsidR="00DC4FFD" w:rsidRDefault="00DC4FFD" w:rsidP="007064A6">
            <w:pPr>
              <w:pStyle w:val="Tabletext"/>
            </w:pPr>
            <w:r>
              <w:t>1</w:t>
            </w:r>
          </w:p>
        </w:tc>
        <w:tc>
          <w:tcPr>
            <w:tcW w:w="1559" w:type="dxa"/>
            <w:vAlign w:val="center"/>
          </w:tcPr>
          <w:p w:rsidR="00DC4FFD" w:rsidRDefault="00DC4FFD" w:rsidP="007064A6">
            <w:pPr>
              <w:pStyle w:val="Tabletext"/>
            </w:pPr>
            <w:r>
              <w:t>$7 500</w:t>
            </w:r>
          </w:p>
        </w:tc>
      </w:tr>
      <w:tr w:rsidR="00DC4FFD">
        <w:trPr>
          <w:cantSplit/>
          <w:trHeight w:val="680"/>
        </w:trPr>
        <w:tc>
          <w:tcPr>
            <w:tcW w:w="3227" w:type="dxa"/>
            <w:vAlign w:val="center"/>
          </w:tcPr>
          <w:p w:rsidR="00DC4FFD" w:rsidRDefault="00DC4FFD" w:rsidP="007064A6">
            <w:pPr>
              <w:pStyle w:val="Tabletext"/>
            </w:pPr>
            <w:r>
              <w:t>Export volume—grain and related products rate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$0.11</w:t>
            </w:r>
          </w:p>
        </w:tc>
        <w:tc>
          <w:tcPr>
            <w:tcW w:w="1559" w:type="dxa"/>
            <w:vAlign w:val="center"/>
          </w:tcPr>
          <w:p w:rsidR="00DC4FFD" w:rsidRDefault="00DC4FFD" w:rsidP="007064A6">
            <w:pPr>
              <w:pStyle w:val="Tabletext"/>
            </w:pPr>
            <w:r>
              <w:t>Per tonne</w:t>
            </w:r>
            <w:r>
              <w:br/>
            </w:r>
            <w:r>
              <w:rPr>
                <w:rFonts w:cs="Arial"/>
                <w:sz w:val="18"/>
                <w:szCs w:val="18"/>
              </w:rPr>
              <w:t>(or part thereof)</w:t>
            </w:r>
          </w:p>
        </w:tc>
        <w:tc>
          <w:tcPr>
            <w:tcW w:w="1418" w:type="dxa"/>
            <w:vAlign w:val="center"/>
          </w:tcPr>
          <w:p w:rsidR="00DC4FFD" w:rsidRDefault="00DC4FFD" w:rsidP="007064A6">
            <w:pPr>
              <w:pStyle w:val="Tabletext"/>
            </w:pPr>
            <w:r>
              <w:t>37 781 366</w:t>
            </w:r>
          </w:p>
        </w:tc>
        <w:tc>
          <w:tcPr>
            <w:tcW w:w="1559" w:type="dxa"/>
            <w:vAlign w:val="center"/>
          </w:tcPr>
          <w:p w:rsidR="00DC4FFD" w:rsidRDefault="00DC4FFD" w:rsidP="007064A6">
            <w:pPr>
              <w:pStyle w:val="Tabletext"/>
            </w:pPr>
            <w:r>
              <w:t>$4 155 950</w:t>
            </w:r>
          </w:p>
        </w:tc>
      </w:tr>
      <w:tr w:rsidR="00DC4FFD">
        <w:trPr>
          <w:cantSplit/>
          <w:trHeight w:val="680"/>
        </w:trPr>
        <w:tc>
          <w:tcPr>
            <w:tcW w:w="3227" w:type="dxa"/>
            <w:vAlign w:val="center"/>
          </w:tcPr>
          <w:p w:rsidR="00DC4FFD" w:rsidRDefault="00DC4FFD" w:rsidP="007064A6">
            <w:pPr>
              <w:pStyle w:val="Tabletext"/>
            </w:pPr>
            <w:r>
              <w:t>Phytosanitary certificate</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39 516</w:t>
            </w:r>
          </w:p>
        </w:tc>
        <w:tc>
          <w:tcPr>
            <w:tcW w:w="1559" w:type="dxa"/>
            <w:vAlign w:val="center"/>
          </w:tcPr>
          <w:p w:rsidR="00DC4FFD" w:rsidRDefault="00DC4FFD" w:rsidP="007064A6">
            <w:pPr>
              <w:pStyle w:val="Tabletext"/>
            </w:pPr>
            <w:r>
              <w:t>$1 422 576</w:t>
            </w:r>
          </w:p>
        </w:tc>
      </w:tr>
      <w:tr w:rsidR="00DC4FFD">
        <w:trPr>
          <w:cantSplit/>
          <w:trHeight w:val="680"/>
        </w:trPr>
        <w:tc>
          <w:tcPr>
            <w:tcW w:w="3227" w:type="dxa"/>
            <w:vAlign w:val="center"/>
          </w:tcPr>
          <w:p w:rsidR="00DC4FFD" w:rsidRDefault="00DC4FFD" w:rsidP="007064A6">
            <w:pPr>
              <w:pStyle w:val="Tabletext"/>
            </w:pPr>
            <w:r>
              <w:lastRenderedPageBreak/>
              <w:t>Establishment application (one-off)</w:t>
            </w:r>
          </w:p>
        </w:tc>
        <w:tc>
          <w:tcPr>
            <w:tcW w:w="992" w:type="dxa"/>
            <w:vAlign w:val="center"/>
          </w:tcPr>
          <w:p w:rsidR="00DC4FFD" w:rsidRDefault="00DC4FFD" w:rsidP="007064A6">
            <w:pPr>
              <w:pStyle w:val="Tabletext"/>
            </w:pPr>
            <w:r>
              <w:t>Levy</w:t>
            </w:r>
          </w:p>
        </w:tc>
        <w:tc>
          <w:tcPr>
            <w:tcW w:w="1134" w:type="dxa"/>
            <w:vAlign w:val="center"/>
          </w:tcPr>
          <w:p w:rsidR="00DC4FFD" w:rsidRDefault="00DC4FFD" w:rsidP="007064A6">
            <w:pPr>
              <w:pStyle w:val="Tabletext"/>
            </w:pPr>
            <w:r>
              <w:t>$600</w:t>
            </w:r>
          </w:p>
        </w:tc>
        <w:tc>
          <w:tcPr>
            <w:tcW w:w="1559" w:type="dxa"/>
            <w:vAlign w:val="center"/>
          </w:tcPr>
          <w:p w:rsidR="00DC4FFD" w:rsidRDefault="00DC4FFD" w:rsidP="007064A6">
            <w:pPr>
              <w:pStyle w:val="Tabletext"/>
            </w:pPr>
            <w:r>
              <w:t>Per initial establishment application</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Audit and Inspection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Audit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31 439</w:t>
            </w:r>
          </w:p>
        </w:tc>
        <w:tc>
          <w:tcPr>
            <w:tcW w:w="1559" w:type="dxa"/>
            <w:vAlign w:val="center"/>
          </w:tcPr>
          <w:p w:rsidR="00DC4FFD" w:rsidRDefault="00DC4FFD" w:rsidP="007064A6">
            <w:pPr>
              <w:pStyle w:val="Tabletext"/>
            </w:pPr>
            <w:r>
              <w:t>$1 131 804</w:t>
            </w:r>
          </w:p>
        </w:tc>
      </w:tr>
      <w:tr w:rsidR="00DC4FFD">
        <w:trPr>
          <w:trHeight w:val="680"/>
        </w:trPr>
        <w:tc>
          <w:tcPr>
            <w:tcW w:w="3227" w:type="dxa"/>
            <w:vAlign w:val="center"/>
          </w:tcPr>
          <w:p w:rsidR="00DC4FFD" w:rsidRDefault="00DC4FFD" w:rsidP="007064A6">
            <w:pPr>
              <w:pStyle w:val="Tabletext"/>
            </w:pPr>
            <w:r>
              <w:t>Core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$36</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25 311</w:t>
            </w:r>
          </w:p>
        </w:tc>
        <w:tc>
          <w:tcPr>
            <w:tcW w:w="1559" w:type="dxa"/>
            <w:vAlign w:val="center"/>
          </w:tcPr>
          <w:p w:rsidR="00DC4FFD" w:rsidRDefault="00DC4FFD" w:rsidP="007064A6">
            <w:pPr>
              <w:pStyle w:val="Tabletext"/>
            </w:pPr>
            <w:r>
              <w:t>$911 196</w:t>
            </w:r>
          </w:p>
        </w:tc>
      </w:tr>
      <w:tr w:rsidR="00DC4FFD">
        <w:trPr>
          <w:trHeight w:val="680"/>
        </w:trPr>
        <w:tc>
          <w:tcPr>
            <w:tcW w:w="3227" w:type="dxa"/>
            <w:vAlign w:val="center"/>
          </w:tcPr>
          <w:p w:rsidR="00DC4FFD" w:rsidRDefault="00DC4FFD" w:rsidP="007064A6">
            <w:pPr>
              <w:pStyle w:val="Tabletext"/>
            </w:pPr>
            <w:r>
              <w:t>Additional inspection</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$75</w:t>
            </w:r>
          </w:p>
        </w:tc>
        <w:tc>
          <w:tcPr>
            <w:tcW w:w="1559" w:type="dxa"/>
            <w:vAlign w:val="center"/>
          </w:tcPr>
          <w:p w:rsidR="00DC4FFD" w:rsidRDefault="00DC4FFD" w:rsidP="007064A6">
            <w:pPr>
              <w:pStyle w:val="Tabletext"/>
            </w:pPr>
            <w:r>
              <w:t>Per 15 minutes</w:t>
            </w:r>
            <w:r>
              <w:br/>
            </w:r>
            <w:r>
              <w:rPr>
                <w:rFonts w:cs="Arial"/>
                <w:sz w:val="18"/>
                <w:szCs w:val="18"/>
              </w:rPr>
              <w:t>(or part thereof)</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rsidRPr="007064A6">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Documentation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Document</w:t>
            </w:r>
            <w:r>
              <w:noBreakHyphen/>
              <w:t>Electronic</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$12</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84 687</w:t>
            </w:r>
          </w:p>
        </w:tc>
        <w:tc>
          <w:tcPr>
            <w:tcW w:w="1559" w:type="dxa"/>
            <w:vAlign w:val="center"/>
          </w:tcPr>
          <w:p w:rsidR="00DC4FFD" w:rsidRDefault="00DC4FFD" w:rsidP="007064A6">
            <w:pPr>
              <w:pStyle w:val="Tabletext"/>
            </w:pPr>
            <w:r>
              <w:t>$1 016 244</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Document</w:t>
            </w:r>
            <w:r>
              <w:noBreakHyphen/>
              <w:t>Manual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$100</w:t>
            </w:r>
          </w:p>
        </w:tc>
        <w:tc>
          <w:tcPr>
            <w:tcW w:w="1559" w:type="dxa"/>
            <w:tcBorders>
              <w:bottom w:val="single" w:sz="4" w:space="0" w:color="000000"/>
            </w:tcBorders>
            <w:vAlign w:val="center"/>
          </w:tcPr>
          <w:p w:rsidR="00DC4FFD" w:rsidRDefault="00DC4FFD" w:rsidP="007064A6">
            <w:pPr>
              <w:pStyle w:val="Tabletext"/>
            </w:pPr>
            <w:r>
              <w:t>Per document</w:t>
            </w:r>
          </w:p>
        </w:tc>
        <w:tc>
          <w:tcPr>
            <w:tcW w:w="1418" w:type="dxa"/>
            <w:tcBorders>
              <w:bottom w:val="single" w:sz="4" w:space="0" w:color="000000"/>
            </w:tcBorders>
            <w:vAlign w:val="center"/>
          </w:tcPr>
          <w:p w:rsidR="00DC4FFD" w:rsidRDefault="00DC4FFD" w:rsidP="007064A6">
            <w:pPr>
              <w:pStyle w:val="Tabletext"/>
            </w:pPr>
            <w:r>
              <w:t>-</w:t>
            </w:r>
          </w:p>
        </w:tc>
        <w:tc>
          <w:tcPr>
            <w:tcW w:w="1559" w:type="dxa"/>
            <w:tcBorders>
              <w:bottom w:val="single" w:sz="4" w:space="0" w:color="000000"/>
            </w:tcBorders>
            <w:vAlign w:val="center"/>
          </w:tcPr>
          <w:p w:rsidR="00DC4FFD" w:rsidRDefault="00DC4FFD" w:rsidP="007064A6">
            <w:pPr>
              <w:pStyle w:val="Tabletext"/>
            </w:pPr>
            <w:r>
              <w:t>-</w:t>
            </w:r>
          </w:p>
        </w:tc>
      </w:tr>
      <w:tr w:rsidR="00DC4FFD">
        <w:trPr>
          <w:trHeight w:val="680"/>
        </w:trPr>
        <w:tc>
          <w:tcPr>
            <w:tcW w:w="3227" w:type="dxa"/>
            <w:vAlign w:val="center"/>
          </w:tcPr>
          <w:p w:rsidR="00DC4FFD" w:rsidRDefault="00DC4FFD" w:rsidP="007064A6">
            <w:pPr>
              <w:pStyle w:val="Tabletext"/>
            </w:pPr>
            <w:r>
              <w:t>Replacement certificate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$500</w:t>
            </w:r>
          </w:p>
        </w:tc>
        <w:tc>
          <w:tcPr>
            <w:tcW w:w="1559" w:type="dxa"/>
            <w:vAlign w:val="center"/>
          </w:tcPr>
          <w:p w:rsidR="00DC4FFD" w:rsidRDefault="00DC4FFD" w:rsidP="007064A6">
            <w:pPr>
              <w:pStyle w:val="Tabletext"/>
            </w:pPr>
            <w:r>
              <w:t>Per document</w:t>
            </w:r>
          </w:p>
        </w:tc>
        <w:tc>
          <w:tcPr>
            <w:tcW w:w="1418" w:type="dxa"/>
            <w:vAlign w:val="center"/>
          </w:tcPr>
          <w:p w:rsidR="00DC4FFD" w:rsidRDefault="00DC4FFD" w:rsidP="007064A6">
            <w:pPr>
              <w:pStyle w:val="Tabletext"/>
            </w:pPr>
            <w:r>
              <w:t>-</w:t>
            </w:r>
          </w:p>
        </w:tc>
        <w:tc>
          <w:tcPr>
            <w:tcW w:w="1559" w:type="dxa"/>
            <w:vAlign w:val="center"/>
          </w:tcPr>
          <w:p w:rsidR="00DC4FFD" w:rsidRDefault="00DC4FFD" w:rsidP="007064A6">
            <w:pPr>
              <w:pStyle w:val="Tabletext"/>
            </w:pPr>
            <w:r>
              <w:t>-</w:t>
            </w:r>
          </w:p>
        </w:tc>
      </w:tr>
      <w:tr w:rsidR="00DC4FFD" w:rsidRPr="007064A6">
        <w:trPr>
          <w:trHeight w:val="680"/>
        </w:trPr>
        <w:tc>
          <w:tcPr>
            <w:tcW w:w="3227" w:type="dxa"/>
            <w:shd w:val="clear" w:color="auto" w:fill="DBE5F1"/>
            <w:vAlign w:val="center"/>
          </w:tcPr>
          <w:p w:rsidR="00DC4FFD" w:rsidRPr="007064A6" w:rsidRDefault="00DC4FFD" w:rsidP="007064A6">
            <w:pPr>
              <w:pStyle w:val="Tabletext"/>
              <w:rPr>
                <w:rStyle w:val="Strong"/>
              </w:rPr>
            </w:pPr>
            <w:r w:rsidRPr="007064A6">
              <w:rPr>
                <w:rStyle w:val="Strong"/>
              </w:rPr>
              <w:t>Approved Authorised Officer (AAO) fees</w:t>
            </w:r>
          </w:p>
        </w:tc>
        <w:tc>
          <w:tcPr>
            <w:tcW w:w="992" w:type="dxa"/>
            <w:shd w:val="clear" w:color="auto" w:fill="DBE5F1"/>
            <w:vAlign w:val="center"/>
          </w:tcPr>
          <w:p w:rsidR="00DC4FFD" w:rsidRPr="007064A6" w:rsidRDefault="00DC4FFD" w:rsidP="007064A6">
            <w:pPr>
              <w:pStyle w:val="Tabletext"/>
              <w:rPr>
                <w:rStyle w:val="Strong"/>
              </w:rPr>
            </w:pPr>
            <w:r w:rsidRPr="007064A6">
              <w:rPr>
                <w:rStyle w:val="Strong"/>
              </w:rPr>
              <w:t>Type</w:t>
            </w:r>
          </w:p>
        </w:tc>
        <w:tc>
          <w:tcPr>
            <w:tcW w:w="1134" w:type="dxa"/>
            <w:shd w:val="clear" w:color="auto" w:fill="DBE5F1"/>
            <w:vAlign w:val="center"/>
          </w:tcPr>
          <w:p w:rsidR="00DC4FFD" w:rsidRPr="007064A6" w:rsidRDefault="00DC4FFD" w:rsidP="007064A6">
            <w:pPr>
              <w:pStyle w:val="Tabletext"/>
              <w:rPr>
                <w:rStyle w:val="Strong"/>
              </w:rPr>
            </w:pPr>
            <w:r w:rsidRPr="007064A6">
              <w:rPr>
                <w:rStyle w:val="Strong"/>
              </w:rPr>
              <w:t>Rate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Unit</w:t>
            </w:r>
          </w:p>
        </w:tc>
        <w:tc>
          <w:tcPr>
            <w:tcW w:w="1418" w:type="dxa"/>
            <w:shd w:val="clear" w:color="auto" w:fill="DBE5F1"/>
            <w:vAlign w:val="center"/>
          </w:tcPr>
          <w:p w:rsidR="00DC4FFD" w:rsidRPr="007064A6" w:rsidRDefault="00DC4FFD" w:rsidP="007064A6">
            <w:pPr>
              <w:pStyle w:val="Tabletext"/>
              <w:rPr>
                <w:rStyle w:val="Strong"/>
              </w:rPr>
            </w:pPr>
            <w:r w:rsidRPr="007064A6">
              <w:rPr>
                <w:rStyle w:val="Strong"/>
              </w:rPr>
              <w:t>Estimated volume</w:t>
            </w:r>
          </w:p>
        </w:tc>
        <w:tc>
          <w:tcPr>
            <w:tcW w:w="1559" w:type="dxa"/>
            <w:shd w:val="clear" w:color="auto" w:fill="DBE5F1"/>
            <w:vAlign w:val="center"/>
          </w:tcPr>
          <w:p w:rsidR="00DC4FFD" w:rsidRPr="007064A6" w:rsidRDefault="00DC4FFD" w:rsidP="007064A6">
            <w:pPr>
              <w:pStyle w:val="Tabletext"/>
              <w:rPr>
                <w:rStyle w:val="Strong"/>
              </w:rPr>
            </w:pPr>
            <w:r w:rsidRPr="007064A6">
              <w:rPr>
                <w:rStyle w:val="Strong"/>
              </w:rPr>
              <w:t>Estimated total revenue</w:t>
            </w:r>
          </w:p>
        </w:tc>
      </w:tr>
      <w:tr w:rsidR="00DC4FFD">
        <w:trPr>
          <w:trHeight w:val="680"/>
        </w:trPr>
        <w:tc>
          <w:tcPr>
            <w:tcW w:w="3227" w:type="dxa"/>
            <w:vAlign w:val="center"/>
          </w:tcPr>
          <w:p w:rsidR="00DC4FFD" w:rsidRDefault="00DC4FFD" w:rsidP="007064A6">
            <w:pPr>
              <w:pStyle w:val="Tabletext"/>
            </w:pPr>
            <w:r>
              <w:t>AAO Application Fee</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$250</w:t>
            </w:r>
          </w:p>
        </w:tc>
        <w:tc>
          <w:tcPr>
            <w:tcW w:w="1559" w:type="dxa"/>
            <w:vAlign w:val="center"/>
          </w:tcPr>
          <w:p w:rsidR="00DC4FFD" w:rsidRDefault="00DC4FFD" w:rsidP="007064A6">
            <w:pPr>
              <w:pStyle w:val="Tabletext"/>
            </w:pPr>
            <w:r>
              <w:t>per AO application</w:t>
            </w:r>
          </w:p>
        </w:tc>
        <w:tc>
          <w:tcPr>
            <w:tcW w:w="1418" w:type="dxa"/>
            <w:vAlign w:val="center"/>
          </w:tcPr>
          <w:p w:rsidR="00DC4FFD" w:rsidRDefault="00DC4FFD" w:rsidP="007064A6">
            <w:pPr>
              <w:pStyle w:val="Tabletext"/>
            </w:pPr>
            <w:r>
              <w:t>273</w:t>
            </w:r>
          </w:p>
        </w:tc>
        <w:tc>
          <w:tcPr>
            <w:tcW w:w="1559" w:type="dxa"/>
            <w:vAlign w:val="center"/>
          </w:tcPr>
          <w:p w:rsidR="00DC4FFD" w:rsidRDefault="00DC4FFD" w:rsidP="007064A6">
            <w:pPr>
              <w:pStyle w:val="Tabletext"/>
            </w:pPr>
            <w:r>
              <w:t xml:space="preserve"> $68 250</w:t>
            </w:r>
          </w:p>
        </w:tc>
      </w:tr>
      <w:tr w:rsidR="00DC4FFD">
        <w:trPr>
          <w:trHeight w:val="680"/>
        </w:trPr>
        <w:tc>
          <w:tcPr>
            <w:tcW w:w="3227" w:type="dxa"/>
            <w:vAlign w:val="center"/>
          </w:tcPr>
          <w:p w:rsidR="00DC4FFD" w:rsidRDefault="00DC4FFD" w:rsidP="007064A6">
            <w:pPr>
              <w:pStyle w:val="Tabletext"/>
            </w:pPr>
            <w:r>
              <w:t>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$1 750</w:t>
            </w:r>
          </w:p>
        </w:tc>
        <w:tc>
          <w:tcPr>
            <w:tcW w:w="1559" w:type="dxa"/>
            <w:vAlign w:val="center"/>
          </w:tcPr>
          <w:p w:rsidR="00DC4FFD" w:rsidRDefault="00DC4FFD" w:rsidP="007064A6">
            <w:pPr>
              <w:pStyle w:val="Tabletext"/>
            </w:pPr>
            <w:r>
              <w:t>per person delivered training</w:t>
            </w:r>
          </w:p>
        </w:tc>
        <w:tc>
          <w:tcPr>
            <w:tcW w:w="1418" w:type="dxa"/>
            <w:vAlign w:val="center"/>
          </w:tcPr>
          <w:p w:rsidR="00DC4FFD" w:rsidRDefault="00DC4FFD" w:rsidP="007064A6">
            <w:pPr>
              <w:pStyle w:val="Tabletext"/>
            </w:pPr>
            <w:r>
              <w:t>114</w:t>
            </w:r>
          </w:p>
        </w:tc>
        <w:tc>
          <w:tcPr>
            <w:tcW w:w="1559" w:type="dxa"/>
            <w:vAlign w:val="center"/>
          </w:tcPr>
          <w:p w:rsidR="00DC4FFD" w:rsidRDefault="00DC4FFD" w:rsidP="007064A6">
            <w:pPr>
              <w:pStyle w:val="Tabletext"/>
            </w:pPr>
            <w:r>
              <w:t>$199 500</w:t>
            </w:r>
          </w:p>
        </w:tc>
      </w:tr>
      <w:tr w:rsidR="00DC4FFD">
        <w:trPr>
          <w:trHeight w:val="680"/>
        </w:trPr>
        <w:tc>
          <w:tcPr>
            <w:tcW w:w="3227" w:type="dxa"/>
            <w:vAlign w:val="center"/>
          </w:tcPr>
          <w:p w:rsidR="00DC4FFD" w:rsidRDefault="00DC4FFD" w:rsidP="007064A6">
            <w:pPr>
              <w:pStyle w:val="Tabletext"/>
            </w:pPr>
            <w:r>
              <w:lastRenderedPageBreak/>
              <w:t>Additional AAO Learning and Assessment</w:t>
            </w:r>
          </w:p>
        </w:tc>
        <w:tc>
          <w:tcPr>
            <w:tcW w:w="992" w:type="dxa"/>
            <w:vAlign w:val="center"/>
          </w:tcPr>
          <w:p w:rsidR="00DC4FFD" w:rsidRDefault="00DC4FFD" w:rsidP="007064A6">
            <w:pPr>
              <w:pStyle w:val="Tabletext"/>
            </w:pPr>
            <w:r>
              <w:t>Fee</w:t>
            </w:r>
          </w:p>
        </w:tc>
        <w:tc>
          <w:tcPr>
            <w:tcW w:w="1134" w:type="dxa"/>
            <w:vAlign w:val="center"/>
          </w:tcPr>
          <w:p w:rsidR="00DC4FFD" w:rsidRDefault="00DC4FFD" w:rsidP="007064A6">
            <w:pPr>
              <w:pStyle w:val="Tabletext"/>
            </w:pPr>
            <w:r>
              <w:t>$2 000</w:t>
            </w:r>
          </w:p>
        </w:tc>
        <w:tc>
          <w:tcPr>
            <w:tcW w:w="1559" w:type="dxa"/>
            <w:vAlign w:val="center"/>
          </w:tcPr>
          <w:p w:rsidR="00DC4FFD" w:rsidRDefault="00DC4FFD" w:rsidP="007064A6">
            <w:pPr>
              <w:pStyle w:val="Tabletext"/>
            </w:pPr>
            <w:r>
              <w:t>per person delivered additional training</w:t>
            </w:r>
          </w:p>
        </w:tc>
        <w:tc>
          <w:tcPr>
            <w:tcW w:w="1418" w:type="dxa"/>
            <w:vAlign w:val="center"/>
          </w:tcPr>
          <w:p w:rsidR="00DC4FFD" w:rsidRDefault="00DC4FFD" w:rsidP="007064A6">
            <w:pPr>
              <w:pStyle w:val="Tabletext"/>
            </w:pPr>
            <w:r>
              <w:t>23</w:t>
            </w:r>
          </w:p>
        </w:tc>
        <w:tc>
          <w:tcPr>
            <w:tcW w:w="1559" w:type="dxa"/>
            <w:vAlign w:val="center"/>
          </w:tcPr>
          <w:p w:rsidR="00DC4FFD" w:rsidRDefault="00DC4FFD" w:rsidP="007064A6">
            <w:pPr>
              <w:pStyle w:val="Tabletext"/>
            </w:pPr>
            <w:r>
              <w:t>$46 000</w:t>
            </w:r>
          </w:p>
        </w:tc>
      </w:tr>
      <w:tr w:rsidR="00DC4FFD">
        <w:trPr>
          <w:trHeight w:val="680"/>
        </w:trPr>
        <w:tc>
          <w:tcPr>
            <w:tcW w:w="3227" w:type="dxa"/>
            <w:tcBorders>
              <w:bottom w:val="single" w:sz="4" w:space="0" w:color="000000"/>
            </w:tcBorders>
            <w:vAlign w:val="center"/>
          </w:tcPr>
          <w:p w:rsidR="00DC4FFD" w:rsidRDefault="00DC4FFD" w:rsidP="007064A6">
            <w:pPr>
              <w:pStyle w:val="Tabletext"/>
            </w:pPr>
            <w:r>
              <w:t>AAO Approval</w:t>
            </w:r>
          </w:p>
        </w:tc>
        <w:tc>
          <w:tcPr>
            <w:tcW w:w="992" w:type="dxa"/>
            <w:tcBorders>
              <w:bottom w:val="single" w:sz="4" w:space="0" w:color="000000"/>
            </w:tcBorders>
            <w:vAlign w:val="center"/>
          </w:tcPr>
          <w:p w:rsidR="00DC4FFD" w:rsidRDefault="00DC4FFD" w:rsidP="007064A6">
            <w:pPr>
              <w:pStyle w:val="Tabletext"/>
            </w:pPr>
            <w:r>
              <w:t>Fee</w:t>
            </w:r>
          </w:p>
        </w:tc>
        <w:tc>
          <w:tcPr>
            <w:tcW w:w="1134" w:type="dxa"/>
            <w:tcBorders>
              <w:bottom w:val="single" w:sz="4" w:space="0" w:color="000000"/>
            </w:tcBorders>
            <w:vAlign w:val="center"/>
          </w:tcPr>
          <w:p w:rsidR="00DC4FFD" w:rsidRDefault="00DC4FFD" w:rsidP="007064A6">
            <w:pPr>
              <w:pStyle w:val="Tabletext"/>
            </w:pPr>
            <w:r>
              <w:t>$250</w:t>
            </w:r>
          </w:p>
        </w:tc>
        <w:tc>
          <w:tcPr>
            <w:tcW w:w="1559" w:type="dxa"/>
            <w:tcBorders>
              <w:bottom w:val="single" w:sz="4" w:space="0" w:color="000000"/>
            </w:tcBorders>
            <w:vAlign w:val="center"/>
          </w:tcPr>
          <w:p w:rsidR="00DC4FFD" w:rsidRDefault="00DC4FFD" w:rsidP="007064A6">
            <w:pPr>
              <w:pStyle w:val="Tabletext"/>
            </w:pPr>
            <w:r>
              <w:t>per AO approval</w:t>
            </w:r>
          </w:p>
        </w:tc>
        <w:tc>
          <w:tcPr>
            <w:tcW w:w="1418" w:type="dxa"/>
            <w:tcBorders>
              <w:bottom w:val="single" w:sz="4" w:space="0" w:color="000000"/>
            </w:tcBorders>
            <w:vAlign w:val="center"/>
          </w:tcPr>
          <w:p w:rsidR="00DC4FFD" w:rsidRDefault="00DC4FFD" w:rsidP="007064A6">
            <w:pPr>
              <w:pStyle w:val="Tabletext"/>
            </w:pPr>
            <w:r>
              <w:t>114</w:t>
            </w:r>
          </w:p>
        </w:tc>
        <w:tc>
          <w:tcPr>
            <w:tcW w:w="1559" w:type="dxa"/>
            <w:tcBorders>
              <w:bottom w:val="single" w:sz="4" w:space="0" w:color="000000"/>
            </w:tcBorders>
            <w:vAlign w:val="center"/>
          </w:tcPr>
          <w:p w:rsidR="00DC4FFD" w:rsidRDefault="00DC4FFD" w:rsidP="007064A6">
            <w:pPr>
              <w:pStyle w:val="Tabletext"/>
            </w:pPr>
            <w:r>
              <w:t>$28 500</w:t>
            </w:r>
          </w:p>
        </w:tc>
      </w:tr>
    </w:tbl>
    <w:p w:rsidR="00DC4FFD" w:rsidRDefault="00DC4FFD" w:rsidP="007064A6">
      <w:pPr>
        <w:pStyle w:val="Tabletext"/>
      </w:pPr>
    </w:p>
    <w:p w:rsidR="00DC4FFD" w:rsidRDefault="00DC4FFD" w:rsidP="000A1901">
      <w:pPr>
        <w:pStyle w:val="Heading2"/>
        <w:numPr>
          <w:ilvl w:val="0"/>
          <w:numId w:val="0"/>
        </w:numPr>
        <w:ind w:left="794" w:hanging="794"/>
      </w:pPr>
      <w:bookmarkStart w:id="84" w:name="_Toc433035565"/>
      <w:r>
        <w:lastRenderedPageBreak/>
        <w:t>Attachment B — Horticulture exports</w:t>
      </w:r>
      <w:bookmarkEnd w:id="84"/>
    </w:p>
    <w:p w:rsidR="00DC4FFD" w:rsidRDefault="00DC4FFD">
      <w:r>
        <w:t xml:space="preserve">This schedule describes the changes to the horticulture export cost recovery arrangement, the cost base, fees and levies as well as additional financial information associated with inspection and certification </w:t>
      </w:r>
      <w:r>
        <w:rPr>
          <w:lang w:eastAsia="en-AU"/>
        </w:rPr>
        <w:t>activities</w:t>
      </w:r>
      <w:r>
        <w:t xml:space="preserve"> for horticulture product exports.</w:t>
      </w:r>
    </w:p>
    <w:p w:rsidR="00DC4FFD" w:rsidRDefault="00DC4FFD" w:rsidP="000A1901">
      <w:pPr>
        <w:pStyle w:val="Heading3"/>
        <w:numPr>
          <w:ilvl w:val="0"/>
          <w:numId w:val="0"/>
        </w:numPr>
        <w:ind w:left="794" w:hanging="794"/>
      </w:pPr>
      <w:bookmarkStart w:id="85" w:name="_Toc424575471"/>
      <w:bookmarkStart w:id="86" w:name="_Toc433035566"/>
      <w:r>
        <w:t>B.1</w:t>
      </w:r>
      <w:r>
        <w:tab/>
        <w:t>Design of cost recovered charges</w:t>
      </w:r>
      <w:bookmarkEnd w:id="85"/>
      <w:bookmarkEnd w:id="86"/>
    </w:p>
    <w:p w:rsidR="00DC4FFD" w:rsidRDefault="00DC4FFD">
      <w:r>
        <w:t xml:space="preserve">Some horticulture exports cost recovery fees and levies will change from those established in the 2011–12 Cost Recovery Impact Statement. Changes are predominantly in the areas of registered establishment rates, volume levies and approving authorised officers. Basic inspection and audit fees will remain the same. Horticulture exports volumes and associated inspection, audit and certification activities </w:t>
      </w:r>
      <w:proofErr w:type="gramStart"/>
      <w:r>
        <w:t>are forecast</w:t>
      </w:r>
      <w:proofErr w:type="gramEnd"/>
      <w:r>
        <w:t xml:space="preserve"> to be steady over the next four years.</w:t>
      </w:r>
    </w:p>
    <w:p w:rsidR="00DC4FFD" w:rsidRDefault="00DC4FFD">
      <w:r>
        <w:t xml:space="preserve">Some revisions are proposed to the current levy and fee structure to reflect the new cost recovery </w:t>
      </w:r>
      <w:proofErr w:type="gramStart"/>
      <w:r>
        <w:t>model and improve the consistency of fee</w:t>
      </w:r>
      <w:proofErr w:type="gramEnd"/>
      <w:r>
        <w:t xml:space="preserve"> and levy arrangements across the department’s export certification activities. Table 14 provides a list of levies and fees.</w:t>
      </w:r>
    </w:p>
    <w:p w:rsidR="00DC4FFD" w:rsidRDefault="00DC4FFD" w:rsidP="000A1901">
      <w:pPr>
        <w:pStyle w:val="Heading4"/>
      </w:pPr>
      <w:bookmarkStart w:id="87" w:name="_Toc424575472"/>
      <w:r>
        <w:t>B.1.1</w:t>
      </w:r>
      <w:r>
        <w:tab/>
        <w:t>Changes to fee and levy structure</w:t>
      </w:r>
      <w:bookmarkEnd w:id="87"/>
    </w:p>
    <w:p w:rsidR="00DC4FFD" w:rsidRDefault="00FD19FD">
      <w:pPr>
        <w:keepNext/>
        <w:keepLines/>
      </w:pPr>
      <w:r>
        <w:t>Prior to 1 December 2015</w:t>
      </w:r>
      <w:r w:rsidR="00DC4FFD">
        <w:t>, exporters of horticultural products had three key costs:</w:t>
      </w:r>
    </w:p>
    <w:p w:rsidR="00DC4FFD" w:rsidRPr="000A1901" w:rsidRDefault="00DC4FFD" w:rsidP="00781323">
      <w:pPr>
        <w:pStyle w:val="ListBullet"/>
      </w:pPr>
      <w:r w:rsidRPr="000A1901">
        <w:t xml:space="preserve">An annual levy </w:t>
      </w:r>
      <w:proofErr w:type="gramStart"/>
      <w:r w:rsidRPr="000A1901">
        <w:t>was applied</w:t>
      </w:r>
      <w:proofErr w:type="gramEnd"/>
      <w:r w:rsidRPr="000A1901">
        <w:t xml:space="preserve"> to registered establishments. There were three rates depending on the complexity of certification demanded by destination countries. These were basic markets ($2 844 per annum), markets requiring additional declarations ($5 687 per annum) and protocol markets which required substantial departmental services ($8 530 per annum).</w:t>
      </w:r>
    </w:p>
    <w:p w:rsidR="00DC4FFD" w:rsidRPr="000A1901" w:rsidRDefault="00DC4FFD" w:rsidP="00781323">
      <w:pPr>
        <w:pStyle w:val="ListBullet"/>
      </w:pPr>
      <w:r w:rsidRPr="000A1901">
        <w:t>Inspection and audit ($36 per 15 minutes), which related to inspection of products intended for export, and ensuring facilities and processes undertaken at establishments met standards required by Australia’s trading partners.</w:t>
      </w:r>
    </w:p>
    <w:p w:rsidR="00DC4FFD" w:rsidRPr="000A1901" w:rsidRDefault="00DC4FFD" w:rsidP="00781323">
      <w:pPr>
        <w:pStyle w:val="ListBullet"/>
      </w:pPr>
      <w:r w:rsidRPr="000A1901">
        <w:lastRenderedPageBreak/>
        <w:t>Export permits and certification ($16 per electronic issue of document), which allowed products to exit Australia and enter into overseas markets.</w:t>
      </w:r>
    </w:p>
    <w:p w:rsidR="00DC4FFD" w:rsidRDefault="00DC4FFD">
      <w:pPr>
        <w:pStyle w:val="Bullet"/>
        <w:numPr>
          <w:ilvl w:val="0"/>
          <w:numId w:val="0"/>
        </w:numPr>
      </w:pPr>
      <w:r>
        <w:t xml:space="preserve">The </w:t>
      </w:r>
      <w:r>
        <w:rPr>
          <w:lang w:val="en-AU"/>
        </w:rPr>
        <w:t>previous</w:t>
      </w:r>
      <w:r>
        <w:t xml:space="preserve"> approach to cost recovering horticulture export certification focuse</w:t>
      </w:r>
      <w:r>
        <w:rPr>
          <w:lang w:val="en-AU"/>
        </w:rPr>
        <w:t>d</w:t>
      </w:r>
      <w:r>
        <w:t xml:space="preserve"> heavily on large upfront levies. This disadvantage</w:t>
      </w:r>
      <w:r>
        <w:rPr>
          <w:lang w:val="en-AU"/>
        </w:rPr>
        <w:t>d</w:t>
      </w:r>
      <w:r>
        <w:t xml:space="preserve"> businesses that export</w:t>
      </w:r>
      <w:r>
        <w:rPr>
          <w:lang w:val="en-AU"/>
        </w:rPr>
        <w:t>ed</w:t>
      </w:r>
      <w:r>
        <w:t xml:space="preserve"> less frequently, which pa</w:t>
      </w:r>
      <w:r>
        <w:rPr>
          <w:lang w:val="en-AU"/>
        </w:rPr>
        <w:t>id</w:t>
      </w:r>
      <w:r>
        <w:t xml:space="preserve"> the same registration levies even though they use</w:t>
      </w:r>
      <w:r>
        <w:rPr>
          <w:lang w:val="en-AU"/>
        </w:rPr>
        <w:t>d</w:t>
      </w:r>
      <w:r>
        <w:t xml:space="preserve"> fewer departmental services than more frequent exporters. </w:t>
      </w:r>
    </w:p>
    <w:p w:rsidR="00DC4FFD" w:rsidRDefault="00DC4FFD">
      <w:r>
        <w:t>The redesign creates a better balance between upfront charges and payment for ongoing use of services. This creates a more equitable fee and levy structure where a business that exports more will pay for the additional departmental services it requires.</w:t>
      </w:r>
    </w:p>
    <w:p w:rsidR="00DC4FFD" w:rsidRDefault="00DC4FFD">
      <w:pPr>
        <w:keepNext/>
      </w:pPr>
      <w:r>
        <w:t xml:space="preserve">Key changes for horticultural exporters </w:t>
      </w:r>
      <w:r w:rsidR="00FD19FD">
        <w:t xml:space="preserve">from 1 December 2015 </w:t>
      </w:r>
      <w:r>
        <w:t>include:</w:t>
      </w:r>
    </w:p>
    <w:p w:rsidR="00DC4FFD" w:rsidRDefault="00DC4FFD" w:rsidP="00781323">
      <w:pPr>
        <w:pStyle w:val="ListBullet"/>
      </w:pPr>
      <w:r>
        <w:t xml:space="preserve">The annual levy applied to registered establishment has changed. The rates will now be based on establishment type: grower/exporter ($600 per annum), simple ($3 000 per annum) and complex ($6 000 per annum). </w:t>
      </w:r>
    </w:p>
    <w:p w:rsidR="00DC4FFD" w:rsidRDefault="00DC4FFD" w:rsidP="00781323">
      <w:pPr>
        <w:pStyle w:val="ListBullet"/>
      </w:pPr>
      <w:r>
        <w:t xml:space="preserve">The </w:t>
      </w:r>
      <w:proofErr w:type="gramStart"/>
      <w:r>
        <w:t>complex registration establishment levy</w:t>
      </w:r>
      <w:proofErr w:type="gramEnd"/>
      <w:r>
        <w:t xml:space="preserve"> will apply to establishments exporting to protocol markets. </w:t>
      </w:r>
    </w:p>
    <w:p w:rsidR="00DC4FFD" w:rsidRDefault="00DC4FFD" w:rsidP="00781323">
      <w:pPr>
        <w:pStyle w:val="ListBullet"/>
      </w:pPr>
      <w:r>
        <w:t>Applications for new registered establishments will also now incur a one-off $600 levy.</w:t>
      </w:r>
    </w:p>
    <w:p w:rsidR="00DC4FFD" w:rsidRDefault="00FD19FD" w:rsidP="00781323">
      <w:pPr>
        <w:pStyle w:val="ListBullet"/>
      </w:pPr>
      <w:r>
        <w:t>New v</w:t>
      </w:r>
      <w:r w:rsidR="00DC4FFD">
        <w:t xml:space="preserve">olume tonnage levies will comprise of two rates: </w:t>
      </w:r>
    </w:p>
    <w:p w:rsidR="00DC4FFD" w:rsidRPr="000A1901" w:rsidRDefault="00DC4FFD" w:rsidP="000A1901">
      <w:pPr>
        <w:pStyle w:val="ListBullet2"/>
      </w:pPr>
      <w:r w:rsidRPr="000A1901">
        <w:t>the non-protocol market rate, starting at 95 cents per tonne in 2015–16, reducing to 65 cents per tonne in 2017–18, and</w:t>
      </w:r>
    </w:p>
    <w:p w:rsidR="00DC4FFD" w:rsidRPr="000A1901" w:rsidRDefault="00DC4FFD" w:rsidP="000A1901">
      <w:pPr>
        <w:pStyle w:val="ListBullet2"/>
      </w:pPr>
      <w:r w:rsidRPr="000A1901">
        <w:t>the protocol market rate, starting at $1.90 per tonne in 2015-16, reducing to $1.30 in 2017–18.</w:t>
      </w:r>
    </w:p>
    <w:p w:rsidR="00DC4FFD" w:rsidRDefault="00DC4FFD" w:rsidP="00781323">
      <w:pPr>
        <w:pStyle w:val="ListBullet"/>
      </w:pPr>
      <w:r>
        <w:t xml:space="preserve">The levy </w:t>
      </w:r>
      <w:proofErr w:type="gramStart"/>
      <w:r>
        <w:t>will be applied</w:t>
      </w:r>
      <w:proofErr w:type="gramEnd"/>
      <w:r>
        <w:t xml:space="preserve"> as a minimum charge of one tonne per product line.</w:t>
      </w:r>
    </w:p>
    <w:p w:rsidR="00DC4FFD" w:rsidRDefault="00DC4FFD" w:rsidP="00781323">
      <w:pPr>
        <w:pStyle w:val="ListBullet"/>
      </w:pPr>
      <w:r>
        <w:t>Lower registration costs and the introduction of volume levies will make exporting more affordable for smaller businesses.</w:t>
      </w:r>
    </w:p>
    <w:p w:rsidR="00DC4FFD" w:rsidRDefault="00DC4FFD" w:rsidP="00781323">
      <w:pPr>
        <w:pStyle w:val="ListBullet"/>
      </w:pPr>
      <w:r>
        <w:lastRenderedPageBreak/>
        <w:t>Inspection and audit fees will remain at $36 per 15 minutes. However, where an exporter could use an approved authorised officer but instead chooses to use a departmental officer, the inspection cost will be $75 per 15 minutes. If an exporter does not have the option of an approved authorised officer (for example, protocol markets) this cost will be $36 per 15 minutes.</w:t>
      </w:r>
    </w:p>
    <w:p w:rsidR="00DC4FFD" w:rsidRDefault="00DC4FFD" w:rsidP="00781323">
      <w:pPr>
        <w:pStyle w:val="ListBullet"/>
      </w:pPr>
      <w:r>
        <w:t xml:space="preserve">The department’s future business model </w:t>
      </w:r>
      <w:proofErr w:type="gramStart"/>
      <w:r>
        <w:t>is based</w:t>
      </w:r>
      <w:proofErr w:type="gramEnd"/>
      <w:r>
        <w:t xml:space="preserve"> on the uptake of authorised officers. The higher rate of the additional inspection fee reflects the cost to the department of making officers available to respond to unanticipated requests. For budgeted staff, overheads </w:t>
      </w:r>
      <w:proofErr w:type="gramStart"/>
      <w:r>
        <w:t>are collected</w:t>
      </w:r>
      <w:proofErr w:type="gramEnd"/>
      <w:r>
        <w:t xml:space="preserve"> through levies with direct costs collected through inspection and audits fees. For additional staff, both overheads and direct costs </w:t>
      </w:r>
      <w:proofErr w:type="gramStart"/>
      <w:r>
        <w:t>must be recovered</w:t>
      </w:r>
      <w:proofErr w:type="gramEnd"/>
      <w:r>
        <w:t xml:space="preserve"> through the additional inspection fees.</w:t>
      </w:r>
    </w:p>
    <w:p w:rsidR="00DC4FFD" w:rsidRDefault="00DC4FFD" w:rsidP="00781323">
      <w:pPr>
        <w:pStyle w:val="ListBullet"/>
      </w:pPr>
      <w:r>
        <w:t>The cost of export permits and phytosanitary certificates, where delivered electronically, will decrease to $12 per document. However, there will be an additional levy on phytosanitary certificates of $38 per document, bringing the total cost to $50 from 2015–16. The levy will decrease to $36 in 2017–18, bringing the total cost to $48 per phytosanitary certificate.</w:t>
      </w:r>
    </w:p>
    <w:p w:rsidR="00DC4FFD" w:rsidRDefault="00DC4FFD" w:rsidP="00781323">
      <w:pPr>
        <w:pStyle w:val="ListBullet"/>
      </w:pPr>
      <w:r>
        <w:t xml:space="preserve">The introduction of a levy for approving authorised officers ($750 per annum) will recover the costs of administering the authorised officer programme. Fees for service will also be introduced to recover the costs of assessing applications ($250), training and assessment ($1 750 and $2 000) and approval ($250). Costs for the authorised officer programme </w:t>
      </w:r>
      <w:proofErr w:type="gramStart"/>
      <w:r>
        <w:t>should be recovered</w:t>
      </w:r>
      <w:proofErr w:type="gramEnd"/>
      <w:r>
        <w:t xml:space="preserve"> from clients using this service. Further, the introduction of a price signal will ensure that departmental training resources are most effectively utilised.</w:t>
      </w:r>
    </w:p>
    <w:p w:rsidR="00DC4FFD" w:rsidRDefault="00DC4FFD" w:rsidP="002E338A">
      <w:pPr>
        <w:pStyle w:val="Heading3"/>
        <w:keepNext/>
        <w:numPr>
          <w:ilvl w:val="0"/>
          <w:numId w:val="0"/>
        </w:numPr>
        <w:ind w:left="794" w:hanging="794"/>
      </w:pPr>
      <w:bookmarkStart w:id="88" w:name="_Toc424575476"/>
      <w:bookmarkStart w:id="89" w:name="_Toc433035567"/>
      <w:r>
        <w:lastRenderedPageBreak/>
        <w:t>B.2</w:t>
      </w:r>
      <w:r>
        <w:tab/>
        <w:t>Cost base</w:t>
      </w:r>
      <w:bookmarkEnd w:id="88"/>
      <w:bookmarkEnd w:id="89"/>
    </w:p>
    <w:p w:rsidR="00DC4FFD" w:rsidRDefault="00DC4FFD">
      <w:pPr>
        <w:keepNext/>
      </w:pPr>
      <w:r>
        <w:t xml:space="preserve">The following information on the horticulture exports arrangement cost base is </w:t>
      </w:r>
      <w:proofErr w:type="gramStart"/>
      <w:r>
        <w:t>provided</w:t>
      </w:r>
      <w:proofErr w:type="gramEnd"/>
      <w:r>
        <w:t xml:space="preserve"> as a four-year average from 2015–16 to 2018–19. An overview by cost type </w:t>
      </w:r>
      <w:proofErr w:type="gramStart"/>
      <w:r>
        <w:t>is provided</w:t>
      </w:r>
      <w:proofErr w:type="gramEnd"/>
      <w:r>
        <w:t xml:space="preserve"> in Table 12.</w:t>
      </w:r>
    </w:p>
    <w:p w:rsidR="00DC4FFD" w:rsidRDefault="00DC4FFD">
      <w:pPr>
        <w:keepNext/>
        <w:keepLines/>
      </w:pPr>
      <w:r>
        <w:t xml:space="preserve">The revised cost recovery model is a resource-based model premised on the efficient utilisation of departmental resources. This </w:t>
      </w:r>
      <w:proofErr w:type="gramStart"/>
      <w:r>
        <w:t>is enabled</w:t>
      </w:r>
      <w:proofErr w:type="gramEnd"/>
      <w:r>
        <w:t xml:space="preserve"> by improvements to business processes and IT capability systems (e.g. national service delivery, tablets enabling a mobile workforce and the new Plant Export Management System). It assumes full industry adoption of the authorised officer program, which will lower demand for inspection to </w:t>
      </w:r>
      <w:proofErr w:type="gramStart"/>
      <w:r>
        <w:t>be undertaken</w:t>
      </w:r>
      <w:proofErr w:type="gramEnd"/>
      <w:r>
        <w:t xml:space="preserve"> by the department.</w:t>
      </w:r>
    </w:p>
    <w:p w:rsidR="00DC4FFD" w:rsidRDefault="00DC4FFD" w:rsidP="002E338A">
      <w:pPr>
        <w:pStyle w:val="Heading4"/>
        <w:keepNext/>
      </w:pPr>
      <w:bookmarkStart w:id="90" w:name="_Toc424575477"/>
      <w:r>
        <w:t>B.2.1</w:t>
      </w:r>
      <w:r>
        <w:tab/>
        <w:t>Projected cost base</w:t>
      </w:r>
      <w:bookmarkEnd w:id="90"/>
    </w:p>
    <w:p w:rsidR="00DC4FFD" w:rsidRDefault="00DC4FFD" w:rsidP="002E338A">
      <w:pPr>
        <w:keepLines/>
      </w:pPr>
      <w:r>
        <w:t>Figure 3 presents costs for the horticulture export arrangement by cost activity, attributed through the cost model presented in Section 3.</w:t>
      </w:r>
      <w:r w:rsidR="00B1001B">
        <w:t xml:space="preserve"> </w:t>
      </w:r>
      <w:r>
        <w:t xml:space="preserve">A detailed description of cost activities </w:t>
      </w:r>
      <w:proofErr w:type="gramStart"/>
      <w:r>
        <w:t>is provided</w:t>
      </w:r>
      <w:proofErr w:type="gramEnd"/>
      <w:r>
        <w:t xml:space="preserve"> in </w:t>
      </w:r>
      <w:r>
        <w:rPr>
          <w:b/>
        </w:rPr>
        <w:t>Attachment C</w:t>
      </w:r>
      <w:r>
        <w:t>.</w:t>
      </w:r>
    </w:p>
    <w:p w:rsidR="00DC4FFD" w:rsidRDefault="00DC4FFD" w:rsidP="002E338A">
      <w:pPr>
        <w:pStyle w:val="Caption"/>
        <w:keepNext/>
      </w:pPr>
      <w:r>
        <w:lastRenderedPageBreak/>
        <w:t>Figure 3: Cost base—horticulture exports cost recovery arrangement (</w:t>
      </w:r>
      <w:proofErr w:type="gramStart"/>
      <w:r>
        <w:t>four year</w:t>
      </w:r>
      <w:proofErr w:type="gramEnd"/>
      <w:r>
        <w:t xml:space="preserve"> average 2015–16 to 2018–19)</w:t>
      </w:r>
    </w:p>
    <w:p w:rsidR="00DC4FFD" w:rsidRDefault="00803586">
      <w:r>
        <w:rPr>
          <w:noProof/>
          <w:lang w:eastAsia="en-AU"/>
        </w:rPr>
        <w:drawing>
          <wp:inline distT="0" distB="0" distL="0" distR="0" wp14:anchorId="3990BA28" wp14:editId="00425EC3">
            <wp:extent cx="5707380" cy="3863340"/>
            <wp:effectExtent l="0" t="0" r="7620" b="3810"/>
            <wp:docPr id="10" name="Picture 10" descr="The horticulture exports programme is projected to cost an average of $6.312 million per year.&#10;Programme management and administration activities are projected to cost an average of $2.954 million per year. This consists of $1.359 million in workforce and business management costs, $265,000 in business systems administration costs, $294,000 in stakeholder engagement costs, $653,000 in policy and instructional material costs, and $383,000 in business improvement costs.&#10;Assurance activities are projected to cost an average of $403,000 per year. This consists of $183,000 in risk management costs and $220,000 in verification costs.&#10;Incident management activities are projected to cost an average of $140,000 per year. This consists entirely of $140,000 in incident management costs.&#10;Intervention activities are projected to cost an average of $2.815 million per year. This consists of $1.649 million in assessment costs, $505,000 in inspection costs and $661,000 in audits costs.&#10;" title="Figure 3: Cost base—horticulture exports cost recovery arrangement (four year average 2015–16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07380" cy="3863340"/>
                    </a:xfrm>
                    <a:prstGeom prst="rect">
                      <a:avLst/>
                    </a:prstGeom>
                    <a:noFill/>
                  </pic:spPr>
                </pic:pic>
              </a:graphicData>
            </a:graphic>
          </wp:inline>
        </w:drawing>
      </w:r>
    </w:p>
    <w:p w:rsidR="00DC4FFD" w:rsidRDefault="00DC4FFD">
      <w:pPr>
        <w:keepNext/>
      </w:pPr>
      <w:r>
        <w:t>Table</w:t>
      </w:r>
      <w:r w:rsidR="00FD19FD">
        <w:t xml:space="preserve"> 12 breaks down costs for the horticulture</w:t>
      </w:r>
      <w:r>
        <w:t xml:space="preserve"> exports arrangement into direct, indirect and capital expenses.</w:t>
      </w:r>
    </w:p>
    <w:p w:rsidR="00DC4FFD" w:rsidRDefault="00DC4FFD">
      <w:pPr>
        <w:pStyle w:val="Caption"/>
        <w:keepNext/>
      </w:pPr>
      <w:r>
        <w:t>Table 12: Cost type breakdown—horticulture exports cost recovery arrangement (</w:t>
      </w:r>
      <w:proofErr w:type="gramStart"/>
      <w:r>
        <w:t>four year</w:t>
      </w:r>
      <w:proofErr w:type="gramEnd"/>
      <w:r>
        <w:t xml:space="preserve"> average, 2015–16 to 2018–19)</w:t>
      </w: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804"/>
        <w:gridCol w:w="2127"/>
      </w:tblGrid>
      <w:tr w:rsidR="00DC4FFD" w:rsidTr="001F32EC">
        <w:trPr>
          <w:cantSplit/>
          <w:tblHeader/>
        </w:trPr>
        <w:tc>
          <w:tcPr>
            <w:tcW w:w="6804" w:type="dxa"/>
            <w:tcBorders>
              <w:bottom w:val="single" w:sz="4" w:space="0" w:color="auto"/>
            </w:tcBorders>
            <w:shd w:val="solid" w:color="DBE5F1" w:fill="C6D9F1"/>
            <w:vAlign w:val="center"/>
          </w:tcPr>
          <w:p w:rsidR="00DC4FFD" w:rsidRPr="002E5AB2" w:rsidRDefault="00DC4FFD" w:rsidP="002E5AB2">
            <w:pPr>
              <w:pStyle w:val="Tabletext"/>
              <w:rPr>
                <w:rStyle w:val="Strong"/>
              </w:rPr>
            </w:pPr>
            <w:r w:rsidRPr="002E5AB2">
              <w:rPr>
                <w:rStyle w:val="Strong"/>
              </w:rPr>
              <w:t>Expense</w:t>
            </w:r>
          </w:p>
        </w:tc>
        <w:tc>
          <w:tcPr>
            <w:tcW w:w="2127" w:type="dxa"/>
            <w:tcBorders>
              <w:bottom w:val="single" w:sz="4" w:space="0" w:color="auto"/>
            </w:tcBorders>
            <w:shd w:val="solid" w:color="DBE5F1" w:fill="C6D9F1"/>
            <w:vAlign w:val="center"/>
          </w:tcPr>
          <w:p w:rsidR="00DC4FFD" w:rsidRPr="002E5AB2" w:rsidRDefault="00DC4FFD" w:rsidP="002E5AB2">
            <w:pPr>
              <w:pStyle w:val="Tabletext"/>
              <w:rPr>
                <w:rStyle w:val="Strong"/>
              </w:rPr>
            </w:pPr>
            <w:r w:rsidRPr="002E5AB2">
              <w:rPr>
                <w:rStyle w:val="Strong"/>
              </w:rPr>
              <w:t>Forecast ($ millions)</w:t>
            </w:r>
          </w:p>
        </w:tc>
      </w:tr>
      <w:tr w:rsidR="00DC4FFD" w:rsidTr="001F32EC">
        <w:trPr>
          <w:cantSplit/>
        </w:trPr>
        <w:tc>
          <w:tcPr>
            <w:tcW w:w="6804" w:type="dxa"/>
            <w:tcBorders>
              <w:top w:val="single" w:sz="4" w:space="0" w:color="auto"/>
              <w:left w:val="single" w:sz="4" w:space="0" w:color="auto"/>
              <w:bottom w:val="single" w:sz="4" w:space="0" w:color="auto"/>
              <w:right w:val="nil"/>
            </w:tcBorders>
            <w:shd w:val="clear" w:color="auto" w:fill="auto"/>
            <w:vAlign w:val="center"/>
          </w:tcPr>
          <w:p w:rsidR="00DC4FFD" w:rsidRPr="002E5AB2" w:rsidRDefault="00DC4FFD" w:rsidP="002E5AB2">
            <w:pPr>
              <w:pStyle w:val="Tabletext"/>
              <w:rPr>
                <w:rStyle w:val="Strong"/>
              </w:rPr>
            </w:pPr>
            <w:r w:rsidRPr="002E5AB2">
              <w:rPr>
                <w:rStyle w:val="Strong"/>
              </w:rPr>
              <w:t>Direct expenses</w:t>
            </w:r>
          </w:p>
        </w:tc>
        <w:tc>
          <w:tcPr>
            <w:tcW w:w="2127" w:type="dxa"/>
            <w:tcBorders>
              <w:top w:val="single" w:sz="4" w:space="0" w:color="auto"/>
              <w:left w:val="nil"/>
              <w:bottom w:val="single" w:sz="4" w:space="0" w:color="auto"/>
              <w:right w:val="single" w:sz="4" w:space="0" w:color="auto"/>
            </w:tcBorders>
            <w:shd w:val="clear" w:color="auto" w:fill="auto"/>
            <w:vAlign w:val="bottom"/>
          </w:tcPr>
          <w:p w:rsidR="00DC4FFD" w:rsidRDefault="00DC4FFD" w:rsidP="002E5AB2">
            <w:pPr>
              <w:pStyle w:val="Tabletext"/>
              <w:rPr>
                <w:color w:val="FFFFFF"/>
              </w:rPr>
            </w:pPr>
            <w:r>
              <w:rPr>
                <w:color w:val="FFFFFF"/>
              </w:rPr>
              <w:t>..</w:t>
            </w:r>
          </w:p>
        </w:tc>
      </w:tr>
      <w:tr w:rsidR="00DC4FFD" w:rsidTr="001F32EC">
        <w:trPr>
          <w:cantSplit/>
        </w:trPr>
        <w:tc>
          <w:tcPr>
            <w:tcW w:w="6804" w:type="dxa"/>
            <w:tcBorders>
              <w:top w:val="single" w:sz="4" w:space="0" w:color="auto"/>
            </w:tcBorders>
            <w:shd w:val="clear" w:color="auto" w:fill="auto"/>
            <w:vAlign w:val="center"/>
          </w:tcPr>
          <w:p w:rsidR="00DC4FFD" w:rsidRDefault="00DC4FFD" w:rsidP="002E5AB2">
            <w:pPr>
              <w:pStyle w:val="Tabletext"/>
              <w:ind w:left="488"/>
            </w:pPr>
            <w:r>
              <w:t>Direct labour</w:t>
            </w:r>
          </w:p>
        </w:tc>
        <w:tc>
          <w:tcPr>
            <w:tcW w:w="2127" w:type="dxa"/>
            <w:tcBorders>
              <w:top w:val="single" w:sz="4" w:space="0" w:color="auto"/>
            </w:tcBorders>
            <w:shd w:val="clear" w:color="auto" w:fill="auto"/>
            <w:vAlign w:val="bottom"/>
          </w:tcPr>
          <w:p w:rsidR="00DC4FFD" w:rsidRDefault="00DC4FFD" w:rsidP="002E5AB2">
            <w:pPr>
              <w:pStyle w:val="Tabletext"/>
              <w:jc w:val="center"/>
            </w:pPr>
            <w:r>
              <w:t>$3.386</w:t>
            </w:r>
          </w:p>
        </w:tc>
      </w:tr>
      <w:tr w:rsidR="00DC4FFD" w:rsidTr="001F32EC">
        <w:trPr>
          <w:cantSplit/>
        </w:trPr>
        <w:tc>
          <w:tcPr>
            <w:tcW w:w="6804" w:type="dxa"/>
            <w:shd w:val="clear" w:color="auto" w:fill="auto"/>
            <w:vAlign w:val="center"/>
          </w:tcPr>
          <w:p w:rsidR="00DC4FFD" w:rsidRDefault="00DC4FFD" w:rsidP="002E5AB2">
            <w:pPr>
              <w:pStyle w:val="Tabletext"/>
              <w:ind w:left="488"/>
            </w:pPr>
            <w:r>
              <w:t>Direct materials</w:t>
            </w:r>
          </w:p>
        </w:tc>
        <w:tc>
          <w:tcPr>
            <w:tcW w:w="2127" w:type="dxa"/>
            <w:shd w:val="clear" w:color="auto" w:fill="auto"/>
            <w:vAlign w:val="center"/>
          </w:tcPr>
          <w:p w:rsidR="00DC4FFD" w:rsidRDefault="00DC4FFD" w:rsidP="002E5AB2">
            <w:pPr>
              <w:pStyle w:val="Tabletext"/>
              <w:jc w:val="center"/>
            </w:pPr>
            <w:r>
              <w:t>$0.938</w:t>
            </w:r>
          </w:p>
        </w:tc>
      </w:tr>
      <w:tr w:rsidR="00DC4FFD" w:rsidTr="001F32EC">
        <w:trPr>
          <w:cantSplit/>
        </w:trPr>
        <w:tc>
          <w:tcPr>
            <w:tcW w:w="6804" w:type="dxa"/>
            <w:shd w:val="clear" w:color="auto" w:fill="auto"/>
            <w:vAlign w:val="center"/>
          </w:tcPr>
          <w:p w:rsidR="00DC4FFD" w:rsidRDefault="00DC4FFD" w:rsidP="002E5AB2">
            <w:pPr>
              <w:pStyle w:val="Tabletext"/>
              <w:ind w:left="488"/>
            </w:pPr>
            <w:r>
              <w:t>Capital expenses</w:t>
            </w:r>
          </w:p>
        </w:tc>
        <w:tc>
          <w:tcPr>
            <w:tcW w:w="2127" w:type="dxa"/>
            <w:shd w:val="clear" w:color="auto" w:fill="auto"/>
            <w:vAlign w:val="center"/>
          </w:tcPr>
          <w:p w:rsidR="00DC4FFD" w:rsidRDefault="00DC4FFD" w:rsidP="002E5AB2">
            <w:pPr>
              <w:pStyle w:val="Tabletext"/>
              <w:jc w:val="center"/>
            </w:pPr>
            <w:r>
              <w:t>$0.362</w:t>
            </w:r>
          </w:p>
        </w:tc>
      </w:tr>
      <w:tr w:rsidR="00DC4FFD" w:rsidTr="001F32EC">
        <w:trPr>
          <w:cantSplit/>
        </w:trPr>
        <w:tc>
          <w:tcPr>
            <w:tcW w:w="6804" w:type="dxa"/>
            <w:shd w:val="clear" w:color="auto" w:fill="auto"/>
            <w:vAlign w:val="center"/>
          </w:tcPr>
          <w:p w:rsidR="00DC4FFD" w:rsidRDefault="00DC4FFD" w:rsidP="002E5AB2">
            <w:pPr>
              <w:pStyle w:val="Tabletext"/>
              <w:ind w:left="488"/>
            </w:pPr>
            <w:r>
              <w:t>Other expenses</w:t>
            </w:r>
          </w:p>
        </w:tc>
        <w:tc>
          <w:tcPr>
            <w:tcW w:w="2127" w:type="dxa"/>
            <w:shd w:val="clear" w:color="auto" w:fill="auto"/>
            <w:vAlign w:val="center"/>
          </w:tcPr>
          <w:p w:rsidR="00DC4FFD" w:rsidRDefault="00DC4FFD" w:rsidP="002E5AB2">
            <w:pPr>
              <w:pStyle w:val="Tabletext"/>
              <w:jc w:val="center"/>
            </w:pPr>
            <w:r>
              <w:t>$0.041</w:t>
            </w:r>
          </w:p>
        </w:tc>
      </w:tr>
      <w:tr w:rsidR="00DC4FFD" w:rsidTr="001F32EC">
        <w:trPr>
          <w:cantSplit/>
        </w:trPr>
        <w:tc>
          <w:tcPr>
            <w:tcW w:w="6804" w:type="dxa"/>
            <w:shd w:val="clear" w:color="auto" w:fill="auto"/>
            <w:vAlign w:val="center"/>
          </w:tcPr>
          <w:p w:rsidR="00DC4FFD" w:rsidRPr="002E5AB2" w:rsidRDefault="00DC4FFD" w:rsidP="002E5AB2">
            <w:pPr>
              <w:pStyle w:val="Tabletext"/>
              <w:rPr>
                <w:rStyle w:val="Strong"/>
              </w:rPr>
            </w:pPr>
            <w:r w:rsidRPr="002E5AB2">
              <w:rPr>
                <w:rStyle w:val="Strong"/>
              </w:rPr>
              <w:lastRenderedPageBreak/>
              <w:t>Direct expenses total</w:t>
            </w:r>
          </w:p>
        </w:tc>
        <w:tc>
          <w:tcPr>
            <w:tcW w:w="2127" w:type="dxa"/>
            <w:shd w:val="clear" w:color="auto" w:fill="auto"/>
            <w:vAlign w:val="center"/>
          </w:tcPr>
          <w:p w:rsidR="00DC4FFD" w:rsidRPr="002E5AB2" w:rsidRDefault="00DC4FFD" w:rsidP="002E5AB2">
            <w:pPr>
              <w:pStyle w:val="Tabletext"/>
              <w:jc w:val="center"/>
              <w:rPr>
                <w:rStyle w:val="Strong"/>
              </w:rPr>
            </w:pPr>
            <w:r w:rsidRPr="002E5AB2">
              <w:rPr>
                <w:rStyle w:val="Strong"/>
              </w:rPr>
              <w:t>$4.728</w:t>
            </w:r>
          </w:p>
        </w:tc>
      </w:tr>
      <w:tr w:rsidR="00DC4FFD" w:rsidTr="001F32EC">
        <w:trPr>
          <w:cantSplit/>
        </w:trPr>
        <w:tc>
          <w:tcPr>
            <w:tcW w:w="6804" w:type="dxa"/>
            <w:shd w:val="clear" w:color="auto" w:fill="auto"/>
            <w:vAlign w:val="center"/>
          </w:tcPr>
          <w:p w:rsidR="00DC4FFD" w:rsidRPr="002E5AB2" w:rsidRDefault="00DC4FFD" w:rsidP="002E5AB2">
            <w:pPr>
              <w:pStyle w:val="Tabletext"/>
              <w:rPr>
                <w:rStyle w:val="Strong"/>
              </w:rPr>
            </w:pPr>
            <w:r w:rsidRPr="002E5AB2">
              <w:rPr>
                <w:rStyle w:val="Strong"/>
              </w:rPr>
              <w:t>Indirect expenses total</w:t>
            </w:r>
          </w:p>
        </w:tc>
        <w:tc>
          <w:tcPr>
            <w:tcW w:w="2127" w:type="dxa"/>
            <w:shd w:val="clear" w:color="auto" w:fill="auto"/>
            <w:vAlign w:val="center"/>
          </w:tcPr>
          <w:p w:rsidR="00DC4FFD" w:rsidRPr="002E5AB2" w:rsidRDefault="00DC4FFD" w:rsidP="002E5AB2">
            <w:pPr>
              <w:pStyle w:val="Tabletext"/>
              <w:jc w:val="center"/>
              <w:rPr>
                <w:rStyle w:val="Strong"/>
              </w:rPr>
            </w:pPr>
            <w:r w:rsidRPr="002E5AB2">
              <w:rPr>
                <w:rStyle w:val="Strong"/>
              </w:rPr>
              <w:t>$1.584</w:t>
            </w:r>
          </w:p>
        </w:tc>
      </w:tr>
      <w:tr w:rsidR="00DC4FFD" w:rsidTr="001F32EC">
        <w:trPr>
          <w:cantSplit/>
        </w:trPr>
        <w:tc>
          <w:tcPr>
            <w:tcW w:w="6804" w:type="dxa"/>
            <w:shd w:val="clear" w:color="auto" w:fill="auto"/>
            <w:vAlign w:val="center"/>
          </w:tcPr>
          <w:p w:rsidR="00DC4FFD" w:rsidRPr="002E5AB2" w:rsidRDefault="00DC4FFD" w:rsidP="002E5AB2">
            <w:pPr>
              <w:pStyle w:val="Tabletext"/>
              <w:ind w:left="488"/>
              <w:rPr>
                <w:rStyle w:val="Strong"/>
              </w:rPr>
            </w:pPr>
            <w:r w:rsidRPr="002E5AB2">
              <w:rPr>
                <w:rStyle w:val="Strong"/>
              </w:rPr>
              <w:t>Total Expenses</w:t>
            </w:r>
          </w:p>
        </w:tc>
        <w:tc>
          <w:tcPr>
            <w:tcW w:w="2127" w:type="dxa"/>
            <w:shd w:val="clear" w:color="auto" w:fill="auto"/>
            <w:vAlign w:val="center"/>
          </w:tcPr>
          <w:p w:rsidR="00DC4FFD" w:rsidRPr="002E5AB2" w:rsidRDefault="00DC4FFD" w:rsidP="002E5AB2">
            <w:pPr>
              <w:pStyle w:val="Tabletext"/>
              <w:jc w:val="center"/>
              <w:rPr>
                <w:rStyle w:val="Strong"/>
              </w:rPr>
            </w:pPr>
            <w:r w:rsidRPr="002E5AB2">
              <w:rPr>
                <w:rStyle w:val="Strong"/>
              </w:rPr>
              <w:t>$6.312</w:t>
            </w:r>
          </w:p>
        </w:tc>
      </w:tr>
    </w:tbl>
    <w:p w:rsidR="00DC4FFD" w:rsidRDefault="00DC4FFD" w:rsidP="00ED499C">
      <w:r>
        <w:t xml:space="preserve">Direct expenses </w:t>
      </w:r>
      <w:proofErr w:type="gramStart"/>
      <w:r>
        <w:t>can be traced</w:t>
      </w:r>
      <w:proofErr w:type="gramEnd"/>
      <w:r>
        <w:t xml:space="preserve"> to the provision of an activity, such as staff salaries and supplier costs.</w:t>
      </w:r>
    </w:p>
    <w:p w:rsidR="00DC4FFD" w:rsidRDefault="00DC4FFD" w:rsidP="00ED499C">
      <w:r>
        <w:t xml:space="preserve">Indirect expenses </w:t>
      </w:r>
      <w:proofErr w:type="gramStart"/>
      <w:r>
        <w:t>are not easily linked</w:t>
      </w:r>
      <w:proofErr w:type="gramEnd"/>
      <w:r>
        <w:t xml:space="preserve"> to an activity, such as corporate employee salaries and overheads, including information technology, finance and human resources costs.</w:t>
      </w:r>
    </w:p>
    <w:p w:rsidR="00DC4FFD" w:rsidRDefault="00DC4FFD" w:rsidP="00ED499C">
      <w:pPr>
        <w:rPr>
          <w:rFonts w:cs="Arial"/>
          <w:b/>
          <w:sz w:val="28"/>
        </w:rPr>
      </w:pPr>
      <w:r>
        <w:t>Capital expenses include plant, property and depreciation.</w:t>
      </w:r>
    </w:p>
    <w:p w:rsidR="00DC4FFD" w:rsidRDefault="00DC4FFD" w:rsidP="002E5AB2">
      <w:pPr>
        <w:pStyle w:val="Heading4"/>
      </w:pPr>
      <w:bookmarkStart w:id="91" w:name="_Toc424575478"/>
      <w:r>
        <w:t>B.2.2</w:t>
      </w:r>
      <w:r>
        <w:tab/>
      </w:r>
      <w:bookmarkEnd w:id="91"/>
      <w:r>
        <w:t>Inclusions to the cost base</w:t>
      </w:r>
    </w:p>
    <w:p w:rsidR="00DC4FFD" w:rsidRDefault="00DC4FFD">
      <w:r>
        <w:t xml:space="preserve">Additional costs associated with detained cargo </w:t>
      </w:r>
      <w:proofErr w:type="gramStart"/>
      <w:r>
        <w:t>have been incorporated</w:t>
      </w:r>
      <w:proofErr w:type="gramEnd"/>
      <w:r>
        <w:t xml:space="preserve">. Detained cargo is cargo that has left Australia and encounters difficulty in transit or at the country of import. Due to the highly reactive, uncertain and expensive nature of managing detained cargo, it is important that there is certainty for funding these activities while ensuring the most effective and efficient cost recovery arrangements are in place. Currently no cost recovery arrangement recovers for activities undertaken by the department for detained cargo. Under the redesign, the department will recover costs of managing these incidents through levies imposed on users. </w:t>
      </w:r>
    </w:p>
    <w:p w:rsidR="00DC4FFD" w:rsidRDefault="00DC4FFD">
      <w:r>
        <w:t xml:space="preserve">Cost recovery </w:t>
      </w:r>
      <w:proofErr w:type="gramStart"/>
      <w:r>
        <w:t>is considered</w:t>
      </w:r>
      <w:proofErr w:type="gramEnd"/>
      <w:r>
        <w:t xml:space="preserve"> appropriate as industry benefits by having a system in place that allows the department to manage detained cargo situations when they arise. Activities undertaken by the department in cases of detained cargo include:</w:t>
      </w:r>
    </w:p>
    <w:p w:rsidR="00DC4FFD" w:rsidRDefault="00DC4FFD" w:rsidP="00781323">
      <w:pPr>
        <w:pStyle w:val="ListBullet"/>
      </w:pPr>
      <w:r>
        <w:t>working with foreign governments and agricultural posts</w:t>
      </w:r>
    </w:p>
    <w:p w:rsidR="00DC4FFD" w:rsidRDefault="00DC4FFD" w:rsidP="00781323">
      <w:pPr>
        <w:pStyle w:val="ListBullet"/>
      </w:pPr>
      <w:r>
        <w:t>identifying new markets for the detained cargo</w:t>
      </w:r>
    </w:p>
    <w:p w:rsidR="00DC4FFD" w:rsidRDefault="00DC4FFD" w:rsidP="00781323">
      <w:pPr>
        <w:pStyle w:val="ListBullet"/>
      </w:pPr>
      <w:proofErr w:type="gramStart"/>
      <w:r>
        <w:t>issuing</w:t>
      </w:r>
      <w:proofErr w:type="gramEnd"/>
      <w:r>
        <w:t xml:space="preserve"> certificates to meet new importing country requirements.</w:t>
      </w:r>
    </w:p>
    <w:p w:rsidR="00FC65B8" w:rsidRDefault="00FC65B8" w:rsidP="00FC65B8">
      <w:pPr>
        <w:pStyle w:val="ListBullet"/>
        <w:numPr>
          <w:ilvl w:val="0"/>
          <w:numId w:val="0"/>
        </w:numPr>
      </w:pPr>
      <w:r>
        <w:t>Table 13 summarises changes to the cost base.</w:t>
      </w:r>
    </w:p>
    <w:p w:rsidR="00DC4FFD" w:rsidRDefault="00DC4FFD">
      <w:pPr>
        <w:pStyle w:val="Caption"/>
        <w:keepNext/>
      </w:pPr>
      <w:r>
        <w:lastRenderedPageBreak/>
        <w:t>Table 13: Changes to cost base, horticulture exports</w:t>
      </w:r>
    </w:p>
    <w:tbl>
      <w:tblPr>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50"/>
        <w:gridCol w:w="1277"/>
        <w:gridCol w:w="1445"/>
      </w:tblGrid>
      <w:tr w:rsidR="00DC4FFD" w:rsidTr="00A740B5">
        <w:tc>
          <w:tcPr>
            <w:tcW w:w="6350" w:type="dxa"/>
            <w:shd w:val="solid" w:color="DBE5F1" w:fill="C6D9F1"/>
            <w:vAlign w:val="center"/>
          </w:tcPr>
          <w:p w:rsidR="00DC4FFD" w:rsidRPr="002E5AB2" w:rsidRDefault="00DC4FFD" w:rsidP="002E5AB2">
            <w:pPr>
              <w:pStyle w:val="Tabletext"/>
              <w:rPr>
                <w:rStyle w:val="Strong"/>
              </w:rPr>
            </w:pPr>
            <w:r w:rsidRPr="002E5AB2">
              <w:rPr>
                <w:rStyle w:val="Strong"/>
              </w:rPr>
              <w:t>Adjustment to cost base</w:t>
            </w:r>
          </w:p>
        </w:tc>
        <w:tc>
          <w:tcPr>
            <w:tcW w:w="1277" w:type="dxa"/>
            <w:shd w:val="solid" w:color="DBE5F1" w:fill="C6D9F1"/>
            <w:vAlign w:val="center"/>
          </w:tcPr>
          <w:p w:rsidR="00DC4FFD" w:rsidRPr="002E5AB2" w:rsidRDefault="00DC4FFD" w:rsidP="002E5AB2">
            <w:pPr>
              <w:pStyle w:val="Tabletext"/>
              <w:rPr>
                <w:rStyle w:val="Strong"/>
              </w:rPr>
            </w:pPr>
            <w:r w:rsidRPr="002E5AB2">
              <w:rPr>
                <w:rStyle w:val="Strong"/>
              </w:rPr>
              <w:t>Impact on cost base</w:t>
            </w:r>
          </w:p>
        </w:tc>
        <w:tc>
          <w:tcPr>
            <w:tcW w:w="1445" w:type="dxa"/>
            <w:shd w:val="solid" w:color="DBE5F1" w:fill="C6D9F1"/>
            <w:vAlign w:val="center"/>
          </w:tcPr>
          <w:p w:rsidR="00DC4FFD" w:rsidRPr="002E5AB2" w:rsidRDefault="00DC4FFD" w:rsidP="002E5AB2">
            <w:pPr>
              <w:pStyle w:val="Tabletext"/>
              <w:rPr>
                <w:rStyle w:val="Strong"/>
              </w:rPr>
            </w:pPr>
            <w:r w:rsidRPr="002E5AB2">
              <w:rPr>
                <w:rStyle w:val="Strong"/>
              </w:rPr>
              <w:t xml:space="preserve">Forecast </w:t>
            </w:r>
            <w:r w:rsidRPr="002E5AB2">
              <w:rPr>
                <w:rStyle w:val="Strong"/>
              </w:rPr>
              <w:br/>
              <w:t>($ ’000s)</w:t>
            </w:r>
          </w:p>
        </w:tc>
      </w:tr>
      <w:tr w:rsidR="00DC4FFD" w:rsidTr="00A740B5">
        <w:tc>
          <w:tcPr>
            <w:tcW w:w="6350" w:type="dxa"/>
            <w:shd w:val="clear" w:color="auto" w:fill="auto"/>
          </w:tcPr>
          <w:p w:rsidR="00DC4FFD" w:rsidRDefault="00DC4FFD" w:rsidP="002E5AB2">
            <w:pPr>
              <w:pStyle w:val="Tabletext"/>
            </w:pPr>
            <w:r>
              <w:t>1. Detained consignments</w:t>
            </w:r>
          </w:p>
        </w:tc>
        <w:tc>
          <w:tcPr>
            <w:tcW w:w="1277" w:type="dxa"/>
            <w:shd w:val="clear" w:color="auto" w:fill="auto"/>
            <w:vAlign w:val="center"/>
          </w:tcPr>
          <w:p w:rsidR="00DC4FFD" w:rsidRDefault="00DC4FFD" w:rsidP="002E5AB2">
            <w:pPr>
              <w:pStyle w:val="Tabletext"/>
            </w:pPr>
            <w:r>
              <w:t>Increase</w:t>
            </w:r>
          </w:p>
        </w:tc>
        <w:tc>
          <w:tcPr>
            <w:tcW w:w="1445" w:type="dxa"/>
            <w:shd w:val="clear" w:color="auto" w:fill="auto"/>
            <w:vAlign w:val="center"/>
          </w:tcPr>
          <w:p w:rsidR="00DC4FFD" w:rsidRDefault="00DC4FFD" w:rsidP="002E5AB2">
            <w:pPr>
              <w:pStyle w:val="Tabletext"/>
            </w:pPr>
            <w:r>
              <w:t>$50</w:t>
            </w:r>
          </w:p>
        </w:tc>
      </w:tr>
      <w:tr w:rsidR="00DC4FFD" w:rsidTr="00A740B5">
        <w:tc>
          <w:tcPr>
            <w:tcW w:w="6350" w:type="dxa"/>
            <w:shd w:val="clear" w:color="auto" w:fill="auto"/>
          </w:tcPr>
          <w:p w:rsidR="00DC4FFD" w:rsidRDefault="00DC4FFD" w:rsidP="002E5AB2">
            <w:pPr>
              <w:pStyle w:val="Tabletext"/>
            </w:pPr>
            <w:r>
              <w:t>2. Organic export certification</w:t>
            </w:r>
          </w:p>
        </w:tc>
        <w:tc>
          <w:tcPr>
            <w:tcW w:w="1277" w:type="dxa"/>
            <w:shd w:val="clear" w:color="auto" w:fill="auto"/>
            <w:vAlign w:val="center"/>
          </w:tcPr>
          <w:p w:rsidR="00DC4FFD" w:rsidRDefault="00DC4FFD" w:rsidP="002E5AB2">
            <w:pPr>
              <w:pStyle w:val="Tabletext"/>
            </w:pPr>
            <w:r>
              <w:t>Increase</w:t>
            </w:r>
          </w:p>
        </w:tc>
        <w:tc>
          <w:tcPr>
            <w:tcW w:w="1445" w:type="dxa"/>
            <w:shd w:val="clear" w:color="auto" w:fill="auto"/>
            <w:vAlign w:val="center"/>
          </w:tcPr>
          <w:p w:rsidR="00DC4FFD" w:rsidRDefault="00DC4FFD" w:rsidP="002E5AB2">
            <w:pPr>
              <w:pStyle w:val="Tabletext"/>
            </w:pPr>
            <w:r>
              <w:t>$34</w:t>
            </w:r>
          </w:p>
        </w:tc>
      </w:tr>
      <w:tr w:rsidR="00DC4FFD" w:rsidTr="00A740B5">
        <w:tc>
          <w:tcPr>
            <w:tcW w:w="6350" w:type="dxa"/>
            <w:shd w:val="clear" w:color="auto" w:fill="auto"/>
          </w:tcPr>
          <w:p w:rsidR="00DC4FFD" w:rsidRDefault="00DC4FFD" w:rsidP="002E5AB2">
            <w:pPr>
              <w:pStyle w:val="Tabletext"/>
            </w:pPr>
            <w:r>
              <w:t>3. Depreciation expenses</w:t>
            </w:r>
          </w:p>
        </w:tc>
        <w:tc>
          <w:tcPr>
            <w:tcW w:w="1277" w:type="dxa"/>
            <w:shd w:val="clear" w:color="auto" w:fill="auto"/>
            <w:vAlign w:val="bottom"/>
          </w:tcPr>
          <w:p w:rsidR="00DC4FFD" w:rsidRDefault="00DC4FFD" w:rsidP="002E5AB2">
            <w:pPr>
              <w:pStyle w:val="Tabletext"/>
            </w:pPr>
            <w:r>
              <w:t>Increase</w:t>
            </w:r>
          </w:p>
        </w:tc>
        <w:tc>
          <w:tcPr>
            <w:tcW w:w="1445" w:type="dxa"/>
            <w:shd w:val="clear" w:color="auto" w:fill="auto"/>
            <w:vAlign w:val="center"/>
          </w:tcPr>
          <w:p w:rsidR="00DC4FFD" w:rsidRDefault="00DC4FFD" w:rsidP="002E5AB2">
            <w:pPr>
              <w:pStyle w:val="Tabletext"/>
            </w:pPr>
            <w:r>
              <w:t>$95</w:t>
            </w:r>
          </w:p>
        </w:tc>
      </w:tr>
      <w:tr w:rsidR="00DC4FFD" w:rsidTr="00A740B5">
        <w:tc>
          <w:tcPr>
            <w:tcW w:w="6350" w:type="dxa"/>
            <w:shd w:val="clear" w:color="auto" w:fill="auto"/>
          </w:tcPr>
          <w:p w:rsidR="00DC4FFD" w:rsidRPr="002E5AB2" w:rsidRDefault="00DC4FFD" w:rsidP="002E5AB2">
            <w:pPr>
              <w:pStyle w:val="Tabletext"/>
              <w:ind w:left="488"/>
              <w:rPr>
                <w:rStyle w:val="Strong"/>
              </w:rPr>
            </w:pPr>
            <w:r w:rsidRPr="002E5AB2">
              <w:rPr>
                <w:rStyle w:val="Strong"/>
              </w:rPr>
              <w:t>Total expenditure of adjustments to cost base</w:t>
            </w:r>
          </w:p>
        </w:tc>
        <w:tc>
          <w:tcPr>
            <w:tcW w:w="1277" w:type="dxa"/>
            <w:shd w:val="clear" w:color="auto" w:fill="auto"/>
            <w:vAlign w:val="bottom"/>
          </w:tcPr>
          <w:p w:rsidR="00DC4FFD" w:rsidRDefault="00DC4FFD" w:rsidP="002E5AB2">
            <w:pPr>
              <w:pStyle w:val="Tabletext"/>
            </w:pPr>
            <w:r>
              <w:t>Increase</w:t>
            </w:r>
          </w:p>
        </w:tc>
        <w:tc>
          <w:tcPr>
            <w:tcW w:w="1445" w:type="dxa"/>
            <w:shd w:val="clear" w:color="auto" w:fill="auto"/>
            <w:vAlign w:val="center"/>
          </w:tcPr>
          <w:p w:rsidR="00DC4FFD" w:rsidRDefault="00DC4FFD" w:rsidP="002E5AB2">
            <w:pPr>
              <w:pStyle w:val="Tabletext"/>
            </w:pPr>
            <w:r>
              <w:t>$179</w:t>
            </w:r>
          </w:p>
        </w:tc>
      </w:tr>
      <w:tr w:rsidR="00DC4FFD" w:rsidTr="00A740B5">
        <w:tc>
          <w:tcPr>
            <w:tcW w:w="6350" w:type="dxa"/>
            <w:shd w:val="clear" w:color="auto" w:fill="auto"/>
          </w:tcPr>
          <w:p w:rsidR="00DC4FFD" w:rsidRPr="002E5AB2" w:rsidRDefault="00DC4FFD" w:rsidP="002E5AB2">
            <w:pPr>
              <w:pStyle w:val="Tabletext"/>
              <w:ind w:left="488"/>
              <w:rPr>
                <w:rStyle w:val="Strong"/>
              </w:rPr>
            </w:pPr>
            <w:r w:rsidRPr="002E5AB2">
              <w:rPr>
                <w:rStyle w:val="Strong"/>
              </w:rPr>
              <w:t>Total baseline expenditure</w:t>
            </w:r>
          </w:p>
        </w:tc>
        <w:tc>
          <w:tcPr>
            <w:tcW w:w="1277" w:type="dxa"/>
            <w:shd w:val="clear" w:color="auto" w:fill="auto"/>
            <w:vAlign w:val="bottom"/>
          </w:tcPr>
          <w:p w:rsidR="00DC4FFD" w:rsidRDefault="00DC4FFD" w:rsidP="002E5AB2">
            <w:pPr>
              <w:pStyle w:val="Tabletext"/>
            </w:pPr>
          </w:p>
        </w:tc>
        <w:tc>
          <w:tcPr>
            <w:tcW w:w="1445" w:type="dxa"/>
            <w:shd w:val="clear" w:color="auto" w:fill="auto"/>
            <w:vAlign w:val="center"/>
          </w:tcPr>
          <w:p w:rsidR="00DC4FFD" w:rsidRDefault="00DC4FFD" w:rsidP="002E5AB2">
            <w:pPr>
              <w:pStyle w:val="Tabletext"/>
            </w:pPr>
            <w:r>
              <w:t>$6 132</w:t>
            </w:r>
          </w:p>
        </w:tc>
      </w:tr>
      <w:tr w:rsidR="00DC4FFD" w:rsidTr="00A740B5">
        <w:tc>
          <w:tcPr>
            <w:tcW w:w="6350" w:type="dxa"/>
            <w:shd w:val="clear" w:color="auto" w:fill="auto"/>
          </w:tcPr>
          <w:p w:rsidR="00DC4FFD" w:rsidRPr="002E5AB2" w:rsidRDefault="00DC4FFD" w:rsidP="002E5AB2">
            <w:pPr>
              <w:pStyle w:val="Tabletext"/>
              <w:ind w:left="488"/>
              <w:rPr>
                <w:rStyle w:val="Strong"/>
              </w:rPr>
            </w:pPr>
            <w:r w:rsidRPr="002E5AB2">
              <w:rPr>
                <w:rStyle w:val="Strong"/>
              </w:rPr>
              <w:t>Adjusted cost recoverable expenditure (cost base)</w:t>
            </w:r>
          </w:p>
        </w:tc>
        <w:tc>
          <w:tcPr>
            <w:tcW w:w="1277" w:type="dxa"/>
            <w:shd w:val="clear" w:color="auto" w:fill="auto"/>
            <w:vAlign w:val="bottom"/>
          </w:tcPr>
          <w:p w:rsidR="00DC4FFD" w:rsidRDefault="00DC4FFD" w:rsidP="002E5AB2">
            <w:pPr>
              <w:pStyle w:val="Tabletext"/>
            </w:pPr>
          </w:p>
        </w:tc>
        <w:tc>
          <w:tcPr>
            <w:tcW w:w="1445" w:type="dxa"/>
            <w:shd w:val="clear" w:color="auto" w:fill="auto"/>
            <w:vAlign w:val="center"/>
          </w:tcPr>
          <w:p w:rsidR="00DC4FFD" w:rsidRDefault="00DC4FFD" w:rsidP="002E5AB2">
            <w:pPr>
              <w:pStyle w:val="Tabletext"/>
            </w:pPr>
            <w:r>
              <w:t>$6 312</w:t>
            </w:r>
          </w:p>
        </w:tc>
      </w:tr>
      <w:tr w:rsidR="00DC4FFD" w:rsidTr="00A740B5">
        <w:tc>
          <w:tcPr>
            <w:tcW w:w="6350" w:type="dxa"/>
            <w:shd w:val="clear" w:color="auto" w:fill="auto"/>
          </w:tcPr>
          <w:p w:rsidR="00DC4FFD" w:rsidRPr="002E5AB2" w:rsidRDefault="00DC4FFD" w:rsidP="002E5AB2">
            <w:pPr>
              <w:pStyle w:val="Tabletext"/>
              <w:ind w:left="488"/>
              <w:rPr>
                <w:rStyle w:val="Strong"/>
              </w:rPr>
            </w:pPr>
            <w:r w:rsidRPr="002E5AB2">
              <w:rPr>
                <w:rStyle w:val="Strong"/>
              </w:rPr>
              <w:t>Change in expenditure</w:t>
            </w:r>
          </w:p>
        </w:tc>
        <w:tc>
          <w:tcPr>
            <w:tcW w:w="1277" w:type="dxa"/>
            <w:shd w:val="clear" w:color="auto" w:fill="auto"/>
            <w:vAlign w:val="bottom"/>
          </w:tcPr>
          <w:p w:rsidR="00DC4FFD" w:rsidRDefault="00DC4FFD" w:rsidP="002E5AB2">
            <w:pPr>
              <w:pStyle w:val="Tabletext"/>
            </w:pPr>
            <w:r>
              <w:t>Increase</w:t>
            </w:r>
          </w:p>
        </w:tc>
        <w:tc>
          <w:tcPr>
            <w:tcW w:w="1445" w:type="dxa"/>
            <w:shd w:val="clear" w:color="auto" w:fill="auto"/>
            <w:vAlign w:val="center"/>
          </w:tcPr>
          <w:p w:rsidR="00DC4FFD" w:rsidRPr="002E5AB2" w:rsidRDefault="00DC4FFD" w:rsidP="002E5AB2">
            <w:pPr>
              <w:pStyle w:val="Tabletext"/>
              <w:rPr>
                <w:rStyle w:val="Strong"/>
              </w:rPr>
            </w:pPr>
            <w:r w:rsidRPr="002E5AB2">
              <w:rPr>
                <w:rStyle w:val="Strong"/>
              </w:rPr>
              <w:t>3%</w:t>
            </w:r>
          </w:p>
        </w:tc>
      </w:tr>
    </w:tbl>
    <w:p w:rsidR="00DC4FFD" w:rsidRDefault="00DC4FFD" w:rsidP="002E338A">
      <w:pPr>
        <w:pStyle w:val="Heading3"/>
        <w:numPr>
          <w:ilvl w:val="0"/>
          <w:numId w:val="0"/>
        </w:numPr>
        <w:ind w:left="794" w:hanging="794"/>
      </w:pPr>
      <w:bookmarkStart w:id="92" w:name="_Toc424575479"/>
      <w:bookmarkStart w:id="93" w:name="_Toc433035568"/>
      <w:r>
        <w:t>B.3</w:t>
      </w:r>
      <w:r>
        <w:tab/>
        <w:t>Financial estimates</w:t>
      </w:r>
      <w:bookmarkEnd w:id="92"/>
      <w:bookmarkEnd w:id="93"/>
    </w:p>
    <w:p w:rsidR="00DC4FFD" w:rsidRDefault="00DC4FFD">
      <w:r>
        <w:t xml:space="preserve">A summary of the annual budgeted operating position for the horticulture cost recovery arrangement </w:t>
      </w:r>
      <w:proofErr w:type="gramStart"/>
      <w:r>
        <w:t>is provided</w:t>
      </w:r>
      <w:proofErr w:type="gramEnd"/>
      <w:r>
        <w:t xml:space="preserve"> at Table 14. All </w:t>
      </w:r>
      <w:proofErr w:type="gramStart"/>
      <w:r>
        <w:t>cost recovered</w:t>
      </w:r>
      <w:proofErr w:type="gramEnd"/>
      <w:r>
        <w:t xml:space="preserve"> activities are subject to a detailed semi-annual review as part of departmental budgeting processes. </w:t>
      </w:r>
    </w:p>
    <w:p w:rsidR="00DC4FFD" w:rsidRDefault="00DC4FFD">
      <w:pPr>
        <w:pStyle w:val="Caption"/>
        <w:keepNext/>
        <w:keepLines/>
      </w:pPr>
      <w:r>
        <w:t>Table 14: Financial estimates—horticulture exports cost recovery arrangement</w:t>
      </w:r>
    </w:p>
    <w:tbl>
      <w:tblPr>
        <w:tblW w:w="89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337"/>
        <w:gridCol w:w="1338"/>
        <w:gridCol w:w="1338"/>
        <w:gridCol w:w="1338"/>
        <w:gridCol w:w="1338"/>
      </w:tblGrid>
      <w:tr w:rsidR="00DC4FFD" w:rsidTr="00DD4C7C">
        <w:trPr>
          <w:cantSplit/>
          <w:tblHeader/>
          <w:jc w:val="center"/>
        </w:trPr>
        <w:tc>
          <w:tcPr>
            <w:tcW w:w="2301" w:type="dxa"/>
            <w:shd w:val="solid" w:color="C6D9F1" w:fill="C6D9F1"/>
            <w:vAlign w:val="center"/>
          </w:tcPr>
          <w:p w:rsidR="00DC4FFD" w:rsidRPr="003C388A" w:rsidRDefault="00DC4FFD" w:rsidP="003C388A">
            <w:pPr>
              <w:pStyle w:val="Tabletext"/>
              <w:rPr>
                <w:rStyle w:val="Strong"/>
              </w:rPr>
            </w:pPr>
            <w:r>
              <w:br w:type="page"/>
            </w:r>
            <w:bookmarkStart w:id="94" w:name="_Toc424575480"/>
            <w:r w:rsidRPr="003C388A">
              <w:rPr>
                <w:rStyle w:val="Strong"/>
              </w:rPr>
              <w:t>Finance element</w:t>
            </w:r>
          </w:p>
        </w:tc>
        <w:tc>
          <w:tcPr>
            <w:tcW w:w="1337" w:type="dxa"/>
            <w:shd w:val="solid" w:color="C6D9F1" w:fill="C6D9F1"/>
          </w:tcPr>
          <w:p w:rsidR="00DC4FFD" w:rsidRPr="003C388A" w:rsidRDefault="00DC4FFD" w:rsidP="003C388A">
            <w:pPr>
              <w:pStyle w:val="Tabletext"/>
              <w:rPr>
                <w:rStyle w:val="Strong"/>
              </w:rPr>
            </w:pPr>
            <w:r w:rsidRPr="003C388A">
              <w:rPr>
                <w:rStyle w:val="Strong"/>
              </w:rPr>
              <w:t>A</w:t>
            </w:r>
          </w:p>
          <w:p w:rsidR="00DC4FFD" w:rsidRPr="003C388A" w:rsidRDefault="00DC4FFD" w:rsidP="003C388A">
            <w:pPr>
              <w:pStyle w:val="Tabletext"/>
              <w:rPr>
                <w:rStyle w:val="Strong"/>
              </w:rPr>
            </w:pPr>
            <w:r w:rsidRPr="003C388A">
              <w:rPr>
                <w:rStyle w:val="Strong"/>
              </w:rPr>
              <w:t>2014–15</w:t>
            </w:r>
          </w:p>
        </w:tc>
        <w:tc>
          <w:tcPr>
            <w:tcW w:w="1338" w:type="dxa"/>
            <w:shd w:val="solid" w:color="C6D9F1" w:fill="C6D9F1"/>
          </w:tcPr>
          <w:p w:rsidR="00DC4FFD" w:rsidRPr="003C388A" w:rsidRDefault="00DC4FFD" w:rsidP="003C388A">
            <w:pPr>
              <w:pStyle w:val="Tabletext"/>
              <w:rPr>
                <w:rStyle w:val="Strong"/>
              </w:rPr>
            </w:pPr>
            <w:r w:rsidRPr="003C388A">
              <w:rPr>
                <w:rStyle w:val="Strong"/>
              </w:rPr>
              <w:t>B</w:t>
            </w:r>
          </w:p>
          <w:p w:rsidR="00DC4FFD" w:rsidRPr="003C388A" w:rsidRDefault="00DC4FFD" w:rsidP="003C388A">
            <w:pPr>
              <w:pStyle w:val="Tabletext"/>
              <w:rPr>
                <w:rStyle w:val="Strong"/>
              </w:rPr>
            </w:pPr>
            <w:r w:rsidRPr="003C388A">
              <w:rPr>
                <w:rStyle w:val="Strong"/>
              </w:rPr>
              <w:t>2015–16</w:t>
            </w:r>
          </w:p>
        </w:tc>
        <w:tc>
          <w:tcPr>
            <w:tcW w:w="1338" w:type="dxa"/>
            <w:shd w:val="solid" w:color="C6D9F1" w:fill="C6D9F1"/>
          </w:tcPr>
          <w:p w:rsidR="00DC4FFD" w:rsidRPr="003C388A" w:rsidRDefault="00DC4FFD" w:rsidP="003C388A">
            <w:pPr>
              <w:pStyle w:val="Tabletext"/>
              <w:rPr>
                <w:rStyle w:val="Strong"/>
              </w:rPr>
            </w:pPr>
            <w:r w:rsidRPr="003C388A">
              <w:rPr>
                <w:rStyle w:val="Strong"/>
              </w:rPr>
              <w:t>C</w:t>
            </w:r>
          </w:p>
          <w:p w:rsidR="00DC4FFD" w:rsidRPr="003C388A" w:rsidRDefault="00DC4FFD" w:rsidP="003C388A">
            <w:pPr>
              <w:pStyle w:val="Tabletext"/>
              <w:rPr>
                <w:rStyle w:val="Strong"/>
              </w:rPr>
            </w:pPr>
            <w:r w:rsidRPr="003C388A">
              <w:rPr>
                <w:rStyle w:val="Strong"/>
              </w:rPr>
              <w:t>2016–17</w:t>
            </w:r>
          </w:p>
        </w:tc>
        <w:tc>
          <w:tcPr>
            <w:tcW w:w="1338" w:type="dxa"/>
            <w:shd w:val="solid" w:color="C6D9F1" w:fill="C6D9F1"/>
          </w:tcPr>
          <w:p w:rsidR="00DC4FFD" w:rsidRPr="003C388A" w:rsidRDefault="00DC4FFD" w:rsidP="003C388A">
            <w:pPr>
              <w:pStyle w:val="Tabletext"/>
              <w:rPr>
                <w:rStyle w:val="Strong"/>
              </w:rPr>
            </w:pPr>
            <w:r w:rsidRPr="003C388A">
              <w:rPr>
                <w:rStyle w:val="Strong"/>
              </w:rPr>
              <w:t>D</w:t>
            </w:r>
          </w:p>
          <w:p w:rsidR="00DC4FFD" w:rsidRPr="003C388A" w:rsidRDefault="00DC4FFD" w:rsidP="003C388A">
            <w:pPr>
              <w:pStyle w:val="Tabletext"/>
              <w:rPr>
                <w:rStyle w:val="Strong"/>
              </w:rPr>
            </w:pPr>
            <w:r w:rsidRPr="003C388A">
              <w:rPr>
                <w:rStyle w:val="Strong"/>
              </w:rPr>
              <w:t>2017–18</w:t>
            </w:r>
          </w:p>
        </w:tc>
        <w:tc>
          <w:tcPr>
            <w:tcW w:w="1338" w:type="dxa"/>
            <w:shd w:val="solid" w:color="C6D9F1" w:fill="C6D9F1"/>
          </w:tcPr>
          <w:p w:rsidR="003C388A" w:rsidRPr="003C388A" w:rsidRDefault="00DC4FFD" w:rsidP="003C388A">
            <w:pPr>
              <w:pStyle w:val="Tabletext"/>
              <w:rPr>
                <w:rStyle w:val="Strong"/>
              </w:rPr>
            </w:pPr>
            <w:r w:rsidRPr="003C388A">
              <w:rPr>
                <w:rStyle w:val="Strong"/>
              </w:rPr>
              <w:t>E</w:t>
            </w:r>
          </w:p>
          <w:p w:rsidR="00DC4FFD" w:rsidRPr="003C388A" w:rsidRDefault="00DC4FFD" w:rsidP="003C388A">
            <w:pPr>
              <w:pStyle w:val="Tabletext"/>
              <w:rPr>
                <w:rStyle w:val="Strong"/>
              </w:rPr>
            </w:pPr>
            <w:r w:rsidRPr="003C388A">
              <w:rPr>
                <w:rStyle w:val="Strong"/>
              </w:rPr>
              <w:t>2018–19</w:t>
            </w:r>
          </w:p>
        </w:tc>
      </w:tr>
      <w:tr w:rsidR="00DC4FFD" w:rsidTr="00DD4C7C">
        <w:trPr>
          <w:cantSplit/>
          <w:trHeight w:val="479"/>
          <w:jc w:val="center"/>
        </w:trPr>
        <w:tc>
          <w:tcPr>
            <w:tcW w:w="2301" w:type="dxa"/>
            <w:shd w:val="clear" w:color="auto" w:fill="auto"/>
            <w:vAlign w:val="center"/>
          </w:tcPr>
          <w:p w:rsidR="00DC4FFD" w:rsidRDefault="00DC4FFD" w:rsidP="003C388A">
            <w:pPr>
              <w:pStyle w:val="Tabletext"/>
            </w:pPr>
            <w:r>
              <w:t>Expenses = X</w:t>
            </w:r>
          </w:p>
        </w:tc>
        <w:tc>
          <w:tcPr>
            <w:tcW w:w="1337" w:type="dxa"/>
            <w:shd w:val="clear" w:color="auto" w:fill="auto"/>
            <w:vAlign w:val="center"/>
          </w:tcPr>
          <w:p w:rsidR="00DC4FFD" w:rsidRDefault="00DC4FFD" w:rsidP="003C388A">
            <w:pPr>
              <w:pStyle w:val="Tabletext"/>
              <w:rPr>
                <w:rFonts w:cs="Arial"/>
              </w:rPr>
            </w:pPr>
            <w:r>
              <w:rPr>
                <w:rFonts w:cs="Arial"/>
              </w:rPr>
              <w:t>$8 343 017</w:t>
            </w:r>
          </w:p>
        </w:tc>
        <w:tc>
          <w:tcPr>
            <w:tcW w:w="1338" w:type="dxa"/>
            <w:shd w:val="clear" w:color="auto" w:fill="auto"/>
            <w:vAlign w:val="center"/>
          </w:tcPr>
          <w:p w:rsidR="00DC4FFD" w:rsidRDefault="00DC4FFD" w:rsidP="003C388A">
            <w:pPr>
              <w:pStyle w:val="Tabletext"/>
              <w:rPr>
                <w:rFonts w:cs="Arial"/>
              </w:rPr>
            </w:pPr>
            <w:r>
              <w:rPr>
                <w:rFonts w:cs="Arial"/>
              </w:rPr>
              <w:t>$6 075 386</w:t>
            </w:r>
          </w:p>
        </w:tc>
        <w:tc>
          <w:tcPr>
            <w:tcW w:w="1338" w:type="dxa"/>
            <w:shd w:val="clear" w:color="auto" w:fill="auto"/>
            <w:vAlign w:val="center"/>
          </w:tcPr>
          <w:p w:rsidR="00DC4FFD" w:rsidRDefault="00DC4FFD" w:rsidP="003C388A">
            <w:pPr>
              <w:pStyle w:val="Tabletext"/>
              <w:rPr>
                <w:rFonts w:cs="Arial"/>
              </w:rPr>
            </w:pPr>
            <w:r>
              <w:rPr>
                <w:rFonts w:cs="Arial"/>
              </w:rPr>
              <w:t>$6 835 217</w:t>
            </w:r>
          </w:p>
        </w:tc>
        <w:tc>
          <w:tcPr>
            <w:tcW w:w="1338" w:type="dxa"/>
            <w:shd w:val="clear" w:color="auto" w:fill="auto"/>
            <w:vAlign w:val="center"/>
          </w:tcPr>
          <w:p w:rsidR="00DC4FFD" w:rsidRDefault="00DC4FFD" w:rsidP="003C388A">
            <w:pPr>
              <w:pStyle w:val="Tabletext"/>
              <w:rPr>
                <w:rFonts w:cs="Arial"/>
              </w:rPr>
            </w:pPr>
            <w:r>
              <w:rPr>
                <w:rFonts w:cs="Arial"/>
              </w:rPr>
              <w:t>$6 098 359</w:t>
            </w:r>
          </w:p>
        </w:tc>
        <w:tc>
          <w:tcPr>
            <w:tcW w:w="1338" w:type="dxa"/>
            <w:vAlign w:val="center"/>
          </w:tcPr>
          <w:p w:rsidR="00DC4FFD" w:rsidRDefault="00DC4FFD" w:rsidP="003C388A">
            <w:pPr>
              <w:pStyle w:val="Tabletext"/>
              <w:rPr>
                <w:rFonts w:cs="Arial"/>
              </w:rPr>
            </w:pPr>
            <w:r>
              <w:rPr>
                <w:rFonts w:cs="Arial"/>
              </w:rPr>
              <w:t>$6 238 190</w:t>
            </w:r>
          </w:p>
        </w:tc>
      </w:tr>
      <w:tr w:rsidR="00DC4FFD" w:rsidTr="00DD4C7C">
        <w:trPr>
          <w:cantSplit/>
          <w:trHeight w:val="415"/>
          <w:jc w:val="center"/>
        </w:trPr>
        <w:tc>
          <w:tcPr>
            <w:tcW w:w="2301" w:type="dxa"/>
            <w:shd w:val="clear" w:color="auto" w:fill="auto"/>
            <w:vAlign w:val="center"/>
          </w:tcPr>
          <w:p w:rsidR="00DC4FFD" w:rsidRDefault="00DC4FFD" w:rsidP="003C388A">
            <w:pPr>
              <w:pStyle w:val="Tabletext"/>
            </w:pPr>
            <w:r>
              <w:t>Revenue = Y</w:t>
            </w:r>
          </w:p>
        </w:tc>
        <w:tc>
          <w:tcPr>
            <w:tcW w:w="1337"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lang w:eastAsia="en-AU"/>
              </w:rPr>
            </w:pPr>
            <w:r>
              <w:rPr>
                <w:rFonts w:cs="Arial"/>
              </w:rPr>
              <w:t>$6 133 048</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rPr>
              <w:t>$5 864 952</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rPr>
              <w:t>$6 763 415</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rPr>
              <w:t>$6 432 837</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rPr>
              <w:t>$6 407 337</w:t>
            </w:r>
          </w:p>
        </w:tc>
      </w:tr>
      <w:tr w:rsidR="00DC4FFD" w:rsidTr="00DD4C7C">
        <w:trPr>
          <w:cantSplit/>
          <w:trHeight w:val="397"/>
          <w:jc w:val="center"/>
        </w:trPr>
        <w:tc>
          <w:tcPr>
            <w:tcW w:w="2301" w:type="dxa"/>
            <w:shd w:val="clear" w:color="auto" w:fill="auto"/>
            <w:vAlign w:val="center"/>
          </w:tcPr>
          <w:p w:rsidR="00DC4FFD" w:rsidRDefault="00DC4FFD" w:rsidP="003C388A">
            <w:pPr>
              <w:pStyle w:val="Tabletext"/>
            </w:pPr>
            <w:r>
              <w:t>Balance = Y – X</w:t>
            </w:r>
          </w:p>
        </w:tc>
        <w:tc>
          <w:tcPr>
            <w:tcW w:w="1337"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$-2 209 969</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$-210 433</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 xml:space="preserve">$-71 802 </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$334 478</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$169 147</w:t>
            </w:r>
          </w:p>
        </w:tc>
      </w:tr>
      <w:tr w:rsidR="00DC4FFD" w:rsidTr="00DD4C7C">
        <w:trPr>
          <w:cantSplit/>
          <w:trHeight w:val="365"/>
          <w:jc w:val="center"/>
        </w:trPr>
        <w:tc>
          <w:tcPr>
            <w:tcW w:w="2301" w:type="dxa"/>
            <w:shd w:val="clear" w:color="auto" w:fill="auto"/>
            <w:vAlign w:val="center"/>
          </w:tcPr>
          <w:p w:rsidR="00DC4FFD" w:rsidRDefault="00DC4FFD" w:rsidP="003C388A">
            <w:pPr>
              <w:pStyle w:val="Tabletext"/>
            </w:pPr>
            <w:r>
              <w:t>Forecast opening cost recovery reserve balance</w:t>
            </w:r>
          </w:p>
        </w:tc>
        <w:tc>
          <w:tcPr>
            <w:tcW w:w="1337" w:type="dxa"/>
            <w:shd w:val="clear" w:color="auto" w:fill="auto"/>
            <w:vAlign w:val="center"/>
          </w:tcPr>
          <w:p w:rsidR="00DC4FFD" w:rsidRDefault="00DC4FFD" w:rsidP="003C388A">
            <w:pPr>
              <w:pStyle w:val="Tabletext"/>
            </w:pPr>
            <w:r>
              <w:t>NA</w:t>
            </w:r>
          </w:p>
        </w:tc>
        <w:tc>
          <w:tcPr>
            <w:tcW w:w="1338" w:type="dxa"/>
            <w:shd w:val="clear" w:color="auto" w:fill="auto"/>
            <w:vAlign w:val="center"/>
          </w:tcPr>
          <w:p w:rsidR="00DC4FFD" w:rsidRDefault="00DC4FFD" w:rsidP="003C388A">
            <w:pPr>
              <w:pStyle w:val="Tabletext"/>
            </w:pPr>
            <w:r>
              <w:t>-</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lang w:eastAsia="en-AU"/>
              </w:rPr>
            </w:pPr>
            <w:r>
              <w:rPr>
                <w:rFonts w:cs="Arial"/>
              </w:rPr>
              <w:t>$-210 433</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rPr>
              <w:t>$-282 235</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rPr>
              <w:t>$52 253</w:t>
            </w:r>
          </w:p>
        </w:tc>
      </w:tr>
      <w:tr w:rsidR="00DC4FFD" w:rsidTr="00DD4C7C">
        <w:trPr>
          <w:cantSplit/>
          <w:trHeight w:val="365"/>
          <w:jc w:val="center"/>
        </w:trPr>
        <w:tc>
          <w:tcPr>
            <w:tcW w:w="2301" w:type="dxa"/>
            <w:shd w:val="clear" w:color="auto" w:fill="auto"/>
            <w:vAlign w:val="center"/>
          </w:tcPr>
          <w:p w:rsidR="00DC4FFD" w:rsidRDefault="00DC4FFD" w:rsidP="003C388A">
            <w:pPr>
              <w:pStyle w:val="Tabletext"/>
            </w:pPr>
            <w:r>
              <w:t>Transfer</w:t>
            </w:r>
          </w:p>
        </w:tc>
        <w:tc>
          <w:tcPr>
            <w:tcW w:w="1337" w:type="dxa"/>
            <w:shd w:val="clear" w:color="auto" w:fill="auto"/>
            <w:vAlign w:val="center"/>
          </w:tcPr>
          <w:p w:rsidR="00DC4FFD" w:rsidRDefault="00DC4FFD" w:rsidP="003C388A">
            <w:pPr>
              <w:pStyle w:val="Tabletext"/>
              <w:rPr>
                <w:rFonts w:cs="Arial"/>
                <w:lang w:eastAsia="en-AU"/>
              </w:rPr>
            </w:pPr>
            <w:r>
              <w:rPr>
                <w:rFonts w:cs="Arial"/>
                <w:lang w:eastAsia="en-AU"/>
              </w:rPr>
              <w:t>NA</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lang w:eastAsia="en-AU"/>
              </w:rPr>
            </w:pPr>
            <w:r>
              <w:rPr>
                <w:rFonts w:cs="Arial"/>
                <w:bCs/>
              </w:rPr>
              <w:t>$-210 433</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rPr>
            </w:pPr>
            <w:r>
              <w:rPr>
                <w:rFonts w:cs="Arial"/>
                <w:bCs/>
              </w:rPr>
              <w:t>$-71 802</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bCs/>
              </w:rPr>
            </w:pPr>
            <w:r>
              <w:rPr>
                <w:rFonts w:cs="Arial"/>
              </w:rPr>
              <w:t>$334 478</w:t>
            </w:r>
          </w:p>
        </w:tc>
        <w:tc>
          <w:tcPr>
            <w:tcW w:w="1338" w:type="dxa"/>
            <w:tcBorders>
              <w:top w:val="nil"/>
              <w:left w:val="nil"/>
              <w:bottom w:val="single" w:sz="8" w:space="0" w:color="000000"/>
              <w:right w:val="single" w:sz="8" w:space="0" w:color="000000"/>
            </w:tcBorders>
            <w:shd w:val="clear" w:color="auto" w:fill="auto"/>
            <w:vAlign w:val="center"/>
          </w:tcPr>
          <w:p w:rsidR="00DC4FFD" w:rsidRDefault="00DC4FFD" w:rsidP="003C388A">
            <w:pPr>
              <w:pStyle w:val="Tabletext"/>
              <w:rPr>
                <w:rFonts w:cs="Arial"/>
                <w:bCs/>
              </w:rPr>
            </w:pPr>
            <w:r>
              <w:rPr>
                <w:rFonts w:cs="Arial"/>
                <w:bCs/>
              </w:rPr>
              <w:t>$169 147</w:t>
            </w:r>
          </w:p>
        </w:tc>
      </w:tr>
      <w:tr w:rsidR="00DC4FFD" w:rsidTr="00DD4C7C">
        <w:trPr>
          <w:cantSplit/>
          <w:trHeight w:val="365"/>
          <w:jc w:val="center"/>
        </w:trPr>
        <w:tc>
          <w:tcPr>
            <w:tcW w:w="2301" w:type="dxa"/>
            <w:shd w:val="clear" w:color="auto" w:fill="auto"/>
            <w:vAlign w:val="center"/>
          </w:tcPr>
          <w:p w:rsidR="00DC4FFD" w:rsidRDefault="00DC4FFD" w:rsidP="003C388A">
            <w:pPr>
              <w:pStyle w:val="Tabletext"/>
            </w:pPr>
            <w:r>
              <w:t>Forecast closing cost recovery reserve balance</w:t>
            </w:r>
          </w:p>
        </w:tc>
        <w:tc>
          <w:tcPr>
            <w:tcW w:w="1337" w:type="dxa"/>
            <w:shd w:val="clear" w:color="auto" w:fill="auto"/>
            <w:vAlign w:val="center"/>
          </w:tcPr>
          <w:p w:rsidR="00DC4FFD" w:rsidRDefault="00DC4FFD" w:rsidP="003C388A">
            <w:pPr>
              <w:pStyle w:val="Tabletext"/>
              <w:rPr>
                <w:rFonts w:cs="Arial"/>
                <w:lang w:eastAsia="en-AU"/>
              </w:rPr>
            </w:pPr>
            <w:r>
              <w:rPr>
                <w:rFonts w:cs="Arial"/>
                <w:lang w:eastAsia="en-AU"/>
              </w:rPr>
              <w:t>NA</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$-210 433</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$-282 235</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$52 243</w:t>
            </w:r>
          </w:p>
        </w:tc>
        <w:tc>
          <w:tcPr>
            <w:tcW w:w="1338" w:type="dxa"/>
            <w:tcBorders>
              <w:top w:val="nil"/>
              <w:left w:val="nil"/>
              <w:bottom w:val="single" w:sz="8" w:space="0" w:color="000000"/>
              <w:right w:val="single" w:sz="8" w:space="0" w:color="000000"/>
            </w:tcBorders>
            <w:shd w:val="clear" w:color="auto" w:fill="auto"/>
            <w:vAlign w:val="center"/>
          </w:tcPr>
          <w:p w:rsidR="00DC4FFD" w:rsidRPr="003C388A" w:rsidRDefault="00DC4FFD" w:rsidP="003C388A">
            <w:pPr>
              <w:pStyle w:val="Tabletext"/>
              <w:rPr>
                <w:rStyle w:val="Strong"/>
              </w:rPr>
            </w:pPr>
            <w:r w:rsidRPr="003C388A">
              <w:rPr>
                <w:rStyle w:val="Strong"/>
              </w:rPr>
              <w:t>$221 389</w:t>
            </w:r>
          </w:p>
        </w:tc>
      </w:tr>
    </w:tbl>
    <w:p w:rsidR="00A740B5" w:rsidRDefault="00A740B5" w:rsidP="00ED499C"/>
    <w:p w:rsidR="00A740B5" w:rsidRDefault="00A740B5" w:rsidP="00ED499C">
      <w:r>
        <w:lastRenderedPageBreak/>
        <w:t>Materiality is applied in accordance with Public Governance, Performance and Accountability (Financial Reporting) Rule 2015 Part 2 - 7 (2), AASB 108 Accounting Policies, Changes in Accounting Estimates and Errors and AASB 101 Presentation of Financial Statements  as defined by AASB108.</w:t>
      </w:r>
    </w:p>
    <w:p w:rsidR="00DC4FFD" w:rsidRDefault="00DC4FFD" w:rsidP="00ED499C">
      <w:r>
        <w:t>In line with existing industry reserves policy, the cumulative balance will remain consistent with the target range of zero to five percent of annual programme expenditure.</w:t>
      </w:r>
    </w:p>
    <w:p w:rsidR="00A740B5" w:rsidRDefault="00A740B5">
      <w:pPr>
        <w:spacing w:after="0"/>
        <w:rPr>
          <w:b/>
          <w:sz w:val="32"/>
          <w:szCs w:val="20"/>
          <w:lang w:val="x-none"/>
        </w:rPr>
      </w:pPr>
      <w:bookmarkStart w:id="95" w:name="_Toc433035569"/>
      <w:r>
        <w:br w:type="page"/>
      </w:r>
    </w:p>
    <w:p w:rsidR="00DC4FFD" w:rsidRDefault="00DC4FFD" w:rsidP="003C388A">
      <w:pPr>
        <w:pStyle w:val="Heading3"/>
        <w:numPr>
          <w:ilvl w:val="0"/>
          <w:numId w:val="0"/>
        </w:numPr>
        <w:ind w:left="794" w:hanging="794"/>
      </w:pPr>
      <w:r>
        <w:lastRenderedPageBreak/>
        <w:t>B.4</w:t>
      </w:r>
      <w:r>
        <w:tab/>
        <w:t>Performance reporting</w:t>
      </w:r>
      <w:bookmarkEnd w:id="94"/>
      <w:bookmarkEnd w:id="95"/>
    </w:p>
    <w:p w:rsidR="00DC4FFD" w:rsidRDefault="00DC4FFD">
      <w:r>
        <w:t xml:space="preserve">The following section presents information on the financial and non-financial performance of the horticulture exports cost recovery arrangement. This </w:t>
      </w:r>
      <w:proofErr w:type="gramStart"/>
      <w:r>
        <w:t>is intended</w:t>
      </w:r>
      <w:proofErr w:type="gramEnd"/>
      <w:r>
        <w:t xml:space="preserve"> to provide stakeholders with an overview of the department’s performance in recovering forecasted revenue and meeting service delivery objectives.</w:t>
      </w:r>
    </w:p>
    <w:p w:rsidR="00DC4FFD" w:rsidRDefault="00DC4FFD">
      <w:pPr>
        <w:pStyle w:val="Heading4"/>
        <w:keepNext/>
      </w:pPr>
      <w:bookmarkStart w:id="96" w:name="_Toc424575481"/>
      <w:r>
        <w:t>B.4.1</w:t>
      </w:r>
      <w:r>
        <w:tab/>
        <w:t>Financial performance</w:t>
      </w:r>
      <w:bookmarkEnd w:id="96"/>
    </w:p>
    <w:p w:rsidR="00DC4FFD" w:rsidRDefault="00DC4FFD">
      <w:pPr>
        <w:keepNext/>
      </w:pPr>
      <w:r>
        <w:t xml:space="preserve">The financial performance for the horticulture cost recovery arrangement </w:t>
      </w:r>
      <w:proofErr w:type="gramStart"/>
      <w:r>
        <w:t>is provided</w:t>
      </w:r>
      <w:proofErr w:type="gramEnd"/>
      <w:r>
        <w:t xml:space="preserve"> at Table 15. The 2015–16 financial year and three forward years </w:t>
      </w:r>
      <w:proofErr w:type="gramStart"/>
      <w:r>
        <w:t>will be updated</w:t>
      </w:r>
      <w:proofErr w:type="gramEnd"/>
      <w:r>
        <w:t xml:space="preserve"> each year as financial information becomes available.</w:t>
      </w:r>
    </w:p>
    <w:p w:rsidR="00DC4FFD" w:rsidRDefault="00DC4FFD">
      <w:pPr>
        <w:pStyle w:val="Caption"/>
        <w:keepNext/>
      </w:pPr>
      <w:bookmarkStart w:id="97" w:name="_Toc424575482"/>
      <w:r>
        <w:t>Table 15: Financial performance—horticulture exports cost recovery arrangement</w:t>
      </w:r>
    </w:p>
    <w:tbl>
      <w:tblPr>
        <w:tblW w:w="91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284"/>
        <w:gridCol w:w="1285"/>
        <w:gridCol w:w="1285"/>
        <w:gridCol w:w="1474"/>
      </w:tblGrid>
      <w:tr w:rsidR="00A740B5" w:rsidTr="00DD4C7C">
        <w:trPr>
          <w:trHeight w:val="550"/>
          <w:tblHeader/>
        </w:trPr>
        <w:tc>
          <w:tcPr>
            <w:tcW w:w="3792" w:type="dxa"/>
            <w:shd w:val="solid" w:color="DBE5F1" w:fill="C6D9F1"/>
          </w:tcPr>
          <w:p w:rsidR="00A740B5" w:rsidRDefault="00A740B5">
            <w:pPr>
              <w:keepLines/>
              <w:spacing w:after="0"/>
              <w:rPr>
                <w:b/>
                <w:iCs/>
              </w:rPr>
            </w:pPr>
            <w:r>
              <w:rPr>
                <w:b/>
                <w:iCs/>
              </w:rPr>
              <w:t>Finance element</w:t>
            </w:r>
          </w:p>
        </w:tc>
        <w:tc>
          <w:tcPr>
            <w:tcW w:w="1284" w:type="dxa"/>
            <w:shd w:val="solid" w:color="DBE5F1" w:fill="C6D9F1"/>
          </w:tcPr>
          <w:p w:rsidR="00A740B5" w:rsidRDefault="00A740B5">
            <w:pPr>
              <w:keepLines/>
              <w:spacing w:after="0"/>
              <w:jc w:val="center"/>
              <w:rPr>
                <w:sz w:val="18"/>
                <w:szCs w:val="18"/>
              </w:rPr>
            </w:pPr>
            <w:r>
              <w:rPr>
                <w:sz w:val="18"/>
                <w:szCs w:val="18"/>
              </w:rPr>
              <w:t>2011–12</w:t>
            </w:r>
          </w:p>
        </w:tc>
        <w:tc>
          <w:tcPr>
            <w:tcW w:w="1285" w:type="dxa"/>
            <w:shd w:val="solid" w:color="DBE5F1" w:fill="C6D9F1"/>
          </w:tcPr>
          <w:p w:rsidR="00A740B5" w:rsidRDefault="00A740B5">
            <w:pPr>
              <w:keepLines/>
              <w:spacing w:after="0"/>
              <w:jc w:val="center"/>
              <w:rPr>
                <w:sz w:val="18"/>
                <w:szCs w:val="18"/>
              </w:rPr>
            </w:pPr>
            <w:r>
              <w:rPr>
                <w:sz w:val="18"/>
                <w:szCs w:val="18"/>
              </w:rPr>
              <w:t>2012–13</w:t>
            </w:r>
          </w:p>
        </w:tc>
        <w:tc>
          <w:tcPr>
            <w:tcW w:w="1285" w:type="dxa"/>
            <w:shd w:val="solid" w:color="DBE5F1" w:fill="C6D9F1"/>
          </w:tcPr>
          <w:p w:rsidR="00A740B5" w:rsidRDefault="00A740B5">
            <w:pPr>
              <w:keepLines/>
              <w:spacing w:after="0"/>
              <w:jc w:val="center"/>
              <w:rPr>
                <w:sz w:val="18"/>
                <w:szCs w:val="18"/>
              </w:rPr>
            </w:pPr>
            <w:r>
              <w:rPr>
                <w:sz w:val="18"/>
                <w:szCs w:val="18"/>
              </w:rPr>
              <w:t>2013–14</w:t>
            </w:r>
          </w:p>
        </w:tc>
        <w:tc>
          <w:tcPr>
            <w:tcW w:w="1474" w:type="dxa"/>
            <w:shd w:val="solid" w:color="DBE5F1" w:fill="C6D9F1"/>
          </w:tcPr>
          <w:p w:rsidR="00A740B5" w:rsidRDefault="00A740B5">
            <w:pPr>
              <w:keepLines/>
              <w:spacing w:after="0"/>
              <w:jc w:val="center"/>
              <w:rPr>
                <w:sz w:val="18"/>
                <w:szCs w:val="18"/>
              </w:rPr>
            </w:pPr>
            <w:r>
              <w:rPr>
                <w:sz w:val="18"/>
                <w:szCs w:val="18"/>
              </w:rPr>
              <w:t>2014–15</w:t>
            </w:r>
          </w:p>
        </w:tc>
      </w:tr>
      <w:tr w:rsidR="00A740B5" w:rsidTr="00DD4C7C">
        <w:trPr>
          <w:trHeight w:val="511"/>
        </w:trPr>
        <w:tc>
          <w:tcPr>
            <w:tcW w:w="3792" w:type="dxa"/>
            <w:shd w:val="clear" w:color="auto" w:fill="auto"/>
            <w:vAlign w:val="center"/>
          </w:tcPr>
          <w:p w:rsidR="00A740B5" w:rsidRDefault="00A740B5">
            <w:pPr>
              <w:keepLines/>
              <w:spacing w:before="60" w:after="0"/>
            </w:pPr>
            <w:r>
              <w:t>Expenses = X</w:t>
            </w:r>
          </w:p>
        </w:tc>
        <w:tc>
          <w:tcPr>
            <w:tcW w:w="1284" w:type="dxa"/>
            <w:shd w:val="clear" w:color="auto" w:fill="auto"/>
            <w:vAlign w:val="center"/>
          </w:tcPr>
          <w:p w:rsidR="00A740B5" w:rsidRDefault="00A740B5">
            <w:pPr>
              <w:spacing w:after="0"/>
              <w:jc w:val="center"/>
              <w:rPr>
                <w:sz w:val="18"/>
                <w:szCs w:val="18"/>
              </w:rPr>
            </w:pPr>
            <w:r>
              <w:rPr>
                <w:color w:val="000000"/>
                <w:sz w:val="18"/>
                <w:szCs w:val="20"/>
              </w:rPr>
              <w:t>$7 786 145</w:t>
            </w:r>
          </w:p>
        </w:tc>
        <w:tc>
          <w:tcPr>
            <w:tcW w:w="1285" w:type="dxa"/>
            <w:shd w:val="clear" w:color="auto" w:fill="auto"/>
            <w:vAlign w:val="center"/>
          </w:tcPr>
          <w:p w:rsidR="00A740B5" w:rsidRDefault="00A740B5">
            <w:pPr>
              <w:spacing w:after="0"/>
              <w:jc w:val="center"/>
              <w:rPr>
                <w:sz w:val="18"/>
                <w:szCs w:val="18"/>
              </w:rPr>
            </w:pPr>
            <w:r>
              <w:rPr>
                <w:color w:val="000000"/>
                <w:sz w:val="18"/>
                <w:szCs w:val="20"/>
              </w:rPr>
              <w:t>$9 786 443</w:t>
            </w:r>
          </w:p>
        </w:tc>
        <w:tc>
          <w:tcPr>
            <w:tcW w:w="1285" w:type="dxa"/>
            <w:shd w:val="clear" w:color="auto" w:fill="auto"/>
            <w:vAlign w:val="center"/>
          </w:tcPr>
          <w:p w:rsidR="00A740B5" w:rsidRDefault="00A740B5">
            <w:pPr>
              <w:spacing w:after="0"/>
              <w:jc w:val="center"/>
              <w:rPr>
                <w:sz w:val="18"/>
                <w:szCs w:val="18"/>
              </w:rPr>
            </w:pPr>
            <w:r>
              <w:rPr>
                <w:color w:val="000000"/>
                <w:sz w:val="18"/>
                <w:szCs w:val="20"/>
              </w:rPr>
              <w:t>$7 742 112</w:t>
            </w:r>
          </w:p>
        </w:tc>
        <w:tc>
          <w:tcPr>
            <w:tcW w:w="1474" w:type="dxa"/>
            <w:shd w:val="clear" w:color="auto" w:fill="auto"/>
            <w:vAlign w:val="center"/>
          </w:tcPr>
          <w:p w:rsidR="00A740B5" w:rsidRDefault="00A740B5">
            <w:pPr>
              <w:spacing w:after="0"/>
              <w:jc w:val="center"/>
              <w:rPr>
                <w:sz w:val="18"/>
                <w:szCs w:val="18"/>
              </w:rPr>
            </w:pPr>
            <w:r>
              <w:rPr>
                <w:color w:val="000000"/>
                <w:sz w:val="18"/>
                <w:szCs w:val="20"/>
              </w:rPr>
              <w:t>$8 343 017</w:t>
            </w:r>
          </w:p>
        </w:tc>
      </w:tr>
      <w:tr w:rsidR="00A740B5" w:rsidTr="00DD4C7C">
        <w:trPr>
          <w:trHeight w:val="497"/>
        </w:trPr>
        <w:tc>
          <w:tcPr>
            <w:tcW w:w="3792" w:type="dxa"/>
            <w:shd w:val="clear" w:color="auto" w:fill="auto"/>
            <w:vAlign w:val="center"/>
          </w:tcPr>
          <w:p w:rsidR="00A740B5" w:rsidRDefault="00A740B5">
            <w:pPr>
              <w:keepLines/>
              <w:spacing w:before="60" w:after="0"/>
            </w:pPr>
            <w:r>
              <w:t>Revenue = Y</w:t>
            </w:r>
          </w:p>
        </w:tc>
        <w:tc>
          <w:tcPr>
            <w:tcW w:w="1284" w:type="dxa"/>
            <w:shd w:val="clear" w:color="auto" w:fill="auto"/>
            <w:vAlign w:val="center"/>
          </w:tcPr>
          <w:p w:rsidR="00A740B5" w:rsidRDefault="00A740B5">
            <w:pPr>
              <w:spacing w:after="0"/>
              <w:jc w:val="center"/>
              <w:rPr>
                <w:sz w:val="18"/>
                <w:szCs w:val="18"/>
              </w:rPr>
            </w:pPr>
            <w:r>
              <w:rPr>
                <w:color w:val="000000"/>
                <w:sz w:val="18"/>
                <w:szCs w:val="20"/>
              </w:rPr>
              <w:t>$6 128 049</w:t>
            </w:r>
          </w:p>
        </w:tc>
        <w:tc>
          <w:tcPr>
            <w:tcW w:w="1285" w:type="dxa"/>
            <w:shd w:val="clear" w:color="auto" w:fill="auto"/>
            <w:vAlign w:val="center"/>
          </w:tcPr>
          <w:p w:rsidR="00A740B5" w:rsidRDefault="00A740B5">
            <w:pPr>
              <w:spacing w:after="0"/>
              <w:jc w:val="center"/>
              <w:rPr>
                <w:sz w:val="18"/>
                <w:szCs w:val="18"/>
              </w:rPr>
            </w:pPr>
            <w:r>
              <w:rPr>
                <w:color w:val="000000"/>
                <w:sz w:val="18"/>
                <w:szCs w:val="20"/>
              </w:rPr>
              <w:t>$9 446 006</w:t>
            </w:r>
          </w:p>
        </w:tc>
        <w:tc>
          <w:tcPr>
            <w:tcW w:w="1285" w:type="dxa"/>
            <w:shd w:val="clear" w:color="auto" w:fill="auto"/>
            <w:vAlign w:val="center"/>
          </w:tcPr>
          <w:p w:rsidR="00A740B5" w:rsidRDefault="00A740B5">
            <w:pPr>
              <w:spacing w:after="0"/>
              <w:jc w:val="center"/>
              <w:rPr>
                <w:sz w:val="18"/>
                <w:szCs w:val="18"/>
              </w:rPr>
            </w:pPr>
            <w:r>
              <w:rPr>
                <w:color w:val="000000"/>
                <w:sz w:val="18"/>
                <w:szCs w:val="20"/>
              </w:rPr>
              <w:t>$6 254 582</w:t>
            </w:r>
          </w:p>
        </w:tc>
        <w:tc>
          <w:tcPr>
            <w:tcW w:w="1474" w:type="dxa"/>
            <w:shd w:val="clear" w:color="auto" w:fill="auto"/>
            <w:vAlign w:val="center"/>
          </w:tcPr>
          <w:p w:rsidR="00A740B5" w:rsidRDefault="00A740B5">
            <w:pPr>
              <w:spacing w:after="0"/>
              <w:jc w:val="center"/>
              <w:rPr>
                <w:sz w:val="18"/>
                <w:szCs w:val="18"/>
              </w:rPr>
            </w:pPr>
            <w:r>
              <w:rPr>
                <w:color w:val="000000"/>
                <w:sz w:val="18"/>
                <w:szCs w:val="20"/>
              </w:rPr>
              <w:t>$6 133 048</w:t>
            </w:r>
          </w:p>
        </w:tc>
      </w:tr>
      <w:tr w:rsidR="00A740B5" w:rsidTr="00DD4C7C">
        <w:trPr>
          <w:trHeight w:val="511"/>
        </w:trPr>
        <w:tc>
          <w:tcPr>
            <w:tcW w:w="3792" w:type="dxa"/>
            <w:shd w:val="clear" w:color="auto" w:fill="auto"/>
            <w:vAlign w:val="center"/>
          </w:tcPr>
          <w:p w:rsidR="00A740B5" w:rsidRDefault="00A740B5">
            <w:pPr>
              <w:keepLines/>
              <w:spacing w:before="60" w:after="0"/>
            </w:pPr>
            <w:r>
              <w:t>Balance = Y – X</w:t>
            </w:r>
          </w:p>
        </w:tc>
        <w:tc>
          <w:tcPr>
            <w:tcW w:w="1284" w:type="dxa"/>
            <w:shd w:val="clear" w:color="auto" w:fill="auto"/>
            <w:vAlign w:val="center"/>
          </w:tcPr>
          <w:p w:rsidR="00A740B5" w:rsidRDefault="00A740B5">
            <w:pPr>
              <w:spacing w:after="0"/>
              <w:jc w:val="center"/>
              <w:rPr>
                <w:sz w:val="18"/>
                <w:szCs w:val="18"/>
              </w:rPr>
            </w:pPr>
            <w:r>
              <w:rPr>
                <w:color w:val="000000"/>
                <w:sz w:val="18"/>
                <w:szCs w:val="20"/>
              </w:rPr>
              <w:t>$-1 658 096</w:t>
            </w:r>
          </w:p>
        </w:tc>
        <w:tc>
          <w:tcPr>
            <w:tcW w:w="1285" w:type="dxa"/>
            <w:shd w:val="clear" w:color="auto" w:fill="auto"/>
            <w:vAlign w:val="center"/>
          </w:tcPr>
          <w:p w:rsidR="00A740B5" w:rsidRDefault="00A740B5">
            <w:pPr>
              <w:spacing w:after="0"/>
              <w:jc w:val="center"/>
              <w:rPr>
                <w:sz w:val="18"/>
                <w:szCs w:val="18"/>
              </w:rPr>
            </w:pPr>
            <w:r>
              <w:rPr>
                <w:color w:val="000000"/>
                <w:sz w:val="18"/>
                <w:szCs w:val="20"/>
              </w:rPr>
              <w:t>$-340 437</w:t>
            </w:r>
          </w:p>
        </w:tc>
        <w:tc>
          <w:tcPr>
            <w:tcW w:w="1285" w:type="dxa"/>
            <w:shd w:val="clear" w:color="auto" w:fill="auto"/>
            <w:vAlign w:val="center"/>
          </w:tcPr>
          <w:p w:rsidR="00A740B5" w:rsidRDefault="00A740B5">
            <w:pPr>
              <w:spacing w:after="0"/>
              <w:jc w:val="center"/>
              <w:rPr>
                <w:sz w:val="18"/>
                <w:szCs w:val="18"/>
              </w:rPr>
            </w:pPr>
            <w:r>
              <w:rPr>
                <w:color w:val="000000"/>
                <w:sz w:val="18"/>
                <w:szCs w:val="20"/>
              </w:rPr>
              <w:t>$-1 487 530</w:t>
            </w:r>
          </w:p>
        </w:tc>
        <w:tc>
          <w:tcPr>
            <w:tcW w:w="1474" w:type="dxa"/>
            <w:shd w:val="clear" w:color="auto" w:fill="auto"/>
            <w:vAlign w:val="center"/>
          </w:tcPr>
          <w:p w:rsidR="00A740B5" w:rsidRDefault="00A740B5">
            <w:pPr>
              <w:spacing w:after="0"/>
              <w:jc w:val="center"/>
              <w:rPr>
                <w:sz w:val="18"/>
                <w:szCs w:val="18"/>
              </w:rPr>
            </w:pPr>
            <w:r>
              <w:rPr>
                <w:color w:val="000000"/>
                <w:sz w:val="18"/>
                <w:szCs w:val="20"/>
              </w:rPr>
              <w:t>$-2 209 969</w:t>
            </w:r>
          </w:p>
        </w:tc>
      </w:tr>
      <w:tr w:rsidR="00A740B5" w:rsidTr="00DD4C7C">
        <w:trPr>
          <w:trHeight w:val="511"/>
        </w:trPr>
        <w:tc>
          <w:tcPr>
            <w:tcW w:w="3792" w:type="dxa"/>
            <w:shd w:val="clear" w:color="auto" w:fill="DEEAF6" w:themeFill="accent1" w:themeFillTint="33"/>
            <w:vAlign w:val="center"/>
          </w:tcPr>
          <w:p w:rsidR="00A740B5" w:rsidRDefault="00A740B5" w:rsidP="00A740B5">
            <w:pPr>
              <w:keepLines/>
              <w:spacing w:before="60" w:after="0"/>
            </w:pPr>
            <w:r>
              <w:rPr>
                <w:b/>
                <w:iCs/>
              </w:rPr>
              <w:t>Finance element</w:t>
            </w:r>
          </w:p>
        </w:tc>
        <w:tc>
          <w:tcPr>
            <w:tcW w:w="1284" w:type="dxa"/>
            <w:shd w:val="clear" w:color="auto" w:fill="DEEAF6" w:themeFill="accent1" w:themeFillTint="33"/>
          </w:tcPr>
          <w:p w:rsidR="00A740B5" w:rsidRDefault="00A740B5" w:rsidP="00A740B5">
            <w:pPr>
              <w:keepLines/>
              <w:spacing w:after="0"/>
              <w:jc w:val="center"/>
              <w:rPr>
                <w:sz w:val="16"/>
                <w:szCs w:val="16"/>
              </w:rPr>
            </w:pPr>
            <w:r>
              <w:rPr>
                <w:sz w:val="16"/>
                <w:szCs w:val="16"/>
              </w:rPr>
              <w:t>2015–16</w:t>
            </w:r>
            <w:r>
              <w:rPr>
                <w:sz w:val="16"/>
                <w:szCs w:val="16"/>
              </w:rPr>
              <w:br/>
            </w:r>
            <w:r>
              <w:rPr>
                <w:i/>
                <w:sz w:val="16"/>
                <w:szCs w:val="16"/>
              </w:rPr>
              <w:t>Updated in 2016</w:t>
            </w:r>
          </w:p>
        </w:tc>
        <w:tc>
          <w:tcPr>
            <w:tcW w:w="1285" w:type="dxa"/>
            <w:shd w:val="clear" w:color="auto" w:fill="DEEAF6" w:themeFill="accent1" w:themeFillTint="33"/>
          </w:tcPr>
          <w:p w:rsidR="00A740B5" w:rsidRDefault="00A740B5" w:rsidP="00A740B5">
            <w:pPr>
              <w:keepLines/>
              <w:spacing w:after="0"/>
              <w:jc w:val="center"/>
              <w:rPr>
                <w:sz w:val="16"/>
                <w:szCs w:val="16"/>
              </w:rPr>
            </w:pPr>
            <w:r>
              <w:rPr>
                <w:sz w:val="16"/>
                <w:szCs w:val="16"/>
              </w:rPr>
              <w:t>2016–17</w:t>
            </w:r>
            <w:r>
              <w:rPr>
                <w:sz w:val="16"/>
                <w:szCs w:val="16"/>
              </w:rPr>
              <w:br/>
            </w:r>
            <w:r>
              <w:rPr>
                <w:i/>
                <w:sz w:val="16"/>
                <w:szCs w:val="16"/>
              </w:rPr>
              <w:t>Updated in 2017</w:t>
            </w:r>
          </w:p>
        </w:tc>
        <w:tc>
          <w:tcPr>
            <w:tcW w:w="1285" w:type="dxa"/>
            <w:shd w:val="clear" w:color="auto" w:fill="DEEAF6" w:themeFill="accent1" w:themeFillTint="33"/>
          </w:tcPr>
          <w:p w:rsidR="00A740B5" w:rsidRDefault="00A740B5" w:rsidP="00A740B5">
            <w:pPr>
              <w:keepLines/>
              <w:spacing w:after="0"/>
              <w:jc w:val="center"/>
              <w:rPr>
                <w:sz w:val="16"/>
                <w:szCs w:val="16"/>
              </w:rPr>
            </w:pPr>
            <w:r>
              <w:rPr>
                <w:sz w:val="16"/>
                <w:szCs w:val="16"/>
              </w:rPr>
              <w:t>2017–18</w:t>
            </w:r>
            <w:r>
              <w:rPr>
                <w:sz w:val="16"/>
                <w:szCs w:val="16"/>
              </w:rPr>
              <w:br/>
            </w:r>
            <w:r>
              <w:rPr>
                <w:i/>
                <w:sz w:val="16"/>
                <w:szCs w:val="16"/>
              </w:rPr>
              <w:t>Updated in 2018</w:t>
            </w:r>
          </w:p>
        </w:tc>
        <w:tc>
          <w:tcPr>
            <w:tcW w:w="1474" w:type="dxa"/>
            <w:shd w:val="clear" w:color="auto" w:fill="DEEAF6" w:themeFill="accent1" w:themeFillTint="33"/>
          </w:tcPr>
          <w:p w:rsidR="00A740B5" w:rsidRDefault="00A740B5" w:rsidP="00A740B5">
            <w:pPr>
              <w:keepLines/>
              <w:spacing w:after="0"/>
              <w:jc w:val="center"/>
              <w:rPr>
                <w:sz w:val="16"/>
                <w:szCs w:val="16"/>
              </w:rPr>
            </w:pPr>
            <w:r>
              <w:rPr>
                <w:sz w:val="16"/>
                <w:szCs w:val="16"/>
              </w:rPr>
              <w:t>2018–19</w:t>
            </w:r>
            <w:r>
              <w:rPr>
                <w:sz w:val="16"/>
                <w:szCs w:val="16"/>
              </w:rPr>
              <w:br/>
            </w:r>
            <w:r>
              <w:rPr>
                <w:i/>
                <w:sz w:val="16"/>
                <w:szCs w:val="16"/>
              </w:rPr>
              <w:t>Updated in 2019</w:t>
            </w:r>
          </w:p>
        </w:tc>
      </w:tr>
      <w:tr w:rsidR="00A740B5" w:rsidTr="00DD4C7C">
        <w:trPr>
          <w:trHeight w:val="511"/>
        </w:trPr>
        <w:tc>
          <w:tcPr>
            <w:tcW w:w="3792" w:type="dxa"/>
            <w:shd w:val="clear" w:color="auto" w:fill="auto"/>
            <w:vAlign w:val="center"/>
          </w:tcPr>
          <w:p w:rsidR="00A740B5" w:rsidRDefault="00A740B5" w:rsidP="00A740B5">
            <w:pPr>
              <w:keepLines/>
              <w:spacing w:before="60" w:after="0"/>
            </w:pPr>
            <w:r>
              <w:t>Expenses = X</w:t>
            </w:r>
          </w:p>
        </w:tc>
        <w:tc>
          <w:tcPr>
            <w:tcW w:w="1284" w:type="dxa"/>
            <w:shd w:val="clear" w:color="auto" w:fill="auto"/>
          </w:tcPr>
          <w:p w:rsidR="00A740B5" w:rsidRDefault="00A740B5" w:rsidP="00A740B5">
            <w:pPr>
              <w:keepLines/>
              <w:spacing w:after="0"/>
              <w:jc w:val="center"/>
              <w:rPr>
                <w:sz w:val="16"/>
                <w:szCs w:val="16"/>
              </w:rPr>
            </w:pPr>
          </w:p>
        </w:tc>
        <w:tc>
          <w:tcPr>
            <w:tcW w:w="1285" w:type="dxa"/>
            <w:shd w:val="clear" w:color="auto" w:fill="auto"/>
          </w:tcPr>
          <w:p w:rsidR="00A740B5" w:rsidRDefault="00A740B5" w:rsidP="00A740B5">
            <w:pPr>
              <w:keepLines/>
              <w:spacing w:after="0"/>
              <w:jc w:val="center"/>
              <w:rPr>
                <w:sz w:val="16"/>
                <w:szCs w:val="16"/>
              </w:rPr>
            </w:pPr>
          </w:p>
        </w:tc>
        <w:tc>
          <w:tcPr>
            <w:tcW w:w="1285" w:type="dxa"/>
            <w:shd w:val="clear" w:color="auto" w:fill="auto"/>
          </w:tcPr>
          <w:p w:rsidR="00A740B5" w:rsidRDefault="00A740B5" w:rsidP="00A740B5">
            <w:pPr>
              <w:keepLines/>
              <w:spacing w:after="0"/>
              <w:jc w:val="center"/>
              <w:rPr>
                <w:sz w:val="16"/>
                <w:szCs w:val="16"/>
              </w:rPr>
            </w:pPr>
          </w:p>
        </w:tc>
        <w:tc>
          <w:tcPr>
            <w:tcW w:w="1474" w:type="dxa"/>
            <w:shd w:val="clear" w:color="auto" w:fill="auto"/>
          </w:tcPr>
          <w:p w:rsidR="00A740B5" w:rsidRDefault="00A740B5" w:rsidP="00A740B5">
            <w:pPr>
              <w:keepLines/>
              <w:spacing w:after="0"/>
              <w:jc w:val="center"/>
              <w:rPr>
                <w:sz w:val="16"/>
                <w:szCs w:val="16"/>
              </w:rPr>
            </w:pPr>
          </w:p>
        </w:tc>
      </w:tr>
      <w:tr w:rsidR="00A740B5" w:rsidTr="00DD4C7C">
        <w:trPr>
          <w:trHeight w:val="511"/>
        </w:trPr>
        <w:tc>
          <w:tcPr>
            <w:tcW w:w="3792" w:type="dxa"/>
            <w:shd w:val="clear" w:color="auto" w:fill="auto"/>
            <w:vAlign w:val="center"/>
          </w:tcPr>
          <w:p w:rsidR="00A740B5" w:rsidRDefault="00A740B5" w:rsidP="00A740B5">
            <w:pPr>
              <w:keepLines/>
              <w:spacing w:before="60" w:after="0"/>
            </w:pPr>
            <w:r>
              <w:t>Revenue = Y</w:t>
            </w:r>
          </w:p>
        </w:tc>
        <w:tc>
          <w:tcPr>
            <w:tcW w:w="1284" w:type="dxa"/>
            <w:shd w:val="clear" w:color="auto" w:fill="auto"/>
          </w:tcPr>
          <w:p w:rsidR="00A740B5" w:rsidRDefault="00A740B5" w:rsidP="00A740B5">
            <w:pPr>
              <w:keepLines/>
              <w:spacing w:after="0"/>
              <w:jc w:val="center"/>
              <w:rPr>
                <w:sz w:val="16"/>
                <w:szCs w:val="16"/>
              </w:rPr>
            </w:pPr>
          </w:p>
        </w:tc>
        <w:tc>
          <w:tcPr>
            <w:tcW w:w="1285" w:type="dxa"/>
            <w:shd w:val="clear" w:color="auto" w:fill="auto"/>
          </w:tcPr>
          <w:p w:rsidR="00A740B5" w:rsidRDefault="00A740B5" w:rsidP="00A740B5">
            <w:pPr>
              <w:keepLines/>
              <w:spacing w:after="0"/>
              <w:jc w:val="center"/>
              <w:rPr>
                <w:sz w:val="16"/>
                <w:szCs w:val="16"/>
              </w:rPr>
            </w:pPr>
          </w:p>
        </w:tc>
        <w:tc>
          <w:tcPr>
            <w:tcW w:w="1285" w:type="dxa"/>
            <w:shd w:val="clear" w:color="auto" w:fill="auto"/>
          </w:tcPr>
          <w:p w:rsidR="00A740B5" w:rsidRDefault="00A740B5" w:rsidP="00A740B5">
            <w:pPr>
              <w:keepLines/>
              <w:spacing w:after="0"/>
              <w:jc w:val="center"/>
              <w:rPr>
                <w:sz w:val="16"/>
                <w:szCs w:val="16"/>
              </w:rPr>
            </w:pPr>
          </w:p>
        </w:tc>
        <w:tc>
          <w:tcPr>
            <w:tcW w:w="1474" w:type="dxa"/>
            <w:shd w:val="clear" w:color="auto" w:fill="auto"/>
          </w:tcPr>
          <w:p w:rsidR="00A740B5" w:rsidRDefault="00A740B5" w:rsidP="00A740B5">
            <w:pPr>
              <w:keepLines/>
              <w:spacing w:after="0"/>
              <w:jc w:val="center"/>
              <w:rPr>
                <w:sz w:val="16"/>
                <w:szCs w:val="16"/>
              </w:rPr>
            </w:pPr>
          </w:p>
        </w:tc>
      </w:tr>
      <w:tr w:rsidR="00A740B5" w:rsidTr="00DD4C7C">
        <w:trPr>
          <w:trHeight w:val="511"/>
        </w:trPr>
        <w:tc>
          <w:tcPr>
            <w:tcW w:w="3792" w:type="dxa"/>
            <w:shd w:val="clear" w:color="auto" w:fill="auto"/>
            <w:vAlign w:val="center"/>
          </w:tcPr>
          <w:p w:rsidR="00A740B5" w:rsidRDefault="00A740B5" w:rsidP="00A740B5">
            <w:pPr>
              <w:keepLines/>
              <w:spacing w:before="60" w:after="0"/>
            </w:pPr>
            <w:r>
              <w:t>Balance = Y – X</w:t>
            </w:r>
          </w:p>
        </w:tc>
        <w:tc>
          <w:tcPr>
            <w:tcW w:w="1284" w:type="dxa"/>
            <w:shd w:val="clear" w:color="auto" w:fill="auto"/>
          </w:tcPr>
          <w:p w:rsidR="00A740B5" w:rsidRDefault="00A740B5" w:rsidP="00A740B5">
            <w:pPr>
              <w:keepLines/>
              <w:spacing w:after="0"/>
              <w:jc w:val="center"/>
              <w:rPr>
                <w:sz w:val="16"/>
                <w:szCs w:val="16"/>
              </w:rPr>
            </w:pPr>
          </w:p>
        </w:tc>
        <w:tc>
          <w:tcPr>
            <w:tcW w:w="1285" w:type="dxa"/>
            <w:shd w:val="clear" w:color="auto" w:fill="auto"/>
          </w:tcPr>
          <w:p w:rsidR="00A740B5" w:rsidRDefault="00A740B5" w:rsidP="00A740B5">
            <w:pPr>
              <w:keepLines/>
              <w:spacing w:after="0"/>
              <w:jc w:val="center"/>
              <w:rPr>
                <w:sz w:val="16"/>
                <w:szCs w:val="16"/>
              </w:rPr>
            </w:pPr>
          </w:p>
        </w:tc>
        <w:tc>
          <w:tcPr>
            <w:tcW w:w="1285" w:type="dxa"/>
            <w:shd w:val="clear" w:color="auto" w:fill="auto"/>
          </w:tcPr>
          <w:p w:rsidR="00A740B5" w:rsidRDefault="00A740B5" w:rsidP="00A740B5">
            <w:pPr>
              <w:keepLines/>
              <w:spacing w:after="0"/>
              <w:jc w:val="center"/>
              <w:rPr>
                <w:sz w:val="16"/>
                <w:szCs w:val="16"/>
              </w:rPr>
            </w:pPr>
          </w:p>
        </w:tc>
        <w:tc>
          <w:tcPr>
            <w:tcW w:w="1474" w:type="dxa"/>
            <w:shd w:val="clear" w:color="auto" w:fill="auto"/>
          </w:tcPr>
          <w:p w:rsidR="00A740B5" w:rsidRDefault="00A740B5" w:rsidP="00A740B5">
            <w:pPr>
              <w:keepLines/>
              <w:spacing w:after="0"/>
              <w:jc w:val="center"/>
              <w:rPr>
                <w:sz w:val="16"/>
                <w:szCs w:val="16"/>
              </w:rPr>
            </w:pPr>
          </w:p>
        </w:tc>
      </w:tr>
    </w:tbl>
    <w:p w:rsidR="00DC4FFD" w:rsidRDefault="00DC4FFD" w:rsidP="00A740B5">
      <w:pPr>
        <w:pStyle w:val="Heading4"/>
        <w:tabs>
          <w:tab w:val="left" w:pos="720"/>
          <w:tab w:val="left" w:pos="1440"/>
          <w:tab w:val="left" w:pos="2160"/>
          <w:tab w:val="left" w:pos="2880"/>
          <w:tab w:val="left" w:pos="3600"/>
          <w:tab w:val="right" w:pos="9070"/>
        </w:tabs>
      </w:pPr>
      <w:r>
        <w:t>B.4.2</w:t>
      </w:r>
      <w:r>
        <w:tab/>
        <w:t>Non-financial performance</w:t>
      </w:r>
      <w:bookmarkEnd w:id="97"/>
      <w:r w:rsidR="00A740B5">
        <w:tab/>
      </w:r>
    </w:p>
    <w:p w:rsidR="00DC4FFD" w:rsidRDefault="00DC4FFD">
      <w:pPr>
        <w:keepNext/>
        <w:keepLines/>
      </w:pPr>
      <w:r>
        <w:lastRenderedPageBreak/>
        <w:t xml:space="preserve">Key non-financial performance measures </w:t>
      </w:r>
      <w:proofErr w:type="gramStart"/>
      <w:r>
        <w:t>are made</w:t>
      </w:r>
      <w:proofErr w:type="gramEnd"/>
      <w:r>
        <w:t xml:space="preserve"> available in the department’s annual report.</w:t>
      </w:r>
    </w:p>
    <w:p w:rsidR="00DC4FFD" w:rsidRDefault="00DC4FFD">
      <w:pPr>
        <w:pStyle w:val="Caption"/>
        <w:keepNext/>
      </w:pPr>
      <w:r>
        <w:t>Table 16: Non-financial performance measures—</w:t>
      </w:r>
      <w:r w:rsidR="000D5583">
        <w:t>horticulture</w:t>
      </w:r>
      <w:r>
        <w:t xml:space="preserve"> exports cost recovery arrangement</w:t>
      </w:r>
    </w:p>
    <w:tbl>
      <w:tblPr>
        <w:tblStyle w:val="TableGrid"/>
        <w:tblW w:w="9115" w:type="dxa"/>
        <w:tblInd w:w="-5" w:type="dxa"/>
        <w:tblLook w:val="04A0" w:firstRow="1" w:lastRow="0" w:firstColumn="1" w:lastColumn="0" w:noHBand="0" w:noVBand="1"/>
      </w:tblPr>
      <w:tblGrid>
        <w:gridCol w:w="1510"/>
        <w:gridCol w:w="1510"/>
        <w:gridCol w:w="1510"/>
        <w:gridCol w:w="1510"/>
        <w:gridCol w:w="1510"/>
        <w:gridCol w:w="1565"/>
      </w:tblGrid>
      <w:tr w:rsidR="00A740B5" w:rsidTr="00DD4C7C">
        <w:tc>
          <w:tcPr>
            <w:tcW w:w="1510" w:type="dxa"/>
            <w:tcBorders>
              <w:top w:val="single" w:sz="8" w:space="0" w:color="auto"/>
              <w:left w:val="single" w:sz="8" w:space="0" w:color="auto"/>
              <w:bottom w:val="single" w:sz="8" w:space="0" w:color="auto"/>
              <w:right w:val="single" w:sz="8" w:space="0" w:color="auto"/>
            </w:tcBorders>
            <w:shd w:val="clear" w:color="auto" w:fill="C6D9F1"/>
          </w:tcPr>
          <w:p w:rsidR="00A740B5" w:rsidRDefault="00A740B5" w:rsidP="00A740B5">
            <w:pPr>
              <w:pStyle w:val="Tabletext"/>
            </w:pPr>
            <w:r>
              <w:t>KPI</w:t>
            </w:r>
          </w:p>
        </w:tc>
        <w:tc>
          <w:tcPr>
            <w:tcW w:w="1510" w:type="dxa"/>
            <w:tcBorders>
              <w:top w:val="single" w:sz="8" w:space="0" w:color="auto"/>
              <w:left w:val="single" w:sz="8" w:space="0" w:color="auto"/>
              <w:bottom w:val="single" w:sz="8" w:space="0" w:color="auto"/>
              <w:right w:val="single" w:sz="8" w:space="0" w:color="auto"/>
            </w:tcBorders>
            <w:shd w:val="clear" w:color="auto" w:fill="C6D9F1"/>
          </w:tcPr>
          <w:p w:rsidR="00A740B5" w:rsidRDefault="00A740B5" w:rsidP="00A740B5">
            <w:pPr>
              <w:pStyle w:val="Tabletext"/>
              <w:rPr>
                <w:szCs w:val="20"/>
              </w:rPr>
            </w:pPr>
            <w:r>
              <w:rPr>
                <w:szCs w:val="20"/>
              </w:rPr>
              <w:t>2014–15</w:t>
            </w:r>
          </w:p>
          <w:p w:rsidR="00A740B5" w:rsidRDefault="00A740B5" w:rsidP="00A740B5">
            <w:pPr>
              <w:pStyle w:val="Tabletext"/>
              <w:rPr>
                <w:szCs w:val="20"/>
              </w:rPr>
            </w:pPr>
            <w:r>
              <w:rPr>
                <w:szCs w:val="20"/>
              </w:rPr>
              <w:t>Performance</w:t>
            </w:r>
          </w:p>
        </w:tc>
        <w:tc>
          <w:tcPr>
            <w:tcW w:w="1510" w:type="dxa"/>
            <w:tcBorders>
              <w:top w:val="single" w:sz="8" w:space="0" w:color="auto"/>
              <w:left w:val="single" w:sz="8" w:space="0" w:color="auto"/>
              <w:bottom w:val="single" w:sz="8" w:space="0" w:color="auto"/>
              <w:right w:val="single" w:sz="8" w:space="0" w:color="auto"/>
            </w:tcBorders>
            <w:shd w:val="clear" w:color="auto" w:fill="C6D9F1"/>
          </w:tcPr>
          <w:p w:rsidR="00A740B5" w:rsidRDefault="00A740B5" w:rsidP="00A740B5">
            <w:pPr>
              <w:pStyle w:val="Tabletext"/>
              <w:rPr>
                <w:szCs w:val="20"/>
              </w:rPr>
            </w:pPr>
            <w:r>
              <w:rPr>
                <w:szCs w:val="20"/>
              </w:rPr>
              <w:t xml:space="preserve">2015–16 </w:t>
            </w:r>
          </w:p>
          <w:p w:rsidR="00A740B5" w:rsidRDefault="00A740B5" w:rsidP="00A740B5">
            <w:pPr>
              <w:pStyle w:val="Tabletext"/>
              <w:rPr>
                <w:szCs w:val="20"/>
              </w:rPr>
            </w:pPr>
            <w:r>
              <w:rPr>
                <w:szCs w:val="20"/>
              </w:rPr>
              <w:t>Target</w:t>
            </w:r>
          </w:p>
        </w:tc>
        <w:tc>
          <w:tcPr>
            <w:tcW w:w="1510" w:type="dxa"/>
            <w:tcBorders>
              <w:top w:val="single" w:sz="8" w:space="0" w:color="auto"/>
              <w:left w:val="single" w:sz="8" w:space="0" w:color="auto"/>
              <w:bottom w:val="single" w:sz="8" w:space="0" w:color="auto"/>
              <w:right w:val="single" w:sz="8" w:space="0" w:color="auto"/>
            </w:tcBorders>
            <w:shd w:val="clear" w:color="auto" w:fill="C6D9F1"/>
          </w:tcPr>
          <w:p w:rsidR="00A740B5" w:rsidRDefault="00A740B5" w:rsidP="00A740B5">
            <w:pPr>
              <w:pStyle w:val="Tabletext"/>
              <w:rPr>
                <w:szCs w:val="20"/>
              </w:rPr>
            </w:pPr>
            <w:r>
              <w:rPr>
                <w:szCs w:val="20"/>
              </w:rPr>
              <w:t xml:space="preserve">2016–17 </w:t>
            </w:r>
          </w:p>
          <w:p w:rsidR="00A740B5" w:rsidRDefault="00A740B5" w:rsidP="00A740B5">
            <w:pPr>
              <w:pStyle w:val="Tabletext"/>
              <w:rPr>
                <w:szCs w:val="20"/>
              </w:rPr>
            </w:pPr>
            <w:r>
              <w:rPr>
                <w:szCs w:val="20"/>
              </w:rPr>
              <w:t>Target</w:t>
            </w:r>
          </w:p>
        </w:tc>
        <w:tc>
          <w:tcPr>
            <w:tcW w:w="1510" w:type="dxa"/>
            <w:tcBorders>
              <w:top w:val="single" w:sz="8" w:space="0" w:color="auto"/>
              <w:left w:val="single" w:sz="8" w:space="0" w:color="auto"/>
              <w:bottom w:val="single" w:sz="8" w:space="0" w:color="auto"/>
              <w:right w:val="single" w:sz="8" w:space="0" w:color="auto"/>
            </w:tcBorders>
            <w:shd w:val="clear" w:color="auto" w:fill="C6D9F1"/>
          </w:tcPr>
          <w:p w:rsidR="00A740B5" w:rsidRDefault="00A740B5" w:rsidP="00A740B5">
            <w:pPr>
              <w:pStyle w:val="Tabletext"/>
              <w:rPr>
                <w:szCs w:val="20"/>
              </w:rPr>
            </w:pPr>
            <w:r>
              <w:rPr>
                <w:szCs w:val="20"/>
              </w:rPr>
              <w:t xml:space="preserve">2017–18 </w:t>
            </w:r>
          </w:p>
          <w:p w:rsidR="00A740B5" w:rsidRDefault="00A740B5" w:rsidP="00A740B5">
            <w:pPr>
              <w:pStyle w:val="Tabletext"/>
              <w:rPr>
                <w:szCs w:val="20"/>
              </w:rPr>
            </w:pPr>
            <w:r>
              <w:rPr>
                <w:szCs w:val="20"/>
              </w:rPr>
              <w:t>Target</w:t>
            </w:r>
          </w:p>
        </w:tc>
        <w:tc>
          <w:tcPr>
            <w:tcW w:w="1565" w:type="dxa"/>
            <w:tcBorders>
              <w:top w:val="single" w:sz="8" w:space="0" w:color="auto"/>
              <w:left w:val="single" w:sz="8" w:space="0" w:color="auto"/>
              <w:bottom w:val="single" w:sz="8" w:space="0" w:color="auto"/>
              <w:right w:val="single" w:sz="8" w:space="0" w:color="auto"/>
            </w:tcBorders>
            <w:shd w:val="clear" w:color="auto" w:fill="C6D9F1"/>
          </w:tcPr>
          <w:p w:rsidR="00A740B5" w:rsidRDefault="00A740B5" w:rsidP="00A740B5">
            <w:pPr>
              <w:pStyle w:val="Tabletext"/>
              <w:rPr>
                <w:szCs w:val="20"/>
              </w:rPr>
            </w:pPr>
            <w:r>
              <w:rPr>
                <w:szCs w:val="20"/>
              </w:rPr>
              <w:t xml:space="preserve">2018–19 </w:t>
            </w:r>
          </w:p>
          <w:p w:rsidR="00A740B5" w:rsidRDefault="00A740B5" w:rsidP="00A740B5">
            <w:pPr>
              <w:pStyle w:val="Tabletext"/>
              <w:rPr>
                <w:szCs w:val="20"/>
              </w:rPr>
            </w:pPr>
            <w:r>
              <w:rPr>
                <w:szCs w:val="20"/>
              </w:rPr>
              <w:t>Target</w:t>
            </w:r>
          </w:p>
        </w:tc>
      </w:tr>
      <w:tr w:rsidR="00A740B5" w:rsidTr="00DD4C7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Markets lost as a result of failed departmental certification services</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Nil</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Nil</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Nil</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Nil</w:t>
            </w:r>
          </w:p>
        </w:tc>
        <w:tc>
          <w:tcPr>
            <w:tcW w:w="1565"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Nil</w:t>
            </w:r>
          </w:p>
        </w:tc>
      </w:tr>
      <w:tr w:rsidR="00A740B5" w:rsidTr="00DD4C7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Export consignments rejected because of failure to meet export certificate requirements.</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Less than 1%</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Less than 1%</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Less than 1%</w:t>
            </w:r>
          </w:p>
        </w:tc>
        <w:tc>
          <w:tcPr>
            <w:tcW w:w="1510"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Less than 1%</w:t>
            </w:r>
          </w:p>
        </w:tc>
        <w:tc>
          <w:tcPr>
            <w:tcW w:w="1565" w:type="dxa"/>
            <w:tcBorders>
              <w:top w:val="single" w:sz="4" w:space="0" w:color="auto"/>
              <w:left w:val="single" w:sz="4" w:space="0" w:color="auto"/>
              <w:bottom w:val="single" w:sz="4" w:space="0" w:color="auto"/>
              <w:right w:val="single" w:sz="4" w:space="0" w:color="auto"/>
            </w:tcBorders>
          </w:tcPr>
          <w:p w:rsidR="00A740B5" w:rsidRDefault="00A740B5" w:rsidP="00A740B5">
            <w:pPr>
              <w:pStyle w:val="Tabletext"/>
            </w:pPr>
            <w:r>
              <w:t>Less than 1%</w:t>
            </w:r>
          </w:p>
        </w:tc>
      </w:tr>
    </w:tbl>
    <w:p w:rsidR="00A740B5" w:rsidRPr="00A740B5" w:rsidRDefault="00A740B5" w:rsidP="00A740B5"/>
    <w:p w:rsidR="00A740B5" w:rsidRDefault="00A740B5">
      <w:pPr>
        <w:spacing w:after="0"/>
        <w:rPr>
          <w:b/>
          <w:sz w:val="32"/>
          <w:szCs w:val="20"/>
          <w:lang w:val="x-none"/>
        </w:rPr>
      </w:pPr>
      <w:bookmarkStart w:id="98" w:name="_Toc433035570"/>
      <w:r>
        <w:br w:type="page"/>
      </w:r>
    </w:p>
    <w:p w:rsidR="00DC4FFD" w:rsidRDefault="00DC4FFD" w:rsidP="007B7929">
      <w:pPr>
        <w:pStyle w:val="Heading3"/>
        <w:numPr>
          <w:ilvl w:val="0"/>
          <w:numId w:val="0"/>
        </w:numPr>
        <w:ind w:left="794" w:hanging="794"/>
      </w:pPr>
      <w:r>
        <w:lastRenderedPageBreak/>
        <w:t>B.5</w:t>
      </w:r>
      <w:r>
        <w:tab/>
        <w:t>Horticulture exports stakeholder engagement</w:t>
      </w:r>
      <w:bookmarkEnd w:id="98"/>
    </w:p>
    <w:p w:rsidR="00DC4FFD" w:rsidRDefault="00DC4FFD">
      <w:pPr>
        <w:keepNext/>
        <w:keepLines/>
      </w:pPr>
      <w:r>
        <w:t xml:space="preserve">Concerns </w:t>
      </w:r>
      <w:proofErr w:type="gramStart"/>
      <w:r>
        <w:t>have been raised</w:t>
      </w:r>
      <w:proofErr w:type="gramEnd"/>
      <w:r>
        <w:t xml:space="preserve"> by stakeholders about increases in the horticulture export cost base and not achieving greater efficiencies in the current arrangement. There is a general view that the department must better demonstrate it delivers services efficiently. The department is implementing a range of reforms that </w:t>
      </w:r>
      <w:proofErr w:type="gramStart"/>
      <w:r>
        <w:t>are designed</w:t>
      </w:r>
      <w:proofErr w:type="gramEnd"/>
      <w:r>
        <w:t xml:space="preserve"> to address increases in the cost base. This includes developing a framework to drive optimisation of its resources.</w:t>
      </w:r>
    </w:p>
    <w:p w:rsidR="00DC4FFD" w:rsidRDefault="00DC4FFD">
      <w:r>
        <w:t xml:space="preserve">Horticulture industry representatives were concerned about the increase to the phytosanitary certificate levy, and the new tonnage levies. The new charges resolve historical under-recovery in the horticulture export programme. However, industry members also noted that the new throughput charges allowed for significant reductions in registration levies. After discussion, industry members were broadly supportive of the concept, but were concerned that the throughput charges would </w:t>
      </w:r>
      <w:proofErr w:type="gramStart"/>
      <w:r>
        <w:t>impact on</w:t>
      </w:r>
      <w:proofErr w:type="gramEnd"/>
      <w:r>
        <w:t xml:space="preserve"> larger volume exporters in particular.</w:t>
      </w:r>
    </w:p>
    <w:p w:rsidR="00DC4FFD" w:rsidRDefault="00DC4FFD">
      <w:r>
        <w:t xml:space="preserve">Horticulture industry members stated that the costs of the Authorised Officers (AO) programme </w:t>
      </w:r>
      <w:proofErr w:type="gramStart"/>
      <w:r>
        <w:t>should not be entirely funded</w:t>
      </w:r>
      <w:proofErr w:type="gramEnd"/>
      <w:r>
        <w:t xml:space="preserve"> through levies as had been originally proposed. Instead, some form of fee for service component </w:t>
      </w:r>
      <w:proofErr w:type="gramStart"/>
      <w:r>
        <w:t>was requested</w:t>
      </w:r>
      <w:proofErr w:type="gramEnd"/>
      <w:r>
        <w:t xml:space="preserve"> in addition to a levy component. This </w:t>
      </w:r>
      <w:proofErr w:type="gramStart"/>
      <w:r>
        <w:t>was seen</w:t>
      </w:r>
      <w:proofErr w:type="gramEnd"/>
      <w:r>
        <w:t xml:space="preserve"> as important in both ensuring that users contributed directly </w:t>
      </w:r>
      <w:r>
        <w:rPr>
          <w:lang w:eastAsia="en-AU"/>
        </w:rPr>
        <w:t xml:space="preserve">to the costs of the AO programme, and at the same time would reduce the levy amount. </w:t>
      </w:r>
    </w:p>
    <w:p w:rsidR="00DC4FFD" w:rsidRDefault="00DC4FFD">
      <w:r>
        <w:t>Many horticulture stakeholders questioned the new charges for the training and certification of authorised officers</w:t>
      </w:r>
      <w:proofErr w:type="gramStart"/>
      <w:r>
        <w:t>—which</w:t>
      </w:r>
      <w:proofErr w:type="gramEnd"/>
      <w:r>
        <w:t xml:space="preserve"> is currently provided at no additional cost—and was not seen as an incentive to have authorised officers.</w:t>
      </w:r>
    </w:p>
    <w:p w:rsidR="00DC4FFD" w:rsidRDefault="00DC4FFD">
      <w:r>
        <w:t xml:space="preserve">Public information sessions included some comments that indicated a fundamental opposition to the premise of full cost recovery of export certification activities. These stakeholders argued the economic benefit to the country should enable the department’s services to be </w:t>
      </w:r>
      <w:proofErr w:type="gramStart"/>
      <w:r>
        <w:t>tax payer</w:t>
      </w:r>
      <w:proofErr w:type="gramEnd"/>
      <w:r>
        <w:t xml:space="preserve"> funded—if not wholly, at least a significant part.</w:t>
      </w:r>
    </w:p>
    <w:p w:rsidR="00DC4FFD" w:rsidRDefault="00DC4FFD">
      <w:r>
        <w:t xml:space="preserve">While stakeholders were more comfortable with fees for service relating to inspection and audit activities, the majority did not see how they were a consumer of related activities the department undertakes for horticulture exports. As such, </w:t>
      </w:r>
      <w:r>
        <w:lastRenderedPageBreak/>
        <w:t>they did not believe it was reasonable for them to have to pay for system costs that relates to the horticulture export programme, such as a proportion of export certification systems, IT, HR, finance and similar costs.</w:t>
      </w:r>
    </w:p>
    <w:p w:rsidR="00DC4FFD" w:rsidRDefault="00DC4FFD">
      <w:r>
        <w:t>Stakeholders also wanted to see costs reduced from the horticulture export programme, especially relating to system costs and Canberra-based positions, and more support provided for small exporters. Some horticulture industry representatives wanted to see registered establishment charges return to pre-2011 levels (where charges were also heavily subsidised by the government) of around $500 to $1 000.</w:t>
      </w:r>
    </w:p>
    <w:p w:rsidR="00DC4FFD" w:rsidRDefault="00FC65B8">
      <w:r>
        <w:t>Horticulture exporters did</w:t>
      </w:r>
      <w:r w:rsidR="00DC4FFD">
        <w:t xml:space="preserve"> not support the</w:t>
      </w:r>
      <w:r>
        <w:t xml:space="preserve"> draft proposal to consolidate</w:t>
      </w:r>
      <w:r w:rsidR="00DC4FFD">
        <w:t xml:space="preserve"> the </w:t>
      </w:r>
      <w:r>
        <w:t>horticulture and grain programmes</w:t>
      </w:r>
      <w:r w:rsidR="00DC4FFD">
        <w:t xml:space="preserve"> into a single</w:t>
      </w:r>
      <w:r>
        <w:t xml:space="preserve"> plant export arrangement. They</w:t>
      </w:r>
      <w:r w:rsidR="00DC4FFD">
        <w:t xml:space="preserve"> claim</w:t>
      </w:r>
      <w:r>
        <w:t>ed</w:t>
      </w:r>
      <w:r w:rsidR="00DC4FFD">
        <w:t xml:space="preserve"> that </w:t>
      </w:r>
      <w:r>
        <w:t>if the programmes were consolidated they would be</w:t>
      </w:r>
      <w:r w:rsidR="00DC4FFD">
        <w:t xml:space="preserve"> </w:t>
      </w:r>
      <w:proofErr w:type="gramStart"/>
      <w:r w:rsidR="00DC4FFD">
        <w:t>cross-subs</w:t>
      </w:r>
      <w:r>
        <w:t>idising</w:t>
      </w:r>
      <w:proofErr w:type="gramEnd"/>
      <w:r>
        <w:t xml:space="preserve"> the costs of grain</w:t>
      </w:r>
      <w:r w:rsidR="00DC4FFD">
        <w:t xml:space="preserve"> exporters.</w:t>
      </w:r>
    </w:p>
    <w:p w:rsidR="00DC4FFD" w:rsidRDefault="00DC4FFD">
      <w:pPr>
        <w:rPr>
          <w:lang w:eastAsia="en-AU"/>
        </w:rPr>
      </w:pPr>
      <w:r>
        <w:rPr>
          <w:lang w:eastAsia="en-AU"/>
        </w:rPr>
        <w:t xml:space="preserve">Following the horticulture industry consultative meetings, and the feedback from public submissions, the department revised the horticulture export charges, and separated the </w:t>
      </w:r>
      <w:r w:rsidR="00FC65B8">
        <w:rPr>
          <w:lang w:eastAsia="en-AU"/>
        </w:rPr>
        <w:t xml:space="preserve">horticulture and grain </w:t>
      </w:r>
      <w:r>
        <w:rPr>
          <w:lang w:eastAsia="en-AU"/>
        </w:rPr>
        <w:t>arrangements as separate programmes within the Plant Exports CRIS.</w:t>
      </w:r>
    </w:p>
    <w:p w:rsidR="00DC4FFD" w:rsidRDefault="00DC4FFD">
      <w:r>
        <w:t xml:space="preserve">A new tier </w:t>
      </w:r>
      <w:proofErr w:type="gramStart"/>
      <w:r>
        <w:t>was introduced</w:t>
      </w:r>
      <w:proofErr w:type="gramEnd"/>
      <w:r>
        <w:t xml:space="preserve"> for registered establishments, the grower/exporter establishment. There were slight increases compared to what was in the consultation CRIS in the rates for simple establishments and complex establishments</w:t>
      </w:r>
      <w:proofErr w:type="gramStart"/>
      <w:r>
        <w:t>, .</w:t>
      </w:r>
      <w:proofErr w:type="gramEnd"/>
      <w:r>
        <w:t xml:space="preserve"> These revised rates are still significant decreases compared to previous registered establishment prices.</w:t>
      </w:r>
    </w:p>
    <w:p w:rsidR="00DC4FFD" w:rsidRDefault="00DC4FFD">
      <w:r>
        <w:t>There was a further reduction in the throughput levies (due to the adjustment of the registered establishment prices).</w:t>
      </w:r>
    </w:p>
    <w:p w:rsidR="00DC4FFD" w:rsidRDefault="00DC4FFD">
      <w:r>
        <w:t xml:space="preserve">On implementation of the new arrangements, quarterly reporting of cost recovery performance will continue to </w:t>
      </w:r>
      <w:proofErr w:type="gramStart"/>
      <w:r>
        <w:t>be provided</w:t>
      </w:r>
      <w:proofErr w:type="gramEnd"/>
      <w:r>
        <w:t xml:space="preserve"> to relevant Industry Consultative Committees. This provides a mechanism for continual engagement and review of cost recovery arrangements and ensures any unintended consequences or issues are resolved in a timely manner.</w:t>
      </w:r>
    </w:p>
    <w:p w:rsidR="001F32EC" w:rsidRDefault="001F32EC"/>
    <w:p w:rsidR="00DC4FFD" w:rsidRDefault="00DC4FFD" w:rsidP="006D0383">
      <w:pPr>
        <w:pStyle w:val="Heading3"/>
        <w:numPr>
          <w:ilvl w:val="0"/>
          <w:numId w:val="0"/>
        </w:numPr>
        <w:ind w:left="794" w:hanging="794"/>
      </w:pPr>
      <w:bookmarkStart w:id="99" w:name="_Toc424575483"/>
      <w:bookmarkStart w:id="100" w:name="_Toc433035571"/>
      <w:r>
        <w:lastRenderedPageBreak/>
        <w:t>B.6</w:t>
      </w:r>
      <w:r>
        <w:tab/>
        <w:t>Horticulture export fees and levies</w:t>
      </w:r>
      <w:bookmarkEnd w:id="99"/>
      <w:bookmarkEnd w:id="100"/>
    </w:p>
    <w:p w:rsidR="00DC4FFD" w:rsidRDefault="00DC4FFD">
      <w:pPr>
        <w:pStyle w:val="Caption"/>
        <w:keepNext/>
      </w:pPr>
      <w:r>
        <w:t>Table 17: Fees, levies and volumes —horticulture exports cost recovery arrangement (2015–16)</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6D0383" w:rsidRDefault="00DC4FFD" w:rsidP="006D0383">
            <w:pPr>
              <w:pStyle w:val="Tabletext"/>
              <w:rPr>
                <w:rStyle w:val="Strong"/>
              </w:rPr>
            </w:pPr>
            <w:r w:rsidRPr="006D0383">
              <w:rPr>
                <w:rStyle w:val="Strong"/>
              </w:rPr>
              <w:t>Charge title</w:t>
            </w:r>
          </w:p>
        </w:tc>
        <w:tc>
          <w:tcPr>
            <w:tcW w:w="992" w:type="dxa"/>
            <w:shd w:val="clear" w:color="auto" w:fill="C6D9F1"/>
            <w:vAlign w:val="center"/>
          </w:tcPr>
          <w:p w:rsidR="00DC4FFD" w:rsidRPr="006D0383" w:rsidRDefault="00DC4FFD" w:rsidP="006D0383">
            <w:pPr>
              <w:pStyle w:val="Tabletext"/>
              <w:rPr>
                <w:rStyle w:val="Strong"/>
              </w:rPr>
            </w:pPr>
            <w:r w:rsidRPr="006D0383">
              <w:rPr>
                <w:rStyle w:val="Strong"/>
              </w:rPr>
              <w:t>Type</w:t>
            </w:r>
          </w:p>
        </w:tc>
        <w:tc>
          <w:tcPr>
            <w:tcW w:w="1134" w:type="dxa"/>
            <w:shd w:val="clear" w:color="auto" w:fill="C6D9F1"/>
            <w:vAlign w:val="center"/>
          </w:tcPr>
          <w:p w:rsidR="00DC4FFD" w:rsidRPr="006D0383" w:rsidRDefault="00DC4FFD" w:rsidP="006D0383">
            <w:pPr>
              <w:pStyle w:val="Tabletext"/>
              <w:rPr>
                <w:rStyle w:val="Strong"/>
              </w:rPr>
            </w:pPr>
            <w:r w:rsidRPr="006D0383">
              <w:rPr>
                <w:rStyle w:val="Strong"/>
              </w:rPr>
              <w:t>Rate</w:t>
            </w:r>
          </w:p>
        </w:tc>
        <w:tc>
          <w:tcPr>
            <w:tcW w:w="1559" w:type="dxa"/>
            <w:shd w:val="clear" w:color="auto" w:fill="C6D9F1"/>
            <w:vAlign w:val="center"/>
          </w:tcPr>
          <w:p w:rsidR="00DC4FFD" w:rsidRPr="006D0383" w:rsidRDefault="00DC4FFD" w:rsidP="006D0383">
            <w:pPr>
              <w:pStyle w:val="Tabletext"/>
              <w:rPr>
                <w:rStyle w:val="Strong"/>
              </w:rPr>
            </w:pPr>
            <w:r w:rsidRPr="006D0383">
              <w:rPr>
                <w:rStyle w:val="Strong"/>
              </w:rPr>
              <w:t>Unit</w:t>
            </w:r>
          </w:p>
        </w:tc>
        <w:tc>
          <w:tcPr>
            <w:tcW w:w="1418" w:type="dxa"/>
            <w:shd w:val="clear" w:color="auto" w:fill="C6D9F1"/>
            <w:vAlign w:val="center"/>
          </w:tcPr>
          <w:p w:rsidR="00DC4FFD" w:rsidRPr="006D0383" w:rsidRDefault="00DC4FFD" w:rsidP="006D0383">
            <w:pPr>
              <w:pStyle w:val="Tabletext"/>
              <w:rPr>
                <w:rStyle w:val="Strong"/>
              </w:rPr>
            </w:pPr>
            <w:r w:rsidRPr="006D0383">
              <w:rPr>
                <w:rStyle w:val="Strong"/>
              </w:rPr>
              <w:t>Estimated volume</w:t>
            </w:r>
          </w:p>
        </w:tc>
        <w:tc>
          <w:tcPr>
            <w:tcW w:w="1559" w:type="dxa"/>
            <w:shd w:val="clear" w:color="auto" w:fill="C6D9F1"/>
            <w:vAlign w:val="center"/>
          </w:tcPr>
          <w:p w:rsidR="00DC4FFD" w:rsidRPr="006D0383" w:rsidRDefault="00DC4FFD" w:rsidP="006D0383">
            <w:pPr>
              <w:pStyle w:val="Tabletext"/>
              <w:rPr>
                <w:rStyle w:val="Strong"/>
              </w:rPr>
            </w:pPr>
            <w:r w:rsidRPr="006D0383">
              <w:rPr>
                <w:rStyle w:val="Strong"/>
              </w:rPr>
              <w:t>Estimated total revenue</w:t>
            </w:r>
          </w:p>
        </w:tc>
      </w:tr>
      <w:tr w:rsidR="00DC4FFD">
        <w:trPr>
          <w:cantSplit/>
          <w:trHeight w:val="680"/>
        </w:trPr>
        <w:tc>
          <w:tcPr>
            <w:tcW w:w="3227" w:type="dxa"/>
            <w:shd w:val="clear" w:color="auto" w:fill="DBE5F1"/>
            <w:vAlign w:val="center"/>
          </w:tcPr>
          <w:p w:rsidR="00DC4FFD" w:rsidRPr="006D0383" w:rsidRDefault="00DC4FFD" w:rsidP="006D0383">
            <w:pPr>
              <w:pStyle w:val="Tabletext"/>
              <w:rPr>
                <w:rStyle w:val="Strong"/>
              </w:rPr>
            </w:pPr>
            <w:r w:rsidRPr="006D0383">
              <w:rPr>
                <w:rStyle w:val="Strong"/>
              </w:rPr>
              <w:t>Plant exporter levies</w:t>
            </w:r>
          </w:p>
        </w:tc>
        <w:tc>
          <w:tcPr>
            <w:tcW w:w="992" w:type="dxa"/>
            <w:shd w:val="clear" w:color="auto" w:fill="DBE5F1"/>
            <w:vAlign w:val="center"/>
          </w:tcPr>
          <w:p w:rsidR="00DC4FFD" w:rsidRPr="006D0383" w:rsidRDefault="00DC4FFD" w:rsidP="006D0383">
            <w:pPr>
              <w:pStyle w:val="Tabletext"/>
              <w:rPr>
                <w:rStyle w:val="Strong"/>
              </w:rPr>
            </w:pPr>
            <w:r w:rsidRPr="006D0383">
              <w:rPr>
                <w:rStyle w:val="Strong"/>
              </w:rPr>
              <w:t>Type</w:t>
            </w:r>
          </w:p>
        </w:tc>
        <w:tc>
          <w:tcPr>
            <w:tcW w:w="1134" w:type="dxa"/>
            <w:shd w:val="clear" w:color="auto" w:fill="DBE5F1"/>
            <w:vAlign w:val="center"/>
          </w:tcPr>
          <w:p w:rsidR="00DC4FFD" w:rsidRPr="006D0383" w:rsidRDefault="00DC4FFD" w:rsidP="006D0383">
            <w:pPr>
              <w:pStyle w:val="Tabletext"/>
              <w:rPr>
                <w:rStyle w:val="Strong"/>
              </w:rPr>
            </w:pPr>
            <w:r w:rsidRPr="006D0383">
              <w:rPr>
                <w:rStyle w:val="Strong"/>
              </w:rPr>
              <w:t>Rate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Unit</w:t>
            </w:r>
          </w:p>
        </w:tc>
        <w:tc>
          <w:tcPr>
            <w:tcW w:w="1418" w:type="dxa"/>
            <w:shd w:val="clear" w:color="auto" w:fill="DBE5F1"/>
            <w:vAlign w:val="center"/>
          </w:tcPr>
          <w:p w:rsidR="00DC4FFD" w:rsidRPr="006D0383" w:rsidRDefault="00DC4FFD" w:rsidP="006D0383">
            <w:pPr>
              <w:pStyle w:val="Tabletext"/>
              <w:rPr>
                <w:rStyle w:val="Strong"/>
              </w:rPr>
            </w:pPr>
            <w:r w:rsidRPr="006D0383">
              <w:rPr>
                <w:rStyle w:val="Strong"/>
              </w:rPr>
              <w:t>Estimated volume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Estimated total revenue</w:t>
            </w:r>
          </w:p>
        </w:tc>
      </w:tr>
      <w:tr w:rsidR="00DC4FFD">
        <w:trPr>
          <w:cantSplit/>
          <w:trHeight w:val="680"/>
        </w:trPr>
        <w:tc>
          <w:tcPr>
            <w:tcW w:w="3227" w:type="dxa"/>
            <w:vAlign w:val="center"/>
          </w:tcPr>
          <w:p w:rsidR="00DC4FFD" w:rsidRDefault="00DC4FFD" w:rsidP="006D0383">
            <w:pPr>
              <w:pStyle w:val="Tabletext"/>
            </w:pPr>
            <w:r>
              <w:t>Establishment registration—grower/exporter</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$600</w:t>
            </w:r>
          </w:p>
        </w:tc>
        <w:tc>
          <w:tcPr>
            <w:tcW w:w="1559" w:type="dxa"/>
            <w:vAlign w:val="center"/>
          </w:tcPr>
          <w:p w:rsidR="00DC4FFD" w:rsidRDefault="00DC4FFD" w:rsidP="006D0383">
            <w:pPr>
              <w:pStyle w:val="Tabletext"/>
            </w:pPr>
            <w:r>
              <w:t>Annual</w:t>
            </w:r>
          </w:p>
        </w:tc>
        <w:tc>
          <w:tcPr>
            <w:tcW w:w="1418" w:type="dxa"/>
            <w:vAlign w:val="center"/>
          </w:tcPr>
          <w:p w:rsidR="00DC4FFD" w:rsidRDefault="00DC4FFD" w:rsidP="006D0383">
            <w:pPr>
              <w:pStyle w:val="Tabletext"/>
            </w:pPr>
            <w:r>
              <w:t>287</w:t>
            </w:r>
          </w:p>
        </w:tc>
        <w:tc>
          <w:tcPr>
            <w:tcW w:w="1559" w:type="dxa"/>
            <w:vAlign w:val="center"/>
          </w:tcPr>
          <w:p w:rsidR="00DC4FFD" w:rsidRDefault="00DC4FFD" w:rsidP="006D0383">
            <w:pPr>
              <w:pStyle w:val="Tabletext"/>
            </w:pPr>
            <w:r>
              <w:t>$172 200</w:t>
            </w:r>
          </w:p>
        </w:tc>
      </w:tr>
      <w:tr w:rsidR="00DC4FFD">
        <w:trPr>
          <w:cantSplit/>
          <w:trHeight w:val="680"/>
        </w:trPr>
        <w:tc>
          <w:tcPr>
            <w:tcW w:w="3227" w:type="dxa"/>
            <w:vAlign w:val="center"/>
          </w:tcPr>
          <w:p w:rsidR="00DC4FFD" w:rsidRDefault="00DC4FFD" w:rsidP="006D0383">
            <w:pPr>
              <w:pStyle w:val="Tabletext"/>
            </w:pPr>
            <w:r>
              <w:t>Establishment registration—simple</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$3 000</w:t>
            </w:r>
          </w:p>
        </w:tc>
        <w:tc>
          <w:tcPr>
            <w:tcW w:w="1559" w:type="dxa"/>
            <w:vAlign w:val="center"/>
          </w:tcPr>
          <w:p w:rsidR="00DC4FFD" w:rsidRDefault="00DC4FFD" w:rsidP="006D0383">
            <w:pPr>
              <w:pStyle w:val="Tabletext"/>
            </w:pPr>
            <w:r>
              <w:t>Annual</w:t>
            </w:r>
          </w:p>
        </w:tc>
        <w:tc>
          <w:tcPr>
            <w:tcW w:w="1418" w:type="dxa"/>
            <w:vAlign w:val="center"/>
          </w:tcPr>
          <w:p w:rsidR="00DC4FFD" w:rsidRDefault="00DC4FFD" w:rsidP="006D0383">
            <w:pPr>
              <w:pStyle w:val="Tabletext"/>
            </w:pPr>
            <w:r>
              <w:t>165</w:t>
            </w:r>
          </w:p>
        </w:tc>
        <w:tc>
          <w:tcPr>
            <w:tcW w:w="1559" w:type="dxa"/>
            <w:vAlign w:val="center"/>
          </w:tcPr>
          <w:p w:rsidR="00DC4FFD" w:rsidRDefault="00DC4FFD" w:rsidP="006D0383">
            <w:pPr>
              <w:pStyle w:val="Tabletext"/>
            </w:pPr>
            <w:r>
              <w:t>$495 000</w:t>
            </w:r>
          </w:p>
        </w:tc>
      </w:tr>
      <w:tr w:rsidR="00DC4FFD">
        <w:trPr>
          <w:cantSplit/>
          <w:trHeight w:val="680"/>
        </w:trPr>
        <w:tc>
          <w:tcPr>
            <w:tcW w:w="3227" w:type="dxa"/>
            <w:vAlign w:val="center"/>
          </w:tcPr>
          <w:p w:rsidR="00DC4FFD" w:rsidRDefault="00DC4FFD" w:rsidP="006D0383">
            <w:pPr>
              <w:pStyle w:val="Tabletext"/>
            </w:pPr>
            <w:r>
              <w:t>Establishment registration—complex</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$6 000</w:t>
            </w:r>
          </w:p>
        </w:tc>
        <w:tc>
          <w:tcPr>
            <w:tcW w:w="1559" w:type="dxa"/>
            <w:vAlign w:val="center"/>
          </w:tcPr>
          <w:p w:rsidR="00DC4FFD" w:rsidRDefault="00DC4FFD" w:rsidP="006D0383">
            <w:pPr>
              <w:pStyle w:val="Tabletext"/>
            </w:pPr>
            <w:r>
              <w:t>Annual</w:t>
            </w:r>
          </w:p>
        </w:tc>
        <w:tc>
          <w:tcPr>
            <w:tcW w:w="1418" w:type="dxa"/>
            <w:vAlign w:val="center"/>
          </w:tcPr>
          <w:p w:rsidR="00DC4FFD" w:rsidRDefault="00DC4FFD" w:rsidP="006D0383">
            <w:pPr>
              <w:pStyle w:val="Tabletext"/>
            </w:pPr>
            <w:r>
              <w:t>158</w:t>
            </w:r>
          </w:p>
        </w:tc>
        <w:tc>
          <w:tcPr>
            <w:tcW w:w="1559" w:type="dxa"/>
            <w:vAlign w:val="center"/>
          </w:tcPr>
          <w:p w:rsidR="00DC4FFD" w:rsidRDefault="00DC4FFD" w:rsidP="006D0383">
            <w:pPr>
              <w:pStyle w:val="Tabletext"/>
            </w:pPr>
            <w:r>
              <w:t>$948 000</w:t>
            </w:r>
          </w:p>
        </w:tc>
      </w:tr>
      <w:tr w:rsidR="00DC4FFD">
        <w:trPr>
          <w:cantSplit/>
          <w:trHeight w:val="680"/>
        </w:trPr>
        <w:tc>
          <w:tcPr>
            <w:tcW w:w="3227" w:type="dxa"/>
            <w:vAlign w:val="center"/>
          </w:tcPr>
          <w:p w:rsidR="00DC4FFD" w:rsidRDefault="00DC4FFD" w:rsidP="006D0383">
            <w:pPr>
              <w:pStyle w:val="Tabletext"/>
            </w:pPr>
            <w:r>
              <w:t>Authorised officer approval</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$ 750</w:t>
            </w:r>
          </w:p>
        </w:tc>
        <w:tc>
          <w:tcPr>
            <w:tcW w:w="1559" w:type="dxa"/>
            <w:vAlign w:val="center"/>
          </w:tcPr>
          <w:p w:rsidR="00DC4FFD" w:rsidRDefault="00DC4FFD" w:rsidP="006D0383">
            <w:pPr>
              <w:pStyle w:val="Tabletext"/>
            </w:pPr>
            <w:r>
              <w:t>Annual</w:t>
            </w:r>
          </w:p>
        </w:tc>
        <w:tc>
          <w:tcPr>
            <w:tcW w:w="1418" w:type="dxa"/>
            <w:vAlign w:val="center"/>
          </w:tcPr>
          <w:p w:rsidR="00DC4FFD" w:rsidRDefault="00DC4FFD" w:rsidP="006D0383">
            <w:pPr>
              <w:pStyle w:val="Tabletext"/>
            </w:pPr>
            <w:r>
              <w:t>87</w:t>
            </w:r>
          </w:p>
        </w:tc>
        <w:tc>
          <w:tcPr>
            <w:tcW w:w="1559" w:type="dxa"/>
            <w:vAlign w:val="center"/>
          </w:tcPr>
          <w:p w:rsidR="00DC4FFD" w:rsidRDefault="00DC4FFD" w:rsidP="006D0383">
            <w:pPr>
              <w:pStyle w:val="Tabletext"/>
            </w:pPr>
            <w:r>
              <w:t>$65 250</w:t>
            </w:r>
          </w:p>
        </w:tc>
      </w:tr>
      <w:tr w:rsidR="00DC4FFD">
        <w:trPr>
          <w:cantSplit/>
          <w:trHeight w:val="680"/>
        </w:trPr>
        <w:tc>
          <w:tcPr>
            <w:tcW w:w="3227" w:type="dxa"/>
            <w:vAlign w:val="center"/>
          </w:tcPr>
          <w:p w:rsidR="00DC4FFD" w:rsidRDefault="00DC4FFD" w:rsidP="006D0383">
            <w:pPr>
              <w:pStyle w:val="Tabletext"/>
            </w:pPr>
            <w:r>
              <w:t>Organic certifying organisation</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$7 500</w:t>
            </w:r>
          </w:p>
        </w:tc>
        <w:tc>
          <w:tcPr>
            <w:tcW w:w="1559" w:type="dxa"/>
            <w:vAlign w:val="center"/>
          </w:tcPr>
          <w:p w:rsidR="00DC4FFD" w:rsidRDefault="00DC4FFD" w:rsidP="006D0383">
            <w:pPr>
              <w:pStyle w:val="Tabletext"/>
            </w:pPr>
            <w:r>
              <w:t>Annual</w:t>
            </w:r>
          </w:p>
        </w:tc>
        <w:tc>
          <w:tcPr>
            <w:tcW w:w="1418" w:type="dxa"/>
            <w:vAlign w:val="center"/>
          </w:tcPr>
          <w:p w:rsidR="00DC4FFD" w:rsidRDefault="00DC4FFD" w:rsidP="006D0383">
            <w:pPr>
              <w:pStyle w:val="Tabletext"/>
            </w:pPr>
            <w:r>
              <w:t>4</w:t>
            </w:r>
          </w:p>
        </w:tc>
        <w:tc>
          <w:tcPr>
            <w:tcW w:w="1559" w:type="dxa"/>
            <w:vAlign w:val="center"/>
          </w:tcPr>
          <w:p w:rsidR="00DC4FFD" w:rsidRDefault="00DC4FFD" w:rsidP="006D0383">
            <w:pPr>
              <w:pStyle w:val="Tabletext"/>
            </w:pPr>
            <w:r>
              <w:t>$30 000</w:t>
            </w:r>
          </w:p>
        </w:tc>
      </w:tr>
      <w:tr w:rsidR="00DC4FFD">
        <w:trPr>
          <w:cantSplit/>
          <w:trHeight w:val="680"/>
        </w:trPr>
        <w:tc>
          <w:tcPr>
            <w:tcW w:w="3227" w:type="dxa"/>
            <w:vAlign w:val="center"/>
          </w:tcPr>
          <w:p w:rsidR="00DC4FFD" w:rsidRDefault="00DC4FFD" w:rsidP="006D0383">
            <w:pPr>
              <w:pStyle w:val="Tabletext"/>
            </w:pPr>
            <w:r>
              <w:t>Export volume—non-protocol rate</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$0.95</w:t>
            </w:r>
          </w:p>
        </w:tc>
        <w:tc>
          <w:tcPr>
            <w:tcW w:w="1559" w:type="dxa"/>
            <w:vAlign w:val="center"/>
          </w:tcPr>
          <w:p w:rsidR="00DC4FFD" w:rsidRDefault="00DC4FFD" w:rsidP="006D0383">
            <w:pPr>
              <w:pStyle w:val="Tabletext"/>
            </w:pPr>
            <w:r>
              <w:t>Per tonne</w:t>
            </w:r>
            <w:r>
              <w:br/>
            </w:r>
            <w:r>
              <w:rPr>
                <w:rFonts w:cs="Arial"/>
                <w:sz w:val="18"/>
                <w:szCs w:val="18"/>
              </w:rPr>
              <w:t>(or part thereof)</w:t>
            </w:r>
          </w:p>
        </w:tc>
        <w:tc>
          <w:tcPr>
            <w:tcW w:w="1418" w:type="dxa"/>
            <w:vAlign w:val="center"/>
          </w:tcPr>
          <w:p w:rsidR="00DC4FFD" w:rsidRDefault="00DC4FFD" w:rsidP="006D0383">
            <w:pPr>
              <w:pStyle w:val="Tabletext"/>
            </w:pPr>
            <w:r>
              <w:t>490 127</w:t>
            </w:r>
          </w:p>
        </w:tc>
        <w:tc>
          <w:tcPr>
            <w:tcW w:w="1559" w:type="dxa"/>
            <w:vAlign w:val="center"/>
          </w:tcPr>
          <w:p w:rsidR="00DC4FFD" w:rsidRDefault="00DC4FFD" w:rsidP="006D0383">
            <w:pPr>
              <w:pStyle w:val="Tabletext"/>
            </w:pPr>
            <w:r>
              <w:t>$465 621</w:t>
            </w:r>
          </w:p>
        </w:tc>
      </w:tr>
      <w:tr w:rsidR="00DC4FFD">
        <w:trPr>
          <w:cantSplit/>
          <w:trHeight w:val="680"/>
        </w:trPr>
        <w:tc>
          <w:tcPr>
            <w:tcW w:w="3227" w:type="dxa"/>
            <w:vAlign w:val="center"/>
          </w:tcPr>
          <w:p w:rsidR="00DC4FFD" w:rsidRDefault="00DC4FFD" w:rsidP="006D0383">
            <w:pPr>
              <w:pStyle w:val="Tabletext"/>
            </w:pPr>
            <w:r>
              <w:t>Export volume—protocol rate</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$1.90</w:t>
            </w:r>
          </w:p>
        </w:tc>
        <w:tc>
          <w:tcPr>
            <w:tcW w:w="1559" w:type="dxa"/>
            <w:vAlign w:val="center"/>
          </w:tcPr>
          <w:p w:rsidR="00DC4FFD" w:rsidRDefault="00DC4FFD" w:rsidP="006D0383">
            <w:pPr>
              <w:pStyle w:val="Tabletext"/>
            </w:pPr>
            <w:r>
              <w:t>Per tonne</w:t>
            </w:r>
            <w:r>
              <w:br/>
            </w:r>
            <w:r>
              <w:rPr>
                <w:rFonts w:cs="Arial"/>
                <w:sz w:val="18"/>
                <w:szCs w:val="18"/>
              </w:rPr>
              <w:t>(or part thereof)</w:t>
            </w:r>
          </w:p>
        </w:tc>
        <w:tc>
          <w:tcPr>
            <w:tcW w:w="1418" w:type="dxa"/>
            <w:vAlign w:val="center"/>
          </w:tcPr>
          <w:p w:rsidR="00DC4FFD" w:rsidRDefault="00DC4FFD" w:rsidP="006D0383">
            <w:pPr>
              <w:pStyle w:val="Tabletext"/>
            </w:pPr>
            <w:r>
              <w:t>87 876</w:t>
            </w:r>
          </w:p>
        </w:tc>
        <w:tc>
          <w:tcPr>
            <w:tcW w:w="1559" w:type="dxa"/>
            <w:vAlign w:val="center"/>
          </w:tcPr>
          <w:p w:rsidR="00DC4FFD" w:rsidRDefault="00DC4FFD" w:rsidP="006D0383">
            <w:pPr>
              <w:pStyle w:val="Tabletext"/>
            </w:pPr>
            <w:r>
              <w:t>$166 964</w:t>
            </w:r>
          </w:p>
        </w:tc>
      </w:tr>
      <w:tr w:rsidR="00DC4FFD">
        <w:trPr>
          <w:cantSplit/>
          <w:trHeight w:val="680"/>
        </w:trPr>
        <w:tc>
          <w:tcPr>
            <w:tcW w:w="3227" w:type="dxa"/>
            <w:vAlign w:val="center"/>
          </w:tcPr>
          <w:p w:rsidR="00DC4FFD" w:rsidRDefault="00DC4FFD" w:rsidP="006D0383">
            <w:pPr>
              <w:pStyle w:val="Tabletext"/>
            </w:pPr>
            <w:r>
              <w:t>Phytosanitary certificate</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$38</w:t>
            </w:r>
          </w:p>
        </w:tc>
        <w:tc>
          <w:tcPr>
            <w:tcW w:w="1559" w:type="dxa"/>
            <w:vAlign w:val="center"/>
          </w:tcPr>
          <w:p w:rsidR="00DC4FFD" w:rsidRDefault="00DC4FFD" w:rsidP="006D0383">
            <w:pPr>
              <w:pStyle w:val="Tabletext"/>
            </w:pPr>
            <w:r>
              <w:t>Per document</w:t>
            </w:r>
          </w:p>
        </w:tc>
        <w:tc>
          <w:tcPr>
            <w:tcW w:w="1418" w:type="dxa"/>
            <w:vAlign w:val="center"/>
          </w:tcPr>
          <w:p w:rsidR="00DC4FFD" w:rsidRDefault="00DC4FFD" w:rsidP="006D0383">
            <w:pPr>
              <w:pStyle w:val="Tabletext"/>
            </w:pPr>
            <w:r>
              <w:t>22 701</w:t>
            </w:r>
          </w:p>
        </w:tc>
        <w:tc>
          <w:tcPr>
            <w:tcW w:w="1559" w:type="dxa"/>
            <w:vAlign w:val="center"/>
          </w:tcPr>
          <w:p w:rsidR="00DC4FFD" w:rsidRDefault="00DC4FFD" w:rsidP="006D0383">
            <w:pPr>
              <w:pStyle w:val="Tabletext"/>
            </w:pPr>
            <w:r>
              <w:t>$862 638</w:t>
            </w:r>
          </w:p>
        </w:tc>
      </w:tr>
      <w:tr w:rsidR="00DC4FFD">
        <w:trPr>
          <w:cantSplit/>
          <w:trHeight w:val="680"/>
        </w:trPr>
        <w:tc>
          <w:tcPr>
            <w:tcW w:w="3227" w:type="dxa"/>
            <w:vAlign w:val="center"/>
          </w:tcPr>
          <w:p w:rsidR="00DC4FFD" w:rsidRDefault="00DC4FFD" w:rsidP="006D0383">
            <w:pPr>
              <w:pStyle w:val="Tabletext"/>
            </w:pPr>
            <w:r>
              <w:t>Establishment application (one-off)</w:t>
            </w:r>
          </w:p>
        </w:tc>
        <w:tc>
          <w:tcPr>
            <w:tcW w:w="992" w:type="dxa"/>
            <w:vAlign w:val="center"/>
          </w:tcPr>
          <w:p w:rsidR="00DC4FFD" w:rsidRDefault="00DC4FFD" w:rsidP="006D0383">
            <w:pPr>
              <w:pStyle w:val="Tabletext"/>
            </w:pPr>
            <w:r>
              <w:t>Levy</w:t>
            </w:r>
          </w:p>
        </w:tc>
        <w:tc>
          <w:tcPr>
            <w:tcW w:w="1134" w:type="dxa"/>
            <w:vAlign w:val="center"/>
          </w:tcPr>
          <w:p w:rsidR="00DC4FFD" w:rsidRDefault="00DC4FFD" w:rsidP="006D0383">
            <w:pPr>
              <w:pStyle w:val="Tabletext"/>
            </w:pPr>
            <w:r>
              <w:t>$600</w:t>
            </w:r>
          </w:p>
        </w:tc>
        <w:tc>
          <w:tcPr>
            <w:tcW w:w="1559" w:type="dxa"/>
            <w:vAlign w:val="center"/>
          </w:tcPr>
          <w:p w:rsidR="00DC4FFD" w:rsidRDefault="00DC4FFD" w:rsidP="006D0383">
            <w:pPr>
              <w:pStyle w:val="Tabletext"/>
            </w:pPr>
            <w:r>
              <w:t>Per initial establishment application</w:t>
            </w:r>
          </w:p>
        </w:tc>
        <w:tc>
          <w:tcPr>
            <w:tcW w:w="1418" w:type="dxa"/>
            <w:vAlign w:val="center"/>
          </w:tcPr>
          <w:p w:rsidR="00DC4FFD" w:rsidRDefault="00DC4FFD" w:rsidP="006D0383">
            <w:pPr>
              <w:pStyle w:val="Tabletext"/>
            </w:pPr>
            <w:r>
              <w:t>287</w:t>
            </w:r>
          </w:p>
        </w:tc>
        <w:tc>
          <w:tcPr>
            <w:tcW w:w="1559" w:type="dxa"/>
            <w:vAlign w:val="center"/>
          </w:tcPr>
          <w:p w:rsidR="00DC4FFD" w:rsidRDefault="00DC4FFD" w:rsidP="006D0383">
            <w:pPr>
              <w:pStyle w:val="Tabletext"/>
            </w:pPr>
            <w:r>
              <w:t>$172 200</w:t>
            </w:r>
          </w:p>
        </w:tc>
      </w:tr>
      <w:tr w:rsidR="00DC4FFD">
        <w:trPr>
          <w:trHeight w:val="680"/>
        </w:trPr>
        <w:tc>
          <w:tcPr>
            <w:tcW w:w="3227" w:type="dxa"/>
            <w:shd w:val="clear" w:color="auto" w:fill="DBE5F1"/>
            <w:vAlign w:val="center"/>
          </w:tcPr>
          <w:p w:rsidR="00DC4FFD" w:rsidRPr="006D0383" w:rsidRDefault="00DC4FFD" w:rsidP="006D0383">
            <w:pPr>
              <w:pStyle w:val="Tabletext"/>
              <w:rPr>
                <w:rStyle w:val="Strong"/>
              </w:rPr>
            </w:pPr>
            <w:r w:rsidRPr="006D0383">
              <w:rPr>
                <w:rStyle w:val="Strong"/>
              </w:rPr>
              <w:t>Audit and Inspection fees</w:t>
            </w:r>
          </w:p>
        </w:tc>
        <w:tc>
          <w:tcPr>
            <w:tcW w:w="992" w:type="dxa"/>
            <w:shd w:val="clear" w:color="auto" w:fill="DBE5F1"/>
            <w:vAlign w:val="center"/>
          </w:tcPr>
          <w:p w:rsidR="00DC4FFD" w:rsidRPr="006D0383" w:rsidRDefault="00DC4FFD" w:rsidP="006D0383">
            <w:pPr>
              <w:pStyle w:val="Tabletext"/>
              <w:rPr>
                <w:rStyle w:val="Strong"/>
              </w:rPr>
            </w:pPr>
            <w:r w:rsidRPr="006D0383">
              <w:rPr>
                <w:rStyle w:val="Strong"/>
              </w:rPr>
              <w:t>Type</w:t>
            </w:r>
          </w:p>
        </w:tc>
        <w:tc>
          <w:tcPr>
            <w:tcW w:w="1134" w:type="dxa"/>
            <w:shd w:val="clear" w:color="auto" w:fill="DBE5F1"/>
            <w:vAlign w:val="center"/>
          </w:tcPr>
          <w:p w:rsidR="00DC4FFD" w:rsidRPr="006D0383" w:rsidRDefault="00DC4FFD" w:rsidP="006D0383">
            <w:pPr>
              <w:pStyle w:val="Tabletext"/>
              <w:rPr>
                <w:rStyle w:val="Strong"/>
              </w:rPr>
            </w:pPr>
            <w:r w:rsidRPr="006D0383">
              <w:rPr>
                <w:rStyle w:val="Strong"/>
              </w:rPr>
              <w:t>Rate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Unit</w:t>
            </w:r>
          </w:p>
        </w:tc>
        <w:tc>
          <w:tcPr>
            <w:tcW w:w="1418" w:type="dxa"/>
            <w:shd w:val="clear" w:color="auto" w:fill="DBE5F1"/>
            <w:vAlign w:val="center"/>
          </w:tcPr>
          <w:p w:rsidR="00DC4FFD" w:rsidRPr="006D0383" w:rsidRDefault="00DC4FFD" w:rsidP="006D0383">
            <w:pPr>
              <w:pStyle w:val="Tabletext"/>
              <w:rPr>
                <w:rStyle w:val="Strong"/>
              </w:rPr>
            </w:pPr>
            <w:r w:rsidRPr="006D0383">
              <w:rPr>
                <w:rStyle w:val="Strong"/>
              </w:rPr>
              <w:t>Estimated volume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Estimated total revenue</w:t>
            </w:r>
          </w:p>
        </w:tc>
      </w:tr>
      <w:tr w:rsidR="00DC4FFD">
        <w:trPr>
          <w:trHeight w:val="680"/>
        </w:trPr>
        <w:tc>
          <w:tcPr>
            <w:tcW w:w="3227" w:type="dxa"/>
            <w:vAlign w:val="center"/>
          </w:tcPr>
          <w:p w:rsidR="00DC4FFD" w:rsidRDefault="00DC4FFD" w:rsidP="006D0383">
            <w:pPr>
              <w:pStyle w:val="Tabletext"/>
            </w:pPr>
            <w:r>
              <w:lastRenderedPageBreak/>
              <w:t>Audit</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$36</w:t>
            </w:r>
          </w:p>
        </w:tc>
        <w:tc>
          <w:tcPr>
            <w:tcW w:w="1559" w:type="dxa"/>
            <w:vAlign w:val="center"/>
          </w:tcPr>
          <w:p w:rsidR="00DC4FFD" w:rsidRDefault="00DC4FFD" w:rsidP="006D0383">
            <w:pPr>
              <w:pStyle w:val="Tabletext"/>
            </w:pPr>
            <w:r>
              <w:t>Per 15 minutes</w:t>
            </w:r>
            <w:r>
              <w:br/>
            </w:r>
            <w:r>
              <w:rPr>
                <w:rFonts w:cs="Arial"/>
                <w:sz w:val="18"/>
                <w:szCs w:val="18"/>
              </w:rPr>
              <w:t>(or part thereof)</w:t>
            </w:r>
          </w:p>
        </w:tc>
        <w:tc>
          <w:tcPr>
            <w:tcW w:w="1418" w:type="dxa"/>
            <w:vAlign w:val="center"/>
          </w:tcPr>
          <w:p w:rsidR="00DC4FFD" w:rsidRDefault="00DC4FFD" w:rsidP="006D0383">
            <w:pPr>
              <w:pStyle w:val="Tabletext"/>
            </w:pPr>
            <w:r>
              <w:t>18 737</w:t>
            </w:r>
          </w:p>
        </w:tc>
        <w:tc>
          <w:tcPr>
            <w:tcW w:w="1559" w:type="dxa"/>
            <w:vAlign w:val="center"/>
          </w:tcPr>
          <w:p w:rsidR="00DC4FFD" w:rsidRDefault="00DC4FFD" w:rsidP="006D0383">
            <w:pPr>
              <w:pStyle w:val="Tabletext"/>
            </w:pPr>
            <w:r>
              <w:t>$674 532</w:t>
            </w:r>
          </w:p>
        </w:tc>
      </w:tr>
      <w:tr w:rsidR="00DC4FFD">
        <w:trPr>
          <w:trHeight w:val="680"/>
        </w:trPr>
        <w:tc>
          <w:tcPr>
            <w:tcW w:w="3227" w:type="dxa"/>
            <w:vAlign w:val="center"/>
          </w:tcPr>
          <w:p w:rsidR="00DC4FFD" w:rsidRDefault="00DC4FFD" w:rsidP="006D0383">
            <w:pPr>
              <w:pStyle w:val="Tabletext"/>
            </w:pPr>
            <w:r>
              <w:t>Core inspection</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$36</w:t>
            </w:r>
          </w:p>
        </w:tc>
        <w:tc>
          <w:tcPr>
            <w:tcW w:w="1559" w:type="dxa"/>
            <w:vAlign w:val="center"/>
          </w:tcPr>
          <w:p w:rsidR="00DC4FFD" w:rsidRDefault="00DC4FFD" w:rsidP="006D0383">
            <w:pPr>
              <w:pStyle w:val="Tabletext"/>
            </w:pPr>
            <w:r>
              <w:t>Per 15 minutes</w:t>
            </w:r>
            <w:r>
              <w:br/>
            </w:r>
            <w:r>
              <w:rPr>
                <w:rFonts w:cs="Arial"/>
                <w:sz w:val="18"/>
                <w:szCs w:val="18"/>
              </w:rPr>
              <w:t>(or part thereof)</w:t>
            </w:r>
          </w:p>
        </w:tc>
        <w:tc>
          <w:tcPr>
            <w:tcW w:w="1418" w:type="dxa"/>
            <w:vAlign w:val="center"/>
          </w:tcPr>
          <w:p w:rsidR="00DC4FFD" w:rsidRDefault="00DC4FFD" w:rsidP="006D0383">
            <w:pPr>
              <w:pStyle w:val="Tabletext"/>
            </w:pPr>
            <w:r>
              <w:t>14 426</w:t>
            </w:r>
          </w:p>
        </w:tc>
        <w:tc>
          <w:tcPr>
            <w:tcW w:w="1559" w:type="dxa"/>
            <w:vAlign w:val="center"/>
          </w:tcPr>
          <w:p w:rsidR="00DC4FFD" w:rsidRDefault="00DC4FFD" w:rsidP="006D0383">
            <w:pPr>
              <w:pStyle w:val="Tabletext"/>
            </w:pPr>
            <w:r>
              <w:t>$519 336</w:t>
            </w:r>
          </w:p>
        </w:tc>
      </w:tr>
      <w:tr w:rsidR="00DC4FFD">
        <w:trPr>
          <w:trHeight w:val="680"/>
        </w:trPr>
        <w:tc>
          <w:tcPr>
            <w:tcW w:w="3227" w:type="dxa"/>
            <w:vAlign w:val="center"/>
          </w:tcPr>
          <w:p w:rsidR="00DC4FFD" w:rsidRDefault="00DC4FFD" w:rsidP="006D0383">
            <w:pPr>
              <w:pStyle w:val="Tabletext"/>
            </w:pPr>
            <w:r>
              <w:t>Additional inspection</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$75</w:t>
            </w:r>
          </w:p>
        </w:tc>
        <w:tc>
          <w:tcPr>
            <w:tcW w:w="1559" w:type="dxa"/>
            <w:vAlign w:val="center"/>
          </w:tcPr>
          <w:p w:rsidR="00DC4FFD" w:rsidRDefault="00DC4FFD" w:rsidP="006D0383">
            <w:pPr>
              <w:pStyle w:val="Tabletext"/>
            </w:pPr>
            <w:r>
              <w:t>Per 15 minutes</w:t>
            </w:r>
            <w:r>
              <w:br/>
            </w:r>
            <w:r>
              <w:rPr>
                <w:rFonts w:cs="Arial"/>
                <w:sz w:val="18"/>
                <w:szCs w:val="18"/>
              </w:rPr>
              <w:t>(or part thereof)</w:t>
            </w:r>
          </w:p>
        </w:tc>
        <w:tc>
          <w:tcPr>
            <w:tcW w:w="1418" w:type="dxa"/>
            <w:vAlign w:val="center"/>
          </w:tcPr>
          <w:p w:rsidR="00DC4FFD" w:rsidRDefault="00DC4FFD" w:rsidP="006D0383">
            <w:pPr>
              <w:pStyle w:val="Tabletext"/>
            </w:pPr>
            <w:r>
              <w:t>-</w:t>
            </w:r>
          </w:p>
        </w:tc>
        <w:tc>
          <w:tcPr>
            <w:tcW w:w="1559" w:type="dxa"/>
            <w:vAlign w:val="center"/>
          </w:tcPr>
          <w:p w:rsidR="00DC4FFD" w:rsidRDefault="00DC4FFD" w:rsidP="006D0383">
            <w:pPr>
              <w:pStyle w:val="Tabletext"/>
            </w:pPr>
            <w:r>
              <w:t>-</w:t>
            </w:r>
          </w:p>
        </w:tc>
      </w:tr>
      <w:tr w:rsidR="00DC4FFD">
        <w:trPr>
          <w:trHeight w:val="680"/>
        </w:trPr>
        <w:tc>
          <w:tcPr>
            <w:tcW w:w="3227" w:type="dxa"/>
            <w:shd w:val="clear" w:color="auto" w:fill="DBE5F1"/>
            <w:vAlign w:val="center"/>
          </w:tcPr>
          <w:p w:rsidR="00DC4FFD" w:rsidRPr="006D0383" w:rsidRDefault="00DC4FFD" w:rsidP="006D0383">
            <w:pPr>
              <w:pStyle w:val="Tabletext"/>
              <w:rPr>
                <w:rStyle w:val="Strong"/>
              </w:rPr>
            </w:pPr>
            <w:r w:rsidRPr="006D0383">
              <w:rPr>
                <w:rStyle w:val="Strong"/>
              </w:rPr>
              <w:t>Documentation fees</w:t>
            </w:r>
          </w:p>
        </w:tc>
        <w:tc>
          <w:tcPr>
            <w:tcW w:w="992" w:type="dxa"/>
            <w:shd w:val="clear" w:color="auto" w:fill="DBE5F1"/>
            <w:vAlign w:val="center"/>
          </w:tcPr>
          <w:p w:rsidR="00DC4FFD" w:rsidRPr="006D0383" w:rsidRDefault="00DC4FFD" w:rsidP="006D0383">
            <w:pPr>
              <w:pStyle w:val="Tabletext"/>
              <w:rPr>
                <w:rStyle w:val="Strong"/>
              </w:rPr>
            </w:pPr>
            <w:r w:rsidRPr="006D0383">
              <w:rPr>
                <w:rStyle w:val="Strong"/>
              </w:rPr>
              <w:t>Type</w:t>
            </w:r>
          </w:p>
        </w:tc>
        <w:tc>
          <w:tcPr>
            <w:tcW w:w="1134" w:type="dxa"/>
            <w:shd w:val="clear" w:color="auto" w:fill="DBE5F1"/>
            <w:vAlign w:val="center"/>
          </w:tcPr>
          <w:p w:rsidR="00DC4FFD" w:rsidRPr="006D0383" w:rsidRDefault="00DC4FFD" w:rsidP="006D0383">
            <w:pPr>
              <w:pStyle w:val="Tabletext"/>
              <w:rPr>
                <w:rStyle w:val="Strong"/>
              </w:rPr>
            </w:pPr>
            <w:r w:rsidRPr="006D0383">
              <w:rPr>
                <w:rStyle w:val="Strong"/>
              </w:rPr>
              <w:t>Rate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Unit</w:t>
            </w:r>
          </w:p>
        </w:tc>
        <w:tc>
          <w:tcPr>
            <w:tcW w:w="1418" w:type="dxa"/>
            <w:shd w:val="clear" w:color="auto" w:fill="DBE5F1"/>
            <w:vAlign w:val="center"/>
          </w:tcPr>
          <w:p w:rsidR="00DC4FFD" w:rsidRPr="006D0383" w:rsidRDefault="00DC4FFD" w:rsidP="006D0383">
            <w:pPr>
              <w:pStyle w:val="Tabletext"/>
              <w:rPr>
                <w:rStyle w:val="Strong"/>
              </w:rPr>
            </w:pPr>
            <w:r w:rsidRPr="006D0383">
              <w:rPr>
                <w:rStyle w:val="Strong"/>
              </w:rPr>
              <w:t>Estimated volume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Estimated total revenue</w:t>
            </w:r>
          </w:p>
        </w:tc>
      </w:tr>
      <w:tr w:rsidR="00DC4FFD">
        <w:trPr>
          <w:trHeight w:val="680"/>
        </w:trPr>
        <w:tc>
          <w:tcPr>
            <w:tcW w:w="3227" w:type="dxa"/>
            <w:vAlign w:val="center"/>
          </w:tcPr>
          <w:p w:rsidR="00DC4FFD" w:rsidRDefault="00DC4FFD" w:rsidP="006D0383">
            <w:pPr>
              <w:pStyle w:val="Tabletext"/>
            </w:pPr>
            <w:r>
              <w:t>Document</w:t>
            </w:r>
            <w:r>
              <w:noBreakHyphen/>
              <w:t>Electronic</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$12</w:t>
            </w:r>
          </w:p>
        </w:tc>
        <w:tc>
          <w:tcPr>
            <w:tcW w:w="1559" w:type="dxa"/>
            <w:vAlign w:val="center"/>
          </w:tcPr>
          <w:p w:rsidR="00DC4FFD" w:rsidRDefault="00DC4FFD" w:rsidP="006D0383">
            <w:pPr>
              <w:pStyle w:val="Tabletext"/>
            </w:pPr>
            <w:r>
              <w:t>Per document</w:t>
            </w:r>
          </w:p>
        </w:tc>
        <w:tc>
          <w:tcPr>
            <w:tcW w:w="1418" w:type="dxa"/>
            <w:vAlign w:val="center"/>
          </w:tcPr>
          <w:p w:rsidR="00DC4FFD" w:rsidRDefault="00DC4FFD" w:rsidP="006D0383">
            <w:pPr>
              <w:pStyle w:val="Tabletext"/>
            </w:pPr>
            <w:r>
              <w:t>64 351</w:t>
            </w:r>
          </w:p>
        </w:tc>
        <w:tc>
          <w:tcPr>
            <w:tcW w:w="1559" w:type="dxa"/>
            <w:vAlign w:val="center"/>
          </w:tcPr>
          <w:p w:rsidR="00DC4FFD" w:rsidRDefault="00DC4FFD" w:rsidP="006D0383">
            <w:pPr>
              <w:pStyle w:val="Tabletext"/>
            </w:pPr>
            <w:r>
              <w:t>$772 212</w:t>
            </w:r>
          </w:p>
        </w:tc>
      </w:tr>
      <w:tr w:rsidR="00DC4FFD">
        <w:trPr>
          <w:trHeight w:val="680"/>
        </w:trPr>
        <w:tc>
          <w:tcPr>
            <w:tcW w:w="3227" w:type="dxa"/>
            <w:tcBorders>
              <w:bottom w:val="single" w:sz="4" w:space="0" w:color="000000"/>
            </w:tcBorders>
            <w:vAlign w:val="center"/>
          </w:tcPr>
          <w:p w:rsidR="00DC4FFD" w:rsidRDefault="00DC4FFD" w:rsidP="006D0383">
            <w:pPr>
              <w:pStyle w:val="Tabletext"/>
            </w:pPr>
            <w:r>
              <w:t>Document</w:t>
            </w:r>
            <w:r>
              <w:noBreakHyphen/>
              <w:t>Manual</w:t>
            </w:r>
          </w:p>
        </w:tc>
        <w:tc>
          <w:tcPr>
            <w:tcW w:w="992" w:type="dxa"/>
            <w:tcBorders>
              <w:bottom w:val="single" w:sz="4" w:space="0" w:color="000000"/>
            </w:tcBorders>
            <w:vAlign w:val="center"/>
          </w:tcPr>
          <w:p w:rsidR="00DC4FFD" w:rsidRDefault="00DC4FFD" w:rsidP="006D0383">
            <w:pPr>
              <w:pStyle w:val="Tabletext"/>
            </w:pPr>
            <w:r>
              <w:t>Fee</w:t>
            </w:r>
          </w:p>
        </w:tc>
        <w:tc>
          <w:tcPr>
            <w:tcW w:w="1134" w:type="dxa"/>
            <w:tcBorders>
              <w:bottom w:val="single" w:sz="4" w:space="0" w:color="000000"/>
            </w:tcBorders>
            <w:vAlign w:val="center"/>
          </w:tcPr>
          <w:p w:rsidR="00DC4FFD" w:rsidRDefault="00DC4FFD" w:rsidP="006D0383">
            <w:pPr>
              <w:pStyle w:val="Tabletext"/>
            </w:pPr>
            <w:r>
              <w:t>$100</w:t>
            </w:r>
          </w:p>
        </w:tc>
        <w:tc>
          <w:tcPr>
            <w:tcW w:w="1559" w:type="dxa"/>
            <w:tcBorders>
              <w:bottom w:val="single" w:sz="4" w:space="0" w:color="000000"/>
            </w:tcBorders>
            <w:vAlign w:val="center"/>
          </w:tcPr>
          <w:p w:rsidR="00DC4FFD" w:rsidRDefault="00DC4FFD" w:rsidP="006D0383">
            <w:pPr>
              <w:pStyle w:val="Tabletext"/>
            </w:pPr>
            <w:r>
              <w:t>Per document</w:t>
            </w:r>
          </w:p>
        </w:tc>
        <w:tc>
          <w:tcPr>
            <w:tcW w:w="1418" w:type="dxa"/>
            <w:tcBorders>
              <w:bottom w:val="single" w:sz="4" w:space="0" w:color="000000"/>
            </w:tcBorders>
            <w:vAlign w:val="center"/>
          </w:tcPr>
          <w:p w:rsidR="00DC4FFD" w:rsidRDefault="00DC4FFD" w:rsidP="006D0383">
            <w:pPr>
              <w:pStyle w:val="Tabletext"/>
            </w:pPr>
            <w:r>
              <w:t>-</w:t>
            </w:r>
          </w:p>
        </w:tc>
        <w:tc>
          <w:tcPr>
            <w:tcW w:w="1559" w:type="dxa"/>
            <w:tcBorders>
              <w:bottom w:val="single" w:sz="4" w:space="0" w:color="000000"/>
            </w:tcBorders>
            <w:vAlign w:val="center"/>
          </w:tcPr>
          <w:p w:rsidR="00DC4FFD" w:rsidRDefault="00DC4FFD" w:rsidP="006D0383">
            <w:pPr>
              <w:pStyle w:val="Tabletext"/>
            </w:pPr>
            <w:r>
              <w:t>-</w:t>
            </w:r>
          </w:p>
        </w:tc>
      </w:tr>
      <w:tr w:rsidR="00DC4FFD">
        <w:trPr>
          <w:trHeight w:val="680"/>
        </w:trPr>
        <w:tc>
          <w:tcPr>
            <w:tcW w:w="3227" w:type="dxa"/>
            <w:vAlign w:val="center"/>
          </w:tcPr>
          <w:p w:rsidR="00DC4FFD" w:rsidRDefault="00DC4FFD" w:rsidP="006D0383">
            <w:pPr>
              <w:pStyle w:val="Tabletext"/>
            </w:pPr>
            <w:r>
              <w:t>Replacement certificate</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$500</w:t>
            </w:r>
          </w:p>
        </w:tc>
        <w:tc>
          <w:tcPr>
            <w:tcW w:w="1559" w:type="dxa"/>
            <w:vAlign w:val="center"/>
          </w:tcPr>
          <w:p w:rsidR="00DC4FFD" w:rsidRDefault="00DC4FFD" w:rsidP="006D0383">
            <w:pPr>
              <w:pStyle w:val="Tabletext"/>
            </w:pPr>
            <w:r>
              <w:t>Per document</w:t>
            </w:r>
          </w:p>
        </w:tc>
        <w:tc>
          <w:tcPr>
            <w:tcW w:w="1418" w:type="dxa"/>
            <w:vAlign w:val="center"/>
          </w:tcPr>
          <w:p w:rsidR="00DC4FFD" w:rsidRDefault="00DC4FFD" w:rsidP="006D0383">
            <w:pPr>
              <w:pStyle w:val="Tabletext"/>
            </w:pPr>
            <w:r>
              <w:t>-</w:t>
            </w:r>
          </w:p>
        </w:tc>
        <w:tc>
          <w:tcPr>
            <w:tcW w:w="1559" w:type="dxa"/>
            <w:vAlign w:val="center"/>
          </w:tcPr>
          <w:p w:rsidR="00DC4FFD" w:rsidRDefault="00DC4FFD" w:rsidP="006D0383">
            <w:pPr>
              <w:pStyle w:val="Tabletext"/>
            </w:pPr>
            <w:r>
              <w:t>-</w:t>
            </w:r>
          </w:p>
        </w:tc>
      </w:tr>
      <w:tr w:rsidR="00DC4FFD">
        <w:trPr>
          <w:trHeight w:val="680"/>
        </w:trPr>
        <w:tc>
          <w:tcPr>
            <w:tcW w:w="3227" w:type="dxa"/>
            <w:shd w:val="clear" w:color="auto" w:fill="DBE5F1"/>
            <w:vAlign w:val="center"/>
          </w:tcPr>
          <w:p w:rsidR="00DC4FFD" w:rsidRPr="006D0383" w:rsidRDefault="00DC4FFD" w:rsidP="006D0383">
            <w:pPr>
              <w:pStyle w:val="Tabletext"/>
              <w:rPr>
                <w:rStyle w:val="Strong"/>
              </w:rPr>
            </w:pPr>
            <w:r w:rsidRPr="006D0383">
              <w:rPr>
                <w:rStyle w:val="Strong"/>
              </w:rPr>
              <w:t>Approved Authorised Officer (AAO) fees</w:t>
            </w:r>
          </w:p>
        </w:tc>
        <w:tc>
          <w:tcPr>
            <w:tcW w:w="992" w:type="dxa"/>
            <w:shd w:val="clear" w:color="auto" w:fill="DBE5F1"/>
            <w:vAlign w:val="center"/>
          </w:tcPr>
          <w:p w:rsidR="00DC4FFD" w:rsidRPr="006D0383" w:rsidRDefault="00DC4FFD" w:rsidP="006D0383">
            <w:pPr>
              <w:pStyle w:val="Tabletext"/>
              <w:rPr>
                <w:rStyle w:val="Strong"/>
              </w:rPr>
            </w:pPr>
            <w:r w:rsidRPr="006D0383">
              <w:rPr>
                <w:rStyle w:val="Strong"/>
              </w:rPr>
              <w:t>Type</w:t>
            </w:r>
          </w:p>
        </w:tc>
        <w:tc>
          <w:tcPr>
            <w:tcW w:w="1134" w:type="dxa"/>
            <w:shd w:val="clear" w:color="auto" w:fill="DBE5F1"/>
            <w:vAlign w:val="center"/>
          </w:tcPr>
          <w:p w:rsidR="00DC4FFD" w:rsidRPr="006D0383" w:rsidRDefault="00DC4FFD" w:rsidP="006D0383">
            <w:pPr>
              <w:pStyle w:val="Tabletext"/>
              <w:rPr>
                <w:rStyle w:val="Strong"/>
              </w:rPr>
            </w:pPr>
            <w:r w:rsidRPr="006D0383">
              <w:rPr>
                <w:rStyle w:val="Strong"/>
              </w:rPr>
              <w:t>Rate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Unit</w:t>
            </w:r>
          </w:p>
        </w:tc>
        <w:tc>
          <w:tcPr>
            <w:tcW w:w="1418" w:type="dxa"/>
            <w:shd w:val="clear" w:color="auto" w:fill="DBE5F1"/>
            <w:vAlign w:val="center"/>
          </w:tcPr>
          <w:p w:rsidR="00DC4FFD" w:rsidRPr="006D0383" w:rsidRDefault="00DC4FFD" w:rsidP="006D0383">
            <w:pPr>
              <w:pStyle w:val="Tabletext"/>
              <w:rPr>
                <w:rStyle w:val="Strong"/>
              </w:rPr>
            </w:pPr>
            <w:r w:rsidRPr="006D0383">
              <w:rPr>
                <w:rStyle w:val="Strong"/>
              </w:rPr>
              <w:t>Estimated volume</w:t>
            </w:r>
          </w:p>
        </w:tc>
        <w:tc>
          <w:tcPr>
            <w:tcW w:w="1559" w:type="dxa"/>
            <w:shd w:val="clear" w:color="auto" w:fill="DBE5F1"/>
            <w:vAlign w:val="center"/>
          </w:tcPr>
          <w:p w:rsidR="00DC4FFD" w:rsidRPr="006D0383" w:rsidRDefault="00DC4FFD" w:rsidP="006D0383">
            <w:pPr>
              <w:pStyle w:val="Tabletext"/>
              <w:rPr>
                <w:rStyle w:val="Strong"/>
              </w:rPr>
            </w:pPr>
            <w:r w:rsidRPr="006D0383">
              <w:rPr>
                <w:rStyle w:val="Strong"/>
              </w:rPr>
              <w:t>Estimated total revenue</w:t>
            </w:r>
          </w:p>
        </w:tc>
      </w:tr>
      <w:tr w:rsidR="00DC4FFD">
        <w:trPr>
          <w:trHeight w:val="680"/>
        </w:trPr>
        <w:tc>
          <w:tcPr>
            <w:tcW w:w="3227" w:type="dxa"/>
            <w:vAlign w:val="center"/>
          </w:tcPr>
          <w:p w:rsidR="00DC4FFD" w:rsidRDefault="00DC4FFD" w:rsidP="006D0383">
            <w:pPr>
              <w:pStyle w:val="Tabletext"/>
            </w:pPr>
            <w:r>
              <w:t>AAO Application Fee</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$250</w:t>
            </w:r>
          </w:p>
        </w:tc>
        <w:tc>
          <w:tcPr>
            <w:tcW w:w="1559" w:type="dxa"/>
            <w:vAlign w:val="center"/>
          </w:tcPr>
          <w:p w:rsidR="00DC4FFD" w:rsidRDefault="00DC4FFD" w:rsidP="006D0383">
            <w:pPr>
              <w:pStyle w:val="Tabletext"/>
            </w:pPr>
            <w:r>
              <w:t>per AO application</w:t>
            </w:r>
          </w:p>
        </w:tc>
        <w:tc>
          <w:tcPr>
            <w:tcW w:w="1418" w:type="dxa"/>
            <w:vAlign w:val="center"/>
          </w:tcPr>
          <w:p w:rsidR="00DC4FFD" w:rsidRDefault="00DC4FFD" w:rsidP="006D0383">
            <w:pPr>
              <w:pStyle w:val="Tabletext"/>
            </w:pPr>
            <w:r>
              <w:t>300</w:t>
            </w:r>
          </w:p>
        </w:tc>
        <w:tc>
          <w:tcPr>
            <w:tcW w:w="1559" w:type="dxa"/>
            <w:vAlign w:val="center"/>
          </w:tcPr>
          <w:p w:rsidR="00DC4FFD" w:rsidRDefault="00DC4FFD" w:rsidP="006D0383">
            <w:pPr>
              <w:pStyle w:val="Tabletext"/>
            </w:pPr>
            <w:r>
              <w:t>$75 000</w:t>
            </w:r>
          </w:p>
        </w:tc>
      </w:tr>
      <w:tr w:rsidR="00DC4FFD">
        <w:trPr>
          <w:trHeight w:val="680"/>
        </w:trPr>
        <w:tc>
          <w:tcPr>
            <w:tcW w:w="3227" w:type="dxa"/>
            <w:vAlign w:val="center"/>
          </w:tcPr>
          <w:p w:rsidR="00DC4FFD" w:rsidRDefault="00DC4FFD" w:rsidP="006D0383">
            <w:pPr>
              <w:pStyle w:val="Tabletext"/>
            </w:pPr>
            <w:r>
              <w:t>AAO Learning and Assessment</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$1 750</w:t>
            </w:r>
          </w:p>
        </w:tc>
        <w:tc>
          <w:tcPr>
            <w:tcW w:w="1559" w:type="dxa"/>
            <w:vAlign w:val="center"/>
          </w:tcPr>
          <w:p w:rsidR="00DC4FFD" w:rsidRDefault="00DC4FFD" w:rsidP="006D0383">
            <w:pPr>
              <w:pStyle w:val="Tabletext"/>
            </w:pPr>
            <w:r>
              <w:t>per person delivered training</w:t>
            </w:r>
          </w:p>
        </w:tc>
        <w:tc>
          <w:tcPr>
            <w:tcW w:w="1418" w:type="dxa"/>
            <w:vAlign w:val="center"/>
          </w:tcPr>
          <w:p w:rsidR="00DC4FFD" w:rsidRDefault="00DC4FFD" w:rsidP="006D0383">
            <w:pPr>
              <w:pStyle w:val="Tabletext"/>
            </w:pPr>
            <w:r>
              <w:t>186</w:t>
            </w:r>
          </w:p>
        </w:tc>
        <w:tc>
          <w:tcPr>
            <w:tcW w:w="1559" w:type="dxa"/>
            <w:vAlign w:val="center"/>
          </w:tcPr>
          <w:p w:rsidR="00DC4FFD" w:rsidRDefault="00DC4FFD" w:rsidP="006D0383">
            <w:pPr>
              <w:pStyle w:val="Tabletext"/>
            </w:pPr>
            <w:r>
              <w:t>$325 500</w:t>
            </w:r>
          </w:p>
        </w:tc>
      </w:tr>
      <w:tr w:rsidR="00DC4FFD">
        <w:trPr>
          <w:trHeight w:val="680"/>
        </w:trPr>
        <w:tc>
          <w:tcPr>
            <w:tcW w:w="3227" w:type="dxa"/>
            <w:vAlign w:val="center"/>
          </w:tcPr>
          <w:p w:rsidR="00DC4FFD" w:rsidRDefault="00DC4FFD" w:rsidP="006D0383">
            <w:pPr>
              <w:pStyle w:val="Tabletext"/>
            </w:pPr>
            <w:r>
              <w:t>Additional AAO Learning and Assessment</w:t>
            </w:r>
          </w:p>
        </w:tc>
        <w:tc>
          <w:tcPr>
            <w:tcW w:w="992" w:type="dxa"/>
            <w:vAlign w:val="center"/>
          </w:tcPr>
          <w:p w:rsidR="00DC4FFD" w:rsidRDefault="00DC4FFD" w:rsidP="006D0383">
            <w:pPr>
              <w:pStyle w:val="Tabletext"/>
            </w:pPr>
            <w:r>
              <w:t>Fee</w:t>
            </w:r>
          </w:p>
        </w:tc>
        <w:tc>
          <w:tcPr>
            <w:tcW w:w="1134" w:type="dxa"/>
            <w:vAlign w:val="center"/>
          </w:tcPr>
          <w:p w:rsidR="00DC4FFD" w:rsidRDefault="00DC4FFD" w:rsidP="006D0383">
            <w:pPr>
              <w:pStyle w:val="Tabletext"/>
            </w:pPr>
            <w:r>
              <w:t>$2 000</w:t>
            </w:r>
          </w:p>
        </w:tc>
        <w:tc>
          <w:tcPr>
            <w:tcW w:w="1559" w:type="dxa"/>
            <w:vAlign w:val="center"/>
          </w:tcPr>
          <w:p w:rsidR="00DC4FFD" w:rsidRDefault="00DC4FFD" w:rsidP="006D0383">
            <w:pPr>
              <w:pStyle w:val="Tabletext"/>
            </w:pPr>
            <w:r>
              <w:t>per person delivered additional training</w:t>
            </w:r>
          </w:p>
        </w:tc>
        <w:tc>
          <w:tcPr>
            <w:tcW w:w="1418" w:type="dxa"/>
            <w:vAlign w:val="center"/>
          </w:tcPr>
          <w:p w:rsidR="00DC4FFD" w:rsidRDefault="00DC4FFD" w:rsidP="006D0383">
            <w:pPr>
              <w:pStyle w:val="Tabletext"/>
            </w:pPr>
            <w:r>
              <w:t>37</w:t>
            </w:r>
          </w:p>
        </w:tc>
        <w:tc>
          <w:tcPr>
            <w:tcW w:w="1559" w:type="dxa"/>
            <w:vAlign w:val="center"/>
          </w:tcPr>
          <w:p w:rsidR="00DC4FFD" w:rsidRDefault="00DC4FFD" w:rsidP="006D0383">
            <w:pPr>
              <w:pStyle w:val="Tabletext"/>
            </w:pPr>
            <w:r>
              <w:t>$74 000</w:t>
            </w:r>
          </w:p>
        </w:tc>
      </w:tr>
      <w:tr w:rsidR="00DC4FFD">
        <w:trPr>
          <w:trHeight w:val="680"/>
        </w:trPr>
        <w:tc>
          <w:tcPr>
            <w:tcW w:w="3227" w:type="dxa"/>
            <w:tcBorders>
              <w:bottom w:val="single" w:sz="4" w:space="0" w:color="000000"/>
            </w:tcBorders>
            <w:vAlign w:val="center"/>
          </w:tcPr>
          <w:p w:rsidR="00DC4FFD" w:rsidRDefault="00DC4FFD" w:rsidP="006D0383">
            <w:pPr>
              <w:pStyle w:val="Tabletext"/>
            </w:pPr>
            <w:r>
              <w:t>AAO Approval</w:t>
            </w:r>
          </w:p>
        </w:tc>
        <w:tc>
          <w:tcPr>
            <w:tcW w:w="992" w:type="dxa"/>
            <w:tcBorders>
              <w:bottom w:val="single" w:sz="4" w:space="0" w:color="000000"/>
            </w:tcBorders>
            <w:vAlign w:val="center"/>
          </w:tcPr>
          <w:p w:rsidR="00DC4FFD" w:rsidRDefault="00DC4FFD" w:rsidP="006D0383">
            <w:pPr>
              <w:pStyle w:val="Tabletext"/>
            </w:pPr>
            <w:r>
              <w:t>Fee</w:t>
            </w:r>
          </w:p>
        </w:tc>
        <w:tc>
          <w:tcPr>
            <w:tcW w:w="1134" w:type="dxa"/>
            <w:tcBorders>
              <w:bottom w:val="single" w:sz="4" w:space="0" w:color="000000"/>
            </w:tcBorders>
            <w:vAlign w:val="center"/>
          </w:tcPr>
          <w:p w:rsidR="00DC4FFD" w:rsidRDefault="00DC4FFD" w:rsidP="006D0383">
            <w:pPr>
              <w:pStyle w:val="Tabletext"/>
            </w:pPr>
            <w:r>
              <w:t>$250</w:t>
            </w:r>
          </w:p>
        </w:tc>
        <w:tc>
          <w:tcPr>
            <w:tcW w:w="1559" w:type="dxa"/>
            <w:tcBorders>
              <w:bottom w:val="single" w:sz="4" w:space="0" w:color="000000"/>
            </w:tcBorders>
            <w:vAlign w:val="center"/>
          </w:tcPr>
          <w:p w:rsidR="00DC4FFD" w:rsidRDefault="00DC4FFD" w:rsidP="006D0383">
            <w:pPr>
              <w:pStyle w:val="Tabletext"/>
            </w:pPr>
            <w:r>
              <w:t>per AO approval</w:t>
            </w:r>
          </w:p>
        </w:tc>
        <w:tc>
          <w:tcPr>
            <w:tcW w:w="1418" w:type="dxa"/>
            <w:tcBorders>
              <w:bottom w:val="single" w:sz="4" w:space="0" w:color="000000"/>
            </w:tcBorders>
            <w:vAlign w:val="center"/>
          </w:tcPr>
          <w:p w:rsidR="00DC4FFD" w:rsidRDefault="00DC4FFD" w:rsidP="006D0383">
            <w:pPr>
              <w:pStyle w:val="Tabletext"/>
            </w:pPr>
            <w:r>
              <w:t>186</w:t>
            </w:r>
          </w:p>
        </w:tc>
        <w:tc>
          <w:tcPr>
            <w:tcW w:w="1559" w:type="dxa"/>
            <w:tcBorders>
              <w:bottom w:val="single" w:sz="4" w:space="0" w:color="000000"/>
            </w:tcBorders>
            <w:vAlign w:val="center"/>
          </w:tcPr>
          <w:p w:rsidR="00DC4FFD" w:rsidRDefault="00DC4FFD" w:rsidP="006D0383">
            <w:pPr>
              <w:pStyle w:val="Tabletext"/>
            </w:pPr>
            <w:r>
              <w:t>$46 500</w:t>
            </w:r>
          </w:p>
        </w:tc>
      </w:tr>
    </w:tbl>
    <w:p w:rsidR="00DC4FFD" w:rsidRDefault="00DC4FFD">
      <w:pPr>
        <w:pStyle w:val="Caption"/>
        <w:keepNext/>
      </w:pPr>
      <w:r>
        <w:lastRenderedPageBreak/>
        <w:t>Table 18: Fees, levies and volumes —horticulture exports cost recovery arrangement (2016–17)</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F550E9" w:rsidRDefault="00DC4FFD" w:rsidP="00F550E9">
            <w:pPr>
              <w:pStyle w:val="Tabletext"/>
              <w:rPr>
                <w:rStyle w:val="Strong"/>
              </w:rPr>
            </w:pPr>
            <w:r w:rsidRPr="00F550E9">
              <w:rPr>
                <w:rStyle w:val="Strong"/>
              </w:rPr>
              <w:t>Charge title</w:t>
            </w:r>
          </w:p>
        </w:tc>
        <w:tc>
          <w:tcPr>
            <w:tcW w:w="992" w:type="dxa"/>
            <w:shd w:val="clear" w:color="auto" w:fill="C6D9F1"/>
            <w:vAlign w:val="center"/>
          </w:tcPr>
          <w:p w:rsidR="00DC4FFD" w:rsidRPr="00F550E9" w:rsidRDefault="00DC4FFD" w:rsidP="00F550E9">
            <w:pPr>
              <w:pStyle w:val="Tabletext"/>
              <w:rPr>
                <w:rStyle w:val="Strong"/>
              </w:rPr>
            </w:pPr>
            <w:r w:rsidRPr="00F550E9">
              <w:rPr>
                <w:rStyle w:val="Strong"/>
              </w:rPr>
              <w:t>Type</w:t>
            </w:r>
          </w:p>
        </w:tc>
        <w:tc>
          <w:tcPr>
            <w:tcW w:w="1134" w:type="dxa"/>
            <w:shd w:val="clear" w:color="auto" w:fill="C6D9F1"/>
            <w:vAlign w:val="center"/>
          </w:tcPr>
          <w:p w:rsidR="00DC4FFD" w:rsidRPr="00F550E9" w:rsidRDefault="00DC4FFD" w:rsidP="00F550E9">
            <w:pPr>
              <w:pStyle w:val="Tabletext"/>
              <w:rPr>
                <w:rStyle w:val="Strong"/>
              </w:rPr>
            </w:pPr>
            <w:r w:rsidRPr="00F550E9">
              <w:rPr>
                <w:rStyle w:val="Strong"/>
              </w:rPr>
              <w:t>Rate</w:t>
            </w:r>
          </w:p>
        </w:tc>
        <w:tc>
          <w:tcPr>
            <w:tcW w:w="1559" w:type="dxa"/>
            <w:shd w:val="clear" w:color="auto" w:fill="C6D9F1"/>
            <w:vAlign w:val="center"/>
          </w:tcPr>
          <w:p w:rsidR="00DC4FFD" w:rsidRPr="00F550E9" w:rsidRDefault="00DC4FFD" w:rsidP="00F550E9">
            <w:pPr>
              <w:pStyle w:val="Tabletext"/>
              <w:rPr>
                <w:rStyle w:val="Strong"/>
              </w:rPr>
            </w:pPr>
            <w:r w:rsidRPr="00F550E9">
              <w:rPr>
                <w:rStyle w:val="Strong"/>
              </w:rPr>
              <w:t>Unit</w:t>
            </w:r>
          </w:p>
        </w:tc>
        <w:tc>
          <w:tcPr>
            <w:tcW w:w="1418" w:type="dxa"/>
            <w:shd w:val="clear" w:color="auto" w:fill="C6D9F1"/>
            <w:vAlign w:val="center"/>
          </w:tcPr>
          <w:p w:rsidR="00DC4FFD" w:rsidRPr="00F550E9" w:rsidRDefault="00DC4FFD" w:rsidP="00F550E9">
            <w:pPr>
              <w:pStyle w:val="Tabletext"/>
              <w:rPr>
                <w:rStyle w:val="Strong"/>
              </w:rPr>
            </w:pPr>
            <w:r w:rsidRPr="00F550E9">
              <w:rPr>
                <w:rStyle w:val="Strong"/>
              </w:rPr>
              <w:t>Estimated volume</w:t>
            </w:r>
          </w:p>
        </w:tc>
        <w:tc>
          <w:tcPr>
            <w:tcW w:w="1559" w:type="dxa"/>
            <w:shd w:val="clear" w:color="auto" w:fill="C6D9F1"/>
            <w:vAlign w:val="center"/>
          </w:tcPr>
          <w:p w:rsidR="00DC4FFD" w:rsidRPr="00F550E9" w:rsidRDefault="00DC4FFD" w:rsidP="00F550E9">
            <w:pPr>
              <w:pStyle w:val="Tabletext"/>
              <w:rPr>
                <w:rStyle w:val="Strong"/>
              </w:rPr>
            </w:pPr>
            <w:r w:rsidRPr="00F550E9">
              <w:rPr>
                <w:rStyle w:val="Strong"/>
              </w:rPr>
              <w:t>Estimated total revenue</w:t>
            </w:r>
          </w:p>
        </w:tc>
      </w:tr>
      <w:tr w:rsidR="00DC4FFD">
        <w:trPr>
          <w:cantSplit/>
          <w:trHeight w:val="680"/>
        </w:trPr>
        <w:tc>
          <w:tcPr>
            <w:tcW w:w="3227" w:type="dxa"/>
            <w:shd w:val="clear" w:color="auto" w:fill="DBE5F1"/>
            <w:vAlign w:val="center"/>
          </w:tcPr>
          <w:p w:rsidR="00DC4FFD" w:rsidRPr="00F550E9" w:rsidRDefault="00DC4FFD" w:rsidP="00F550E9">
            <w:pPr>
              <w:pStyle w:val="Tabletext"/>
              <w:rPr>
                <w:rStyle w:val="Strong"/>
              </w:rPr>
            </w:pPr>
            <w:r w:rsidRPr="00F550E9">
              <w:rPr>
                <w:rStyle w:val="Strong"/>
              </w:rPr>
              <w:t>Plant exporter levies</w:t>
            </w:r>
          </w:p>
        </w:tc>
        <w:tc>
          <w:tcPr>
            <w:tcW w:w="992" w:type="dxa"/>
            <w:shd w:val="clear" w:color="auto" w:fill="DBE5F1"/>
            <w:vAlign w:val="center"/>
          </w:tcPr>
          <w:p w:rsidR="00DC4FFD" w:rsidRPr="00F550E9" w:rsidRDefault="00DC4FFD" w:rsidP="00F550E9">
            <w:pPr>
              <w:pStyle w:val="Tabletext"/>
              <w:rPr>
                <w:rStyle w:val="Strong"/>
              </w:rPr>
            </w:pPr>
            <w:r w:rsidRPr="00F550E9">
              <w:rPr>
                <w:rStyle w:val="Strong"/>
              </w:rPr>
              <w:t>Type</w:t>
            </w:r>
          </w:p>
        </w:tc>
        <w:tc>
          <w:tcPr>
            <w:tcW w:w="1134" w:type="dxa"/>
            <w:shd w:val="clear" w:color="auto" w:fill="DBE5F1"/>
            <w:vAlign w:val="center"/>
          </w:tcPr>
          <w:p w:rsidR="00DC4FFD" w:rsidRPr="00F550E9" w:rsidRDefault="00DC4FFD" w:rsidP="00F550E9">
            <w:pPr>
              <w:pStyle w:val="Tabletext"/>
              <w:rPr>
                <w:rStyle w:val="Strong"/>
              </w:rPr>
            </w:pPr>
            <w:r w:rsidRPr="00F550E9">
              <w:rPr>
                <w:rStyle w:val="Strong"/>
              </w:rPr>
              <w:t>Rate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Unit</w:t>
            </w:r>
          </w:p>
        </w:tc>
        <w:tc>
          <w:tcPr>
            <w:tcW w:w="1418" w:type="dxa"/>
            <w:shd w:val="clear" w:color="auto" w:fill="DBE5F1"/>
            <w:vAlign w:val="center"/>
          </w:tcPr>
          <w:p w:rsidR="00DC4FFD" w:rsidRPr="00F550E9" w:rsidRDefault="00DC4FFD" w:rsidP="00F550E9">
            <w:pPr>
              <w:pStyle w:val="Tabletext"/>
              <w:rPr>
                <w:rStyle w:val="Strong"/>
              </w:rPr>
            </w:pPr>
            <w:r w:rsidRPr="00F550E9">
              <w:rPr>
                <w:rStyle w:val="Strong"/>
              </w:rPr>
              <w:t>Estimated volume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Estimated total revenue</w:t>
            </w:r>
          </w:p>
        </w:tc>
      </w:tr>
      <w:tr w:rsidR="00DC4FFD">
        <w:trPr>
          <w:cantSplit/>
          <w:trHeight w:val="680"/>
        </w:trPr>
        <w:tc>
          <w:tcPr>
            <w:tcW w:w="3227" w:type="dxa"/>
            <w:vAlign w:val="center"/>
          </w:tcPr>
          <w:p w:rsidR="00DC4FFD" w:rsidRDefault="00DC4FFD" w:rsidP="00F550E9">
            <w:pPr>
              <w:pStyle w:val="Tabletext"/>
            </w:pPr>
            <w:r>
              <w:t>Establishment registration—grower/exporter</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$600</w:t>
            </w:r>
          </w:p>
        </w:tc>
        <w:tc>
          <w:tcPr>
            <w:tcW w:w="1559" w:type="dxa"/>
            <w:vAlign w:val="center"/>
          </w:tcPr>
          <w:p w:rsidR="00DC4FFD" w:rsidRDefault="00DC4FFD" w:rsidP="00F550E9">
            <w:pPr>
              <w:pStyle w:val="Tabletext"/>
            </w:pPr>
            <w:r>
              <w:t>Annual</w:t>
            </w:r>
          </w:p>
        </w:tc>
        <w:tc>
          <w:tcPr>
            <w:tcW w:w="1418" w:type="dxa"/>
            <w:vAlign w:val="center"/>
          </w:tcPr>
          <w:p w:rsidR="00DC4FFD" w:rsidRDefault="00DC4FFD" w:rsidP="00F550E9">
            <w:pPr>
              <w:pStyle w:val="Tabletext"/>
            </w:pPr>
            <w:r>
              <w:t>287</w:t>
            </w:r>
          </w:p>
        </w:tc>
        <w:tc>
          <w:tcPr>
            <w:tcW w:w="1559" w:type="dxa"/>
            <w:vAlign w:val="center"/>
          </w:tcPr>
          <w:p w:rsidR="00DC4FFD" w:rsidRDefault="00DC4FFD" w:rsidP="00F550E9">
            <w:pPr>
              <w:pStyle w:val="Tabletext"/>
            </w:pPr>
            <w:r>
              <w:t>$172 200</w:t>
            </w:r>
          </w:p>
        </w:tc>
      </w:tr>
      <w:tr w:rsidR="00DC4FFD">
        <w:trPr>
          <w:cantSplit/>
          <w:trHeight w:val="680"/>
        </w:trPr>
        <w:tc>
          <w:tcPr>
            <w:tcW w:w="3227" w:type="dxa"/>
            <w:vAlign w:val="center"/>
          </w:tcPr>
          <w:p w:rsidR="00DC4FFD" w:rsidRDefault="00DC4FFD" w:rsidP="00F550E9">
            <w:pPr>
              <w:pStyle w:val="Tabletext"/>
            </w:pPr>
            <w:r>
              <w:t>Establishment registration—simple</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$3 000</w:t>
            </w:r>
          </w:p>
        </w:tc>
        <w:tc>
          <w:tcPr>
            <w:tcW w:w="1559" w:type="dxa"/>
            <w:vAlign w:val="center"/>
          </w:tcPr>
          <w:p w:rsidR="00DC4FFD" w:rsidRDefault="00DC4FFD" w:rsidP="00F550E9">
            <w:pPr>
              <w:pStyle w:val="Tabletext"/>
            </w:pPr>
            <w:r>
              <w:t>Annual</w:t>
            </w:r>
          </w:p>
        </w:tc>
        <w:tc>
          <w:tcPr>
            <w:tcW w:w="1418" w:type="dxa"/>
            <w:vAlign w:val="center"/>
          </w:tcPr>
          <w:p w:rsidR="00DC4FFD" w:rsidRDefault="00DC4FFD" w:rsidP="00F550E9">
            <w:pPr>
              <w:pStyle w:val="Tabletext"/>
            </w:pPr>
            <w:r>
              <w:t>165</w:t>
            </w:r>
          </w:p>
        </w:tc>
        <w:tc>
          <w:tcPr>
            <w:tcW w:w="1559" w:type="dxa"/>
            <w:vAlign w:val="center"/>
          </w:tcPr>
          <w:p w:rsidR="00DC4FFD" w:rsidRDefault="00DC4FFD" w:rsidP="00F550E9">
            <w:pPr>
              <w:pStyle w:val="Tabletext"/>
            </w:pPr>
            <w:r>
              <w:t>$495 000</w:t>
            </w:r>
          </w:p>
        </w:tc>
      </w:tr>
      <w:tr w:rsidR="00DC4FFD">
        <w:trPr>
          <w:cantSplit/>
          <w:trHeight w:val="680"/>
        </w:trPr>
        <w:tc>
          <w:tcPr>
            <w:tcW w:w="3227" w:type="dxa"/>
            <w:vAlign w:val="center"/>
          </w:tcPr>
          <w:p w:rsidR="00DC4FFD" w:rsidRDefault="00DC4FFD" w:rsidP="00F550E9">
            <w:pPr>
              <w:pStyle w:val="Tabletext"/>
            </w:pPr>
            <w:r>
              <w:t>Establishment registration—complex</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$6 000</w:t>
            </w:r>
          </w:p>
        </w:tc>
        <w:tc>
          <w:tcPr>
            <w:tcW w:w="1559" w:type="dxa"/>
            <w:vAlign w:val="center"/>
          </w:tcPr>
          <w:p w:rsidR="00DC4FFD" w:rsidRDefault="00DC4FFD" w:rsidP="00F550E9">
            <w:pPr>
              <w:pStyle w:val="Tabletext"/>
            </w:pPr>
            <w:r>
              <w:t>Annual</w:t>
            </w:r>
          </w:p>
        </w:tc>
        <w:tc>
          <w:tcPr>
            <w:tcW w:w="1418" w:type="dxa"/>
            <w:vAlign w:val="center"/>
          </w:tcPr>
          <w:p w:rsidR="00DC4FFD" w:rsidRDefault="00DC4FFD" w:rsidP="00F550E9">
            <w:pPr>
              <w:pStyle w:val="Tabletext"/>
            </w:pPr>
            <w:r>
              <w:t>158</w:t>
            </w:r>
          </w:p>
        </w:tc>
        <w:tc>
          <w:tcPr>
            <w:tcW w:w="1559" w:type="dxa"/>
            <w:vAlign w:val="center"/>
          </w:tcPr>
          <w:p w:rsidR="00DC4FFD" w:rsidRDefault="00DC4FFD" w:rsidP="00F550E9">
            <w:pPr>
              <w:pStyle w:val="Tabletext"/>
            </w:pPr>
            <w:r>
              <w:t>$948 000</w:t>
            </w:r>
          </w:p>
        </w:tc>
      </w:tr>
      <w:tr w:rsidR="00DC4FFD">
        <w:trPr>
          <w:cantSplit/>
          <w:trHeight w:val="680"/>
        </w:trPr>
        <w:tc>
          <w:tcPr>
            <w:tcW w:w="3227" w:type="dxa"/>
            <w:vAlign w:val="center"/>
          </w:tcPr>
          <w:p w:rsidR="00DC4FFD" w:rsidRDefault="00DC4FFD" w:rsidP="00F550E9">
            <w:pPr>
              <w:pStyle w:val="Tabletext"/>
            </w:pPr>
            <w:r>
              <w:t>Authorised officer approval</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$ 750</w:t>
            </w:r>
          </w:p>
        </w:tc>
        <w:tc>
          <w:tcPr>
            <w:tcW w:w="1559" w:type="dxa"/>
            <w:vAlign w:val="center"/>
          </w:tcPr>
          <w:p w:rsidR="00DC4FFD" w:rsidRDefault="00DC4FFD" w:rsidP="00F550E9">
            <w:pPr>
              <w:pStyle w:val="Tabletext"/>
            </w:pPr>
            <w:r>
              <w:t>Annual</w:t>
            </w:r>
          </w:p>
        </w:tc>
        <w:tc>
          <w:tcPr>
            <w:tcW w:w="1418" w:type="dxa"/>
            <w:vAlign w:val="center"/>
          </w:tcPr>
          <w:p w:rsidR="00DC4FFD" w:rsidRDefault="00DC4FFD" w:rsidP="00F550E9">
            <w:pPr>
              <w:pStyle w:val="Tabletext"/>
            </w:pPr>
            <w:r>
              <w:t>242</w:t>
            </w:r>
          </w:p>
        </w:tc>
        <w:tc>
          <w:tcPr>
            <w:tcW w:w="1559" w:type="dxa"/>
            <w:vAlign w:val="center"/>
          </w:tcPr>
          <w:p w:rsidR="00DC4FFD" w:rsidRDefault="00DC4FFD" w:rsidP="00F550E9">
            <w:pPr>
              <w:pStyle w:val="Tabletext"/>
            </w:pPr>
            <w:r>
              <w:t>$181 500</w:t>
            </w:r>
          </w:p>
        </w:tc>
      </w:tr>
      <w:tr w:rsidR="00DC4FFD">
        <w:trPr>
          <w:cantSplit/>
          <w:trHeight w:val="680"/>
        </w:trPr>
        <w:tc>
          <w:tcPr>
            <w:tcW w:w="3227" w:type="dxa"/>
            <w:vAlign w:val="center"/>
          </w:tcPr>
          <w:p w:rsidR="00DC4FFD" w:rsidRDefault="00DC4FFD" w:rsidP="00F550E9">
            <w:pPr>
              <w:pStyle w:val="Tabletext"/>
            </w:pPr>
            <w:r>
              <w:t>Organic certifying organisation</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$7 500</w:t>
            </w:r>
          </w:p>
        </w:tc>
        <w:tc>
          <w:tcPr>
            <w:tcW w:w="1559" w:type="dxa"/>
            <w:vAlign w:val="center"/>
          </w:tcPr>
          <w:p w:rsidR="00DC4FFD" w:rsidRDefault="00DC4FFD" w:rsidP="00F550E9">
            <w:pPr>
              <w:pStyle w:val="Tabletext"/>
            </w:pPr>
            <w:r>
              <w:t>Annual</w:t>
            </w:r>
          </w:p>
        </w:tc>
        <w:tc>
          <w:tcPr>
            <w:tcW w:w="1418" w:type="dxa"/>
            <w:vAlign w:val="center"/>
          </w:tcPr>
          <w:p w:rsidR="00DC4FFD" w:rsidRDefault="00DC4FFD" w:rsidP="00F550E9">
            <w:pPr>
              <w:pStyle w:val="Tabletext"/>
            </w:pPr>
            <w:r>
              <w:t>4</w:t>
            </w:r>
          </w:p>
        </w:tc>
        <w:tc>
          <w:tcPr>
            <w:tcW w:w="1559" w:type="dxa"/>
            <w:vAlign w:val="center"/>
          </w:tcPr>
          <w:p w:rsidR="00DC4FFD" w:rsidRDefault="00DC4FFD" w:rsidP="00F550E9">
            <w:pPr>
              <w:pStyle w:val="Tabletext"/>
            </w:pPr>
            <w:r>
              <w:t>$30 000</w:t>
            </w:r>
          </w:p>
        </w:tc>
      </w:tr>
      <w:tr w:rsidR="00DC4FFD">
        <w:trPr>
          <w:cantSplit/>
          <w:trHeight w:val="680"/>
        </w:trPr>
        <w:tc>
          <w:tcPr>
            <w:tcW w:w="3227" w:type="dxa"/>
            <w:vAlign w:val="center"/>
          </w:tcPr>
          <w:p w:rsidR="00DC4FFD" w:rsidRDefault="00DC4FFD" w:rsidP="00F550E9">
            <w:pPr>
              <w:pStyle w:val="Tabletext"/>
            </w:pPr>
            <w:r>
              <w:t>Export volume—non-protocol rate</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$0.85</w:t>
            </w:r>
          </w:p>
        </w:tc>
        <w:tc>
          <w:tcPr>
            <w:tcW w:w="1559" w:type="dxa"/>
            <w:vAlign w:val="center"/>
          </w:tcPr>
          <w:p w:rsidR="00DC4FFD" w:rsidRDefault="00DC4FFD" w:rsidP="00F550E9">
            <w:pPr>
              <w:pStyle w:val="Tabletext"/>
            </w:pPr>
            <w:r>
              <w:t>Per tonne</w:t>
            </w:r>
            <w:r>
              <w:br/>
            </w:r>
            <w:r>
              <w:rPr>
                <w:rFonts w:cs="Arial"/>
                <w:sz w:val="18"/>
                <w:szCs w:val="18"/>
              </w:rPr>
              <w:t>(or part thereof)</w:t>
            </w:r>
          </w:p>
        </w:tc>
        <w:tc>
          <w:tcPr>
            <w:tcW w:w="1418" w:type="dxa"/>
            <w:vAlign w:val="center"/>
          </w:tcPr>
          <w:p w:rsidR="00DC4FFD" w:rsidRDefault="00DC4FFD" w:rsidP="00F550E9">
            <w:pPr>
              <w:pStyle w:val="Tabletext"/>
            </w:pPr>
            <w:r>
              <w:t>490 127</w:t>
            </w:r>
          </w:p>
        </w:tc>
        <w:tc>
          <w:tcPr>
            <w:tcW w:w="1559" w:type="dxa"/>
            <w:vAlign w:val="center"/>
          </w:tcPr>
          <w:p w:rsidR="00DC4FFD" w:rsidRDefault="00DC4FFD" w:rsidP="00F550E9">
            <w:pPr>
              <w:pStyle w:val="Tabletext"/>
            </w:pPr>
            <w:r>
              <w:t>$416 608</w:t>
            </w:r>
          </w:p>
        </w:tc>
      </w:tr>
      <w:tr w:rsidR="00DC4FFD">
        <w:trPr>
          <w:cantSplit/>
          <w:trHeight w:val="680"/>
        </w:trPr>
        <w:tc>
          <w:tcPr>
            <w:tcW w:w="3227" w:type="dxa"/>
            <w:vAlign w:val="center"/>
          </w:tcPr>
          <w:p w:rsidR="00DC4FFD" w:rsidRDefault="00DC4FFD" w:rsidP="00F550E9">
            <w:pPr>
              <w:pStyle w:val="Tabletext"/>
            </w:pPr>
            <w:r>
              <w:t>Export volume—protocol rate</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$1.70</w:t>
            </w:r>
          </w:p>
        </w:tc>
        <w:tc>
          <w:tcPr>
            <w:tcW w:w="1559" w:type="dxa"/>
            <w:vAlign w:val="center"/>
          </w:tcPr>
          <w:p w:rsidR="00DC4FFD" w:rsidRDefault="00DC4FFD" w:rsidP="00F550E9">
            <w:pPr>
              <w:pStyle w:val="Tabletext"/>
            </w:pPr>
            <w:r>
              <w:t>Per tonne</w:t>
            </w:r>
            <w:r>
              <w:br/>
            </w:r>
            <w:r>
              <w:rPr>
                <w:rFonts w:cs="Arial"/>
                <w:sz w:val="18"/>
                <w:szCs w:val="18"/>
              </w:rPr>
              <w:t>(or part thereof)</w:t>
            </w:r>
          </w:p>
        </w:tc>
        <w:tc>
          <w:tcPr>
            <w:tcW w:w="1418" w:type="dxa"/>
            <w:vAlign w:val="center"/>
          </w:tcPr>
          <w:p w:rsidR="00DC4FFD" w:rsidRDefault="00DC4FFD" w:rsidP="00F550E9">
            <w:pPr>
              <w:pStyle w:val="Tabletext"/>
            </w:pPr>
            <w:r>
              <w:t>87 876</w:t>
            </w:r>
          </w:p>
        </w:tc>
        <w:tc>
          <w:tcPr>
            <w:tcW w:w="1559" w:type="dxa"/>
            <w:vAlign w:val="center"/>
          </w:tcPr>
          <w:p w:rsidR="00DC4FFD" w:rsidRDefault="00DC4FFD" w:rsidP="00F550E9">
            <w:pPr>
              <w:pStyle w:val="Tabletext"/>
            </w:pPr>
            <w:r>
              <w:t>$149 389</w:t>
            </w:r>
          </w:p>
        </w:tc>
      </w:tr>
      <w:tr w:rsidR="00DC4FFD">
        <w:trPr>
          <w:cantSplit/>
          <w:trHeight w:val="680"/>
        </w:trPr>
        <w:tc>
          <w:tcPr>
            <w:tcW w:w="3227" w:type="dxa"/>
            <w:vAlign w:val="center"/>
          </w:tcPr>
          <w:p w:rsidR="00DC4FFD" w:rsidRDefault="00DC4FFD" w:rsidP="00F550E9">
            <w:pPr>
              <w:pStyle w:val="Tabletext"/>
            </w:pPr>
            <w:r>
              <w:t>Phytosanitary certificate</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$38</w:t>
            </w:r>
          </w:p>
        </w:tc>
        <w:tc>
          <w:tcPr>
            <w:tcW w:w="1559" w:type="dxa"/>
            <w:vAlign w:val="center"/>
          </w:tcPr>
          <w:p w:rsidR="00DC4FFD" w:rsidRDefault="00DC4FFD" w:rsidP="00F550E9">
            <w:pPr>
              <w:pStyle w:val="Tabletext"/>
            </w:pPr>
            <w:r>
              <w:t>Per document</w:t>
            </w:r>
          </w:p>
        </w:tc>
        <w:tc>
          <w:tcPr>
            <w:tcW w:w="1418" w:type="dxa"/>
            <w:vAlign w:val="center"/>
          </w:tcPr>
          <w:p w:rsidR="00DC4FFD" w:rsidRDefault="00DC4FFD" w:rsidP="00F550E9">
            <w:pPr>
              <w:pStyle w:val="Tabletext"/>
            </w:pPr>
            <w:r>
              <w:t>22 701</w:t>
            </w:r>
          </w:p>
        </w:tc>
        <w:tc>
          <w:tcPr>
            <w:tcW w:w="1559" w:type="dxa"/>
            <w:vAlign w:val="center"/>
          </w:tcPr>
          <w:p w:rsidR="00DC4FFD" w:rsidRDefault="00DC4FFD" w:rsidP="00F550E9">
            <w:pPr>
              <w:pStyle w:val="Tabletext"/>
            </w:pPr>
            <w:r>
              <w:t>$862 638</w:t>
            </w:r>
          </w:p>
        </w:tc>
      </w:tr>
      <w:tr w:rsidR="00DC4FFD">
        <w:trPr>
          <w:cantSplit/>
          <w:trHeight w:val="680"/>
        </w:trPr>
        <w:tc>
          <w:tcPr>
            <w:tcW w:w="3227" w:type="dxa"/>
            <w:vAlign w:val="center"/>
          </w:tcPr>
          <w:p w:rsidR="00DC4FFD" w:rsidRDefault="00DC4FFD" w:rsidP="00F550E9">
            <w:pPr>
              <w:pStyle w:val="Tabletext"/>
            </w:pPr>
            <w:r>
              <w:t>Establishment application (one-off)</w:t>
            </w:r>
          </w:p>
        </w:tc>
        <w:tc>
          <w:tcPr>
            <w:tcW w:w="992" w:type="dxa"/>
            <w:vAlign w:val="center"/>
          </w:tcPr>
          <w:p w:rsidR="00DC4FFD" w:rsidRDefault="00DC4FFD" w:rsidP="00F550E9">
            <w:pPr>
              <w:pStyle w:val="Tabletext"/>
            </w:pPr>
            <w:r>
              <w:t>Levy</w:t>
            </w:r>
          </w:p>
        </w:tc>
        <w:tc>
          <w:tcPr>
            <w:tcW w:w="1134" w:type="dxa"/>
            <w:vAlign w:val="center"/>
          </w:tcPr>
          <w:p w:rsidR="00DC4FFD" w:rsidRDefault="00DC4FFD" w:rsidP="00F550E9">
            <w:pPr>
              <w:pStyle w:val="Tabletext"/>
            </w:pPr>
            <w:r>
              <w:t>$600</w:t>
            </w:r>
          </w:p>
        </w:tc>
        <w:tc>
          <w:tcPr>
            <w:tcW w:w="1559" w:type="dxa"/>
            <w:vAlign w:val="center"/>
          </w:tcPr>
          <w:p w:rsidR="00DC4FFD" w:rsidRDefault="00DC4FFD" w:rsidP="00F550E9">
            <w:pPr>
              <w:pStyle w:val="Tabletext"/>
            </w:pPr>
            <w:r>
              <w:t>Per initial establishment application</w:t>
            </w:r>
          </w:p>
        </w:tc>
        <w:tc>
          <w:tcPr>
            <w:tcW w:w="1418" w:type="dxa"/>
            <w:vAlign w:val="center"/>
          </w:tcPr>
          <w:p w:rsidR="00DC4FFD" w:rsidRDefault="00DC4FFD" w:rsidP="00F550E9">
            <w:pPr>
              <w:pStyle w:val="Tabletext"/>
            </w:pPr>
            <w:r>
              <w:t>-</w:t>
            </w:r>
          </w:p>
        </w:tc>
        <w:tc>
          <w:tcPr>
            <w:tcW w:w="1559" w:type="dxa"/>
            <w:vAlign w:val="center"/>
          </w:tcPr>
          <w:p w:rsidR="00DC4FFD" w:rsidRDefault="00DC4FFD" w:rsidP="00F550E9">
            <w:pPr>
              <w:pStyle w:val="Tabletext"/>
            </w:pPr>
            <w:r>
              <w:t>-</w:t>
            </w:r>
          </w:p>
        </w:tc>
      </w:tr>
      <w:tr w:rsidR="00DC4FFD">
        <w:trPr>
          <w:trHeight w:val="680"/>
        </w:trPr>
        <w:tc>
          <w:tcPr>
            <w:tcW w:w="3227" w:type="dxa"/>
            <w:shd w:val="clear" w:color="auto" w:fill="DBE5F1"/>
            <w:vAlign w:val="center"/>
          </w:tcPr>
          <w:p w:rsidR="00DC4FFD" w:rsidRPr="00F550E9" w:rsidRDefault="00DC4FFD" w:rsidP="00F550E9">
            <w:pPr>
              <w:pStyle w:val="Tabletext"/>
              <w:rPr>
                <w:rStyle w:val="Strong"/>
              </w:rPr>
            </w:pPr>
            <w:r w:rsidRPr="00F550E9">
              <w:rPr>
                <w:rStyle w:val="Strong"/>
              </w:rPr>
              <w:t>Audit and Inspection fees</w:t>
            </w:r>
          </w:p>
        </w:tc>
        <w:tc>
          <w:tcPr>
            <w:tcW w:w="992" w:type="dxa"/>
            <w:shd w:val="clear" w:color="auto" w:fill="DBE5F1"/>
            <w:vAlign w:val="center"/>
          </w:tcPr>
          <w:p w:rsidR="00DC4FFD" w:rsidRPr="00F550E9" w:rsidRDefault="00DC4FFD" w:rsidP="00F550E9">
            <w:pPr>
              <w:pStyle w:val="Tabletext"/>
              <w:rPr>
                <w:rStyle w:val="Strong"/>
              </w:rPr>
            </w:pPr>
            <w:r w:rsidRPr="00F550E9">
              <w:rPr>
                <w:rStyle w:val="Strong"/>
              </w:rPr>
              <w:t>Type</w:t>
            </w:r>
          </w:p>
        </w:tc>
        <w:tc>
          <w:tcPr>
            <w:tcW w:w="1134" w:type="dxa"/>
            <w:shd w:val="clear" w:color="auto" w:fill="DBE5F1"/>
            <w:vAlign w:val="center"/>
          </w:tcPr>
          <w:p w:rsidR="00DC4FFD" w:rsidRPr="00F550E9" w:rsidRDefault="00DC4FFD" w:rsidP="00F550E9">
            <w:pPr>
              <w:pStyle w:val="Tabletext"/>
              <w:rPr>
                <w:rStyle w:val="Strong"/>
              </w:rPr>
            </w:pPr>
            <w:r w:rsidRPr="00F550E9">
              <w:rPr>
                <w:rStyle w:val="Strong"/>
              </w:rPr>
              <w:t>Rate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Unit</w:t>
            </w:r>
          </w:p>
        </w:tc>
        <w:tc>
          <w:tcPr>
            <w:tcW w:w="1418" w:type="dxa"/>
            <w:shd w:val="clear" w:color="auto" w:fill="DBE5F1"/>
            <w:vAlign w:val="center"/>
          </w:tcPr>
          <w:p w:rsidR="00DC4FFD" w:rsidRPr="00F550E9" w:rsidRDefault="00DC4FFD" w:rsidP="00F550E9">
            <w:pPr>
              <w:pStyle w:val="Tabletext"/>
              <w:rPr>
                <w:rStyle w:val="Strong"/>
              </w:rPr>
            </w:pPr>
            <w:r w:rsidRPr="00F550E9">
              <w:rPr>
                <w:rStyle w:val="Strong"/>
              </w:rPr>
              <w:t>Estimated volume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Estimated total revenue</w:t>
            </w:r>
          </w:p>
        </w:tc>
      </w:tr>
      <w:tr w:rsidR="00DC4FFD">
        <w:trPr>
          <w:trHeight w:val="680"/>
        </w:trPr>
        <w:tc>
          <w:tcPr>
            <w:tcW w:w="3227" w:type="dxa"/>
            <w:vAlign w:val="center"/>
          </w:tcPr>
          <w:p w:rsidR="00DC4FFD" w:rsidRDefault="00DC4FFD" w:rsidP="00F550E9">
            <w:pPr>
              <w:pStyle w:val="Tabletext"/>
            </w:pPr>
            <w:r>
              <w:t>Audit</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$36</w:t>
            </w:r>
          </w:p>
        </w:tc>
        <w:tc>
          <w:tcPr>
            <w:tcW w:w="1559" w:type="dxa"/>
            <w:vAlign w:val="center"/>
          </w:tcPr>
          <w:p w:rsidR="00DC4FFD" w:rsidRDefault="00DC4FFD" w:rsidP="00F550E9">
            <w:pPr>
              <w:pStyle w:val="Tabletext"/>
            </w:pPr>
            <w:r>
              <w:t>Per 15 minutes</w:t>
            </w:r>
            <w:r>
              <w:br/>
            </w:r>
            <w:r>
              <w:rPr>
                <w:rFonts w:cs="Arial"/>
                <w:sz w:val="18"/>
                <w:szCs w:val="18"/>
              </w:rPr>
              <w:t>(or part thereof)</w:t>
            </w:r>
          </w:p>
        </w:tc>
        <w:tc>
          <w:tcPr>
            <w:tcW w:w="1418" w:type="dxa"/>
            <w:vAlign w:val="center"/>
          </w:tcPr>
          <w:p w:rsidR="00DC4FFD" w:rsidRDefault="00DC4FFD" w:rsidP="00F550E9">
            <w:pPr>
              <w:pStyle w:val="Tabletext"/>
            </w:pPr>
            <w:r>
              <w:t>18 737</w:t>
            </w:r>
          </w:p>
        </w:tc>
        <w:tc>
          <w:tcPr>
            <w:tcW w:w="1559" w:type="dxa"/>
            <w:vAlign w:val="center"/>
          </w:tcPr>
          <w:p w:rsidR="00DC4FFD" w:rsidRDefault="00DC4FFD" w:rsidP="00F550E9">
            <w:pPr>
              <w:pStyle w:val="Tabletext"/>
            </w:pPr>
            <w:r>
              <w:t>$674 532</w:t>
            </w:r>
          </w:p>
        </w:tc>
      </w:tr>
      <w:tr w:rsidR="00DC4FFD">
        <w:trPr>
          <w:trHeight w:val="680"/>
        </w:trPr>
        <w:tc>
          <w:tcPr>
            <w:tcW w:w="3227" w:type="dxa"/>
            <w:vAlign w:val="center"/>
          </w:tcPr>
          <w:p w:rsidR="00DC4FFD" w:rsidRDefault="00DC4FFD" w:rsidP="00F550E9">
            <w:pPr>
              <w:pStyle w:val="Tabletext"/>
            </w:pPr>
            <w:r>
              <w:lastRenderedPageBreak/>
              <w:t>Core inspection</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$36</w:t>
            </w:r>
          </w:p>
        </w:tc>
        <w:tc>
          <w:tcPr>
            <w:tcW w:w="1559" w:type="dxa"/>
            <w:vAlign w:val="center"/>
          </w:tcPr>
          <w:p w:rsidR="00DC4FFD" w:rsidRDefault="00DC4FFD" w:rsidP="00F550E9">
            <w:pPr>
              <w:pStyle w:val="Tabletext"/>
            </w:pPr>
            <w:r>
              <w:t>Per 15 minutes</w:t>
            </w:r>
            <w:r>
              <w:br/>
            </w:r>
            <w:r>
              <w:rPr>
                <w:rFonts w:cs="Arial"/>
                <w:sz w:val="18"/>
                <w:szCs w:val="18"/>
              </w:rPr>
              <w:t>(or part thereof)</w:t>
            </w:r>
          </w:p>
        </w:tc>
        <w:tc>
          <w:tcPr>
            <w:tcW w:w="1418" w:type="dxa"/>
            <w:vAlign w:val="center"/>
          </w:tcPr>
          <w:p w:rsidR="00DC4FFD" w:rsidRDefault="00DC4FFD" w:rsidP="00F550E9">
            <w:pPr>
              <w:pStyle w:val="Tabletext"/>
            </w:pPr>
            <w:r>
              <w:t>14 426</w:t>
            </w:r>
          </w:p>
        </w:tc>
        <w:tc>
          <w:tcPr>
            <w:tcW w:w="1559" w:type="dxa"/>
            <w:vAlign w:val="center"/>
          </w:tcPr>
          <w:p w:rsidR="00DC4FFD" w:rsidRDefault="00DC4FFD" w:rsidP="00F550E9">
            <w:pPr>
              <w:pStyle w:val="Tabletext"/>
            </w:pPr>
            <w:r>
              <w:t>$519 336</w:t>
            </w:r>
          </w:p>
        </w:tc>
      </w:tr>
      <w:tr w:rsidR="00DC4FFD">
        <w:trPr>
          <w:trHeight w:val="680"/>
        </w:trPr>
        <w:tc>
          <w:tcPr>
            <w:tcW w:w="3227" w:type="dxa"/>
            <w:vAlign w:val="center"/>
          </w:tcPr>
          <w:p w:rsidR="00DC4FFD" w:rsidRDefault="00DC4FFD" w:rsidP="00F550E9">
            <w:pPr>
              <w:pStyle w:val="Tabletext"/>
            </w:pPr>
            <w:r>
              <w:t>Additional inspection</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$75</w:t>
            </w:r>
          </w:p>
        </w:tc>
        <w:tc>
          <w:tcPr>
            <w:tcW w:w="1559" w:type="dxa"/>
            <w:vAlign w:val="center"/>
          </w:tcPr>
          <w:p w:rsidR="00DC4FFD" w:rsidRDefault="00DC4FFD" w:rsidP="00F550E9">
            <w:pPr>
              <w:pStyle w:val="Tabletext"/>
            </w:pPr>
            <w:r>
              <w:t>Per 15 minutes</w:t>
            </w:r>
            <w:r>
              <w:br/>
            </w:r>
            <w:r>
              <w:rPr>
                <w:rFonts w:cs="Arial"/>
                <w:sz w:val="18"/>
                <w:szCs w:val="18"/>
              </w:rPr>
              <w:t>(or part thereof)</w:t>
            </w:r>
          </w:p>
        </w:tc>
        <w:tc>
          <w:tcPr>
            <w:tcW w:w="1418" w:type="dxa"/>
            <w:vAlign w:val="center"/>
          </w:tcPr>
          <w:p w:rsidR="00DC4FFD" w:rsidRDefault="00DC4FFD" w:rsidP="00F550E9">
            <w:pPr>
              <w:pStyle w:val="Tabletext"/>
            </w:pPr>
            <w:r>
              <w:t>-</w:t>
            </w:r>
          </w:p>
        </w:tc>
        <w:tc>
          <w:tcPr>
            <w:tcW w:w="1559" w:type="dxa"/>
            <w:vAlign w:val="center"/>
          </w:tcPr>
          <w:p w:rsidR="00DC4FFD" w:rsidRDefault="00DC4FFD" w:rsidP="00F550E9">
            <w:pPr>
              <w:pStyle w:val="Tabletext"/>
            </w:pPr>
            <w:r>
              <w:t>-</w:t>
            </w:r>
          </w:p>
        </w:tc>
      </w:tr>
      <w:tr w:rsidR="00DC4FFD">
        <w:trPr>
          <w:trHeight w:val="680"/>
        </w:trPr>
        <w:tc>
          <w:tcPr>
            <w:tcW w:w="3227" w:type="dxa"/>
            <w:shd w:val="clear" w:color="auto" w:fill="DBE5F1"/>
            <w:vAlign w:val="center"/>
          </w:tcPr>
          <w:p w:rsidR="00DC4FFD" w:rsidRPr="00F550E9" w:rsidRDefault="00DC4FFD" w:rsidP="00F550E9">
            <w:pPr>
              <w:pStyle w:val="Tabletext"/>
              <w:rPr>
                <w:rStyle w:val="Strong"/>
              </w:rPr>
            </w:pPr>
            <w:r w:rsidRPr="00F550E9">
              <w:rPr>
                <w:rStyle w:val="Strong"/>
              </w:rPr>
              <w:t>Documentation fees</w:t>
            </w:r>
          </w:p>
        </w:tc>
        <w:tc>
          <w:tcPr>
            <w:tcW w:w="992" w:type="dxa"/>
            <w:shd w:val="clear" w:color="auto" w:fill="DBE5F1"/>
            <w:vAlign w:val="center"/>
          </w:tcPr>
          <w:p w:rsidR="00DC4FFD" w:rsidRPr="00F550E9" w:rsidRDefault="00DC4FFD" w:rsidP="00F550E9">
            <w:pPr>
              <w:pStyle w:val="Tabletext"/>
              <w:rPr>
                <w:rStyle w:val="Strong"/>
              </w:rPr>
            </w:pPr>
            <w:r w:rsidRPr="00F550E9">
              <w:rPr>
                <w:rStyle w:val="Strong"/>
              </w:rPr>
              <w:t>Type</w:t>
            </w:r>
          </w:p>
        </w:tc>
        <w:tc>
          <w:tcPr>
            <w:tcW w:w="1134" w:type="dxa"/>
            <w:shd w:val="clear" w:color="auto" w:fill="DBE5F1"/>
            <w:vAlign w:val="center"/>
          </w:tcPr>
          <w:p w:rsidR="00DC4FFD" w:rsidRPr="00F550E9" w:rsidRDefault="00DC4FFD" w:rsidP="00F550E9">
            <w:pPr>
              <w:pStyle w:val="Tabletext"/>
              <w:rPr>
                <w:rStyle w:val="Strong"/>
              </w:rPr>
            </w:pPr>
            <w:r w:rsidRPr="00F550E9">
              <w:rPr>
                <w:rStyle w:val="Strong"/>
              </w:rPr>
              <w:t>Rate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Unit</w:t>
            </w:r>
          </w:p>
        </w:tc>
        <w:tc>
          <w:tcPr>
            <w:tcW w:w="1418" w:type="dxa"/>
            <w:shd w:val="clear" w:color="auto" w:fill="DBE5F1"/>
            <w:vAlign w:val="center"/>
          </w:tcPr>
          <w:p w:rsidR="00DC4FFD" w:rsidRPr="00F550E9" w:rsidRDefault="00DC4FFD" w:rsidP="00F550E9">
            <w:pPr>
              <w:pStyle w:val="Tabletext"/>
              <w:rPr>
                <w:rStyle w:val="Strong"/>
              </w:rPr>
            </w:pPr>
            <w:r w:rsidRPr="00F550E9">
              <w:rPr>
                <w:rStyle w:val="Strong"/>
              </w:rPr>
              <w:t>Estimated volume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Estimated total revenue</w:t>
            </w:r>
          </w:p>
        </w:tc>
      </w:tr>
      <w:tr w:rsidR="00DC4FFD">
        <w:trPr>
          <w:trHeight w:val="680"/>
        </w:trPr>
        <w:tc>
          <w:tcPr>
            <w:tcW w:w="3227" w:type="dxa"/>
            <w:vAlign w:val="center"/>
          </w:tcPr>
          <w:p w:rsidR="00DC4FFD" w:rsidRDefault="00DC4FFD" w:rsidP="00F550E9">
            <w:pPr>
              <w:pStyle w:val="Tabletext"/>
            </w:pPr>
            <w:r>
              <w:t>Document</w:t>
            </w:r>
            <w:r>
              <w:noBreakHyphen/>
              <w:t>Electronic</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$12</w:t>
            </w:r>
          </w:p>
        </w:tc>
        <w:tc>
          <w:tcPr>
            <w:tcW w:w="1559" w:type="dxa"/>
            <w:vAlign w:val="center"/>
          </w:tcPr>
          <w:p w:rsidR="00DC4FFD" w:rsidRDefault="00DC4FFD" w:rsidP="00F550E9">
            <w:pPr>
              <w:pStyle w:val="Tabletext"/>
            </w:pPr>
            <w:r>
              <w:t>Per document</w:t>
            </w:r>
          </w:p>
        </w:tc>
        <w:tc>
          <w:tcPr>
            <w:tcW w:w="1418" w:type="dxa"/>
            <w:vAlign w:val="center"/>
          </w:tcPr>
          <w:p w:rsidR="00DC4FFD" w:rsidRDefault="00DC4FFD" w:rsidP="00F550E9">
            <w:pPr>
              <w:pStyle w:val="Tabletext"/>
            </w:pPr>
            <w:r>
              <w:t>64 351</w:t>
            </w:r>
          </w:p>
        </w:tc>
        <w:tc>
          <w:tcPr>
            <w:tcW w:w="1559" w:type="dxa"/>
            <w:vAlign w:val="center"/>
          </w:tcPr>
          <w:p w:rsidR="00DC4FFD" w:rsidRDefault="00DC4FFD" w:rsidP="00F550E9">
            <w:pPr>
              <w:pStyle w:val="Tabletext"/>
            </w:pPr>
            <w:r>
              <w:t>$772 212</w:t>
            </w:r>
          </w:p>
        </w:tc>
      </w:tr>
      <w:tr w:rsidR="00DC4FFD">
        <w:trPr>
          <w:trHeight w:val="680"/>
        </w:trPr>
        <w:tc>
          <w:tcPr>
            <w:tcW w:w="3227" w:type="dxa"/>
            <w:tcBorders>
              <w:bottom w:val="single" w:sz="4" w:space="0" w:color="000000"/>
            </w:tcBorders>
            <w:vAlign w:val="center"/>
          </w:tcPr>
          <w:p w:rsidR="00DC4FFD" w:rsidRDefault="00DC4FFD" w:rsidP="00F550E9">
            <w:pPr>
              <w:pStyle w:val="Tabletext"/>
            </w:pPr>
            <w:r>
              <w:t>Document</w:t>
            </w:r>
            <w:r>
              <w:noBreakHyphen/>
              <w:t>Manual</w:t>
            </w:r>
          </w:p>
        </w:tc>
        <w:tc>
          <w:tcPr>
            <w:tcW w:w="992" w:type="dxa"/>
            <w:tcBorders>
              <w:bottom w:val="single" w:sz="4" w:space="0" w:color="000000"/>
            </w:tcBorders>
            <w:vAlign w:val="center"/>
          </w:tcPr>
          <w:p w:rsidR="00DC4FFD" w:rsidRDefault="00DC4FFD" w:rsidP="00F550E9">
            <w:pPr>
              <w:pStyle w:val="Tabletext"/>
            </w:pPr>
            <w:r>
              <w:t>Fee</w:t>
            </w:r>
          </w:p>
        </w:tc>
        <w:tc>
          <w:tcPr>
            <w:tcW w:w="1134" w:type="dxa"/>
            <w:tcBorders>
              <w:bottom w:val="single" w:sz="4" w:space="0" w:color="000000"/>
            </w:tcBorders>
            <w:vAlign w:val="center"/>
          </w:tcPr>
          <w:p w:rsidR="00DC4FFD" w:rsidRDefault="00DC4FFD" w:rsidP="00F550E9">
            <w:pPr>
              <w:pStyle w:val="Tabletext"/>
            </w:pPr>
            <w:r>
              <w:t>$100</w:t>
            </w:r>
          </w:p>
        </w:tc>
        <w:tc>
          <w:tcPr>
            <w:tcW w:w="1559" w:type="dxa"/>
            <w:tcBorders>
              <w:bottom w:val="single" w:sz="4" w:space="0" w:color="000000"/>
            </w:tcBorders>
            <w:vAlign w:val="center"/>
          </w:tcPr>
          <w:p w:rsidR="00DC4FFD" w:rsidRDefault="00DC4FFD" w:rsidP="00F550E9">
            <w:pPr>
              <w:pStyle w:val="Tabletext"/>
            </w:pPr>
            <w:r>
              <w:t>Per document</w:t>
            </w:r>
          </w:p>
        </w:tc>
        <w:tc>
          <w:tcPr>
            <w:tcW w:w="1418" w:type="dxa"/>
            <w:tcBorders>
              <w:bottom w:val="single" w:sz="4" w:space="0" w:color="000000"/>
            </w:tcBorders>
            <w:vAlign w:val="center"/>
          </w:tcPr>
          <w:p w:rsidR="00DC4FFD" w:rsidRDefault="00DC4FFD" w:rsidP="00F550E9">
            <w:pPr>
              <w:pStyle w:val="Tabletext"/>
            </w:pPr>
            <w:r>
              <w:t>-</w:t>
            </w:r>
          </w:p>
        </w:tc>
        <w:tc>
          <w:tcPr>
            <w:tcW w:w="1559" w:type="dxa"/>
            <w:tcBorders>
              <w:bottom w:val="single" w:sz="4" w:space="0" w:color="000000"/>
            </w:tcBorders>
            <w:vAlign w:val="center"/>
          </w:tcPr>
          <w:p w:rsidR="00DC4FFD" w:rsidRDefault="00DC4FFD" w:rsidP="00F550E9">
            <w:pPr>
              <w:pStyle w:val="Tabletext"/>
            </w:pPr>
            <w:r>
              <w:t>-</w:t>
            </w:r>
          </w:p>
        </w:tc>
      </w:tr>
      <w:tr w:rsidR="00DC4FFD">
        <w:trPr>
          <w:trHeight w:val="680"/>
        </w:trPr>
        <w:tc>
          <w:tcPr>
            <w:tcW w:w="3227" w:type="dxa"/>
            <w:vAlign w:val="center"/>
          </w:tcPr>
          <w:p w:rsidR="00DC4FFD" w:rsidRDefault="00DC4FFD" w:rsidP="00F550E9">
            <w:pPr>
              <w:pStyle w:val="Tabletext"/>
            </w:pPr>
            <w:r>
              <w:t>Replacement certificate</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$500</w:t>
            </w:r>
          </w:p>
        </w:tc>
        <w:tc>
          <w:tcPr>
            <w:tcW w:w="1559" w:type="dxa"/>
            <w:vAlign w:val="center"/>
          </w:tcPr>
          <w:p w:rsidR="00DC4FFD" w:rsidRDefault="00DC4FFD" w:rsidP="00F550E9">
            <w:pPr>
              <w:pStyle w:val="Tabletext"/>
            </w:pPr>
            <w:r>
              <w:t>Per document</w:t>
            </w:r>
          </w:p>
        </w:tc>
        <w:tc>
          <w:tcPr>
            <w:tcW w:w="1418" w:type="dxa"/>
            <w:vAlign w:val="center"/>
          </w:tcPr>
          <w:p w:rsidR="00DC4FFD" w:rsidRDefault="00DC4FFD" w:rsidP="00F550E9">
            <w:pPr>
              <w:pStyle w:val="Tabletext"/>
            </w:pPr>
            <w:r>
              <w:t>-</w:t>
            </w:r>
          </w:p>
        </w:tc>
        <w:tc>
          <w:tcPr>
            <w:tcW w:w="1559" w:type="dxa"/>
            <w:vAlign w:val="center"/>
          </w:tcPr>
          <w:p w:rsidR="00DC4FFD" w:rsidRDefault="00DC4FFD" w:rsidP="00F550E9">
            <w:pPr>
              <w:pStyle w:val="Tabletext"/>
            </w:pPr>
            <w:r>
              <w:t>-</w:t>
            </w:r>
          </w:p>
        </w:tc>
      </w:tr>
      <w:tr w:rsidR="00DC4FFD">
        <w:trPr>
          <w:trHeight w:val="680"/>
        </w:trPr>
        <w:tc>
          <w:tcPr>
            <w:tcW w:w="3227" w:type="dxa"/>
            <w:shd w:val="clear" w:color="auto" w:fill="DBE5F1"/>
            <w:vAlign w:val="center"/>
          </w:tcPr>
          <w:p w:rsidR="00DC4FFD" w:rsidRPr="00F550E9" w:rsidRDefault="00DC4FFD" w:rsidP="00F550E9">
            <w:pPr>
              <w:pStyle w:val="Tabletext"/>
              <w:rPr>
                <w:rStyle w:val="Strong"/>
              </w:rPr>
            </w:pPr>
            <w:r w:rsidRPr="00F550E9">
              <w:rPr>
                <w:rStyle w:val="Strong"/>
              </w:rPr>
              <w:t>Approved Authorised Officer (AAO) fees</w:t>
            </w:r>
          </w:p>
        </w:tc>
        <w:tc>
          <w:tcPr>
            <w:tcW w:w="992" w:type="dxa"/>
            <w:shd w:val="clear" w:color="auto" w:fill="DBE5F1"/>
            <w:vAlign w:val="center"/>
          </w:tcPr>
          <w:p w:rsidR="00DC4FFD" w:rsidRPr="00F550E9" w:rsidRDefault="00DC4FFD" w:rsidP="00F550E9">
            <w:pPr>
              <w:pStyle w:val="Tabletext"/>
              <w:rPr>
                <w:rStyle w:val="Strong"/>
              </w:rPr>
            </w:pPr>
            <w:r w:rsidRPr="00F550E9">
              <w:rPr>
                <w:rStyle w:val="Strong"/>
              </w:rPr>
              <w:t>Type</w:t>
            </w:r>
          </w:p>
        </w:tc>
        <w:tc>
          <w:tcPr>
            <w:tcW w:w="1134" w:type="dxa"/>
            <w:shd w:val="clear" w:color="auto" w:fill="DBE5F1"/>
            <w:vAlign w:val="center"/>
          </w:tcPr>
          <w:p w:rsidR="00DC4FFD" w:rsidRPr="00F550E9" w:rsidRDefault="00DC4FFD" w:rsidP="00F550E9">
            <w:pPr>
              <w:pStyle w:val="Tabletext"/>
              <w:rPr>
                <w:rStyle w:val="Strong"/>
              </w:rPr>
            </w:pPr>
            <w:r w:rsidRPr="00F550E9">
              <w:rPr>
                <w:rStyle w:val="Strong"/>
              </w:rPr>
              <w:t>Rate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Unit</w:t>
            </w:r>
          </w:p>
        </w:tc>
        <w:tc>
          <w:tcPr>
            <w:tcW w:w="1418" w:type="dxa"/>
            <w:shd w:val="clear" w:color="auto" w:fill="DBE5F1"/>
            <w:vAlign w:val="center"/>
          </w:tcPr>
          <w:p w:rsidR="00DC4FFD" w:rsidRPr="00F550E9" w:rsidRDefault="00DC4FFD" w:rsidP="00F550E9">
            <w:pPr>
              <w:pStyle w:val="Tabletext"/>
              <w:rPr>
                <w:rStyle w:val="Strong"/>
              </w:rPr>
            </w:pPr>
            <w:r w:rsidRPr="00F550E9">
              <w:rPr>
                <w:rStyle w:val="Strong"/>
              </w:rPr>
              <w:t>Estimated volume</w:t>
            </w:r>
          </w:p>
        </w:tc>
        <w:tc>
          <w:tcPr>
            <w:tcW w:w="1559" w:type="dxa"/>
            <w:shd w:val="clear" w:color="auto" w:fill="DBE5F1"/>
            <w:vAlign w:val="center"/>
          </w:tcPr>
          <w:p w:rsidR="00DC4FFD" w:rsidRPr="00F550E9" w:rsidRDefault="00DC4FFD" w:rsidP="00F550E9">
            <w:pPr>
              <w:pStyle w:val="Tabletext"/>
              <w:rPr>
                <w:rStyle w:val="Strong"/>
              </w:rPr>
            </w:pPr>
            <w:r w:rsidRPr="00F550E9">
              <w:rPr>
                <w:rStyle w:val="Strong"/>
              </w:rPr>
              <w:t>Estimated total revenue</w:t>
            </w:r>
          </w:p>
        </w:tc>
      </w:tr>
      <w:tr w:rsidR="00DC4FFD">
        <w:trPr>
          <w:trHeight w:val="680"/>
        </w:trPr>
        <w:tc>
          <w:tcPr>
            <w:tcW w:w="3227" w:type="dxa"/>
            <w:vAlign w:val="center"/>
          </w:tcPr>
          <w:p w:rsidR="00DC4FFD" w:rsidRDefault="00DC4FFD" w:rsidP="00F550E9">
            <w:pPr>
              <w:pStyle w:val="Tabletext"/>
            </w:pPr>
            <w:r>
              <w:t>AAO Application Fee</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$250</w:t>
            </w:r>
          </w:p>
        </w:tc>
        <w:tc>
          <w:tcPr>
            <w:tcW w:w="1559" w:type="dxa"/>
            <w:vAlign w:val="center"/>
          </w:tcPr>
          <w:p w:rsidR="00DC4FFD" w:rsidRDefault="00DC4FFD" w:rsidP="00F550E9">
            <w:pPr>
              <w:pStyle w:val="Tabletext"/>
            </w:pPr>
            <w:r>
              <w:t>per AO application</w:t>
            </w:r>
          </w:p>
        </w:tc>
        <w:tc>
          <w:tcPr>
            <w:tcW w:w="1418" w:type="dxa"/>
            <w:vAlign w:val="center"/>
          </w:tcPr>
          <w:p w:rsidR="00DC4FFD" w:rsidRDefault="00DC4FFD" w:rsidP="00F550E9">
            <w:pPr>
              <w:pStyle w:val="Tabletext"/>
            </w:pPr>
            <w:r>
              <w:t>600</w:t>
            </w:r>
          </w:p>
        </w:tc>
        <w:tc>
          <w:tcPr>
            <w:tcW w:w="1559" w:type="dxa"/>
            <w:vAlign w:val="center"/>
          </w:tcPr>
          <w:p w:rsidR="00DC4FFD" w:rsidRDefault="00DC4FFD" w:rsidP="00F550E9">
            <w:pPr>
              <w:pStyle w:val="Tabletext"/>
            </w:pPr>
            <w:r>
              <w:t>$150 000</w:t>
            </w:r>
          </w:p>
        </w:tc>
      </w:tr>
      <w:tr w:rsidR="00DC4FFD">
        <w:trPr>
          <w:trHeight w:val="680"/>
        </w:trPr>
        <w:tc>
          <w:tcPr>
            <w:tcW w:w="3227" w:type="dxa"/>
            <w:vAlign w:val="center"/>
          </w:tcPr>
          <w:p w:rsidR="00DC4FFD" w:rsidRDefault="00DC4FFD" w:rsidP="00F550E9">
            <w:pPr>
              <w:pStyle w:val="Tabletext"/>
            </w:pPr>
            <w:r>
              <w:t>AAO Learning and Assessment</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$1 750</w:t>
            </w:r>
          </w:p>
        </w:tc>
        <w:tc>
          <w:tcPr>
            <w:tcW w:w="1559" w:type="dxa"/>
            <w:vAlign w:val="center"/>
          </w:tcPr>
          <w:p w:rsidR="00DC4FFD" w:rsidRDefault="00DC4FFD" w:rsidP="00F550E9">
            <w:pPr>
              <w:pStyle w:val="Tabletext"/>
            </w:pPr>
            <w:r>
              <w:t>per person delivered training</w:t>
            </w:r>
          </w:p>
        </w:tc>
        <w:tc>
          <w:tcPr>
            <w:tcW w:w="1418" w:type="dxa"/>
            <w:vAlign w:val="center"/>
          </w:tcPr>
          <w:p w:rsidR="00DC4FFD" w:rsidRDefault="00DC4FFD" w:rsidP="00F550E9">
            <w:pPr>
              <w:pStyle w:val="Tabletext"/>
            </w:pPr>
            <w:r>
              <w:t>580</w:t>
            </w:r>
          </w:p>
        </w:tc>
        <w:tc>
          <w:tcPr>
            <w:tcW w:w="1559" w:type="dxa"/>
            <w:vAlign w:val="center"/>
          </w:tcPr>
          <w:p w:rsidR="00DC4FFD" w:rsidRDefault="00DC4FFD" w:rsidP="00F550E9">
            <w:pPr>
              <w:pStyle w:val="Tabletext"/>
            </w:pPr>
            <w:r>
              <w:t>$1 015 000</w:t>
            </w:r>
          </w:p>
        </w:tc>
      </w:tr>
      <w:tr w:rsidR="00DC4FFD">
        <w:trPr>
          <w:trHeight w:val="680"/>
        </w:trPr>
        <w:tc>
          <w:tcPr>
            <w:tcW w:w="3227" w:type="dxa"/>
            <w:vAlign w:val="center"/>
          </w:tcPr>
          <w:p w:rsidR="00DC4FFD" w:rsidRDefault="00DC4FFD" w:rsidP="00F550E9">
            <w:pPr>
              <w:pStyle w:val="Tabletext"/>
            </w:pPr>
            <w:r>
              <w:t>Additional AAO Learning and Assessment</w:t>
            </w:r>
          </w:p>
        </w:tc>
        <w:tc>
          <w:tcPr>
            <w:tcW w:w="992" w:type="dxa"/>
            <w:vAlign w:val="center"/>
          </w:tcPr>
          <w:p w:rsidR="00DC4FFD" w:rsidRDefault="00DC4FFD" w:rsidP="00F550E9">
            <w:pPr>
              <w:pStyle w:val="Tabletext"/>
            </w:pPr>
            <w:r>
              <w:t>Fee</w:t>
            </w:r>
          </w:p>
        </w:tc>
        <w:tc>
          <w:tcPr>
            <w:tcW w:w="1134" w:type="dxa"/>
            <w:vAlign w:val="center"/>
          </w:tcPr>
          <w:p w:rsidR="00DC4FFD" w:rsidRDefault="00DC4FFD" w:rsidP="00F550E9">
            <w:pPr>
              <w:pStyle w:val="Tabletext"/>
            </w:pPr>
            <w:r>
              <w:t>$2 000</w:t>
            </w:r>
          </w:p>
        </w:tc>
        <w:tc>
          <w:tcPr>
            <w:tcW w:w="1559" w:type="dxa"/>
            <w:vAlign w:val="center"/>
          </w:tcPr>
          <w:p w:rsidR="00DC4FFD" w:rsidRDefault="00DC4FFD" w:rsidP="00F550E9">
            <w:pPr>
              <w:pStyle w:val="Tabletext"/>
            </w:pPr>
            <w:r>
              <w:t>per person delivered additional training</w:t>
            </w:r>
          </w:p>
        </w:tc>
        <w:tc>
          <w:tcPr>
            <w:tcW w:w="1418" w:type="dxa"/>
            <w:vAlign w:val="center"/>
          </w:tcPr>
          <w:p w:rsidR="00DC4FFD" w:rsidRDefault="00DC4FFD" w:rsidP="00F550E9">
            <w:pPr>
              <w:pStyle w:val="Tabletext"/>
            </w:pPr>
            <w:r>
              <w:t>116</w:t>
            </w:r>
          </w:p>
        </w:tc>
        <w:tc>
          <w:tcPr>
            <w:tcW w:w="1559" w:type="dxa"/>
            <w:vAlign w:val="center"/>
          </w:tcPr>
          <w:p w:rsidR="00DC4FFD" w:rsidRDefault="00DC4FFD" w:rsidP="00F550E9">
            <w:pPr>
              <w:pStyle w:val="Tabletext"/>
            </w:pPr>
            <w:r>
              <w:t>$232 000</w:t>
            </w:r>
          </w:p>
        </w:tc>
      </w:tr>
      <w:tr w:rsidR="00DC4FFD">
        <w:trPr>
          <w:trHeight w:val="680"/>
        </w:trPr>
        <w:tc>
          <w:tcPr>
            <w:tcW w:w="3227" w:type="dxa"/>
            <w:tcBorders>
              <w:bottom w:val="single" w:sz="4" w:space="0" w:color="000000"/>
            </w:tcBorders>
            <w:vAlign w:val="center"/>
          </w:tcPr>
          <w:p w:rsidR="00DC4FFD" w:rsidRDefault="00DC4FFD" w:rsidP="00F550E9">
            <w:pPr>
              <w:pStyle w:val="Tabletext"/>
            </w:pPr>
            <w:r>
              <w:t>AAO Approval</w:t>
            </w:r>
          </w:p>
        </w:tc>
        <w:tc>
          <w:tcPr>
            <w:tcW w:w="992" w:type="dxa"/>
            <w:tcBorders>
              <w:bottom w:val="single" w:sz="4" w:space="0" w:color="000000"/>
            </w:tcBorders>
            <w:vAlign w:val="center"/>
          </w:tcPr>
          <w:p w:rsidR="00DC4FFD" w:rsidRDefault="00DC4FFD" w:rsidP="00F550E9">
            <w:pPr>
              <w:pStyle w:val="Tabletext"/>
            </w:pPr>
            <w:r>
              <w:t>Fee</w:t>
            </w:r>
          </w:p>
        </w:tc>
        <w:tc>
          <w:tcPr>
            <w:tcW w:w="1134" w:type="dxa"/>
            <w:tcBorders>
              <w:bottom w:val="single" w:sz="4" w:space="0" w:color="000000"/>
            </w:tcBorders>
            <w:vAlign w:val="center"/>
          </w:tcPr>
          <w:p w:rsidR="00DC4FFD" w:rsidRDefault="00DC4FFD" w:rsidP="00F550E9">
            <w:pPr>
              <w:pStyle w:val="Tabletext"/>
            </w:pPr>
            <w:r>
              <w:t>$250</w:t>
            </w:r>
          </w:p>
        </w:tc>
        <w:tc>
          <w:tcPr>
            <w:tcW w:w="1559" w:type="dxa"/>
            <w:tcBorders>
              <w:bottom w:val="single" w:sz="4" w:space="0" w:color="000000"/>
            </w:tcBorders>
            <w:vAlign w:val="center"/>
          </w:tcPr>
          <w:p w:rsidR="00DC4FFD" w:rsidRDefault="00DC4FFD" w:rsidP="00F550E9">
            <w:pPr>
              <w:pStyle w:val="Tabletext"/>
            </w:pPr>
            <w:r>
              <w:t>per AO approval</w:t>
            </w:r>
          </w:p>
        </w:tc>
        <w:tc>
          <w:tcPr>
            <w:tcW w:w="1418" w:type="dxa"/>
            <w:tcBorders>
              <w:bottom w:val="single" w:sz="4" w:space="0" w:color="000000"/>
            </w:tcBorders>
            <w:vAlign w:val="center"/>
          </w:tcPr>
          <w:p w:rsidR="00DC4FFD" w:rsidRDefault="00DC4FFD" w:rsidP="00F550E9">
            <w:pPr>
              <w:pStyle w:val="Tabletext"/>
            </w:pPr>
            <w:r>
              <w:t>580</w:t>
            </w:r>
          </w:p>
        </w:tc>
        <w:tc>
          <w:tcPr>
            <w:tcW w:w="1559" w:type="dxa"/>
            <w:tcBorders>
              <w:bottom w:val="single" w:sz="4" w:space="0" w:color="000000"/>
            </w:tcBorders>
            <w:vAlign w:val="center"/>
          </w:tcPr>
          <w:p w:rsidR="00DC4FFD" w:rsidRDefault="00DC4FFD" w:rsidP="00F550E9">
            <w:pPr>
              <w:pStyle w:val="Tabletext"/>
            </w:pPr>
            <w:r>
              <w:t>$145 000</w:t>
            </w:r>
          </w:p>
        </w:tc>
      </w:tr>
    </w:tbl>
    <w:p w:rsidR="00DC4FFD" w:rsidRDefault="00DC4FFD">
      <w:pPr>
        <w:pStyle w:val="Caption"/>
        <w:keepNext/>
      </w:pPr>
      <w:r>
        <w:lastRenderedPageBreak/>
        <w:t>Table 19: Fees, levies and volumes —horticulture exports cost recovery arrangement (2017–18)</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BE0839" w:rsidRDefault="00DC4FFD" w:rsidP="00BE0839">
            <w:pPr>
              <w:pStyle w:val="Tabletext"/>
              <w:rPr>
                <w:rStyle w:val="Strong"/>
              </w:rPr>
            </w:pPr>
            <w:r w:rsidRPr="00BE0839">
              <w:rPr>
                <w:rStyle w:val="Strong"/>
              </w:rPr>
              <w:t>Charge title</w:t>
            </w:r>
          </w:p>
        </w:tc>
        <w:tc>
          <w:tcPr>
            <w:tcW w:w="992" w:type="dxa"/>
            <w:shd w:val="clear" w:color="auto" w:fill="C6D9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C6D9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C6D9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C6D9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C6D9F1"/>
            <w:vAlign w:val="center"/>
          </w:tcPr>
          <w:p w:rsidR="00DC4FFD" w:rsidRPr="00BE0839" w:rsidRDefault="00DC4FFD" w:rsidP="00BE0839">
            <w:pPr>
              <w:pStyle w:val="Tabletext"/>
              <w:rPr>
                <w:rStyle w:val="Strong"/>
              </w:rPr>
            </w:pPr>
            <w:r w:rsidRPr="00BE0839">
              <w:rPr>
                <w:rStyle w:val="Strong"/>
              </w:rPr>
              <w:t>Estimated total revenue</w:t>
            </w:r>
          </w:p>
        </w:tc>
      </w:tr>
      <w:tr w:rsidR="00DC4FFD">
        <w:trPr>
          <w:cantSplit/>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Plant exporter levies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cantSplit/>
          <w:trHeight w:val="680"/>
        </w:trPr>
        <w:tc>
          <w:tcPr>
            <w:tcW w:w="3227" w:type="dxa"/>
            <w:vAlign w:val="center"/>
          </w:tcPr>
          <w:p w:rsidR="00DC4FFD" w:rsidRDefault="00DC4FFD" w:rsidP="00BE0839">
            <w:pPr>
              <w:pStyle w:val="Tabletext"/>
            </w:pPr>
            <w:r>
              <w:t>Establishment registration—grower/exporter</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$600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287</w:t>
            </w:r>
          </w:p>
        </w:tc>
        <w:tc>
          <w:tcPr>
            <w:tcW w:w="1559" w:type="dxa"/>
            <w:vAlign w:val="center"/>
          </w:tcPr>
          <w:p w:rsidR="00DC4FFD" w:rsidRDefault="00DC4FFD" w:rsidP="00BE0839">
            <w:pPr>
              <w:pStyle w:val="Tabletext"/>
            </w:pPr>
            <w:r>
              <w:t>$172 200</w:t>
            </w:r>
          </w:p>
        </w:tc>
      </w:tr>
      <w:tr w:rsidR="00DC4FFD">
        <w:trPr>
          <w:cantSplit/>
          <w:trHeight w:val="680"/>
        </w:trPr>
        <w:tc>
          <w:tcPr>
            <w:tcW w:w="3227" w:type="dxa"/>
            <w:vAlign w:val="center"/>
          </w:tcPr>
          <w:p w:rsidR="00DC4FFD" w:rsidRDefault="00DC4FFD" w:rsidP="00BE0839">
            <w:pPr>
              <w:pStyle w:val="Tabletext"/>
            </w:pPr>
            <w:r>
              <w:t>Establishment registration—simple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$3 000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165</w:t>
            </w:r>
          </w:p>
        </w:tc>
        <w:tc>
          <w:tcPr>
            <w:tcW w:w="1559" w:type="dxa"/>
            <w:vAlign w:val="center"/>
          </w:tcPr>
          <w:p w:rsidR="00DC4FFD" w:rsidRDefault="00DC4FFD" w:rsidP="00BE0839">
            <w:pPr>
              <w:pStyle w:val="Tabletext"/>
            </w:pPr>
            <w:r>
              <w:t>$495 000</w:t>
            </w:r>
          </w:p>
        </w:tc>
      </w:tr>
      <w:tr w:rsidR="00DC4FFD">
        <w:trPr>
          <w:cantSplit/>
          <w:trHeight w:val="680"/>
        </w:trPr>
        <w:tc>
          <w:tcPr>
            <w:tcW w:w="3227" w:type="dxa"/>
            <w:vAlign w:val="center"/>
          </w:tcPr>
          <w:p w:rsidR="00DC4FFD" w:rsidRDefault="00DC4FFD" w:rsidP="00BE0839">
            <w:pPr>
              <w:pStyle w:val="Tabletext"/>
            </w:pPr>
            <w:r>
              <w:t>Establishment registration—complex</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$6 000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158</w:t>
            </w:r>
          </w:p>
        </w:tc>
        <w:tc>
          <w:tcPr>
            <w:tcW w:w="1559" w:type="dxa"/>
            <w:vAlign w:val="center"/>
          </w:tcPr>
          <w:p w:rsidR="00DC4FFD" w:rsidRDefault="00DC4FFD" w:rsidP="00BE0839">
            <w:pPr>
              <w:pStyle w:val="Tabletext"/>
            </w:pPr>
            <w:r>
              <w:t>$948 000</w:t>
            </w:r>
          </w:p>
        </w:tc>
      </w:tr>
      <w:tr w:rsidR="00DC4FFD">
        <w:trPr>
          <w:cantSplit/>
          <w:trHeight w:val="680"/>
        </w:trPr>
        <w:tc>
          <w:tcPr>
            <w:tcW w:w="3227" w:type="dxa"/>
            <w:vAlign w:val="center"/>
          </w:tcPr>
          <w:p w:rsidR="00DC4FFD" w:rsidRDefault="00DC4FFD" w:rsidP="00BE0839">
            <w:pPr>
              <w:pStyle w:val="Tabletext"/>
            </w:pPr>
            <w:r>
              <w:t>Authorised officer approval</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$ 750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737</w:t>
            </w:r>
          </w:p>
        </w:tc>
        <w:tc>
          <w:tcPr>
            <w:tcW w:w="1559" w:type="dxa"/>
            <w:vAlign w:val="center"/>
          </w:tcPr>
          <w:p w:rsidR="00DC4FFD" w:rsidRDefault="00DC4FFD" w:rsidP="00BE0839">
            <w:pPr>
              <w:pStyle w:val="Tabletext"/>
            </w:pPr>
            <w:r>
              <w:t>$552 750</w:t>
            </w:r>
          </w:p>
        </w:tc>
      </w:tr>
      <w:tr w:rsidR="00DC4FFD">
        <w:trPr>
          <w:cantSplit/>
          <w:trHeight w:val="680"/>
        </w:trPr>
        <w:tc>
          <w:tcPr>
            <w:tcW w:w="3227" w:type="dxa"/>
            <w:vAlign w:val="center"/>
          </w:tcPr>
          <w:p w:rsidR="00DC4FFD" w:rsidRDefault="00DC4FFD" w:rsidP="00BE0839">
            <w:pPr>
              <w:pStyle w:val="Tabletext"/>
            </w:pPr>
            <w:r>
              <w:t>Organic certifying organisation</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$7 500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4</w:t>
            </w:r>
          </w:p>
        </w:tc>
        <w:tc>
          <w:tcPr>
            <w:tcW w:w="1559" w:type="dxa"/>
            <w:vAlign w:val="center"/>
          </w:tcPr>
          <w:p w:rsidR="00DC4FFD" w:rsidRDefault="00DC4FFD" w:rsidP="00BE0839">
            <w:pPr>
              <w:pStyle w:val="Tabletext"/>
            </w:pPr>
            <w:r>
              <w:t>$30 000</w:t>
            </w:r>
          </w:p>
        </w:tc>
      </w:tr>
      <w:tr w:rsidR="00DC4FFD">
        <w:trPr>
          <w:cantSplit/>
          <w:trHeight w:val="680"/>
        </w:trPr>
        <w:tc>
          <w:tcPr>
            <w:tcW w:w="3227" w:type="dxa"/>
            <w:vAlign w:val="center"/>
          </w:tcPr>
          <w:p w:rsidR="00DC4FFD" w:rsidRDefault="00DC4FFD" w:rsidP="00BE0839">
            <w:pPr>
              <w:pStyle w:val="Tabletext"/>
            </w:pPr>
            <w:r>
              <w:t>Export volume—non-protocol rate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$0.65</w:t>
            </w:r>
          </w:p>
        </w:tc>
        <w:tc>
          <w:tcPr>
            <w:tcW w:w="1559" w:type="dxa"/>
            <w:vAlign w:val="center"/>
          </w:tcPr>
          <w:p w:rsidR="00DC4FFD" w:rsidRDefault="00DC4FFD" w:rsidP="00BE0839">
            <w:pPr>
              <w:pStyle w:val="Tabletext"/>
            </w:pPr>
            <w:r>
              <w:t>Per tonne</w:t>
            </w:r>
            <w:r>
              <w:br/>
            </w:r>
            <w:r>
              <w:rPr>
                <w:rFonts w:cs="Arial"/>
                <w:sz w:val="18"/>
                <w:szCs w:val="18"/>
              </w:rPr>
              <w:t>(or part thereof)</w:t>
            </w:r>
          </w:p>
        </w:tc>
        <w:tc>
          <w:tcPr>
            <w:tcW w:w="1418" w:type="dxa"/>
            <w:vAlign w:val="center"/>
          </w:tcPr>
          <w:p w:rsidR="00DC4FFD" w:rsidRDefault="00DC4FFD" w:rsidP="00BE0839">
            <w:pPr>
              <w:pStyle w:val="Tabletext"/>
            </w:pPr>
            <w:r>
              <w:t>490 127</w:t>
            </w:r>
          </w:p>
        </w:tc>
        <w:tc>
          <w:tcPr>
            <w:tcW w:w="1559" w:type="dxa"/>
            <w:vAlign w:val="center"/>
          </w:tcPr>
          <w:p w:rsidR="00DC4FFD" w:rsidRDefault="00DC4FFD" w:rsidP="00BE0839">
            <w:pPr>
              <w:pStyle w:val="Tabletext"/>
            </w:pPr>
            <w:r>
              <w:t>$318 583</w:t>
            </w:r>
          </w:p>
        </w:tc>
      </w:tr>
      <w:tr w:rsidR="00DC4FFD">
        <w:trPr>
          <w:cantSplit/>
          <w:trHeight w:val="680"/>
        </w:trPr>
        <w:tc>
          <w:tcPr>
            <w:tcW w:w="3227" w:type="dxa"/>
            <w:vAlign w:val="center"/>
          </w:tcPr>
          <w:p w:rsidR="00DC4FFD" w:rsidRDefault="00DC4FFD" w:rsidP="00BE0839">
            <w:pPr>
              <w:pStyle w:val="Tabletext"/>
            </w:pPr>
            <w:r>
              <w:t>Export volume—protocol rate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$1.30</w:t>
            </w:r>
          </w:p>
        </w:tc>
        <w:tc>
          <w:tcPr>
            <w:tcW w:w="1559" w:type="dxa"/>
            <w:vAlign w:val="center"/>
          </w:tcPr>
          <w:p w:rsidR="00DC4FFD" w:rsidRDefault="00DC4FFD" w:rsidP="00BE0839">
            <w:pPr>
              <w:pStyle w:val="Tabletext"/>
            </w:pPr>
            <w:r>
              <w:t>Per tonne</w:t>
            </w:r>
            <w:r>
              <w:br/>
            </w:r>
            <w:r>
              <w:rPr>
                <w:rFonts w:cs="Arial"/>
                <w:sz w:val="18"/>
                <w:szCs w:val="18"/>
              </w:rPr>
              <w:t>(or part thereof)</w:t>
            </w:r>
          </w:p>
        </w:tc>
        <w:tc>
          <w:tcPr>
            <w:tcW w:w="1418" w:type="dxa"/>
            <w:vAlign w:val="center"/>
          </w:tcPr>
          <w:p w:rsidR="00DC4FFD" w:rsidRDefault="00DC4FFD" w:rsidP="00BE0839">
            <w:pPr>
              <w:pStyle w:val="Tabletext"/>
            </w:pPr>
            <w:r>
              <w:t>87 876</w:t>
            </w:r>
          </w:p>
        </w:tc>
        <w:tc>
          <w:tcPr>
            <w:tcW w:w="1559" w:type="dxa"/>
            <w:vAlign w:val="center"/>
          </w:tcPr>
          <w:p w:rsidR="00DC4FFD" w:rsidRDefault="00DC4FFD" w:rsidP="00BE0839">
            <w:pPr>
              <w:pStyle w:val="Tabletext"/>
            </w:pPr>
            <w:r>
              <w:t>$114 238</w:t>
            </w:r>
          </w:p>
        </w:tc>
      </w:tr>
      <w:tr w:rsidR="00DC4FFD">
        <w:trPr>
          <w:cantSplit/>
          <w:trHeight w:val="680"/>
        </w:trPr>
        <w:tc>
          <w:tcPr>
            <w:tcW w:w="3227" w:type="dxa"/>
            <w:vAlign w:val="center"/>
          </w:tcPr>
          <w:p w:rsidR="00DC4FFD" w:rsidRDefault="00DC4FFD" w:rsidP="00BE0839">
            <w:pPr>
              <w:pStyle w:val="Tabletext"/>
            </w:pPr>
            <w:r>
              <w:t>Phytosanitary certificate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$36</w:t>
            </w:r>
          </w:p>
        </w:tc>
        <w:tc>
          <w:tcPr>
            <w:tcW w:w="1559" w:type="dxa"/>
            <w:vAlign w:val="center"/>
          </w:tcPr>
          <w:p w:rsidR="00DC4FFD" w:rsidRDefault="00DC4FFD" w:rsidP="00BE0839">
            <w:pPr>
              <w:pStyle w:val="Tabletext"/>
            </w:pPr>
            <w:r>
              <w:t>Per document</w:t>
            </w:r>
          </w:p>
        </w:tc>
        <w:tc>
          <w:tcPr>
            <w:tcW w:w="1418" w:type="dxa"/>
            <w:vAlign w:val="center"/>
          </w:tcPr>
          <w:p w:rsidR="00DC4FFD" w:rsidRDefault="00DC4FFD" w:rsidP="00BE0839">
            <w:pPr>
              <w:pStyle w:val="Tabletext"/>
            </w:pPr>
            <w:r>
              <w:t>22 701</w:t>
            </w:r>
          </w:p>
        </w:tc>
        <w:tc>
          <w:tcPr>
            <w:tcW w:w="1559" w:type="dxa"/>
            <w:vAlign w:val="center"/>
          </w:tcPr>
          <w:p w:rsidR="00DC4FFD" w:rsidRDefault="00DC4FFD" w:rsidP="00BE0839">
            <w:pPr>
              <w:pStyle w:val="Tabletext"/>
            </w:pPr>
            <w:r>
              <w:t>$817 236</w:t>
            </w:r>
          </w:p>
        </w:tc>
      </w:tr>
      <w:tr w:rsidR="00DC4FFD">
        <w:trPr>
          <w:cantSplit/>
          <w:trHeight w:val="680"/>
        </w:trPr>
        <w:tc>
          <w:tcPr>
            <w:tcW w:w="3227" w:type="dxa"/>
            <w:vAlign w:val="center"/>
          </w:tcPr>
          <w:p w:rsidR="00DC4FFD" w:rsidRDefault="00DC4FFD" w:rsidP="00BE0839">
            <w:pPr>
              <w:pStyle w:val="Tabletext"/>
            </w:pPr>
            <w:r>
              <w:t>Establishment application (one-off)</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$600</w:t>
            </w:r>
          </w:p>
        </w:tc>
        <w:tc>
          <w:tcPr>
            <w:tcW w:w="1559" w:type="dxa"/>
            <w:vAlign w:val="center"/>
          </w:tcPr>
          <w:p w:rsidR="00DC4FFD" w:rsidRDefault="00DC4FFD" w:rsidP="00BE0839">
            <w:pPr>
              <w:pStyle w:val="Tabletext"/>
            </w:pPr>
            <w:r>
              <w:t>Per initial establishment application</w:t>
            </w:r>
          </w:p>
        </w:tc>
        <w:tc>
          <w:tcPr>
            <w:tcW w:w="1418" w:type="dxa"/>
            <w:vAlign w:val="center"/>
          </w:tcPr>
          <w:p w:rsidR="00DC4FFD" w:rsidRDefault="00DC4FFD" w:rsidP="00BE0839">
            <w:pPr>
              <w:pStyle w:val="Tabletext"/>
            </w:pPr>
            <w:r>
              <w:t>-</w:t>
            </w:r>
          </w:p>
        </w:tc>
        <w:tc>
          <w:tcPr>
            <w:tcW w:w="1559" w:type="dxa"/>
            <w:vAlign w:val="center"/>
          </w:tcPr>
          <w:p w:rsidR="00DC4FFD" w:rsidRDefault="00DC4FFD" w:rsidP="00BE0839">
            <w:pPr>
              <w:pStyle w:val="Tabletext"/>
            </w:pPr>
            <w:r>
              <w:t>-</w:t>
            </w:r>
          </w:p>
        </w:tc>
      </w:tr>
      <w:tr w:rsidR="00DC4FFD">
        <w:trPr>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Audit and Inspection fees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trHeight w:val="680"/>
        </w:trPr>
        <w:tc>
          <w:tcPr>
            <w:tcW w:w="3227" w:type="dxa"/>
            <w:vAlign w:val="center"/>
          </w:tcPr>
          <w:p w:rsidR="00DC4FFD" w:rsidRDefault="00DC4FFD" w:rsidP="00BE0839">
            <w:pPr>
              <w:pStyle w:val="Tabletext"/>
            </w:pPr>
            <w:r>
              <w:t>Audit</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$36</w:t>
            </w:r>
          </w:p>
        </w:tc>
        <w:tc>
          <w:tcPr>
            <w:tcW w:w="1559" w:type="dxa"/>
            <w:vAlign w:val="center"/>
          </w:tcPr>
          <w:p w:rsidR="00DC4FFD" w:rsidRDefault="00DC4FFD" w:rsidP="00BE0839">
            <w:pPr>
              <w:pStyle w:val="Tabletext"/>
            </w:pPr>
            <w:r>
              <w:t>Per 15 minutes</w:t>
            </w:r>
            <w:r>
              <w:br/>
            </w:r>
            <w:r>
              <w:rPr>
                <w:rFonts w:cs="Arial"/>
                <w:sz w:val="18"/>
                <w:szCs w:val="18"/>
              </w:rPr>
              <w:t>(or part thereof)</w:t>
            </w:r>
          </w:p>
        </w:tc>
        <w:tc>
          <w:tcPr>
            <w:tcW w:w="1418" w:type="dxa"/>
            <w:vAlign w:val="center"/>
          </w:tcPr>
          <w:p w:rsidR="00DC4FFD" w:rsidRDefault="00DC4FFD" w:rsidP="00BE0839">
            <w:pPr>
              <w:pStyle w:val="Tabletext"/>
            </w:pPr>
            <w:r>
              <w:t>18 737</w:t>
            </w:r>
          </w:p>
        </w:tc>
        <w:tc>
          <w:tcPr>
            <w:tcW w:w="1559" w:type="dxa"/>
            <w:vAlign w:val="center"/>
          </w:tcPr>
          <w:p w:rsidR="00DC4FFD" w:rsidRDefault="00DC4FFD" w:rsidP="00BE0839">
            <w:pPr>
              <w:pStyle w:val="Tabletext"/>
            </w:pPr>
            <w:r>
              <w:t>$674 532</w:t>
            </w:r>
          </w:p>
        </w:tc>
      </w:tr>
      <w:tr w:rsidR="00DC4FFD">
        <w:trPr>
          <w:trHeight w:val="680"/>
        </w:trPr>
        <w:tc>
          <w:tcPr>
            <w:tcW w:w="3227" w:type="dxa"/>
            <w:vAlign w:val="center"/>
          </w:tcPr>
          <w:p w:rsidR="00DC4FFD" w:rsidRDefault="00DC4FFD" w:rsidP="00BE0839">
            <w:pPr>
              <w:pStyle w:val="Tabletext"/>
            </w:pPr>
            <w:r>
              <w:lastRenderedPageBreak/>
              <w:t>Core inspection</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$36</w:t>
            </w:r>
          </w:p>
        </w:tc>
        <w:tc>
          <w:tcPr>
            <w:tcW w:w="1559" w:type="dxa"/>
            <w:vAlign w:val="center"/>
          </w:tcPr>
          <w:p w:rsidR="00DC4FFD" w:rsidRDefault="00DC4FFD" w:rsidP="00BE0839">
            <w:pPr>
              <w:pStyle w:val="Tabletext"/>
            </w:pPr>
            <w:r>
              <w:t>Per 15 minutes</w:t>
            </w:r>
            <w:r>
              <w:br/>
            </w:r>
            <w:r>
              <w:rPr>
                <w:rFonts w:cs="Arial"/>
                <w:sz w:val="18"/>
                <w:szCs w:val="18"/>
              </w:rPr>
              <w:t>(or part thereof)</w:t>
            </w:r>
          </w:p>
        </w:tc>
        <w:tc>
          <w:tcPr>
            <w:tcW w:w="1418" w:type="dxa"/>
            <w:vAlign w:val="center"/>
          </w:tcPr>
          <w:p w:rsidR="00DC4FFD" w:rsidRDefault="00DC4FFD" w:rsidP="00BE0839">
            <w:pPr>
              <w:pStyle w:val="Tabletext"/>
            </w:pPr>
            <w:r>
              <w:t>14 426</w:t>
            </w:r>
          </w:p>
        </w:tc>
        <w:tc>
          <w:tcPr>
            <w:tcW w:w="1559" w:type="dxa"/>
            <w:vAlign w:val="center"/>
          </w:tcPr>
          <w:p w:rsidR="00DC4FFD" w:rsidRDefault="00DC4FFD" w:rsidP="00BE0839">
            <w:pPr>
              <w:pStyle w:val="Tabletext"/>
            </w:pPr>
            <w:r>
              <w:t>$519 336</w:t>
            </w:r>
          </w:p>
        </w:tc>
      </w:tr>
      <w:tr w:rsidR="00DC4FFD">
        <w:trPr>
          <w:trHeight w:val="680"/>
        </w:trPr>
        <w:tc>
          <w:tcPr>
            <w:tcW w:w="3227" w:type="dxa"/>
            <w:vAlign w:val="center"/>
          </w:tcPr>
          <w:p w:rsidR="00DC4FFD" w:rsidRDefault="00DC4FFD" w:rsidP="00BE0839">
            <w:pPr>
              <w:pStyle w:val="Tabletext"/>
            </w:pPr>
            <w:r>
              <w:t>Additional inspection</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$75</w:t>
            </w:r>
          </w:p>
        </w:tc>
        <w:tc>
          <w:tcPr>
            <w:tcW w:w="1559" w:type="dxa"/>
            <w:vAlign w:val="center"/>
          </w:tcPr>
          <w:p w:rsidR="00DC4FFD" w:rsidRDefault="00DC4FFD" w:rsidP="00BE0839">
            <w:pPr>
              <w:pStyle w:val="Tabletext"/>
            </w:pPr>
            <w:r>
              <w:t>Per 15 minutes</w:t>
            </w:r>
            <w:r>
              <w:br/>
            </w:r>
            <w:r>
              <w:rPr>
                <w:rFonts w:cs="Arial"/>
                <w:sz w:val="18"/>
                <w:szCs w:val="18"/>
              </w:rPr>
              <w:t>(or part thereof)</w:t>
            </w:r>
          </w:p>
        </w:tc>
        <w:tc>
          <w:tcPr>
            <w:tcW w:w="1418" w:type="dxa"/>
            <w:vAlign w:val="center"/>
          </w:tcPr>
          <w:p w:rsidR="00DC4FFD" w:rsidRDefault="00DC4FFD" w:rsidP="00BE0839">
            <w:pPr>
              <w:pStyle w:val="Tabletext"/>
            </w:pPr>
            <w:r>
              <w:t>-</w:t>
            </w:r>
          </w:p>
        </w:tc>
        <w:tc>
          <w:tcPr>
            <w:tcW w:w="1559" w:type="dxa"/>
            <w:vAlign w:val="center"/>
          </w:tcPr>
          <w:p w:rsidR="00DC4FFD" w:rsidRDefault="00DC4FFD" w:rsidP="00BE0839">
            <w:pPr>
              <w:pStyle w:val="Tabletext"/>
            </w:pPr>
            <w:r>
              <w:t>-</w:t>
            </w:r>
          </w:p>
        </w:tc>
      </w:tr>
      <w:tr w:rsidR="00DC4FFD">
        <w:trPr>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Documentation fees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trHeight w:val="680"/>
        </w:trPr>
        <w:tc>
          <w:tcPr>
            <w:tcW w:w="3227" w:type="dxa"/>
            <w:vAlign w:val="center"/>
          </w:tcPr>
          <w:p w:rsidR="00DC4FFD" w:rsidRDefault="00DC4FFD" w:rsidP="00BE0839">
            <w:pPr>
              <w:pStyle w:val="Tabletext"/>
            </w:pPr>
            <w:r>
              <w:t>Document</w:t>
            </w:r>
            <w:r>
              <w:noBreakHyphen/>
              <w:t>Electronic</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$12</w:t>
            </w:r>
          </w:p>
        </w:tc>
        <w:tc>
          <w:tcPr>
            <w:tcW w:w="1559" w:type="dxa"/>
            <w:vAlign w:val="center"/>
          </w:tcPr>
          <w:p w:rsidR="00DC4FFD" w:rsidRDefault="00DC4FFD" w:rsidP="00BE0839">
            <w:pPr>
              <w:pStyle w:val="Tabletext"/>
            </w:pPr>
            <w:r>
              <w:t>Per document</w:t>
            </w:r>
          </w:p>
        </w:tc>
        <w:tc>
          <w:tcPr>
            <w:tcW w:w="1418" w:type="dxa"/>
            <w:vAlign w:val="center"/>
          </w:tcPr>
          <w:p w:rsidR="00DC4FFD" w:rsidRDefault="00DC4FFD" w:rsidP="00BE0839">
            <w:pPr>
              <w:pStyle w:val="Tabletext"/>
            </w:pPr>
            <w:r>
              <w:t>64 351</w:t>
            </w:r>
          </w:p>
        </w:tc>
        <w:tc>
          <w:tcPr>
            <w:tcW w:w="1559" w:type="dxa"/>
            <w:vAlign w:val="center"/>
          </w:tcPr>
          <w:p w:rsidR="00DC4FFD" w:rsidRDefault="00DC4FFD" w:rsidP="00BE0839">
            <w:pPr>
              <w:pStyle w:val="Tabletext"/>
            </w:pPr>
            <w:r>
              <w:t>$772 212</w:t>
            </w:r>
          </w:p>
        </w:tc>
      </w:tr>
      <w:tr w:rsidR="00DC4FFD">
        <w:trPr>
          <w:trHeight w:val="680"/>
        </w:trPr>
        <w:tc>
          <w:tcPr>
            <w:tcW w:w="3227" w:type="dxa"/>
            <w:tcBorders>
              <w:bottom w:val="single" w:sz="4" w:space="0" w:color="000000"/>
            </w:tcBorders>
            <w:vAlign w:val="center"/>
          </w:tcPr>
          <w:p w:rsidR="00DC4FFD" w:rsidRDefault="00DC4FFD" w:rsidP="00BE0839">
            <w:pPr>
              <w:pStyle w:val="Tabletext"/>
            </w:pPr>
            <w:r>
              <w:t>Document</w:t>
            </w:r>
            <w:r>
              <w:noBreakHyphen/>
              <w:t>Manual</w:t>
            </w:r>
          </w:p>
        </w:tc>
        <w:tc>
          <w:tcPr>
            <w:tcW w:w="992" w:type="dxa"/>
            <w:tcBorders>
              <w:bottom w:val="single" w:sz="4" w:space="0" w:color="000000"/>
            </w:tcBorders>
            <w:vAlign w:val="center"/>
          </w:tcPr>
          <w:p w:rsidR="00DC4FFD" w:rsidRDefault="00DC4FFD" w:rsidP="00BE0839">
            <w:pPr>
              <w:pStyle w:val="Tabletext"/>
            </w:pPr>
            <w:r>
              <w:t>Fee</w:t>
            </w:r>
          </w:p>
        </w:tc>
        <w:tc>
          <w:tcPr>
            <w:tcW w:w="1134" w:type="dxa"/>
            <w:tcBorders>
              <w:bottom w:val="single" w:sz="4" w:space="0" w:color="000000"/>
            </w:tcBorders>
            <w:vAlign w:val="center"/>
          </w:tcPr>
          <w:p w:rsidR="00DC4FFD" w:rsidRDefault="00DC4FFD" w:rsidP="00BE0839">
            <w:pPr>
              <w:pStyle w:val="Tabletext"/>
            </w:pPr>
            <w:r>
              <w:t>$100</w:t>
            </w:r>
          </w:p>
        </w:tc>
        <w:tc>
          <w:tcPr>
            <w:tcW w:w="1559" w:type="dxa"/>
            <w:tcBorders>
              <w:bottom w:val="single" w:sz="4" w:space="0" w:color="000000"/>
            </w:tcBorders>
            <w:vAlign w:val="center"/>
          </w:tcPr>
          <w:p w:rsidR="00DC4FFD" w:rsidRDefault="00DC4FFD" w:rsidP="00BE0839">
            <w:pPr>
              <w:pStyle w:val="Tabletext"/>
            </w:pPr>
            <w:r>
              <w:t>Per document</w:t>
            </w:r>
          </w:p>
        </w:tc>
        <w:tc>
          <w:tcPr>
            <w:tcW w:w="1418" w:type="dxa"/>
            <w:tcBorders>
              <w:bottom w:val="single" w:sz="4" w:space="0" w:color="000000"/>
            </w:tcBorders>
            <w:vAlign w:val="center"/>
          </w:tcPr>
          <w:p w:rsidR="00DC4FFD" w:rsidRDefault="00DC4FFD" w:rsidP="00BE0839">
            <w:pPr>
              <w:pStyle w:val="Tabletext"/>
            </w:pPr>
            <w:r>
              <w:t>-</w:t>
            </w:r>
          </w:p>
        </w:tc>
        <w:tc>
          <w:tcPr>
            <w:tcW w:w="1559" w:type="dxa"/>
            <w:tcBorders>
              <w:bottom w:val="single" w:sz="4" w:space="0" w:color="000000"/>
            </w:tcBorders>
            <w:vAlign w:val="center"/>
          </w:tcPr>
          <w:p w:rsidR="00DC4FFD" w:rsidRDefault="00DC4FFD" w:rsidP="00BE0839">
            <w:pPr>
              <w:pStyle w:val="Tabletext"/>
            </w:pPr>
            <w:r>
              <w:t>-</w:t>
            </w:r>
          </w:p>
        </w:tc>
      </w:tr>
      <w:tr w:rsidR="00DC4FFD">
        <w:trPr>
          <w:trHeight w:val="680"/>
        </w:trPr>
        <w:tc>
          <w:tcPr>
            <w:tcW w:w="3227" w:type="dxa"/>
            <w:vAlign w:val="center"/>
          </w:tcPr>
          <w:p w:rsidR="00DC4FFD" w:rsidRDefault="00DC4FFD" w:rsidP="00BE0839">
            <w:pPr>
              <w:pStyle w:val="Tabletext"/>
            </w:pPr>
            <w:r>
              <w:t>Replacement certificate</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$500</w:t>
            </w:r>
          </w:p>
        </w:tc>
        <w:tc>
          <w:tcPr>
            <w:tcW w:w="1559" w:type="dxa"/>
            <w:vAlign w:val="center"/>
          </w:tcPr>
          <w:p w:rsidR="00DC4FFD" w:rsidRDefault="00DC4FFD" w:rsidP="00BE0839">
            <w:pPr>
              <w:pStyle w:val="Tabletext"/>
            </w:pPr>
            <w:r>
              <w:t>Per document</w:t>
            </w:r>
          </w:p>
        </w:tc>
        <w:tc>
          <w:tcPr>
            <w:tcW w:w="1418" w:type="dxa"/>
            <w:vAlign w:val="center"/>
          </w:tcPr>
          <w:p w:rsidR="00DC4FFD" w:rsidRDefault="00DC4FFD" w:rsidP="00BE0839">
            <w:pPr>
              <w:pStyle w:val="Tabletext"/>
            </w:pPr>
            <w:r>
              <w:t>-</w:t>
            </w:r>
          </w:p>
        </w:tc>
        <w:tc>
          <w:tcPr>
            <w:tcW w:w="1559" w:type="dxa"/>
            <w:vAlign w:val="center"/>
          </w:tcPr>
          <w:p w:rsidR="00DC4FFD" w:rsidRDefault="00DC4FFD" w:rsidP="00BE0839">
            <w:pPr>
              <w:pStyle w:val="Tabletext"/>
            </w:pPr>
            <w:r>
              <w:t>-</w:t>
            </w:r>
          </w:p>
        </w:tc>
      </w:tr>
      <w:tr w:rsidR="00DC4FFD">
        <w:trPr>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Approved Authorised Officer (AAO) fees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trHeight w:val="680"/>
        </w:trPr>
        <w:tc>
          <w:tcPr>
            <w:tcW w:w="3227" w:type="dxa"/>
            <w:vAlign w:val="center"/>
          </w:tcPr>
          <w:p w:rsidR="00DC4FFD" w:rsidRDefault="00DC4FFD" w:rsidP="00BE0839">
            <w:pPr>
              <w:pStyle w:val="Tabletext"/>
            </w:pPr>
            <w:r>
              <w:t>AAO Application Fee</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$250</w:t>
            </w:r>
          </w:p>
        </w:tc>
        <w:tc>
          <w:tcPr>
            <w:tcW w:w="1559" w:type="dxa"/>
            <w:vAlign w:val="center"/>
          </w:tcPr>
          <w:p w:rsidR="00DC4FFD" w:rsidRDefault="00DC4FFD" w:rsidP="00BE0839">
            <w:pPr>
              <w:pStyle w:val="Tabletext"/>
            </w:pPr>
            <w:r>
              <w:t>per AO application</w:t>
            </w:r>
          </w:p>
        </w:tc>
        <w:tc>
          <w:tcPr>
            <w:tcW w:w="1418" w:type="dxa"/>
            <w:vAlign w:val="center"/>
          </w:tcPr>
          <w:p w:rsidR="00DC4FFD" w:rsidRDefault="00DC4FFD" w:rsidP="00BE0839">
            <w:pPr>
              <w:pStyle w:val="Tabletext"/>
            </w:pPr>
            <w:r>
              <w:t>91</w:t>
            </w:r>
          </w:p>
        </w:tc>
        <w:tc>
          <w:tcPr>
            <w:tcW w:w="1559" w:type="dxa"/>
            <w:vAlign w:val="center"/>
          </w:tcPr>
          <w:p w:rsidR="00DC4FFD" w:rsidRDefault="00DC4FFD" w:rsidP="00BE0839">
            <w:pPr>
              <w:pStyle w:val="Tabletext"/>
            </w:pPr>
            <w:r>
              <w:t>$22 750</w:t>
            </w:r>
          </w:p>
        </w:tc>
      </w:tr>
      <w:tr w:rsidR="00DC4FFD">
        <w:trPr>
          <w:trHeight w:val="680"/>
        </w:trPr>
        <w:tc>
          <w:tcPr>
            <w:tcW w:w="3227" w:type="dxa"/>
            <w:vAlign w:val="center"/>
          </w:tcPr>
          <w:p w:rsidR="00DC4FFD" w:rsidRDefault="00DC4FFD" w:rsidP="00BE0839">
            <w:pPr>
              <w:pStyle w:val="Tabletext"/>
            </w:pPr>
            <w:r>
              <w:t>AAO Learning and Assessment</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$1 750</w:t>
            </w:r>
          </w:p>
        </w:tc>
        <w:tc>
          <w:tcPr>
            <w:tcW w:w="1559" w:type="dxa"/>
            <w:vAlign w:val="center"/>
          </w:tcPr>
          <w:p w:rsidR="00DC4FFD" w:rsidRDefault="00DC4FFD" w:rsidP="00BE0839">
            <w:pPr>
              <w:pStyle w:val="Tabletext"/>
            </w:pPr>
            <w:r>
              <w:t>per person delivered training</w:t>
            </w:r>
          </w:p>
        </w:tc>
        <w:tc>
          <w:tcPr>
            <w:tcW w:w="1418" w:type="dxa"/>
            <w:vAlign w:val="center"/>
          </w:tcPr>
          <w:p w:rsidR="00DC4FFD" w:rsidRDefault="00DC4FFD" w:rsidP="00BE0839">
            <w:pPr>
              <w:pStyle w:val="Tabletext"/>
            </w:pPr>
            <w:r>
              <w:t>415</w:t>
            </w:r>
          </w:p>
        </w:tc>
        <w:tc>
          <w:tcPr>
            <w:tcW w:w="1559" w:type="dxa"/>
            <w:vAlign w:val="center"/>
          </w:tcPr>
          <w:p w:rsidR="00DC4FFD" w:rsidRDefault="00DC4FFD" w:rsidP="00BE0839">
            <w:pPr>
              <w:pStyle w:val="Tabletext"/>
            </w:pPr>
            <w:r>
              <w:t>$726 250</w:t>
            </w:r>
          </w:p>
        </w:tc>
      </w:tr>
      <w:tr w:rsidR="00DC4FFD">
        <w:trPr>
          <w:trHeight w:val="680"/>
        </w:trPr>
        <w:tc>
          <w:tcPr>
            <w:tcW w:w="3227" w:type="dxa"/>
            <w:vAlign w:val="center"/>
          </w:tcPr>
          <w:p w:rsidR="00DC4FFD" w:rsidRDefault="00DC4FFD" w:rsidP="00BE0839">
            <w:pPr>
              <w:pStyle w:val="Tabletext"/>
            </w:pPr>
            <w:r>
              <w:t>Additional AAO Learning and Assessment</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$2 000</w:t>
            </w:r>
          </w:p>
        </w:tc>
        <w:tc>
          <w:tcPr>
            <w:tcW w:w="1559" w:type="dxa"/>
            <w:vAlign w:val="center"/>
          </w:tcPr>
          <w:p w:rsidR="00DC4FFD" w:rsidRDefault="00DC4FFD" w:rsidP="00BE0839">
            <w:pPr>
              <w:pStyle w:val="Tabletext"/>
            </w:pPr>
            <w:r>
              <w:t>per person delivered additional training</w:t>
            </w:r>
          </w:p>
        </w:tc>
        <w:tc>
          <w:tcPr>
            <w:tcW w:w="1418" w:type="dxa"/>
            <w:vAlign w:val="center"/>
          </w:tcPr>
          <w:p w:rsidR="00DC4FFD" w:rsidRDefault="00DC4FFD" w:rsidP="00BE0839">
            <w:pPr>
              <w:pStyle w:val="Tabletext"/>
            </w:pPr>
            <w:r>
              <w:t>83</w:t>
            </w:r>
          </w:p>
        </w:tc>
        <w:tc>
          <w:tcPr>
            <w:tcW w:w="1559" w:type="dxa"/>
            <w:vAlign w:val="center"/>
          </w:tcPr>
          <w:p w:rsidR="00DC4FFD" w:rsidRDefault="00DC4FFD" w:rsidP="00BE0839">
            <w:pPr>
              <w:pStyle w:val="Tabletext"/>
            </w:pPr>
            <w:r>
              <w:t>$166 000</w:t>
            </w:r>
          </w:p>
        </w:tc>
      </w:tr>
      <w:tr w:rsidR="00DC4FFD">
        <w:trPr>
          <w:trHeight w:val="680"/>
        </w:trPr>
        <w:tc>
          <w:tcPr>
            <w:tcW w:w="3227" w:type="dxa"/>
            <w:tcBorders>
              <w:bottom w:val="single" w:sz="4" w:space="0" w:color="000000"/>
            </w:tcBorders>
            <w:vAlign w:val="center"/>
          </w:tcPr>
          <w:p w:rsidR="00DC4FFD" w:rsidRDefault="00DC4FFD" w:rsidP="00BE0839">
            <w:pPr>
              <w:pStyle w:val="Tabletext"/>
            </w:pPr>
            <w:r>
              <w:t>AAO Approval</w:t>
            </w:r>
          </w:p>
        </w:tc>
        <w:tc>
          <w:tcPr>
            <w:tcW w:w="992" w:type="dxa"/>
            <w:tcBorders>
              <w:bottom w:val="single" w:sz="4" w:space="0" w:color="000000"/>
            </w:tcBorders>
            <w:vAlign w:val="center"/>
          </w:tcPr>
          <w:p w:rsidR="00DC4FFD" w:rsidRDefault="00DC4FFD" w:rsidP="00BE0839">
            <w:pPr>
              <w:pStyle w:val="Tabletext"/>
            </w:pPr>
            <w:r>
              <w:t>Fee</w:t>
            </w:r>
          </w:p>
        </w:tc>
        <w:tc>
          <w:tcPr>
            <w:tcW w:w="1134" w:type="dxa"/>
            <w:tcBorders>
              <w:bottom w:val="single" w:sz="4" w:space="0" w:color="000000"/>
            </w:tcBorders>
            <w:vAlign w:val="center"/>
          </w:tcPr>
          <w:p w:rsidR="00DC4FFD" w:rsidRDefault="00DC4FFD" w:rsidP="00BE0839">
            <w:pPr>
              <w:pStyle w:val="Tabletext"/>
            </w:pPr>
            <w:r>
              <w:t>$250</w:t>
            </w:r>
          </w:p>
        </w:tc>
        <w:tc>
          <w:tcPr>
            <w:tcW w:w="1559" w:type="dxa"/>
            <w:tcBorders>
              <w:bottom w:val="single" w:sz="4" w:space="0" w:color="000000"/>
            </w:tcBorders>
            <w:vAlign w:val="center"/>
          </w:tcPr>
          <w:p w:rsidR="00DC4FFD" w:rsidRDefault="00DC4FFD" w:rsidP="00BE0839">
            <w:pPr>
              <w:pStyle w:val="Tabletext"/>
            </w:pPr>
            <w:r>
              <w:t>per AO approval</w:t>
            </w:r>
          </w:p>
        </w:tc>
        <w:tc>
          <w:tcPr>
            <w:tcW w:w="1418" w:type="dxa"/>
            <w:tcBorders>
              <w:bottom w:val="single" w:sz="4" w:space="0" w:color="000000"/>
            </w:tcBorders>
            <w:vAlign w:val="center"/>
          </w:tcPr>
          <w:p w:rsidR="00DC4FFD" w:rsidRDefault="00DC4FFD" w:rsidP="00BE0839">
            <w:pPr>
              <w:pStyle w:val="Tabletext"/>
            </w:pPr>
            <w:r>
              <w:t>415</w:t>
            </w:r>
          </w:p>
        </w:tc>
        <w:tc>
          <w:tcPr>
            <w:tcW w:w="1559" w:type="dxa"/>
            <w:tcBorders>
              <w:bottom w:val="single" w:sz="4" w:space="0" w:color="000000"/>
            </w:tcBorders>
            <w:vAlign w:val="center"/>
          </w:tcPr>
          <w:p w:rsidR="00DC4FFD" w:rsidRDefault="00DC4FFD" w:rsidP="00BE0839">
            <w:pPr>
              <w:pStyle w:val="Tabletext"/>
            </w:pPr>
            <w:r>
              <w:t>$103 750</w:t>
            </w:r>
          </w:p>
        </w:tc>
      </w:tr>
    </w:tbl>
    <w:p w:rsidR="00DC4FFD" w:rsidRDefault="00DC4FFD" w:rsidP="002E338A">
      <w:pPr>
        <w:pStyle w:val="Caption"/>
        <w:keepNext/>
        <w:pageBreakBefore/>
      </w:pPr>
      <w:r>
        <w:lastRenderedPageBreak/>
        <w:t>Table 20: Fees, levies and volumes —horticulture exports cost recovery arrangement (2018–19)</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27"/>
        <w:gridCol w:w="992"/>
        <w:gridCol w:w="1134"/>
        <w:gridCol w:w="1559"/>
        <w:gridCol w:w="1418"/>
        <w:gridCol w:w="1559"/>
      </w:tblGrid>
      <w:tr w:rsidR="00DC4FFD">
        <w:trPr>
          <w:trHeight w:val="453"/>
          <w:tblHeader/>
        </w:trPr>
        <w:tc>
          <w:tcPr>
            <w:tcW w:w="3227" w:type="dxa"/>
            <w:shd w:val="clear" w:color="auto" w:fill="C6D9F1"/>
            <w:vAlign w:val="center"/>
          </w:tcPr>
          <w:p w:rsidR="00DC4FFD" w:rsidRPr="00BE0839" w:rsidRDefault="00DC4FFD" w:rsidP="00BE0839">
            <w:pPr>
              <w:pStyle w:val="Tabletext"/>
              <w:rPr>
                <w:rStyle w:val="Strong"/>
              </w:rPr>
            </w:pPr>
            <w:r w:rsidRPr="00BE0839">
              <w:rPr>
                <w:rStyle w:val="Strong"/>
              </w:rPr>
              <w:t>Charge title</w:t>
            </w:r>
          </w:p>
        </w:tc>
        <w:tc>
          <w:tcPr>
            <w:tcW w:w="992" w:type="dxa"/>
            <w:shd w:val="clear" w:color="auto" w:fill="C6D9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C6D9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C6D9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C6D9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C6D9F1"/>
            <w:vAlign w:val="center"/>
          </w:tcPr>
          <w:p w:rsidR="00DC4FFD" w:rsidRPr="00BE0839" w:rsidRDefault="00DC4FFD" w:rsidP="00BE0839">
            <w:pPr>
              <w:pStyle w:val="Tabletext"/>
              <w:rPr>
                <w:rStyle w:val="Strong"/>
              </w:rPr>
            </w:pPr>
            <w:r w:rsidRPr="00BE0839">
              <w:rPr>
                <w:rStyle w:val="Strong"/>
              </w:rPr>
              <w:t>Estimated total revenue</w:t>
            </w:r>
          </w:p>
        </w:tc>
      </w:tr>
      <w:tr w:rsidR="00DC4FFD">
        <w:trPr>
          <w:cantSplit/>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Plant exporter levies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cantSplit/>
          <w:trHeight w:val="680"/>
        </w:trPr>
        <w:tc>
          <w:tcPr>
            <w:tcW w:w="3227" w:type="dxa"/>
            <w:vAlign w:val="center"/>
          </w:tcPr>
          <w:p w:rsidR="00DC4FFD" w:rsidRDefault="00DC4FFD" w:rsidP="00BE0839">
            <w:pPr>
              <w:pStyle w:val="Tabletext"/>
            </w:pPr>
            <w:r>
              <w:t>Establishment registration—grower/exporter</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$600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287</w:t>
            </w:r>
          </w:p>
        </w:tc>
        <w:tc>
          <w:tcPr>
            <w:tcW w:w="1559" w:type="dxa"/>
            <w:vAlign w:val="center"/>
          </w:tcPr>
          <w:p w:rsidR="00DC4FFD" w:rsidRDefault="00DC4FFD" w:rsidP="00BE0839">
            <w:pPr>
              <w:pStyle w:val="Tabletext"/>
            </w:pPr>
            <w:r>
              <w:t>$172 200</w:t>
            </w:r>
          </w:p>
        </w:tc>
      </w:tr>
      <w:tr w:rsidR="00DC4FFD">
        <w:trPr>
          <w:cantSplit/>
          <w:trHeight w:val="680"/>
        </w:trPr>
        <w:tc>
          <w:tcPr>
            <w:tcW w:w="3227" w:type="dxa"/>
            <w:vAlign w:val="center"/>
          </w:tcPr>
          <w:p w:rsidR="00DC4FFD" w:rsidRDefault="00DC4FFD" w:rsidP="00BE0839">
            <w:pPr>
              <w:pStyle w:val="Tabletext"/>
            </w:pPr>
            <w:r>
              <w:t>Establishment registration—simple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$3 000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165</w:t>
            </w:r>
          </w:p>
        </w:tc>
        <w:tc>
          <w:tcPr>
            <w:tcW w:w="1559" w:type="dxa"/>
            <w:vAlign w:val="center"/>
          </w:tcPr>
          <w:p w:rsidR="00DC4FFD" w:rsidRDefault="00DC4FFD" w:rsidP="00BE0839">
            <w:pPr>
              <w:pStyle w:val="Tabletext"/>
            </w:pPr>
            <w:r>
              <w:t>$495 000</w:t>
            </w:r>
          </w:p>
        </w:tc>
      </w:tr>
      <w:tr w:rsidR="00DC4FFD">
        <w:trPr>
          <w:cantSplit/>
          <w:trHeight w:val="680"/>
        </w:trPr>
        <w:tc>
          <w:tcPr>
            <w:tcW w:w="3227" w:type="dxa"/>
            <w:vAlign w:val="center"/>
          </w:tcPr>
          <w:p w:rsidR="00DC4FFD" w:rsidRDefault="00DC4FFD" w:rsidP="00BE0839">
            <w:pPr>
              <w:pStyle w:val="Tabletext"/>
            </w:pPr>
            <w:r>
              <w:t>Establishment registration—complex</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$6 000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158</w:t>
            </w:r>
          </w:p>
        </w:tc>
        <w:tc>
          <w:tcPr>
            <w:tcW w:w="1559" w:type="dxa"/>
            <w:vAlign w:val="center"/>
          </w:tcPr>
          <w:p w:rsidR="00DC4FFD" w:rsidRDefault="00DC4FFD" w:rsidP="00BE0839">
            <w:pPr>
              <w:pStyle w:val="Tabletext"/>
            </w:pPr>
            <w:r>
              <w:t>$948 000</w:t>
            </w:r>
          </w:p>
        </w:tc>
      </w:tr>
      <w:tr w:rsidR="00DC4FFD">
        <w:trPr>
          <w:cantSplit/>
          <w:trHeight w:val="680"/>
        </w:trPr>
        <w:tc>
          <w:tcPr>
            <w:tcW w:w="3227" w:type="dxa"/>
            <w:vAlign w:val="center"/>
          </w:tcPr>
          <w:p w:rsidR="00DC4FFD" w:rsidRDefault="00DC4FFD" w:rsidP="00BE0839">
            <w:pPr>
              <w:pStyle w:val="Tabletext"/>
            </w:pPr>
            <w:r>
              <w:t>Authorised officer approval</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$ 750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935</w:t>
            </w:r>
          </w:p>
        </w:tc>
        <w:tc>
          <w:tcPr>
            <w:tcW w:w="1559" w:type="dxa"/>
            <w:vAlign w:val="center"/>
          </w:tcPr>
          <w:p w:rsidR="00DC4FFD" w:rsidRDefault="00DC4FFD" w:rsidP="00BE0839">
            <w:pPr>
              <w:pStyle w:val="Tabletext"/>
            </w:pPr>
            <w:r>
              <w:t>$701 250</w:t>
            </w:r>
          </w:p>
        </w:tc>
      </w:tr>
      <w:tr w:rsidR="00DC4FFD">
        <w:trPr>
          <w:cantSplit/>
          <w:trHeight w:val="680"/>
        </w:trPr>
        <w:tc>
          <w:tcPr>
            <w:tcW w:w="3227" w:type="dxa"/>
            <w:vAlign w:val="center"/>
          </w:tcPr>
          <w:p w:rsidR="00DC4FFD" w:rsidRDefault="00DC4FFD" w:rsidP="00BE0839">
            <w:pPr>
              <w:pStyle w:val="Tabletext"/>
            </w:pPr>
            <w:r>
              <w:t>Organic certifying organisation</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$7 500</w:t>
            </w:r>
          </w:p>
        </w:tc>
        <w:tc>
          <w:tcPr>
            <w:tcW w:w="1559" w:type="dxa"/>
            <w:vAlign w:val="center"/>
          </w:tcPr>
          <w:p w:rsidR="00DC4FFD" w:rsidRDefault="00DC4FFD" w:rsidP="00BE0839">
            <w:pPr>
              <w:pStyle w:val="Tabletext"/>
            </w:pPr>
            <w:r>
              <w:t>Annual</w:t>
            </w:r>
          </w:p>
        </w:tc>
        <w:tc>
          <w:tcPr>
            <w:tcW w:w="1418" w:type="dxa"/>
            <w:vAlign w:val="center"/>
          </w:tcPr>
          <w:p w:rsidR="00DC4FFD" w:rsidRDefault="00DC4FFD" w:rsidP="00BE0839">
            <w:pPr>
              <w:pStyle w:val="Tabletext"/>
            </w:pPr>
            <w:r>
              <w:t>4</w:t>
            </w:r>
          </w:p>
        </w:tc>
        <w:tc>
          <w:tcPr>
            <w:tcW w:w="1559" w:type="dxa"/>
            <w:vAlign w:val="center"/>
          </w:tcPr>
          <w:p w:rsidR="00DC4FFD" w:rsidRDefault="00DC4FFD" w:rsidP="00BE0839">
            <w:pPr>
              <w:pStyle w:val="Tabletext"/>
            </w:pPr>
            <w:r>
              <w:t>$30 000</w:t>
            </w:r>
          </w:p>
        </w:tc>
      </w:tr>
      <w:tr w:rsidR="00DC4FFD">
        <w:trPr>
          <w:cantSplit/>
          <w:trHeight w:val="680"/>
        </w:trPr>
        <w:tc>
          <w:tcPr>
            <w:tcW w:w="3227" w:type="dxa"/>
            <w:vAlign w:val="center"/>
          </w:tcPr>
          <w:p w:rsidR="00DC4FFD" w:rsidRDefault="00DC4FFD" w:rsidP="00BE0839">
            <w:pPr>
              <w:pStyle w:val="Tabletext"/>
            </w:pPr>
            <w:r>
              <w:t>Export volume—non-protocol rate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$0.65</w:t>
            </w:r>
          </w:p>
        </w:tc>
        <w:tc>
          <w:tcPr>
            <w:tcW w:w="1559" w:type="dxa"/>
            <w:vAlign w:val="center"/>
          </w:tcPr>
          <w:p w:rsidR="00DC4FFD" w:rsidRDefault="00DC4FFD" w:rsidP="00BE0839">
            <w:pPr>
              <w:pStyle w:val="Tabletext"/>
            </w:pPr>
            <w:r>
              <w:t>Per tonne</w:t>
            </w:r>
            <w:r>
              <w:br/>
            </w:r>
            <w:r>
              <w:rPr>
                <w:rFonts w:cs="Arial"/>
                <w:sz w:val="18"/>
                <w:szCs w:val="18"/>
              </w:rPr>
              <w:t>(or part thereof)</w:t>
            </w:r>
          </w:p>
        </w:tc>
        <w:tc>
          <w:tcPr>
            <w:tcW w:w="1418" w:type="dxa"/>
            <w:vAlign w:val="center"/>
          </w:tcPr>
          <w:p w:rsidR="00DC4FFD" w:rsidRDefault="00DC4FFD" w:rsidP="00BE0839">
            <w:pPr>
              <w:pStyle w:val="Tabletext"/>
            </w:pPr>
            <w:r>
              <w:t>490 127</w:t>
            </w:r>
          </w:p>
        </w:tc>
        <w:tc>
          <w:tcPr>
            <w:tcW w:w="1559" w:type="dxa"/>
            <w:vAlign w:val="center"/>
          </w:tcPr>
          <w:p w:rsidR="00DC4FFD" w:rsidRDefault="00DC4FFD" w:rsidP="00BE0839">
            <w:pPr>
              <w:pStyle w:val="Tabletext"/>
            </w:pPr>
            <w:r>
              <w:t>$318 583</w:t>
            </w:r>
          </w:p>
        </w:tc>
      </w:tr>
      <w:tr w:rsidR="00DC4FFD">
        <w:trPr>
          <w:cantSplit/>
          <w:trHeight w:val="680"/>
        </w:trPr>
        <w:tc>
          <w:tcPr>
            <w:tcW w:w="3227" w:type="dxa"/>
            <w:vAlign w:val="center"/>
          </w:tcPr>
          <w:p w:rsidR="00DC4FFD" w:rsidRDefault="00DC4FFD" w:rsidP="00BE0839">
            <w:pPr>
              <w:pStyle w:val="Tabletext"/>
            </w:pPr>
            <w:r>
              <w:t>Export volume—protocol rate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$1.30</w:t>
            </w:r>
          </w:p>
        </w:tc>
        <w:tc>
          <w:tcPr>
            <w:tcW w:w="1559" w:type="dxa"/>
            <w:vAlign w:val="center"/>
          </w:tcPr>
          <w:p w:rsidR="00DC4FFD" w:rsidRDefault="00DC4FFD" w:rsidP="00BE0839">
            <w:pPr>
              <w:pStyle w:val="Tabletext"/>
            </w:pPr>
            <w:r>
              <w:t>Per tonne</w:t>
            </w:r>
            <w:r>
              <w:br/>
            </w:r>
            <w:r>
              <w:rPr>
                <w:rFonts w:cs="Arial"/>
                <w:sz w:val="18"/>
                <w:szCs w:val="18"/>
              </w:rPr>
              <w:t>(or part thereof)</w:t>
            </w:r>
          </w:p>
        </w:tc>
        <w:tc>
          <w:tcPr>
            <w:tcW w:w="1418" w:type="dxa"/>
            <w:vAlign w:val="center"/>
          </w:tcPr>
          <w:p w:rsidR="00DC4FFD" w:rsidRDefault="00DC4FFD" w:rsidP="00BE0839">
            <w:pPr>
              <w:pStyle w:val="Tabletext"/>
            </w:pPr>
            <w:r>
              <w:t>87 876</w:t>
            </w:r>
          </w:p>
        </w:tc>
        <w:tc>
          <w:tcPr>
            <w:tcW w:w="1559" w:type="dxa"/>
            <w:vAlign w:val="center"/>
          </w:tcPr>
          <w:p w:rsidR="00DC4FFD" w:rsidRDefault="00DC4FFD" w:rsidP="00BE0839">
            <w:pPr>
              <w:pStyle w:val="Tabletext"/>
            </w:pPr>
            <w:r>
              <w:t>$114 238</w:t>
            </w:r>
          </w:p>
        </w:tc>
      </w:tr>
      <w:tr w:rsidR="00DC4FFD">
        <w:trPr>
          <w:cantSplit/>
          <w:trHeight w:val="680"/>
        </w:trPr>
        <w:tc>
          <w:tcPr>
            <w:tcW w:w="3227" w:type="dxa"/>
            <w:vAlign w:val="center"/>
          </w:tcPr>
          <w:p w:rsidR="00DC4FFD" w:rsidRDefault="00DC4FFD" w:rsidP="00BE0839">
            <w:pPr>
              <w:pStyle w:val="Tabletext"/>
            </w:pPr>
            <w:r>
              <w:t>Phytosanitary certificate</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$36</w:t>
            </w:r>
          </w:p>
        </w:tc>
        <w:tc>
          <w:tcPr>
            <w:tcW w:w="1559" w:type="dxa"/>
            <w:vAlign w:val="center"/>
          </w:tcPr>
          <w:p w:rsidR="00DC4FFD" w:rsidRDefault="00DC4FFD" w:rsidP="00BE0839">
            <w:pPr>
              <w:pStyle w:val="Tabletext"/>
            </w:pPr>
            <w:r>
              <w:t>Per document</w:t>
            </w:r>
          </w:p>
        </w:tc>
        <w:tc>
          <w:tcPr>
            <w:tcW w:w="1418" w:type="dxa"/>
            <w:vAlign w:val="center"/>
          </w:tcPr>
          <w:p w:rsidR="00DC4FFD" w:rsidRDefault="00DC4FFD" w:rsidP="00BE0839">
            <w:pPr>
              <w:pStyle w:val="Tabletext"/>
            </w:pPr>
            <w:r>
              <w:t>22 701</w:t>
            </w:r>
          </w:p>
        </w:tc>
        <w:tc>
          <w:tcPr>
            <w:tcW w:w="1559" w:type="dxa"/>
            <w:vAlign w:val="center"/>
          </w:tcPr>
          <w:p w:rsidR="00DC4FFD" w:rsidRDefault="00DC4FFD" w:rsidP="00BE0839">
            <w:pPr>
              <w:pStyle w:val="Tabletext"/>
            </w:pPr>
            <w:r>
              <w:t>$817 236</w:t>
            </w:r>
          </w:p>
        </w:tc>
      </w:tr>
      <w:tr w:rsidR="00DC4FFD">
        <w:trPr>
          <w:cantSplit/>
          <w:trHeight w:val="680"/>
        </w:trPr>
        <w:tc>
          <w:tcPr>
            <w:tcW w:w="3227" w:type="dxa"/>
            <w:vAlign w:val="center"/>
          </w:tcPr>
          <w:p w:rsidR="00DC4FFD" w:rsidRDefault="00DC4FFD" w:rsidP="00BE0839">
            <w:pPr>
              <w:pStyle w:val="Tabletext"/>
            </w:pPr>
            <w:r>
              <w:t>Establishment application (one-off)</w:t>
            </w:r>
          </w:p>
        </w:tc>
        <w:tc>
          <w:tcPr>
            <w:tcW w:w="992" w:type="dxa"/>
            <w:vAlign w:val="center"/>
          </w:tcPr>
          <w:p w:rsidR="00DC4FFD" w:rsidRDefault="00DC4FFD" w:rsidP="00BE0839">
            <w:pPr>
              <w:pStyle w:val="Tabletext"/>
            </w:pPr>
            <w:r>
              <w:t>Levy</w:t>
            </w:r>
          </w:p>
        </w:tc>
        <w:tc>
          <w:tcPr>
            <w:tcW w:w="1134" w:type="dxa"/>
            <w:vAlign w:val="center"/>
          </w:tcPr>
          <w:p w:rsidR="00DC4FFD" w:rsidRDefault="00DC4FFD" w:rsidP="00BE0839">
            <w:pPr>
              <w:pStyle w:val="Tabletext"/>
            </w:pPr>
            <w:r>
              <w:t>$600</w:t>
            </w:r>
          </w:p>
        </w:tc>
        <w:tc>
          <w:tcPr>
            <w:tcW w:w="1559" w:type="dxa"/>
            <w:vAlign w:val="center"/>
          </w:tcPr>
          <w:p w:rsidR="00DC4FFD" w:rsidRDefault="00DC4FFD" w:rsidP="00BE0839">
            <w:pPr>
              <w:pStyle w:val="Tabletext"/>
            </w:pPr>
            <w:r>
              <w:t>Per initial establishment application</w:t>
            </w:r>
          </w:p>
        </w:tc>
        <w:tc>
          <w:tcPr>
            <w:tcW w:w="1418" w:type="dxa"/>
            <w:vAlign w:val="center"/>
          </w:tcPr>
          <w:p w:rsidR="00DC4FFD" w:rsidRDefault="00DC4FFD" w:rsidP="00BE0839">
            <w:pPr>
              <w:pStyle w:val="Tabletext"/>
            </w:pPr>
            <w:r>
              <w:t>-</w:t>
            </w:r>
          </w:p>
        </w:tc>
        <w:tc>
          <w:tcPr>
            <w:tcW w:w="1559" w:type="dxa"/>
            <w:vAlign w:val="center"/>
          </w:tcPr>
          <w:p w:rsidR="00DC4FFD" w:rsidRDefault="00DC4FFD" w:rsidP="00BE0839">
            <w:pPr>
              <w:pStyle w:val="Tabletext"/>
            </w:pPr>
            <w:r>
              <w:t>-</w:t>
            </w:r>
          </w:p>
        </w:tc>
      </w:tr>
      <w:tr w:rsidR="00DC4FFD">
        <w:trPr>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Audit and Inspection fees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trHeight w:val="680"/>
        </w:trPr>
        <w:tc>
          <w:tcPr>
            <w:tcW w:w="3227" w:type="dxa"/>
            <w:vAlign w:val="center"/>
          </w:tcPr>
          <w:p w:rsidR="00DC4FFD" w:rsidRDefault="00DC4FFD" w:rsidP="00BE0839">
            <w:pPr>
              <w:pStyle w:val="Tabletext"/>
            </w:pPr>
            <w:r>
              <w:t>Audit</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$36</w:t>
            </w:r>
          </w:p>
        </w:tc>
        <w:tc>
          <w:tcPr>
            <w:tcW w:w="1559" w:type="dxa"/>
            <w:vAlign w:val="center"/>
          </w:tcPr>
          <w:p w:rsidR="00DC4FFD" w:rsidRDefault="00DC4FFD" w:rsidP="00BE0839">
            <w:pPr>
              <w:pStyle w:val="Tabletext"/>
            </w:pPr>
            <w:r>
              <w:t>Per 15 minutes</w:t>
            </w:r>
            <w:r>
              <w:br/>
            </w:r>
            <w:r>
              <w:rPr>
                <w:rFonts w:cs="Arial"/>
                <w:sz w:val="18"/>
                <w:szCs w:val="18"/>
              </w:rPr>
              <w:t>(or part thereof)</w:t>
            </w:r>
          </w:p>
        </w:tc>
        <w:tc>
          <w:tcPr>
            <w:tcW w:w="1418" w:type="dxa"/>
            <w:vAlign w:val="center"/>
          </w:tcPr>
          <w:p w:rsidR="00DC4FFD" w:rsidRDefault="00DC4FFD" w:rsidP="00BE0839">
            <w:pPr>
              <w:pStyle w:val="Tabletext"/>
            </w:pPr>
            <w:r>
              <w:t>18 737</w:t>
            </w:r>
          </w:p>
        </w:tc>
        <w:tc>
          <w:tcPr>
            <w:tcW w:w="1559" w:type="dxa"/>
            <w:vAlign w:val="center"/>
          </w:tcPr>
          <w:p w:rsidR="00DC4FFD" w:rsidRDefault="00DC4FFD" w:rsidP="00BE0839">
            <w:pPr>
              <w:pStyle w:val="Tabletext"/>
            </w:pPr>
            <w:r>
              <w:t>$674 532</w:t>
            </w:r>
          </w:p>
        </w:tc>
      </w:tr>
      <w:tr w:rsidR="00DC4FFD">
        <w:trPr>
          <w:trHeight w:val="680"/>
        </w:trPr>
        <w:tc>
          <w:tcPr>
            <w:tcW w:w="3227" w:type="dxa"/>
            <w:vAlign w:val="center"/>
          </w:tcPr>
          <w:p w:rsidR="00DC4FFD" w:rsidRDefault="00DC4FFD" w:rsidP="00BE0839">
            <w:pPr>
              <w:pStyle w:val="Tabletext"/>
            </w:pPr>
            <w:r>
              <w:lastRenderedPageBreak/>
              <w:t>Core inspection</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$36</w:t>
            </w:r>
          </w:p>
        </w:tc>
        <w:tc>
          <w:tcPr>
            <w:tcW w:w="1559" w:type="dxa"/>
            <w:vAlign w:val="center"/>
          </w:tcPr>
          <w:p w:rsidR="00DC4FFD" w:rsidRDefault="00DC4FFD" w:rsidP="00BE0839">
            <w:pPr>
              <w:pStyle w:val="Tabletext"/>
            </w:pPr>
            <w:r>
              <w:t>Per 15 minutes</w:t>
            </w:r>
            <w:r>
              <w:br/>
            </w:r>
            <w:r>
              <w:rPr>
                <w:rFonts w:cs="Arial"/>
                <w:sz w:val="18"/>
                <w:szCs w:val="18"/>
              </w:rPr>
              <w:t>(or part thereof)</w:t>
            </w:r>
          </w:p>
        </w:tc>
        <w:tc>
          <w:tcPr>
            <w:tcW w:w="1418" w:type="dxa"/>
            <w:vAlign w:val="center"/>
          </w:tcPr>
          <w:p w:rsidR="00DC4FFD" w:rsidRDefault="00DC4FFD" w:rsidP="00BE0839">
            <w:pPr>
              <w:pStyle w:val="Tabletext"/>
            </w:pPr>
            <w:r>
              <w:t>14 426</w:t>
            </w:r>
          </w:p>
        </w:tc>
        <w:tc>
          <w:tcPr>
            <w:tcW w:w="1559" w:type="dxa"/>
            <w:vAlign w:val="center"/>
          </w:tcPr>
          <w:p w:rsidR="00DC4FFD" w:rsidRDefault="00DC4FFD" w:rsidP="00BE0839">
            <w:pPr>
              <w:pStyle w:val="Tabletext"/>
            </w:pPr>
            <w:r>
              <w:t>$519 336</w:t>
            </w:r>
          </w:p>
        </w:tc>
      </w:tr>
      <w:tr w:rsidR="00DC4FFD">
        <w:trPr>
          <w:trHeight w:val="680"/>
        </w:trPr>
        <w:tc>
          <w:tcPr>
            <w:tcW w:w="3227" w:type="dxa"/>
            <w:vAlign w:val="center"/>
          </w:tcPr>
          <w:p w:rsidR="00DC4FFD" w:rsidRDefault="00DC4FFD" w:rsidP="00BE0839">
            <w:pPr>
              <w:pStyle w:val="Tabletext"/>
            </w:pPr>
            <w:r>
              <w:t>Additional inspection</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$75</w:t>
            </w:r>
          </w:p>
        </w:tc>
        <w:tc>
          <w:tcPr>
            <w:tcW w:w="1559" w:type="dxa"/>
            <w:vAlign w:val="center"/>
          </w:tcPr>
          <w:p w:rsidR="00DC4FFD" w:rsidRDefault="00DC4FFD" w:rsidP="00BE0839">
            <w:pPr>
              <w:pStyle w:val="Tabletext"/>
            </w:pPr>
            <w:r>
              <w:t>Per 15 minutes</w:t>
            </w:r>
            <w:r>
              <w:br/>
            </w:r>
            <w:r>
              <w:rPr>
                <w:rFonts w:cs="Arial"/>
                <w:sz w:val="18"/>
                <w:szCs w:val="18"/>
              </w:rPr>
              <w:t>(or part thereof)</w:t>
            </w:r>
          </w:p>
        </w:tc>
        <w:tc>
          <w:tcPr>
            <w:tcW w:w="1418" w:type="dxa"/>
            <w:vAlign w:val="center"/>
          </w:tcPr>
          <w:p w:rsidR="00DC4FFD" w:rsidRDefault="00DC4FFD" w:rsidP="00BE0839">
            <w:pPr>
              <w:pStyle w:val="Tabletext"/>
            </w:pPr>
            <w:r>
              <w:t>-</w:t>
            </w:r>
          </w:p>
        </w:tc>
        <w:tc>
          <w:tcPr>
            <w:tcW w:w="1559" w:type="dxa"/>
            <w:vAlign w:val="center"/>
          </w:tcPr>
          <w:p w:rsidR="00DC4FFD" w:rsidRDefault="00DC4FFD" w:rsidP="00BE0839">
            <w:pPr>
              <w:pStyle w:val="Tabletext"/>
            </w:pPr>
            <w:r>
              <w:t>-</w:t>
            </w:r>
          </w:p>
        </w:tc>
      </w:tr>
      <w:tr w:rsidR="00DC4FFD">
        <w:trPr>
          <w:trHeight w:val="680"/>
        </w:trPr>
        <w:tc>
          <w:tcPr>
            <w:tcW w:w="3227" w:type="dxa"/>
            <w:shd w:val="clear" w:color="auto" w:fill="DBE5F1"/>
            <w:vAlign w:val="center"/>
          </w:tcPr>
          <w:p w:rsidR="00DC4FFD" w:rsidRPr="00BE0839" w:rsidRDefault="00DC4FFD" w:rsidP="00BE0839">
            <w:pPr>
              <w:pStyle w:val="Tabletext"/>
              <w:rPr>
                <w:rStyle w:val="Strong"/>
              </w:rPr>
            </w:pPr>
            <w:r w:rsidRPr="00BE0839">
              <w:rPr>
                <w:rStyle w:val="Strong"/>
              </w:rPr>
              <w:t>Documentation fees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trHeight w:val="680"/>
        </w:trPr>
        <w:tc>
          <w:tcPr>
            <w:tcW w:w="3227" w:type="dxa"/>
            <w:vAlign w:val="center"/>
          </w:tcPr>
          <w:p w:rsidR="00DC4FFD" w:rsidRDefault="00DC4FFD" w:rsidP="00BE0839">
            <w:pPr>
              <w:pStyle w:val="Tabletext"/>
            </w:pPr>
            <w:r>
              <w:t>Document</w:t>
            </w:r>
            <w:r>
              <w:noBreakHyphen/>
              <w:t>Electronic</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$12</w:t>
            </w:r>
          </w:p>
        </w:tc>
        <w:tc>
          <w:tcPr>
            <w:tcW w:w="1559" w:type="dxa"/>
            <w:vAlign w:val="center"/>
          </w:tcPr>
          <w:p w:rsidR="00DC4FFD" w:rsidRDefault="00DC4FFD" w:rsidP="00BE0839">
            <w:pPr>
              <w:pStyle w:val="Tabletext"/>
            </w:pPr>
            <w:r>
              <w:t>Per document</w:t>
            </w:r>
          </w:p>
        </w:tc>
        <w:tc>
          <w:tcPr>
            <w:tcW w:w="1418" w:type="dxa"/>
            <w:vAlign w:val="center"/>
          </w:tcPr>
          <w:p w:rsidR="00DC4FFD" w:rsidRDefault="00DC4FFD" w:rsidP="00BE0839">
            <w:pPr>
              <w:pStyle w:val="Tabletext"/>
            </w:pPr>
            <w:r>
              <w:t>64 351</w:t>
            </w:r>
          </w:p>
        </w:tc>
        <w:tc>
          <w:tcPr>
            <w:tcW w:w="1559" w:type="dxa"/>
            <w:vAlign w:val="center"/>
          </w:tcPr>
          <w:p w:rsidR="00DC4FFD" w:rsidRDefault="00DC4FFD" w:rsidP="00BE0839">
            <w:pPr>
              <w:pStyle w:val="Tabletext"/>
            </w:pPr>
            <w:r>
              <w:t>$772 212</w:t>
            </w:r>
          </w:p>
        </w:tc>
      </w:tr>
      <w:tr w:rsidR="00DC4FFD">
        <w:trPr>
          <w:trHeight w:val="680"/>
        </w:trPr>
        <w:tc>
          <w:tcPr>
            <w:tcW w:w="3227" w:type="dxa"/>
            <w:tcBorders>
              <w:bottom w:val="single" w:sz="4" w:space="0" w:color="000000"/>
            </w:tcBorders>
            <w:vAlign w:val="center"/>
          </w:tcPr>
          <w:p w:rsidR="00DC4FFD" w:rsidRDefault="00DC4FFD" w:rsidP="00BE0839">
            <w:pPr>
              <w:pStyle w:val="Tabletext"/>
            </w:pPr>
            <w:r>
              <w:t>Document</w:t>
            </w:r>
            <w:r>
              <w:noBreakHyphen/>
              <w:t>Manual</w:t>
            </w:r>
          </w:p>
        </w:tc>
        <w:tc>
          <w:tcPr>
            <w:tcW w:w="992" w:type="dxa"/>
            <w:tcBorders>
              <w:bottom w:val="single" w:sz="4" w:space="0" w:color="000000"/>
            </w:tcBorders>
            <w:vAlign w:val="center"/>
          </w:tcPr>
          <w:p w:rsidR="00DC4FFD" w:rsidRDefault="00DC4FFD" w:rsidP="00BE0839">
            <w:pPr>
              <w:pStyle w:val="Tabletext"/>
            </w:pPr>
            <w:r>
              <w:t>Fee</w:t>
            </w:r>
          </w:p>
        </w:tc>
        <w:tc>
          <w:tcPr>
            <w:tcW w:w="1134" w:type="dxa"/>
            <w:tcBorders>
              <w:bottom w:val="single" w:sz="4" w:space="0" w:color="000000"/>
            </w:tcBorders>
            <w:vAlign w:val="center"/>
          </w:tcPr>
          <w:p w:rsidR="00DC4FFD" w:rsidRDefault="00DC4FFD" w:rsidP="00BE0839">
            <w:pPr>
              <w:pStyle w:val="Tabletext"/>
            </w:pPr>
            <w:r>
              <w:t>$100</w:t>
            </w:r>
          </w:p>
        </w:tc>
        <w:tc>
          <w:tcPr>
            <w:tcW w:w="1559" w:type="dxa"/>
            <w:tcBorders>
              <w:bottom w:val="single" w:sz="4" w:space="0" w:color="000000"/>
            </w:tcBorders>
            <w:vAlign w:val="center"/>
          </w:tcPr>
          <w:p w:rsidR="00DC4FFD" w:rsidRDefault="00DC4FFD" w:rsidP="00BE0839">
            <w:pPr>
              <w:pStyle w:val="Tabletext"/>
            </w:pPr>
            <w:r>
              <w:t>Per document</w:t>
            </w:r>
          </w:p>
        </w:tc>
        <w:tc>
          <w:tcPr>
            <w:tcW w:w="1418" w:type="dxa"/>
            <w:tcBorders>
              <w:bottom w:val="single" w:sz="4" w:space="0" w:color="000000"/>
            </w:tcBorders>
            <w:vAlign w:val="center"/>
          </w:tcPr>
          <w:p w:rsidR="00DC4FFD" w:rsidRDefault="00DC4FFD" w:rsidP="00BE0839">
            <w:pPr>
              <w:pStyle w:val="Tabletext"/>
            </w:pPr>
            <w:r>
              <w:t>-</w:t>
            </w:r>
          </w:p>
        </w:tc>
        <w:tc>
          <w:tcPr>
            <w:tcW w:w="1559" w:type="dxa"/>
            <w:tcBorders>
              <w:bottom w:val="single" w:sz="4" w:space="0" w:color="000000"/>
            </w:tcBorders>
            <w:vAlign w:val="center"/>
          </w:tcPr>
          <w:p w:rsidR="00DC4FFD" w:rsidRDefault="00DC4FFD" w:rsidP="00BE0839">
            <w:pPr>
              <w:pStyle w:val="Tabletext"/>
            </w:pPr>
            <w:r>
              <w:t>-</w:t>
            </w:r>
          </w:p>
        </w:tc>
      </w:tr>
      <w:tr w:rsidR="00DC4FFD">
        <w:trPr>
          <w:trHeight w:val="680"/>
        </w:trPr>
        <w:tc>
          <w:tcPr>
            <w:tcW w:w="3227" w:type="dxa"/>
            <w:vAlign w:val="center"/>
          </w:tcPr>
          <w:p w:rsidR="00DC4FFD" w:rsidRDefault="00DC4FFD" w:rsidP="00BE0839">
            <w:pPr>
              <w:pStyle w:val="Tabletext"/>
            </w:pPr>
            <w:r>
              <w:t>Replacement certificate</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$500</w:t>
            </w:r>
          </w:p>
        </w:tc>
        <w:tc>
          <w:tcPr>
            <w:tcW w:w="1559" w:type="dxa"/>
            <w:vAlign w:val="center"/>
          </w:tcPr>
          <w:p w:rsidR="00DC4FFD" w:rsidRDefault="00DC4FFD" w:rsidP="00BE0839">
            <w:pPr>
              <w:pStyle w:val="Tabletext"/>
            </w:pPr>
            <w:r>
              <w:t>Per document</w:t>
            </w:r>
          </w:p>
        </w:tc>
        <w:tc>
          <w:tcPr>
            <w:tcW w:w="1418" w:type="dxa"/>
            <w:vAlign w:val="center"/>
          </w:tcPr>
          <w:p w:rsidR="00DC4FFD" w:rsidRDefault="00DC4FFD" w:rsidP="00BE0839">
            <w:pPr>
              <w:pStyle w:val="Tabletext"/>
            </w:pPr>
            <w:r>
              <w:t>-</w:t>
            </w:r>
          </w:p>
        </w:tc>
        <w:tc>
          <w:tcPr>
            <w:tcW w:w="1559" w:type="dxa"/>
            <w:vAlign w:val="center"/>
          </w:tcPr>
          <w:p w:rsidR="00DC4FFD" w:rsidRDefault="00DC4FFD" w:rsidP="00BE0839">
            <w:pPr>
              <w:pStyle w:val="Tabletext"/>
            </w:pPr>
            <w:r>
              <w:t>-</w:t>
            </w:r>
          </w:p>
        </w:tc>
      </w:tr>
      <w:tr w:rsidR="00DC4FFD">
        <w:trPr>
          <w:trHeight w:val="680"/>
        </w:trPr>
        <w:tc>
          <w:tcPr>
            <w:tcW w:w="3227" w:type="dxa"/>
            <w:shd w:val="clear" w:color="auto" w:fill="DBE5F1"/>
            <w:vAlign w:val="center"/>
          </w:tcPr>
          <w:p w:rsidR="00DC4FFD" w:rsidRPr="00BE0839" w:rsidRDefault="00DC4FFD" w:rsidP="002E338A">
            <w:pPr>
              <w:pStyle w:val="Tabletext"/>
              <w:keepNext/>
              <w:rPr>
                <w:rStyle w:val="Strong"/>
              </w:rPr>
            </w:pPr>
            <w:r w:rsidRPr="00BE0839">
              <w:rPr>
                <w:rStyle w:val="Strong"/>
              </w:rPr>
              <w:t>Approved Authorised Officer (AAO) fees</w:t>
            </w:r>
          </w:p>
        </w:tc>
        <w:tc>
          <w:tcPr>
            <w:tcW w:w="992" w:type="dxa"/>
            <w:shd w:val="clear" w:color="auto" w:fill="DBE5F1"/>
            <w:vAlign w:val="center"/>
          </w:tcPr>
          <w:p w:rsidR="00DC4FFD" w:rsidRPr="00BE0839" w:rsidRDefault="00DC4FFD" w:rsidP="00BE0839">
            <w:pPr>
              <w:pStyle w:val="Tabletext"/>
              <w:rPr>
                <w:rStyle w:val="Strong"/>
              </w:rPr>
            </w:pPr>
            <w:r w:rsidRPr="00BE0839">
              <w:rPr>
                <w:rStyle w:val="Strong"/>
              </w:rPr>
              <w:t>Type</w:t>
            </w:r>
          </w:p>
        </w:tc>
        <w:tc>
          <w:tcPr>
            <w:tcW w:w="1134" w:type="dxa"/>
            <w:shd w:val="clear" w:color="auto" w:fill="DBE5F1"/>
            <w:vAlign w:val="center"/>
          </w:tcPr>
          <w:p w:rsidR="00DC4FFD" w:rsidRPr="00BE0839" w:rsidRDefault="00DC4FFD" w:rsidP="00BE0839">
            <w:pPr>
              <w:pStyle w:val="Tabletext"/>
              <w:rPr>
                <w:rStyle w:val="Strong"/>
              </w:rPr>
            </w:pPr>
            <w:r w:rsidRPr="00BE0839">
              <w:rPr>
                <w:rStyle w:val="Strong"/>
              </w:rPr>
              <w:t>Rate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Unit</w:t>
            </w:r>
          </w:p>
        </w:tc>
        <w:tc>
          <w:tcPr>
            <w:tcW w:w="1418" w:type="dxa"/>
            <w:shd w:val="clear" w:color="auto" w:fill="DBE5F1"/>
            <w:vAlign w:val="center"/>
          </w:tcPr>
          <w:p w:rsidR="00DC4FFD" w:rsidRPr="00BE0839" w:rsidRDefault="00DC4FFD" w:rsidP="00BE0839">
            <w:pPr>
              <w:pStyle w:val="Tabletext"/>
              <w:rPr>
                <w:rStyle w:val="Strong"/>
              </w:rPr>
            </w:pPr>
            <w:r w:rsidRPr="00BE0839">
              <w:rPr>
                <w:rStyle w:val="Strong"/>
              </w:rPr>
              <w:t>Estimated volume</w:t>
            </w:r>
          </w:p>
        </w:tc>
        <w:tc>
          <w:tcPr>
            <w:tcW w:w="1559" w:type="dxa"/>
            <w:shd w:val="clear" w:color="auto" w:fill="DBE5F1"/>
            <w:vAlign w:val="center"/>
          </w:tcPr>
          <w:p w:rsidR="00DC4FFD" w:rsidRPr="00BE0839" w:rsidRDefault="00DC4FFD" w:rsidP="00BE0839">
            <w:pPr>
              <w:pStyle w:val="Tabletext"/>
              <w:rPr>
                <w:rStyle w:val="Strong"/>
              </w:rPr>
            </w:pPr>
            <w:r w:rsidRPr="00BE0839">
              <w:rPr>
                <w:rStyle w:val="Strong"/>
              </w:rPr>
              <w:t>Estimated total revenue</w:t>
            </w:r>
          </w:p>
        </w:tc>
      </w:tr>
      <w:tr w:rsidR="00DC4FFD">
        <w:trPr>
          <w:trHeight w:val="680"/>
        </w:trPr>
        <w:tc>
          <w:tcPr>
            <w:tcW w:w="3227" w:type="dxa"/>
            <w:vAlign w:val="center"/>
          </w:tcPr>
          <w:p w:rsidR="00DC4FFD" w:rsidRDefault="00DC4FFD" w:rsidP="00BE0839">
            <w:pPr>
              <w:pStyle w:val="Tabletext"/>
            </w:pPr>
            <w:r>
              <w:t>AAO Application Fee</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$250</w:t>
            </w:r>
          </w:p>
        </w:tc>
        <w:tc>
          <w:tcPr>
            <w:tcW w:w="1559" w:type="dxa"/>
            <w:vAlign w:val="center"/>
          </w:tcPr>
          <w:p w:rsidR="00DC4FFD" w:rsidRDefault="00DC4FFD" w:rsidP="00BE0839">
            <w:pPr>
              <w:pStyle w:val="Tabletext"/>
            </w:pPr>
            <w:r>
              <w:t>per AO application</w:t>
            </w:r>
          </w:p>
        </w:tc>
        <w:tc>
          <w:tcPr>
            <w:tcW w:w="1418" w:type="dxa"/>
            <w:vAlign w:val="center"/>
          </w:tcPr>
          <w:p w:rsidR="00DC4FFD" w:rsidRDefault="00DC4FFD" w:rsidP="00BE0839">
            <w:pPr>
              <w:pStyle w:val="Tabletext"/>
            </w:pPr>
            <w:r>
              <w:t>91</w:t>
            </w:r>
          </w:p>
        </w:tc>
        <w:tc>
          <w:tcPr>
            <w:tcW w:w="1559" w:type="dxa"/>
            <w:vAlign w:val="center"/>
          </w:tcPr>
          <w:p w:rsidR="00DC4FFD" w:rsidRDefault="00DC4FFD" w:rsidP="00BE0839">
            <w:pPr>
              <w:pStyle w:val="Tabletext"/>
            </w:pPr>
            <w:r>
              <w:t>$22 750</w:t>
            </w:r>
          </w:p>
        </w:tc>
      </w:tr>
      <w:tr w:rsidR="00DC4FFD">
        <w:trPr>
          <w:trHeight w:val="680"/>
        </w:trPr>
        <w:tc>
          <w:tcPr>
            <w:tcW w:w="3227" w:type="dxa"/>
            <w:vAlign w:val="center"/>
          </w:tcPr>
          <w:p w:rsidR="00DC4FFD" w:rsidRDefault="00DC4FFD" w:rsidP="00BE0839">
            <w:pPr>
              <w:pStyle w:val="Tabletext"/>
            </w:pPr>
            <w:r>
              <w:t>AAO Learning and Assessment</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$1 750</w:t>
            </w:r>
          </w:p>
        </w:tc>
        <w:tc>
          <w:tcPr>
            <w:tcW w:w="1559" w:type="dxa"/>
            <w:vAlign w:val="center"/>
          </w:tcPr>
          <w:p w:rsidR="00DC4FFD" w:rsidRDefault="00DC4FFD" w:rsidP="00BE0839">
            <w:pPr>
              <w:pStyle w:val="Tabletext"/>
            </w:pPr>
            <w:r>
              <w:t>per person delivered training</w:t>
            </w:r>
          </w:p>
        </w:tc>
        <w:tc>
          <w:tcPr>
            <w:tcW w:w="1418" w:type="dxa"/>
            <w:vAlign w:val="center"/>
          </w:tcPr>
          <w:p w:rsidR="00DC4FFD" w:rsidRDefault="00DC4FFD" w:rsidP="00BE0839">
            <w:pPr>
              <w:pStyle w:val="Tabletext"/>
            </w:pPr>
            <w:r>
              <w:t>342</w:t>
            </w:r>
          </w:p>
        </w:tc>
        <w:tc>
          <w:tcPr>
            <w:tcW w:w="1559" w:type="dxa"/>
            <w:vAlign w:val="center"/>
          </w:tcPr>
          <w:p w:rsidR="00DC4FFD" w:rsidRDefault="00DC4FFD" w:rsidP="00BE0839">
            <w:pPr>
              <w:pStyle w:val="Tabletext"/>
            </w:pPr>
            <w:r>
              <w:t>$598 500</w:t>
            </w:r>
          </w:p>
        </w:tc>
      </w:tr>
      <w:tr w:rsidR="00DC4FFD">
        <w:trPr>
          <w:trHeight w:val="680"/>
        </w:trPr>
        <w:tc>
          <w:tcPr>
            <w:tcW w:w="3227" w:type="dxa"/>
            <w:vAlign w:val="center"/>
          </w:tcPr>
          <w:p w:rsidR="00DC4FFD" w:rsidRDefault="00DC4FFD" w:rsidP="00BE0839">
            <w:pPr>
              <w:pStyle w:val="Tabletext"/>
            </w:pPr>
            <w:r>
              <w:t>Additional AAO Learning and Assessment</w:t>
            </w:r>
          </w:p>
        </w:tc>
        <w:tc>
          <w:tcPr>
            <w:tcW w:w="992" w:type="dxa"/>
            <w:vAlign w:val="center"/>
          </w:tcPr>
          <w:p w:rsidR="00DC4FFD" w:rsidRDefault="00DC4FFD" w:rsidP="00BE0839">
            <w:pPr>
              <w:pStyle w:val="Tabletext"/>
            </w:pPr>
            <w:r>
              <w:t>Fee</w:t>
            </w:r>
          </w:p>
        </w:tc>
        <w:tc>
          <w:tcPr>
            <w:tcW w:w="1134" w:type="dxa"/>
            <w:vAlign w:val="center"/>
          </w:tcPr>
          <w:p w:rsidR="00DC4FFD" w:rsidRDefault="00DC4FFD" w:rsidP="00BE0839">
            <w:pPr>
              <w:pStyle w:val="Tabletext"/>
            </w:pPr>
            <w:r>
              <w:t>$2 000</w:t>
            </w:r>
          </w:p>
        </w:tc>
        <w:tc>
          <w:tcPr>
            <w:tcW w:w="1559" w:type="dxa"/>
            <w:vAlign w:val="center"/>
          </w:tcPr>
          <w:p w:rsidR="00DC4FFD" w:rsidRDefault="00DC4FFD" w:rsidP="00BE0839">
            <w:pPr>
              <w:pStyle w:val="Tabletext"/>
            </w:pPr>
            <w:r>
              <w:t>per person delivered additional training</w:t>
            </w:r>
          </w:p>
        </w:tc>
        <w:tc>
          <w:tcPr>
            <w:tcW w:w="1418" w:type="dxa"/>
            <w:vAlign w:val="center"/>
          </w:tcPr>
          <w:p w:rsidR="00DC4FFD" w:rsidRDefault="00DC4FFD" w:rsidP="00BE0839">
            <w:pPr>
              <w:pStyle w:val="Tabletext"/>
            </w:pPr>
            <w:r>
              <w:t>69</w:t>
            </w:r>
          </w:p>
        </w:tc>
        <w:tc>
          <w:tcPr>
            <w:tcW w:w="1559" w:type="dxa"/>
            <w:vAlign w:val="center"/>
          </w:tcPr>
          <w:p w:rsidR="00DC4FFD" w:rsidRDefault="00DC4FFD" w:rsidP="00BE0839">
            <w:pPr>
              <w:pStyle w:val="Tabletext"/>
            </w:pPr>
            <w:r>
              <w:t>$138 000</w:t>
            </w:r>
          </w:p>
        </w:tc>
      </w:tr>
      <w:tr w:rsidR="00DC4FFD">
        <w:trPr>
          <w:trHeight w:val="680"/>
        </w:trPr>
        <w:tc>
          <w:tcPr>
            <w:tcW w:w="3227" w:type="dxa"/>
            <w:tcBorders>
              <w:bottom w:val="single" w:sz="4" w:space="0" w:color="000000"/>
            </w:tcBorders>
            <w:vAlign w:val="center"/>
          </w:tcPr>
          <w:p w:rsidR="00DC4FFD" w:rsidRDefault="00DC4FFD" w:rsidP="00BE0839">
            <w:pPr>
              <w:pStyle w:val="Tabletext"/>
            </w:pPr>
            <w:r>
              <w:t>AAO Approval</w:t>
            </w:r>
          </w:p>
        </w:tc>
        <w:tc>
          <w:tcPr>
            <w:tcW w:w="992" w:type="dxa"/>
            <w:tcBorders>
              <w:bottom w:val="single" w:sz="4" w:space="0" w:color="000000"/>
            </w:tcBorders>
            <w:vAlign w:val="center"/>
          </w:tcPr>
          <w:p w:rsidR="00DC4FFD" w:rsidRDefault="00DC4FFD" w:rsidP="00BE0839">
            <w:pPr>
              <w:pStyle w:val="Tabletext"/>
            </w:pPr>
            <w:r>
              <w:t>Fee</w:t>
            </w:r>
          </w:p>
        </w:tc>
        <w:tc>
          <w:tcPr>
            <w:tcW w:w="1134" w:type="dxa"/>
            <w:tcBorders>
              <w:bottom w:val="single" w:sz="4" w:space="0" w:color="000000"/>
            </w:tcBorders>
            <w:vAlign w:val="center"/>
          </w:tcPr>
          <w:p w:rsidR="00DC4FFD" w:rsidRDefault="00DC4FFD" w:rsidP="00BE0839">
            <w:pPr>
              <w:pStyle w:val="Tabletext"/>
            </w:pPr>
            <w:r>
              <w:t>$250</w:t>
            </w:r>
          </w:p>
        </w:tc>
        <w:tc>
          <w:tcPr>
            <w:tcW w:w="1559" w:type="dxa"/>
            <w:tcBorders>
              <w:bottom w:val="single" w:sz="4" w:space="0" w:color="000000"/>
            </w:tcBorders>
            <w:vAlign w:val="center"/>
          </w:tcPr>
          <w:p w:rsidR="00DC4FFD" w:rsidRDefault="00DC4FFD" w:rsidP="00BE0839">
            <w:pPr>
              <w:pStyle w:val="Tabletext"/>
            </w:pPr>
            <w:r>
              <w:t>per AO approval</w:t>
            </w:r>
          </w:p>
        </w:tc>
        <w:tc>
          <w:tcPr>
            <w:tcW w:w="1418" w:type="dxa"/>
            <w:tcBorders>
              <w:bottom w:val="single" w:sz="4" w:space="0" w:color="000000"/>
            </w:tcBorders>
            <w:vAlign w:val="center"/>
          </w:tcPr>
          <w:p w:rsidR="00DC4FFD" w:rsidRDefault="00DC4FFD" w:rsidP="00BE0839">
            <w:pPr>
              <w:pStyle w:val="Tabletext"/>
            </w:pPr>
            <w:r>
              <w:t>342</w:t>
            </w:r>
          </w:p>
        </w:tc>
        <w:tc>
          <w:tcPr>
            <w:tcW w:w="1559" w:type="dxa"/>
            <w:tcBorders>
              <w:bottom w:val="single" w:sz="4" w:space="0" w:color="000000"/>
            </w:tcBorders>
            <w:vAlign w:val="center"/>
          </w:tcPr>
          <w:p w:rsidR="00DC4FFD" w:rsidRDefault="00DC4FFD" w:rsidP="00BE0839">
            <w:pPr>
              <w:pStyle w:val="Tabletext"/>
            </w:pPr>
            <w:r>
              <w:t>$85 500</w:t>
            </w:r>
          </w:p>
        </w:tc>
      </w:tr>
    </w:tbl>
    <w:p w:rsidR="00DC4FFD" w:rsidRDefault="00DC4FFD" w:rsidP="00E71E7F">
      <w:pPr>
        <w:pStyle w:val="Heading2"/>
        <w:numPr>
          <w:ilvl w:val="0"/>
          <w:numId w:val="0"/>
        </w:numPr>
        <w:ind w:left="794" w:hanging="794"/>
      </w:pPr>
      <w:bookmarkStart w:id="101" w:name="_Toc433035572"/>
      <w:r>
        <w:lastRenderedPageBreak/>
        <w:t>Attachment C — Description of cost model activities</w:t>
      </w:r>
      <w:bookmarkEnd w:id="101"/>
      <w:r>
        <w:t xml:space="preserve"> </w:t>
      </w:r>
    </w:p>
    <w:bookmarkEnd w:id="4"/>
    <w:bookmarkEnd w:id="5"/>
    <w:bookmarkEnd w:id="6"/>
    <w:bookmarkEnd w:id="7"/>
    <w:p w:rsidR="00DC4FFD" w:rsidRDefault="00DC4FFD">
      <w:pPr>
        <w:keepNext/>
        <w:keepLines/>
      </w:pPr>
      <w:r>
        <w:t>The following provides details of the cost model activities undertaken in the plant export cost recovery arrangement.</w:t>
      </w:r>
    </w:p>
    <w:p w:rsidR="00DC4FFD" w:rsidRDefault="00DC4FFD" w:rsidP="00E71E7F">
      <w:pPr>
        <w:pStyle w:val="Heading3"/>
        <w:numPr>
          <w:ilvl w:val="0"/>
          <w:numId w:val="0"/>
        </w:numPr>
        <w:ind w:left="794" w:hanging="794"/>
      </w:pPr>
      <w:bookmarkStart w:id="102" w:name="_Toc433035573"/>
      <w:r>
        <w:t>Intervention activities</w:t>
      </w:r>
      <w:bookmarkEnd w:id="102"/>
    </w:p>
    <w:p w:rsidR="00DC4FFD" w:rsidRDefault="00DC4FFD">
      <w:pPr>
        <w:keepNext/>
        <w:keepLines/>
        <w:rPr>
          <w:szCs w:val="24"/>
        </w:rPr>
      </w:pPr>
      <w:r w:rsidRPr="00E71E7F">
        <w:rPr>
          <w:rStyle w:val="Strong"/>
        </w:rPr>
        <w:t>Assessment</w:t>
      </w:r>
      <w:r>
        <w:t>—</w:t>
      </w:r>
      <w:r>
        <w:rPr>
          <w:szCs w:val="24"/>
        </w:rPr>
        <w:t xml:space="preserve">involves assessing information to determine if it meets </w:t>
      </w:r>
      <w:r>
        <w:t>Australian standards and legislation, international conventions and importing country conditions</w:t>
      </w:r>
      <w:r>
        <w:rPr>
          <w:szCs w:val="24"/>
        </w:rPr>
        <w:t>. This includes all preparatory work (such as confirming importing country or export requirements) and post work (such as assessment report preparation) travel and client assistance in relation to the assessment. Examples include assessments of licenses, permits, registrations or accreditations.</w:t>
      </w:r>
    </w:p>
    <w:p w:rsidR="00DC4FFD" w:rsidRDefault="00DC4FFD" w:rsidP="00ED499C">
      <w:r w:rsidRPr="00E71E7F">
        <w:rPr>
          <w:rStyle w:val="Strong"/>
        </w:rPr>
        <w:t>Inspection</w:t>
      </w:r>
      <w:r>
        <w:t>—involves the physical examination and supervision of an export consignment of plants or plant products in order to determine compliance with Australian standards and legislation, international conventions and importing country conditions.</w:t>
      </w:r>
    </w:p>
    <w:p w:rsidR="00DC4FFD" w:rsidRDefault="00DC4FFD">
      <w:pPr>
        <w:keepNext/>
        <w:keepLines/>
      </w:pPr>
      <w:r w:rsidRPr="00E71E7F">
        <w:rPr>
          <w:rStyle w:val="Strong"/>
        </w:rPr>
        <w:t>Audit</w:t>
      </w:r>
      <w:r>
        <w:t>—</w:t>
      </w:r>
      <w:r>
        <w:rPr>
          <w:szCs w:val="24"/>
        </w:rPr>
        <w:t>includes the systematic and functionally independent examination of industry systems and processes to determine whether activities and related results comply with legislative or documented requirements. This includes all pre and post work, travel and client assistance in relation to the audit.</w:t>
      </w:r>
    </w:p>
    <w:p w:rsidR="00DC4FFD" w:rsidRDefault="00DC4FFD" w:rsidP="00E71E7F">
      <w:pPr>
        <w:pStyle w:val="Heading3"/>
        <w:numPr>
          <w:ilvl w:val="0"/>
          <w:numId w:val="0"/>
        </w:numPr>
        <w:ind w:left="794" w:hanging="794"/>
      </w:pPr>
      <w:bookmarkStart w:id="103" w:name="_Toc433035574"/>
      <w:r>
        <w:t>Incident management activities</w:t>
      </w:r>
      <w:bookmarkEnd w:id="103"/>
    </w:p>
    <w:p w:rsidR="00DC4FFD" w:rsidRDefault="00DC4FFD">
      <w:pPr>
        <w:keepNext/>
        <w:keepLines/>
      </w:pPr>
      <w:r w:rsidRPr="00E71E7F">
        <w:rPr>
          <w:rStyle w:val="Strong"/>
        </w:rPr>
        <w:lastRenderedPageBreak/>
        <w:t>Incident management</w:t>
      </w:r>
      <w:r>
        <w:t>—</w:t>
      </w:r>
      <w:proofErr w:type="gramStart"/>
      <w:r>
        <w:t>The</w:t>
      </w:r>
      <w:proofErr w:type="gramEnd"/>
      <w:r>
        <w:t xml:space="preserve"> </w:t>
      </w:r>
      <w:r>
        <w:rPr>
          <w:szCs w:val="24"/>
        </w:rPr>
        <w:t>coordination and management of any incident including post border detection and export incidents. This includes all associated pre and post work, travel and client assistance in relation to an incident.</w:t>
      </w:r>
    </w:p>
    <w:p w:rsidR="00DC4FFD" w:rsidRDefault="00DC4FFD">
      <w:pPr>
        <w:keepNext/>
        <w:keepLines/>
      </w:pPr>
      <w:r w:rsidRPr="00E71E7F">
        <w:rPr>
          <w:rStyle w:val="Strong"/>
        </w:rPr>
        <w:t>Corrective action</w:t>
      </w:r>
      <w:r>
        <w:t xml:space="preserve">—includes </w:t>
      </w:r>
      <w:r>
        <w:rPr>
          <w:szCs w:val="24"/>
        </w:rPr>
        <w:t xml:space="preserve">actions taken in response to non-compliance or contravention of legislation that </w:t>
      </w:r>
      <w:proofErr w:type="gramStart"/>
      <w:r>
        <w:rPr>
          <w:szCs w:val="24"/>
        </w:rPr>
        <w:t>is not required to be reported</w:t>
      </w:r>
      <w:proofErr w:type="gramEnd"/>
      <w:r>
        <w:rPr>
          <w:szCs w:val="24"/>
        </w:rPr>
        <w:t xml:space="preserve"> to enforcement officers. Corrective action activities includes all pre and post work, travel and client assistance in relation to the enforcement process.</w:t>
      </w:r>
    </w:p>
    <w:p w:rsidR="00DC4FFD" w:rsidRDefault="00DC4FFD" w:rsidP="00E71E7F">
      <w:pPr>
        <w:pStyle w:val="Heading3"/>
        <w:numPr>
          <w:ilvl w:val="0"/>
          <w:numId w:val="0"/>
        </w:numPr>
        <w:ind w:left="794" w:hanging="794"/>
      </w:pPr>
      <w:bookmarkStart w:id="104" w:name="_Toc433035575"/>
      <w:r>
        <w:t>Assurance activities</w:t>
      </w:r>
      <w:bookmarkEnd w:id="104"/>
    </w:p>
    <w:p w:rsidR="00DC4FFD" w:rsidRDefault="00DC4FFD">
      <w:pPr>
        <w:keepLines/>
      </w:pPr>
      <w:r w:rsidRPr="00E71E7F">
        <w:rPr>
          <w:rStyle w:val="Strong"/>
        </w:rPr>
        <w:t>Risk management</w:t>
      </w:r>
      <w:r>
        <w:t xml:space="preserve">—involves </w:t>
      </w:r>
      <w:r>
        <w:rPr>
          <w:szCs w:val="24"/>
        </w:rPr>
        <w:t>assessing and managing the risks posed to Australia’s ability to maintain market access. This includes communicating results of risk analysis, modelling and forecasting to operational areas and the collection, receipt and use of reliable compliance data to meet the department’s compliance objectives. This work also includes any associated travel and client assistance work.</w:t>
      </w:r>
    </w:p>
    <w:p w:rsidR="00DC4FFD" w:rsidRDefault="00DC4FFD">
      <w:r w:rsidRPr="00E71E7F">
        <w:rPr>
          <w:rStyle w:val="Strong"/>
        </w:rPr>
        <w:t>Verification</w:t>
      </w:r>
      <w:r>
        <w:t xml:space="preserve">—includes </w:t>
      </w:r>
      <w:r>
        <w:rPr>
          <w:szCs w:val="24"/>
        </w:rPr>
        <w:t>assurance activities to provide stakeholders and the departmental executive with confidence that departmental controls of its systems and processes are operating in accordance with their intended design and associated documentation. This includes assurance activities provided to trading partners.</w:t>
      </w:r>
    </w:p>
    <w:p w:rsidR="00DC4FFD" w:rsidRDefault="00DC4FFD" w:rsidP="00E71E7F">
      <w:pPr>
        <w:pStyle w:val="Heading3"/>
        <w:numPr>
          <w:ilvl w:val="0"/>
          <w:numId w:val="0"/>
        </w:numPr>
        <w:ind w:left="794" w:hanging="794"/>
      </w:pPr>
      <w:bookmarkStart w:id="105" w:name="_Toc433035576"/>
      <w:r>
        <w:t>Programme management and administration activities</w:t>
      </w:r>
      <w:bookmarkEnd w:id="105"/>
    </w:p>
    <w:p w:rsidR="00DC4FFD" w:rsidRDefault="00DC4FFD">
      <w:pPr>
        <w:keepNext/>
        <w:rPr>
          <w:szCs w:val="24"/>
        </w:rPr>
      </w:pPr>
      <w:r>
        <w:rPr>
          <w:b/>
        </w:rPr>
        <w:t>Workforce and business management</w:t>
      </w:r>
      <w:r>
        <w:t>—</w:t>
      </w:r>
      <w:r>
        <w:rPr>
          <w:szCs w:val="24"/>
        </w:rPr>
        <w:t>this activity has four categories:</w:t>
      </w:r>
    </w:p>
    <w:p w:rsidR="00DC4FFD" w:rsidRDefault="00DC4FFD" w:rsidP="00781323">
      <w:pPr>
        <w:pStyle w:val="ListBullet"/>
      </w:pPr>
      <w:r w:rsidRPr="00CB513A">
        <w:rPr>
          <w:rStyle w:val="Emphasis"/>
        </w:rPr>
        <w:t>Workforce management</w:t>
      </w:r>
      <w:r>
        <w:t xml:space="preserve"> activities include staff supervision, allocating workforce resources, managing employee performance, leave, training and other conditions, managing Work, Health and Safety requirements, recruitment and termination.</w:t>
      </w:r>
    </w:p>
    <w:p w:rsidR="00DC4FFD" w:rsidRDefault="00DC4FFD" w:rsidP="00781323">
      <w:pPr>
        <w:pStyle w:val="ListBullet"/>
      </w:pPr>
      <w:r w:rsidRPr="00CB513A">
        <w:rPr>
          <w:rStyle w:val="Emphasis"/>
        </w:rPr>
        <w:lastRenderedPageBreak/>
        <w:t>Business management</w:t>
      </w:r>
      <w:r>
        <w:t xml:space="preserve"> activities include business planning and continuity; requesting legal advice; procurement and contracts; programme and project administration, assurance, design and management; management of fixtures, facilities, equipment, supplies and logistics.</w:t>
      </w:r>
    </w:p>
    <w:p w:rsidR="00DC4FFD" w:rsidRDefault="00DC4FFD" w:rsidP="00781323">
      <w:pPr>
        <w:pStyle w:val="ListBullet"/>
      </w:pPr>
      <w:r w:rsidRPr="00CB513A">
        <w:rPr>
          <w:rStyle w:val="Emphasis"/>
        </w:rPr>
        <w:t>Financial management</w:t>
      </w:r>
      <w:r>
        <w:t xml:space="preserve"> activities include billing and accounting, budgeting, charges and payments, collections and receivables, debt management, financial accounts, reporting and policy development.</w:t>
      </w:r>
    </w:p>
    <w:p w:rsidR="00DC4FFD" w:rsidRDefault="00DC4FFD" w:rsidP="00781323">
      <w:pPr>
        <w:pStyle w:val="ListBullet"/>
      </w:pPr>
      <w:r w:rsidRPr="00CB513A">
        <w:rPr>
          <w:rStyle w:val="Emphasis"/>
        </w:rPr>
        <w:t>Information management</w:t>
      </w:r>
      <w:r>
        <w:t xml:space="preserve"> activities include data management, information and records management, and information sharing and collaboration.</w:t>
      </w:r>
    </w:p>
    <w:p w:rsidR="00DC4FFD" w:rsidRDefault="00DC4FFD">
      <w:pPr>
        <w:keepNext/>
        <w:keepLines/>
      </w:pPr>
      <w:r w:rsidRPr="00E71E7F">
        <w:rPr>
          <w:rStyle w:val="Strong"/>
        </w:rPr>
        <w:t>Business systems administration</w:t>
      </w:r>
      <w:r>
        <w:t xml:space="preserve">—includes </w:t>
      </w:r>
      <w:r>
        <w:rPr>
          <w:szCs w:val="24"/>
        </w:rPr>
        <w:t>developing, acquiring, testing, implementing and supporting applications and business systems. It encompasses technical support and maintenance of all business systems including information and communications technology.</w:t>
      </w:r>
    </w:p>
    <w:p w:rsidR="00DC4FFD" w:rsidRDefault="00DC4FFD">
      <w:pPr>
        <w:keepNext/>
        <w:keepLines/>
      </w:pPr>
      <w:r w:rsidRPr="00E71E7F">
        <w:rPr>
          <w:rStyle w:val="Strong"/>
        </w:rPr>
        <w:t>Stakeholder engagement</w:t>
      </w:r>
      <w:r>
        <w:t xml:space="preserve">—involves </w:t>
      </w:r>
      <w:r>
        <w:rPr>
          <w:szCs w:val="24"/>
        </w:rPr>
        <w:t>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rsidR="00DC4FFD" w:rsidRDefault="00DC4FFD">
      <w:pPr>
        <w:keepNext/>
        <w:keepLines/>
        <w:rPr>
          <w:szCs w:val="24"/>
        </w:rPr>
      </w:pPr>
      <w:r w:rsidRPr="00E71E7F">
        <w:rPr>
          <w:rStyle w:val="Strong"/>
        </w:rPr>
        <w:t>Policy and instructional material</w:t>
      </w:r>
      <w:r>
        <w:t>—</w:t>
      </w:r>
      <w:r>
        <w:rPr>
          <w:bCs/>
          <w:szCs w:val="24"/>
        </w:rPr>
        <w:t>includes developing, maintaining and communicating the department’s policy and instructional material, such as operational and corporate policies, scientific advice, departmental guidelines and work instructions, and associated training development and delivery.</w:t>
      </w:r>
      <w:r>
        <w:rPr>
          <w:szCs w:val="24"/>
        </w:rPr>
        <w:t xml:space="preserve"> Examples include responding to changes in importing country requirements developing or revising policy processes and instructional material.</w:t>
      </w:r>
    </w:p>
    <w:p w:rsidR="00DC4FFD" w:rsidRDefault="00DC4FFD">
      <w:pPr>
        <w:keepNext/>
        <w:keepLines/>
      </w:pPr>
      <w:r w:rsidRPr="00E71E7F">
        <w:rPr>
          <w:rStyle w:val="Strong"/>
        </w:rPr>
        <w:t>Business improvement</w:t>
      </w:r>
      <w:r>
        <w:t xml:space="preserve">—includes </w:t>
      </w:r>
      <w:r>
        <w:rPr>
          <w:szCs w:val="24"/>
        </w:rPr>
        <w:t>assessment, monitoring and development of initiatives to improve performance.</w:t>
      </w:r>
      <w:r>
        <w:t xml:space="preserve"> </w:t>
      </w:r>
      <w:r>
        <w:rPr>
          <w:szCs w:val="24"/>
        </w:rPr>
        <w:t>Examples include adjustments to improve programme and service delivery, business performance reports against KPIs and similar activities.</w:t>
      </w:r>
    </w:p>
    <w:sectPr w:rsidR="00DC4FFD" w:rsidSect="006D3297">
      <w:headerReference w:type="default" r:id="rId37"/>
      <w:footerReference w:type="default" r:id="rId38"/>
      <w:headerReference w:type="first" r:id="rId39"/>
      <w:pgSz w:w="11906" w:h="16838"/>
      <w:pgMar w:top="1276" w:right="1418" w:bottom="1276" w:left="1418" w:header="425" w:footer="425"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398" w:rsidRDefault="001B5398">
      <w:r>
        <w:separator/>
      </w:r>
    </w:p>
  </w:endnote>
  <w:endnote w:type="continuationSeparator" w:id="0">
    <w:p w:rsidR="001B5398" w:rsidRDefault="001B53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rsidP="006D3297">
    <w:pPr>
      <w:pStyle w:val="Classification"/>
    </w:pPr>
    <w:r>
      <w:fldChar w:fldCharType="begin"/>
    </w:r>
    <w:r>
      <w:instrText xml:space="preserve"> DOCPROPERTY DLM \* MERGEFORMAT </w:instrText>
    </w:r>
    <w:r>
      <w:fldChar w:fldCharType="end"/>
    </w:r>
    <w:r>
      <w:fldChar w:fldCharType="begin"/>
    </w:r>
    <w:r>
      <w:instrText xml:space="preserve"> DOCPROPERTY Spacer \* MERGEFORMAT </w:instrText>
    </w:r>
    <w:r>
      <w:fldChar w:fldCharType="end"/>
    </w:r>
    <w:r>
      <w:fldChar w:fldCharType="begin"/>
    </w:r>
    <w:r>
      <w:instrText xml:space="preserve"> DOCPROPERTY SecurityClassification \* MERGEFORMAT </w:instrTex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245694"/>
      <w:docPartObj>
        <w:docPartGallery w:val="Page Numbers (Bottom of Page)"/>
        <w:docPartUnique/>
      </w:docPartObj>
    </w:sdtPr>
    <w:sdtEndPr>
      <w:rPr>
        <w:noProof/>
      </w:rPr>
    </w:sdtEndPr>
    <w:sdtContent>
      <w:p w:rsidR="001B5398" w:rsidRPr="006D3297" w:rsidRDefault="001B5398" w:rsidP="001B3F49">
        <w:pPr>
          <w:pStyle w:val="Footer"/>
        </w:pPr>
        <w:r>
          <w:rPr>
            <w:lang w:val="en-AU"/>
          </w:rPr>
          <w:t>Department of Agriculture and Water Resources</w:t>
        </w:r>
        <w:r>
          <w:rPr>
            <w:lang w:val="en-AU"/>
          </w:rPr>
          <w:tab/>
        </w:r>
        <w:r>
          <w:fldChar w:fldCharType="begin"/>
        </w:r>
        <w:r>
          <w:instrText xml:space="preserve"> PAGE   \* MERGEFORMAT </w:instrText>
        </w:r>
        <w:r>
          <w:fldChar w:fldCharType="separate"/>
        </w:r>
        <w:r w:rsidR="0058767D">
          <w:rPr>
            <w:noProof/>
          </w:rPr>
          <w:t>iv</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rsidP="006D3297">
    <w:pPr>
      <w:pStyle w:val="Footer"/>
    </w:pPr>
    <w:r>
      <w:fldChar w:fldCharType="begin"/>
    </w:r>
    <w:r>
      <w:instrText xml:space="preserve"> DOCPROPERTY Sensitivity \* MERGEFORMAT </w:instrText>
    </w:r>
    <w:r>
      <w:fldChar w:fldCharType="end"/>
    </w:r>
    <w:r>
      <w:fldChar w:fldCharType="begin"/>
    </w:r>
    <w:r>
      <w:instrText xml:space="preserve"> DOCPROPERTY Legislation \* MERGEFORMAT </w:instrText>
    </w:r>
    <w:r>
      <w:fldChar w:fldCharType="end"/>
    </w:r>
    <w:r>
      <w:fldChar w:fldCharType="begin"/>
    </w:r>
    <w:r>
      <w:instrText xml:space="preserve"> DOCPROPERTY DLM \* MERGEFORMAT </w:instrText>
    </w:r>
    <w:r>
      <w:fldChar w:fldCharType="end"/>
    </w:r>
    <w:r>
      <w:fldChar w:fldCharType="begin"/>
    </w:r>
    <w:r>
      <w:instrText xml:space="preserve"> DOCPROPERTY Spacer \* MERGEFORMAT </w:instrText>
    </w:r>
    <w:r>
      <w:fldChar w:fldCharType="end"/>
    </w:r>
    <w:r>
      <w:fldChar w:fldCharType="begin"/>
    </w:r>
    <w:r>
      <w:instrText xml:space="preserve"> DOCPROPERTY SecurityClassification \* MERGEFORMAT </w:instrTex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20"/>
        <w:szCs w:val="20"/>
        <w:lang w:val="x-none"/>
      </w:rPr>
      <w:id w:val="2038299114"/>
      <w:docPartObj>
        <w:docPartGallery w:val="Page Numbers (Bottom of Page)"/>
        <w:docPartUnique/>
      </w:docPartObj>
    </w:sdtPr>
    <w:sdtEndPr/>
    <w:sdtContent>
      <w:p w:rsidR="001B5398" w:rsidRPr="006D3297" w:rsidRDefault="001B5398" w:rsidP="006D3297">
        <w:pPr>
          <w:tabs>
            <w:tab w:val="right" w:pos="9026"/>
          </w:tabs>
          <w:rPr>
            <w:sz w:val="20"/>
            <w:szCs w:val="20"/>
            <w:lang w:val="x-none"/>
          </w:rPr>
        </w:pPr>
        <w:r w:rsidRPr="006D3297">
          <w:rPr>
            <w:sz w:val="20"/>
            <w:szCs w:val="20"/>
            <w:lang w:val="x-none"/>
          </w:rPr>
          <w:t>Department of Agriculture and Water Resources</w:t>
        </w:r>
        <w:r w:rsidRPr="006D3297">
          <w:rPr>
            <w:sz w:val="20"/>
            <w:szCs w:val="20"/>
            <w:lang w:val="x-none"/>
          </w:rPr>
          <w:tab/>
        </w:r>
        <w:r w:rsidRPr="006D3297">
          <w:rPr>
            <w:sz w:val="20"/>
            <w:szCs w:val="20"/>
            <w:lang w:val="x-none"/>
          </w:rPr>
          <w:fldChar w:fldCharType="begin"/>
        </w:r>
        <w:r w:rsidRPr="006D3297">
          <w:rPr>
            <w:sz w:val="20"/>
            <w:szCs w:val="20"/>
            <w:lang w:val="x-none"/>
          </w:rPr>
          <w:instrText xml:space="preserve"> PAGE   \* MERGEFORMAT </w:instrText>
        </w:r>
        <w:r w:rsidRPr="006D3297">
          <w:rPr>
            <w:sz w:val="20"/>
            <w:szCs w:val="20"/>
            <w:lang w:val="x-none"/>
          </w:rPr>
          <w:fldChar w:fldCharType="separate"/>
        </w:r>
        <w:r w:rsidR="0058767D">
          <w:rPr>
            <w:noProof/>
            <w:sz w:val="20"/>
            <w:szCs w:val="20"/>
            <w:lang w:val="x-none"/>
          </w:rPr>
          <w:t>17</w:t>
        </w:r>
        <w:r w:rsidRPr="006D3297">
          <w:rPr>
            <w:sz w:val="20"/>
            <w:szCs w:val="20"/>
            <w:lang w:val="x-none"/>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398" w:rsidRDefault="001B5398">
      <w:r>
        <w:separator/>
      </w:r>
    </w:p>
  </w:footnote>
  <w:footnote w:type="continuationSeparator" w:id="0">
    <w:p w:rsidR="001B5398" w:rsidRDefault="001B53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rsidP="006D3297">
    <w:pPr>
      <w:pStyle w:val="Classification"/>
    </w:pPr>
    <w:r>
      <w:fldChar w:fldCharType="begin"/>
    </w:r>
    <w:r>
      <w:instrText xml:space="preserve"> DOCPROPERTY SecurityClassification \* MERGEFORMAT </w:instrText>
    </w:r>
    <w:r>
      <w:fldChar w:fldCharType="end"/>
    </w:r>
    <w:r>
      <w:fldChar w:fldCharType="begin"/>
    </w:r>
    <w:r>
      <w:instrText xml:space="preserve"> DOCPROPERTY Spacer \* MERGEFORMAT </w:instrText>
    </w:r>
    <w:r>
      <w:fldChar w:fldCharType="end"/>
    </w:r>
    <w:r>
      <w:fldChar w:fldCharType="begin"/>
    </w:r>
    <w:r>
      <w:instrText xml:space="preserve"> DOCPROPERTY DLM \* MERGEFORMAT </w:instrText>
    </w:r>
    <w:r>
      <w:fldChar w:fldCharType="end"/>
    </w:r>
  </w:p>
  <w:p w:rsidR="001B5398" w:rsidRDefault="001B5398" w:rsidP="006D3297">
    <w:pPr>
      <w:pStyle w:val="Classification"/>
    </w:pPr>
    <w:r>
      <w:fldChar w:fldCharType="begin"/>
    </w:r>
    <w:r>
      <w:instrText xml:space="preserve"> DOCPROPERTY SecurityClassification \* MERGEFORMAT </w:instrTex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pPr>
      <w:pStyle w:val="Header"/>
    </w:pPr>
    <w:r>
      <w:t xml:space="preserve">Cost Recovery Implementation Statement: Plant exports certification, 2015–16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rsidP="006D3297">
    <w:pPr>
      <w:pStyle w:val="Classification"/>
    </w:pPr>
    <w:r>
      <w:rPr>
        <w:noProof/>
      </w:rPr>
      <w:drawing>
        <wp:inline distT="0" distB="0" distL="0" distR="0" wp14:anchorId="7A59DD4F" wp14:editId="648C236C">
          <wp:extent cx="3557270" cy="733425"/>
          <wp:effectExtent l="0" t="0" r="0" b="0"/>
          <wp:docPr id="3" name="Picture 3" descr="Logo of the Australian Government 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WR_Master Brandmark_Strip_trans-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57270" cy="733425"/>
                  </a:xfrm>
                  <a:prstGeom prst="rect">
                    <a:avLst/>
                  </a:prstGeom>
                  <a:noFill/>
                  <a:ln>
                    <a:noFill/>
                  </a:ln>
                </pic:spPr>
              </pic:pic>
            </a:graphicData>
          </a:graphic>
        </wp:inline>
      </w:drawing>
    </w:r>
    <w:r>
      <w:fldChar w:fldCharType="begin"/>
    </w:r>
    <w:r>
      <w:instrText xml:space="preserve"> DOCPROPERTY  SecurityClassification  \* MERGEFORMAT </w:instrText>
    </w:r>
    <w:r>
      <w:fldChar w:fldCharType="end"/>
    </w:r>
    <w:r>
      <w:fldChar w:fldCharType="begin"/>
    </w:r>
    <w:r>
      <w:instrText xml:space="preserve"> DOCPROPERTY Spacer \* MERGEFORMAT </w:instrText>
    </w:r>
    <w:r>
      <w:fldChar w:fldCharType="end"/>
    </w:r>
    <w:r>
      <w:fldChar w:fldCharType="begin"/>
    </w:r>
    <w:r>
      <w:instrText xml:space="preserve"> DOCPROPERTY DLM \* MERGEFORMAT </w:instrTex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pPr>
      <w:pStyle w:val="Header"/>
    </w:pPr>
    <w:r>
      <w:t>Cost Recovery Implementation Statement: Plant exports certification, 2015–16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5398" w:rsidRDefault="001B539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11DA2690"/>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42479A7"/>
    <w:multiLevelType w:val="hybridMultilevel"/>
    <w:tmpl w:val="C688E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4B00E7D"/>
    <w:multiLevelType w:val="multilevel"/>
    <w:tmpl w:val="4E5A2D8C"/>
    <w:styleLink w:val="numberedlist"/>
    <w:lvl w:ilvl="0">
      <w:start w:val="1"/>
      <w:numFmt w:val="decimal"/>
      <w:lvlText w:val="%1."/>
      <w:lvlJc w:val="left"/>
      <w:pPr>
        <w:ind w:left="567" w:hanging="567"/>
      </w:pPr>
      <w:rPr>
        <w:rFonts w:ascii="Arial" w:hAnsi="Arial" w:hint="default"/>
        <w:sz w:val="22"/>
      </w:rPr>
    </w:lvl>
    <w:lvl w:ilvl="1">
      <w:start w:val="1"/>
      <w:numFmt w:val="lowerLetter"/>
      <w:pStyle w:val="ListNumber2"/>
      <w:lvlText w:val="%2."/>
      <w:lvlJc w:val="left"/>
      <w:pPr>
        <w:ind w:left="567" w:hanging="567"/>
      </w:pPr>
      <w:rPr>
        <w:rFonts w:hint="default"/>
      </w:rPr>
    </w:lvl>
    <w:lvl w:ilvl="2">
      <w:start w:val="1"/>
      <w:numFmt w:val="lowerRoman"/>
      <w:lvlText w:val="%3."/>
      <w:lvlJc w:val="left"/>
      <w:pPr>
        <w:ind w:left="567" w:hanging="567"/>
      </w:pPr>
      <w:rPr>
        <w:rFonts w:hint="default"/>
      </w:rPr>
    </w:lvl>
    <w:lvl w:ilvl="3">
      <w:start w:val="1"/>
      <w:numFmt w:val="none"/>
      <w:lvlText w:val="%4"/>
      <w:lvlJc w:val="left"/>
      <w:pPr>
        <w:ind w:left="567" w:hanging="567"/>
      </w:pPr>
      <w:rPr>
        <w:rFonts w:hint="default"/>
      </w:rPr>
    </w:lvl>
    <w:lvl w:ilvl="4">
      <w:start w:val="1"/>
      <w:numFmt w:val="none"/>
      <w:lvlText w:val=""/>
      <w:lvlJc w:val="left"/>
      <w:pPr>
        <w:ind w:left="567" w:hanging="567"/>
      </w:pPr>
      <w:rPr>
        <w:rFonts w:hint="default"/>
      </w:rPr>
    </w:lvl>
    <w:lvl w:ilvl="5">
      <w:start w:val="1"/>
      <w:numFmt w:val="none"/>
      <w:lvlText w:val=""/>
      <w:lvlJc w:val="left"/>
      <w:pPr>
        <w:ind w:left="567" w:hanging="567"/>
      </w:pPr>
      <w:rPr>
        <w:rFonts w:hint="default"/>
      </w:rPr>
    </w:lvl>
    <w:lvl w:ilvl="6">
      <w:start w:val="1"/>
      <w:numFmt w:val="none"/>
      <w:lvlText w:val=""/>
      <w:lvlJc w:val="left"/>
      <w:pPr>
        <w:ind w:left="567" w:hanging="567"/>
      </w:pPr>
      <w:rPr>
        <w:rFonts w:hint="default"/>
      </w:rPr>
    </w:lvl>
    <w:lvl w:ilvl="7">
      <w:start w:val="1"/>
      <w:numFmt w:val="none"/>
      <w:lvlText w:val=""/>
      <w:lvlJc w:val="left"/>
      <w:pPr>
        <w:ind w:left="567" w:hanging="567"/>
      </w:pPr>
      <w:rPr>
        <w:rFonts w:hint="default"/>
      </w:rPr>
    </w:lvl>
    <w:lvl w:ilvl="8">
      <w:start w:val="1"/>
      <w:numFmt w:val="none"/>
      <w:lvlText w:val=""/>
      <w:lvlJc w:val="left"/>
      <w:pPr>
        <w:ind w:left="567" w:hanging="567"/>
      </w:pPr>
      <w:rPr>
        <w:rFonts w:hint="default"/>
      </w:rPr>
    </w:lvl>
  </w:abstractNum>
  <w:abstractNum w:abstractNumId="3" w15:restartNumberingAfterBreak="0">
    <w:nsid w:val="06AA694C"/>
    <w:multiLevelType w:val="multilevel"/>
    <w:tmpl w:val="0876E712"/>
    <w:styleLink w:val="headinglist"/>
    <w:lvl w:ilvl="0">
      <w:start w:val="1"/>
      <w:numFmt w:val="decimal"/>
      <w:pStyle w:val="Heading2"/>
      <w:lvlText w:val="%1"/>
      <w:lvlJc w:val="left"/>
      <w:pPr>
        <w:ind w:left="794" w:hanging="794"/>
      </w:pPr>
      <w:rPr>
        <w:rFonts w:hint="default"/>
      </w:rPr>
    </w:lvl>
    <w:lvl w:ilvl="1">
      <w:start w:val="1"/>
      <w:numFmt w:val="decimal"/>
      <w:pStyle w:val="Heading3"/>
      <w:lvlText w:val="%1.%2"/>
      <w:lvlJc w:val="left"/>
      <w:pPr>
        <w:ind w:left="794" w:hanging="794"/>
      </w:pPr>
      <w:rPr>
        <w:rFonts w:hint="default"/>
      </w:rPr>
    </w:lvl>
    <w:lvl w:ilvl="2">
      <w:start w:val="1"/>
      <w:numFmt w:val="lowerRoman"/>
      <w:lvlText w:val="%3)"/>
      <w:lvlJc w:val="left"/>
      <w:pPr>
        <w:ind w:left="794" w:hanging="794"/>
      </w:pPr>
      <w:rPr>
        <w:rFonts w:hint="default"/>
      </w:rPr>
    </w:lvl>
    <w:lvl w:ilvl="3">
      <w:start w:val="1"/>
      <w:numFmt w:val="decimal"/>
      <w:lvlText w:val="(%4)"/>
      <w:lvlJc w:val="left"/>
      <w:pPr>
        <w:ind w:left="794" w:hanging="794"/>
      </w:pPr>
      <w:rPr>
        <w:rFonts w:hint="default"/>
      </w:rPr>
    </w:lvl>
    <w:lvl w:ilvl="4">
      <w:start w:val="1"/>
      <w:numFmt w:val="lowerLetter"/>
      <w:lvlText w:val="(%5)"/>
      <w:lvlJc w:val="left"/>
      <w:pPr>
        <w:ind w:left="794" w:hanging="794"/>
      </w:pPr>
      <w:rPr>
        <w:rFonts w:hint="default"/>
      </w:rPr>
    </w:lvl>
    <w:lvl w:ilvl="5">
      <w:start w:val="1"/>
      <w:numFmt w:val="lowerRoman"/>
      <w:lvlText w:val="(%6)"/>
      <w:lvlJc w:val="left"/>
      <w:pPr>
        <w:ind w:left="794" w:hanging="794"/>
      </w:pPr>
      <w:rPr>
        <w:rFonts w:hint="default"/>
      </w:rPr>
    </w:lvl>
    <w:lvl w:ilvl="6">
      <w:start w:val="1"/>
      <w:numFmt w:val="decimal"/>
      <w:lvlText w:val="%7."/>
      <w:lvlJc w:val="left"/>
      <w:pPr>
        <w:ind w:left="794" w:hanging="794"/>
      </w:pPr>
      <w:rPr>
        <w:rFonts w:hint="default"/>
      </w:rPr>
    </w:lvl>
    <w:lvl w:ilvl="7">
      <w:start w:val="1"/>
      <w:numFmt w:val="lowerLetter"/>
      <w:lvlText w:val="%8."/>
      <w:lvlJc w:val="left"/>
      <w:pPr>
        <w:ind w:left="794" w:hanging="794"/>
      </w:pPr>
      <w:rPr>
        <w:rFonts w:hint="default"/>
      </w:rPr>
    </w:lvl>
    <w:lvl w:ilvl="8">
      <w:start w:val="1"/>
      <w:numFmt w:val="lowerRoman"/>
      <w:lvlText w:val="%9."/>
      <w:lvlJc w:val="left"/>
      <w:pPr>
        <w:ind w:left="794" w:hanging="794"/>
      </w:pPr>
      <w:rPr>
        <w:rFonts w:hint="default"/>
      </w:rPr>
    </w:lvl>
  </w:abstractNum>
  <w:abstractNum w:abstractNumId="4" w15:restartNumberingAfterBreak="0">
    <w:nsid w:val="08FD0277"/>
    <w:multiLevelType w:val="hybridMultilevel"/>
    <w:tmpl w:val="2F3EDF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151FB5"/>
    <w:multiLevelType w:val="hybridMultilevel"/>
    <w:tmpl w:val="145A0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8B214EE"/>
    <w:multiLevelType w:val="multilevel"/>
    <w:tmpl w:val="C3868E4A"/>
    <w:styleLink w:val="Bulletlist0"/>
    <w:lvl w:ilvl="0">
      <w:start w:val="1"/>
      <w:numFmt w:val="bullet"/>
      <w:pStyle w:val="ListBullet"/>
      <w:lvlText w:val=""/>
      <w:lvlJc w:val="left"/>
      <w:pPr>
        <w:ind w:left="567" w:hanging="567"/>
      </w:pPr>
      <w:rPr>
        <w:rFonts w:ascii="Symbol" w:hAnsi="Symbol" w:hint="default"/>
      </w:rPr>
    </w:lvl>
    <w:lvl w:ilvl="1">
      <w:start w:val="1"/>
      <w:numFmt w:val="bullet"/>
      <w:pStyle w:val="ListBullet2"/>
      <w:lvlText w:val="–"/>
      <w:lvlJc w:val="left"/>
      <w:pPr>
        <w:tabs>
          <w:tab w:val="num" w:pos="851"/>
        </w:tabs>
        <w:ind w:left="567" w:firstLine="0"/>
      </w:pPr>
      <w:rPr>
        <w:rFonts w:ascii="Calibri" w:hAnsi="Calibri" w:hint="default"/>
      </w:rPr>
    </w:lvl>
    <w:lvl w:ilvl="2">
      <w:start w:val="1"/>
      <w:numFmt w:val="bullet"/>
      <w:lvlRestart w:val="0"/>
      <w:lvlText w:val=":"/>
      <w:lvlJc w:val="left"/>
      <w:pPr>
        <w:tabs>
          <w:tab w:val="num" w:pos="340"/>
        </w:tabs>
        <w:ind w:left="851" w:hanging="851"/>
      </w:pPr>
      <w:rPr>
        <w:rFonts w:ascii="Calibri" w:hAnsi="Calibri" w:hint="default"/>
      </w:rPr>
    </w:lvl>
    <w:lvl w:ilvl="3">
      <w:start w:val="1"/>
      <w:numFmt w:val="none"/>
      <w:lvlText w:val="%4"/>
      <w:lvlJc w:val="left"/>
      <w:pPr>
        <w:tabs>
          <w:tab w:val="num" w:pos="340"/>
        </w:tabs>
        <w:ind w:left="851" w:hanging="851"/>
      </w:pPr>
      <w:rPr>
        <w:rFonts w:ascii="Times New Roman" w:hAnsi="Times New Roman" w:hint="default"/>
      </w:rPr>
    </w:lvl>
    <w:lvl w:ilvl="4">
      <w:start w:val="1"/>
      <w:numFmt w:val="none"/>
      <w:lvlText w:val=""/>
      <w:lvlJc w:val="left"/>
      <w:pPr>
        <w:tabs>
          <w:tab w:val="num" w:pos="340"/>
        </w:tabs>
        <w:ind w:left="851" w:hanging="851"/>
      </w:pPr>
      <w:rPr>
        <w:rFonts w:hint="default"/>
      </w:rPr>
    </w:lvl>
    <w:lvl w:ilvl="5">
      <w:start w:val="1"/>
      <w:numFmt w:val="none"/>
      <w:lvlText w:val=""/>
      <w:lvlJc w:val="left"/>
      <w:pPr>
        <w:tabs>
          <w:tab w:val="num" w:pos="340"/>
        </w:tabs>
        <w:ind w:left="851" w:hanging="851"/>
      </w:pPr>
      <w:rPr>
        <w:rFonts w:hint="default"/>
      </w:rPr>
    </w:lvl>
    <w:lvl w:ilvl="6">
      <w:start w:val="1"/>
      <w:numFmt w:val="none"/>
      <w:lvlText w:val=""/>
      <w:lvlJc w:val="left"/>
      <w:pPr>
        <w:tabs>
          <w:tab w:val="num" w:pos="340"/>
        </w:tabs>
        <w:ind w:left="851" w:hanging="851"/>
      </w:pPr>
      <w:rPr>
        <w:rFonts w:hint="default"/>
      </w:rPr>
    </w:lvl>
    <w:lvl w:ilvl="7">
      <w:start w:val="1"/>
      <w:numFmt w:val="none"/>
      <w:lvlText w:val=""/>
      <w:lvlJc w:val="left"/>
      <w:pPr>
        <w:tabs>
          <w:tab w:val="num" w:pos="340"/>
        </w:tabs>
        <w:ind w:left="851" w:hanging="851"/>
      </w:pPr>
      <w:rPr>
        <w:rFonts w:hint="default"/>
      </w:rPr>
    </w:lvl>
    <w:lvl w:ilvl="8">
      <w:start w:val="1"/>
      <w:numFmt w:val="none"/>
      <w:lvlRestart w:val="0"/>
      <w:lvlText w:val=""/>
      <w:lvlJc w:val="left"/>
      <w:pPr>
        <w:tabs>
          <w:tab w:val="num" w:pos="340"/>
        </w:tabs>
        <w:ind w:left="851" w:hanging="851"/>
      </w:pPr>
      <w:rPr>
        <w:rFonts w:hint="default"/>
      </w:rPr>
    </w:lvl>
  </w:abstractNum>
  <w:abstractNum w:abstractNumId="7" w15:restartNumberingAfterBreak="0">
    <w:nsid w:val="19D668A6"/>
    <w:multiLevelType w:val="multilevel"/>
    <w:tmpl w:val="9DB6D928"/>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Arial" w:hAnsi="Arial" w:hint="default"/>
      </w:rPr>
    </w:lvl>
    <w:lvl w:ilvl="2">
      <w:start w:val="1"/>
      <w:numFmt w:val="bullet"/>
      <w:lvlText w:val="­"/>
      <w:lvlJc w:val="left"/>
      <w:pPr>
        <w:ind w:left="1106" w:hanging="369"/>
      </w:pPr>
      <w:rPr>
        <w:rFonts w:ascii="Courier New" w:hAnsi="Courier New"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8" w15:restartNumberingAfterBreak="0">
    <w:nsid w:val="1CED5D62"/>
    <w:multiLevelType w:val="multilevel"/>
    <w:tmpl w:val="0478D324"/>
    <w:styleLink w:val="listheading"/>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9" w15:restartNumberingAfterBreak="0">
    <w:nsid w:val="1F745BC2"/>
    <w:multiLevelType w:val="multilevel"/>
    <w:tmpl w:val="42DAF9CC"/>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15:restartNumberingAfterBreak="0">
    <w:nsid w:val="23C167A0"/>
    <w:multiLevelType w:val="multilevel"/>
    <w:tmpl w:val="0876E712"/>
    <w:numStyleLink w:val="headinglist"/>
  </w:abstractNum>
  <w:abstractNum w:abstractNumId="11" w15:restartNumberingAfterBreak="0">
    <w:nsid w:val="26776184"/>
    <w:multiLevelType w:val="hybridMultilevel"/>
    <w:tmpl w:val="A802EE36"/>
    <w:lvl w:ilvl="0" w:tplc="0C09000F">
      <w:start w:val="1"/>
      <w:numFmt w:val="decimal"/>
      <w:lvlText w:val="%1."/>
      <w:lvlJc w:val="left"/>
      <w:pPr>
        <w:ind w:left="360" w:hanging="360"/>
      </w:pPr>
    </w:lvl>
    <w:lvl w:ilvl="1" w:tplc="0C090019">
      <w:start w:val="1"/>
      <w:numFmt w:val="decimal"/>
      <w:lvlText w:val="%2."/>
      <w:lvlJc w:val="left"/>
      <w:pPr>
        <w:tabs>
          <w:tab w:val="num" w:pos="1080"/>
        </w:tabs>
        <w:ind w:left="1080" w:hanging="360"/>
      </w:pPr>
    </w:lvl>
    <w:lvl w:ilvl="2" w:tplc="0C09001B">
      <w:start w:val="1"/>
      <w:numFmt w:val="decimal"/>
      <w:lvlText w:val="%3."/>
      <w:lvlJc w:val="left"/>
      <w:pPr>
        <w:tabs>
          <w:tab w:val="num" w:pos="1800"/>
        </w:tabs>
        <w:ind w:left="1800" w:hanging="360"/>
      </w:pPr>
    </w:lvl>
    <w:lvl w:ilvl="3" w:tplc="0C09000F">
      <w:start w:val="1"/>
      <w:numFmt w:val="decimal"/>
      <w:lvlText w:val="%4."/>
      <w:lvlJc w:val="left"/>
      <w:pPr>
        <w:tabs>
          <w:tab w:val="num" w:pos="2520"/>
        </w:tabs>
        <w:ind w:left="2520" w:hanging="360"/>
      </w:pPr>
    </w:lvl>
    <w:lvl w:ilvl="4" w:tplc="0C090019">
      <w:start w:val="1"/>
      <w:numFmt w:val="decimal"/>
      <w:lvlText w:val="%5."/>
      <w:lvlJc w:val="left"/>
      <w:pPr>
        <w:tabs>
          <w:tab w:val="num" w:pos="3240"/>
        </w:tabs>
        <w:ind w:left="3240" w:hanging="360"/>
      </w:pPr>
    </w:lvl>
    <w:lvl w:ilvl="5" w:tplc="0C09001B">
      <w:start w:val="1"/>
      <w:numFmt w:val="decimal"/>
      <w:lvlText w:val="%6."/>
      <w:lvlJc w:val="left"/>
      <w:pPr>
        <w:tabs>
          <w:tab w:val="num" w:pos="3960"/>
        </w:tabs>
        <w:ind w:left="3960" w:hanging="360"/>
      </w:pPr>
    </w:lvl>
    <w:lvl w:ilvl="6" w:tplc="0C09000F">
      <w:start w:val="1"/>
      <w:numFmt w:val="decimal"/>
      <w:lvlText w:val="%7."/>
      <w:lvlJc w:val="left"/>
      <w:pPr>
        <w:tabs>
          <w:tab w:val="num" w:pos="4680"/>
        </w:tabs>
        <w:ind w:left="4680" w:hanging="360"/>
      </w:pPr>
    </w:lvl>
    <w:lvl w:ilvl="7" w:tplc="0C090019">
      <w:start w:val="1"/>
      <w:numFmt w:val="decimal"/>
      <w:lvlText w:val="%8."/>
      <w:lvlJc w:val="left"/>
      <w:pPr>
        <w:tabs>
          <w:tab w:val="num" w:pos="5400"/>
        </w:tabs>
        <w:ind w:left="5400" w:hanging="360"/>
      </w:pPr>
    </w:lvl>
    <w:lvl w:ilvl="8" w:tplc="0C09001B">
      <w:start w:val="1"/>
      <w:numFmt w:val="decimal"/>
      <w:lvlText w:val="%9."/>
      <w:lvlJc w:val="left"/>
      <w:pPr>
        <w:tabs>
          <w:tab w:val="num" w:pos="6120"/>
        </w:tabs>
        <w:ind w:left="6120" w:hanging="360"/>
      </w:pPr>
    </w:lvl>
  </w:abstractNum>
  <w:abstractNum w:abstractNumId="12" w15:restartNumberingAfterBreak="0">
    <w:nsid w:val="27691ACC"/>
    <w:multiLevelType w:val="hybridMultilevel"/>
    <w:tmpl w:val="5C6054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B8B3716"/>
    <w:multiLevelType w:val="hybridMultilevel"/>
    <w:tmpl w:val="08AC06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F994B58"/>
    <w:multiLevelType w:val="multilevel"/>
    <w:tmpl w:val="313ACE92"/>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bullet"/>
      <w:lvlText w:val="­"/>
      <w:lvlJc w:val="left"/>
      <w:pPr>
        <w:ind w:left="1106" w:hanging="369"/>
      </w:pPr>
      <w:rPr>
        <w:rFonts w:ascii="Courier New" w:hAnsi="Courier New"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5" w15:restartNumberingAfterBreak="0">
    <w:nsid w:val="3098052F"/>
    <w:multiLevelType w:val="multilevel"/>
    <w:tmpl w:val="0DE2F68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9713133"/>
    <w:multiLevelType w:val="multilevel"/>
    <w:tmpl w:val="313ACE92"/>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bullet"/>
      <w:lvlText w:val="­"/>
      <w:lvlJc w:val="left"/>
      <w:pPr>
        <w:ind w:left="1106" w:hanging="369"/>
      </w:pPr>
      <w:rPr>
        <w:rFonts w:ascii="Courier New" w:hAnsi="Courier New"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8" w15:restartNumberingAfterBreak="0">
    <w:nsid w:val="4FBE63A3"/>
    <w:multiLevelType w:val="hybridMultilevel"/>
    <w:tmpl w:val="442CC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0017A46"/>
    <w:multiLevelType w:val="hybridMultilevel"/>
    <w:tmpl w:val="205263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8FA2675"/>
    <w:multiLevelType w:val="multilevel"/>
    <w:tmpl w:val="2CE0E38C"/>
    <w:styleLink w:val="Heading"/>
    <w:lvl w:ilvl="0">
      <w:start w:val="1"/>
      <w:numFmt w:val="decimal"/>
      <w:lvlText w:val="%1."/>
      <w:lvlJc w:val="left"/>
      <w:pPr>
        <w:ind w:left="567" w:hanging="567"/>
      </w:pPr>
      <w:rPr>
        <w:rFonts w:hint="default"/>
      </w:rPr>
    </w:lvl>
    <w:lvl w:ilvl="1">
      <w:start w:val="1"/>
      <w:numFmt w:val="bullet"/>
      <w:lvlText w:val="–"/>
      <w:lvlJc w:val="left"/>
      <w:pPr>
        <w:tabs>
          <w:tab w:val="num" w:pos="851"/>
        </w:tabs>
        <w:ind w:left="567" w:firstLine="0"/>
      </w:pPr>
      <w:rPr>
        <w:rFonts w:ascii="Calibri" w:hAnsi="Calibri" w:hint="default"/>
      </w:rPr>
    </w:lvl>
    <w:lvl w:ilvl="2">
      <w:start w:val="1"/>
      <w:numFmt w:val="bullet"/>
      <w:lvlRestart w:val="0"/>
      <w:lvlText w:val=":"/>
      <w:lvlJc w:val="left"/>
      <w:pPr>
        <w:tabs>
          <w:tab w:val="num" w:pos="340"/>
        </w:tabs>
        <w:ind w:left="851" w:hanging="851"/>
      </w:pPr>
      <w:rPr>
        <w:rFonts w:ascii="Calibri" w:hAnsi="Calibri" w:hint="default"/>
      </w:rPr>
    </w:lvl>
    <w:lvl w:ilvl="3">
      <w:start w:val="1"/>
      <w:numFmt w:val="none"/>
      <w:lvlText w:val="%4"/>
      <w:lvlJc w:val="left"/>
      <w:pPr>
        <w:tabs>
          <w:tab w:val="num" w:pos="340"/>
        </w:tabs>
        <w:ind w:left="851" w:hanging="851"/>
      </w:pPr>
      <w:rPr>
        <w:rFonts w:ascii="Times New Roman" w:hAnsi="Times New Roman" w:hint="default"/>
      </w:rPr>
    </w:lvl>
    <w:lvl w:ilvl="4">
      <w:start w:val="1"/>
      <w:numFmt w:val="none"/>
      <w:lvlText w:val=""/>
      <w:lvlJc w:val="left"/>
      <w:pPr>
        <w:tabs>
          <w:tab w:val="num" w:pos="340"/>
        </w:tabs>
        <w:ind w:left="851" w:hanging="851"/>
      </w:pPr>
      <w:rPr>
        <w:rFonts w:hint="default"/>
      </w:rPr>
    </w:lvl>
    <w:lvl w:ilvl="5">
      <w:start w:val="1"/>
      <w:numFmt w:val="none"/>
      <w:lvlText w:val=""/>
      <w:lvlJc w:val="left"/>
      <w:pPr>
        <w:tabs>
          <w:tab w:val="num" w:pos="340"/>
        </w:tabs>
        <w:ind w:left="851" w:hanging="851"/>
      </w:pPr>
      <w:rPr>
        <w:rFonts w:hint="default"/>
      </w:rPr>
    </w:lvl>
    <w:lvl w:ilvl="6">
      <w:start w:val="1"/>
      <w:numFmt w:val="none"/>
      <w:lvlText w:val=""/>
      <w:lvlJc w:val="left"/>
      <w:pPr>
        <w:tabs>
          <w:tab w:val="num" w:pos="340"/>
        </w:tabs>
        <w:ind w:left="851" w:hanging="851"/>
      </w:pPr>
      <w:rPr>
        <w:rFonts w:hint="default"/>
      </w:rPr>
    </w:lvl>
    <w:lvl w:ilvl="7">
      <w:start w:val="1"/>
      <w:numFmt w:val="none"/>
      <w:lvlText w:val=""/>
      <w:lvlJc w:val="left"/>
      <w:pPr>
        <w:tabs>
          <w:tab w:val="num" w:pos="340"/>
        </w:tabs>
        <w:ind w:left="851" w:hanging="851"/>
      </w:pPr>
      <w:rPr>
        <w:rFonts w:hint="default"/>
      </w:rPr>
    </w:lvl>
    <w:lvl w:ilvl="8">
      <w:start w:val="1"/>
      <w:numFmt w:val="none"/>
      <w:lvlRestart w:val="0"/>
      <w:lvlText w:val=""/>
      <w:lvlJc w:val="left"/>
      <w:pPr>
        <w:tabs>
          <w:tab w:val="num" w:pos="340"/>
        </w:tabs>
        <w:ind w:left="851" w:hanging="851"/>
      </w:pPr>
      <w:rPr>
        <w:rFonts w:hint="default"/>
      </w:rPr>
    </w:lvl>
  </w:abstractNum>
  <w:abstractNum w:abstractNumId="21" w15:restartNumberingAfterBreak="0">
    <w:nsid w:val="5DF71FF7"/>
    <w:multiLevelType w:val="multilevel"/>
    <w:tmpl w:val="C3868E4A"/>
    <w:numStyleLink w:val="Bulletlist0"/>
  </w:abstractNum>
  <w:abstractNum w:abstractNumId="22" w15:restartNumberingAfterBreak="0">
    <w:nsid w:val="60031441"/>
    <w:multiLevelType w:val="hybridMultilevel"/>
    <w:tmpl w:val="6F6041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326008A"/>
    <w:multiLevelType w:val="multilevel"/>
    <w:tmpl w:val="313ACE92"/>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bullet"/>
      <w:lvlText w:val="­"/>
      <w:lvlJc w:val="left"/>
      <w:pPr>
        <w:ind w:left="1106" w:hanging="369"/>
      </w:pPr>
      <w:rPr>
        <w:rFonts w:ascii="Courier New" w:hAnsi="Courier New"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4" w15:restartNumberingAfterBreak="0">
    <w:nsid w:val="65456429"/>
    <w:multiLevelType w:val="multilevel"/>
    <w:tmpl w:val="443E6EF0"/>
    <w:lvl w:ilvl="0">
      <w:start w:val="1"/>
      <w:numFmt w:val="decimal"/>
      <w:pStyle w:val="ListNumber"/>
      <w:lvlText w:val="%1."/>
      <w:lvlJc w:val="left"/>
      <w:pPr>
        <w:ind w:left="369" w:hanging="369"/>
      </w:pPr>
      <w:rPr>
        <w:rFonts w:hint="default"/>
        <w:sz w:val="24"/>
        <w:szCs w:val="24"/>
      </w:rPr>
    </w:lvl>
    <w:lvl w:ilvl="1">
      <w:start w:val="1"/>
      <w:numFmt w:val="bullet"/>
      <w:lvlText w:val=""/>
      <w:lvlJc w:val="left"/>
      <w:pPr>
        <w:ind w:left="738" w:hanging="369"/>
      </w:pPr>
      <w:rPr>
        <w:rFonts w:ascii="Symbol" w:hAnsi="Symbol"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5" w15:restartNumberingAfterBreak="0">
    <w:nsid w:val="6B9A3BCD"/>
    <w:multiLevelType w:val="hybridMultilevel"/>
    <w:tmpl w:val="B2B6A7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D594B95"/>
    <w:multiLevelType w:val="hybridMultilevel"/>
    <w:tmpl w:val="CDC45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4CA2D9B"/>
    <w:multiLevelType w:val="hybridMultilevel"/>
    <w:tmpl w:val="AE4642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62964D5"/>
    <w:multiLevelType w:val="multilevel"/>
    <w:tmpl w:val="E898CC72"/>
    <w:styleLink w:val="Bulletlist1"/>
    <w:lvl w:ilvl="0">
      <w:start w:val="1"/>
      <w:numFmt w:val="decimal"/>
      <w:lvlText w:val="%1."/>
      <w:lvlJc w:val="left"/>
      <w:pPr>
        <w:ind w:left="369" w:hanging="369"/>
      </w:pPr>
      <w:rPr>
        <w:rFonts w:ascii="Arial" w:hAnsi="Arial" w:hint="default"/>
        <w:sz w:val="22"/>
      </w:rPr>
    </w:lvl>
    <w:lvl w:ilvl="1">
      <w:start w:val="1"/>
      <w:numFmt w:val="lowerLetter"/>
      <w:lvlText w:val="%2."/>
      <w:lvlJc w:val="left"/>
      <w:pPr>
        <w:ind w:left="738" w:hanging="369"/>
      </w:pPr>
      <w:rPr>
        <w:rFonts w:hint="default"/>
      </w:rPr>
    </w:lvl>
    <w:lvl w:ilvl="2">
      <w:start w:val="1"/>
      <w:numFmt w:val="lowerRoman"/>
      <w:lvlText w:val="%3."/>
      <w:lvlJc w:val="left"/>
      <w:pPr>
        <w:ind w:left="1107" w:hanging="369"/>
      </w:pPr>
      <w:rPr>
        <w:rFonts w:hint="default"/>
      </w:rPr>
    </w:lvl>
    <w:lvl w:ilvl="3">
      <w:start w:val="1"/>
      <w:numFmt w:val="none"/>
      <w:lvlText w:val="%4"/>
      <w:lvlJc w:val="left"/>
      <w:pPr>
        <w:ind w:left="1476" w:hanging="369"/>
      </w:pPr>
      <w:rPr>
        <w:rFonts w:hint="default"/>
      </w:rPr>
    </w:lvl>
    <w:lvl w:ilvl="4">
      <w:start w:val="1"/>
      <w:numFmt w:val="none"/>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9" w15:restartNumberingAfterBreak="0">
    <w:nsid w:val="7A474CF0"/>
    <w:multiLevelType w:val="hybridMultilevel"/>
    <w:tmpl w:val="B622E9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BCF0249"/>
    <w:multiLevelType w:val="multilevel"/>
    <w:tmpl w:val="B366EC14"/>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bullet"/>
      <w:lvlText w:val="­"/>
      <w:lvlJc w:val="left"/>
      <w:pPr>
        <w:ind w:left="1106" w:hanging="369"/>
      </w:pPr>
      <w:rPr>
        <w:rFonts w:ascii="Courier New" w:hAnsi="Courier New"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num w:numId="1">
    <w:abstractNumId w:val="28"/>
  </w:num>
  <w:num w:numId="2">
    <w:abstractNumId w:val="11"/>
  </w:num>
  <w:num w:numId="3">
    <w:abstractNumId w:val="21"/>
  </w:num>
  <w:num w:numId="4">
    <w:abstractNumId w:val="2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num>
  <w:num w:numId="6">
    <w:abstractNumId w:val="12"/>
  </w:num>
  <w:num w:numId="7">
    <w:abstractNumId w:val="18"/>
  </w:num>
  <w:num w:numId="8">
    <w:abstractNumId w:val="4"/>
  </w:num>
  <w:num w:numId="9">
    <w:abstractNumId w:val="30"/>
  </w:num>
  <w:num w:numId="10">
    <w:abstractNumId w:val="22"/>
  </w:num>
  <w:num w:numId="11">
    <w:abstractNumId w:val="29"/>
  </w:num>
  <w:num w:numId="12">
    <w:abstractNumId w:val="19"/>
  </w:num>
  <w:num w:numId="13">
    <w:abstractNumId w:val="1"/>
  </w:num>
  <w:num w:numId="14">
    <w:abstractNumId w:val="7"/>
  </w:num>
  <w:num w:numId="15">
    <w:abstractNumId w:val="17"/>
  </w:num>
  <w:num w:numId="16">
    <w:abstractNumId w:val="14"/>
  </w:num>
  <w:num w:numId="17">
    <w:abstractNumId w:val="13"/>
  </w:num>
  <w:num w:numId="18">
    <w:abstractNumId w:val="23"/>
  </w:num>
  <w:num w:numId="19">
    <w:abstractNumId w:val="25"/>
  </w:num>
  <w:num w:numId="20">
    <w:abstractNumId w:val="26"/>
  </w:num>
  <w:num w:numId="21">
    <w:abstractNumId w:val="5"/>
  </w:num>
  <w:num w:numId="22">
    <w:abstractNumId w:val="15"/>
  </w:num>
  <w:num w:numId="23">
    <w:abstractNumId w:val="16"/>
  </w:num>
  <w:num w:numId="24">
    <w:abstractNumId w:val="0"/>
  </w:num>
  <w:num w:numId="25">
    <w:abstractNumId w:val="6"/>
  </w:num>
  <w:num w:numId="26">
    <w:abstractNumId w:val="20"/>
  </w:num>
  <w:num w:numId="27">
    <w:abstractNumId w:val="3"/>
  </w:num>
  <w:num w:numId="28">
    <w:abstractNumId w:val="6"/>
  </w:num>
  <w:num w:numId="29">
    <w:abstractNumId w:val="9"/>
  </w:num>
  <w:num w:numId="30">
    <w:abstractNumId w:val="8"/>
  </w:num>
  <w:num w:numId="31">
    <w:abstractNumId w:val="24"/>
  </w:num>
  <w:num w:numId="32">
    <w:abstractNumId w:val="2"/>
  </w:num>
  <w:num w:numId="3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activeWritingStyle w:appName="MSWord" w:lang="en-AU" w:vendorID="64" w:dllVersion="131078" w:nlCheck="1" w:checkStyle="0"/>
  <w:activeWritingStyle w:appName="MSWord" w:lang="en-US" w:vendorID="64" w:dllVersion="131078" w:nlCheck="1" w:checkStyle="1"/>
  <w:proofState w:spelling="clean" w:grammar="clean"/>
  <w:stylePaneSortMethod w:val="0000"/>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29697" style="mso-position-horizontal:center;mso-position-horizontal-relative:page;mso-position-vertical:center;mso-position-vertical-relative:page" o:allowoverlap="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True"/>
  </w:docVars>
  <w:rsids>
    <w:rsidRoot w:val="000D5583"/>
    <w:rsid w:val="000038D6"/>
    <w:rsid w:val="00005932"/>
    <w:rsid w:val="0001300B"/>
    <w:rsid w:val="000A1901"/>
    <w:rsid w:val="000D5583"/>
    <w:rsid w:val="000F26BD"/>
    <w:rsid w:val="00102E91"/>
    <w:rsid w:val="001128BD"/>
    <w:rsid w:val="00145D2B"/>
    <w:rsid w:val="00163DC2"/>
    <w:rsid w:val="00176614"/>
    <w:rsid w:val="001B3F49"/>
    <w:rsid w:val="001B5398"/>
    <w:rsid w:val="001D5644"/>
    <w:rsid w:val="001F0C43"/>
    <w:rsid w:val="001F32EC"/>
    <w:rsid w:val="002419B5"/>
    <w:rsid w:val="002453CB"/>
    <w:rsid w:val="00246B3C"/>
    <w:rsid w:val="00260B37"/>
    <w:rsid w:val="002A5F70"/>
    <w:rsid w:val="002D4067"/>
    <w:rsid w:val="002E338A"/>
    <w:rsid w:val="002E5AB2"/>
    <w:rsid w:val="002F2751"/>
    <w:rsid w:val="002F40E0"/>
    <w:rsid w:val="00363957"/>
    <w:rsid w:val="003C0A2C"/>
    <w:rsid w:val="003C388A"/>
    <w:rsid w:val="003F4928"/>
    <w:rsid w:val="0050567D"/>
    <w:rsid w:val="005227D8"/>
    <w:rsid w:val="0053400C"/>
    <w:rsid w:val="00545B20"/>
    <w:rsid w:val="005750E5"/>
    <w:rsid w:val="0058767D"/>
    <w:rsid w:val="005E144E"/>
    <w:rsid w:val="005F2C64"/>
    <w:rsid w:val="0060492A"/>
    <w:rsid w:val="00610933"/>
    <w:rsid w:val="0064303D"/>
    <w:rsid w:val="00660D26"/>
    <w:rsid w:val="006864E5"/>
    <w:rsid w:val="006D0383"/>
    <w:rsid w:val="006D3297"/>
    <w:rsid w:val="007064A6"/>
    <w:rsid w:val="00727BA1"/>
    <w:rsid w:val="00742B1E"/>
    <w:rsid w:val="00754EF7"/>
    <w:rsid w:val="00781323"/>
    <w:rsid w:val="007A4134"/>
    <w:rsid w:val="007B7929"/>
    <w:rsid w:val="00803586"/>
    <w:rsid w:val="00834580"/>
    <w:rsid w:val="008B0E1C"/>
    <w:rsid w:val="008B4E48"/>
    <w:rsid w:val="008D72D6"/>
    <w:rsid w:val="008E5151"/>
    <w:rsid w:val="008F5647"/>
    <w:rsid w:val="00902CCD"/>
    <w:rsid w:val="0096735D"/>
    <w:rsid w:val="00A33A10"/>
    <w:rsid w:val="00A740B5"/>
    <w:rsid w:val="00A8621D"/>
    <w:rsid w:val="00AE61ED"/>
    <w:rsid w:val="00B1001B"/>
    <w:rsid w:val="00B644C7"/>
    <w:rsid w:val="00B6477E"/>
    <w:rsid w:val="00B9717E"/>
    <w:rsid w:val="00BC3490"/>
    <w:rsid w:val="00BE0839"/>
    <w:rsid w:val="00C54C90"/>
    <w:rsid w:val="00C8467C"/>
    <w:rsid w:val="00C93F53"/>
    <w:rsid w:val="00CB513A"/>
    <w:rsid w:val="00CE38E4"/>
    <w:rsid w:val="00CE56DA"/>
    <w:rsid w:val="00D449C8"/>
    <w:rsid w:val="00D47C5E"/>
    <w:rsid w:val="00DC4FFD"/>
    <w:rsid w:val="00DD4C7C"/>
    <w:rsid w:val="00E54A5D"/>
    <w:rsid w:val="00E71E7F"/>
    <w:rsid w:val="00E935C6"/>
    <w:rsid w:val="00EB43DF"/>
    <w:rsid w:val="00ED499C"/>
    <w:rsid w:val="00F0251E"/>
    <w:rsid w:val="00F13B84"/>
    <w:rsid w:val="00F550E9"/>
    <w:rsid w:val="00F85BDF"/>
    <w:rsid w:val="00FC65B8"/>
    <w:rsid w:val="00FD19FD"/>
    <w:rsid w:val="00FD2E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style="mso-position-horizontal:center;mso-position-horizontal-relative:page;mso-position-vertical:center;mso-position-vertical-relative:page" o:allowoverlap="f" fill="f" fillcolor="white" stroke="f">
      <v:fill color="white" on="f"/>
      <v:stroke on="f"/>
    </o:shapedefaults>
    <o:shapelayout v:ext="edit">
      <o:idmap v:ext="edit" data="1"/>
    </o:shapelayout>
  </w:shapeDefaults>
  <w:decimalSymbol w:val="."/>
  <w:listSeparator w:val=","/>
  <w15:chartTrackingRefBased/>
  <w15:docId w15:val="{DF7E60F4-2B02-45C1-9679-5416B31663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297"/>
    <w:pPr>
      <w:spacing w:after="200"/>
    </w:pPr>
    <w:rPr>
      <w:rFonts w:ascii="Calibri" w:hAnsi="Calibri"/>
      <w:sz w:val="22"/>
      <w:szCs w:val="22"/>
      <w:lang w:eastAsia="en-US"/>
    </w:rPr>
  </w:style>
  <w:style w:type="paragraph" w:styleId="Heading1">
    <w:name w:val="heading 1"/>
    <w:basedOn w:val="Normal"/>
    <w:next w:val="Normal"/>
    <w:link w:val="Heading1Char"/>
    <w:autoRedefine/>
    <w:uiPriority w:val="9"/>
    <w:qFormat/>
    <w:rsid w:val="006D3297"/>
    <w:pPr>
      <w:keepNext/>
      <w:spacing w:before="480" w:after="480"/>
      <w:ind w:left="1276"/>
      <w:outlineLvl w:val="0"/>
    </w:pPr>
    <w:rPr>
      <w:b/>
      <w:sz w:val="44"/>
      <w:szCs w:val="20"/>
      <w:lang w:val="x-none"/>
    </w:rPr>
  </w:style>
  <w:style w:type="paragraph" w:styleId="Heading2">
    <w:name w:val="heading 2"/>
    <w:basedOn w:val="Normal"/>
    <w:next w:val="Normal"/>
    <w:link w:val="Heading2Char"/>
    <w:autoRedefine/>
    <w:uiPriority w:val="9"/>
    <w:qFormat/>
    <w:rsid w:val="003C0A2C"/>
    <w:pPr>
      <w:pageBreakBefore/>
      <w:numPr>
        <w:numId w:val="33"/>
      </w:numPr>
      <w:spacing w:before="120" w:after="240"/>
      <w:outlineLvl w:val="1"/>
    </w:pPr>
    <w:rPr>
      <w:b/>
      <w:sz w:val="40"/>
      <w:szCs w:val="20"/>
      <w:lang w:val="x-none"/>
    </w:rPr>
  </w:style>
  <w:style w:type="paragraph" w:styleId="Heading3">
    <w:name w:val="heading 3"/>
    <w:basedOn w:val="Normal"/>
    <w:next w:val="Normal"/>
    <w:link w:val="Heading3Char"/>
    <w:uiPriority w:val="9"/>
    <w:qFormat/>
    <w:rsid w:val="003C0A2C"/>
    <w:pPr>
      <w:numPr>
        <w:ilvl w:val="1"/>
        <w:numId w:val="33"/>
      </w:numPr>
      <w:spacing w:before="360" w:after="120"/>
      <w:outlineLvl w:val="2"/>
    </w:pPr>
    <w:rPr>
      <w:b/>
      <w:sz w:val="32"/>
      <w:szCs w:val="20"/>
      <w:lang w:val="x-none"/>
    </w:rPr>
  </w:style>
  <w:style w:type="paragraph" w:styleId="Heading4">
    <w:name w:val="heading 4"/>
    <w:basedOn w:val="Normal"/>
    <w:next w:val="Normal"/>
    <w:link w:val="Heading4Char"/>
    <w:uiPriority w:val="9"/>
    <w:qFormat/>
    <w:rsid w:val="006D3297"/>
    <w:pPr>
      <w:spacing w:before="120" w:after="0"/>
      <w:outlineLvl w:val="3"/>
    </w:pPr>
    <w:rPr>
      <w:b/>
      <w:sz w:val="28"/>
      <w:szCs w:val="20"/>
      <w:lang w:val="x-none"/>
    </w:rPr>
  </w:style>
  <w:style w:type="paragraph" w:styleId="Heading5">
    <w:name w:val="heading 5"/>
    <w:basedOn w:val="Normal"/>
    <w:next w:val="Normal"/>
    <w:link w:val="Heading5Char"/>
    <w:uiPriority w:val="9"/>
    <w:unhideWhenUsed/>
    <w:qFormat/>
    <w:rsid w:val="006D3297"/>
    <w:pPr>
      <w:spacing w:before="120" w:after="0"/>
      <w:outlineLvl w:val="4"/>
    </w:pPr>
    <w:rPr>
      <w:rFonts w:eastAsia="Times New Roman"/>
      <w:b/>
      <w:bCs/>
      <w:i/>
      <w:iCs/>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autoRedefine/>
    <w:uiPriority w:val="99"/>
    <w:unhideWhenUsed/>
    <w:rsid w:val="006D3297"/>
    <w:pPr>
      <w:tabs>
        <w:tab w:val="center" w:pos="4513"/>
        <w:tab w:val="right" w:pos="9026"/>
      </w:tabs>
      <w:spacing w:after="240"/>
    </w:pPr>
    <w:rPr>
      <w:rFonts w:ascii="Calibri" w:hAnsi="Calibri" w:cs="Arial"/>
      <w:color w:val="000000"/>
      <w:lang w:eastAsia="en-US"/>
    </w:rPr>
  </w:style>
  <w:style w:type="character" w:customStyle="1" w:styleId="HeaderChar">
    <w:name w:val="Header Char"/>
    <w:link w:val="Header"/>
    <w:uiPriority w:val="99"/>
    <w:rsid w:val="006D3297"/>
    <w:rPr>
      <w:rFonts w:ascii="Calibri" w:hAnsi="Calibri" w:cs="Arial"/>
      <w:color w:val="000000"/>
      <w:lang w:eastAsia="en-US"/>
    </w:rPr>
  </w:style>
  <w:style w:type="paragraph" w:styleId="Footer">
    <w:name w:val="footer"/>
    <w:basedOn w:val="Normal"/>
    <w:link w:val="FooterChar"/>
    <w:uiPriority w:val="99"/>
    <w:unhideWhenUsed/>
    <w:rsid w:val="006D3297"/>
    <w:pPr>
      <w:tabs>
        <w:tab w:val="right" w:pos="9026"/>
      </w:tabs>
    </w:pPr>
    <w:rPr>
      <w:sz w:val="20"/>
      <w:szCs w:val="20"/>
      <w:lang w:val="x-none"/>
    </w:rPr>
  </w:style>
  <w:style w:type="character" w:customStyle="1" w:styleId="FooterChar">
    <w:name w:val="Footer Char"/>
    <w:link w:val="Footer"/>
    <w:uiPriority w:val="99"/>
    <w:rsid w:val="006D3297"/>
    <w:rPr>
      <w:rFonts w:ascii="Calibri" w:hAnsi="Calibri"/>
      <w:lang w:val="x-none" w:eastAsia="en-US"/>
    </w:rPr>
  </w:style>
  <w:style w:type="paragraph" w:styleId="BalloonText">
    <w:name w:val="Balloon Text"/>
    <w:basedOn w:val="Normal"/>
    <w:link w:val="BalloonTextChar"/>
    <w:uiPriority w:val="99"/>
    <w:semiHidden/>
    <w:unhideWhenUsed/>
    <w:rsid w:val="006D3297"/>
    <w:rPr>
      <w:rFonts w:ascii="Tahoma" w:hAnsi="Tahoma"/>
      <w:sz w:val="16"/>
      <w:szCs w:val="16"/>
      <w:lang w:val="x-none" w:eastAsia="x-none"/>
    </w:rPr>
  </w:style>
  <w:style w:type="character" w:customStyle="1" w:styleId="BalloonTextChar">
    <w:name w:val="Balloon Text Char"/>
    <w:link w:val="BalloonText"/>
    <w:uiPriority w:val="99"/>
    <w:semiHidden/>
    <w:rsid w:val="006D3297"/>
    <w:rPr>
      <w:rFonts w:ascii="Tahoma" w:hAnsi="Tahoma"/>
      <w:sz w:val="16"/>
      <w:szCs w:val="16"/>
      <w:lang w:val="x-none" w:eastAsia="x-none"/>
    </w:rPr>
  </w:style>
  <w:style w:type="numbering" w:customStyle="1" w:styleId="KeyPoints">
    <w:name w:val="Key Points"/>
    <w:basedOn w:val="NoList"/>
    <w:uiPriority w:val="99"/>
  </w:style>
  <w:style w:type="paragraph" w:customStyle="1" w:styleId="1NumberedPointsStyle">
    <w:name w:val="1. Numbered Points Style"/>
    <w:basedOn w:val="ListParagraph"/>
    <w:uiPriority w:val="99"/>
    <w:semiHidden/>
    <w:rsid w:val="006D3297"/>
    <w:pPr>
      <w:numPr>
        <w:numId w:val="0"/>
      </w:numPr>
    </w:pPr>
  </w:style>
  <w:style w:type="numbering" w:customStyle="1" w:styleId="BulletList">
    <w:name w:val="Bullet List"/>
    <w:uiPriority w:val="99"/>
    <w:rsid w:val="006D3297"/>
    <w:pPr>
      <w:numPr>
        <w:numId w:val="24"/>
      </w:numPr>
    </w:pPr>
  </w:style>
  <w:style w:type="paragraph" w:customStyle="1" w:styleId="1BulletStyleList">
    <w:name w:val="1. Bullet Style List"/>
    <w:basedOn w:val="Normal"/>
    <w:uiPriority w:val="99"/>
    <w:semiHidden/>
    <w:rsid w:val="006D3297"/>
    <w:rPr>
      <w:rFonts w:eastAsia="Times New Roman"/>
      <w:szCs w:val="20"/>
      <w:lang w:eastAsia="en-AU"/>
    </w:rPr>
  </w:style>
  <w:style w:type="character" w:customStyle="1" w:styleId="Heading1Char">
    <w:name w:val="Heading 1 Char"/>
    <w:link w:val="Heading1"/>
    <w:uiPriority w:val="9"/>
    <w:rsid w:val="006D3297"/>
    <w:rPr>
      <w:rFonts w:ascii="Calibri" w:hAnsi="Calibri"/>
      <w:b/>
      <w:sz w:val="44"/>
      <w:lang w:val="x-none" w:eastAsia="en-US"/>
    </w:rPr>
  </w:style>
  <w:style w:type="character" w:customStyle="1" w:styleId="Heading2Char">
    <w:name w:val="Heading 2 Char"/>
    <w:link w:val="Heading2"/>
    <w:uiPriority w:val="9"/>
    <w:rsid w:val="003C0A2C"/>
    <w:rPr>
      <w:rFonts w:ascii="Calibri" w:hAnsi="Calibri"/>
      <w:b/>
      <w:sz w:val="40"/>
      <w:lang w:val="x-none" w:eastAsia="en-US"/>
    </w:rPr>
  </w:style>
  <w:style w:type="character" w:customStyle="1" w:styleId="Heading3Char">
    <w:name w:val="Heading 3 Char"/>
    <w:link w:val="Heading3"/>
    <w:uiPriority w:val="9"/>
    <w:rsid w:val="006D3297"/>
    <w:rPr>
      <w:rFonts w:ascii="Calibri" w:hAnsi="Calibri"/>
      <w:b/>
      <w:sz w:val="32"/>
      <w:lang w:val="x-none" w:eastAsia="en-US"/>
    </w:rPr>
  </w:style>
  <w:style w:type="character" w:customStyle="1" w:styleId="Heading4Char">
    <w:name w:val="Heading 4 Char"/>
    <w:link w:val="Heading4"/>
    <w:uiPriority w:val="9"/>
    <w:rsid w:val="006D3297"/>
    <w:rPr>
      <w:rFonts w:ascii="Calibri" w:hAnsi="Calibri"/>
      <w:b/>
      <w:sz w:val="28"/>
      <w:lang w:val="x-none" w:eastAsia="en-US"/>
    </w:rPr>
  </w:style>
  <w:style w:type="paragraph" w:styleId="ListBullet">
    <w:name w:val="List Bullet"/>
    <w:basedOn w:val="Normal"/>
    <w:autoRedefine/>
    <w:uiPriority w:val="99"/>
    <w:unhideWhenUsed/>
    <w:qFormat/>
    <w:rsid w:val="00781323"/>
    <w:pPr>
      <w:numPr>
        <w:numId w:val="28"/>
      </w:numPr>
      <w:spacing w:before="120" w:after="120"/>
    </w:pPr>
  </w:style>
  <w:style w:type="paragraph" w:styleId="ListBullet2">
    <w:name w:val="List Bullet 2"/>
    <w:basedOn w:val="Normal"/>
    <w:link w:val="ListBullet2Char"/>
    <w:autoRedefine/>
    <w:uiPriority w:val="8"/>
    <w:unhideWhenUsed/>
    <w:qFormat/>
    <w:rsid w:val="000A1901"/>
    <w:pPr>
      <w:numPr>
        <w:ilvl w:val="1"/>
        <w:numId w:val="28"/>
      </w:numPr>
      <w:spacing w:after="120"/>
      <w:ind w:left="851" w:hanging="284"/>
    </w:pPr>
    <w:rPr>
      <w:szCs w:val="20"/>
      <w:lang w:val="x-none"/>
    </w:rPr>
  </w:style>
  <w:style w:type="paragraph" w:styleId="ListBullet3">
    <w:name w:val="List Bullet 3"/>
    <w:basedOn w:val="Normal"/>
    <w:uiPriority w:val="99"/>
    <w:rsid w:val="006D3297"/>
    <w:pPr>
      <w:numPr>
        <w:ilvl w:val="2"/>
        <w:numId w:val="29"/>
      </w:numPr>
    </w:pPr>
  </w:style>
  <w:style w:type="paragraph" w:styleId="ListBullet4">
    <w:name w:val="List Bullet 4"/>
    <w:basedOn w:val="Normal"/>
    <w:uiPriority w:val="99"/>
    <w:rsid w:val="006D3297"/>
    <w:pPr>
      <w:numPr>
        <w:ilvl w:val="3"/>
        <w:numId w:val="29"/>
      </w:numPr>
    </w:pPr>
  </w:style>
  <w:style w:type="paragraph" w:styleId="ListBullet5">
    <w:name w:val="List Bullet 5"/>
    <w:basedOn w:val="Normal"/>
    <w:uiPriority w:val="99"/>
    <w:rsid w:val="006D3297"/>
    <w:pPr>
      <w:numPr>
        <w:ilvl w:val="4"/>
        <w:numId w:val="29"/>
      </w:numPr>
    </w:pPr>
  </w:style>
  <w:style w:type="numbering" w:customStyle="1" w:styleId="Attach">
    <w:name w:val="Attach"/>
    <w:basedOn w:val="NoList"/>
    <w:uiPriority w:val="99"/>
    <w:rsid w:val="006D3297"/>
    <w:pPr>
      <w:numPr>
        <w:numId w:val="23"/>
      </w:numPr>
    </w:pPr>
  </w:style>
  <w:style w:type="paragraph" w:customStyle="1" w:styleId="Classification">
    <w:name w:val="Classification"/>
    <w:basedOn w:val="Normal"/>
    <w:autoRedefine/>
    <w:uiPriority w:val="10"/>
    <w:qFormat/>
    <w:rsid w:val="006D3297"/>
    <w:pPr>
      <w:tabs>
        <w:tab w:val="right" w:pos="9356"/>
      </w:tabs>
      <w:spacing w:before="120" w:after="120"/>
    </w:pPr>
    <w:rPr>
      <w:rFonts w:ascii="Arial" w:eastAsia="Times New Roman" w:hAnsi="Arial" w:cs="Arial"/>
      <w:color w:val="000000"/>
      <w:sz w:val="16"/>
      <w:szCs w:val="16"/>
      <w:lang w:eastAsia="en-AU"/>
    </w:rPr>
  </w:style>
  <w:style w:type="paragraph" w:styleId="ListParagraph">
    <w:name w:val="List Paragraph"/>
    <w:basedOn w:val="Normal"/>
    <w:uiPriority w:val="34"/>
    <w:qFormat/>
    <w:rsid w:val="006D3297"/>
    <w:pPr>
      <w:numPr>
        <w:numId w:val="22"/>
      </w:numPr>
    </w:pPr>
  </w:style>
  <w:style w:type="paragraph" w:customStyle="1" w:styleId="Picture">
    <w:name w:val="Picture"/>
    <w:qFormat/>
    <w:rsid w:val="006D3297"/>
    <w:pPr>
      <w:spacing w:before="120" w:after="360"/>
    </w:pPr>
    <w:rPr>
      <w:rFonts w:ascii="Calibri" w:hAnsi="Calibri"/>
      <w:b/>
      <w:i/>
      <w:sz w:val="24"/>
      <w:lang w:eastAsia="en-US"/>
    </w:rPr>
  </w:style>
  <w:style w:type="paragraph" w:styleId="ListNumber">
    <w:name w:val="List Number"/>
    <w:basedOn w:val="Normal"/>
    <w:autoRedefine/>
    <w:uiPriority w:val="99"/>
    <w:qFormat/>
    <w:rsid w:val="00781323"/>
    <w:pPr>
      <w:numPr>
        <w:numId w:val="31"/>
      </w:numPr>
      <w:ind w:left="567" w:hanging="567"/>
    </w:pPr>
  </w:style>
  <w:style w:type="paragraph" w:styleId="ListNumber2">
    <w:name w:val="List Number 2"/>
    <w:basedOn w:val="Normal"/>
    <w:autoRedefine/>
    <w:uiPriority w:val="99"/>
    <w:rsid w:val="006D3297"/>
    <w:pPr>
      <w:numPr>
        <w:ilvl w:val="1"/>
        <w:numId w:val="32"/>
      </w:numPr>
    </w:pPr>
  </w:style>
  <w:style w:type="paragraph" w:styleId="ListNumber3">
    <w:name w:val="List Number 3"/>
    <w:basedOn w:val="Normal"/>
    <w:uiPriority w:val="99"/>
    <w:rsid w:val="006D3297"/>
    <w:pPr>
      <w:numPr>
        <w:ilvl w:val="2"/>
        <w:numId w:val="31"/>
      </w:numPr>
    </w:pPr>
  </w:style>
  <w:style w:type="paragraph" w:styleId="ListNumber4">
    <w:name w:val="List Number 4"/>
    <w:basedOn w:val="Normal"/>
    <w:uiPriority w:val="99"/>
    <w:rsid w:val="006D3297"/>
    <w:pPr>
      <w:numPr>
        <w:ilvl w:val="3"/>
        <w:numId w:val="31"/>
      </w:numPr>
    </w:pPr>
  </w:style>
  <w:style w:type="paragraph" w:styleId="ListNumber5">
    <w:name w:val="List Number 5"/>
    <w:basedOn w:val="Normal"/>
    <w:uiPriority w:val="99"/>
  </w:style>
  <w:style w:type="table" w:styleId="TableGrid">
    <w:name w:val="Table Grid"/>
    <w:basedOn w:val="TableNormal"/>
    <w:uiPriority w:val="59"/>
    <w:rsid w:val="006D32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text">
    <w:name w:val="Table text"/>
    <w:basedOn w:val="Normal"/>
    <w:uiPriority w:val="9"/>
    <w:qFormat/>
    <w:rsid w:val="006D3297"/>
    <w:pPr>
      <w:spacing w:after="0"/>
    </w:pPr>
    <w:rPr>
      <w:sz w:val="20"/>
    </w:rPr>
  </w:style>
  <w:style w:type="paragraph" w:customStyle="1" w:styleId="Bulletlist2">
    <w:name w:val="Bullet list 2"/>
    <w:basedOn w:val="ListBullet2"/>
    <w:link w:val="Bulletlist2Char"/>
    <w:qFormat/>
    <w:pPr>
      <w:numPr>
        <w:ilvl w:val="0"/>
        <w:numId w:val="0"/>
      </w:numPr>
      <w:spacing w:after="200"/>
    </w:pPr>
    <w:rPr>
      <w:szCs w:val="22"/>
    </w:rPr>
  </w:style>
  <w:style w:type="character" w:customStyle="1" w:styleId="Bulletlist2Char">
    <w:name w:val="Bullet list 2 Char"/>
    <w:link w:val="Bulletlist2"/>
    <w:rPr>
      <w:rFonts w:ascii="Calibri" w:hAnsi="Calibri"/>
      <w:sz w:val="24"/>
      <w:szCs w:val="22"/>
      <w:lang w:val="x-none" w:eastAsia="en-US"/>
    </w:rPr>
  </w:style>
  <w:style w:type="paragraph" w:customStyle="1" w:styleId="Default">
    <w:name w:val="Default"/>
    <w:rsid w:val="006D3297"/>
    <w:pPr>
      <w:autoSpaceDE w:val="0"/>
      <w:autoSpaceDN w:val="0"/>
      <w:adjustRightInd w:val="0"/>
      <w:spacing w:after="200"/>
    </w:pPr>
    <w:rPr>
      <w:rFonts w:ascii="Cambria" w:hAnsi="Cambria" w:cs="Cambria"/>
      <w:color w:val="000000"/>
      <w:sz w:val="24"/>
      <w:szCs w:val="24"/>
    </w:rPr>
  </w:style>
  <w:style w:type="character" w:styleId="Emphasis">
    <w:name w:val="Emphasis"/>
    <w:uiPriority w:val="20"/>
    <w:qFormat/>
    <w:rsid w:val="006D3297"/>
    <w:rPr>
      <w:i/>
      <w:iCs/>
    </w:rPr>
  </w:style>
  <w:style w:type="paragraph" w:styleId="TOCHeading">
    <w:name w:val="TOC Heading"/>
    <w:next w:val="Normal"/>
    <w:uiPriority w:val="39"/>
    <w:unhideWhenUsed/>
    <w:qFormat/>
    <w:rsid w:val="006D3297"/>
    <w:pPr>
      <w:keepLines/>
      <w:pageBreakBefore/>
      <w:spacing w:before="480" w:line="276" w:lineRule="auto"/>
    </w:pPr>
    <w:rPr>
      <w:rFonts w:ascii="Calibri" w:eastAsia="Times New Roman" w:hAnsi="Calibri"/>
      <w:b/>
      <w:bCs/>
      <w:color w:val="000000"/>
      <w:sz w:val="36"/>
      <w:szCs w:val="28"/>
      <w:lang w:val="en-US" w:eastAsia="en-US"/>
    </w:rPr>
  </w:style>
  <w:style w:type="paragraph" w:styleId="TOC1">
    <w:name w:val="toc 1"/>
    <w:basedOn w:val="Normal"/>
    <w:next w:val="Normal"/>
    <w:autoRedefine/>
    <w:uiPriority w:val="39"/>
    <w:unhideWhenUsed/>
    <w:qFormat/>
    <w:rsid w:val="006D3297"/>
    <w:pPr>
      <w:tabs>
        <w:tab w:val="right" w:leader="dot" w:pos="9202"/>
      </w:tabs>
      <w:spacing w:before="120" w:after="120"/>
    </w:pPr>
  </w:style>
  <w:style w:type="paragraph" w:styleId="TOC2">
    <w:name w:val="toc 2"/>
    <w:basedOn w:val="Normal"/>
    <w:next w:val="Normal"/>
    <w:autoRedefine/>
    <w:uiPriority w:val="39"/>
    <w:unhideWhenUsed/>
    <w:qFormat/>
    <w:rsid w:val="001B3F49"/>
    <w:pPr>
      <w:tabs>
        <w:tab w:val="left" w:pos="880"/>
        <w:tab w:val="right" w:leader="dot" w:pos="9202"/>
      </w:tabs>
      <w:spacing w:after="100"/>
    </w:pPr>
  </w:style>
  <w:style w:type="character" w:styleId="Hyperlink">
    <w:name w:val="Hyperlink"/>
    <w:uiPriority w:val="99"/>
    <w:unhideWhenUsed/>
    <w:rsid w:val="006D3297"/>
    <w:rPr>
      <w:color w:val="0000FF"/>
      <w:u w:val="single"/>
    </w:rPr>
  </w:style>
  <w:style w:type="paragraph" w:customStyle="1" w:styleId="Bullet">
    <w:name w:val="Bullet"/>
    <w:basedOn w:val="Normal"/>
    <w:link w:val="BulletChar"/>
    <w:qFormat/>
    <w:pPr>
      <w:numPr>
        <w:numId w:val="3"/>
      </w:numPr>
    </w:pPr>
    <w:rPr>
      <w:lang w:val="x-none"/>
    </w:rPr>
  </w:style>
  <w:style w:type="character" w:styleId="FollowedHyperlink">
    <w:name w:val="FollowedHyperlink"/>
    <w:uiPriority w:val="99"/>
    <w:semiHidden/>
    <w:unhideWhenUsed/>
    <w:rsid w:val="006D3297"/>
    <w:rPr>
      <w:color w:val="800080"/>
      <w:u w:val="single"/>
    </w:rPr>
  </w:style>
  <w:style w:type="paragraph" w:styleId="TOC3">
    <w:name w:val="toc 3"/>
    <w:basedOn w:val="Normal"/>
    <w:next w:val="Normal"/>
    <w:autoRedefine/>
    <w:uiPriority w:val="39"/>
    <w:unhideWhenUsed/>
    <w:qFormat/>
    <w:rsid w:val="006D3297"/>
    <w:pPr>
      <w:spacing w:after="100"/>
      <w:ind w:left="480"/>
    </w:pPr>
  </w:style>
  <w:style w:type="table" w:customStyle="1" w:styleId="LightList-Accent11">
    <w:name w:val="Light List - Accent 11"/>
    <w:basedOn w:val="TableNormal"/>
    <w:next w:val="TableNormal"/>
    <w:uiPriority w:val="61"/>
    <w:rsid w:val="006D3297"/>
    <w:rPr>
      <w:rFonts w:ascii="Calibri" w:hAnsi="Calibri"/>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ullet2">
    <w:name w:val="Bullet 2"/>
    <w:basedOn w:val="Normal"/>
    <w:qFormat/>
    <w:pPr>
      <w:numPr>
        <w:ilvl w:val="1"/>
        <w:numId w:val="3"/>
      </w:numPr>
      <w:spacing w:after="120"/>
    </w:pPr>
  </w:style>
  <w:style w:type="character" w:customStyle="1" w:styleId="BulletChar">
    <w:name w:val="Bullet Char"/>
    <w:link w:val="Bullet"/>
    <w:rPr>
      <w:rFonts w:ascii="Calibri" w:hAnsi="Calibri"/>
      <w:sz w:val="22"/>
      <w:szCs w:val="22"/>
      <w:lang w:val="x-none" w:eastAsia="en-US"/>
    </w:rPr>
  </w:style>
  <w:style w:type="paragraph" w:customStyle="1" w:styleId="Bullet3">
    <w:name w:val="Bullet 3"/>
    <w:basedOn w:val="Normal"/>
    <w:qFormat/>
    <w:pPr>
      <w:numPr>
        <w:ilvl w:val="2"/>
        <w:numId w:val="3"/>
      </w:numPr>
      <w:tabs>
        <w:tab w:val="left" w:pos="284"/>
      </w:tabs>
      <w:spacing w:after="120"/>
    </w:pPr>
  </w:style>
  <w:style w:type="character" w:styleId="CommentReference">
    <w:name w:val="annotation reference"/>
    <w:uiPriority w:val="99"/>
    <w:semiHidden/>
    <w:unhideWhenUsed/>
    <w:rsid w:val="006D3297"/>
    <w:rPr>
      <w:sz w:val="16"/>
      <w:szCs w:val="16"/>
    </w:rPr>
  </w:style>
  <w:style w:type="paragraph" w:styleId="CommentText">
    <w:name w:val="annotation text"/>
    <w:basedOn w:val="Normal"/>
    <w:link w:val="CommentTextChar"/>
    <w:uiPriority w:val="99"/>
    <w:semiHidden/>
    <w:unhideWhenUsed/>
    <w:rsid w:val="006D3297"/>
    <w:rPr>
      <w:sz w:val="20"/>
      <w:szCs w:val="20"/>
      <w:lang w:val="x-none"/>
    </w:rPr>
  </w:style>
  <w:style w:type="character" w:customStyle="1" w:styleId="CommentTextChar">
    <w:name w:val="Comment Text Char"/>
    <w:link w:val="CommentText"/>
    <w:uiPriority w:val="99"/>
    <w:semiHidden/>
    <w:rsid w:val="006D3297"/>
    <w:rPr>
      <w:rFonts w:ascii="Calibri" w:hAnsi="Calibri"/>
      <w:lang w:val="x-none" w:eastAsia="en-US"/>
    </w:rPr>
  </w:style>
  <w:style w:type="paragraph" w:styleId="CommentSubject">
    <w:name w:val="annotation subject"/>
    <w:basedOn w:val="CommentText"/>
    <w:next w:val="CommentText"/>
    <w:link w:val="CommentSubjectChar"/>
    <w:uiPriority w:val="99"/>
    <w:semiHidden/>
    <w:unhideWhenUsed/>
    <w:rsid w:val="006D3297"/>
    <w:rPr>
      <w:b/>
      <w:bCs/>
    </w:rPr>
  </w:style>
  <w:style w:type="character" w:customStyle="1" w:styleId="CommentSubjectChar">
    <w:name w:val="Comment Subject Char"/>
    <w:link w:val="CommentSubject"/>
    <w:uiPriority w:val="99"/>
    <w:semiHidden/>
    <w:rsid w:val="006D3297"/>
    <w:rPr>
      <w:rFonts w:ascii="Calibri" w:hAnsi="Calibri"/>
      <w:b/>
      <w:bCs/>
      <w:lang w:val="x-none" w:eastAsia="en-US"/>
    </w:rPr>
  </w:style>
  <w:style w:type="numbering" w:customStyle="1" w:styleId="Bulletlist0">
    <w:name w:val="Bullet list"/>
    <w:uiPriority w:val="99"/>
    <w:rsid w:val="006D3297"/>
    <w:pPr>
      <w:numPr>
        <w:numId w:val="25"/>
      </w:numPr>
    </w:pPr>
  </w:style>
  <w:style w:type="paragraph" w:customStyle="1" w:styleId="sourcenotesreferences">
    <w:name w:val="source/notes/references"/>
    <w:rsid w:val="006D3297"/>
    <w:pPr>
      <w:tabs>
        <w:tab w:val="left" w:pos="1230"/>
      </w:tabs>
      <w:spacing w:before="120" w:after="240"/>
      <w:contextualSpacing/>
    </w:pPr>
    <w:rPr>
      <w:rFonts w:ascii="Calibri" w:hAnsi="Calibri"/>
      <w:lang w:eastAsia="en-US"/>
    </w:rPr>
  </w:style>
  <w:style w:type="character" w:customStyle="1" w:styleId="ListBullet2Char">
    <w:name w:val="List Bullet 2 Char"/>
    <w:link w:val="ListBullet2"/>
    <w:uiPriority w:val="8"/>
    <w:rsid w:val="000A1901"/>
    <w:rPr>
      <w:rFonts w:ascii="Calibri" w:hAnsi="Calibri"/>
      <w:sz w:val="22"/>
      <w:lang w:val="x-none" w:eastAsia="en-US"/>
    </w:rPr>
  </w:style>
  <w:style w:type="paragraph" w:styleId="Caption">
    <w:name w:val="caption"/>
    <w:basedOn w:val="Normal"/>
    <w:next w:val="Normal"/>
    <w:uiPriority w:val="35"/>
    <w:unhideWhenUsed/>
    <w:qFormat/>
    <w:rsid w:val="006D3297"/>
    <w:pPr>
      <w:spacing w:before="120" w:after="0"/>
    </w:pPr>
    <w:rPr>
      <w:b/>
      <w:bCs/>
      <w:color w:val="548DD4"/>
      <w:szCs w:val="18"/>
    </w:rPr>
  </w:style>
  <w:style w:type="paragraph" w:styleId="Revision">
    <w:name w:val="Revision"/>
    <w:hidden/>
    <w:uiPriority w:val="99"/>
    <w:semiHidden/>
    <w:rPr>
      <w:rFonts w:ascii="Calibri" w:hAnsi="Calibri"/>
      <w:sz w:val="24"/>
      <w:szCs w:val="22"/>
      <w:lang w:eastAsia="en-US"/>
    </w:rPr>
  </w:style>
  <w:style w:type="paragraph" w:styleId="FootnoteText">
    <w:name w:val="footnote text"/>
    <w:basedOn w:val="Normal"/>
    <w:link w:val="FootnoteTextChar"/>
    <w:unhideWhenUsed/>
    <w:rsid w:val="006D3297"/>
    <w:pPr>
      <w:spacing w:after="0"/>
    </w:pPr>
    <w:rPr>
      <w:sz w:val="20"/>
      <w:szCs w:val="20"/>
      <w:lang w:val="x-none"/>
    </w:rPr>
  </w:style>
  <w:style w:type="character" w:customStyle="1" w:styleId="FootnoteTextChar">
    <w:name w:val="Footnote Text Char"/>
    <w:link w:val="FootnoteText"/>
    <w:rsid w:val="006D3297"/>
    <w:rPr>
      <w:rFonts w:ascii="Calibri" w:hAnsi="Calibri"/>
      <w:lang w:val="x-none" w:eastAsia="en-US"/>
    </w:rPr>
  </w:style>
  <w:style w:type="character" w:styleId="FootnoteReference">
    <w:name w:val="footnote reference"/>
    <w:unhideWhenUsed/>
    <w:rsid w:val="006D3297"/>
    <w:rPr>
      <w:vertAlign w:val="superscript"/>
    </w:rPr>
  </w:style>
  <w:style w:type="paragraph" w:styleId="Subtitle">
    <w:name w:val="Subtitle"/>
    <w:basedOn w:val="Normal"/>
    <w:next w:val="Normal"/>
    <w:link w:val="SubtitleChar"/>
    <w:uiPriority w:val="11"/>
    <w:semiHidden/>
    <w:unhideWhenUsed/>
    <w:qFormat/>
    <w:rsid w:val="006D3297"/>
    <w:pPr>
      <w:numPr>
        <w:ilvl w:val="1"/>
      </w:numPr>
      <w:spacing w:after="160"/>
    </w:pPr>
    <w:rPr>
      <w:rFonts w:eastAsia="Times New Roman"/>
      <w:color w:val="5A5A5A"/>
      <w:spacing w:val="15"/>
      <w:sz w:val="20"/>
      <w:szCs w:val="20"/>
      <w:lang w:val="x-none"/>
    </w:rPr>
  </w:style>
  <w:style w:type="character" w:customStyle="1" w:styleId="SubtitleChar">
    <w:name w:val="Subtitle Char"/>
    <w:link w:val="Subtitle"/>
    <w:uiPriority w:val="11"/>
    <w:semiHidden/>
    <w:rsid w:val="006D3297"/>
    <w:rPr>
      <w:rFonts w:ascii="Calibri" w:eastAsia="Times New Roman" w:hAnsi="Calibri"/>
      <w:color w:val="5A5A5A"/>
      <w:spacing w:val="15"/>
      <w:lang w:val="x-none" w:eastAsia="en-US"/>
    </w:rPr>
  </w:style>
  <w:style w:type="numbering" w:customStyle="1" w:styleId="Heading">
    <w:name w:val="Heading"/>
    <w:uiPriority w:val="99"/>
    <w:rsid w:val="006D3297"/>
    <w:pPr>
      <w:numPr>
        <w:numId w:val="26"/>
      </w:numPr>
    </w:pPr>
  </w:style>
  <w:style w:type="character" w:styleId="Strong">
    <w:name w:val="Strong"/>
    <w:uiPriority w:val="99"/>
    <w:qFormat/>
    <w:rsid w:val="006D3297"/>
    <w:rPr>
      <w:b/>
      <w:bCs/>
    </w:rPr>
  </w:style>
  <w:style w:type="paragraph" w:customStyle="1" w:styleId="DateReceived">
    <w:name w:val="Date Received"/>
    <w:basedOn w:val="Footer"/>
    <w:link w:val="DateReceivedChar"/>
    <w:pPr>
      <w:ind w:right="707"/>
    </w:pPr>
    <w:rPr>
      <w:sz w:val="18"/>
      <w:szCs w:val="18"/>
    </w:rPr>
  </w:style>
  <w:style w:type="character" w:customStyle="1" w:styleId="DateReceivedChar">
    <w:name w:val="Date Received Char"/>
    <w:link w:val="DateReceived"/>
    <w:rPr>
      <w:rFonts w:ascii="Calibri" w:hAnsi="Calibri"/>
      <w:sz w:val="18"/>
      <w:szCs w:val="18"/>
      <w:lang w:eastAsia="en-US"/>
    </w:rPr>
  </w:style>
  <w:style w:type="paragraph" w:customStyle="1" w:styleId="CPDNormal">
    <w:name w:val="CPD Normal"/>
    <w:basedOn w:val="Normal"/>
    <w:next w:val="Normal"/>
    <w:link w:val="CPDNormalChar"/>
    <w:locked/>
    <w:pPr>
      <w:overflowPunct w:val="0"/>
      <w:autoSpaceDE w:val="0"/>
      <w:autoSpaceDN w:val="0"/>
      <w:adjustRightInd w:val="0"/>
      <w:spacing w:after="0"/>
      <w:textAlignment w:val="baseline"/>
    </w:pPr>
    <w:rPr>
      <w:rFonts w:ascii="Verdana" w:eastAsia="Times New Roman" w:hAnsi="Verdana"/>
      <w:kern w:val="32"/>
      <w:sz w:val="20"/>
      <w:szCs w:val="20"/>
      <w:lang w:val="x-none"/>
    </w:rPr>
  </w:style>
  <w:style w:type="character" w:customStyle="1" w:styleId="CPDNormalChar">
    <w:name w:val="CPD Normal Char"/>
    <w:link w:val="CPDNormal"/>
    <w:locked/>
    <w:rPr>
      <w:rFonts w:ascii="Verdana" w:eastAsia="Times New Roman" w:hAnsi="Verdana"/>
      <w:kern w:val="32"/>
      <w:lang w:eastAsia="en-US"/>
    </w:rPr>
  </w:style>
  <w:style w:type="paragraph" w:styleId="NormalWeb">
    <w:name w:val="Normal (Web)"/>
    <w:basedOn w:val="Normal"/>
    <w:uiPriority w:val="99"/>
    <w:semiHidden/>
    <w:unhideWhenUsed/>
    <w:rsid w:val="006D3297"/>
    <w:rPr>
      <w:rFonts w:ascii="Times New Roman" w:hAnsi="Times New Roman"/>
      <w:szCs w:val="24"/>
    </w:rPr>
  </w:style>
  <w:style w:type="paragraph" w:customStyle="1" w:styleId="CPDHeader3">
    <w:name w:val="CPD Header 3"/>
    <w:basedOn w:val="Heading2"/>
    <w:autoRedefine/>
    <w:locked/>
    <w:pPr>
      <w:keepNext/>
      <w:pageBreakBefore w:val="0"/>
      <w:numPr>
        <w:numId w:val="0"/>
      </w:numPr>
      <w:overflowPunct w:val="0"/>
      <w:autoSpaceDE w:val="0"/>
      <w:autoSpaceDN w:val="0"/>
      <w:adjustRightInd w:val="0"/>
      <w:spacing w:before="240" w:after="160"/>
      <w:textAlignment w:val="baseline"/>
    </w:pPr>
    <w:rPr>
      <w:rFonts w:ascii="Verdana" w:eastAsia="Times New Roman" w:hAnsi="Verdana" w:cs="Tahoma"/>
      <w:bCs/>
      <w:iCs/>
      <w:sz w:val="22"/>
      <w:szCs w:val="22"/>
      <w:lang w:val="en-AU"/>
    </w:rPr>
  </w:style>
  <w:style w:type="character" w:styleId="IntenseEmphasis">
    <w:name w:val="Intense Emphasis"/>
    <w:uiPriority w:val="21"/>
    <w:qFormat/>
    <w:rsid w:val="006D3297"/>
    <w:rPr>
      <w:b/>
      <w:bCs/>
      <w:i/>
      <w:iCs/>
      <w:color w:val="4F81BD"/>
    </w:rPr>
  </w:style>
  <w:style w:type="character" w:customStyle="1" w:styleId="Heading5Char">
    <w:name w:val="Heading 5 Char"/>
    <w:link w:val="Heading5"/>
    <w:uiPriority w:val="9"/>
    <w:rsid w:val="006D3297"/>
    <w:rPr>
      <w:rFonts w:ascii="Calibri" w:eastAsia="Times New Roman" w:hAnsi="Calibri"/>
      <w:b/>
      <w:bCs/>
      <w:i/>
      <w:iCs/>
      <w:sz w:val="22"/>
      <w:szCs w:val="26"/>
      <w:lang w:val="x-none" w:eastAsia="en-US"/>
    </w:rPr>
  </w:style>
  <w:style w:type="numbering" w:customStyle="1" w:styleId="Bulletlist1">
    <w:name w:val="Bullet list1"/>
    <w:uiPriority w:val="99"/>
    <w:pPr>
      <w:numPr>
        <w:numId w:val="1"/>
      </w:numPr>
    </w:pPr>
  </w:style>
  <w:style w:type="numbering" w:customStyle="1" w:styleId="headinglist">
    <w:name w:val="heading list"/>
    <w:uiPriority w:val="99"/>
    <w:rsid w:val="003C0A2C"/>
    <w:pPr>
      <w:numPr>
        <w:numId w:val="27"/>
      </w:numPr>
    </w:pPr>
  </w:style>
  <w:style w:type="paragraph" w:styleId="List">
    <w:name w:val="List"/>
    <w:basedOn w:val="Normal"/>
    <w:uiPriority w:val="99"/>
    <w:rsid w:val="006D3297"/>
    <w:pPr>
      <w:ind w:left="283" w:hanging="283"/>
      <w:contextualSpacing/>
    </w:pPr>
  </w:style>
  <w:style w:type="numbering" w:customStyle="1" w:styleId="listheading">
    <w:name w:val="list heading"/>
    <w:uiPriority w:val="99"/>
    <w:rsid w:val="006D3297"/>
    <w:pPr>
      <w:numPr>
        <w:numId w:val="30"/>
      </w:numPr>
    </w:pPr>
  </w:style>
  <w:style w:type="numbering" w:customStyle="1" w:styleId="numberedlist">
    <w:name w:val="numbered list"/>
    <w:basedOn w:val="NoList"/>
    <w:uiPriority w:val="99"/>
    <w:rsid w:val="006D3297"/>
    <w:pPr>
      <w:numPr>
        <w:numId w:val="32"/>
      </w:numPr>
    </w:pPr>
  </w:style>
  <w:style w:type="paragraph" w:styleId="Title">
    <w:name w:val="Title"/>
    <w:basedOn w:val="Normal"/>
    <w:next w:val="Normal"/>
    <w:link w:val="TitleChar"/>
    <w:uiPriority w:val="10"/>
    <w:qFormat/>
    <w:rsid w:val="006D329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D3297"/>
    <w:rPr>
      <w:rFonts w:asciiTheme="majorHAnsi" w:eastAsiaTheme="majorEastAsia" w:hAnsiTheme="majorHAnsi" w:cstheme="majorBidi"/>
      <w:spacing w:val="-10"/>
      <w:kern w:val="28"/>
      <w:sz w:val="56"/>
      <w:szCs w:val="56"/>
      <w:lang w:eastAsia="en-US"/>
    </w:rPr>
  </w:style>
  <w:style w:type="character" w:styleId="PlaceholderText">
    <w:name w:val="Placeholder Text"/>
    <w:basedOn w:val="DefaultParagraphFont"/>
    <w:uiPriority w:val="99"/>
    <w:semiHidden/>
    <w:rsid w:val="006D32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05659">
      <w:bodyDiv w:val="1"/>
      <w:marLeft w:val="0"/>
      <w:marRight w:val="0"/>
      <w:marTop w:val="0"/>
      <w:marBottom w:val="0"/>
      <w:divBdr>
        <w:top w:val="none" w:sz="0" w:space="0" w:color="auto"/>
        <w:left w:val="none" w:sz="0" w:space="0" w:color="auto"/>
        <w:bottom w:val="none" w:sz="0" w:space="0" w:color="auto"/>
        <w:right w:val="none" w:sz="0" w:space="0" w:color="auto"/>
      </w:divBdr>
    </w:div>
    <w:div w:id="40176698">
      <w:bodyDiv w:val="1"/>
      <w:marLeft w:val="0"/>
      <w:marRight w:val="0"/>
      <w:marTop w:val="0"/>
      <w:marBottom w:val="0"/>
      <w:divBdr>
        <w:top w:val="none" w:sz="0" w:space="0" w:color="auto"/>
        <w:left w:val="none" w:sz="0" w:space="0" w:color="auto"/>
        <w:bottom w:val="none" w:sz="0" w:space="0" w:color="auto"/>
        <w:right w:val="none" w:sz="0" w:space="0" w:color="auto"/>
      </w:divBdr>
      <w:divsChild>
        <w:div w:id="1231619736">
          <w:marLeft w:val="0"/>
          <w:marRight w:val="0"/>
          <w:marTop w:val="0"/>
          <w:marBottom w:val="0"/>
          <w:divBdr>
            <w:top w:val="none" w:sz="0" w:space="0" w:color="auto"/>
            <w:left w:val="none" w:sz="0" w:space="0" w:color="auto"/>
            <w:bottom w:val="none" w:sz="0" w:space="0" w:color="auto"/>
            <w:right w:val="none" w:sz="0" w:space="0" w:color="auto"/>
          </w:divBdr>
          <w:divsChild>
            <w:div w:id="910039120">
              <w:marLeft w:val="0"/>
              <w:marRight w:val="0"/>
              <w:marTop w:val="0"/>
              <w:marBottom w:val="0"/>
              <w:divBdr>
                <w:top w:val="none" w:sz="0" w:space="0" w:color="auto"/>
                <w:left w:val="none" w:sz="0" w:space="0" w:color="auto"/>
                <w:bottom w:val="none" w:sz="0" w:space="0" w:color="auto"/>
                <w:right w:val="none" w:sz="0" w:space="0" w:color="auto"/>
              </w:divBdr>
              <w:divsChild>
                <w:div w:id="1466002641">
                  <w:marLeft w:val="0"/>
                  <w:marRight w:val="0"/>
                  <w:marTop w:val="0"/>
                  <w:marBottom w:val="0"/>
                  <w:divBdr>
                    <w:top w:val="none" w:sz="0" w:space="0" w:color="auto"/>
                    <w:left w:val="none" w:sz="0" w:space="0" w:color="auto"/>
                    <w:bottom w:val="none" w:sz="0" w:space="0" w:color="auto"/>
                    <w:right w:val="none" w:sz="0" w:space="0" w:color="auto"/>
                  </w:divBdr>
                  <w:divsChild>
                    <w:div w:id="182942337">
                      <w:marLeft w:val="0"/>
                      <w:marRight w:val="0"/>
                      <w:marTop w:val="240"/>
                      <w:marBottom w:val="0"/>
                      <w:divBdr>
                        <w:top w:val="none" w:sz="0" w:space="0" w:color="auto"/>
                        <w:left w:val="none" w:sz="0" w:space="0" w:color="auto"/>
                        <w:bottom w:val="none" w:sz="0" w:space="0" w:color="auto"/>
                        <w:right w:val="none" w:sz="0" w:space="0" w:color="auto"/>
                      </w:divBdr>
                      <w:divsChild>
                        <w:div w:id="197623640">
                          <w:marLeft w:val="0"/>
                          <w:marRight w:val="0"/>
                          <w:marTop w:val="0"/>
                          <w:marBottom w:val="0"/>
                          <w:divBdr>
                            <w:top w:val="none" w:sz="0" w:space="0" w:color="auto"/>
                            <w:left w:val="none" w:sz="0" w:space="0" w:color="auto"/>
                            <w:bottom w:val="none" w:sz="0" w:space="0" w:color="auto"/>
                            <w:right w:val="none" w:sz="0" w:space="0" w:color="auto"/>
                          </w:divBdr>
                          <w:divsChild>
                            <w:div w:id="144776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219266">
      <w:bodyDiv w:val="1"/>
      <w:marLeft w:val="0"/>
      <w:marRight w:val="0"/>
      <w:marTop w:val="0"/>
      <w:marBottom w:val="0"/>
      <w:divBdr>
        <w:top w:val="none" w:sz="0" w:space="0" w:color="auto"/>
        <w:left w:val="none" w:sz="0" w:space="0" w:color="auto"/>
        <w:bottom w:val="none" w:sz="0" w:space="0" w:color="auto"/>
        <w:right w:val="none" w:sz="0" w:space="0" w:color="auto"/>
      </w:divBdr>
      <w:divsChild>
        <w:div w:id="258608839">
          <w:marLeft w:val="0"/>
          <w:marRight w:val="0"/>
          <w:marTop w:val="0"/>
          <w:marBottom w:val="0"/>
          <w:divBdr>
            <w:top w:val="none" w:sz="0" w:space="0" w:color="auto"/>
            <w:left w:val="none" w:sz="0" w:space="0" w:color="auto"/>
            <w:bottom w:val="none" w:sz="0" w:space="0" w:color="auto"/>
            <w:right w:val="none" w:sz="0" w:space="0" w:color="auto"/>
          </w:divBdr>
          <w:divsChild>
            <w:div w:id="1475753551">
              <w:marLeft w:val="0"/>
              <w:marRight w:val="0"/>
              <w:marTop w:val="0"/>
              <w:marBottom w:val="0"/>
              <w:divBdr>
                <w:top w:val="none" w:sz="0" w:space="0" w:color="auto"/>
                <w:left w:val="none" w:sz="0" w:space="0" w:color="auto"/>
                <w:bottom w:val="none" w:sz="0" w:space="0" w:color="auto"/>
                <w:right w:val="none" w:sz="0" w:space="0" w:color="auto"/>
              </w:divBdr>
              <w:divsChild>
                <w:div w:id="78408737">
                  <w:marLeft w:val="0"/>
                  <w:marRight w:val="0"/>
                  <w:marTop w:val="0"/>
                  <w:marBottom w:val="0"/>
                  <w:divBdr>
                    <w:top w:val="none" w:sz="0" w:space="0" w:color="auto"/>
                    <w:left w:val="none" w:sz="0" w:space="0" w:color="auto"/>
                    <w:bottom w:val="none" w:sz="0" w:space="0" w:color="auto"/>
                    <w:right w:val="none" w:sz="0" w:space="0" w:color="auto"/>
                  </w:divBdr>
                  <w:divsChild>
                    <w:div w:id="910044784">
                      <w:marLeft w:val="0"/>
                      <w:marRight w:val="0"/>
                      <w:marTop w:val="240"/>
                      <w:marBottom w:val="0"/>
                      <w:divBdr>
                        <w:top w:val="none" w:sz="0" w:space="0" w:color="auto"/>
                        <w:left w:val="none" w:sz="0" w:space="0" w:color="auto"/>
                        <w:bottom w:val="none" w:sz="0" w:space="0" w:color="auto"/>
                        <w:right w:val="none" w:sz="0" w:space="0" w:color="auto"/>
                      </w:divBdr>
                      <w:divsChild>
                        <w:div w:id="231888780">
                          <w:marLeft w:val="0"/>
                          <w:marRight w:val="0"/>
                          <w:marTop w:val="0"/>
                          <w:marBottom w:val="0"/>
                          <w:divBdr>
                            <w:top w:val="none" w:sz="0" w:space="0" w:color="auto"/>
                            <w:left w:val="none" w:sz="0" w:space="0" w:color="auto"/>
                            <w:bottom w:val="none" w:sz="0" w:space="0" w:color="auto"/>
                            <w:right w:val="none" w:sz="0" w:space="0" w:color="auto"/>
                          </w:divBdr>
                          <w:divsChild>
                            <w:div w:id="183503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0179">
      <w:bodyDiv w:val="1"/>
      <w:marLeft w:val="0"/>
      <w:marRight w:val="0"/>
      <w:marTop w:val="0"/>
      <w:marBottom w:val="0"/>
      <w:divBdr>
        <w:top w:val="none" w:sz="0" w:space="0" w:color="auto"/>
        <w:left w:val="none" w:sz="0" w:space="0" w:color="auto"/>
        <w:bottom w:val="none" w:sz="0" w:space="0" w:color="auto"/>
        <w:right w:val="none" w:sz="0" w:space="0" w:color="auto"/>
      </w:divBdr>
      <w:divsChild>
        <w:div w:id="1239828799">
          <w:marLeft w:val="0"/>
          <w:marRight w:val="0"/>
          <w:marTop w:val="0"/>
          <w:marBottom w:val="0"/>
          <w:divBdr>
            <w:top w:val="none" w:sz="0" w:space="0" w:color="auto"/>
            <w:left w:val="none" w:sz="0" w:space="0" w:color="auto"/>
            <w:bottom w:val="none" w:sz="0" w:space="0" w:color="auto"/>
            <w:right w:val="none" w:sz="0" w:space="0" w:color="auto"/>
          </w:divBdr>
          <w:divsChild>
            <w:div w:id="1811821166">
              <w:marLeft w:val="0"/>
              <w:marRight w:val="0"/>
              <w:marTop w:val="0"/>
              <w:marBottom w:val="0"/>
              <w:divBdr>
                <w:top w:val="none" w:sz="0" w:space="0" w:color="auto"/>
                <w:left w:val="none" w:sz="0" w:space="0" w:color="auto"/>
                <w:bottom w:val="none" w:sz="0" w:space="0" w:color="auto"/>
                <w:right w:val="none" w:sz="0" w:space="0" w:color="auto"/>
              </w:divBdr>
              <w:divsChild>
                <w:div w:id="1080641921">
                  <w:marLeft w:val="0"/>
                  <w:marRight w:val="0"/>
                  <w:marTop w:val="0"/>
                  <w:marBottom w:val="0"/>
                  <w:divBdr>
                    <w:top w:val="none" w:sz="0" w:space="0" w:color="auto"/>
                    <w:left w:val="none" w:sz="0" w:space="0" w:color="auto"/>
                    <w:bottom w:val="none" w:sz="0" w:space="0" w:color="auto"/>
                    <w:right w:val="none" w:sz="0" w:space="0" w:color="auto"/>
                  </w:divBdr>
                  <w:divsChild>
                    <w:div w:id="196885233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98395698">
      <w:bodyDiv w:val="1"/>
      <w:marLeft w:val="0"/>
      <w:marRight w:val="0"/>
      <w:marTop w:val="0"/>
      <w:marBottom w:val="0"/>
      <w:divBdr>
        <w:top w:val="none" w:sz="0" w:space="0" w:color="auto"/>
        <w:left w:val="none" w:sz="0" w:space="0" w:color="auto"/>
        <w:bottom w:val="none" w:sz="0" w:space="0" w:color="auto"/>
        <w:right w:val="none" w:sz="0" w:space="0" w:color="auto"/>
      </w:divBdr>
    </w:div>
    <w:div w:id="203909291">
      <w:bodyDiv w:val="1"/>
      <w:marLeft w:val="0"/>
      <w:marRight w:val="0"/>
      <w:marTop w:val="0"/>
      <w:marBottom w:val="0"/>
      <w:divBdr>
        <w:top w:val="none" w:sz="0" w:space="0" w:color="auto"/>
        <w:left w:val="none" w:sz="0" w:space="0" w:color="auto"/>
        <w:bottom w:val="none" w:sz="0" w:space="0" w:color="auto"/>
        <w:right w:val="none" w:sz="0" w:space="0" w:color="auto"/>
      </w:divBdr>
    </w:div>
    <w:div w:id="309988343">
      <w:bodyDiv w:val="1"/>
      <w:marLeft w:val="0"/>
      <w:marRight w:val="0"/>
      <w:marTop w:val="0"/>
      <w:marBottom w:val="0"/>
      <w:divBdr>
        <w:top w:val="none" w:sz="0" w:space="0" w:color="auto"/>
        <w:left w:val="none" w:sz="0" w:space="0" w:color="auto"/>
        <w:bottom w:val="none" w:sz="0" w:space="0" w:color="auto"/>
        <w:right w:val="none" w:sz="0" w:space="0" w:color="auto"/>
      </w:divBdr>
      <w:divsChild>
        <w:div w:id="526599457">
          <w:marLeft w:val="0"/>
          <w:marRight w:val="0"/>
          <w:marTop w:val="0"/>
          <w:marBottom w:val="0"/>
          <w:divBdr>
            <w:top w:val="none" w:sz="0" w:space="0" w:color="auto"/>
            <w:left w:val="none" w:sz="0" w:space="0" w:color="auto"/>
            <w:bottom w:val="none" w:sz="0" w:space="0" w:color="auto"/>
            <w:right w:val="none" w:sz="0" w:space="0" w:color="auto"/>
          </w:divBdr>
          <w:divsChild>
            <w:div w:id="234752805">
              <w:marLeft w:val="0"/>
              <w:marRight w:val="0"/>
              <w:marTop w:val="0"/>
              <w:marBottom w:val="0"/>
              <w:divBdr>
                <w:top w:val="none" w:sz="0" w:space="0" w:color="auto"/>
                <w:left w:val="none" w:sz="0" w:space="0" w:color="auto"/>
                <w:bottom w:val="none" w:sz="0" w:space="0" w:color="auto"/>
                <w:right w:val="none" w:sz="0" w:space="0" w:color="auto"/>
              </w:divBdr>
              <w:divsChild>
                <w:div w:id="1360280520">
                  <w:marLeft w:val="0"/>
                  <w:marRight w:val="0"/>
                  <w:marTop w:val="0"/>
                  <w:marBottom w:val="0"/>
                  <w:divBdr>
                    <w:top w:val="none" w:sz="0" w:space="0" w:color="auto"/>
                    <w:left w:val="none" w:sz="0" w:space="0" w:color="auto"/>
                    <w:bottom w:val="none" w:sz="0" w:space="0" w:color="auto"/>
                    <w:right w:val="none" w:sz="0" w:space="0" w:color="auto"/>
                  </w:divBdr>
                  <w:divsChild>
                    <w:div w:id="1173451533">
                      <w:marLeft w:val="0"/>
                      <w:marRight w:val="0"/>
                      <w:marTop w:val="240"/>
                      <w:marBottom w:val="0"/>
                      <w:divBdr>
                        <w:top w:val="none" w:sz="0" w:space="0" w:color="auto"/>
                        <w:left w:val="none" w:sz="0" w:space="0" w:color="auto"/>
                        <w:bottom w:val="none" w:sz="0" w:space="0" w:color="auto"/>
                        <w:right w:val="none" w:sz="0" w:space="0" w:color="auto"/>
                      </w:divBdr>
                      <w:divsChild>
                        <w:div w:id="2042782378">
                          <w:marLeft w:val="0"/>
                          <w:marRight w:val="0"/>
                          <w:marTop w:val="0"/>
                          <w:marBottom w:val="0"/>
                          <w:divBdr>
                            <w:top w:val="none" w:sz="0" w:space="0" w:color="auto"/>
                            <w:left w:val="none" w:sz="0" w:space="0" w:color="auto"/>
                            <w:bottom w:val="none" w:sz="0" w:space="0" w:color="auto"/>
                            <w:right w:val="none" w:sz="0" w:space="0" w:color="auto"/>
                          </w:divBdr>
                          <w:divsChild>
                            <w:div w:id="144900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003857">
      <w:bodyDiv w:val="1"/>
      <w:marLeft w:val="0"/>
      <w:marRight w:val="0"/>
      <w:marTop w:val="0"/>
      <w:marBottom w:val="0"/>
      <w:divBdr>
        <w:top w:val="none" w:sz="0" w:space="0" w:color="auto"/>
        <w:left w:val="none" w:sz="0" w:space="0" w:color="auto"/>
        <w:bottom w:val="none" w:sz="0" w:space="0" w:color="auto"/>
        <w:right w:val="none" w:sz="0" w:space="0" w:color="auto"/>
      </w:divBdr>
    </w:div>
    <w:div w:id="344672000">
      <w:bodyDiv w:val="1"/>
      <w:marLeft w:val="0"/>
      <w:marRight w:val="0"/>
      <w:marTop w:val="0"/>
      <w:marBottom w:val="0"/>
      <w:divBdr>
        <w:top w:val="none" w:sz="0" w:space="0" w:color="auto"/>
        <w:left w:val="none" w:sz="0" w:space="0" w:color="auto"/>
        <w:bottom w:val="none" w:sz="0" w:space="0" w:color="auto"/>
        <w:right w:val="none" w:sz="0" w:space="0" w:color="auto"/>
      </w:divBdr>
      <w:divsChild>
        <w:div w:id="216011664">
          <w:marLeft w:val="0"/>
          <w:marRight w:val="0"/>
          <w:marTop w:val="0"/>
          <w:marBottom w:val="0"/>
          <w:divBdr>
            <w:top w:val="none" w:sz="0" w:space="0" w:color="auto"/>
            <w:left w:val="none" w:sz="0" w:space="0" w:color="auto"/>
            <w:bottom w:val="none" w:sz="0" w:space="0" w:color="auto"/>
            <w:right w:val="none" w:sz="0" w:space="0" w:color="auto"/>
          </w:divBdr>
          <w:divsChild>
            <w:div w:id="1658920856">
              <w:marLeft w:val="0"/>
              <w:marRight w:val="0"/>
              <w:marTop w:val="0"/>
              <w:marBottom w:val="0"/>
              <w:divBdr>
                <w:top w:val="none" w:sz="0" w:space="0" w:color="auto"/>
                <w:left w:val="none" w:sz="0" w:space="0" w:color="auto"/>
                <w:bottom w:val="none" w:sz="0" w:space="0" w:color="auto"/>
                <w:right w:val="none" w:sz="0" w:space="0" w:color="auto"/>
              </w:divBdr>
              <w:divsChild>
                <w:div w:id="1979721420">
                  <w:marLeft w:val="0"/>
                  <w:marRight w:val="0"/>
                  <w:marTop w:val="0"/>
                  <w:marBottom w:val="0"/>
                  <w:divBdr>
                    <w:top w:val="none" w:sz="0" w:space="0" w:color="auto"/>
                    <w:left w:val="none" w:sz="0" w:space="0" w:color="auto"/>
                    <w:bottom w:val="none" w:sz="0" w:space="0" w:color="auto"/>
                    <w:right w:val="none" w:sz="0" w:space="0" w:color="auto"/>
                  </w:divBdr>
                  <w:divsChild>
                    <w:div w:id="13961375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388043620">
      <w:bodyDiv w:val="1"/>
      <w:marLeft w:val="0"/>
      <w:marRight w:val="0"/>
      <w:marTop w:val="0"/>
      <w:marBottom w:val="0"/>
      <w:divBdr>
        <w:top w:val="none" w:sz="0" w:space="0" w:color="auto"/>
        <w:left w:val="none" w:sz="0" w:space="0" w:color="auto"/>
        <w:bottom w:val="none" w:sz="0" w:space="0" w:color="auto"/>
        <w:right w:val="none" w:sz="0" w:space="0" w:color="auto"/>
      </w:divBdr>
    </w:div>
    <w:div w:id="502430397">
      <w:bodyDiv w:val="1"/>
      <w:marLeft w:val="0"/>
      <w:marRight w:val="0"/>
      <w:marTop w:val="0"/>
      <w:marBottom w:val="0"/>
      <w:divBdr>
        <w:top w:val="none" w:sz="0" w:space="0" w:color="auto"/>
        <w:left w:val="none" w:sz="0" w:space="0" w:color="auto"/>
        <w:bottom w:val="none" w:sz="0" w:space="0" w:color="auto"/>
        <w:right w:val="none" w:sz="0" w:space="0" w:color="auto"/>
      </w:divBdr>
      <w:divsChild>
        <w:div w:id="1844129112">
          <w:marLeft w:val="0"/>
          <w:marRight w:val="0"/>
          <w:marTop w:val="0"/>
          <w:marBottom w:val="0"/>
          <w:divBdr>
            <w:top w:val="none" w:sz="0" w:space="0" w:color="auto"/>
            <w:left w:val="none" w:sz="0" w:space="0" w:color="auto"/>
            <w:bottom w:val="none" w:sz="0" w:space="0" w:color="auto"/>
            <w:right w:val="none" w:sz="0" w:space="0" w:color="auto"/>
          </w:divBdr>
          <w:divsChild>
            <w:div w:id="294021180">
              <w:marLeft w:val="0"/>
              <w:marRight w:val="0"/>
              <w:marTop w:val="0"/>
              <w:marBottom w:val="0"/>
              <w:divBdr>
                <w:top w:val="none" w:sz="0" w:space="0" w:color="auto"/>
                <w:left w:val="none" w:sz="0" w:space="0" w:color="auto"/>
                <w:bottom w:val="none" w:sz="0" w:space="0" w:color="auto"/>
                <w:right w:val="none" w:sz="0" w:space="0" w:color="auto"/>
              </w:divBdr>
              <w:divsChild>
                <w:div w:id="624314200">
                  <w:marLeft w:val="0"/>
                  <w:marRight w:val="0"/>
                  <w:marTop w:val="0"/>
                  <w:marBottom w:val="0"/>
                  <w:divBdr>
                    <w:top w:val="none" w:sz="0" w:space="0" w:color="auto"/>
                    <w:left w:val="none" w:sz="0" w:space="0" w:color="auto"/>
                    <w:bottom w:val="none" w:sz="0" w:space="0" w:color="auto"/>
                    <w:right w:val="none" w:sz="0" w:space="0" w:color="auto"/>
                  </w:divBdr>
                  <w:divsChild>
                    <w:div w:id="2014410114">
                      <w:marLeft w:val="0"/>
                      <w:marRight w:val="0"/>
                      <w:marTop w:val="240"/>
                      <w:marBottom w:val="0"/>
                      <w:divBdr>
                        <w:top w:val="none" w:sz="0" w:space="0" w:color="auto"/>
                        <w:left w:val="none" w:sz="0" w:space="0" w:color="auto"/>
                        <w:bottom w:val="none" w:sz="0" w:space="0" w:color="auto"/>
                        <w:right w:val="none" w:sz="0" w:space="0" w:color="auto"/>
                      </w:divBdr>
                      <w:divsChild>
                        <w:div w:id="114793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876403">
      <w:bodyDiv w:val="1"/>
      <w:marLeft w:val="0"/>
      <w:marRight w:val="0"/>
      <w:marTop w:val="0"/>
      <w:marBottom w:val="0"/>
      <w:divBdr>
        <w:top w:val="none" w:sz="0" w:space="0" w:color="auto"/>
        <w:left w:val="none" w:sz="0" w:space="0" w:color="auto"/>
        <w:bottom w:val="none" w:sz="0" w:space="0" w:color="auto"/>
        <w:right w:val="none" w:sz="0" w:space="0" w:color="auto"/>
      </w:divBdr>
    </w:div>
    <w:div w:id="599266312">
      <w:bodyDiv w:val="1"/>
      <w:marLeft w:val="0"/>
      <w:marRight w:val="0"/>
      <w:marTop w:val="0"/>
      <w:marBottom w:val="0"/>
      <w:divBdr>
        <w:top w:val="none" w:sz="0" w:space="0" w:color="auto"/>
        <w:left w:val="none" w:sz="0" w:space="0" w:color="auto"/>
        <w:bottom w:val="none" w:sz="0" w:space="0" w:color="auto"/>
        <w:right w:val="none" w:sz="0" w:space="0" w:color="auto"/>
      </w:divBdr>
    </w:div>
    <w:div w:id="612633620">
      <w:bodyDiv w:val="1"/>
      <w:marLeft w:val="0"/>
      <w:marRight w:val="0"/>
      <w:marTop w:val="0"/>
      <w:marBottom w:val="0"/>
      <w:divBdr>
        <w:top w:val="none" w:sz="0" w:space="0" w:color="auto"/>
        <w:left w:val="none" w:sz="0" w:space="0" w:color="auto"/>
        <w:bottom w:val="none" w:sz="0" w:space="0" w:color="auto"/>
        <w:right w:val="none" w:sz="0" w:space="0" w:color="auto"/>
      </w:divBdr>
    </w:div>
    <w:div w:id="640229272">
      <w:bodyDiv w:val="1"/>
      <w:marLeft w:val="0"/>
      <w:marRight w:val="0"/>
      <w:marTop w:val="0"/>
      <w:marBottom w:val="0"/>
      <w:divBdr>
        <w:top w:val="none" w:sz="0" w:space="0" w:color="auto"/>
        <w:left w:val="none" w:sz="0" w:space="0" w:color="auto"/>
        <w:bottom w:val="none" w:sz="0" w:space="0" w:color="auto"/>
        <w:right w:val="none" w:sz="0" w:space="0" w:color="auto"/>
      </w:divBdr>
    </w:div>
    <w:div w:id="676470540">
      <w:bodyDiv w:val="1"/>
      <w:marLeft w:val="0"/>
      <w:marRight w:val="0"/>
      <w:marTop w:val="0"/>
      <w:marBottom w:val="0"/>
      <w:divBdr>
        <w:top w:val="none" w:sz="0" w:space="0" w:color="auto"/>
        <w:left w:val="none" w:sz="0" w:space="0" w:color="auto"/>
        <w:bottom w:val="none" w:sz="0" w:space="0" w:color="auto"/>
        <w:right w:val="none" w:sz="0" w:space="0" w:color="auto"/>
      </w:divBdr>
    </w:div>
    <w:div w:id="700981092">
      <w:bodyDiv w:val="1"/>
      <w:marLeft w:val="0"/>
      <w:marRight w:val="0"/>
      <w:marTop w:val="0"/>
      <w:marBottom w:val="0"/>
      <w:divBdr>
        <w:top w:val="none" w:sz="0" w:space="0" w:color="auto"/>
        <w:left w:val="none" w:sz="0" w:space="0" w:color="auto"/>
        <w:bottom w:val="none" w:sz="0" w:space="0" w:color="auto"/>
        <w:right w:val="none" w:sz="0" w:space="0" w:color="auto"/>
      </w:divBdr>
      <w:divsChild>
        <w:div w:id="1878354135">
          <w:marLeft w:val="0"/>
          <w:marRight w:val="0"/>
          <w:marTop w:val="0"/>
          <w:marBottom w:val="0"/>
          <w:divBdr>
            <w:top w:val="none" w:sz="0" w:space="0" w:color="auto"/>
            <w:left w:val="none" w:sz="0" w:space="0" w:color="auto"/>
            <w:bottom w:val="none" w:sz="0" w:space="0" w:color="auto"/>
            <w:right w:val="none" w:sz="0" w:space="0" w:color="auto"/>
          </w:divBdr>
          <w:divsChild>
            <w:div w:id="497500891">
              <w:marLeft w:val="0"/>
              <w:marRight w:val="0"/>
              <w:marTop w:val="0"/>
              <w:marBottom w:val="0"/>
              <w:divBdr>
                <w:top w:val="none" w:sz="0" w:space="0" w:color="auto"/>
                <w:left w:val="none" w:sz="0" w:space="0" w:color="auto"/>
                <w:bottom w:val="none" w:sz="0" w:space="0" w:color="auto"/>
                <w:right w:val="none" w:sz="0" w:space="0" w:color="auto"/>
              </w:divBdr>
              <w:divsChild>
                <w:div w:id="739250388">
                  <w:marLeft w:val="0"/>
                  <w:marRight w:val="0"/>
                  <w:marTop w:val="0"/>
                  <w:marBottom w:val="0"/>
                  <w:divBdr>
                    <w:top w:val="none" w:sz="0" w:space="0" w:color="auto"/>
                    <w:left w:val="none" w:sz="0" w:space="0" w:color="auto"/>
                    <w:bottom w:val="none" w:sz="0" w:space="0" w:color="auto"/>
                    <w:right w:val="none" w:sz="0" w:space="0" w:color="auto"/>
                  </w:divBdr>
                  <w:divsChild>
                    <w:div w:id="1893037172">
                      <w:marLeft w:val="0"/>
                      <w:marRight w:val="0"/>
                      <w:marTop w:val="240"/>
                      <w:marBottom w:val="0"/>
                      <w:divBdr>
                        <w:top w:val="none" w:sz="0" w:space="0" w:color="auto"/>
                        <w:left w:val="none" w:sz="0" w:space="0" w:color="auto"/>
                        <w:bottom w:val="none" w:sz="0" w:space="0" w:color="auto"/>
                        <w:right w:val="none" w:sz="0" w:space="0" w:color="auto"/>
                      </w:divBdr>
                      <w:divsChild>
                        <w:div w:id="671104614">
                          <w:marLeft w:val="0"/>
                          <w:marRight w:val="0"/>
                          <w:marTop w:val="0"/>
                          <w:marBottom w:val="0"/>
                          <w:divBdr>
                            <w:top w:val="none" w:sz="0" w:space="0" w:color="auto"/>
                            <w:left w:val="none" w:sz="0" w:space="0" w:color="auto"/>
                            <w:bottom w:val="none" w:sz="0" w:space="0" w:color="auto"/>
                            <w:right w:val="none" w:sz="0" w:space="0" w:color="auto"/>
                          </w:divBdr>
                          <w:divsChild>
                            <w:div w:id="1308439984">
                              <w:marLeft w:val="0"/>
                              <w:marRight w:val="0"/>
                              <w:marTop w:val="0"/>
                              <w:marBottom w:val="0"/>
                              <w:divBdr>
                                <w:top w:val="none" w:sz="0" w:space="0" w:color="auto"/>
                                <w:left w:val="none" w:sz="0" w:space="0" w:color="auto"/>
                                <w:bottom w:val="none" w:sz="0" w:space="0" w:color="auto"/>
                                <w:right w:val="none" w:sz="0" w:space="0" w:color="auto"/>
                              </w:divBdr>
                              <w:divsChild>
                                <w:div w:id="63579300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2585920">
      <w:bodyDiv w:val="1"/>
      <w:marLeft w:val="0"/>
      <w:marRight w:val="0"/>
      <w:marTop w:val="0"/>
      <w:marBottom w:val="0"/>
      <w:divBdr>
        <w:top w:val="none" w:sz="0" w:space="0" w:color="auto"/>
        <w:left w:val="none" w:sz="0" w:space="0" w:color="auto"/>
        <w:bottom w:val="none" w:sz="0" w:space="0" w:color="auto"/>
        <w:right w:val="none" w:sz="0" w:space="0" w:color="auto"/>
      </w:divBdr>
    </w:div>
    <w:div w:id="776868264">
      <w:bodyDiv w:val="1"/>
      <w:marLeft w:val="0"/>
      <w:marRight w:val="0"/>
      <w:marTop w:val="0"/>
      <w:marBottom w:val="0"/>
      <w:divBdr>
        <w:top w:val="none" w:sz="0" w:space="0" w:color="auto"/>
        <w:left w:val="none" w:sz="0" w:space="0" w:color="auto"/>
        <w:bottom w:val="none" w:sz="0" w:space="0" w:color="auto"/>
        <w:right w:val="none" w:sz="0" w:space="0" w:color="auto"/>
      </w:divBdr>
      <w:divsChild>
        <w:div w:id="1550385240">
          <w:marLeft w:val="0"/>
          <w:marRight w:val="0"/>
          <w:marTop w:val="0"/>
          <w:marBottom w:val="0"/>
          <w:divBdr>
            <w:top w:val="none" w:sz="0" w:space="0" w:color="auto"/>
            <w:left w:val="none" w:sz="0" w:space="0" w:color="auto"/>
            <w:bottom w:val="none" w:sz="0" w:space="0" w:color="auto"/>
            <w:right w:val="none" w:sz="0" w:space="0" w:color="auto"/>
          </w:divBdr>
          <w:divsChild>
            <w:div w:id="1727727956">
              <w:marLeft w:val="0"/>
              <w:marRight w:val="0"/>
              <w:marTop w:val="0"/>
              <w:marBottom w:val="0"/>
              <w:divBdr>
                <w:top w:val="none" w:sz="0" w:space="0" w:color="auto"/>
                <w:left w:val="none" w:sz="0" w:space="0" w:color="auto"/>
                <w:bottom w:val="none" w:sz="0" w:space="0" w:color="auto"/>
                <w:right w:val="none" w:sz="0" w:space="0" w:color="auto"/>
              </w:divBdr>
              <w:divsChild>
                <w:div w:id="305622210">
                  <w:marLeft w:val="0"/>
                  <w:marRight w:val="0"/>
                  <w:marTop w:val="0"/>
                  <w:marBottom w:val="0"/>
                  <w:divBdr>
                    <w:top w:val="none" w:sz="0" w:space="0" w:color="auto"/>
                    <w:left w:val="none" w:sz="0" w:space="0" w:color="auto"/>
                    <w:bottom w:val="none" w:sz="0" w:space="0" w:color="auto"/>
                    <w:right w:val="none" w:sz="0" w:space="0" w:color="auto"/>
                  </w:divBdr>
                  <w:divsChild>
                    <w:div w:id="1435976546">
                      <w:marLeft w:val="0"/>
                      <w:marRight w:val="0"/>
                      <w:marTop w:val="240"/>
                      <w:marBottom w:val="0"/>
                      <w:divBdr>
                        <w:top w:val="none" w:sz="0" w:space="0" w:color="auto"/>
                        <w:left w:val="none" w:sz="0" w:space="0" w:color="auto"/>
                        <w:bottom w:val="none" w:sz="0" w:space="0" w:color="auto"/>
                        <w:right w:val="none" w:sz="0" w:space="0" w:color="auto"/>
                      </w:divBdr>
                      <w:divsChild>
                        <w:div w:id="1493256189">
                          <w:marLeft w:val="0"/>
                          <w:marRight w:val="0"/>
                          <w:marTop w:val="0"/>
                          <w:marBottom w:val="0"/>
                          <w:divBdr>
                            <w:top w:val="none" w:sz="0" w:space="0" w:color="auto"/>
                            <w:left w:val="none" w:sz="0" w:space="0" w:color="auto"/>
                            <w:bottom w:val="none" w:sz="0" w:space="0" w:color="auto"/>
                            <w:right w:val="none" w:sz="0" w:space="0" w:color="auto"/>
                          </w:divBdr>
                          <w:divsChild>
                            <w:div w:id="156252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980178">
      <w:bodyDiv w:val="1"/>
      <w:marLeft w:val="0"/>
      <w:marRight w:val="0"/>
      <w:marTop w:val="0"/>
      <w:marBottom w:val="0"/>
      <w:divBdr>
        <w:top w:val="none" w:sz="0" w:space="0" w:color="auto"/>
        <w:left w:val="none" w:sz="0" w:space="0" w:color="auto"/>
        <w:bottom w:val="none" w:sz="0" w:space="0" w:color="auto"/>
        <w:right w:val="none" w:sz="0" w:space="0" w:color="auto"/>
      </w:divBdr>
    </w:div>
    <w:div w:id="826626232">
      <w:bodyDiv w:val="1"/>
      <w:marLeft w:val="0"/>
      <w:marRight w:val="0"/>
      <w:marTop w:val="0"/>
      <w:marBottom w:val="0"/>
      <w:divBdr>
        <w:top w:val="none" w:sz="0" w:space="0" w:color="auto"/>
        <w:left w:val="none" w:sz="0" w:space="0" w:color="auto"/>
        <w:bottom w:val="none" w:sz="0" w:space="0" w:color="auto"/>
        <w:right w:val="none" w:sz="0" w:space="0" w:color="auto"/>
      </w:divBdr>
    </w:div>
    <w:div w:id="842164983">
      <w:bodyDiv w:val="1"/>
      <w:marLeft w:val="0"/>
      <w:marRight w:val="0"/>
      <w:marTop w:val="0"/>
      <w:marBottom w:val="0"/>
      <w:divBdr>
        <w:top w:val="none" w:sz="0" w:space="0" w:color="auto"/>
        <w:left w:val="none" w:sz="0" w:space="0" w:color="auto"/>
        <w:bottom w:val="none" w:sz="0" w:space="0" w:color="auto"/>
        <w:right w:val="none" w:sz="0" w:space="0" w:color="auto"/>
      </w:divBdr>
      <w:divsChild>
        <w:div w:id="580258691">
          <w:marLeft w:val="0"/>
          <w:marRight w:val="0"/>
          <w:marTop w:val="0"/>
          <w:marBottom w:val="0"/>
          <w:divBdr>
            <w:top w:val="none" w:sz="0" w:space="0" w:color="auto"/>
            <w:left w:val="none" w:sz="0" w:space="0" w:color="auto"/>
            <w:bottom w:val="none" w:sz="0" w:space="0" w:color="auto"/>
            <w:right w:val="none" w:sz="0" w:space="0" w:color="auto"/>
          </w:divBdr>
          <w:divsChild>
            <w:div w:id="1843549845">
              <w:marLeft w:val="0"/>
              <w:marRight w:val="0"/>
              <w:marTop w:val="0"/>
              <w:marBottom w:val="0"/>
              <w:divBdr>
                <w:top w:val="none" w:sz="0" w:space="0" w:color="auto"/>
                <w:left w:val="none" w:sz="0" w:space="0" w:color="auto"/>
                <w:bottom w:val="none" w:sz="0" w:space="0" w:color="auto"/>
                <w:right w:val="none" w:sz="0" w:space="0" w:color="auto"/>
              </w:divBdr>
              <w:divsChild>
                <w:div w:id="109860232">
                  <w:marLeft w:val="0"/>
                  <w:marRight w:val="0"/>
                  <w:marTop w:val="0"/>
                  <w:marBottom w:val="0"/>
                  <w:divBdr>
                    <w:top w:val="none" w:sz="0" w:space="0" w:color="auto"/>
                    <w:left w:val="none" w:sz="0" w:space="0" w:color="auto"/>
                    <w:bottom w:val="none" w:sz="0" w:space="0" w:color="auto"/>
                    <w:right w:val="none" w:sz="0" w:space="0" w:color="auto"/>
                  </w:divBdr>
                  <w:divsChild>
                    <w:div w:id="2107773793">
                      <w:marLeft w:val="0"/>
                      <w:marRight w:val="0"/>
                      <w:marTop w:val="240"/>
                      <w:marBottom w:val="0"/>
                      <w:divBdr>
                        <w:top w:val="none" w:sz="0" w:space="0" w:color="auto"/>
                        <w:left w:val="none" w:sz="0" w:space="0" w:color="auto"/>
                        <w:bottom w:val="none" w:sz="0" w:space="0" w:color="auto"/>
                        <w:right w:val="none" w:sz="0" w:space="0" w:color="auto"/>
                      </w:divBdr>
                      <w:divsChild>
                        <w:div w:id="1076584498">
                          <w:marLeft w:val="0"/>
                          <w:marRight w:val="0"/>
                          <w:marTop w:val="0"/>
                          <w:marBottom w:val="0"/>
                          <w:divBdr>
                            <w:top w:val="none" w:sz="0" w:space="0" w:color="auto"/>
                            <w:left w:val="none" w:sz="0" w:space="0" w:color="auto"/>
                            <w:bottom w:val="none" w:sz="0" w:space="0" w:color="auto"/>
                            <w:right w:val="none" w:sz="0" w:space="0" w:color="auto"/>
                          </w:divBdr>
                          <w:divsChild>
                            <w:div w:id="10727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340400">
      <w:bodyDiv w:val="1"/>
      <w:marLeft w:val="0"/>
      <w:marRight w:val="0"/>
      <w:marTop w:val="0"/>
      <w:marBottom w:val="0"/>
      <w:divBdr>
        <w:top w:val="none" w:sz="0" w:space="0" w:color="auto"/>
        <w:left w:val="none" w:sz="0" w:space="0" w:color="auto"/>
        <w:bottom w:val="none" w:sz="0" w:space="0" w:color="auto"/>
        <w:right w:val="none" w:sz="0" w:space="0" w:color="auto"/>
      </w:divBdr>
    </w:div>
    <w:div w:id="889069410">
      <w:bodyDiv w:val="1"/>
      <w:marLeft w:val="0"/>
      <w:marRight w:val="0"/>
      <w:marTop w:val="0"/>
      <w:marBottom w:val="0"/>
      <w:divBdr>
        <w:top w:val="none" w:sz="0" w:space="0" w:color="auto"/>
        <w:left w:val="none" w:sz="0" w:space="0" w:color="auto"/>
        <w:bottom w:val="none" w:sz="0" w:space="0" w:color="auto"/>
        <w:right w:val="none" w:sz="0" w:space="0" w:color="auto"/>
      </w:divBdr>
    </w:div>
    <w:div w:id="889657097">
      <w:bodyDiv w:val="1"/>
      <w:marLeft w:val="0"/>
      <w:marRight w:val="0"/>
      <w:marTop w:val="0"/>
      <w:marBottom w:val="0"/>
      <w:divBdr>
        <w:top w:val="none" w:sz="0" w:space="0" w:color="auto"/>
        <w:left w:val="none" w:sz="0" w:space="0" w:color="auto"/>
        <w:bottom w:val="none" w:sz="0" w:space="0" w:color="auto"/>
        <w:right w:val="none" w:sz="0" w:space="0" w:color="auto"/>
      </w:divBdr>
    </w:div>
    <w:div w:id="926377285">
      <w:bodyDiv w:val="1"/>
      <w:marLeft w:val="0"/>
      <w:marRight w:val="0"/>
      <w:marTop w:val="0"/>
      <w:marBottom w:val="0"/>
      <w:divBdr>
        <w:top w:val="none" w:sz="0" w:space="0" w:color="auto"/>
        <w:left w:val="none" w:sz="0" w:space="0" w:color="auto"/>
        <w:bottom w:val="none" w:sz="0" w:space="0" w:color="auto"/>
        <w:right w:val="none" w:sz="0" w:space="0" w:color="auto"/>
      </w:divBdr>
    </w:div>
    <w:div w:id="1028288494">
      <w:bodyDiv w:val="1"/>
      <w:marLeft w:val="0"/>
      <w:marRight w:val="0"/>
      <w:marTop w:val="0"/>
      <w:marBottom w:val="0"/>
      <w:divBdr>
        <w:top w:val="none" w:sz="0" w:space="0" w:color="auto"/>
        <w:left w:val="none" w:sz="0" w:space="0" w:color="auto"/>
        <w:bottom w:val="none" w:sz="0" w:space="0" w:color="auto"/>
        <w:right w:val="none" w:sz="0" w:space="0" w:color="auto"/>
      </w:divBdr>
    </w:div>
    <w:div w:id="1094133065">
      <w:bodyDiv w:val="1"/>
      <w:marLeft w:val="0"/>
      <w:marRight w:val="0"/>
      <w:marTop w:val="0"/>
      <w:marBottom w:val="0"/>
      <w:divBdr>
        <w:top w:val="none" w:sz="0" w:space="0" w:color="auto"/>
        <w:left w:val="none" w:sz="0" w:space="0" w:color="auto"/>
        <w:bottom w:val="none" w:sz="0" w:space="0" w:color="auto"/>
        <w:right w:val="none" w:sz="0" w:space="0" w:color="auto"/>
      </w:divBdr>
    </w:div>
    <w:div w:id="1133138570">
      <w:bodyDiv w:val="1"/>
      <w:marLeft w:val="0"/>
      <w:marRight w:val="0"/>
      <w:marTop w:val="0"/>
      <w:marBottom w:val="0"/>
      <w:divBdr>
        <w:top w:val="none" w:sz="0" w:space="0" w:color="auto"/>
        <w:left w:val="none" w:sz="0" w:space="0" w:color="auto"/>
        <w:bottom w:val="none" w:sz="0" w:space="0" w:color="auto"/>
        <w:right w:val="none" w:sz="0" w:space="0" w:color="auto"/>
      </w:divBdr>
    </w:div>
    <w:div w:id="1195726531">
      <w:bodyDiv w:val="1"/>
      <w:marLeft w:val="0"/>
      <w:marRight w:val="0"/>
      <w:marTop w:val="0"/>
      <w:marBottom w:val="0"/>
      <w:divBdr>
        <w:top w:val="none" w:sz="0" w:space="0" w:color="auto"/>
        <w:left w:val="none" w:sz="0" w:space="0" w:color="auto"/>
        <w:bottom w:val="none" w:sz="0" w:space="0" w:color="auto"/>
        <w:right w:val="none" w:sz="0" w:space="0" w:color="auto"/>
      </w:divBdr>
      <w:divsChild>
        <w:div w:id="970093001">
          <w:marLeft w:val="0"/>
          <w:marRight w:val="0"/>
          <w:marTop w:val="0"/>
          <w:marBottom w:val="0"/>
          <w:divBdr>
            <w:top w:val="none" w:sz="0" w:space="0" w:color="auto"/>
            <w:left w:val="none" w:sz="0" w:space="0" w:color="auto"/>
            <w:bottom w:val="none" w:sz="0" w:space="0" w:color="auto"/>
            <w:right w:val="none" w:sz="0" w:space="0" w:color="auto"/>
          </w:divBdr>
          <w:divsChild>
            <w:div w:id="727991155">
              <w:marLeft w:val="0"/>
              <w:marRight w:val="0"/>
              <w:marTop w:val="0"/>
              <w:marBottom w:val="0"/>
              <w:divBdr>
                <w:top w:val="none" w:sz="0" w:space="0" w:color="auto"/>
                <w:left w:val="none" w:sz="0" w:space="0" w:color="auto"/>
                <w:bottom w:val="none" w:sz="0" w:space="0" w:color="auto"/>
                <w:right w:val="none" w:sz="0" w:space="0" w:color="auto"/>
              </w:divBdr>
              <w:divsChild>
                <w:div w:id="134493312">
                  <w:marLeft w:val="0"/>
                  <w:marRight w:val="0"/>
                  <w:marTop w:val="0"/>
                  <w:marBottom w:val="0"/>
                  <w:divBdr>
                    <w:top w:val="none" w:sz="0" w:space="0" w:color="auto"/>
                    <w:left w:val="none" w:sz="0" w:space="0" w:color="auto"/>
                    <w:bottom w:val="none" w:sz="0" w:space="0" w:color="auto"/>
                    <w:right w:val="none" w:sz="0" w:space="0" w:color="auto"/>
                  </w:divBdr>
                  <w:divsChild>
                    <w:div w:id="541720786">
                      <w:marLeft w:val="0"/>
                      <w:marRight w:val="0"/>
                      <w:marTop w:val="240"/>
                      <w:marBottom w:val="0"/>
                      <w:divBdr>
                        <w:top w:val="none" w:sz="0" w:space="0" w:color="auto"/>
                        <w:left w:val="none" w:sz="0" w:space="0" w:color="auto"/>
                        <w:bottom w:val="none" w:sz="0" w:space="0" w:color="auto"/>
                        <w:right w:val="none" w:sz="0" w:space="0" w:color="auto"/>
                      </w:divBdr>
                      <w:divsChild>
                        <w:div w:id="183128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843660">
      <w:bodyDiv w:val="1"/>
      <w:marLeft w:val="0"/>
      <w:marRight w:val="0"/>
      <w:marTop w:val="0"/>
      <w:marBottom w:val="0"/>
      <w:divBdr>
        <w:top w:val="none" w:sz="0" w:space="0" w:color="auto"/>
        <w:left w:val="none" w:sz="0" w:space="0" w:color="auto"/>
        <w:bottom w:val="none" w:sz="0" w:space="0" w:color="auto"/>
        <w:right w:val="none" w:sz="0" w:space="0" w:color="auto"/>
      </w:divBdr>
      <w:divsChild>
        <w:div w:id="1196193712">
          <w:marLeft w:val="0"/>
          <w:marRight w:val="0"/>
          <w:marTop w:val="0"/>
          <w:marBottom w:val="0"/>
          <w:divBdr>
            <w:top w:val="none" w:sz="0" w:space="0" w:color="auto"/>
            <w:left w:val="none" w:sz="0" w:space="0" w:color="auto"/>
            <w:bottom w:val="none" w:sz="0" w:space="0" w:color="auto"/>
            <w:right w:val="none" w:sz="0" w:space="0" w:color="auto"/>
          </w:divBdr>
          <w:divsChild>
            <w:div w:id="165170326">
              <w:marLeft w:val="0"/>
              <w:marRight w:val="0"/>
              <w:marTop w:val="178"/>
              <w:marBottom w:val="178"/>
              <w:divBdr>
                <w:top w:val="none" w:sz="0" w:space="0" w:color="auto"/>
                <w:left w:val="none" w:sz="0" w:space="0" w:color="auto"/>
                <w:bottom w:val="none" w:sz="0" w:space="0" w:color="auto"/>
                <w:right w:val="none" w:sz="0" w:space="0" w:color="auto"/>
              </w:divBdr>
              <w:divsChild>
                <w:div w:id="1398284247">
                  <w:marLeft w:val="0"/>
                  <w:marRight w:val="178"/>
                  <w:marTop w:val="0"/>
                  <w:marBottom w:val="0"/>
                  <w:divBdr>
                    <w:top w:val="none" w:sz="0" w:space="0" w:color="auto"/>
                    <w:left w:val="none" w:sz="0" w:space="0" w:color="auto"/>
                    <w:bottom w:val="none" w:sz="0" w:space="0" w:color="auto"/>
                    <w:right w:val="none" w:sz="0" w:space="0" w:color="auto"/>
                  </w:divBdr>
                  <w:divsChild>
                    <w:div w:id="1930966092">
                      <w:marLeft w:val="0"/>
                      <w:marRight w:val="0"/>
                      <w:marTop w:val="0"/>
                      <w:marBottom w:val="0"/>
                      <w:divBdr>
                        <w:top w:val="none" w:sz="0" w:space="0" w:color="auto"/>
                        <w:left w:val="none" w:sz="0" w:space="0" w:color="auto"/>
                        <w:bottom w:val="none" w:sz="0" w:space="0" w:color="auto"/>
                        <w:right w:val="none" w:sz="0" w:space="0" w:color="auto"/>
                      </w:divBdr>
                      <w:divsChild>
                        <w:div w:id="47233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501750">
      <w:bodyDiv w:val="1"/>
      <w:marLeft w:val="0"/>
      <w:marRight w:val="0"/>
      <w:marTop w:val="0"/>
      <w:marBottom w:val="0"/>
      <w:divBdr>
        <w:top w:val="none" w:sz="0" w:space="0" w:color="auto"/>
        <w:left w:val="none" w:sz="0" w:space="0" w:color="auto"/>
        <w:bottom w:val="none" w:sz="0" w:space="0" w:color="auto"/>
        <w:right w:val="none" w:sz="0" w:space="0" w:color="auto"/>
      </w:divBdr>
      <w:divsChild>
        <w:div w:id="205920303">
          <w:marLeft w:val="0"/>
          <w:marRight w:val="0"/>
          <w:marTop w:val="0"/>
          <w:marBottom w:val="0"/>
          <w:divBdr>
            <w:top w:val="none" w:sz="0" w:space="0" w:color="auto"/>
            <w:left w:val="none" w:sz="0" w:space="0" w:color="auto"/>
            <w:bottom w:val="none" w:sz="0" w:space="0" w:color="auto"/>
            <w:right w:val="none" w:sz="0" w:space="0" w:color="auto"/>
          </w:divBdr>
          <w:divsChild>
            <w:div w:id="689376637">
              <w:marLeft w:val="0"/>
              <w:marRight w:val="0"/>
              <w:marTop w:val="178"/>
              <w:marBottom w:val="178"/>
              <w:divBdr>
                <w:top w:val="none" w:sz="0" w:space="0" w:color="auto"/>
                <w:left w:val="none" w:sz="0" w:space="0" w:color="auto"/>
                <w:bottom w:val="none" w:sz="0" w:space="0" w:color="auto"/>
                <w:right w:val="none" w:sz="0" w:space="0" w:color="auto"/>
              </w:divBdr>
              <w:divsChild>
                <w:div w:id="587425784">
                  <w:marLeft w:val="0"/>
                  <w:marRight w:val="178"/>
                  <w:marTop w:val="0"/>
                  <w:marBottom w:val="0"/>
                  <w:divBdr>
                    <w:top w:val="none" w:sz="0" w:space="0" w:color="auto"/>
                    <w:left w:val="none" w:sz="0" w:space="0" w:color="auto"/>
                    <w:bottom w:val="none" w:sz="0" w:space="0" w:color="auto"/>
                    <w:right w:val="none" w:sz="0" w:space="0" w:color="auto"/>
                  </w:divBdr>
                  <w:divsChild>
                    <w:div w:id="524950961">
                      <w:marLeft w:val="0"/>
                      <w:marRight w:val="0"/>
                      <w:marTop w:val="0"/>
                      <w:marBottom w:val="0"/>
                      <w:divBdr>
                        <w:top w:val="none" w:sz="0" w:space="0" w:color="auto"/>
                        <w:left w:val="none" w:sz="0" w:space="0" w:color="auto"/>
                        <w:bottom w:val="none" w:sz="0" w:space="0" w:color="auto"/>
                        <w:right w:val="none" w:sz="0" w:space="0" w:color="auto"/>
                      </w:divBdr>
                      <w:divsChild>
                        <w:div w:id="107204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131605">
      <w:bodyDiv w:val="1"/>
      <w:marLeft w:val="0"/>
      <w:marRight w:val="0"/>
      <w:marTop w:val="0"/>
      <w:marBottom w:val="0"/>
      <w:divBdr>
        <w:top w:val="none" w:sz="0" w:space="0" w:color="auto"/>
        <w:left w:val="none" w:sz="0" w:space="0" w:color="auto"/>
        <w:bottom w:val="none" w:sz="0" w:space="0" w:color="auto"/>
        <w:right w:val="none" w:sz="0" w:space="0" w:color="auto"/>
      </w:divBdr>
      <w:divsChild>
        <w:div w:id="377632931">
          <w:marLeft w:val="0"/>
          <w:marRight w:val="0"/>
          <w:marTop w:val="0"/>
          <w:marBottom w:val="0"/>
          <w:divBdr>
            <w:top w:val="none" w:sz="0" w:space="0" w:color="auto"/>
            <w:left w:val="none" w:sz="0" w:space="0" w:color="auto"/>
            <w:bottom w:val="none" w:sz="0" w:space="0" w:color="auto"/>
            <w:right w:val="none" w:sz="0" w:space="0" w:color="auto"/>
          </w:divBdr>
          <w:divsChild>
            <w:div w:id="345987983">
              <w:marLeft w:val="0"/>
              <w:marRight w:val="0"/>
              <w:marTop w:val="0"/>
              <w:marBottom w:val="0"/>
              <w:divBdr>
                <w:top w:val="none" w:sz="0" w:space="0" w:color="auto"/>
                <w:left w:val="none" w:sz="0" w:space="0" w:color="auto"/>
                <w:bottom w:val="none" w:sz="0" w:space="0" w:color="auto"/>
                <w:right w:val="none" w:sz="0" w:space="0" w:color="auto"/>
              </w:divBdr>
              <w:divsChild>
                <w:div w:id="833641015">
                  <w:marLeft w:val="0"/>
                  <w:marRight w:val="0"/>
                  <w:marTop w:val="0"/>
                  <w:marBottom w:val="0"/>
                  <w:divBdr>
                    <w:top w:val="none" w:sz="0" w:space="0" w:color="auto"/>
                    <w:left w:val="none" w:sz="0" w:space="0" w:color="auto"/>
                    <w:bottom w:val="none" w:sz="0" w:space="0" w:color="auto"/>
                    <w:right w:val="none" w:sz="0" w:space="0" w:color="auto"/>
                  </w:divBdr>
                  <w:divsChild>
                    <w:div w:id="451363425">
                      <w:marLeft w:val="0"/>
                      <w:marRight w:val="0"/>
                      <w:marTop w:val="240"/>
                      <w:marBottom w:val="0"/>
                      <w:divBdr>
                        <w:top w:val="none" w:sz="0" w:space="0" w:color="auto"/>
                        <w:left w:val="none" w:sz="0" w:space="0" w:color="auto"/>
                        <w:bottom w:val="none" w:sz="0" w:space="0" w:color="auto"/>
                        <w:right w:val="none" w:sz="0" w:space="0" w:color="auto"/>
                      </w:divBdr>
                      <w:divsChild>
                        <w:div w:id="1283607821">
                          <w:marLeft w:val="0"/>
                          <w:marRight w:val="0"/>
                          <w:marTop w:val="0"/>
                          <w:marBottom w:val="0"/>
                          <w:divBdr>
                            <w:top w:val="none" w:sz="0" w:space="0" w:color="auto"/>
                            <w:left w:val="none" w:sz="0" w:space="0" w:color="auto"/>
                            <w:bottom w:val="none" w:sz="0" w:space="0" w:color="auto"/>
                            <w:right w:val="none" w:sz="0" w:space="0" w:color="auto"/>
                          </w:divBdr>
                          <w:divsChild>
                            <w:div w:id="212187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784940">
      <w:bodyDiv w:val="1"/>
      <w:marLeft w:val="0"/>
      <w:marRight w:val="0"/>
      <w:marTop w:val="0"/>
      <w:marBottom w:val="0"/>
      <w:divBdr>
        <w:top w:val="none" w:sz="0" w:space="0" w:color="auto"/>
        <w:left w:val="none" w:sz="0" w:space="0" w:color="auto"/>
        <w:bottom w:val="none" w:sz="0" w:space="0" w:color="auto"/>
        <w:right w:val="none" w:sz="0" w:space="0" w:color="auto"/>
      </w:divBdr>
    </w:div>
    <w:div w:id="1351685016">
      <w:bodyDiv w:val="1"/>
      <w:marLeft w:val="0"/>
      <w:marRight w:val="0"/>
      <w:marTop w:val="0"/>
      <w:marBottom w:val="0"/>
      <w:divBdr>
        <w:top w:val="none" w:sz="0" w:space="0" w:color="auto"/>
        <w:left w:val="none" w:sz="0" w:space="0" w:color="auto"/>
        <w:bottom w:val="none" w:sz="0" w:space="0" w:color="auto"/>
        <w:right w:val="none" w:sz="0" w:space="0" w:color="auto"/>
      </w:divBdr>
    </w:div>
    <w:div w:id="1419905408">
      <w:bodyDiv w:val="1"/>
      <w:marLeft w:val="0"/>
      <w:marRight w:val="0"/>
      <w:marTop w:val="0"/>
      <w:marBottom w:val="0"/>
      <w:divBdr>
        <w:top w:val="none" w:sz="0" w:space="0" w:color="auto"/>
        <w:left w:val="none" w:sz="0" w:space="0" w:color="auto"/>
        <w:bottom w:val="none" w:sz="0" w:space="0" w:color="auto"/>
        <w:right w:val="none" w:sz="0" w:space="0" w:color="auto"/>
      </w:divBdr>
      <w:divsChild>
        <w:div w:id="275674312">
          <w:marLeft w:val="0"/>
          <w:marRight w:val="0"/>
          <w:marTop w:val="0"/>
          <w:marBottom w:val="0"/>
          <w:divBdr>
            <w:top w:val="none" w:sz="0" w:space="0" w:color="auto"/>
            <w:left w:val="none" w:sz="0" w:space="0" w:color="auto"/>
            <w:bottom w:val="none" w:sz="0" w:space="0" w:color="auto"/>
            <w:right w:val="none" w:sz="0" w:space="0" w:color="auto"/>
          </w:divBdr>
          <w:divsChild>
            <w:div w:id="1477794299">
              <w:marLeft w:val="0"/>
              <w:marRight w:val="0"/>
              <w:marTop w:val="0"/>
              <w:marBottom w:val="0"/>
              <w:divBdr>
                <w:top w:val="none" w:sz="0" w:space="0" w:color="auto"/>
                <w:left w:val="none" w:sz="0" w:space="0" w:color="auto"/>
                <w:bottom w:val="none" w:sz="0" w:space="0" w:color="auto"/>
                <w:right w:val="none" w:sz="0" w:space="0" w:color="auto"/>
              </w:divBdr>
              <w:divsChild>
                <w:div w:id="2057269205">
                  <w:marLeft w:val="0"/>
                  <w:marRight w:val="0"/>
                  <w:marTop w:val="0"/>
                  <w:marBottom w:val="0"/>
                  <w:divBdr>
                    <w:top w:val="none" w:sz="0" w:space="0" w:color="auto"/>
                    <w:left w:val="none" w:sz="0" w:space="0" w:color="auto"/>
                    <w:bottom w:val="none" w:sz="0" w:space="0" w:color="auto"/>
                    <w:right w:val="none" w:sz="0" w:space="0" w:color="auto"/>
                  </w:divBdr>
                  <w:divsChild>
                    <w:div w:id="633293996">
                      <w:marLeft w:val="0"/>
                      <w:marRight w:val="0"/>
                      <w:marTop w:val="240"/>
                      <w:marBottom w:val="0"/>
                      <w:divBdr>
                        <w:top w:val="none" w:sz="0" w:space="0" w:color="auto"/>
                        <w:left w:val="none" w:sz="0" w:space="0" w:color="auto"/>
                        <w:bottom w:val="none" w:sz="0" w:space="0" w:color="auto"/>
                        <w:right w:val="none" w:sz="0" w:space="0" w:color="auto"/>
                      </w:divBdr>
                      <w:divsChild>
                        <w:div w:id="1697996247">
                          <w:marLeft w:val="0"/>
                          <w:marRight w:val="0"/>
                          <w:marTop w:val="0"/>
                          <w:marBottom w:val="0"/>
                          <w:divBdr>
                            <w:top w:val="none" w:sz="0" w:space="0" w:color="auto"/>
                            <w:left w:val="none" w:sz="0" w:space="0" w:color="auto"/>
                            <w:bottom w:val="none" w:sz="0" w:space="0" w:color="auto"/>
                            <w:right w:val="none" w:sz="0" w:space="0" w:color="auto"/>
                          </w:divBdr>
                          <w:divsChild>
                            <w:div w:id="17905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626310">
      <w:bodyDiv w:val="1"/>
      <w:marLeft w:val="0"/>
      <w:marRight w:val="0"/>
      <w:marTop w:val="0"/>
      <w:marBottom w:val="0"/>
      <w:divBdr>
        <w:top w:val="none" w:sz="0" w:space="0" w:color="auto"/>
        <w:left w:val="none" w:sz="0" w:space="0" w:color="auto"/>
        <w:bottom w:val="none" w:sz="0" w:space="0" w:color="auto"/>
        <w:right w:val="none" w:sz="0" w:space="0" w:color="auto"/>
      </w:divBdr>
    </w:div>
    <w:div w:id="1438794202">
      <w:bodyDiv w:val="1"/>
      <w:marLeft w:val="0"/>
      <w:marRight w:val="0"/>
      <w:marTop w:val="0"/>
      <w:marBottom w:val="0"/>
      <w:divBdr>
        <w:top w:val="none" w:sz="0" w:space="0" w:color="auto"/>
        <w:left w:val="none" w:sz="0" w:space="0" w:color="auto"/>
        <w:bottom w:val="none" w:sz="0" w:space="0" w:color="auto"/>
        <w:right w:val="none" w:sz="0" w:space="0" w:color="auto"/>
      </w:divBdr>
      <w:divsChild>
        <w:div w:id="1870533215">
          <w:marLeft w:val="0"/>
          <w:marRight w:val="0"/>
          <w:marTop w:val="0"/>
          <w:marBottom w:val="0"/>
          <w:divBdr>
            <w:top w:val="none" w:sz="0" w:space="0" w:color="auto"/>
            <w:left w:val="none" w:sz="0" w:space="0" w:color="auto"/>
            <w:bottom w:val="none" w:sz="0" w:space="0" w:color="auto"/>
            <w:right w:val="none" w:sz="0" w:space="0" w:color="auto"/>
          </w:divBdr>
          <w:divsChild>
            <w:div w:id="600259441">
              <w:marLeft w:val="0"/>
              <w:marRight w:val="0"/>
              <w:marTop w:val="0"/>
              <w:marBottom w:val="0"/>
              <w:divBdr>
                <w:top w:val="none" w:sz="0" w:space="0" w:color="auto"/>
                <w:left w:val="none" w:sz="0" w:space="0" w:color="auto"/>
                <w:bottom w:val="none" w:sz="0" w:space="0" w:color="auto"/>
                <w:right w:val="none" w:sz="0" w:space="0" w:color="auto"/>
              </w:divBdr>
              <w:divsChild>
                <w:div w:id="920412982">
                  <w:marLeft w:val="-107"/>
                  <w:marRight w:val="-107"/>
                  <w:marTop w:val="0"/>
                  <w:marBottom w:val="0"/>
                  <w:divBdr>
                    <w:top w:val="none" w:sz="0" w:space="0" w:color="auto"/>
                    <w:left w:val="none" w:sz="0" w:space="0" w:color="auto"/>
                    <w:bottom w:val="none" w:sz="0" w:space="0" w:color="auto"/>
                    <w:right w:val="none" w:sz="0" w:space="0" w:color="auto"/>
                  </w:divBdr>
                  <w:divsChild>
                    <w:div w:id="2140567301">
                      <w:marLeft w:val="0"/>
                      <w:marRight w:val="0"/>
                      <w:marTop w:val="0"/>
                      <w:marBottom w:val="0"/>
                      <w:divBdr>
                        <w:top w:val="none" w:sz="0" w:space="0" w:color="auto"/>
                        <w:left w:val="none" w:sz="0" w:space="0" w:color="auto"/>
                        <w:bottom w:val="none" w:sz="0" w:space="0" w:color="auto"/>
                        <w:right w:val="none" w:sz="0" w:space="0" w:color="auto"/>
                      </w:divBdr>
                      <w:divsChild>
                        <w:div w:id="1434281978">
                          <w:marLeft w:val="0"/>
                          <w:marRight w:val="0"/>
                          <w:marTop w:val="0"/>
                          <w:marBottom w:val="0"/>
                          <w:divBdr>
                            <w:top w:val="single" w:sz="2" w:space="7" w:color="869CA6"/>
                            <w:left w:val="none" w:sz="0" w:space="0" w:color="auto"/>
                            <w:bottom w:val="none" w:sz="0" w:space="0" w:color="auto"/>
                            <w:right w:val="none" w:sz="0" w:space="0" w:color="auto"/>
                          </w:divBdr>
                        </w:div>
                      </w:divsChild>
                    </w:div>
                  </w:divsChild>
                </w:div>
              </w:divsChild>
            </w:div>
          </w:divsChild>
        </w:div>
      </w:divsChild>
    </w:div>
    <w:div w:id="1478692653">
      <w:bodyDiv w:val="1"/>
      <w:marLeft w:val="0"/>
      <w:marRight w:val="0"/>
      <w:marTop w:val="0"/>
      <w:marBottom w:val="0"/>
      <w:divBdr>
        <w:top w:val="none" w:sz="0" w:space="0" w:color="auto"/>
        <w:left w:val="none" w:sz="0" w:space="0" w:color="auto"/>
        <w:bottom w:val="none" w:sz="0" w:space="0" w:color="auto"/>
        <w:right w:val="none" w:sz="0" w:space="0" w:color="auto"/>
      </w:divBdr>
    </w:div>
    <w:div w:id="1501384503">
      <w:bodyDiv w:val="1"/>
      <w:marLeft w:val="0"/>
      <w:marRight w:val="0"/>
      <w:marTop w:val="0"/>
      <w:marBottom w:val="0"/>
      <w:divBdr>
        <w:top w:val="none" w:sz="0" w:space="0" w:color="auto"/>
        <w:left w:val="none" w:sz="0" w:space="0" w:color="auto"/>
        <w:bottom w:val="none" w:sz="0" w:space="0" w:color="auto"/>
        <w:right w:val="none" w:sz="0" w:space="0" w:color="auto"/>
      </w:divBdr>
      <w:divsChild>
        <w:div w:id="1272401357">
          <w:marLeft w:val="0"/>
          <w:marRight w:val="0"/>
          <w:marTop w:val="0"/>
          <w:marBottom w:val="0"/>
          <w:divBdr>
            <w:top w:val="none" w:sz="0" w:space="0" w:color="auto"/>
            <w:left w:val="none" w:sz="0" w:space="0" w:color="auto"/>
            <w:bottom w:val="none" w:sz="0" w:space="0" w:color="auto"/>
            <w:right w:val="none" w:sz="0" w:space="0" w:color="auto"/>
          </w:divBdr>
          <w:divsChild>
            <w:div w:id="265164497">
              <w:marLeft w:val="0"/>
              <w:marRight w:val="0"/>
              <w:marTop w:val="178"/>
              <w:marBottom w:val="178"/>
              <w:divBdr>
                <w:top w:val="none" w:sz="0" w:space="0" w:color="auto"/>
                <w:left w:val="none" w:sz="0" w:space="0" w:color="auto"/>
                <w:bottom w:val="none" w:sz="0" w:space="0" w:color="auto"/>
                <w:right w:val="none" w:sz="0" w:space="0" w:color="auto"/>
              </w:divBdr>
              <w:divsChild>
                <w:div w:id="2055737115">
                  <w:marLeft w:val="0"/>
                  <w:marRight w:val="178"/>
                  <w:marTop w:val="0"/>
                  <w:marBottom w:val="0"/>
                  <w:divBdr>
                    <w:top w:val="none" w:sz="0" w:space="0" w:color="auto"/>
                    <w:left w:val="none" w:sz="0" w:space="0" w:color="auto"/>
                    <w:bottom w:val="none" w:sz="0" w:space="0" w:color="auto"/>
                    <w:right w:val="none" w:sz="0" w:space="0" w:color="auto"/>
                  </w:divBdr>
                  <w:divsChild>
                    <w:div w:id="970987718">
                      <w:marLeft w:val="0"/>
                      <w:marRight w:val="0"/>
                      <w:marTop w:val="0"/>
                      <w:marBottom w:val="0"/>
                      <w:divBdr>
                        <w:top w:val="none" w:sz="0" w:space="0" w:color="auto"/>
                        <w:left w:val="none" w:sz="0" w:space="0" w:color="auto"/>
                        <w:bottom w:val="none" w:sz="0" w:space="0" w:color="auto"/>
                        <w:right w:val="none" w:sz="0" w:space="0" w:color="auto"/>
                      </w:divBdr>
                      <w:divsChild>
                        <w:div w:id="102271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9253883">
      <w:bodyDiv w:val="1"/>
      <w:marLeft w:val="0"/>
      <w:marRight w:val="0"/>
      <w:marTop w:val="0"/>
      <w:marBottom w:val="0"/>
      <w:divBdr>
        <w:top w:val="none" w:sz="0" w:space="0" w:color="auto"/>
        <w:left w:val="none" w:sz="0" w:space="0" w:color="auto"/>
        <w:bottom w:val="none" w:sz="0" w:space="0" w:color="auto"/>
        <w:right w:val="none" w:sz="0" w:space="0" w:color="auto"/>
      </w:divBdr>
      <w:divsChild>
        <w:div w:id="187642172">
          <w:marLeft w:val="0"/>
          <w:marRight w:val="0"/>
          <w:marTop w:val="0"/>
          <w:marBottom w:val="0"/>
          <w:divBdr>
            <w:top w:val="none" w:sz="0" w:space="0" w:color="auto"/>
            <w:left w:val="none" w:sz="0" w:space="0" w:color="auto"/>
            <w:bottom w:val="none" w:sz="0" w:space="0" w:color="auto"/>
            <w:right w:val="none" w:sz="0" w:space="0" w:color="auto"/>
          </w:divBdr>
          <w:divsChild>
            <w:div w:id="344406581">
              <w:marLeft w:val="0"/>
              <w:marRight w:val="0"/>
              <w:marTop w:val="0"/>
              <w:marBottom w:val="0"/>
              <w:divBdr>
                <w:top w:val="none" w:sz="0" w:space="0" w:color="auto"/>
                <w:left w:val="none" w:sz="0" w:space="0" w:color="auto"/>
                <w:bottom w:val="none" w:sz="0" w:space="0" w:color="auto"/>
                <w:right w:val="none" w:sz="0" w:space="0" w:color="auto"/>
              </w:divBdr>
              <w:divsChild>
                <w:div w:id="690105938">
                  <w:marLeft w:val="0"/>
                  <w:marRight w:val="0"/>
                  <w:marTop w:val="0"/>
                  <w:marBottom w:val="0"/>
                  <w:divBdr>
                    <w:top w:val="none" w:sz="0" w:space="0" w:color="auto"/>
                    <w:left w:val="none" w:sz="0" w:space="0" w:color="auto"/>
                    <w:bottom w:val="none" w:sz="0" w:space="0" w:color="auto"/>
                    <w:right w:val="none" w:sz="0" w:space="0" w:color="auto"/>
                  </w:divBdr>
                  <w:divsChild>
                    <w:div w:id="875384241">
                      <w:marLeft w:val="0"/>
                      <w:marRight w:val="0"/>
                      <w:marTop w:val="240"/>
                      <w:marBottom w:val="0"/>
                      <w:divBdr>
                        <w:top w:val="none" w:sz="0" w:space="0" w:color="auto"/>
                        <w:left w:val="none" w:sz="0" w:space="0" w:color="auto"/>
                        <w:bottom w:val="none" w:sz="0" w:space="0" w:color="auto"/>
                        <w:right w:val="none" w:sz="0" w:space="0" w:color="auto"/>
                      </w:divBdr>
                      <w:divsChild>
                        <w:div w:id="1673796408">
                          <w:marLeft w:val="0"/>
                          <w:marRight w:val="0"/>
                          <w:marTop w:val="0"/>
                          <w:marBottom w:val="0"/>
                          <w:divBdr>
                            <w:top w:val="none" w:sz="0" w:space="0" w:color="auto"/>
                            <w:left w:val="none" w:sz="0" w:space="0" w:color="auto"/>
                            <w:bottom w:val="none" w:sz="0" w:space="0" w:color="auto"/>
                            <w:right w:val="none" w:sz="0" w:space="0" w:color="auto"/>
                          </w:divBdr>
                          <w:divsChild>
                            <w:div w:id="102151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837699">
      <w:bodyDiv w:val="1"/>
      <w:marLeft w:val="0"/>
      <w:marRight w:val="0"/>
      <w:marTop w:val="0"/>
      <w:marBottom w:val="0"/>
      <w:divBdr>
        <w:top w:val="none" w:sz="0" w:space="0" w:color="auto"/>
        <w:left w:val="none" w:sz="0" w:space="0" w:color="auto"/>
        <w:bottom w:val="none" w:sz="0" w:space="0" w:color="auto"/>
        <w:right w:val="none" w:sz="0" w:space="0" w:color="auto"/>
      </w:divBdr>
    </w:div>
    <w:div w:id="1687706416">
      <w:bodyDiv w:val="1"/>
      <w:marLeft w:val="0"/>
      <w:marRight w:val="0"/>
      <w:marTop w:val="0"/>
      <w:marBottom w:val="0"/>
      <w:divBdr>
        <w:top w:val="none" w:sz="0" w:space="0" w:color="auto"/>
        <w:left w:val="none" w:sz="0" w:space="0" w:color="auto"/>
        <w:bottom w:val="none" w:sz="0" w:space="0" w:color="auto"/>
        <w:right w:val="none" w:sz="0" w:space="0" w:color="auto"/>
      </w:divBdr>
    </w:div>
    <w:div w:id="1687829443">
      <w:bodyDiv w:val="1"/>
      <w:marLeft w:val="0"/>
      <w:marRight w:val="0"/>
      <w:marTop w:val="0"/>
      <w:marBottom w:val="0"/>
      <w:divBdr>
        <w:top w:val="none" w:sz="0" w:space="0" w:color="auto"/>
        <w:left w:val="none" w:sz="0" w:space="0" w:color="auto"/>
        <w:bottom w:val="none" w:sz="0" w:space="0" w:color="auto"/>
        <w:right w:val="none" w:sz="0" w:space="0" w:color="auto"/>
      </w:divBdr>
      <w:divsChild>
        <w:div w:id="1094588987">
          <w:marLeft w:val="0"/>
          <w:marRight w:val="0"/>
          <w:marTop w:val="0"/>
          <w:marBottom w:val="0"/>
          <w:divBdr>
            <w:top w:val="none" w:sz="0" w:space="0" w:color="auto"/>
            <w:left w:val="none" w:sz="0" w:space="0" w:color="auto"/>
            <w:bottom w:val="none" w:sz="0" w:space="0" w:color="auto"/>
            <w:right w:val="none" w:sz="0" w:space="0" w:color="auto"/>
          </w:divBdr>
          <w:divsChild>
            <w:div w:id="1412770644">
              <w:marLeft w:val="0"/>
              <w:marRight w:val="0"/>
              <w:marTop w:val="178"/>
              <w:marBottom w:val="178"/>
              <w:divBdr>
                <w:top w:val="none" w:sz="0" w:space="0" w:color="auto"/>
                <w:left w:val="none" w:sz="0" w:space="0" w:color="auto"/>
                <w:bottom w:val="none" w:sz="0" w:space="0" w:color="auto"/>
                <w:right w:val="none" w:sz="0" w:space="0" w:color="auto"/>
              </w:divBdr>
              <w:divsChild>
                <w:div w:id="635138855">
                  <w:marLeft w:val="0"/>
                  <w:marRight w:val="178"/>
                  <w:marTop w:val="0"/>
                  <w:marBottom w:val="0"/>
                  <w:divBdr>
                    <w:top w:val="none" w:sz="0" w:space="0" w:color="auto"/>
                    <w:left w:val="none" w:sz="0" w:space="0" w:color="auto"/>
                    <w:bottom w:val="none" w:sz="0" w:space="0" w:color="auto"/>
                    <w:right w:val="none" w:sz="0" w:space="0" w:color="auto"/>
                  </w:divBdr>
                  <w:divsChild>
                    <w:div w:id="2044016635">
                      <w:marLeft w:val="0"/>
                      <w:marRight w:val="0"/>
                      <w:marTop w:val="0"/>
                      <w:marBottom w:val="0"/>
                      <w:divBdr>
                        <w:top w:val="none" w:sz="0" w:space="0" w:color="auto"/>
                        <w:left w:val="none" w:sz="0" w:space="0" w:color="auto"/>
                        <w:bottom w:val="none" w:sz="0" w:space="0" w:color="auto"/>
                        <w:right w:val="none" w:sz="0" w:space="0" w:color="auto"/>
                      </w:divBdr>
                      <w:divsChild>
                        <w:div w:id="27722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5925">
      <w:bodyDiv w:val="1"/>
      <w:marLeft w:val="0"/>
      <w:marRight w:val="0"/>
      <w:marTop w:val="0"/>
      <w:marBottom w:val="0"/>
      <w:divBdr>
        <w:top w:val="none" w:sz="0" w:space="0" w:color="auto"/>
        <w:left w:val="none" w:sz="0" w:space="0" w:color="auto"/>
        <w:bottom w:val="none" w:sz="0" w:space="0" w:color="auto"/>
        <w:right w:val="none" w:sz="0" w:space="0" w:color="auto"/>
      </w:divBdr>
      <w:divsChild>
        <w:div w:id="119614777">
          <w:marLeft w:val="0"/>
          <w:marRight w:val="0"/>
          <w:marTop w:val="0"/>
          <w:marBottom w:val="0"/>
          <w:divBdr>
            <w:top w:val="none" w:sz="0" w:space="0" w:color="auto"/>
            <w:left w:val="none" w:sz="0" w:space="0" w:color="auto"/>
            <w:bottom w:val="none" w:sz="0" w:space="0" w:color="auto"/>
            <w:right w:val="none" w:sz="0" w:space="0" w:color="auto"/>
          </w:divBdr>
          <w:divsChild>
            <w:div w:id="381295368">
              <w:marLeft w:val="0"/>
              <w:marRight w:val="0"/>
              <w:marTop w:val="0"/>
              <w:marBottom w:val="0"/>
              <w:divBdr>
                <w:top w:val="none" w:sz="0" w:space="0" w:color="auto"/>
                <w:left w:val="none" w:sz="0" w:space="0" w:color="auto"/>
                <w:bottom w:val="none" w:sz="0" w:space="0" w:color="auto"/>
                <w:right w:val="none" w:sz="0" w:space="0" w:color="auto"/>
              </w:divBdr>
              <w:divsChild>
                <w:div w:id="282199541">
                  <w:marLeft w:val="0"/>
                  <w:marRight w:val="0"/>
                  <w:marTop w:val="0"/>
                  <w:marBottom w:val="0"/>
                  <w:divBdr>
                    <w:top w:val="none" w:sz="0" w:space="0" w:color="auto"/>
                    <w:left w:val="none" w:sz="0" w:space="0" w:color="auto"/>
                    <w:bottom w:val="none" w:sz="0" w:space="0" w:color="auto"/>
                    <w:right w:val="none" w:sz="0" w:space="0" w:color="auto"/>
                  </w:divBdr>
                  <w:divsChild>
                    <w:div w:id="54155264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810590351">
      <w:bodyDiv w:val="1"/>
      <w:marLeft w:val="0"/>
      <w:marRight w:val="0"/>
      <w:marTop w:val="0"/>
      <w:marBottom w:val="0"/>
      <w:divBdr>
        <w:top w:val="none" w:sz="0" w:space="0" w:color="auto"/>
        <w:left w:val="none" w:sz="0" w:space="0" w:color="auto"/>
        <w:bottom w:val="none" w:sz="0" w:space="0" w:color="auto"/>
        <w:right w:val="none" w:sz="0" w:space="0" w:color="auto"/>
      </w:divBdr>
      <w:divsChild>
        <w:div w:id="1902982894">
          <w:marLeft w:val="0"/>
          <w:marRight w:val="0"/>
          <w:marTop w:val="0"/>
          <w:marBottom w:val="0"/>
          <w:divBdr>
            <w:top w:val="none" w:sz="0" w:space="0" w:color="auto"/>
            <w:left w:val="none" w:sz="0" w:space="0" w:color="auto"/>
            <w:bottom w:val="none" w:sz="0" w:space="0" w:color="auto"/>
            <w:right w:val="none" w:sz="0" w:space="0" w:color="auto"/>
          </w:divBdr>
          <w:divsChild>
            <w:div w:id="868181712">
              <w:marLeft w:val="0"/>
              <w:marRight w:val="0"/>
              <w:marTop w:val="0"/>
              <w:marBottom w:val="0"/>
              <w:divBdr>
                <w:top w:val="none" w:sz="0" w:space="0" w:color="auto"/>
                <w:left w:val="none" w:sz="0" w:space="0" w:color="auto"/>
                <w:bottom w:val="none" w:sz="0" w:space="0" w:color="auto"/>
                <w:right w:val="none" w:sz="0" w:space="0" w:color="auto"/>
              </w:divBdr>
              <w:divsChild>
                <w:div w:id="299070977">
                  <w:marLeft w:val="0"/>
                  <w:marRight w:val="0"/>
                  <w:marTop w:val="0"/>
                  <w:marBottom w:val="0"/>
                  <w:divBdr>
                    <w:top w:val="none" w:sz="0" w:space="0" w:color="auto"/>
                    <w:left w:val="none" w:sz="0" w:space="0" w:color="auto"/>
                    <w:bottom w:val="none" w:sz="0" w:space="0" w:color="auto"/>
                    <w:right w:val="none" w:sz="0" w:space="0" w:color="auto"/>
                  </w:divBdr>
                  <w:divsChild>
                    <w:div w:id="1030179702">
                      <w:marLeft w:val="0"/>
                      <w:marRight w:val="0"/>
                      <w:marTop w:val="240"/>
                      <w:marBottom w:val="0"/>
                      <w:divBdr>
                        <w:top w:val="none" w:sz="0" w:space="0" w:color="auto"/>
                        <w:left w:val="none" w:sz="0" w:space="0" w:color="auto"/>
                        <w:bottom w:val="none" w:sz="0" w:space="0" w:color="auto"/>
                        <w:right w:val="none" w:sz="0" w:space="0" w:color="auto"/>
                      </w:divBdr>
                      <w:divsChild>
                        <w:div w:id="112796746">
                          <w:marLeft w:val="0"/>
                          <w:marRight w:val="0"/>
                          <w:marTop w:val="0"/>
                          <w:marBottom w:val="0"/>
                          <w:divBdr>
                            <w:top w:val="none" w:sz="0" w:space="0" w:color="auto"/>
                            <w:left w:val="none" w:sz="0" w:space="0" w:color="auto"/>
                            <w:bottom w:val="none" w:sz="0" w:space="0" w:color="auto"/>
                            <w:right w:val="none" w:sz="0" w:space="0" w:color="auto"/>
                          </w:divBdr>
                          <w:divsChild>
                            <w:div w:id="112338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97543">
      <w:bodyDiv w:val="1"/>
      <w:marLeft w:val="0"/>
      <w:marRight w:val="0"/>
      <w:marTop w:val="0"/>
      <w:marBottom w:val="0"/>
      <w:divBdr>
        <w:top w:val="none" w:sz="0" w:space="0" w:color="auto"/>
        <w:left w:val="none" w:sz="0" w:space="0" w:color="auto"/>
        <w:bottom w:val="none" w:sz="0" w:space="0" w:color="auto"/>
        <w:right w:val="none" w:sz="0" w:space="0" w:color="auto"/>
      </w:divBdr>
    </w:div>
    <w:div w:id="1838617037">
      <w:bodyDiv w:val="1"/>
      <w:marLeft w:val="0"/>
      <w:marRight w:val="0"/>
      <w:marTop w:val="0"/>
      <w:marBottom w:val="0"/>
      <w:divBdr>
        <w:top w:val="none" w:sz="0" w:space="0" w:color="auto"/>
        <w:left w:val="none" w:sz="0" w:space="0" w:color="auto"/>
        <w:bottom w:val="none" w:sz="0" w:space="0" w:color="auto"/>
        <w:right w:val="none" w:sz="0" w:space="0" w:color="auto"/>
      </w:divBdr>
      <w:divsChild>
        <w:div w:id="541552414">
          <w:marLeft w:val="0"/>
          <w:marRight w:val="0"/>
          <w:marTop w:val="0"/>
          <w:marBottom w:val="0"/>
          <w:divBdr>
            <w:top w:val="none" w:sz="0" w:space="0" w:color="auto"/>
            <w:left w:val="none" w:sz="0" w:space="0" w:color="auto"/>
            <w:bottom w:val="none" w:sz="0" w:space="0" w:color="auto"/>
            <w:right w:val="none" w:sz="0" w:space="0" w:color="auto"/>
          </w:divBdr>
          <w:divsChild>
            <w:div w:id="121967381">
              <w:marLeft w:val="0"/>
              <w:marRight w:val="0"/>
              <w:marTop w:val="0"/>
              <w:marBottom w:val="0"/>
              <w:divBdr>
                <w:top w:val="none" w:sz="0" w:space="0" w:color="auto"/>
                <w:left w:val="none" w:sz="0" w:space="0" w:color="auto"/>
                <w:bottom w:val="none" w:sz="0" w:space="0" w:color="auto"/>
                <w:right w:val="none" w:sz="0" w:space="0" w:color="auto"/>
              </w:divBdr>
              <w:divsChild>
                <w:div w:id="680745797">
                  <w:marLeft w:val="-125"/>
                  <w:marRight w:val="-125"/>
                  <w:marTop w:val="0"/>
                  <w:marBottom w:val="0"/>
                  <w:divBdr>
                    <w:top w:val="none" w:sz="0" w:space="0" w:color="auto"/>
                    <w:left w:val="none" w:sz="0" w:space="0" w:color="auto"/>
                    <w:bottom w:val="none" w:sz="0" w:space="0" w:color="auto"/>
                    <w:right w:val="none" w:sz="0" w:space="0" w:color="auto"/>
                  </w:divBdr>
                  <w:divsChild>
                    <w:div w:id="520123054">
                      <w:marLeft w:val="0"/>
                      <w:marRight w:val="0"/>
                      <w:marTop w:val="0"/>
                      <w:marBottom w:val="0"/>
                      <w:divBdr>
                        <w:top w:val="none" w:sz="0" w:space="0" w:color="auto"/>
                        <w:left w:val="none" w:sz="0" w:space="0" w:color="auto"/>
                        <w:bottom w:val="none" w:sz="0" w:space="0" w:color="auto"/>
                        <w:right w:val="none" w:sz="0" w:space="0" w:color="auto"/>
                      </w:divBdr>
                      <w:divsChild>
                        <w:div w:id="1192958111">
                          <w:marLeft w:val="0"/>
                          <w:marRight w:val="0"/>
                          <w:marTop w:val="0"/>
                          <w:marBottom w:val="0"/>
                          <w:divBdr>
                            <w:top w:val="single" w:sz="2" w:space="8" w:color="869CA6"/>
                            <w:left w:val="none" w:sz="0" w:space="0" w:color="auto"/>
                            <w:bottom w:val="none" w:sz="0" w:space="0" w:color="auto"/>
                            <w:right w:val="none" w:sz="0" w:space="0" w:color="auto"/>
                          </w:divBdr>
                        </w:div>
                      </w:divsChild>
                    </w:div>
                  </w:divsChild>
                </w:div>
              </w:divsChild>
            </w:div>
          </w:divsChild>
        </w:div>
      </w:divsChild>
    </w:div>
    <w:div w:id="1884519711">
      <w:bodyDiv w:val="1"/>
      <w:marLeft w:val="0"/>
      <w:marRight w:val="0"/>
      <w:marTop w:val="0"/>
      <w:marBottom w:val="0"/>
      <w:divBdr>
        <w:top w:val="none" w:sz="0" w:space="0" w:color="auto"/>
        <w:left w:val="none" w:sz="0" w:space="0" w:color="auto"/>
        <w:bottom w:val="none" w:sz="0" w:space="0" w:color="auto"/>
        <w:right w:val="none" w:sz="0" w:space="0" w:color="auto"/>
      </w:divBdr>
    </w:div>
    <w:div w:id="1894534209">
      <w:bodyDiv w:val="1"/>
      <w:marLeft w:val="0"/>
      <w:marRight w:val="0"/>
      <w:marTop w:val="0"/>
      <w:marBottom w:val="0"/>
      <w:divBdr>
        <w:top w:val="none" w:sz="0" w:space="0" w:color="auto"/>
        <w:left w:val="none" w:sz="0" w:space="0" w:color="auto"/>
        <w:bottom w:val="none" w:sz="0" w:space="0" w:color="auto"/>
        <w:right w:val="none" w:sz="0" w:space="0" w:color="auto"/>
      </w:divBdr>
      <w:divsChild>
        <w:div w:id="667631233">
          <w:marLeft w:val="0"/>
          <w:marRight w:val="0"/>
          <w:marTop w:val="0"/>
          <w:marBottom w:val="0"/>
          <w:divBdr>
            <w:top w:val="none" w:sz="0" w:space="0" w:color="auto"/>
            <w:left w:val="none" w:sz="0" w:space="0" w:color="auto"/>
            <w:bottom w:val="none" w:sz="0" w:space="0" w:color="auto"/>
            <w:right w:val="none" w:sz="0" w:space="0" w:color="auto"/>
          </w:divBdr>
          <w:divsChild>
            <w:div w:id="1522402292">
              <w:marLeft w:val="0"/>
              <w:marRight w:val="0"/>
              <w:marTop w:val="208"/>
              <w:marBottom w:val="208"/>
              <w:divBdr>
                <w:top w:val="none" w:sz="0" w:space="0" w:color="auto"/>
                <w:left w:val="none" w:sz="0" w:space="0" w:color="auto"/>
                <w:bottom w:val="none" w:sz="0" w:space="0" w:color="auto"/>
                <w:right w:val="none" w:sz="0" w:space="0" w:color="auto"/>
              </w:divBdr>
              <w:divsChild>
                <w:div w:id="1943763035">
                  <w:marLeft w:val="0"/>
                  <w:marRight w:val="208"/>
                  <w:marTop w:val="0"/>
                  <w:marBottom w:val="0"/>
                  <w:divBdr>
                    <w:top w:val="none" w:sz="0" w:space="0" w:color="auto"/>
                    <w:left w:val="none" w:sz="0" w:space="0" w:color="auto"/>
                    <w:bottom w:val="none" w:sz="0" w:space="0" w:color="auto"/>
                    <w:right w:val="none" w:sz="0" w:space="0" w:color="auto"/>
                  </w:divBdr>
                  <w:divsChild>
                    <w:div w:id="1907259310">
                      <w:marLeft w:val="0"/>
                      <w:marRight w:val="0"/>
                      <w:marTop w:val="0"/>
                      <w:marBottom w:val="0"/>
                      <w:divBdr>
                        <w:top w:val="none" w:sz="0" w:space="0" w:color="auto"/>
                        <w:left w:val="none" w:sz="0" w:space="0" w:color="auto"/>
                        <w:bottom w:val="none" w:sz="0" w:space="0" w:color="auto"/>
                        <w:right w:val="none" w:sz="0" w:space="0" w:color="auto"/>
                      </w:divBdr>
                      <w:divsChild>
                        <w:div w:id="138918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1214707">
      <w:bodyDiv w:val="1"/>
      <w:marLeft w:val="0"/>
      <w:marRight w:val="0"/>
      <w:marTop w:val="0"/>
      <w:marBottom w:val="0"/>
      <w:divBdr>
        <w:top w:val="none" w:sz="0" w:space="0" w:color="auto"/>
        <w:left w:val="none" w:sz="0" w:space="0" w:color="auto"/>
        <w:bottom w:val="none" w:sz="0" w:space="0" w:color="auto"/>
        <w:right w:val="none" w:sz="0" w:space="0" w:color="auto"/>
      </w:divBdr>
    </w:div>
    <w:div w:id="1928803280">
      <w:bodyDiv w:val="1"/>
      <w:marLeft w:val="0"/>
      <w:marRight w:val="0"/>
      <w:marTop w:val="0"/>
      <w:marBottom w:val="0"/>
      <w:divBdr>
        <w:top w:val="none" w:sz="0" w:space="0" w:color="auto"/>
        <w:left w:val="none" w:sz="0" w:space="0" w:color="auto"/>
        <w:bottom w:val="none" w:sz="0" w:space="0" w:color="auto"/>
        <w:right w:val="none" w:sz="0" w:space="0" w:color="auto"/>
      </w:divBdr>
    </w:div>
    <w:div w:id="1938707795">
      <w:bodyDiv w:val="1"/>
      <w:marLeft w:val="0"/>
      <w:marRight w:val="0"/>
      <w:marTop w:val="0"/>
      <w:marBottom w:val="0"/>
      <w:divBdr>
        <w:top w:val="none" w:sz="0" w:space="0" w:color="auto"/>
        <w:left w:val="none" w:sz="0" w:space="0" w:color="auto"/>
        <w:bottom w:val="none" w:sz="0" w:space="0" w:color="auto"/>
        <w:right w:val="none" w:sz="0" w:space="0" w:color="auto"/>
      </w:divBdr>
      <w:divsChild>
        <w:div w:id="55589455">
          <w:marLeft w:val="0"/>
          <w:marRight w:val="0"/>
          <w:marTop w:val="0"/>
          <w:marBottom w:val="0"/>
          <w:divBdr>
            <w:top w:val="none" w:sz="0" w:space="0" w:color="auto"/>
            <w:left w:val="none" w:sz="0" w:space="0" w:color="auto"/>
            <w:bottom w:val="none" w:sz="0" w:space="0" w:color="auto"/>
            <w:right w:val="none" w:sz="0" w:space="0" w:color="auto"/>
          </w:divBdr>
          <w:divsChild>
            <w:div w:id="497112660">
              <w:marLeft w:val="0"/>
              <w:marRight w:val="0"/>
              <w:marTop w:val="0"/>
              <w:marBottom w:val="0"/>
              <w:divBdr>
                <w:top w:val="none" w:sz="0" w:space="0" w:color="auto"/>
                <w:left w:val="none" w:sz="0" w:space="0" w:color="auto"/>
                <w:bottom w:val="none" w:sz="0" w:space="0" w:color="auto"/>
                <w:right w:val="none" w:sz="0" w:space="0" w:color="auto"/>
              </w:divBdr>
              <w:divsChild>
                <w:div w:id="1542863900">
                  <w:marLeft w:val="0"/>
                  <w:marRight w:val="0"/>
                  <w:marTop w:val="0"/>
                  <w:marBottom w:val="0"/>
                  <w:divBdr>
                    <w:top w:val="none" w:sz="0" w:space="0" w:color="auto"/>
                    <w:left w:val="none" w:sz="0" w:space="0" w:color="auto"/>
                    <w:bottom w:val="none" w:sz="0" w:space="0" w:color="auto"/>
                    <w:right w:val="none" w:sz="0" w:space="0" w:color="auto"/>
                  </w:divBdr>
                  <w:divsChild>
                    <w:div w:id="4155963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1982490909">
      <w:bodyDiv w:val="1"/>
      <w:marLeft w:val="0"/>
      <w:marRight w:val="0"/>
      <w:marTop w:val="0"/>
      <w:marBottom w:val="0"/>
      <w:divBdr>
        <w:top w:val="none" w:sz="0" w:space="0" w:color="auto"/>
        <w:left w:val="none" w:sz="0" w:space="0" w:color="auto"/>
        <w:bottom w:val="none" w:sz="0" w:space="0" w:color="auto"/>
        <w:right w:val="none" w:sz="0" w:space="0" w:color="auto"/>
      </w:divBdr>
    </w:div>
    <w:div w:id="1984657380">
      <w:bodyDiv w:val="1"/>
      <w:marLeft w:val="0"/>
      <w:marRight w:val="0"/>
      <w:marTop w:val="0"/>
      <w:marBottom w:val="0"/>
      <w:divBdr>
        <w:top w:val="none" w:sz="0" w:space="0" w:color="auto"/>
        <w:left w:val="none" w:sz="0" w:space="0" w:color="auto"/>
        <w:bottom w:val="none" w:sz="0" w:space="0" w:color="auto"/>
        <w:right w:val="none" w:sz="0" w:space="0" w:color="auto"/>
      </w:divBdr>
    </w:div>
    <w:div w:id="2002612189">
      <w:bodyDiv w:val="1"/>
      <w:marLeft w:val="0"/>
      <w:marRight w:val="0"/>
      <w:marTop w:val="0"/>
      <w:marBottom w:val="0"/>
      <w:divBdr>
        <w:top w:val="none" w:sz="0" w:space="0" w:color="auto"/>
        <w:left w:val="none" w:sz="0" w:space="0" w:color="auto"/>
        <w:bottom w:val="none" w:sz="0" w:space="0" w:color="auto"/>
        <w:right w:val="none" w:sz="0" w:space="0" w:color="auto"/>
      </w:divBdr>
      <w:divsChild>
        <w:div w:id="1623614024">
          <w:marLeft w:val="0"/>
          <w:marRight w:val="0"/>
          <w:marTop w:val="0"/>
          <w:marBottom w:val="0"/>
          <w:divBdr>
            <w:top w:val="none" w:sz="0" w:space="0" w:color="auto"/>
            <w:left w:val="none" w:sz="0" w:space="0" w:color="auto"/>
            <w:bottom w:val="none" w:sz="0" w:space="0" w:color="auto"/>
            <w:right w:val="none" w:sz="0" w:space="0" w:color="auto"/>
          </w:divBdr>
          <w:divsChild>
            <w:div w:id="1825047268">
              <w:marLeft w:val="0"/>
              <w:marRight w:val="0"/>
              <w:marTop w:val="0"/>
              <w:marBottom w:val="0"/>
              <w:divBdr>
                <w:top w:val="none" w:sz="0" w:space="0" w:color="auto"/>
                <w:left w:val="none" w:sz="0" w:space="0" w:color="auto"/>
                <w:bottom w:val="none" w:sz="0" w:space="0" w:color="auto"/>
                <w:right w:val="none" w:sz="0" w:space="0" w:color="auto"/>
              </w:divBdr>
              <w:divsChild>
                <w:div w:id="1621063081">
                  <w:marLeft w:val="0"/>
                  <w:marRight w:val="0"/>
                  <w:marTop w:val="0"/>
                  <w:marBottom w:val="0"/>
                  <w:divBdr>
                    <w:top w:val="none" w:sz="0" w:space="0" w:color="auto"/>
                    <w:left w:val="none" w:sz="0" w:space="0" w:color="auto"/>
                    <w:bottom w:val="none" w:sz="0" w:space="0" w:color="auto"/>
                    <w:right w:val="none" w:sz="0" w:space="0" w:color="auto"/>
                  </w:divBdr>
                  <w:divsChild>
                    <w:div w:id="2129857122">
                      <w:marLeft w:val="0"/>
                      <w:marRight w:val="0"/>
                      <w:marTop w:val="240"/>
                      <w:marBottom w:val="0"/>
                      <w:divBdr>
                        <w:top w:val="none" w:sz="0" w:space="0" w:color="auto"/>
                        <w:left w:val="none" w:sz="0" w:space="0" w:color="auto"/>
                        <w:bottom w:val="none" w:sz="0" w:space="0" w:color="auto"/>
                        <w:right w:val="none" w:sz="0" w:space="0" w:color="auto"/>
                      </w:divBdr>
                      <w:divsChild>
                        <w:div w:id="865217566">
                          <w:marLeft w:val="0"/>
                          <w:marRight w:val="0"/>
                          <w:marTop w:val="0"/>
                          <w:marBottom w:val="0"/>
                          <w:divBdr>
                            <w:top w:val="none" w:sz="0" w:space="0" w:color="auto"/>
                            <w:left w:val="none" w:sz="0" w:space="0" w:color="auto"/>
                            <w:bottom w:val="none" w:sz="0" w:space="0" w:color="auto"/>
                            <w:right w:val="none" w:sz="0" w:space="0" w:color="auto"/>
                          </w:divBdr>
                          <w:divsChild>
                            <w:div w:id="202239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156135">
      <w:bodyDiv w:val="1"/>
      <w:marLeft w:val="0"/>
      <w:marRight w:val="0"/>
      <w:marTop w:val="0"/>
      <w:marBottom w:val="0"/>
      <w:divBdr>
        <w:top w:val="none" w:sz="0" w:space="0" w:color="auto"/>
        <w:left w:val="none" w:sz="0" w:space="0" w:color="auto"/>
        <w:bottom w:val="none" w:sz="0" w:space="0" w:color="auto"/>
        <w:right w:val="none" w:sz="0" w:space="0" w:color="auto"/>
      </w:divBdr>
    </w:div>
    <w:div w:id="2099447928">
      <w:bodyDiv w:val="1"/>
      <w:marLeft w:val="0"/>
      <w:marRight w:val="0"/>
      <w:marTop w:val="0"/>
      <w:marBottom w:val="0"/>
      <w:divBdr>
        <w:top w:val="none" w:sz="0" w:space="0" w:color="auto"/>
        <w:left w:val="none" w:sz="0" w:space="0" w:color="auto"/>
        <w:bottom w:val="none" w:sz="0" w:space="0" w:color="auto"/>
        <w:right w:val="none" w:sz="0" w:space="0" w:color="auto"/>
      </w:divBdr>
    </w:div>
    <w:div w:id="2106614845">
      <w:bodyDiv w:val="1"/>
      <w:marLeft w:val="0"/>
      <w:marRight w:val="0"/>
      <w:marTop w:val="0"/>
      <w:marBottom w:val="0"/>
      <w:divBdr>
        <w:top w:val="none" w:sz="0" w:space="0" w:color="auto"/>
        <w:left w:val="none" w:sz="0" w:space="0" w:color="auto"/>
        <w:bottom w:val="none" w:sz="0" w:space="0" w:color="auto"/>
        <w:right w:val="none" w:sz="0" w:space="0" w:color="auto"/>
      </w:divBdr>
      <w:divsChild>
        <w:div w:id="484206002">
          <w:marLeft w:val="0"/>
          <w:marRight w:val="0"/>
          <w:marTop w:val="0"/>
          <w:marBottom w:val="0"/>
          <w:divBdr>
            <w:top w:val="none" w:sz="0" w:space="0" w:color="auto"/>
            <w:left w:val="none" w:sz="0" w:space="0" w:color="auto"/>
            <w:bottom w:val="none" w:sz="0" w:space="0" w:color="auto"/>
            <w:right w:val="none" w:sz="0" w:space="0" w:color="auto"/>
          </w:divBdr>
          <w:divsChild>
            <w:div w:id="1886334306">
              <w:marLeft w:val="0"/>
              <w:marRight w:val="0"/>
              <w:marTop w:val="0"/>
              <w:marBottom w:val="0"/>
              <w:divBdr>
                <w:top w:val="none" w:sz="0" w:space="0" w:color="auto"/>
                <w:left w:val="none" w:sz="0" w:space="0" w:color="auto"/>
                <w:bottom w:val="none" w:sz="0" w:space="0" w:color="auto"/>
                <w:right w:val="none" w:sz="0" w:space="0" w:color="auto"/>
              </w:divBdr>
              <w:divsChild>
                <w:div w:id="810947161">
                  <w:marLeft w:val="0"/>
                  <w:marRight w:val="0"/>
                  <w:marTop w:val="0"/>
                  <w:marBottom w:val="0"/>
                  <w:divBdr>
                    <w:top w:val="none" w:sz="0" w:space="0" w:color="auto"/>
                    <w:left w:val="none" w:sz="0" w:space="0" w:color="auto"/>
                    <w:bottom w:val="none" w:sz="0" w:space="0" w:color="auto"/>
                    <w:right w:val="none" w:sz="0" w:space="0" w:color="auto"/>
                  </w:divBdr>
                  <w:divsChild>
                    <w:div w:id="1093669894">
                      <w:marLeft w:val="0"/>
                      <w:marRight w:val="0"/>
                      <w:marTop w:val="240"/>
                      <w:marBottom w:val="0"/>
                      <w:divBdr>
                        <w:top w:val="none" w:sz="0" w:space="0" w:color="auto"/>
                        <w:left w:val="none" w:sz="0" w:space="0" w:color="auto"/>
                        <w:bottom w:val="none" w:sz="0" w:space="0" w:color="auto"/>
                        <w:right w:val="none" w:sz="0" w:space="0" w:color="auto"/>
                      </w:divBdr>
                      <w:divsChild>
                        <w:div w:id="446048674">
                          <w:marLeft w:val="0"/>
                          <w:marRight w:val="0"/>
                          <w:marTop w:val="0"/>
                          <w:marBottom w:val="0"/>
                          <w:divBdr>
                            <w:top w:val="none" w:sz="0" w:space="0" w:color="auto"/>
                            <w:left w:val="none" w:sz="0" w:space="0" w:color="auto"/>
                            <w:bottom w:val="none" w:sz="0" w:space="0" w:color="auto"/>
                            <w:right w:val="none" w:sz="0" w:space="0" w:color="auto"/>
                          </w:divBdr>
                          <w:divsChild>
                            <w:div w:id="103338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agriculture.gov.au/publications" TargetMode="External"/><Relationship Id="rId18" Type="http://schemas.openxmlformats.org/officeDocument/2006/relationships/footer" Target="footer2.xml"/><Relationship Id="rId26" Type="http://schemas.openxmlformats.org/officeDocument/2006/relationships/hyperlink" Target="https://www.comlaw.gov.au/Series/C2004A03065" TargetMode="External"/><Relationship Id="rId39" Type="http://schemas.openxmlformats.org/officeDocument/2006/relationships/header" Target="header5.xml"/><Relationship Id="rId21" Type="http://schemas.openxmlformats.org/officeDocument/2006/relationships/hyperlink" Target="http://www.agriculture.gov.au/export/plants-plant-products/exportersguide" TargetMode="External"/><Relationship Id="rId34" Type="http://schemas.openxmlformats.org/officeDocument/2006/relationships/image" Target="media/image4.emf"/><Relationship Id="rId42"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yperlink" Target="https://www.comlaw.gov.au/Series/C2004A03155"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hyperlink" Target="http://www.comlaw.gov.au/Series/C2004A03156" TargetMode="External"/><Relationship Id="rId32" Type="http://schemas.openxmlformats.org/officeDocument/2006/relationships/hyperlink" Target="https://www.comlaw.gov.au/Series/C2015A00094"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www.comlaw.gov.au/comlaw/management.nsf/lookupindexpagesbyid/IP200400317?OpenDocument" TargetMode="External"/><Relationship Id="rId28" Type="http://schemas.openxmlformats.org/officeDocument/2006/relationships/hyperlink" Target="https://www.comlaw.gov.au/Series/C2004A03066" TargetMode="External"/><Relationship Id="rId36" Type="http://schemas.openxmlformats.org/officeDocument/2006/relationships/image" Target="media/image6.jpeg"/><Relationship Id="rId10" Type="http://schemas.openxmlformats.org/officeDocument/2006/relationships/hyperlink" Target="http://creativecommons.org/licenses/by/3.0/au/deed.en" TargetMode="External"/><Relationship Id="rId19" Type="http://schemas.openxmlformats.org/officeDocument/2006/relationships/header" Target="header3.xml"/><Relationship Id="rId31" Type="http://schemas.openxmlformats.org/officeDocument/2006/relationships/hyperlink" Target="https://www.comlaw.gov.au/Series/C2015A00093" TargetMode="External"/><Relationship Id="rId44"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agriculture.gov.au/" TargetMode="External"/><Relationship Id="rId22" Type="http://schemas.openxmlformats.org/officeDocument/2006/relationships/hyperlink" Target="http://www.comlaw.gov.au/Series/C2004A02606" TargetMode="External"/><Relationship Id="rId27" Type="http://schemas.openxmlformats.org/officeDocument/2006/relationships/hyperlink" Target="http://www.comlaw.gov.au/Details/F2014C01044" TargetMode="External"/><Relationship Id="rId30" Type="http://schemas.openxmlformats.org/officeDocument/2006/relationships/hyperlink" Target="https://www.comlaw.gov.au/Details/C2015A00092" TargetMode="External"/><Relationship Id="rId35" Type="http://schemas.openxmlformats.org/officeDocument/2006/relationships/image" Target="media/image5.jpeg"/><Relationship Id="rId43" Type="http://schemas.openxmlformats.org/officeDocument/2006/relationships/customXml" Target="../customXml/item3.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copyright@agriculture.gov.au" TargetMode="External"/><Relationship Id="rId17" Type="http://schemas.openxmlformats.org/officeDocument/2006/relationships/footer" Target="footer1.xml"/><Relationship Id="rId25" Type="http://schemas.openxmlformats.org/officeDocument/2006/relationships/hyperlink" Target="http://www.comlaw.gov.au/Details/F2014C01042" TargetMode="External"/><Relationship Id="rId33" Type="http://schemas.openxmlformats.org/officeDocument/2006/relationships/hyperlink" Target="https://www.comlaw.gov.au/Series/C2015A00095" TargetMode="External"/><Relationship Id="rId38"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1D23DE-AE8A-4897-9140-F9ABA283958E}"/>
</file>

<file path=customXml/itemProps2.xml><?xml version="1.0" encoding="utf-8"?>
<ds:datastoreItem xmlns:ds="http://schemas.openxmlformats.org/officeDocument/2006/customXml" ds:itemID="{506767F5-A906-49AD-A1B9-217778C17F37}"/>
</file>

<file path=customXml/itemProps3.xml><?xml version="1.0" encoding="utf-8"?>
<ds:datastoreItem xmlns:ds="http://schemas.openxmlformats.org/officeDocument/2006/customXml" ds:itemID="{ACE10A23-CC8B-4AEC-84D8-FC9471DB14EC}"/>
</file>

<file path=customXml/itemProps4.xml><?xml version="1.0" encoding="utf-8"?>
<ds:datastoreItem xmlns:ds="http://schemas.openxmlformats.org/officeDocument/2006/customXml" ds:itemID="{ADD3FF96-5293-4D39-BB91-D4957C1B9B16}"/>
</file>

<file path=docProps/app.xml><?xml version="1.0" encoding="utf-8"?>
<Properties xmlns="http://schemas.openxmlformats.org/officeDocument/2006/extended-properties" xmlns:vt="http://schemas.openxmlformats.org/officeDocument/2006/docPropsVTypes">
  <Template>Normal</Template>
  <TotalTime>0</TotalTime>
  <Pages>39</Pages>
  <Words>11428</Words>
  <Characters>68615</Characters>
  <Application>Microsoft Office Word</Application>
  <DocSecurity>0</DocSecurity>
  <Lines>571</Lines>
  <Paragraphs>159</Paragraphs>
  <ScaleCrop>false</ScaleCrop>
  <HeadingPairs>
    <vt:vector size="2" baseType="variant">
      <vt:variant>
        <vt:lpstr>Title</vt:lpstr>
      </vt:variant>
      <vt:variant>
        <vt:i4>1</vt:i4>
      </vt:variant>
    </vt:vector>
  </HeadingPairs>
  <TitlesOfParts>
    <vt:vector size="1" baseType="lpstr">
      <vt:lpstr>BLANK TEMPLATE</vt:lpstr>
    </vt:vector>
  </TitlesOfParts>
  <Company>DEWHA</Company>
  <LinksUpToDate>false</LinksUpToDate>
  <CharactersWithSpaces>79884</CharactersWithSpaces>
  <SharedDoc>false</SharedDoc>
  <HLinks>
    <vt:vector size="276" baseType="variant">
      <vt:variant>
        <vt:i4>5177365</vt:i4>
      </vt:variant>
      <vt:variant>
        <vt:i4>237</vt:i4>
      </vt:variant>
      <vt:variant>
        <vt:i4>0</vt:i4>
      </vt:variant>
      <vt:variant>
        <vt:i4>5</vt:i4>
      </vt:variant>
      <vt:variant>
        <vt:lpwstr>https://www.comlaw.gov.au/Series/C2015A00095</vt:lpwstr>
      </vt:variant>
      <vt:variant>
        <vt:lpwstr/>
      </vt:variant>
      <vt:variant>
        <vt:i4>5111829</vt:i4>
      </vt:variant>
      <vt:variant>
        <vt:i4>234</vt:i4>
      </vt:variant>
      <vt:variant>
        <vt:i4>0</vt:i4>
      </vt:variant>
      <vt:variant>
        <vt:i4>5</vt:i4>
      </vt:variant>
      <vt:variant>
        <vt:lpwstr>https://www.comlaw.gov.au/Series/C2015A00094</vt:lpwstr>
      </vt:variant>
      <vt:variant>
        <vt:lpwstr/>
      </vt:variant>
      <vt:variant>
        <vt:i4>4784149</vt:i4>
      </vt:variant>
      <vt:variant>
        <vt:i4>231</vt:i4>
      </vt:variant>
      <vt:variant>
        <vt:i4>0</vt:i4>
      </vt:variant>
      <vt:variant>
        <vt:i4>5</vt:i4>
      </vt:variant>
      <vt:variant>
        <vt:lpwstr>https://www.comlaw.gov.au/Series/C2015A00093</vt:lpwstr>
      </vt:variant>
      <vt:variant>
        <vt:lpwstr/>
      </vt:variant>
      <vt:variant>
        <vt:i4>5177433</vt:i4>
      </vt:variant>
      <vt:variant>
        <vt:i4>228</vt:i4>
      </vt:variant>
      <vt:variant>
        <vt:i4>0</vt:i4>
      </vt:variant>
      <vt:variant>
        <vt:i4>5</vt:i4>
      </vt:variant>
      <vt:variant>
        <vt:lpwstr>https://www.comlaw.gov.au/Details/C2015A00092</vt:lpwstr>
      </vt:variant>
      <vt:variant>
        <vt:lpwstr/>
      </vt:variant>
      <vt:variant>
        <vt:i4>5177371</vt:i4>
      </vt:variant>
      <vt:variant>
        <vt:i4>225</vt:i4>
      </vt:variant>
      <vt:variant>
        <vt:i4>0</vt:i4>
      </vt:variant>
      <vt:variant>
        <vt:i4>5</vt:i4>
      </vt:variant>
      <vt:variant>
        <vt:lpwstr>https://www.comlaw.gov.au/Series/C2004A03155</vt:lpwstr>
      </vt:variant>
      <vt:variant>
        <vt:lpwstr/>
      </vt:variant>
      <vt:variant>
        <vt:i4>5046296</vt:i4>
      </vt:variant>
      <vt:variant>
        <vt:i4>222</vt:i4>
      </vt:variant>
      <vt:variant>
        <vt:i4>0</vt:i4>
      </vt:variant>
      <vt:variant>
        <vt:i4>5</vt:i4>
      </vt:variant>
      <vt:variant>
        <vt:lpwstr>https://www.comlaw.gov.au/Series/C2004A03066</vt:lpwstr>
      </vt:variant>
      <vt:variant>
        <vt:lpwstr/>
      </vt:variant>
      <vt:variant>
        <vt:i4>131161</vt:i4>
      </vt:variant>
      <vt:variant>
        <vt:i4>219</vt:i4>
      </vt:variant>
      <vt:variant>
        <vt:i4>0</vt:i4>
      </vt:variant>
      <vt:variant>
        <vt:i4>5</vt:i4>
      </vt:variant>
      <vt:variant>
        <vt:lpwstr>http://www.comlaw.gov.au/Details/F2014C01044</vt:lpwstr>
      </vt:variant>
      <vt:variant>
        <vt:lpwstr/>
      </vt:variant>
      <vt:variant>
        <vt:i4>5111832</vt:i4>
      </vt:variant>
      <vt:variant>
        <vt:i4>216</vt:i4>
      </vt:variant>
      <vt:variant>
        <vt:i4>0</vt:i4>
      </vt:variant>
      <vt:variant>
        <vt:i4>5</vt:i4>
      </vt:variant>
      <vt:variant>
        <vt:lpwstr>https://www.comlaw.gov.au/Series/C2004A03065</vt:lpwstr>
      </vt:variant>
      <vt:variant>
        <vt:lpwstr/>
      </vt:variant>
      <vt:variant>
        <vt:i4>262233</vt:i4>
      </vt:variant>
      <vt:variant>
        <vt:i4>213</vt:i4>
      </vt:variant>
      <vt:variant>
        <vt:i4>0</vt:i4>
      </vt:variant>
      <vt:variant>
        <vt:i4>5</vt:i4>
      </vt:variant>
      <vt:variant>
        <vt:lpwstr>http://www.comlaw.gov.au/Details/F2014C01042</vt:lpwstr>
      </vt:variant>
      <vt:variant>
        <vt:lpwstr/>
      </vt:variant>
      <vt:variant>
        <vt:i4>7340130</vt:i4>
      </vt:variant>
      <vt:variant>
        <vt:i4>210</vt:i4>
      </vt:variant>
      <vt:variant>
        <vt:i4>0</vt:i4>
      </vt:variant>
      <vt:variant>
        <vt:i4>5</vt:i4>
      </vt:variant>
      <vt:variant>
        <vt:lpwstr>http://www.comlaw.gov.au/Series/C2004A03156</vt:lpwstr>
      </vt:variant>
      <vt:variant>
        <vt:lpwstr/>
      </vt:variant>
      <vt:variant>
        <vt:i4>1966157</vt:i4>
      </vt:variant>
      <vt:variant>
        <vt:i4>207</vt:i4>
      </vt:variant>
      <vt:variant>
        <vt:i4>0</vt:i4>
      </vt:variant>
      <vt:variant>
        <vt:i4>5</vt:i4>
      </vt:variant>
      <vt:variant>
        <vt:lpwstr>http://www.comlaw.gov.au/comlaw/management.nsf/lookupindexpagesbyid/IP200400317?OpenDocument</vt:lpwstr>
      </vt:variant>
      <vt:variant>
        <vt:lpwstr/>
      </vt:variant>
      <vt:variant>
        <vt:i4>7602277</vt:i4>
      </vt:variant>
      <vt:variant>
        <vt:i4>204</vt:i4>
      </vt:variant>
      <vt:variant>
        <vt:i4>0</vt:i4>
      </vt:variant>
      <vt:variant>
        <vt:i4>5</vt:i4>
      </vt:variant>
      <vt:variant>
        <vt:lpwstr>http://www.comlaw.gov.au/Series/C2004A02606</vt:lpwstr>
      </vt:variant>
      <vt:variant>
        <vt:lpwstr/>
      </vt:variant>
      <vt:variant>
        <vt:i4>1704005</vt:i4>
      </vt:variant>
      <vt:variant>
        <vt:i4>201</vt:i4>
      </vt:variant>
      <vt:variant>
        <vt:i4>0</vt:i4>
      </vt:variant>
      <vt:variant>
        <vt:i4>5</vt:i4>
      </vt:variant>
      <vt:variant>
        <vt:lpwstr>http://www.agriculture.gov.au/export/plants-plant-products/exportersguide</vt:lpwstr>
      </vt:variant>
      <vt:variant>
        <vt:lpwstr/>
      </vt:variant>
      <vt:variant>
        <vt:i4>1376304</vt:i4>
      </vt:variant>
      <vt:variant>
        <vt:i4>194</vt:i4>
      </vt:variant>
      <vt:variant>
        <vt:i4>0</vt:i4>
      </vt:variant>
      <vt:variant>
        <vt:i4>5</vt:i4>
      </vt:variant>
      <vt:variant>
        <vt:lpwstr/>
      </vt:variant>
      <vt:variant>
        <vt:lpwstr>_Toc429485517</vt:lpwstr>
      </vt:variant>
      <vt:variant>
        <vt:i4>1376304</vt:i4>
      </vt:variant>
      <vt:variant>
        <vt:i4>188</vt:i4>
      </vt:variant>
      <vt:variant>
        <vt:i4>0</vt:i4>
      </vt:variant>
      <vt:variant>
        <vt:i4>5</vt:i4>
      </vt:variant>
      <vt:variant>
        <vt:lpwstr/>
      </vt:variant>
      <vt:variant>
        <vt:lpwstr>_Toc429485516</vt:lpwstr>
      </vt:variant>
      <vt:variant>
        <vt:i4>1376304</vt:i4>
      </vt:variant>
      <vt:variant>
        <vt:i4>182</vt:i4>
      </vt:variant>
      <vt:variant>
        <vt:i4>0</vt:i4>
      </vt:variant>
      <vt:variant>
        <vt:i4>5</vt:i4>
      </vt:variant>
      <vt:variant>
        <vt:lpwstr/>
      </vt:variant>
      <vt:variant>
        <vt:lpwstr>_Toc429485515</vt:lpwstr>
      </vt:variant>
      <vt:variant>
        <vt:i4>1376304</vt:i4>
      </vt:variant>
      <vt:variant>
        <vt:i4>176</vt:i4>
      </vt:variant>
      <vt:variant>
        <vt:i4>0</vt:i4>
      </vt:variant>
      <vt:variant>
        <vt:i4>5</vt:i4>
      </vt:variant>
      <vt:variant>
        <vt:lpwstr/>
      </vt:variant>
      <vt:variant>
        <vt:lpwstr>_Toc429485514</vt:lpwstr>
      </vt:variant>
      <vt:variant>
        <vt:i4>1376304</vt:i4>
      </vt:variant>
      <vt:variant>
        <vt:i4>170</vt:i4>
      </vt:variant>
      <vt:variant>
        <vt:i4>0</vt:i4>
      </vt:variant>
      <vt:variant>
        <vt:i4>5</vt:i4>
      </vt:variant>
      <vt:variant>
        <vt:lpwstr/>
      </vt:variant>
      <vt:variant>
        <vt:lpwstr>_Toc429485513</vt:lpwstr>
      </vt:variant>
      <vt:variant>
        <vt:i4>1376304</vt:i4>
      </vt:variant>
      <vt:variant>
        <vt:i4>164</vt:i4>
      </vt:variant>
      <vt:variant>
        <vt:i4>0</vt:i4>
      </vt:variant>
      <vt:variant>
        <vt:i4>5</vt:i4>
      </vt:variant>
      <vt:variant>
        <vt:lpwstr/>
      </vt:variant>
      <vt:variant>
        <vt:lpwstr>_Toc429485512</vt:lpwstr>
      </vt:variant>
      <vt:variant>
        <vt:i4>1376304</vt:i4>
      </vt:variant>
      <vt:variant>
        <vt:i4>158</vt:i4>
      </vt:variant>
      <vt:variant>
        <vt:i4>0</vt:i4>
      </vt:variant>
      <vt:variant>
        <vt:i4>5</vt:i4>
      </vt:variant>
      <vt:variant>
        <vt:lpwstr/>
      </vt:variant>
      <vt:variant>
        <vt:lpwstr>_Toc429485511</vt:lpwstr>
      </vt:variant>
      <vt:variant>
        <vt:i4>1376304</vt:i4>
      </vt:variant>
      <vt:variant>
        <vt:i4>152</vt:i4>
      </vt:variant>
      <vt:variant>
        <vt:i4>0</vt:i4>
      </vt:variant>
      <vt:variant>
        <vt:i4>5</vt:i4>
      </vt:variant>
      <vt:variant>
        <vt:lpwstr/>
      </vt:variant>
      <vt:variant>
        <vt:lpwstr>_Toc429485510</vt:lpwstr>
      </vt:variant>
      <vt:variant>
        <vt:i4>1310768</vt:i4>
      </vt:variant>
      <vt:variant>
        <vt:i4>146</vt:i4>
      </vt:variant>
      <vt:variant>
        <vt:i4>0</vt:i4>
      </vt:variant>
      <vt:variant>
        <vt:i4>5</vt:i4>
      </vt:variant>
      <vt:variant>
        <vt:lpwstr/>
      </vt:variant>
      <vt:variant>
        <vt:lpwstr>_Toc429485509</vt:lpwstr>
      </vt:variant>
      <vt:variant>
        <vt:i4>1310768</vt:i4>
      </vt:variant>
      <vt:variant>
        <vt:i4>140</vt:i4>
      </vt:variant>
      <vt:variant>
        <vt:i4>0</vt:i4>
      </vt:variant>
      <vt:variant>
        <vt:i4>5</vt:i4>
      </vt:variant>
      <vt:variant>
        <vt:lpwstr/>
      </vt:variant>
      <vt:variant>
        <vt:lpwstr>_Toc429485508</vt:lpwstr>
      </vt:variant>
      <vt:variant>
        <vt:i4>1310768</vt:i4>
      </vt:variant>
      <vt:variant>
        <vt:i4>134</vt:i4>
      </vt:variant>
      <vt:variant>
        <vt:i4>0</vt:i4>
      </vt:variant>
      <vt:variant>
        <vt:i4>5</vt:i4>
      </vt:variant>
      <vt:variant>
        <vt:lpwstr/>
      </vt:variant>
      <vt:variant>
        <vt:lpwstr>_Toc429485507</vt:lpwstr>
      </vt:variant>
      <vt:variant>
        <vt:i4>1310768</vt:i4>
      </vt:variant>
      <vt:variant>
        <vt:i4>128</vt:i4>
      </vt:variant>
      <vt:variant>
        <vt:i4>0</vt:i4>
      </vt:variant>
      <vt:variant>
        <vt:i4>5</vt:i4>
      </vt:variant>
      <vt:variant>
        <vt:lpwstr/>
      </vt:variant>
      <vt:variant>
        <vt:lpwstr>_Toc429485506</vt:lpwstr>
      </vt:variant>
      <vt:variant>
        <vt:i4>1310768</vt:i4>
      </vt:variant>
      <vt:variant>
        <vt:i4>122</vt:i4>
      </vt:variant>
      <vt:variant>
        <vt:i4>0</vt:i4>
      </vt:variant>
      <vt:variant>
        <vt:i4>5</vt:i4>
      </vt:variant>
      <vt:variant>
        <vt:lpwstr/>
      </vt:variant>
      <vt:variant>
        <vt:lpwstr>_Toc429485505</vt:lpwstr>
      </vt:variant>
      <vt:variant>
        <vt:i4>1310768</vt:i4>
      </vt:variant>
      <vt:variant>
        <vt:i4>116</vt:i4>
      </vt:variant>
      <vt:variant>
        <vt:i4>0</vt:i4>
      </vt:variant>
      <vt:variant>
        <vt:i4>5</vt:i4>
      </vt:variant>
      <vt:variant>
        <vt:lpwstr/>
      </vt:variant>
      <vt:variant>
        <vt:lpwstr>_Toc429485504</vt:lpwstr>
      </vt:variant>
      <vt:variant>
        <vt:i4>1310768</vt:i4>
      </vt:variant>
      <vt:variant>
        <vt:i4>110</vt:i4>
      </vt:variant>
      <vt:variant>
        <vt:i4>0</vt:i4>
      </vt:variant>
      <vt:variant>
        <vt:i4>5</vt:i4>
      </vt:variant>
      <vt:variant>
        <vt:lpwstr/>
      </vt:variant>
      <vt:variant>
        <vt:lpwstr>_Toc429485503</vt:lpwstr>
      </vt:variant>
      <vt:variant>
        <vt:i4>1310768</vt:i4>
      </vt:variant>
      <vt:variant>
        <vt:i4>104</vt:i4>
      </vt:variant>
      <vt:variant>
        <vt:i4>0</vt:i4>
      </vt:variant>
      <vt:variant>
        <vt:i4>5</vt:i4>
      </vt:variant>
      <vt:variant>
        <vt:lpwstr/>
      </vt:variant>
      <vt:variant>
        <vt:lpwstr>_Toc429485502</vt:lpwstr>
      </vt:variant>
      <vt:variant>
        <vt:i4>1310768</vt:i4>
      </vt:variant>
      <vt:variant>
        <vt:i4>98</vt:i4>
      </vt:variant>
      <vt:variant>
        <vt:i4>0</vt:i4>
      </vt:variant>
      <vt:variant>
        <vt:i4>5</vt:i4>
      </vt:variant>
      <vt:variant>
        <vt:lpwstr/>
      </vt:variant>
      <vt:variant>
        <vt:lpwstr>_Toc429485501</vt:lpwstr>
      </vt:variant>
      <vt:variant>
        <vt:i4>1310768</vt:i4>
      </vt:variant>
      <vt:variant>
        <vt:i4>92</vt:i4>
      </vt:variant>
      <vt:variant>
        <vt:i4>0</vt:i4>
      </vt:variant>
      <vt:variant>
        <vt:i4>5</vt:i4>
      </vt:variant>
      <vt:variant>
        <vt:lpwstr/>
      </vt:variant>
      <vt:variant>
        <vt:lpwstr>_Toc429485500</vt:lpwstr>
      </vt:variant>
      <vt:variant>
        <vt:i4>1900593</vt:i4>
      </vt:variant>
      <vt:variant>
        <vt:i4>86</vt:i4>
      </vt:variant>
      <vt:variant>
        <vt:i4>0</vt:i4>
      </vt:variant>
      <vt:variant>
        <vt:i4>5</vt:i4>
      </vt:variant>
      <vt:variant>
        <vt:lpwstr/>
      </vt:variant>
      <vt:variant>
        <vt:lpwstr>_Toc429485499</vt:lpwstr>
      </vt:variant>
      <vt:variant>
        <vt:i4>1900593</vt:i4>
      </vt:variant>
      <vt:variant>
        <vt:i4>80</vt:i4>
      </vt:variant>
      <vt:variant>
        <vt:i4>0</vt:i4>
      </vt:variant>
      <vt:variant>
        <vt:i4>5</vt:i4>
      </vt:variant>
      <vt:variant>
        <vt:lpwstr/>
      </vt:variant>
      <vt:variant>
        <vt:lpwstr>_Toc429485498</vt:lpwstr>
      </vt:variant>
      <vt:variant>
        <vt:i4>1900593</vt:i4>
      </vt:variant>
      <vt:variant>
        <vt:i4>74</vt:i4>
      </vt:variant>
      <vt:variant>
        <vt:i4>0</vt:i4>
      </vt:variant>
      <vt:variant>
        <vt:i4>5</vt:i4>
      </vt:variant>
      <vt:variant>
        <vt:lpwstr/>
      </vt:variant>
      <vt:variant>
        <vt:lpwstr>_Toc429485497</vt:lpwstr>
      </vt:variant>
      <vt:variant>
        <vt:i4>1900593</vt:i4>
      </vt:variant>
      <vt:variant>
        <vt:i4>68</vt:i4>
      </vt:variant>
      <vt:variant>
        <vt:i4>0</vt:i4>
      </vt:variant>
      <vt:variant>
        <vt:i4>5</vt:i4>
      </vt:variant>
      <vt:variant>
        <vt:lpwstr/>
      </vt:variant>
      <vt:variant>
        <vt:lpwstr>_Toc429485496</vt:lpwstr>
      </vt:variant>
      <vt:variant>
        <vt:i4>1900593</vt:i4>
      </vt:variant>
      <vt:variant>
        <vt:i4>62</vt:i4>
      </vt:variant>
      <vt:variant>
        <vt:i4>0</vt:i4>
      </vt:variant>
      <vt:variant>
        <vt:i4>5</vt:i4>
      </vt:variant>
      <vt:variant>
        <vt:lpwstr/>
      </vt:variant>
      <vt:variant>
        <vt:lpwstr>_Toc429485495</vt:lpwstr>
      </vt:variant>
      <vt:variant>
        <vt:i4>1900593</vt:i4>
      </vt:variant>
      <vt:variant>
        <vt:i4>56</vt:i4>
      </vt:variant>
      <vt:variant>
        <vt:i4>0</vt:i4>
      </vt:variant>
      <vt:variant>
        <vt:i4>5</vt:i4>
      </vt:variant>
      <vt:variant>
        <vt:lpwstr/>
      </vt:variant>
      <vt:variant>
        <vt:lpwstr>_Toc429485494</vt:lpwstr>
      </vt:variant>
      <vt:variant>
        <vt:i4>1900593</vt:i4>
      </vt:variant>
      <vt:variant>
        <vt:i4>50</vt:i4>
      </vt:variant>
      <vt:variant>
        <vt:i4>0</vt:i4>
      </vt:variant>
      <vt:variant>
        <vt:i4>5</vt:i4>
      </vt:variant>
      <vt:variant>
        <vt:lpwstr/>
      </vt:variant>
      <vt:variant>
        <vt:lpwstr>_Toc429485493</vt:lpwstr>
      </vt:variant>
      <vt:variant>
        <vt:i4>1900593</vt:i4>
      </vt:variant>
      <vt:variant>
        <vt:i4>44</vt:i4>
      </vt:variant>
      <vt:variant>
        <vt:i4>0</vt:i4>
      </vt:variant>
      <vt:variant>
        <vt:i4>5</vt:i4>
      </vt:variant>
      <vt:variant>
        <vt:lpwstr/>
      </vt:variant>
      <vt:variant>
        <vt:lpwstr>_Toc429485492</vt:lpwstr>
      </vt:variant>
      <vt:variant>
        <vt:i4>1900593</vt:i4>
      </vt:variant>
      <vt:variant>
        <vt:i4>38</vt:i4>
      </vt:variant>
      <vt:variant>
        <vt:i4>0</vt:i4>
      </vt:variant>
      <vt:variant>
        <vt:i4>5</vt:i4>
      </vt:variant>
      <vt:variant>
        <vt:lpwstr/>
      </vt:variant>
      <vt:variant>
        <vt:lpwstr>_Toc429485491</vt:lpwstr>
      </vt:variant>
      <vt:variant>
        <vt:i4>1900593</vt:i4>
      </vt:variant>
      <vt:variant>
        <vt:i4>32</vt:i4>
      </vt:variant>
      <vt:variant>
        <vt:i4>0</vt:i4>
      </vt:variant>
      <vt:variant>
        <vt:i4>5</vt:i4>
      </vt:variant>
      <vt:variant>
        <vt:lpwstr/>
      </vt:variant>
      <vt:variant>
        <vt:lpwstr>_Toc429485490</vt:lpwstr>
      </vt:variant>
      <vt:variant>
        <vt:i4>1835057</vt:i4>
      </vt:variant>
      <vt:variant>
        <vt:i4>26</vt:i4>
      </vt:variant>
      <vt:variant>
        <vt:i4>0</vt:i4>
      </vt:variant>
      <vt:variant>
        <vt:i4>5</vt:i4>
      </vt:variant>
      <vt:variant>
        <vt:lpwstr/>
      </vt:variant>
      <vt:variant>
        <vt:lpwstr>_Toc429485489</vt:lpwstr>
      </vt:variant>
      <vt:variant>
        <vt:i4>1835057</vt:i4>
      </vt:variant>
      <vt:variant>
        <vt:i4>20</vt:i4>
      </vt:variant>
      <vt:variant>
        <vt:i4>0</vt:i4>
      </vt:variant>
      <vt:variant>
        <vt:i4>5</vt:i4>
      </vt:variant>
      <vt:variant>
        <vt:lpwstr/>
      </vt:variant>
      <vt:variant>
        <vt:lpwstr>_Toc429485488</vt:lpwstr>
      </vt:variant>
      <vt:variant>
        <vt:i4>1835057</vt:i4>
      </vt:variant>
      <vt:variant>
        <vt:i4>14</vt:i4>
      </vt:variant>
      <vt:variant>
        <vt:i4>0</vt:i4>
      </vt:variant>
      <vt:variant>
        <vt:i4>5</vt:i4>
      </vt:variant>
      <vt:variant>
        <vt:lpwstr/>
      </vt:variant>
      <vt:variant>
        <vt:lpwstr>_Toc429485487</vt:lpwstr>
      </vt:variant>
      <vt:variant>
        <vt:i4>1835057</vt:i4>
      </vt:variant>
      <vt:variant>
        <vt:i4>8</vt:i4>
      </vt:variant>
      <vt:variant>
        <vt:i4>0</vt:i4>
      </vt:variant>
      <vt:variant>
        <vt:i4>5</vt:i4>
      </vt:variant>
      <vt:variant>
        <vt:lpwstr/>
      </vt:variant>
      <vt:variant>
        <vt:lpwstr>_Toc429485486</vt:lpwstr>
      </vt:variant>
      <vt:variant>
        <vt:i4>1835057</vt:i4>
      </vt:variant>
      <vt:variant>
        <vt:i4>2</vt:i4>
      </vt:variant>
      <vt:variant>
        <vt:i4>0</vt:i4>
      </vt:variant>
      <vt:variant>
        <vt:i4>5</vt:i4>
      </vt:variant>
      <vt:variant>
        <vt:lpwstr/>
      </vt:variant>
      <vt:variant>
        <vt:lpwstr>_Toc429485485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TEMPLATE</dc:title>
  <dc:subject/>
  <dc:creator>J Francis</dc:creator>
  <cp:keywords/>
  <cp:lastModifiedBy>Dang, Van</cp:lastModifiedBy>
  <cp:revision>3</cp:revision>
  <cp:lastPrinted>2015-10-30T06:23:00Z</cp:lastPrinted>
  <dcterms:created xsi:type="dcterms:W3CDTF">2015-10-30T06:23:00Z</dcterms:created>
  <dcterms:modified xsi:type="dcterms:W3CDTF">2015-10-30T06:23:00Z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y fmtid="{D5CDD505-2E9C-101B-9397-08002B2CF9AE}" pid="3" name="Publishing Section">
    <vt:lpwstr>Information Management Division</vt:lpwstr>
  </property>
  <property fmtid="{D5CDD505-2E9C-101B-9397-08002B2CF9AE}" pid="4" name="SecurityClassification">
    <vt:lpwstr/>
  </property>
  <property fmtid="{D5CDD505-2E9C-101B-9397-08002B2CF9AE}" pid="5" name="DLM">
    <vt:lpwstr/>
  </property>
  <property fmtid="{D5CDD505-2E9C-101B-9397-08002B2CF9AE}" pid="6" name="Sensitivity">
    <vt:lpwstr/>
  </property>
  <property fmtid="{D5CDD505-2E9C-101B-9397-08002B2CF9AE}" pid="7" name="Spacer">
    <vt:lpwstr/>
  </property>
  <property fmtid="{D5CDD505-2E9C-101B-9397-08002B2CF9AE}" pid="8" name="Legislation">
    <vt:lpwstr/>
  </property>
  <property fmtid="{D5CDD505-2E9C-101B-9397-08002B2CF9AE}" pid="9" name="Departmental Keywords">
    <vt:lpwstr/>
  </property>
  <property fmtid="{D5CDD505-2E9C-101B-9397-08002B2CF9AE}" pid="10" name="Keywords1">
    <vt:lpwstr/>
  </property>
</Properties>
</file>