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02417503"/>
        <w:docPartObj>
          <w:docPartGallery w:val="Cover Pages"/>
          <w:docPartUnique/>
        </w:docPartObj>
      </w:sdtPr>
      <w:sdtEndPr/>
      <w:sdtContent>
        <w:p w14:paraId="5F7057DA" w14:textId="0FB5F5ED" w:rsidR="00E91A06" w:rsidRDefault="004E1A3F">
          <w:r>
            <w:rPr>
              <w:noProof/>
              <w:lang w:eastAsia="en-AU"/>
            </w:rPr>
            <w:drawing>
              <wp:anchor distT="0" distB="0" distL="114300" distR="114300" simplePos="0" relativeHeight="251695104" behindDoc="0" locked="0" layoutInCell="1" allowOverlap="1" wp14:anchorId="36DAE55F" wp14:editId="28C360B6">
                <wp:simplePos x="0" y="0"/>
                <wp:positionH relativeFrom="margin">
                  <wp:posOffset>-690880</wp:posOffset>
                </wp:positionH>
                <wp:positionV relativeFrom="page">
                  <wp:posOffset>1247775</wp:posOffset>
                </wp:positionV>
                <wp:extent cx="7119620" cy="3390265"/>
                <wp:effectExtent l="0" t="0" r="5080" b="63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9620" cy="339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A06">
            <w:rPr>
              <w:noProof/>
              <w:lang w:eastAsia="en-AU"/>
            </w:rPr>
            <mc:AlternateContent>
              <mc:Choice Requires="wpg">
                <w:drawing>
                  <wp:anchor distT="0" distB="0" distL="114300" distR="114300" simplePos="0" relativeHeight="251684864" behindDoc="0" locked="0" layoutInCell="1" allowOverlap="1" wp14:anchorId="73E71C6F" wp14:editId="043AD127">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F3585E" id="Group 149" o:spid="_x0000_s1026" style="position:absolute;margin-left:0;margin-top:0;width:8in;height:95.7pt;z-index:25168486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sidR="00E91A06">
            <w:rPr>
              <w:noProof/>
              <w:lang w:eastAsia="en-AU"/>
            </w:rPr>
            <mc:AlternateContent>
              <mc:Choice Requires="wps">
                <w:drawing>
                  <wp:anchor distT="0" distB="0" distL="114300" distR="114300" simplePos="0" relativeHeight="251682816" behindDoc="0" locked="0" layoutInCell="1" allowOverlap="1" wp14:anchorId="5F767E56" wp14:editId="5FD999C8">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FD72F" w14:textId="75FF1E3F" w:rsidR="004163D1" w:rsidRDefault="004163D1">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767E56" id="_x0000_t202" coordsize="21600,21600" o:spt="202" path="m,l,21600r21600,l21600,xe">
                    <v:stroke joinstyle="miter"/>
                    <v:path gradientshapeok="t" o:connecttype="rect"/>
                  </v:shapetype>
                  <v:shape id="Text Box 152" o:spid="_x0000_s1026" type="#_x0000_t202" style="position:absolute;margin-left:0;margin-top:0;width:8in;height:1in;z-index:251682816;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14:paraId="572FD72F" w14:textId="75FF1E3F" w:rsidR="004163D1" w:rsidRDefault="004163D1">
                          <w:pPr>
                            <w:pStyle w:val="NoSpacing"/>
                            <w:jc w:val="right"/>
                            <w:rPr>
                              <w:color w:val="595959" w:themeColor="text1" w:themeTint="A6"/>
                              <w:sz w:val="18"/>
                              <w:szCs w:val="18"/>
                            </w:rPr>
                          </w:pPr>
                        </w:p>
                      </w:txbxContent>
                    </v:textbox>
                    <w10:wrap type="square" anchorx="page" anchory="page"/>
                  </v:shape>
                </w:pict>
              </mc:Fallback>
            </mc:AlternateContent>
          </w:r>
          <w:r w:rsidR="00E91A06">
            <w:rPr>
              <w:noProof/>
              <w:lang w:eastAsia="en-AU"/>
            </w:rPr>
            <mc:AlternateContent>
              <mc:Choice Requires="wps">
                <w:drawing>
                  <wp:anchor distT="0" distB="0" distL="114300" distR="114300" simplePos="0" relativeHeight="251683840" behindDoc="0" locked="0" layoutInCell="1" allowOverlap="1" wp14:anchorId="39ED871E" wp14:editId="68654E3B">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6249AB00" w14:textId="55173104" w:rsidR="004163D1" w:rsidRDefault="004163D1">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ED871E" id="Text Box 153" o:spid="_x0000_s1027" type="#_x0000_t202" style="position:absolute;margin-left:0;margin-top:0;width:8in;height:79.5pt;z-index:251683840;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6249AB00" w14:textId="55173104" w:rsidR="004163D1" w:rsidRDefault="004163D1">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sidR="00E91A06">
            <w:rPr>
              <w:noProof/>
              <w:lang w:eastAsia="en-AU"/>
            </w:rPr>
            <mc:AlternateContent>
              <mc:Choice Requires="wps">
                <w:drawing>
                  <wp:anchor distT="0" distB="0" distL="114300" distR="114300" simplePos="0" relativeHeight="251681792" behindDoc="0" locked="0" layoutInCell="1" allowOverlap="1" wp14:anchorId="11772074" wp14:editId="2224AEA6">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20902" w14:textId="03299661" w:rsidR="004163D1" w:rsidRDefault="008827C0">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163D1">
                                      <w:rPr>
                                        <w:caps/>
                                        <w:color w:val="4472C4" w:themeColor="accent1"/>
                                        <w:sz w:val="64"/>
                                        <w:szCs w:val="64"/>
                                      </w:rPr>
                                      <w:t>Biosecurity Imports levy: a way forward</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4EF03EAF" w14:textId="3E03F65C" w:rsidR="004163D1" w:rsidRDefault="008827C0">
                                    <w:pPr>
                                      <w:jc w:val="right"/>
                                      <w:rPr>
                                        <w:color w:val="404040" w:themeColor="text1" w:themeTint="BF"/>
                                        <w:sz w:val="36"/>
                                        <w:szCs w:val="36"/>
                                      </w:rPr>
                                    </w:pPr>
                                    <w:r>
                                      <w:rPr>
                                        <w:color w:val="404040" w:themeColor="text1" w:themeTint="BF"/>
                                        <w:sz w:val="36"/>
                                        <w:szCs w:val="36"/>
                                      </w:rPr>
                                      <w:t xml:space="preserve">     </w:t>
                                    </w:r>
                                  </w:p>
                                </w:sdtContent>
                              </w:sdt>
                              <w:p w14:paraId="56B1DA6D" w14:textId="0015609E" w:rsidR="004163D1" w:rsidRDefault="004163D1">
                                <w:pPr>
                                  <w:jc w:val="right"/>
                                  <w:rPr>
                                    <w:smallCaps/>
                                    <w:color w:val="404040" w:themeColor="text1" w:themeTint="BF"/>
                                    <w:sz w:val="36"/>
                                    <w:szCs w:val="36"/>
                                  </w:rPr>
                                </w:pPr>
                                <w:r>
                                  <w:rPr>
                                    <w:color w:val="404040" w:themeColor="text1" w:themeTint="BF"/>
                                    <w:sz w:val="36"/>
                                    <w:szCs w:val="36"/>
                                  </w:rPr>
                                  <w:t>May 2019</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11772074" id="_x0000_t202" coordsize="21600,21600" o:spt="202" path="m,l,21600r21600,l21600,xe">
                    <v:stroke joinstyle="miter"/>
                    <v:path gradientshapeok="t" o:connecttype="rect"/>
                  </v:shapetype>
                  <v:shape id="Text Box 154" o:spid="_x0000_s1028" type="#_x0000_t202" style="position:absolute;margin-left:0;margin-top:0;width:8in;height:286.5pt;z-index:251681792;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14:paraId="00120902" w14:textId="03299661" w:rsidR="004163D1" w:rsidRDefault="008827C0">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163D1">
                                <w:rPr>
                                  <w:caps/>
                                  <w:color w:val="4472C4" w:themeColor="accent1"/>
                                  <w:sz w:val="64"/>
                                  <w:szCs w:val="64"/>
                                </w:rPr>
                                <w:t>Biosecurity Imports levy: a way forward</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4EF03EAF" w14:textId="3E03F65C" w:rsidR="004163D1" w:rsidRDefault="008827C0">
                              <w:pPr>
                                <w:jc w:val="right"/>
                                <w:rPr>
                                  <w:color w:val="404040" w:themeColor="text1" w:themeTint="BF"/>
                                  <w:sz w:val="36"/>
                                  <w:szCs w:val="36"/>
                                </w:rPr>
                              </w:pPr>
                              <w:r>
                                <w:rPr>
                                  <w:color w:val="404040" w:themeColor="text1" w:themeTint="BF"/>
                                  <w:sz w:val="36"/>
                                  <w:szCs w:val="36"/>
                                </w:rPr>
                                <w:t xml:space="preserve">     </w:t>
                              </w:r>
                            </w:p>
                          </w:sdtContent>
                        </w:sdt>
                        <w:p w14:paraId="56B1DA6D" w14:textId="0015609E" w:rsidR="004163D1" w:rsidRDefault="004163D1">
                          <w:pPr>
                            <w:jc w:val="right"/>
                            <w:rPr>
                              <w:smallCaps/>
                              <w:color w:val="404040" w:themeColor="text1" w:themeTint="BF"/>
                              <w:sz w:val="36"/>
                              <w:szCs w:val="36"/>
                            </w:rPr>
                          </w:pPr>
                          <w:r>
                            <w:rPr>
                              <w:color w:val="404040" w:themeColor="text1" w:themeTint="BF"/>
                              <w:sz w:val="36"/>
                              <w:szCs w:val="36"/>
                            </w:rPr>
                            <w:t>May 2019</w:t>
                          </w:r>
                        </w:p>
                      </w:txbxContent>
                    </v:textbox>
                    <w10:wrap type="square" anchorx="page" anchory="page"/>
                  </v:shape>
                </w:pict>
              </mc:Fallback>
            </mc:AlternateContent>
          </w:r>
        </w:p>
        <w:p w14:paraId="3C1E86BF" w14:textId="68228785" w:rsidR="00E91A06" w:rsidRDefault="00E91A06">
          <w:pPr>
            <w:spacing w:before="0" w:after="160" w:line="259" w:lineRule="auto"/>
            <w:rPr>
              <w:rFonts w:asciiTheme="majorHAnsi" w:eastAsiaTheme="majorEastAsia" w:hAnsiTheme="majorHAnsi" w:cstheme="majorBidi"/>
              <w:color w:val="2F5496" w:themeColor="accent1" w:themeShade="BF"/>
              <w:sz w:val="32"/>
              <w:szCs w:val="32"/>
            </w:rPr>
          </w:pPr>
          <w:r>
            <w:br w:type="page"/>
          </w:r>
        </w:p>
      </w:sdtContent>
    </w:sdt>
    <w:p w14:paraId="320DD2DC" w14:textId="09FCA3A4" w:rsidR="00E91A06" w:rsidRDefault="00E91A06" w:rsidP="00E91A06">
      <w:pPr>
        <w:pStyle w:val="Heading1"/>
      </w:pPr>
      <w:bookmarkStart w:id="0" w:name="_Toc10031873"/>
      <w:r>
        <w:lastRenderedPageBreak/>
        <w:t>Letter of Transmittal</w:t>
      </w:r>
      <w:bookmarkEnd w:id="0"/>
    </w:p>
    <w:p w14:paraId="2F2B7DD3" w14:textId="660B8D16" w:rsidR="00A439D7" w:rsidRDefault="00856AF1">
      <w:pPr>
        <w:spacing w:before="0" w:after="160" w:line="259" w:lineRule="auto"/>
      </w:pPr>
      <w:r w:rsidRPr="00856AF1">
        <w:rPr>
          <w:noProof/>
          <w:lang w:eastAsia="en-AU"/>
        </w:rPr>
        <w:drawing>
          <wp:inline distT="0" distB="0" distL="0" distR="0" wp14:anchorId="6E3760DD" wp14:editId="7C0BDCAD">
            <wp:extent cx="5731510" cy="82080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208010"/>
                    </a:xfrm>
                    <a:prstGeom prst="rect">
                      <a:avLst/>
                    </a:prstGeom>
                    <a:noFill/>
                    <a:ln>
                      <a:noFill/>
                    </a:ln>
                  </pic:spPr>
                </pic:pic>
              </a:graphicData>
            </a:graphic>
          </wp:inline>
        </w:drawing>
      </w:r>
    </w:p>
    <w:p w14:paraId="54E0ED22" w14:textId="1790F59E" w:rsidR="004D0F57" w:rsidRDefault="004D0F57">
      <w:pPr>
        <w:spacing w:before="0" w:after="160" w:line="259" w:lineRule="auto"/>
      </w:pPr>
      <w:r>
        <w:br w:type="page"/>
      </w:r>
    </w:p>
    <w:p w14:paraId="560DD043" w14:textId="735B6A16" w:rsidR="00A439D7" w:rsidRDefault="004B2BCB">
      <w:pPr>
        <w:spacing w:before="0" w:after="160" w:line="259" w:lineRule="auto"/>
      </w:pPr>
      <w:r w:rsidRPr="004B2BCB">
        <w:rPr>
          <w:noProof/>
          <w:lang w:eastAsia="en-AU"/>
        </w:rPr>
        <w:drawing>
          <wp:inline distT="0" distB="0" distL="0" distR="0" wp14:anchorId="3A9FC6A1" wp14:editId="1C578429">
            <wp:extent cx="5731510" cy="8204200"/>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8204200"/>
                    </a:xfrm>
                    <a:prstGeom prst="rect">
                      <a:avLst/>
                    </a:prstGeom>
                    <a:noFill/>
                    <a:ln>
                      <a:noFill/>
                    </a:ln>
                  </pic:spPr>
                </pic:pic>
              </a:graphicData>
            </a:graphic>
          </wp:inline>
        </w:drawing>
      </w:r>
    </w:p>
    <w:p w14:paraId="1EFC0869" w14:textId="5BA14CD8" w:rsidR="004D0F57" w:rsidRDefault="004D0F57">
      <w:pPr>
        <w:spacing w:before="0" w:after="160" w:line="259" w:lineRule="auto"/>
      </w:pPr>
      <w:r>
        <w:br w:type="page"/>
      </w:r>
    </w:p>
    <w:p w14:paraId="0F4F2BCD" w14:textId="497FD662" w:rsidR="00E91A06" w:rsidRPr="00E91A06" w:rsidRDefault="00D61A32" w:rsidP="00E91A06">
      <w:bookmarkStart w:id="1" w:name="_GoBack"/>
      <w:r w:rsidRPr="00D61A32">
        <w:rPr>
          <w:noProof/>
          <w:lang w:eastAsia="en-AU"/>
        </w:rPr>
        <w:drawing>
          <wp:inline distT="0" distB="0" distL="0" distR="0" wp14:anchorId="01C546BF" wp14:editId="1CA661D7">
            <wp:extent cx="5731510" cy="81565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8156575"/>
                    </a:xfrm>
                    <a:prstGeom prst="rect">
                      <a:avLst/>
                    </a:prstGeom>
                    <a:noFill/>
                    <a:ln>
                      <a:noFill/>
                    </a:ln>
                  </pic:spPr>
                </pic:pic>
              </a:graphicData>
            </a:graphic>
          </wp:inline>
        </w:drawing>
      </w:r>
    </w:p>
    <w:bookmarkEnd w:id="1"/>
    <w:p w14:paraId="1D4F9119" w14:textId="3DCE6537" w:rsidR="00E91A06" w:rsidRDefault="00E91A06">
      <w:pPr>
        <w:spacing w:before="0" w:after="160" w:line="259" w:lineRule="auto"/>
      </w:pPr>
      <w:r>
        <w:br w:type="page"/>
      </w:r>
    </w:p>
    <w:sdt>
      <w:sdtPr>
        <w:rPr>
          <w:rFonts w:asciiTheme="minorHAnsi" w:eastAsia="Times New Roman" w:hAnsiTheme="minorHAnsi" w:cs="Times New Roman"/>
          <w:color w:val="auto"/>
          <w:sz w:val="22"/>
          <w:szCs w:val="24"/>
          <w:lang w:val="en-AU"/>
        </w:rPr>
        <w:id w:val="412516321"/>
        <w:docPartObj>
          <w:docPartGallery w:val="Table of Contents"/>
          <w:docPartUnique/>
        </w:docPartObj>
      </w:sdtPr>
      <w:sdtEndPr>
        <w:rPr>
          <w:b/>
          <w:bCs/>
          <w:noProof/>
        </w:rPr>
      </w:sdtEndPr>
      <w:sdtContent>
        <w:p w14:paraId="5F3DEAAB" w14:textId="5AA1CD3C" w:rsidR="00DA3FF1" w:rsidRDefault="00DA3FF1">
          <w:pPr>
            <w:pStyle w:val="TOCHeading"/>
          </w:pPr>
          <w:r>
            <w:t>Table of Contents</w:t>
          </w:r>
        </w:p>
        <w:p w14:paraId="2898FC2D" w14:textId="215E4E3A" w:rsidR="00E230DC" w:rsidRDefault="00DA3FF1">
          <w:pPr>
            <w:pStyle w:val="TOC1"/>
            <w:tabs>
              <w:tab w:val="right" w:leader="dot" w:pos="9016"/>
            </w:tabs>
            <w:rPr>
              <w:rFonts w:eastAsiaTheme="minorEastAsia" w:cstheme="minorBidi"/>
              <w:noProof/>
              <w:szCs w:val="22"/>
              <w:lang w:eastAsia="en-AU"/>
            </w:rPr>
          </w:pPr>
          <w:r>
            <w:fldChar w:fldCharType="begin"/>
          </w:r>
          <w:r>
            <w:instrText xml:space="preserve"> TOC \o "1-3" \h \z \u </w:instrText>
          </w:r>
          <w:r>
            <w:fldChar w:fldCharType="separate"/>
          </w:r>
          <w:hyperlink w:anchor="_Toc10031873" w:history="1">
            <w:r w:rsidR="00E230DC" w:rsidRPr="001A064D">
              <w:rPr>
                <w:rStyle w:val="Hyperlink"/>
                <w:noProof/>
              </w:rPr>
              <w:t>Letter of Transmittal</w:t>
            </w:r>
            <w:r w:rsidR="00E230DC">
              <w:rPr>
                <w:noProof/>
                <w:webHidden/>
              </w:rPr>
              <w:tab/>
            </w:r>
            <w:r w:rsidR="00E230DC">
              <w:rPr>
                <w:noProof/>
                <w:webHidden/>
              </w:rPr>
              <w:fldChar w:fldCharType="begin"/>
            </w:r>
            <w:r w:rsidR="00E230DC">
              <w:rPr>
                <w:noProof/>
                <w:webHidden/>
              </w:rPr>
              <w:instrText xml:space="preserve"> PAGEREF _Toc10031873 \h </w:instrText>
            </w:r>
            <w:r w:rsidR="00E230DC">
              <w:rPr>
                <w:noProof/>
                <w:webHidden/>
              </w:rPr>
            </w:r>
            <w:r w:rsidR="00E230DC">
              <w:rPr>
                <w:noProof/>
                <w:webHidden/>
              </w:rPr>
              <w:fldChar w:fldCharType="separate"/>
            </w:r>
            <w:r w:rsidR="00BD638C">
              <w:rPr>
                <w:noProof/>
                <w:webHidden/>
              </w:rPr>
              <w:t>i</w:t>
            </w:r>
            <w:r w:rsidR="00E230DC">
              <w:rPr>
                <w:noProof/>
                <w:webHidden/>
              </w:rPr>
              <w:fldChar w:fldCharType="end"/>
            </w:r>
          </w:hyperlink>
        </w:p>
        <w:p w14:paraId="100F1A73" w14:textId="4EF90F0C" w:rsidR="00E230DC" w:rsidRDefault="008827C0">
          <w:pPr>
            <w:pStyle w:val="TOC1"/>
            <w:tabs>
              <w:tab w:val="right" w:leader="dot" w:pos="9016"/>
            </w:tabs>
            <w:rPr>
              <w:rFonts w:eastAsiaTheme="minorEastAsia" w:cstheme="minorBidi"/>
              <w:noProof/>
              <w:szCs w:val="22"/>
              <w:lang w:eastAsia="en-AU"/>
            </w:rPr>
          </w:pPr>
          <w:hyperlink w:anchor="_Toc10031874" w:history="1">
            <w:r w:rsidR="00E230DC" w:rsidRPr="001A064D">
              <w:rPr>
                <w:rStyle w:val="Hyperlink"/>
                <w:noProof/>
              </w:rPr>
              <w:t>Executive Summary</w:t>
            </w:r>
            <w:r w:rsidR="00E230DC">
              <w:rPr>
                <w:noProof/>
                <w:webHidden/>
              </w:rPr>
              <w:tab/>
            </w:r>
            <w:r w:rsidR="00E230DC">
              <w:rPr>
                <w:noProof/>
                <w:webHidden/>
              </w:rPr>
              <w:fldChar w:fldCharType="begin"/>
            </w:r>
            <w:r w:rsidR="00E230DC">
              <w:rPr>
                <w:noProof/>
                <w:webHidden/>
              </w:rPr>
              <w:instrText xml:space="preserve"> PAGEREF _Toc10031874 \h </w:instrText>
            </w:r>
            <w:r w:rsidR="00E230DC">
              <w:rPr>
                <w:noProof/>
                <w:webHidden/>
              </w:rPr>
            </w:r>
            <w:r w:rsidR="00E230DC">
              <w:rPr>
                <w:noProof/>
                <w:webHidden/>
              </w:rPr>
              <w:fldChar w:fldCharType="separate"/>
            </w:r>
            <w:r w:rsidR="00BD638C">
              <w:rPr>
                <w:noProof/>
                <w:webHidden/>
              </w:rPr>
              <w:t>vii</w:t>
            </w:r>
            <w:r w:rsidR="00E230DC">
              <w:rPr>
                <w:noProof/>
                <w:webHidden/>
              </w:rPr>
              <w:fldChar w:fldCharType="end"/>
            </w:r>
          </w:hyperlink>
        </w:p>
        <w:p w14:paraId="2E7667EC" w14:textId="32312298" w:rsidR="00E230DC" w:rsidRDefault="008827C0">
          <w:pPr>
            <w:pStyle w:val="TOC1"/>
            <w:tabs>
              <w:tab w:val="left" w:pos="440"/>
              <w:tab w:val="right" w:leader="dot" w:pos="9016"/>
            </w:tabs>
            <w:rPr>
              <w:rFonts w:eastAsiaTheme="minorEastAsia" w:cstheme="minorBidi"/>
              <w:noProof/>
              <w:szCs w:val="22"/>
              <w:lang w:eastAsia="en-AU"/>
            </w:rPr>
          </w:pPr>
          <w:hyperlink w:anchor="_Toc10031875" w:history="1">
            <w:r w:rsidR="00E230DC" w:rsidRPr="001A064D">
              <w:rPr>
                <w:rStyle w:val="Hyperlink"/>
                <w:noProof/>
              </w:rPr>
              <w:t>1.</w:t>
            </w:r>
            <w:r w:rsidR="00E230DC">
              <w:rPr>
                <w:rFonts w:eastAsiaTheme="minorEastAsia" w:cstheme="minorBidi"/>
                <w:noProof/>
                <w:szCs w:val="22"/>
                <w:lang w:eastAsia="en-AU"/>
              </w:rPr>
              <w:tab/>
            </w:r>
            <w:r w:rsidR="00E230DC" w:rsidRPr="001A064D">
              <w:rPr>
                <w:rStyle w:val="Hyperlink"/>
                <w:noProof/>
              </w:rPr>
              <w:t>Introduction</w:t>
            </w:r>
            <w:r w:rsidR="00E230DC">
              <w:rPr>
                <w:noProof/>
                <w:webHidden/>
              </w:rPr>
              <w:tab/>
            </w:r>
            <w:r w:rsidR="00E230DC">
              <w:rPr>
                <w:noProof/>
                <w:webHidden/>
              </w:rPr>
              <w:fldChar w:fldCharType="begin"/>
            </w:r>
            <w:r w:rsidR="00E230DC">
              <w:rPr>
                <w:noProof/>
                <w:webHidden/>
              </w:rPr>
              <w:instrText xml:space="preserve"> PAGEREF _Toc10031875 \h </w:instrText>
            </w:r>
            <w:r w:rsidR="00E230DC">
              <w:rPr>
                <w:noProof/>
                <w:webHidden/>
              </w:rPr>
            </w:r>
            <w:r w:rsidR="00E230DC">
              <w:rPr>
                <w:noProof/>
                <w:webHidden/>
              </w:rPr>
              <w:fldChar w:fldCharType="separate"/>
            </w:r>
            <w:r w:rsidR="00BD638C">
              <w:rPr>
                <w:noProof/>
                <w:webHidden/>
              </w:rPr>
              <w:t>1</w:t>
            </w:r>
            <w:r w:rsidR="00E230DC">
              <w:rPr>
                <w:noProof/>
                <w:webHidden/>
              </w:rPr>
              <w:fldChar w:fldCharType="end"/>
            </w:r>
          </w:hyperlink>
        </w:p>
        <w:p w14:paraId="0F7DA0C7" w14:textId="494FF144" w:rsidR="00E230DC" w:rsidRDefault="008827C0">
          <w:pPr>
            <w:pStyle w:val="TOC1"/>
            <w:tabs>
              <w:tab w:val="left" w:pos="440"/>
              <w:tab w:val="right" w:leader="dot" w:pos="9016"/>
            </w:tabs>
            <w:rPr>
              <w:rFonts w:eastAsiaTheme="minorEastAsia" w:cstheme="minorBidi"/>
              <w:noProof/>
              <w:szCs w:val="22"/>
              <w:lang w:eastAsia="en-AU"/>
            </w:rPr>
          </w:pPr>
          <w:hyperlink w:anchor="_Toc10031876" w:history="1">
            <w:r w:rsidR="00E230DC" w:rsidRPr="001A064D">
              <w:rPr>
                <w:rStyle w:val="Hyperlink"/>
                <w:noProof/>
              </w:rPr>
              <w:t>2.</w:t>
            </w:r>
            <w:r w:rsidR="00E230DC">
              <w:rPr>
                <w:rFonts w:eastAsiaTheme="minorEastAsia" w:cstheme="minorBidi"/>
                <w:noProof/>
                <w:szCs w:val="22"/>
                <w:lang w:eastAsia="en-AU"/>
              </w:rPr>
              <w:tab/>
            </w:r>
            <w:r w:rsidR="00E230DC" w:rsidRPr="001A064D">
              <w:rPr>
                <w:rStyle w:val="Hyperlink"/>
                <w:noProof/>
              </w:rPr>
              <w:t>Background to the Biosecurity Imports Levy</w:t>
            </w:r>
            <w:r w:rsidR="00E230DC">
              <w:rPr>
                <w:noProof/>
                <w:webHidden/>
              </w:rPr>
              <w:tab/>
            </w:r>
            <w:r w:rsidR="00E230DC">
              <w:rPr>
                <w:noProof/>
                <w:webHidden/>
              </w:rPr>
              <w:fldChar w:fldCharType="begin"/>
            </w:r>
            <w:r w:rsidR="00E230DC">
              <w:rPr>
                <w:noProof/>
                <w:webHidden/>
              </w:rPr>
              <w:instrText xml:space="preserve"> PAGEREF _Toc10031876 \h </w:instrText>
            </w:r>
            <w:r w:rsidR="00E230DC">
              <w:rPr>
                <w:noProof/>
                <w:webHidden/>
              </w:rPr>
            </w:r>
            <w:r w:rsidR="00E230DC">
              <w:rPr>
                <w:noProof/>
                <w:webHidden/>
              </w:rPr>
              <w:fldChar w:fldCharType="separate"/>
            </w:r>
            <w:r w:rsidR="00BD638C">
              <w:rPr>
                <w:noProof/>
                <w:webHidden/>
              </w:rPr>
              <w:t>3</w:t>
            </w:r>
            <w:r w:rsidR="00E230DC">
              <w:rPr>
                <w:noProof/>
                <w:webHidden/>
              </w:rPr>
              <w:fldChar w:fldCharType="end"/>
            </w:r>
          </w:hyperlink>
        </w:p>
        <w:p w14:paraId="618DB62D" w14:textId="4093CDD8" w:rsidR="00E230DC" w:rsidRDefault="008827C0">
          <w:pPr>
            <w:pStyle w:val="TOC2"/>
            <w:tabs>
              <w:tab w:val="left" w:pos="880"/>
              <w:tab w:val="right" w:leader="dot" w:pos="9016"/>
            </w:tabs>
            <w:rPr>
              <w:rFonts w:eastAsiaTheme="minorEastAsia" w:cstheme="minorBidi"/>
              <w:noProof/>
              <w:szCs w:val="22"/>
              <w:lang w:eastAsia="en-AU"/>
            </w:rPr>
          </w:pPr>
          <w:hyperlink w:anchor="_Toc10031877" w:history="1">
            <w:r w:rsidR="00E230DC" w:rsidRPr="001A064D">
              <w:rPr>
                <w:rStyle w:val="Hyperlink"/>
                <w:noProof/>
              </w:rPr>
              <w:t>2.1</w:t>
            </w:r>
            <w:r w:rsidR="00E230DC">
              <w:rPr>
                <w:rFonts w:eastAsiaTheme="minorEastAsia" w:cstheme="minorBidi"/>
                <w:noProof/>
                <w:szCs w:val="22"/>
                <w:lang w:eastAsia="en-AU"/>
              </w:rPr>
              <w:tab/>
            </w:r>
            <w:r w:rsidR="00E230DC" w:rsidRPr="001A064D">
              <w:rPr>
                <w:rStyle w:val="Hyperlink"/>
                <w:noProof/>
              </w:rPr>
              <w:t>Overall Biosecurity Task</w:t>
            </w:r>
            <w:r w:rsidR="00E230DC">
              <w:rPr>
                <w:noProof/>
                <w:webHidden/>
              </w:rPr>
              <w:tab/>
            </w:r>
            <w:r w:rsidR="00E230DC">
              <w:rPr>
                <w:noProof/>
                <w:webHidden/>
              </w:rPr>
              <w:fldChar w:fldCharType="begin"/>
            </w:r>
            <w:r w:rsidR="00E230DC">
              <w:rPr>
                <w:noProof/>
                <w:webHidden/>
              </w:rPr>
              <w:instrText xml:space="preserve"> PAGEREF _Toc10031877 \h </w:instrText>
            </w:r>
            <w:r w:rsidR="00E230DC">
              <w:rPr>
                <w:noProof/>
                <w:webHidden/>
              </w:rPr>
            </w:r>
            <w:r w:rsidR="00E230DC">
              <w:rPr>
                <w:noProof/>
                <w:webHidden/>
              </w:rPr>
              <w:fldChar w:fldCharType="separate"/>
            </w:r>
            <w:r w:rsidR="00BD638C">
              <w:rPr>
                <w:noProof/>
                <w:webHidden/>
              </w:rPr>
              <w:t>3</w:t>
            </w:r>
            <w:r w:rsidR="00E230DC">
              <w:rPr>
                <w:noProof/>
                <w:webHidden/>
              </w:rPr>
              <w:fldChar w:fldCharType="end"/>
            </w:r>
          </w:hyperlink>
        </w:p>
        <w:p w14:paraId="1492CBEB" w14:textId="73721571" w:rsidR="00E230DC" w:rsidRDefault="008827C0">
          <w:pPr>
            <w:pStyle w:val="TOC2"/>
            <w:tabs>
              <w:tab w:val="left" w:pos="880"/>
              <w:tab w:val="right" w:leader="dot" w:pos="9016"/>
            </w:tabs>
            <w:rPr>
              <w:rFonts w:eastAsiaTheme="minorEastAsia" w:cstheme="minorBidi"/>
              <w:noProof/>
              <w:szCs w:val="22"/>
              <w:lang w:eastAsia="en-AU"/>
            </w:rPr>
          </w:pPr>
          <w:hyperlink w:anchor="_Toc10031878" w:history="1">
            <w:r w:rsidR="00E230DC" w:rsidRPr="001A064D">
              <w:rPr>
                <w:rStyle w:val="Hyperlink"/>
                <w:noProof/>
              </w:rPr>
              <w:t>2.2</w:t>
            </w:r>
            <w:r w:rsidR="00E230DC">
              <w:rPr>
                <w:rFonts w:eastAsiaTheme="minorEastAsia" w:cstheme="minorBidi"/>
                <w:noProof/>
                <w:szCs w:val="22"/>
                <w:lang w:eastAsia="en-AU"/>
              </w:rPr>
              <w:tab/>
            </w:r>
            <w:r w:rsidR="00E230DC" w:rsidRPr="001A064D">
              <w:rPr>
                <w:rStyle w:val="Hyperlink"/>
                <w:noProof/>
              </w:rPr>
              <w:t>Intergovernmental Agreement on Biosecurity Review</w:t>
            </w:r>
            <w:r w:rsidR="00E230DC">
              <w:rPr>
                <w:noProof/>
                <w:webHidden/>
              </w:rPr>
              <w:tab/>
            </w:r>
            <w:r w:rsidR="00E230DC">
              <w:rPr>
                <w:noProof/>
                <w:webHidden/>
              </w:rPr>
              <w:fldChar w:fldCharType="begin"/>
            </w:r>
            <w:r w:rsidR="00E230DC">
              <w:rPr>
                <w:noProof/>
                <w:webHidden/>
              </w:rPr>
              <w:instrText xml:space="preserve"> PAGEREF _Toc10031878 \h </w:instrText>
            </w:r>
            <w:r w:rsidR="00E230DC">
              <w:rPr>
                <w:noProof/>
                <w:webHidden/>
              </w:rPr>
            </w:r>
            <w:r w:rsidR="00E230DC">
              <w:rPr>
                <w:noProof/>
                <w:webHidden/>
              </w:rPr>
              <w:fldChar w:fldCharType="separate"/>
            </w:r>
            <w:r w:rsidR="00BD638C">
              <w:rPr>
                <w:noProof/>
                <w:webHidden/>
              </w:rPr>
              <w:t>4</w:t>
            </w:r>
            <w:r w:rsidR="00E230DC">
              <w:rPr>
                <w:noProof/>
                <w:webHidden/>
              </w:rPr>
              <w:fldChar w:fldCharType="end"/>
            </w:r>
          </w:hyperlink>
        </w:p>
        <w:p w14:paraId="5EA5BB9A" w14:textId="6D61C378" w:rsidR="00E230DC" w:rsidRDefault="008827C0">
          <w:pPr>
            <w:pStyle w:val="TOC2"/>
            <w:tabs>
              <w:tab w:val="left" w:pos="880"/>
              <w:tab w:val="right" w:leader="dot" w:pos="9016"/>
            </w:tabs>
            <w:rPr>
              <w:rFonts w:eastAsiaTheme="minorEastAsia" w:cstheme="minorBidi"/>
              <w:noProof/>
              <w:szCs w:val="22"/>
              <w:lang w:eastAsia="en-AU"/>
            </w:rPr>
          </w:pPr>
          <w:hyperlink w:anchor="_Toc10031879" w:history="1">
            <w:r w:rsidR="00E230DC" w:rsidRPr="001A064D">
              <w:rPr>
                <w:rStyle w:val="Hyperlink"/>
                <w:noProof/>
              </w:rPr>
              <w:t>2.3</w:t>
            </w:r>
            <w:r w:rsidR="00E230DC">
              <w:rPr>
                <w:rFonts w:eastAsiaTheme="minorEastAsia" w:cstheme="minorBidi"/>
                <w:noProof/>
                <w:szCs w:val="22"/>
                <w:lang w:eastAsia="en-AU"/>
              </w:rPr>
              <w:tab/>
            </w:r>
            <w:r w:rsidR="00E230DC" w:rsidRPr="001A064D">
              <w:rPr>
                <w:rStyle w:val="Hyperlink"/>
                <w:noProof/>
              </w:rPr>
              <w:t>2018-19 Budget Announcement and Stakeholder Consultation</w:t>
            </w:r>
            <w:r w:rsidR="00E230DC">
              <w:rPr>
                <w:noProof/>
                <w:webHidden/>
              </w:rPr>
              <w:tab/>
            </w:r>
            <w:r w:rsidR="00E230DC">
              <w:rPr>
                <w:noProof/>
                <w:webHidden/>
              </w:rPr>
              <w:fldChar w:fldCharType="begin"/>
            </w:r>
            <w:r w:rsidR="00E230DC">
              <w:rPr>
                <w:noProof/>
                <w:webHidden/>
              </w:rPr>
              <w:instrText xml:space="preserve"> PAGEREF _Toc10031879 \h </w:instrText>
            </w:r>
            <w:r w:rsidR="00E230DC">
              <w:rPr>
                <w:noProof/>
                <w:webHidden/>
              </w:rPr>
            </w:r>
            <w:r w:rsidR="00E230DC">
              <w:rPr>
                <w:noProof/>
                <w:webHidden/>
              </w:rPr>
              <w:fldChar w:fldCharType="separate"/>
            </w:r>
            <w:r w:rsidR="00BD638C">
              <w:rPr>
                <w:noProof/>
                <w:webHidden/>
              </w:rPr>
              <w:t>6</w:t>
            </w:r>
            <w:r w:rsidR="00E230DC">
              <w:rPr>
                <w:noProof/>
                <w:webHidden/>
              </w:rPr>
              <w:fldChar w:fldCharType="end"/>
            </w:r>
          </w:hyperlink>
        </w:p>
        <w:p w14:paraId="171AFCDB" w14:textId="17D84B58" w:rsidR="00E230DC" w:rsidRDefault="008827C0">
          <w:pPr>
            <w:pStyle w:val="TOC1"/>
            <w:tabs>
              <w:tab w:val="left" w:pos="440"/>
              <w:tab w:val="right" w:leader="dot" w:pos="9016"/>
            </w:tabs>
            <w:rPr>
              <w:rFonts w:eastAsiaTheme="minorEastAsia" w:cstheme="minorBidi"/>
              <w:noProof/>
              <w:szCs w:val="22"/>
              <w:lang w:eastAsia="en-AU"/>
            </w:rPr>
          </w:pPr>
          <w:hyperlink w:anchor="_Toc10031880" w:history="1">
            <w:r w:rsidR="00E230DC" w:rsidRPr="001A064D">
              <w:rPr>
                <w:rStyle w:val="Hyperlink"/>
                <w:noProof/>
              </w:rPr>
              <w:t>3.</w:t>
            </w:r>
            <w:r w:rsidR="00E230DC">
              <w:rPr>
                <w:rFonts w:eastAsiaTheme="minorEastAsia" w:cstheme="minorBidi"/>
                <w:noProof/>
                <w:szCs w:val="22"/>
                <w:lang w:eastAsia="en-AU"/>
              </w:rPr>
              <w:tab/>
            </w:r>
            <w:r w:rsidR="00E230DC" w:rsidRPr="001A064D">
              <w:rPr>
                <w:rStyle w:val="Hyperlink"/>
                <w:noProof/>
              </w:rPr>
              <w:t>Defining the Problem</w:t>
            </w:r>
            <w:r w:rsidR="00E230DC">
              <w:rPr>
                <w:noProof/>
                <w:webHidden/>
              </w:rPr>
              <w:tab/>
            </w:r>
            <w:r w:rsidR="00E230DC">
              <w:rPr>
                <w:noProof/>
                <w:webHidden/>
              </w:rPr>
              <w:fldChar w:fldCharType="begin"/>
            </w:r>
            <w:r w:rsidR="00E230DC">
              <w:rPr>
                <w:noProof/>
                <w:webHidden/>
              </w:rPr>
              <w:instrText xml:space="preserve"> PAGEREF _Toc10031880 \h </w:instrText>
            </w:r>
            <w:r w:rsidR="00E230DC">
              <w:rPr>
                <w:noProof/>
                <w:webHidden/>
              </w:rPr>
            </w:r>
            <w:r w:rsidR="00E230DC">
              <w:rPr>
                <w:noProof/>
                <w:webHidden/>
              </w:rPr>
              <w:fldChar w:fldCharType="separate"/>
            </w:r>
            <w:r w:rsidR="00BD638C">
              <w:rPr>
                <w:noProof/>
                <w:webHidden/>
              </w:rPr>
              <w:t>9</w:t>
            </w:r>
            <w:r w:rsidR="00E230DC">
              <w:rPr>
                <w:noProof/>
                <w:webHidden/>
              </w:rPr>
              <w:fldChar w:fldCharType="end"/>
            </w:r>
          </w:hyperlink>
        </w:p>
        <w:p w14:paraId="01632558" w14:textId="2C37B53F" w:rsidR="00E230DC" w:rsidRDefault="008827C0">
          <w:pPr>
            <w:pStyle w:val="TOC2"/>
            <w:tabs>
              <w:tab w:val="left" w:pos="880"/>
              <w:tab w:val="right" w:leader="dot" w:pos="9016"/>
            </w:tabs>
            <w:rPr>
              <w:rFonts w:eastAsiaTheme="minorEastAsia" w:cstheme="minorBidi"/>
              <w:noProof/>
              <w:szCs w:val="22"/>
              <w:lang w:eastAsia="en-AU"/>
            </w:rPr>
          </w:pPr>
          <w:hyperlink w:anchor="_Toc10031881" w:history="1">
            <w:r w:rsidR="00E230DC" w:rsidRPr="001A064D">
              <w:rPr>
                <w:rStyle w:val="Hyperlink"/>
                <w:noProof/>
              </w:rPr>
              <w:t>3.1</w:t>
            </w:r>
            <w:r w:rsidR="00E230DC">
              <w:rPr>
                <w:rFonts w:eastAsiaTheme="minorEastAsia" w:cstheme="minorBidi"/>
                <w:noProof/>
                <w:szCs w:val="22"/>
                <w:lang w:eastAsia="en-AU"/>
              </w:rPr>
              <w:tab/>
            </w:r>
            <w:r w:rsidR="00E230DC" w:rsidRPr="001A064D">
              <w:rPr>
                <w:rStyle w:val="Hyperlink"/>
                <w:noProof/>
              </w:rPr>
              <w:t>Growing Demand for Biosecurity Services</w:t>
            </w:r>
            <w:r w:rsidR="00E230DC">
              <w:rPr>
                <w:noProof/>
                <w:webHidden/>
              </w:rPr>
              <w:tab/>
            </w:r>
            <w:r w:rsidR="00E230DC">
              <w:rPr>
                <w:noProof/>
                <w:webHidden/>
              </w:rPr>
              <w:fldChar w:fldCharType="begin"/>
            </w:r>
            <w:r w:rsidR="00E230DC">
              <w:rPr>
                <w:noProof/>
                <w:webHidden/>
              </w:rPr>
              <w:instrText xml:space="preserve"> PAGEREF _Toc10031881 \h </w:instrText>
            </w:r>
            <w:r w:rsidR="00E230DC">
              <w:rPr>
                <w:noProof/>
                <w:webHidden/>
              </w:rPr>
            </w:r>
            <w:r w:rsidR="00E230DC">
              <w:rPr>
                <w:noProof/>
                <w:webHidden/>
              </w:rPr>
              <w:fldChar w:fldCharType="separate"/>
            </w:r>
            <w:r w:rsidR="00BD638C">
              <w:rPr>
                <w:noProof/>
                <w:webHidden/>
              </w:rPr>
              <w:t>9</w:t>
            </w:r>
            <w:r w:rsidR="00E230DC">
              <w:rPr>
                <w:noProof/>
                <w:webHidden/>
              </w:rPr>
              <w:fldChar w:fldCharType="end"/>
            </w:r>
          </w:hyperlink>
        </w:p>
        <w:p w14:paraId="539C54E5" w14:textId="22262C91" w:rsidR="00E230DC" w:rsidRDefault="008827C0">
          <w:pPr>
            <w:pStyle w:val="TOC2"/>
            <w:tabs>
              <w:tab w:val="left" w:pos="880"/>
              <w:tab w:val="right" w:leader="dot" w:pos="9016"/>
            </w:tabs>
            <w:rPr>
              <w:rFonts w:eastAsiaTheme="minorEastAsia" w:cstheme="minorBidi"/>
              <w:noProof/>
              <w:szCs w:val="22"/>
              <w:lang w:eastAsia="en-AU"/>
            </w:rPr>
          </w:pPr>
          <w:hyperlink w:anchor="_Toc10031882" w:history="1">
            <w:r w:rsidR="00E230DC" w:rsidRPr="001A064D">
              <w:rPr>
                <w:rStyle w:val="Hyperlink"/>
                <w:noProof/>
              </w:rPr>
              <w:t>3.2</w:t>
            </w:r>
            <w:r w:rsidR="00E230DC">
              <w:rPr>
                <w:rFonts w:eastAsiaTheme="minorEastAsia" w:cstheme="minorBidi"/>
                <w:noProof/>
                <w:szCs w:val="22"/>
                <w:lang w:eastAsia="en-AU"/>
              </w:rPr>
              <w:tab/>
            </w:r>
            <w:r w:rsidR="00E230DC" w:rsidRPr="001A064D">
              <w:rPr>
                <w:rStyle w:val="Hyperlink"/>
                <w:noProof/>
              </w:rPr>
              <w:t>Biosecurity Funding</w:t>
            </w:r>
            <w:r w:rsidR="00E230DC">
              <w:rPr>
                <w:noProof/>
                <w:webHidden/>
              </w:rPr>
              <w:tab/>
            </w:r>
            <w:r w:rsidR="00E230DC">
              <w:rPr>
                <w:noProof/>
                <w:webHidden/>
              </w:rPr>
              <w:fldChar w:fldCharType="begin"/>
            </w:r>
            <w:r w:rsidR="00E230DC">
              <w:rPr>
                <w:noProof/>
                <w:webHidden/>
              </w:rPr>
              <w:instrText xml:space="preserve"> PAGEREF _Toc10031882 \h </w:instrText>
            </w:r>
            <w:r w:rsidR="00E230DC">
              <w:rPr>
                <w:noProof/>
                <w:webHidden/>
              </w:rPr>
            </w:r>
            <w:r w:rsidR="00E230DC">
              <w:rPr>
                <w:noProof/>
                <w:webHidden/>
              </w:rPr>
              <w:fldChar w:fldCharType="separate"/>
            </w:r>
            <w:r w:rsidR="00BD638C">
              <w:rPr>
                <w:noProof/>
                <w:webHidden/>
              </w:rPr>
              <w:t>11</w:t>
            </w:r>
            <w:r w:rsidR="00E230DC">
              <w:rPr>
                <w:noProof/>
                <w:webHidden/>
              </w:rPr>
              <w:fldChar w:fldCharType="end"/>
            </w:r>
          </w:hyperlink>
        </w:p>
        <w:p w14:paraId="2F71AA50" w14:textId="685409B2" w:rsidR="00E230DC" w:rsidRDefault="008827C0">
          <w:pPr>
            <w:pStyle w:val="TOC2"/>
            <w:tabs>
              <w:tab w:val="left" w:pos="880"/>
              <w:tab w:val="right" w:leader="dot" w:pos="9016"/>
            </w:tabs>
            <w:rPr>
              <w:rFonts w:eastAsiaTheme="minorEastAsia" w:cstheme="minorBidi"/>
              <w:noProof/>
              <w:szCs w:val="22"/>
              <w:lang w:eastAsia="en-AU"/>
            </w:rPr>
          </w:pPr>
          <w:hyperlink w:anchor="_Toc10031883" w:history="1">
            <w:r w:rsidR="00E230DC" w:rsidRPr="001A064D">
              <w:rPr>
                <w:rStyle w:val="Hyperlink"/>
                <w:noProof/>
              </w:rPr>
              <w:t>3.3</w:t>
            </w:r>
            <w:r w:rsidR="00E230DC">
              <w:rPr>
                <w:rFonts w:eastAsiaTheme="minorEastAsia" w:cstheme="minorBidi"/>
                <w:noProof/>
                <w:szCs w:val="22"/>
                <w:lang w:eastAsia="en-AU"/>
              </w:rPr>
              <w:tab/>
            </w:r>
            <w:r w:rsidR="00E230DC" w:rsidRPr="001A064D">
              <w:rPr>
                <w:rStyle w:val="Hyperlink"/>
                <w:noProof/>
              </w:rPr>
              <w:t>Why is the Biosecurity Imports Levy a General Tax?</w:t>
            </w:r>
            <w:r w:rsidR="00E230DC">
              <w:rPr>
                <w:noProof/>
                <w:webHidden/>
              </w:rPr>
              <w:tab/>
            </w:r>
            <w:r w:rsidR="00E230DC">
              <w:rPr>
                <w:noProof/>
                <w:webHidden/>
              </w:rPr>
              <w:fldChar w:fldCharType="begin"/>
            </w:r>
            <w:r w:rsidR="00E230DC">
              <w:rPr>
                <w:noProof/>
                <w:webHidden/>
              </w:rPr>
              <w:instrText xml:space="preserve"> PAGEREF _Toc10031883 \h </w:instrText>
            </w:r>
            <w:r w:rsidR="00E230DC">
              <w:rPr>
                <w:noProof/>
                <w:webHidden/>
              </w:rPr>
            </w:r>
            <w:r w:rsidR="00E230DC">
              <w:rPr>
                <w:noProof/>
                <w:webHidden/>
              </w:rPr>
              <w:fldChar w:fldCharType="separate"/>
            </w:r>
            <w:r w:rsidR="00BD638C">
              <w:rPr>
                <w:noProof/>
                <w:webHidden/>
              </w:rPr>
              <w:t>12</w:t>
            </w:r>
            <w:r w:rsidR="00E230DC">
              <w:rPr>
                <w:noProof/>
                <w:webHidden/>
              </w:rPr>
              <w:fldChar w:fldCharType="end"/>
            </w:r>
          </w:hyperlink>
        </w:p>
        <w:p w14:paraId="369F8B31" w14:textId="059D7BE5" w:rsidR="00E230DC" w:rsidRDefault="008827C0">
          <w:pPr>
            <w:pStyle w:val="TOC3"/>
            <w:tabs>
              <w:tab w:val="left" w:pos="1320"/>
              <w:tab w:val="right" w:leader="dot" w:pos="9016"/>
            </w:tabs>
            <w:rPr>
              <w:rFonts w:eastAsiaTheme="minorEastAsia" w:cstheme="minorBidi"/>
              <w:noProof/>
              <w:szCs w:val="22"/>
              <w:lang w:eastAsia="en-AU"/>
            </w:rPr>
          </w:pPr>
          <w:hyperlink w:anchor="_Toc10031884" w:history="1">
            <w:r w:rsidR="00E230DC" w:rsidRPr="001A064D">
              <w:rPr>
                <w:rStyle w:val="Hyperlink"/>
                <w:noProof/>
              </w:rPr>
              <w:t>3.3.1</w:t>
            </w:r>
            <w:r w:rsidR="00E230DC">
              <w:rPr>
                <w:rFonts w:eastAsiaTheme="minorEastAsia" w:cstheme="minorBidi"/>
                <w:noProof/>
                <w:szCs w:val="22"/>
                <w:lang w:eastAsia="en-AU"/>
              </w:rPr>
              <w:tab/>
            </w:r>
            <w:r w:rsidR="00E230DC" w:rsidRPr="001A064D">
              <w:rPr>
                <w:rStyle w:val="Hyperlink"/>
                <w:noProof/>
              </w:rPr>
              <w:t>Cost Recovery Fees, Levies and General Taxation</w:t>
            </w:r>
            <w:r w:rsidR="00E230DC">
              <w:rPr>
                <w:noProof/>
                <w:webHidden/>
              </w:rPr>
              <w:tab/>
            </w:r>
            <w:r w:rsidR="00E230DC">
              <w:rPr>
                <w:noProof/>
                <w:webHidden/>
              </w:rPr>
              <w:fldChar w:fldCharType="begin"/>
            </w:r>
            <w:r w:rsidR="00E230DC">
              <w:rPr>
                <w:noProof/>
                <w:webHidden/>
              </w:rPr>
              <w:instrText xml:space="preserve"> PAGEREF _Toc10031884 \h </w:instrText>
            </w:r>
            <w:r w:rsidR="00E230DC">
              <w:rPr>
                <w:noProof/>
                <w:webHidden/>
              </w:rPr>
            </w:r>
            <w:r w:rsidR="00E230DC">
              <w:rPr>
                <w:noProof/>
                <w:webHidden/>
              </w:rPr>
              <w:fldChar w:fldCharType="separate"/>
            </w:r>
            <w:r w:rsidR="00BD638C">
              <w:rPr>
                <w:noProof/>
                <w:webHidden/>
              </w:rPr>
              <w:t>12</w:t>
            </w:r>
            <w:r w:rsidR="00E230DC">
              <w:rPr>
                <w:noProof/>
                <w:webHidden/>
              </w:rPr>
              <w:fldChar w:fldCharType="end"/>
            </w:r>
          </w:hyperlink>
        </w:p>
        <w:p w14:paraId="21AB9F42" w14:textId="6991DE69" w:rsidR="00E230DC" w:rsidRDefault="008827C0">
          <w:pPr>
            <w:pStyle w:val="TOC3"/>
            <w:tabs>
              <w:tab w:val="left" w:pos="1320"/>
              <w:tab w:val="right" w:leader="dot" w:pos="9016"/>
            </w:tabs>
            <w:rPr>
              <w:rFonts w:eastAsiaTheme="minorEastAsia" w:cstheme="minorBidi"/>
              <w:noProof/>
              <w:szCs w:val="22"/>
              <w:lang w:eastAsia="en-AU"/>
            </w:rPr>
          </w:pPr>
          <w:hyperlink w:anchor="_Toc10031885" w:history="1">
            <w:r w:rsidR="00E230DC" w:rsidRPr="001A064D">
              <w:rPr>
                <w:rStyle w:val="Hyperlink"/>
                <w:noProof/>
              </w:rPr>
              <w:t>3.3.2</w:t>
            </w:r>
            <w:r w:rsidR="00E230DC">
              <w:rPr>
                <w:rFonts w:eastAsiaTheme="minorEastAsia" w:cstheme="minorBidi"/>
                <w:noProof/>
                <w:szCs w:val="22"/>
                <w:lang w:eastAsia="en-AU"/>
              </w:rPr>
              <w:tab/>
            </w:r>
            <w:r w:rsidR="00E230DC" w:rsidRPr="001A064D">
              <w:rPr>
                <w:rStyle w:val="Hyperlink"/>
                <w:noProof/>
              </w:rPr>
              <w:t>Biosecurity Activities Funded by the Levy</w:t>
            </w:r>
            <w:r w:rsidR="00E230DC">
              <w:rPr>
                <w:noProof/>
                <w:webHidden/>
              </w:rPr>
              <w:tab/>
            </w:r>
            <w:r w:rsidR="00E230DC">
              <w:rPr>
                <w:noProof/>
                <w:webHidden/>
              </w:rPr>
              <w:fldChar w:fldCharType="begin"/>
            </w:r>
            <w:r w:rsidR="00E230DC">
              <w:rPr>
                <w:noProof/>
                <w:webHidden/>
              </w:rPr>
              <w:instrText xml:space="preserve"> PAGEREF _Toc10031885 \h </w:instrText>
            </w:r>
            <w:r w:rsidR="00E230DC">
              <w:rPr>
                <w:noProof/>
                <w:webHidden/>
              </w:rPr>
            </w:r>
            <w:r w:rsidR="00E230DC">
              <w:rPr>
                <w:noProof/>
                <w:webHidden/>
              </w:rPr>
              <w:fldChar w:fldCharType="separate"/>
            </w:r>
            <w:r w:rsidR="00BD638C">
              <w:rPr>
                <w:noProof/>
                <w:webHidden/>
              </w:rPr>
              <w:t>14</w:t>
            </w:r>
            <w:r w:rsidR="00E230DC">
              <w:rPr>
                <w:noProof/>
                <w:webHidden/>
              </w:rPr>
              <w:fldChar w:fldCharType="end"/>
            </w:r>
          </w:hyperlink>
        </w:p>
        <w:p w14:paraId="50097341" w14:textId="698D3F4D" w:rsidR="00E230DC" w:rsidRDefault="008827C0">
          <w:pPr>
            <w:pStyle w:val="TOC1"/>
            <w:tabs>
              <w:tab w:val="left" w:pos="440"/>
              <w:tab w:val="right" w:leader="dot" w:pos="9016"/>
            </w:tabs>
            <w:rPr>
              <w:rFonts w:eastAsiaTheme="minorEastAsia" w:cstheme="minorBidi"/>
              <w:noProof/>
              <w:szCs w:val="22"/>
              <w:lang w:eastAsia="en-AU"/>
            </w:rPr>
          </w:pPr>
          <w:hyperlink w:anchor="_Toc10031886" w:history="1">
            <w:r w:rsidR="00E230DC" w:rsidRPr="001A064D">
              <w:rPr>
                <w:rStyle w:val="Hyperlink"/>
                <w:noProof/>
              </w:rPr>
              <w:t>4.</w:t>
            </w:r>
            <w:r w:rsidR="00E230DC">
              <w:rPr>
                <w:rFonts w:eastAsiaTheme="minorEastAsia" w:cstheme="minorBidi"/>
                <w:noProof/>
                <w:szCs w:val="22"/>
                <w:lang w:eastAsia="en-AU"/>
              </w:rPr>
              <w:tab/>
            </w:r>
            <w:r w:rsidR="00E230DC" w:rsidRPr="001A064D">
              <w:rPr>
                <w:rStyle w:val="Hyperlink"/>
                <w:noProof/>
              </w:rPr>
              <w:t>Who Should Pay for Biosecurity Services?</w:t>
            </w:r>
            <w:r w:rsidR="00E230DC">
              <w:rPr>
                <w:noProof/>
                <w:webHidden/>
              </w:rPr>
              <w:tab/>
            </w:r>
            <w:r w:rsidR="00E230DC">
              <w:rPr>
                <w:noProof/>
                <w:webHidden/>
              </w:rPr>
              <w:fldChar w:fldCharType="begin"/>
            </w:r>
            <w:r w:rsidR="00E230DC">
              <w:rPr>
                <w:noProof/>
                <w:webHidden/>
              </w:rPr>
              <w:instrText xml:space="preserve"> PAGEREF _Toc10031886 \h </w:instrText>
            </w:r>
            <w:r w:rsidR="00E230DC">
              <w:rPr>
                <w:noProof/>
                <w:webHidden/>
              </w:rPr>
            </w:r>
            <w:r w:rsidR="00E230DC">
              <w:rPr>
                <w:noProof/>
                <w:webHidden/>
              </w:rPr>
              <w:fldChar w:fldCharType="separate"/>
            </w:r>
            <w:r w:rsidR="00BD638C">
              <w:rPr>
                <w:noProof/>
                <w:webHidden/>
              </w:rPr>
              <w:t>15</w:t>
            </w:r>
            <w:r w:rsidR="00E230DC">
              <w:rPr>
                <w:noProof/>
                <w:webHidden/>
              </w:rPr>
              <w:fldChar w:fldCharType="end"/>
            </w:r>
          </w:hyperlink>
        </w:p>
        <w:p w14:paraId="15975B02" w14:textId="3F592F3A" w:rsidR="00E230DC" w:rsidRDefault="008827C0">
          <w:pPr>
            <w:pStyle w:val="TOC1"/>
            <w:tabs>
              <w:tab w:val="left" w:pos="440"/>
              <w:tab w:val="right" w:leader="dot" w:pos="9016"/>
            </w:tabs>
            <w:rPr>
              <w:rFonts w:eastAsiaTheme="minorEastAsia" w:cstheme="minorBidi"/>
              <w:noProof/>
              <w:szCs w:val="22"/>
              <w:lang w:eastAsia="en-AU"/>
            </w:rPr>
          </w:pPr>
          <w:hyperlink w:anchor="_Toc10031887" w:history="1">
            <w:r w:rsidR="00E230DC" w:rsidRPr="001A064D">
              <w:rPr>
                <w:rStyle w:val="Hyperlink"/>
                <w:noProof/>
              </w:rPr>
              <w:t>5.</w:t>
            </w:r>
            <w:r w:rsidR="00E230DC">
              <w:rPr>
                <w:rFonts w:eastAsiaTheme="minorEastAsia" w:cstheme="minorBidi"/>
                <w:noProof/>
                <w:szCs w:val="22"/>
                <w:lang w:eastAsia="en-AU"/>
              </w:rPr>
              <w:tab/>
            </w:r>
            <w:r w:rsidR="00E230DC" w:rsidRPr="001A064D">
              <w:rPr>
                <w:rStyle w:val="Hyperlink"/>
                <w:noProof/>
              </w:rPr>
              <w:t>A Framework for Assessing Options for a Biosecurity Levy</w:t>
            </w:r>
            <w:r w:rsidR="00E230DC">
              <w:rPr>
                <w:noProof/>
                <w:webHidden/>
              </w:rPr>
              <w:tab/>
            </w:r>
            <w:r w:rsidR="00E230DC">
              <w:rPr>
                <w:noProof/>
                <w:webHidden/>
              </w:rPr>
              <w:fldChar w:fldCharType="begin"/>
            </w:r>
            <w:r w:rsidR="00E230DC">
              <w:rPr>
                <w:noProof/>
                <w:webHidden/>
              </w:rPr>
              <w:instrText xml:space="preserve"> PAGEREF _Toc10031887 \h </w:instrText>
            </w:r>
            <w:r w:rsidR="00E230DC">
              <w:rPr>
                <w:noProof/>
                <w:webHidden/>
              </w:rPr>
            </w:r>
            <w:r w:rsidR="00E230DC">
              <w:rPr>
                <w:noProof/>
                <w:webHidden/>
              </w:rPr>
              <w:fldChar w:fldCharType="separate"/>
            </w:r>
            <w:r w:rsidR="00BD638C">
              <w:rPr>
                <w:noProof/>
                <w:webHidden/>
              </w:rPr>
              <w:t>16</w:t>
            </w:r>
            <w:r w:rsidR="00E230DC">
              <w:rPr>
                <w:noProof/>
                <w:webHidden/>
              </w:rPr>
              <w:fldChar w:fldCharType="end"/>
            </w:r>
          </w:hyperlink>
        </w:p>
        <w:p w14:paraId="6A8B1FC2" w14:textId="4B0C7BBF" w:rsidR="00E230DC" w:rsidRDefault="008827C0">
          <w:pPr>
            <w:pStyle w:val="TOC2"/>
            <w:tabs>
              <w:tab w:val="left" w:pos="880"/>
              <w:tab w:val="right" w:leader="dot" w:pos="9016"/>
            </w:tabs>
            <w:rPr>
              <w:rFonts w:eastAsiaTheme="minorEastAsia" w:cstheme="minorBidi"/>
              <w:noProof/>
              <w:szCs w:val="22"/>
              <w:lang w:eastAsia="en-AU"/>
            </w:rPr>
          </w:pPr>
          <w:hyperlink w:anchor="_Toc10031888" w:history="1">
            <w:r w:rsidR="00E230DC" w:rsidRPr="001A064D">
              <w:rPr>
                <w:rStyle w:val="Hyperlink"/>
                <w:noProof/>
              </w:rPr>
              <w:t>5.1</w:t>
            </w:r>
            <w:r w:rsidR="00E230DC">
              <w:rPr>
                <w:rFonts w:eastAsiaTheme="minorEastAsia" w:cstheme="minorBidi"/>
                <w:noProof/>
                <w:szCs w:val="22"/>
                <w:lang w:eastAsia="en-AU"/>
              </w:rPr>
              <w:tab/>
            </w:r>
            <w:r w:rsidR="00E230DC" w:rsidRPr="001A064D">
              <w:rPr>
                <w:rStyle w:val="Hyperlink"/>
                <w:noProof/>
              </w:rPr>
              <w:t>Principles of Taxation</w:t>
            </w:r>
            <w:r w:rsidR="00E230DC">
              <w:rPr>
                <w:noProof/>
                <w:webHidden/>
              </w:rPr>
              <w:tab/>
            </w:r>
            <w:r w:rsidR="00E230DC">
              <w:rPr>
                <w:noProof/>
                <w:webHidden/>
              </w:rPr>
              <w:fldChar w:fldCharType="begin"/>
            </w:r>
            <w:r w:rsidR="00E230DC">
              <w:rPr>
                <w:noProof/>
                <w:webHidden/>
              </w:rPr>
              <w:instrText xml:space="preserve"> PAGEREF _Toc10031888 \h </w:instrText>
            </w:r>
            <w:r w:rsidR="00E230DC">
              <w:rPr>
                <w:noProof/>
                <w:webHidden/>
              </w:rPr>
            </w:r>
            <w:r w:rsidR="00E230DC">
              <w:rPr>
                <w:noProof/>
                <w:webHidden/>
              </w:rPr>
              <w:fldChar w:fldCharType="separate"/>
            </w:r>
            <w:r w:rsidR="00BD638C">
              <w:rPr>
                <w:noProof/>
                <w:webHidden/>
              </w:rPr>
              <w:t>16</w:t>
            </w:r>
            <w:r w:rsidR="00E230DC">
              <w:rPr>
                <w:noProof/>
                <w:webHidden/>
              </w:rPr>
              <w:fldChar w:fldCharType="end"/>
            </w:r>
          </w:hyperlink>
        </w:p>
        <w:p w14:paraId="764E52FA" w14:textId="09F18829" w:rsidR="00E230DC" w:rsidRDefault="008827C0">
          <w:pPr>
            <w:pStyle w:val="TOC2"/>
            <w:tabs>
              <w:tab w:val="left" w:pos="880"/>
              <w:tab w:val="right" w:leader="dot" w:pos="9016"/>
            </w:tabs>
            <w:rPr>
              <w:rFonts w:eastAsiaTheme="minorEastAsia" w:cstheme="minorBidi"/>
              <w:noProof/>
              <w:szCs w:val="22"/>
              <w:lang w:eastAsia="en-AU"/>
            </w:rPr>
          </w:pPr>
          <w:hyperlink w:anchor="_Toc10031889" w:history="1">
            <w:r w:rsidR="00E230DC" w:rsidRPr="001A064D">
              <w:rPr>
                <w:rStyle w:val="Hyperlink"/>
                <w:noProof/>
              </w:rPr>
              <w:t>5.2</w:t>
            </w:r>
            <w:r w:rsidR="00E230DC">
              <w:rPr>
                <w:rFonts w:eastAsiaTheme="minorEastAsia" w:cstheme="minorBidi"/>
                <w:noProof/>
                <w:szCs w:val="22"/>
                <w:lang w:eastAsia="en-AU"/>
              </w:rPr>
              <w:tab/>
            </w:r>
            <w:r w:rsidR="00E230DC" w:rsidRPr="001A064D">
              <w:rPr>
                <w:rStyle w:val="Hyperlink"/>
                <w:noProof/>
              </w:rPr>
              <w:t>Charging Risk Creators and Exacerbators</w:t>
            </w:r>
            <w:r w:rsidR="00E230DC">
              <w:rPr>
                <w:noProof/>
                <w:webHidden/>
              </w:rPr>
              <w:tab/>
            </w:r>
            <w:r w:rsidR="00E230DC">
              <w:rPr>
                <w:noProof/>
                <w:webHidden/>
              </w:rPr>
              <w:fldChar w:fldCharType="begin"/>
            </w:r>
            <w:r w:rsidR="00E230DC">
              <w:rPr>
                <w:noProof/>
                <w:webHidden/>
              </w:rPr>
              <w:instrText xml:space="preserve"> PAGEREF _Toc10031889 \h </w:instrText>
            </w:r>
            <w:r w:rsidR="00E230DC">
              <w:rPr>
                <w:noProof/>
                <w:webHidden/>
              </w:rPr>
            </w:r>
            <w:r w:rsidR="00E230DC">
              <w:rPr>
                <w:noProof/>
                <w:webHidden/>
              </w:rPr>
              <w:fldChar w:fldCharType="separate"/>
            </w:r>
            <w:r w:rsidR="00BD638C">
              <w:rPr>
                <w:noProof/>
                <w:webHidden/>
              </w:rPr>
              <w:t>17</w:t>
            </w:r>
            <w:r w:rsidR="00E230DC">
              <w:rPr>
                <w:noProof/>
                <w:webHidden/>
              </w:rPr>
              <w:fldChar w:fldCharType="end"/>
            </w:r>
          </w:hyperlink>
        </w:p>
        <w:p w14:paraId="35D24A8A" w14:textId="542398CA" w:rsidR="00E230DC" w:rsidRDefault="008827C0">
          <w:pPr>
            <w:pStyle w:val="TOC2"/>
            <w:tabs>
              <w:tab w:val="left" w:pos="880"/>
              <w:tab w:val="right" w:leader="dot" w:pos="9016"/>
            </w:tabs>
            <w:rPr>
              <w:rFonts w:eastAsiaTheme="minorEastAsia" w:cstheme="minorBidi"/>
              <w:noProof/>
              <w:szCs w:val="22"/>
              <w:lang w:eastAsia="en-AU"/>
            </w:rPr>
          </w:pPr>
          <w:hyperlink w:anchor="_Toc10031890" w:history="1">
            <w:r w:rsidR="00E230DC" w:rsidRPr="001A064D">
              <w:rPr>
                <w:rStyle w:val="Hyperlink"/>
                <w:noProof/>
              </w:rPr>
              <w:t>5.3</w:t>
            </w:r>
            <w:r w:rsidR="00E230DC">
              <w:rPr>
                <w:rFonts w:eastAsiaTheme="minorEastAsia" w:cstheme="minorBidi"/>
                <w:noProof/>
                <w:szCs w:val="22"/>
                <w:lang w:eastAsia="en-AU"/>
              </w:rPr>
              <w:tab/>
            </w:r>
            <w:r w:rsidR="00E230DC" w:rsidRPr="001A064D">
              <w:rPr>
                <w:rStyle w:val="Hyperlink"/>
                <w:noProof/>
              </w:rPr>
              <w:t>Application of Funds</w:t>
            </w:r>
            <w:r w:rsidR="00E230DC">
              <w:rPr>
                <w:noProof/>
                <w:webHidden/>
              </w:rPr>
              <w:tab/>
            </w:r>
            <w:r w:rsidR="00E230DC">
              <w:rPr>
                <w:noProof/>
                <w:webHidden/>
              </w:rPr>
              <w:fldChar w:fldCharType="begin"/>
            </w:r>
            <w:r w:rsidR="00E230DC">
              <w:rPr>
                <w:noProof/>
                <w:webHidden/>
              </w:rPr>
              <w:instrText xml:space="preserve"> PAGEREF _Toc10031890 \h </w:instrText>
            </w:r>
            <w:r w:rsidR="00E230DC">
              <w:rPr>
                <w:noProof/>
                <w:webHidden/>
              </w:rPr>
            </w:r>
            <w:r w:rsidR="00E230DC">
              <w:rPr>
                <w:noProof/>
                <w:webHidden/>
              </w:rPr>
              <w:fldChar w:fldCharType="separate"/>
            </w:r>
            <w:r w:rsidR="00BD638C">
              <w:rPr>
                <w:noProof/>
                <w:webHidden/>
              </w:rPr>
              <w:t>18</w:t>
            </w:r>
            <w:r w:rsidR="00E230DC">
              <w:rPr>
                <w:noProof/>
                <w:webHidden/>
              </w:rPr>
              <w:fldChar w:fldCharType="end"/>
            </w:r>
          </w:hyperlink>
        </w:p>
        <w:p w14:paraId="5F826493" w14:textId="1E5904D5" w:rsidR="00E230DC" w:rsidRDefault="008827C0">
          <w:pPr>
            <w:pStyle w:val="TOC2"/>
            <w:tabs>
              <w:tab w:val="left" w:pos="880"/>
              <w:tab w:val="right" w:leader="dot" w:pos="9016"/>
            </w:tabs>
            <w:rPr>
              <w:rFonts w:eastAsiaTheme="minorEastAsia" w:cstheme="minorBidi"/>
              <w:noProof/>
              <w:szCs w:val="22"/>
              <w:lang w:eastAsia="en-AU"/>
            </w:rPr>
          </w:pPr>
          <w:hyperlink w:anchor="_Toc10031891" w:history="1">
            <w:r w:rsidR="00E230DC" w:rsidRPr="001A064D">
              <w:rPr>
                <w:rStyle w:val="Hyperlink"/>
                <w:noProof/>
              </w:rPr>
              <w:t>5.4</w:t>
            </w:r>
            <w:r w:rsidR="00E230DC">
              <w:rPr>
                <w:rFonts w:eastAsiaTheme="minorEastAsia" w:cstheme="minorBidi"/>
                <w:noProof/>
                <w:szCs w:val="22"/>
                <w:lang w:eastAsia="en-AU"/>
              </w:rPr>
              <w:tab/>
            </w:r>
            <w:r w:rsidR="00E230DC" w:rsidRPr="001A064D">
              <w:rPr>
                <w:rStyle w:val="Hyperlink"/>
                <w:noProof/>
              </w:rPr>
              <w:t>Passenger Movement Charge</w:t>
            </w:r>
            <w:r w:rsidR="00E230DC">
              <w:rPr>
                <w:noProof/>
                <w:webHidden/>
              </w:rPr>
              <w:tab/>
            </w:r>
            <w:r w:rsidR="00E230DC">
              <w:rPr>
                <w:noProof/>
                <w:webHidden/>
              </w:rPr>
              <w:fldChar w:fldCharType="begin"/>
            </w:r>
            <w:r w:rsidR="00E230DC">
              <w:rPr>
                <w:noProof/>
                <w:webHidden/>
              </w:rPr>
              <w:instrText xml:space="preserve"> PAGEREF _Toc10031891 \h </w:instrText>
            </w:r>
            <w:r w:rsidR="00E230DC">
              <w:rPr>
                <w:noProof/>
                <w:webHidden/>
              </w:rPr>
            </w:r>
            <w:r w:rsidR="00E230DC">
              <w:rPr>
                <w:noProof/>
                <w:webHidden/>
              </w:rPr>
              <w:fldChar w:fldCharType="separate"/>
            </w:r>
            <w:r w:rsidR="00BD638C">
              <w:rPr>
                <w:noProof/>
                <w:webHidden/>
              </w:rPr>
              <w:t>19</w:t>
            </w:r>
            <w:r w:rsidR="00E230DC">
              <w:rPr>
                <w:noProof/>
                <w:webHidden/>
              </w:rPr>
              <w:fldChar w:fldCharType="end"/>
            </w:r>
          </w:hyperlink>
        </w:p>
        <w:p w14:paraId="28595071" w14:textId="22A0A25F" w:rsidR="00E230DC" w:rsidRDefault="008827C0">
          <w:pPr>
            <w:pStyle w:val="TOC2"/>
            <w:tabs>
              <w:tab w:val="left" w:pos="880"/>
              <w:tab w:val="right" w:leader="dot" w:pos="9016"/>
            </w:tabs>
            <w:rPr>
              <w:rFonts w:eastAsiaTheme="minorEastAsia" w:cstheme="minorBidi"/>
              <w:noProof/>
              <w:szCs w:val="22"/>
              <w:lang w:eastAsia="en-AU"/>
            </w:rPr>
          </w:pPr>
          <w:hyperlink w:anchor="_Toc10031892" w:history="1">
            <w:r w:rsidR="00E230DC" w:rsidRPr="001A064D">
              <w:rPr>
                <w:rStyle w:val="Hyperlink"/>
                <w:noProof/>
              </w:rPr>
              <w:t>5.5</w:t>
            </w:r>
            <w:r w:rsidR="00E230DC">
              <w:rPr>
                <w:rFonts w:eastAsiaTheme="minorEastAsia" w:cstheme="minorBidi"/>
                <w:noProof/>
                <w:szCs w:val="22"/>
                <w:lang w:eastAsia="en-AU"/>
              </w:rPr>
              <w:tab/>
            </w:r>
            <w:r w:rsidR="00E230DC" w:rsidRPr="001A064D">
              <w:rPr>
                <w:rStyle w:val="Hyperlink"/>
                <w:noProof/>
              </w:rPr>
              <w:t>Ensuring Levy Revenue is Appropriated for Biosecurity Purposes</w:t>
            </w:r>
            <w:r w:rsidR="00E230DC">
              <w:rPr>
                <w:noProof/>
                <w:webHidden/>
              </w:rPr>
              <w:tab/>
            </w:r>
            <w:r w:rsidR="00E230DC">
              <w:rPr>
                <w:noProof/>
                <w:webHidden/>
              </w:rPr>
              <w:fldChar w:fldCharType="begin"/>
            </w:r>
            <w:r w:rsidR="00E230DC">
              <w:rPr>
                <w:noProof/>
                <w:webHidden/>
              </w:rPr>
              <w:instrText xml:space="preserve"> PAGEREF _Toc10031892 \h </w:instrText>
            </w:r>
            <w:r w:rsidR="00E230DC">
              <w:rPr>
                <w:noProof/>
                <w:webHidden/>
              </w:rPr>
            </w:r>
            <w:r w:rsidR="00E230DC">
              <w:rPr>
                <w:noProof/>
                <w:webHidden/>
              </w:rPr>
              <w:fldChar w:fldCharType="separate"/>
            </w:r>
            <w:r w:rsidR="00BD638C">
              <w:rPr>
                <w:noProof/>
                <w:webHidden/>
              </w:rPr>
              <w:t>21</w:t>
            </w:r>
            <w:r w:rsidR="00E230DC">
              <w:rPr>
                <w:noProof/>
                <w:webHidden/>
              </w:rPr>
              <w:fldChar w:fldCharType="end"/>
            </w:r>
          </w:hyperlink>
        </w:p>
        <w:p w14:paraId="056FCE41" w14:textId="18FB02EA" w:rsidR="00E230DC" w:rsidRDefault="008827C0">
          <w:pPr>
            <w:pStyle w:val="TOC1"/>
            <w:tabs>
              <w:tab w:val="left" w:pos="440"/>
              <w:tab w:val="right" w:leader="dot" w:pos="9016"/>
            </w:tabs>
            <w:rPr>
              <w:rFonts w:eastAsiaTheme="minorEastAsia" w:cstheme="minorBidi"/>
              <w:noProof/>
              <w:szCs w:val="22"/>
              <w:lang w:eastAsia="en-AU"/>
            </w:rPr>
          </w:pPr>
          <w:hyperlink w:anchor="_Toc10031893" w:history="1">
            <w:r w:rsidR="00E230DC" w:rsidRPr="001A064D">
              <w:rPr>
                <w:rStyle w:val="Hyperlink"/>
                <w:noProof/>
              </w:rPr>
              <w:t>6.</w:t>
            </w:r>
            <w:r w:rsidR="00E230DC">
              <w:rPr>
                <w:rFonts w:eastAsiaTheme="minorEastAsia" w:cstheme="minorBidi"/>
                <w:noProof/>
                <w:szCs w:val="22"/>
                <w:lang w:eastAsia="en-AU"/>
              </w:rPr>
              <w:tab/>
            </w:r>
            <w:r w:rsidR="00E230DC" w:rsidRPr="001A064D">
              <w:rPr>
                <w:rStyle w:val="Hyperlink"/>
                <w:noProof/>
              </w:rPr>
              <w:t>Collection Mechanism</w:t>
            </w:r>
            <w:r w:rsidR="00E230DC">
              <w:rPr>
                <w:noProof/>
                <w:webHidden/>
              </w:rPr>
              <w:tab/>
            </w:r>
            <w:r w:rsidR="00E230DC">
              <w:rPr>
                <w:noProof/>
                <w:webHidden/>
              </w:rPr>
              <w:fldChar w:fldCharType="begin"/>
            </w:r>
            <w:r w:rsidR="00E230DC">
              <w:rPr>
                <w:noProof/>
                <w:webHidden/>
              </w:rPr>
              <w:instrText xml:space="preserve"> PAGEREF _Toc10031893 \h </w:instrText>
            </w:r>
            <w:r w:rsidR="00E230DC">
              <w:rPr>
                <w:noProof/>
                <w:webHidden/>
              </w:rPr>
            </w:r>
            <w:r w:rsidR="00E230DC">
              <w:rPr>
                <w:noProof/>
                <w:webHidden/>
              </w:rPr>
              <w:fldChar w:fldCharType="separate"/>
            </w:r>
            <w:r w:rsidR="00BD638C">
              <w:rPr>
                <w:noProof/>
                <w:webHidden/>
              </w:rPr>
              <w:t>24</w:t>
            </w:r>
            <w:r w:rsidR="00E230DC">
              <w:rPr>
                <w:noProof/>
                <w:webHidden/>
              </w:rPr>
              <w:fldChar w:fldCharType="end"/>
            </w:r>
          </w:hyperlink>
        </w:p>
        <w:p w14:paraId="2D4846DE" w14:textId="7DAD31E3" w:rsidR="00E230DC" w:rsidRDefault="008827C0">
          <w:pPr>
            <w:pStyle w:val="TOC2"/>
            <w:tabs>
              <w:tab w:val="left" w:pos="880"/>
              <w:tab w:val="right" w:leader="dot" w:pos="9016"/>
            </w:tabs>
            <w:rPr>
              <w:rFonts w:eastAsiaTheme="minorEastAsia" w:cstheme="minorBidi"/>
              <w:noProof/>
              <w:szCs w:val="22"/>
              <w:lang w:eastAsia="en-AU"/>
            </w:rPr>
          </w:pPr>
          <w:hyperlink w:anchor="_Toc10031894" w:history="1">
            <w:r w:rsidR="00E230DC" w:rsidRPr="001A064D">
              <w:rPr>
                <w:rStyle w:val="Hyperlink"/>
                <w:noProof/>
              </w:rPr>
              <w:t>6.1</w:t>
            </w:r>
            <w:r w:rsidR="00E230DC">
              <w:rPr>
                <w:rFonts w:eastAsiaTheme="minorEastAsia" w:cstheme="minorBidi"/>
                <w:noProof/>
                <w:szCs w:val="22"/>
                <w:lang w:eastAsia="en-AU"/>
              </w:rPr>
              <w:tab/>
            </w:r>
            <w:r w:rsidR="00E230DC" w:rsidRPr="001A064D">
              <w:rPr>
                <w:rStyle w:val="Hyperlink"/>
                <w:noProof/>
              </w:rPr>
              <w:t>Proposed Collection Mechanisms for a Biosecurity Levy</w:t>
            </w:r>
            <w:r w:rsidR="00E230DC">
              <w:rPr>
                <w:noProof/>
                <w:webHidden/>
              </w:rPr>
              <w:tab/>
            </w:r>
            <w:r w:rsidR="00E230DC">
              <w:rPr>
                <w:noProof/>
                <w:webHidden/>
              </w:rPr>
              <w:fldChar w:fldCharType="begin"/>
            </w:r>
            <w:r w:rsidR="00E230DC">
              <w:rPr>
                <w:noProof/>
                <w:webHidden/>
              </w:rPr>
              <w:instrText xml:space="preserve"> PAGEREF _Toc10031894 \h </w:instrText>
            </w:r>
            <w:r w:rsidR="00E230DC">
              <w:rPr>
                <w:noProof/>
                <w:webHidden/>
              </w:rPr>
            </w:r>
            <w:r w:rsidR="00E230DC">
              <w:rPr>
                <w:noProof/>
                <w:webHidden/>
              </w:rPr>
              <w:fldChar w:fldCharType="separate"/>
            </w:r>
            <w:r w:rsidR="00BD638C">
              <w:rPr>
                <w:noProof/>
                <w:webHidden/>
              </w:rPr>
              <w:t>24</w:t>
            </w:r>
            <w:r w:rsidR="00E230DC">
              <w:rPr>
                <w:noProof/>
                <w:webHidden/>
              </w:rPr>
              <w:fldChar w:fldCharType="end"/>
            </w:r>
          </w:hyperlink>
        </w:p>
        <w:p w14:paraId="48D36F6A" w14:textId="10A4CBBB" w:rsidR="00E230DC" w:rsidRDefault="008827C0">
          <w:pPr>
            <w:pStyle w:val="TOC2"/>
            <w:tabs>
              <w:tab w:val="left" w:pos="880"/>
              <w:tab w:val="right" w:leader="dot" w:pos="9016"/>
            </w:tabs>
            <w:rPr>
              <w:rFonts w:eastAsiaTheme="minorEastAsia" w:cstheme="minorBidi"/>
              <w:noProof/>
              <w:szCs w:val="22"/>
              <w:lang w:eastAsia="en-AU"/>
            </w:rPr>
          </w:pPr>
          <w:hyperlink w:anchor="_Toc10031895" w:history="1">
            <w:r w:rsidR="00E230DC" w:rsidRPr="001A064D">
              <w:rPr>
                <w:rStyle w:val="Hyperlink"/>
                <w:noProof/>
              </w:rPr>
              <w:t>6.2</w:t>
            </w:r>
            <w:r w:rsidR="00E230DC">
              <w:rPr>
                <w:rFonts w:eastAsiaTheme="minorEastAsia" w:cstheme="minorBidi"/>
                <w:noProof/>
                <w:szCs w:val="22"/>
                <w:lang w:eastAsia="en-AU"/>
              </w:rPr>
              <w:tab/>
            </w:r>
            <w:r w:rsidR="00E230DC" w:rsidRPr="001A064D">
              <w:rPr>
                <w:rStyle w:val="Hyperlink"/>
                <w:noProof/>
              </w:rPr>
              <w:t>Alternative Suggestions to Raise Levy Revenue</w:t>
            </w:r>
            <w:r w:rsidR="00E230DC">
              <w:rPr>
                <w:noProof/>
                <w:webHidden/>
              </w:rPr>
              <w:tab/>
            </w:r>
            <w:r w:rsidR="00E230DC">
              <w:rPr>
                <w:noProof/>
                <w:webHidden/>
              </w:rPr>
              <w:fldChar w:fldCharType="begin"/>
            </w:r>
            <w:r w:rsidR="00E230DC">
              <w:rPr>
                <w:noProof/>
                <w:webHidden/>
              </w:rPr>
              <w:instrText xml:space="preserve"> PAGEREF _Toc10031895 \h </w:instrText>
            </w:r>
            <w:r w:rsidR="00E230DC">
              <w:rPr>
                <w:noProof/>
                <w:webHidden/>
              </w:rPr>
            </w:r>
            <w:r w:rsidR="00E230DC">
              <w:rPr>
                <w:noProof/>
                <w:webHidden/>
              </w:rPr>
              <w:fldChar w:fldCharType="separate"/>
            </w:r>
            <w:r w:rsidR="00BD638C">
              <w:rPr>
                <w:noProof/>
                <w:webHidden/>
              </w:rPr>
              <w:t>26</w:t>
            </w:r>
            <w:r w:rsidR="00E230DC">
              <w:rPr>
                <w:noProof/>
                <w:webHidden/>
              </w:rPr>
              <w:fldChar w:fldCharType="end"/>
            </w:r>
          </w:hyperlink>
        </w:p>
        <w:p w14:paraId="72661B42" w14:textId="363293B6" w:rsidR="00E230DC" w:rsidRDefault="008827C0">
          <w:pPr>
            <w:pStyle w:val="TOC1"/>
            <w:tabs>
              <w:tab w:val="left" w:pos="440"/>
              <w:tab w:val="right" w:leader="dot" w:pos="9016"/>
            </w:tabs>
            <w:rPr>
              <w:rFonts w:eastAsiaTheme="minorEastAsia" w:cstheme="minorBidi"/>
              <w:noProof/>
              <w:szCs w:val="22"/>
              <w:lang w:eastAsia="en-AU"/>
            </w:rPr>
          </w:pPr>
          <w:hyperlink w:anchor="_Toc10031896" w:history="1">
            <w:r w:rsidR="00E230DC" w:rsidRPr="001A064D">
              <w:rPr>
                <w:rStyle w:val="Hyperlink"/>
                <w:noProof/>
              </w:rPr>
              <w:t>7.</w:t>
            </w:r>
            <w:r w:rsidR="00E230DC">
              <w:rPr>
                <w:rFonts w:eastAsiaTheme="minorEastAsia" w:cstheme="minorBidi"/>
                <w:noProof/>
                <w:szCs w:val="22"/>
                <w:lang w:eastAsia="en-AU"/>
              </w:rPr>
              <w:tab/>
            </w:r>
            <w:r w:rsidR="00E230DC" w:rsidRPr="001A064D">
              <w:rPr>
                <w:rStyle w:val="Hyperlink"/>
                <w:noProof/>
              </w:rPr>
              <w:t>Determining the Level of Risk</w:t>
            </w:r>
            <w:r w:rsidR="00E230DC">
              <w:rPr>
                <w:noProof/>
                <w:webHidden/>
              </w:rPr>
              <w:tab/>
            </w:r>
            <w:r w:rsidR="00E230DC">
              <w:rPr>
                <w:noProof/>
                <w:webHidden/>
              </w:rPr>
              <w:fldChar w:fldCharType="begin"/>
            </w:r>
            <w:r w:rsidR="00E230DC">
              <w:rPr>
                <w:noProof/>
                <w:webHidden/>
              </w:rPr>
              <w:instrText xml:space="preserve"> PAGEREF _Toc10031896 \h </w:instrText>
            </w:r>
            <w:r w:rsidR="00E230DC">
              <w:rPr>
                <w:noProof/>
                <w:webHidden/>
              </w:rPr>
            </w:r>
            <w:r w:rsidR="00E230DC">
              <w:rPr>
                <w:noProof/>
                <w:webHidden/>
              </w:rPr>
              <w:fldChar w:fldCharType="separate"/>
            </w:r>
            <w:r w:rsidR="00BD638C">
              <w:rPr>
                <w:noProof/>
                <w:webHidden/>
              </w:rPr>
              <w:t>28</w:t>
            </w:r>
            <w:r w:rsidR="00E230DC">
              <w:rPr>
                <w:noProof/>
                <w:webHidden/>
              </w:rPr>
              <w:fldChar w:fldCharType="end"/>
            </w:r>
          </w:hyperlink>
        </w:p>
        <w:p w14:paraId="5230A671" w14:textId="7E507A09" w:rsidR="00E230DC" w:rsidRDefault="008827C0">
          <w:pPr>
            <w:pStyle w:val="TOC2"/>
            <w:tabs>
              <w:tab w:val="left" w:pos="880"/>
              <w:tab w:val="right" w:leader="dot" w:pos="9016"/>
            </w:tabs>
            <w:rPr>
              <w:rFonts w:eastAsiaTheme="minorEastAsia" w:cstheme="minorBidi"/>
              <w:noProof/>
              <w:szCs w:val="22"/>
              <w:lang w:eastAsia="en-AU"/>
            </w:rPr>
          </w:pPr>
          <w:hyperlink w:anchor="_Toc10031897" w:history="1">
            <w:r w:rsidR="00E230DC" w:rsidRPr="001A064D">
              <w:rPr>
                <w:rStyle w:val="Hyperlink"/>
                <w:noProof/>
              </w:rPr>
              <w:t>7.1</w:t>
            </w:r>
            <w:r w:rsidR="00E230DC">
              <w:rPr>
                <w:rFonts w:eastAsiaTheme="minorEastAsia" w:cstheme="minorBidi"/>
                <w:noProof/>
                <w:szCs w:val="22"/>
                <w:lang w:eastAsia="en-AU"/>
              </w:rPr>
              <w:tab/>
            </w:r>
            <w:r w:rsidR="00E230DC" w:rsidRPr="001A064D">
              <w:rPr>
                <w:rStyle w:val="Hyperlink"/>
                <w:noProof/>
              </w:rPr>
              <w:t>Pathway Risk Assessments</w:t>
            </w:r>
            <w:r w:rsidR="00E230DC">
              <w:rPr>
                <w:noProof/>
                <w:webHidden/>
              </w:rPr>
              <w:tab/>
            </w:r>
            <w:r w:rsidR="00E230DC">
              <w:rPr>
                <w:noProof/>
                <w:webHidden/>
              </w:rPr>
              <w:fldChar w:fldCharType="begin"/>
            </w:r>
            <w:r w:rsidR="00E230DC">
              <w:rPr>
                <w:noProof/>
                <w:webHidden/>
              </w:rPr>
              <w:instrText xml:space="preserve"> PAGEREF _Toc10031897 \h </w:instrText>
            </w:r>
            <w:r w:rsidR="00E230DC">
              <w:rPr>
                <w:noProof/>
                <w:webHidden/>
              </w:rPr>
            </w:r>
            <w:r w:rsidR="00E230DC">
              <w:rPr>
                <w:noProof/>
                <w:webHidden/>
              </w:rPr>
              <w:fldChar w:fldCharType="separate"/>
            </w:r>
            <w:r w:rsidR="00BD638C">
              <w:rPr>
                <w:noProof/>
                <w:webHidden/>
              </w:rPr>
              <w:t>28</w:t>
            </w:r>
            <w:r w:rsidR="00E230DC">
              <w:rPr>
                <w:noProof/>
                <w:webHidden/>
              </w:rPr>
              <w:fldChar w:fldCharType="end"/>
            </w:r>
          </w:hyperlink>
        </w:p>
        <w:p w14:paraId="2F6E1372" w14:textId="2C8B2131" w:rsidR="00E230DC" w:rsidRDefault="008827C0">
          <w:pPr>
            <w:pStyle w:val="TOC2"/>
            <w:tabs>
              <w:tab w:val="left" w:pos="880"/>
              <w:tab w:val="right" w:leader="dot" w:pos="9016"/>
            </w:tabs>
            <w:rPr>
              <w:rFonts w:eastAsiaTheme="minorEastAsia" w:cstheme="minorBidi"/>
              <w:noProof/>
              <w:szCs w:val="22"/>
              <w:lang w:eastAsia="en-AU"/>
            </w:rPr>
          </w:pPr>
          <w:hyperlink w:anchor="_Toc10031898" w:history="1">
            <w:r w:rsidR="00E230DC" w:rsidRPr="001A064D">
              <w:rPr>
                <w:rStyle w:val="Hyperlink"/>
                <w:noProof/>
              </w:rPr>
              <w:t>7.2</w:t>
            </w:r>
            <w:r w:rsidR="00E230DC">
              <w:rPr>
                <w:rFonts w:eastAsiaTheme="minorEastAsia" w:cstheme="minorBidi"/>
                <w:noProof/>
                <w:szCs w:val="22"/>
                <w:lang w:eastAsia="en-AU"/>
              </w:rPr>
              <w:tab/>
            </w:r>
            <w:r w:rsidR="00E230DC" w:rsidRPr="001A064D">
              <w:rPr>
                <w:rStyle w:val="Hyperlink"/>
                <w:noProof/>
              </w:rPr>
              <w:t>Available Information on Risk</w:t>
            </w:r>
            <w:r w:rsidR="00E230DC">
              <w:rPr>
                <w:noProof/>
                <w:webHidden/>
              </w:rPr>
              <w:tab/>
            </w:r>
            <w:r w:rsidR="00E230DC">
              <w:rPr>
                <w:noProof/>
                <w:webHidden/>
              </w:rPr>
              <w:fldChar w:fldCharType="begin"/>
            </w:r>
            <w:r w:rsidR="00E230DC">
              <w:rPr>
                <w:noProof/>
                <w:webHidden/>
              </w:rPr>
              <w:instrText xml:space="preserve"> PAGEREF _Toc10031898 \h </w:instrText>
            </w:r>
            <w:r w:rsidR="00E230DC">
              <w:rPr>
                <w:noProof/>
                <w:webHidden/>
              </w:rPr>
            </w:r>
            <w:r w:rsidR="00E230DC">
              <w:rPr>
                <w:noProof/>
                <w:webHidden/>
              </w:rPr>
              <w:fldChar w:fldCharType="separate"/>
            </w:r>
            <w:r w:rsidR="00BD638C">
              <w:rPr>
                <w:noProof/>
                <w:webHidden/>
              </w:rPr>
              <w:t>28</w:t>
            </w:r>
            <w:r w:rsidR="00E230DC">
              <w:rPr>
                <w:noProof/>
                <w:webHidden/>
              </w:rPr>
              <w:fldChar w:fldCharType="end"/>
            </w:r>
          </w:hyperlink>
        </w:p>
        <w:p w14:paraId="2CECC073" w14:textId="3BC65004" w:rsidR="00E230DC" w:rsidRDefault="008827C0">
          <w:pPr>
            <w:pStyle w:val="TOC2"/>
            <w:tabs>
              <w:tab w:val="left" w:pos="880"/>
              <w:tab w:val="right" w:leader="dot" w:pos="9016"/>
            </w:tabs>
            <w:rPr>
              <w:rFonts w:eastAsiaTheme="minorEastAsia" w:cstheme="minorBidi"/>
              <w:noProof/>
              <w:szCs w:val="22"/>
              <w:lang w:eastAsia="en-AU"/>
            </w:rPr>
          </w:pPr>
          <w:hyperlink w:anchor="_Toc10031899" w:history="1">
            <w:r w:rsidR="00E230DC" w:rsidRPr="001A064D">
              <w:rPr>
                <w:rStyle w:val="Hyperlink"/>
                <w:noProof/>
              </w:rPr>
              <w:t>7.3</w:t>
            </w:r>
            <w:r w:rsidR="00E230DC">
              <w:rPr>
                <w:rFonts w:eastAsiaTheme="minorEastAsia" w:cstheme="minorBidi"/>
                <w:noProof/>
                <w:szCs w:val="22"/>
                <w:lang w:eastAsia="en-AU"/>
              </w:rPr>
              <w:tab/>
            </w:r>
            <w:r w:rsidR="00E230DC" w:rsidRPr="001A064D">
              <w:rPr>
                <w:rStyle w:val="Hyperlink"/>
                <w:noProof/>
              </w:rPr>
              <w:t>Applying a Levy to Cargo Imports</w:t>
            </w:r>
            <w:r w:rsidR="00E230DC">
              <w:rPr>
                <w:noProof/>
                <w:webHidden/>
              </w:rPr>
              <w:tab/>
            </w:r>
            <w:r w:rsidR="00E230DC">
              <w:rPr>
                <w:noProof/>
                <w:webHidden/>
              </w:rPr>
              <w:fldChar w:fldCharType="begin"/>
            </w:r>
            <w:r w:rsidR="00E230DC">
              <w:rPr>
                <w:noProof/>
                <w:webHidden/>
              </w:rPr>
              <w:instrText xml:space="preserve"> PAGEREF _Toc10031899 \h </w:instrText>
            </w:r>
            <w:r w:rsidR="00E230DC">
              <w:rPr>
                <w:noProof/>
                <w:webHidden/>
              </w:rPr>
            </w:r>
            <w:r w:rsidR="00E230DC">
              <w:rPr>
                <w:noProof/>
                <w:webHidden/>
              </w:rPr>
              <w:fldChar w:fldCharType="separate"/>
            </w:r>
            <w:r w:rsidR="00BD638C">
              <w:rPr>
                <w:noProof/>
                <w:webHidden/>
              </w:rPr>
              <w:t>30</w:t>
            </w:r>
            <w:r w:rsidR="00E230DC">
              <w:rPr>
                <w:noProof/>
                <w:webHidden/>
              </w:rPr>
              <w:fldChar w:fldCharType="end"/>
            </w:r>
          </w:hyperlink>
        </w:p>
        <w:p w14:paraId="119FD2EC" w14:textId="74C931D0" w:rsidR="00E230DC" w:rsidRDefault="008827C0">
          <w:pPr>
            <w:pStyle w:val="TOC2"/>
            <w:tabs>
              <w:tab w:val="left" w:pos="880"/>
              <w:tab w:val="right" w:leader="dot" w:pos="9016"/>
            </w:tabs>
            <w:rPr>
              <w:rFonts w:eastAsiaTheme="minorEastAsia" w:cstheme="minorBidi"/>
              <w:noProof/>
              <w:szCs w:val="22"/>
              <w:lang w:eastAsia="en-AU"/>
            </w:rPr>
          </w:pPr>
          <w:hyperlink w:anchor="_Toc10031900" w:history="1">
            <w:r w:rsidR="00E230DC" w:rsidRPr="001A064D">
              <w:rPr>
                <w:rStyle w:val="Hyperlink"/>
                <w:noProof/>
              </w:rPr>
              <w:t>7.4</w:t>
            </w:r>
            <w:r w:rsidR="00E230DC">
              <w:rPr>
                <w:rFonts w:eastAsiaTheme="minorEastAsia" w:cstheme="minorBidi"/>
                <w:noProof/>
                <w:szCs w:val="22"/>
                <w:lang w:eastAsia="en-AU"/>
              </w:rPr>
              <w:tab/>
            </w:r>
            <w:r w:rsidR="00E230DC" w:rsidRPr="001A064D">
              <w:rPr>
                <w:rStyle w:val="Hyperlink"/>
                <w:noProof/>
              </w:rPr>
              <w:t>Risks Associated with Vessels</w:t>
            </w:r>
            <w:r w:rsidR="00E230DC">
              <w:rPr>
                <w:noProof/>
                <w:webHidden/>
              </w:rPr>
              <w:tab/>
            </w:r>
            <w:r w:rsidR="00E230DC">
              <w:rPr>
                <w:noProof/>
                <w:webHidden/>
              </w:rPr>
              <w:fldChar w:fldCharType="begin"/>
            </w:r>
            <w:r w:rsidR="00E230DC">
              <w:rPr>
                <w:noProof/>
                <w:webHidden/>
              </w:rPr>
              <w:instrText xml:space="preserve"> PAGEREF _Toc10031900 \h </w:instrText>
            </w:r>
            <w:r w:rsidR="00E230DC">
              <w:rPr>
                <w:noProof/>
                <w:webHidden/>
              </w:rPr>
            </w:r>
            <w:r w:rsidR="00E230DC">
              <w:rPr>
                <w:noProof/>
                <w:webHidden/>
              </w:rPr>
              <w:fldChar w:fldCharType="separate"/>
            </w:r>
            <w:r w:rsidR="00BD638C">
              <w:rPr>
                <w:noProof/>
                <w:webHidden/>
              </w:rPr>
              <w:t>31</w:t>
            </w:r>
            <w:r w:rsidR="00E230DC">
              <w:rPr>
                <w:noProof/>
                <w:webHidden/>
              </w:rPr>
              <w:fldChar w:fldCharType="end"/>
            </w:r>
          </w:hyperlink>
        </w:p>
        <w:p w14:paraId="3B6B64BA" w14:textId="51FE917C" w:rsidR="00E230DC" w:rsidRDefault="008827C0">
          <w:pPr>
            <w:pStyle w:val="TOC2"/>
            <w:tabs>
              <w:tab w:val="left" w:pos="880"/>
              <w:tab w:val="right" w:leader="dot" w:pos="9016"/>
            </w:tabs>
            <w:rPr>
              <w:rFonts w:eastAsiaTheme="minorEastAsia" w:cstheme="minorBidi"/>
              <w:noProof/>
              <w:szCs w:val="22"/>
              <w:lang w:eastAsia="en-AU"/>
            </w:rPr>
          </w:pPr>
          <w:hyperlink w:anchor="_Toc10031901" w:history="1">
            <w:r w:rsidR="00E230DC" w:rsidRPr="001A064D">
              <w:rPr>
                <w:rStyle w:val="Hyperlink"/>
                <w:noProof/>
              </w:rPr>
              <w:t>7.5</w:t>
            </w:r>
            <w:r w:rsidR="00E230DC">
              <w:rPr>
                <w:rFonts w:eastAsiaTheme="minorEastAsia" w:cstheme="minorBidi"/>
                <w:noProof/>
                <w:szCs w:val="22"/>
                <w:lang w:eastAsia="en-AU"/>
              </w:rPr>
              <w:tab/>
            </w:r>
            <w:r w:rsidR="00E230DC" w:rsidRPr="001A064D">
              <w:rPr>
                <w:rStyle w:val="Hyperlink"/>
                <w:noProof/>
              </w:rPr>
              <w:t>A Risk of Moral Hazard</w:t>
            </w:r>
            <w:r w:rsidR="00E230DC">
              <w:rPr>
                <w:noProof/>
                <w:webHidden/>
              </w:rPr>
              <w:tab/>
            </w:r>
            <w:r w:rsidR="00E230DC">
              <w:rPr>
                <w:noProof/>
                <w:webHidden/>
              </w:rPr>
              <w:fldChar w:fldCharType="begin"/>
            </w:r>
            <w:r w:rsidR="00E230DC">
              <w:rPr>
                <w:noProof/>
                <w:webHidden/>
              </w:rPr>
              <w:instrText xml:space="preserve"> PAGEREF _Toc10031901 \h </w:instrText>
            </w:r>
            <w:r w:rsidR="00E230DC">
              <w:rPr>
                <w:noProof/>
                <w:webHidden/>
              </w:rPr>
            </w:r>
            <w:r w:rsidR="00E230DC">
              <w:rPr>
                <w:noProof/>
                <w:webHidden/>
              </w:rPr>
              <w:fldChar w:fldCharType="separate"/>
            </w:r>
            <w:r w:rsidR="00BD638C">
              <w:rPr>
                <w:noProof/>
                <w:webHidden/>
              </w:rPr>
              <w:t>33</w:t>
            </w:r>
            <w:r w:rsidR="00E230DC">
              <w:rPr>
                <w:noProof/>
                <w:webHidden/>
              </w:rPr>
              <w:fldChar w:fldCharType="end"/>
            </w:r>
          </w:hyperlink>
        </w:p>
        <w:p w14:paraId="220407DE" w14:textId="2258F3F0" w:rsidR="00E230DC" w:rsidRDefault="008827C0">
          <w:pPr>
            <w:pStyle w:val="TOC2"/>
            <w:tabs>
              <w:tab w:val="left" w:pos="880"/>
              <w:tab w:val="right" w:leader="dot" w:pos="9016"/>
            </w:tabs>
            <w:rPr>
              <w:rFonts w:eastAsiaTheme="minorEastAsia" w:cstheme="minorBidi"/>
              <w:noProof/>
              <w:szCs w:val="22"/>
              <w:lang w:eastAsia="en-AU"/>
            </w:rPr>
          </w:pPr>
          <w:hyperlink w:anchor="_Toc10031902" w:history="1">
            <w:r w:rsidR="00E230DC" w:rsidRPr="001A064D">
              <w:rPr>
                <w:rStyle w:val="Hyperlink"/>
                <w:noProof/>
              </w:rPr>
              <w:t>7.6</w:t>
            </w:r>
            <w:r w:rsidR="00E230DC">
              <w:rPr>
                <w:rFonts w:eastAsiaTheme="minorEastAsia" w:cstheme="minorBidi"/>
                <w:noProof/>
                <w:szCs w:val="22"/>
                <w:lang w:eastAsia="en-AU"/>
              </w:rPr>
              <w:tab/>
            </w:r>
            <w:r w:rsidR="00E230DC" w:rsidRPr="001A064D">
              <w:rPr>
                <w:rStyle w:val="Hyperlink"/>
                <w:noProof/>
              </w:rPr>
              <w:t>Access to Data on Risk</w:t>
            </w:r>
            <w:r w:rsidR="00E230DC">
              <w:rPr>
                <w:noProof/>
                <w:webHidden/>
              </w:rPr>
              <w:tab/>
            </w:r>
            <w:r w:rsidR="00E230DC">
              <w:rPr>
                <w:noProof/>
                <w:webHidden/>
              </w:rPr>
              <w:fldChar w:fldCharType="begin"/>
            </w:r>
            <w:r w:rsidR="00E230DC">
              <w:rPr>
                <w:noProof/>
                <w:webHidden/>
              </w:rPr>
              <w:instrText xml:space="preserve"> PAGEREF _Toc10031902 \h </w:instrText>
            </w:r>
            <w:r w:rsidR="00E230DC">
              <w:rPr>
                <w:noProof/>
                <w:webHidden/>
              </w:rPr>
            </w:r>
            <w:r w:rsidR="00E230DC">
              <w:rPr>
                <w:noProof/>
                <w:webHidden/>
              </w:rPr>
              <w:fldChar w:fldCharType="separate"/>
            </w:r>
            <w:r w:rsidR="00BD638C">
              <w:rPr>
                <w:noProof/>
                <w:webHidden/>
              </w:rPr>
              <w:t>34</w:t>
            </w:r>
            <w:r w:rsidR="00E230DC">
              <w:rPr>
                <w:noProof/>
                <w:webHidden/>
              </w:rPr>
              <w:fldChar w:fldCharType="end"/>
            </w:r>
          </w:hyperlink>
        </w:p>
        <w:p w14:paraId="0FAE9064" w14:textId="2955CA01" w:rsidR="00E230DC" w:rsidRDefault="008827C0">
          <w:pPr>
            <w:pStyle w:val="TOC1"/>
            <w:tabs>
              <w:tab w:val="left" w:pos="440"/>
              <w:tab w:val="right" w:leader="dot" w:pos="9016"/>
            </w:tabs>
            <w:rPr>
              <w:rFonts w:eastAsiaTheme="minorEastAsia" w:cstheme="minorBidi"/>
              <w:noProof/>
              <w:szCs w:val="22"/>
              <w:lang w:eastAsia="en-AU"/>
            </w:rPr>
          </w:pPr>
          <w:hyperlink w:anchor="_Toc10031903" w:history="1">
            <w:r w:rsidR="00E230DC" w:rsidRPr="001A064D">
              <w:rPr>
                <w:rStyle w:val="Hyperlink"/>
                <w:noProof/>
              </w:rPr>
              <w:t>8.</w:t>
            </w:r>
            <w:r w:rsidR="00E230DC">
              <w:rPr>
                <w:rFonts w:eastAsiaTheme="minorEastAsia" w:cstheme="minorBidi"/>
                <w:noProof/>
                <w:szCs w:val="22"/>
                <w:lang w:eastAsia="en-AU"/>
              </w:rPr>
              <w:tab/>
            </w:r>
            <w:r w:rsidR="00E230DC" w:rsidRPr="001A064D">
              <w:rPr>
                <w:rStyle w:val="Hyperlink"/>
                <w:noProof/>
              </w:rPr>
              <w:t>Other Matters</w:t>
            </w:r>
            <w:r w:rsidR="00E230DC">
              <w:rPr>
                <w:noProof/>
                <w:webHidden/>
              </w:rPr>
              <w:tab/>
            </w:r>
            <w:r w:rsidR="00E230DC">
              <w:rPr>
                <w:noProof/>
                <w:webHidden/>
              </w:rPr>
              <w:fldChar w:fldCharType="begin"/>
            </w:r>
            <w:r w:rsidR="00E230DC">
              <w:rPr>
                <w:noProof/>
                <w:webHidden/>
              </w:rPr>
              <w:instrText xml:space="preserve"> PAGEREF _Toc10031903 \h </w:instrText>
            </w:r>
            <w:r w:rsidR="00E230DC">
              <w:rPr>
                <w:noProof/>
                <w:webHidden/>
              </w:rPr>
            </w:r>
            <w:r w:rsidR="00E230DC">
              <w:rPr>
                <w:noProof/>
                <w:webHidden/>
              </w:rPr>
              <w:fldChar w:fldCharType="separate"/>
            </w:r>
            <w:r w:rsidR="00BD638C">
              <w:rPr>
                <w:noProof/>
                <w:webHidden/>
              </w:rPr>
              <w:t>36</w:t>
            </w:r>
            <w:r w:rsidR="00E230DC">
              <w:rPr>
                <w:noProof/>
                <w:webHidden/>
              </w:rPr>
              <w:fldChar w:fldCharType="end"/>
            </w:r>
          </w:hyperlink>
        </w:p>
        <w:p w14:paraId="36E5FD68" w14:textId="59FB3CB6" w:rsidR="00E230DC" w:rsidRDefault="008827C0">
          <w:pPr>
            <w:pStyle w:val="TOC2"/>
            <w:tabs>
              <w:tab w:val="left" w:pos="880"/>
              <w:tab w:val="right" w:leader="dot" w:pos="9016"/>
            </w:tabs>
            <w:rPr>
              <w:rFonts w:eastAsiaTheme="minorEastAsia" w:cstheme="minorBidi"/>
              <w:noProof/>
              <w:szCs w:val="22"/>
              <w:lang w:eastAsia="en-AU"/>
            </w:rPr>
          </w:pPr>
          <w:hyperlink w:anchor="_Toc10031904" w:history="1">
            <w:r w:rsidR="00E230DC" w:rsidRPr="001A064D">
              <w:rPr>
                <w:rStyle w:val="Hyperlink"/>
                <w:noProof/>
              </w:rPr>
              <w:t>8.1</w:t>
            </w:r>
            <w:r w:rsidR="00E230DC">
              <w:rPr>
                <w:rFonts w:eastAsiaTheme="minorEastAsia" w:cstheme="minorBidi"/>
                <w:noProof/>
                <w:szCs w:val="22"/>
                <w:lang w:eastAsia="en-AU"/>
              </w:rPr>
              <w:tab/>
            </w:r>
            <w:r w:rsidR="00E230DC" w:rsidRPr="001A064D">
              <w:rPr>
                <w:rStyle w:val="Hyperlink"/>
                <w:noProof/>
              </w:rPr>
              <w:t>Private Sector Investments in Biosecurity Enhancement</w:t>
            </w:r>
            <w:r w:rsidR="00E230DC">
              <w:rPr>
                <w:noProof/>
                <w:webHidden/>
              </w:rPr>
              <w:tab/>
            </w:r>
            <w:r w:rsidR="00E230DC">
              <w:rPr>
                <w:noProof/>
                <w:webHidden/>
              </w:rPr>
              <w:fldChar w:fldCharType="begin"/>
            </w:r>
            <w:r w:rsidR="00E230DC">
              <w:rPr>
                <w:noProof/>
                <w:webHidden/>
              </w:rPr>
              <w:instrText xml:space="preserve"> PAGEREF _Toc10031904 \h </w:instrText>
            </w:r>
            <w:r w:rsidR="00E230DC">
              <w:rPr>
                <w:noProof/>
                <w:webHidden/>
              </w:rPr>
            </w:r>
            <w:r w:rsidR="00E230DC">
              <w:rPr>
                <w:noProof/>
                <w:webHidden/>
              </w:rPr>
              <w:fldChar w:fldCharType="separate"/>
            </w:r>
            <w:r w:rsidR="00BD638C">
              <w:rPr>
                <w:noProof/>
                <w:webHidden/>
              </w:rPr>
              <w:t>36</w:t>
            </w:r>
            <w:r w:rsidR="00E230DC">
              <w:rPr>
                <w:noProof/>
                <w:webHidden/>
              </w:rPr>
              <w:fldChar w:fldCharType="end"/>
            </w:r>
          </w:hyperlink>
        </w:p>
        <w:p w14:paraId="303757A6" w14:textId="56D25ACC" w:rsidR="00E230DC" w:rsidRDefault="008827C0">
          <w:pPr>
            <w:pStyle w:val="TOC2"/>
            <w:tabs>
              <w:tab w:val="left" w:pos="880"/>
              <w:tab w:val="right" w:leader="dot" w:pos="9016"/>
            </w:tabs>
            <w:rPr>
              <w:rFonts w:eastAsiaTheme="minorEastAsia" w:cstheme="minorBidi"/>
              <w:noProof/>
              <w:szCs w:val="22"/>
              <w:lang w:eastAsia="en-AU"/>
            </w:rPr>
          </w:pPr>
          <w:hyperlink w:anchor="_Toc10031905" w:history="1">
            <w:r w:rsidR="00E230DC" w:rsidRPr="001A064D">
              <w:rPr>
                <w:rStyle w:val="Hyperlink"/>
                <w:noProof/>
              </w:rPr>
              <w:t>8.2</w:t>
            </w:r>
            <w:r w:rsidR="00E230DC">
              <w:rPr>
                <w:rFonts w:eastAsiaTheme="minorEastAsia" w:cstheme="minorBidi"/>
                <w:noProof/>
                <w:szCs w:val="22"/>
                <w:lang w:eastAsia="en-AU"/>
              </w:rPr>
              <w:tab/>
            </w:r>
            <w:r w:rsidR="00E230DC" w:rsidRPr="001A064D">
              <w:rPr>
                <w:rStyle w:val="Hyperlink"/>
                <w:noProof/>
              </w:rPr>
              <w:t>Military Equipment</w:t>
            </w:r>
            <w:r w:rsidR="00E230DC">
              <w:rPr>
                <w:noProof/>
                <w:webHidden/>
              </w:rPr>
              <w:tab/>
            </w:r>
            <w:r w:rsidR="00E230DC">
              <w:rPr>
                <w:noProof/>
                <w:webHidden/>
              </w:rPr>
              <w:fldChar w:fldCharType="begin"/>
            </w:r>
            <w:r w:rsidR="00E230DC">
              <w:rPr>
                <w:noProof/>
                <w:webHidden/>
              </w:rPr>
              <w:instrText xml:space="preserve"> PAGEREF _Toc10031905 \h </w:instrText>
            </w:r>
            <w:r w:rsidR="00E230DC">
              <w:rPr>
                <w:noProof/>
                <w:webHidden/>
              </w:rPr>
            </w:r>
            <w:r w:rsidR="00E230DC">
              <w:rPr>
                <w:noProof/>
                <w:webHidden/>
              </w:rPr>
              <w:fldChar w:fldCharType="separate"/>
            </w:r>
            <w:r w:rsidR="00BD638C">
              <w:rPr>
                <w:noProof/>
                <w:webHidden/>
              </w:rPr>
              <w:t>36</w:t>
            </w:r>
            <w:r w:rsidR="00E230DC">
              <w:rPr>
                <w:noProof/>
                <w:webHidden/>
              </w:rPr>
              <w:fldChar w:fldCharType="end"/>
            </w:r>
          </w:hyperlink>
        </w:p>
        <w:p w14:paraId="562A3F1D" w14:textId="0D8CF5C0" w:rsidR="00E230DC" w:rsidRDefault="008827C0">
          <w:pPr>
            <w:pStyle w:val="TOC1"/>
            <w:tabs>
              <w:tab w:val="left" w:pos="440"/>
              <w:tab w:val="right" w:leader="dot" w:pos="9016"/>
            </w:tabs>
            <w:rPr>
              <w:rFonts w:eastAsiaTheme="minorEastAsia" w:cstheme="minorBidi"/>
              <w:noProof/>
              <w:szCs w:val="22"/>
              <w:lang w:eastAsia="en-AU"/>
            </w:rPr>
          </w:pPr>
          <w:hyperlink w:anchor="_Toc10031906" w:history="1">
            <w:r w:rsidR="00E230DC" w:rsidRPr="001A064D">
              <w:rPr>
                <w:rStyle w:val="Hyperlink"/>
                <w:noProof/>
              </w:rPr>
              <w:t>9.</w:t>
            </w:r>
            <w:r w:rsidR="00E230DC">
              <w:rPr>
                <w:rFonts w:eastAsiaTheme="minorEastAsia" w:cstheme="minorBidi"/>
                <w:noProof/>
                <w:szCs w:val="22"/>
                <w:lang w:eastAsia="en-AU"/>
              </w:rPr>
              <w:tab/>
            </w:r>
            <w:r w:rsidR="00E230DC" w:rsidRPr="001A064D">
              <w:rPr>
                <w:rStyle w:val="Hyperlink"/>
                <w:noProof/>
              </w:rPr>
              <w:t>The Committee’s Assessment</w:t>
            </w:r>
            <w:r w:rsidR="00E230DC">
              <w:rPr>
                <w:noProof/>
                <w:webHidden/>
              </w:rPr>
              <w:tab/>
            </w:r>
            <w:r w:rsidR="00E230DC">
              <w:rPr>
                <w:noProof/>
                <w:webHidden/>
              </w:rPr>
              <w:fldChar w:fldCharType="begin"/>
            </w:r>
            <w:r w:rsidR="00E230DC">
              <w:rPr>
                <w:noProof/>
                <w:webHidden/>
              </w:rPr>
              <w:instrText xml:space="preserve"> PAGEREF _Toc10031906 \h </w:instrText>
            </w:r>
            <w:r w:rsidR="00E230DC">
              <w:rPr>
                <w:noProof/>
                <w:webHidden/>
              </w:rPr>
            </w:r>
            <w:r w:rsidR="00E230DC">
              <w:rPr>
                <w:noProof/>
                <w:webHidden/>
              </w:rPr>
              <w:fldChar w:fldCharType="separate"/>
            </w:r>
            <w:r w:rsidR="00BD638C">
              <w:rPr>
                <w:noProof/>
                <w:webHidden/>
              </w:rPr>
              <w:t>38</w:t>
            </w:r>
            <w:r w:rsidR="00E230DC">
              <w:rPr>
                <w:noProof/>
                <w:webHidden/>
              </w:rPr>
              <w:fldChar w:fldCharType="end"/>
            </w:r>
          </w:hyperlink>
        </w:p>
        <w:p w14:paraId="2DC42423" w14:textId="1F65035C" w:rsidR="00E230DC" w:rsidRDefault="008827C0">
          <w:pPr>
            <w:pStyle w:val="TOC2"/>
            <w:tabs>
              <w:tab w:val="left" w:pos="880"/>
              <w:tab w:val="right" w:leader="dot" w:pos="9016"/>
            </w:tabs>
            <w:rPr>
              <w:rFonts w:eastAsiaTheme="minorEastAsia" w:cstheme="minorBidi"/>
              <w:noProof/>
              <w:szCs w:val="22"/>
              <w:lang w:eastAsia="en-AU"/>
            </w:rPr>
          </w:pPr>
          <w:hyperlink w:anchor="_Toc10031907" w:history="1">
            <w:r w:rsidR="00E230DC" w:rsidRPr="001A064D">
              <w:rPr>
                <w:rStyle w:val="Hyperlink"/>
                <w:noProof/>
              </w:rPr>
              <w:t>9.1</w:t>
            </w:r>
            <w:r w:rsidR="00E230DC">
              <w:rPr>
                <w:rFonts w:eastAsiaTheme="minorEastAsia" w:cstheme="minorBidi"/>
                <w:noProof/>
                <w:szCs w:val="22"/>
                <w:lang w:eastAsia="en-AU"/>
              </w:rPr>
              <w:tab/>
            </w:r>
            <w:r w:rsidR="00E230DC" w:rsidRPr="001A064D">
              <w:rPr>
                <w:rStyle w:val="Hyperlink"/>
                <w:noProof/>
              </w:rPr>
              <w:t>Assessment of the Biosecurity Levy</w:t>
            </w:r>
            <w:r w:rsidR="00E230DC">
              <w:rPr>
                <w:noProof/>
                <w:webHidden/>
              </w:rPr>
              <w:tab/>
            </w:r>
            <w:r w:rsidR="00E230DC">
              <w:rPr>
                <w:noProof/>
                <w:webHidden/>
              </w:rPr>
              <w:fldChar w:fldCharType="begin"/>
            </w:r>
            <w:r w:rsidR="00E230DC">
              <w:rPr>
                <w:noProof/>
                <w:webHidden/>
              </w:rPr>
              <w:instrText xml:space="preserve"> PAGEREF _Toc10031907 \h </w:instrText>
            </w:r>
            <w:r w:rsidR="00E230DC">
              <w:rPr>
                <w:noProof/>
                <w:webHidden/>
              </w:rPr>
            </w:r>
            <w:r w:rsidR="00E230DC">
              <w:rPr>
                <w:noProof/>
                <w:webHidden/>
              </w:rPr>
              <w:fldChar w:fldCharType="separate"/>
            </w:r>
            <w:r w:rsidR="00BD638C">
              <w:rPr>
                <w:noProof/>
                <w:webHidden/>
              </w:rPr>
              <w:t>38</w:t>
            </w:r>
            <w:r w:rsidR="00E230DC">
              <w:rPr>
                <w:noProof/>
                <w:webHidden/>
              </w:rPr>
              <w:fldChar w:fldCharType="end"/>
            </w:r>
          </w:hyperlink>
        </w:p>
        <w:p w14:paraId="58AB1C12" w14:textId="597A67B1" w:rsidR="00E230DC" w:rsidRDefault="008827C0">
          <w:pPr>
            <w:pStyle w:val="TOC2"/>
            <w:tabs>
              <w:tab w:val="left" w:pos="880"/>
              <w:tab w:val="right" w:leader="dot" w:pos="9016"/>
            </w:tabs>
            <w:rPr>
              <w:rFonts w:eastAsiaTheme="minorEastAsia" w:cstheme="minorBidi"/>
              <w:noProof/>
              <w:szCs w:val="22"/>
              <w:lang w:eastAsia="en-AU"/>
            </w:rPr>
          </w:pPr>
          <w:hyperlink w:anchor="_Toc10031908" w:history="1">
            <w:r w:rsidR="00E230DC" w:rsidRPr="001A064D">
              <w:rPr>
                <w:rStyle w:val="Hyperlink"/>
                <w:noProof/>
              </w:rPr>
              <w:t>9.2</w:t>
            </w:r>
            <w:r w:rsidR="00E230DC">
              <w:rPr>
                <w:rFonts w:eastAsiaTheme="minorEastAsia" w:cstheme="minorBidi"/>
                <w:noProof/>
                <w:szCs w:val="22"/>
                <w:lang w:eastAsia="en-AU"/>
              </w:rPr>
              <w:tab/>
            </w:r>
            <w:r w:rsidR="00E230DC" w:rsidRPr="001A064D">
              <w:rPr>
                <w:rStyle w:val="Hyperlink"/>
                <w:noProof/>
              </w:rPr>
              <w:t>A Way Forward</w:t>
            </w:r>
            <w:r w:rsidR="00E230DC">
              <w:rPr>
                <w:noProof/>
                <w:webHidden/>
              </w:rPr>
              <w:tab/>
            </w:r>
            <w:r w:rsidR="00E230DC">
              <w:rPr>
                <w:noProof/>
                <w:webHidden/>
              </w:rPr>
              <w:fldChar w:fldCharType="begin"/>
            </w:r>
            <w:r w:rsidR="00E230DC">
              <w:rPr>
                <w:noProof/>
                <w:webHidden/>
              </w:rPr>
              <w:instrText xml:space="preserve"> PAGEREF _Toc10031908 \h </w:instrText>
            </w:r>
            <w:r w:rsidR="00E230DC">
              <w:rPr>
                <w:noProof/>
                <w:webHidden/>
              </w:rPr>
            </w:r>
            <w:r w:rsidR="00E230DC">
              <w:rPr>
                <w:noProof/>
                <w:webHidden/>
              </w:rPr>
              <w:fldChar w:fldCharType="separate"/>
            </w:r>
            <w:r w:rsidR="00BD638C">
              <w:rPr>
                <w:noProof/>
                <w:webHidden/>
              </w:rPr>
              <w:t>39</w:t>
            </w:r>
            <w:r w:rsidR="00E230DC">
              <w:rPr>
                <w:noProof/>
                <w:webHidden/>
              </w:rPr>
              <w:fldChar w:fldCharType="end"/>
            </w:r>
          </w:hyperlink>
        </w:p>
        <w:p w14:paraId="3760B1B6" w14:textId="483087F0" w:rsidR="00E230DC" w:rsidRDefault="008827C0">
          <w:pPr>
            <w:pStyle w:val="TOC2"/>
            <w:tabs>
              <w:tab w:val="left" w:pos="880"/>
              <w:tab w:val="right" w:leader="dot" w:pos="9016"/>
            </w:tabs>
            <w:rPr>
              <w:rFonts w:eastAsiaTheme="minorEastAsia" w:cstheme="minorBidi"/>
              <w:noProof/>
              <w:szCs w:val="22"/>
              <w:lang w:eastAsia="en-AU"/>
            </w:rPr>
          </w:pPr>
          <w:hyperlink w:anchor="_Toc10031909" w:history="1">
            <w:r w:rsidR="00E230DC" w:rsidRPr="001A064D">
              <w:rPr>
                <w:rStyle w:val="Hyperlink"/>
                <w:noProof/>
              </w:rPr>
              <w:t>10</w:t>
            </w:r>
            <w:r w:rsidR="00E230DC">
              <w:rPr>
                <w:rFonts w:eastAsiaTheme="minorEastAsia" w:cstheme="minorBidi"/>
                <w:noProof/>
                <w:szCs w:val="22"/>
                <w:lang w:eastAsia="en-AU"/>
              </w:rPr>
              <w:tab/>
            </w:r>
            <w:r w:rsidR="00E230DC" w:rsidRPr="001A064D">
              <w:rPr>
                <w:rStyle w:val="Hyperlink"/>
                <w:noProof/>
              </w:rPr>
              <w:t>Recommendations</w:t>
            </w:r>
            <w:r w:rsidR="00E230DC">
              <w:rPr>
                <w:noProof/>
                <w:webHidden/>
              </w:rPr>
              <w:tab/>
            </w:r>
            <w:r w:rsidR="00E230DC">
              <w:rPr>
                <w:noProof/>
                <w:webHidden/>
              </w:rPr>
              <w:fldChar w:fldCharType="begin"/>
            </w:r>
            <w:r w:rsidR="00E230DC">
              <w:rPr>
                <w:noProof/>
                <w:webHidden/>
              </w:rPr>
              <w:instrText xml:space="preserve"> PAGEREF _Toc10031909 \h </w:instrText>
            </w:r>
            <w:r w:rsidR="00E230DC">
              <w:rPr>
                <w:noProof/>
                <w:webHidden/>
              </w:rPr>
            </w:r>
            <w:r w:rsidR="00E230DC">
              <w:rPr>
                <w:noProof/>
                <w:webHidden/>
              </w:rPr>
              <w:fldChar w:fldCharType="separate"/>
            </w:r>
            <w:r w:rsidR="00BD638C">
              <w:rPr>
                <w:noProof/>
                <w:webHidden/>
              </w:rPr>
              <w:t>40</w:t>
            </w:r>
            <w:r w:rsidR="00E230DC">
              <w:rPr>
                <w:noProof/>
                <w:webHidden/>
              </w:rPr>
              <w:fldChar w:fldCharType="end"/>
            </w:r>
          </w:hyperlink>
        </w:p>
        <w:p w14:paraId="138E5E6C" w14:textId="77AE5207" w:rsidR="00E230DC" w:rsidRDefault="008827C0">
          <w:pPr>
            <w:pStyle w:val="TOC1"/>
            <w:tabs>
              <w:tab w:val="right" w:leader="dot" w:pos="9016"/>
            </w:tabs>
            <w:rPr>
              <w:rFonts w:eastAsiaTheme="minorEastAsia" w:cstheme="minorBidi"/>
              <w:noProof/>
              <w:szCs w:val="22"/>
              <w:lang w:eastAsia="en-AU"/>
            </w:rPr>
          </w:pPr>
          <w:hyperlink w:anchor="_Toc10031910" w:history="1">
            <w:r w:rsidR="00E230DC" w:rsidRPr="001A064D">
              <w:rPr>
                <w:rStyle w:val="Hyperlink"/>
                <w:noProof/>
              </w:rPr>
              <w:t>References</w:t>
            </w:r>
            <w:r w:rsidR="00E230DC">
              <w:rPr>
                <w:noProof/>
                <w:webHidden/>
              </w:rPr>
              <w:tab/>
            </w:r>
            <w:r w:rsidR="00E230DC">
              <w:rPr>
                <w:noProof/>
                <w:webHidden/>
              </w:rPr>
              <w:fldChar w:fldCharType="begin"/>
            </w:r>
            <w:r w:rsidR="00E230DC">
              <w:rPr>
                <w:noProof/>
                <w:webHidden/>
              </w:rPr>
              <w:instrText xml:space="preserve"> PAGEREF _Toc10031910 \h </w:instrText>
            </w:r>
            <w:r w:rsidR="00E230DC">
              <w:rPr>
                <w:noProof/>
                <w:webHidden/>
              </w:rPr>
            </w:r>
            <w:r w:rsidR="00E230DC">
              <w:rPr>
                <w:noProof/>
                <w:webHidden/>
              </w:rPr>
              <w:fldChar w:fldCharType="separate"/>
            </w:r>
            <w:r w:rsidR="00BD638C">
              <w:rPr>
                <w:noProof/>
                <w:webHidden/>
              </w:rPr>
              <w:t>41</w:t>
            </w:r>
            <w:r w:rsidR="00E230DC">
              <w:rPr>
                <w:noProof/>
                <w:webHidden/>
              </w:rPr>
              <w:fldChar w:fldCharType="end"/>
            </w:r>
          </w:hyperlink>
        </w:p>
        <w:p w14:paraId="57C91DC4" w14:textId="5CE195A7" w:rsidR="00E230DC" w:rsidRDefault="008827C0">
          <w:pPr>
            <w:pStyle w:val="TOC1"/>
            <w:tabs>
              <w:tab w:val="right" w:leader="dot" w:pos="9016"/>
            </w:tabs>
            <w:rPr>
              <w:rFonts w:eastAsiaTheme="minorEastAsia" w:cstheme="minorBidi"/>
              <w:noProof/>
              <w:szCs w:val="22"/>
              <w:lang w:eastAsia="en-AU"/>
            </w:rPr>
          </w:pPr>
          <w:hyperlink w:anchor="_Toc10031911" w:history="1">
            <w:r w:rsidR="00E230DC" w:rsidRPr="001A064D">
              <w:rPr>
                <w:rStyle w:val="Hyperlink"/>
                <w:noProof/>
              </w:rPr>
              <w:t>Appendix 1: Ministerial Media Statements and Committee Terms of Reference</w:t>
            </w:r>
            <w:r w:rsidR="00E230DC">
              <w:rPr>
                <w:noProof/>
                <w:webHidden/>
              </w:rPr>
              <w:tab/>
            </w:r>
            <w:r w:rsidR="00E230DC">
              <w:rPr>
                <w:noProof/>
                <w:webHidden/>
              </w:rPr>
              <w:fldChar w:fldCharType="begin"/>
            </w:r>
            <w:r w:rsidR="00E230DC">
              <w:rPr>
                <w:noProof/>
                <w:webHidden/>
              </w:rPr>
              <w:instrText xml:space="preserve"> PAGEREF _Toc10031911 \h </w:instrText>
            </w:r>
            <w:r w:rsidR="00E230DC">
              <w:rPr>
                <w:noProof/>
                <w:webHidden/>
              </w:rPr>
            </w:r>
            <w:r w:rsidR="00E230DC">
              <w:rPr>
                <w:noProof/>
                <w:webHidden/>
              </w:rPr>
              <w:fldChar w:fldCharType="separate"/>
            </w:r>
            <w:r w:rsidR="00BD638C">
              <w:rPr>
                <w:noProof/>
                <w:webHidden/>
              </w:rPr>
              <w:t>47</w:t>
            </w:r>
            <w:r w:rsidR="00E230DC">
              <w:rPr>
                <w:noProof/>
                <w:webHidden/>
              </w:rPr>
              <w:fldChar w:fldCharType="end"/>
            </w:r>
          </w:hyperlink>
        </w:p>
        <w:p w14:paraId="5987BB72" w14:textId="3CF38ADC" w:rsidR="00E230DC" w:rsidRDefault="008827C0">
          <w:pPr>
            <w:pStyle w:val="TOC2"/>
            <w:tabs>
              <w:tab w:val="right" w:leader="dot" w:pos="9016"/>
            </w:tabs>
            <w:rPr>
              <w:rFonts w:eastAsiaTheme="minorEastAsia" w:cstheme="minorBidi"/>
              <w:noProof/>
              <w:szCs w:val="22"/>
              <w:lang w:eastAsia="en-AU"/>
            </w:rPr>
          </w:pPr>
          <w:hyperlink w:anchor="_Toc10031912" w:history="1">
            <w:r w:rsidR="00E230DC" w:rsidRPr="001A064D">
              <w:rPr>
                <w:rStyle w:val="Hyperlink"/>
                <w:noProof/>
              </w:rPr>
              <w:t>Media Statement from the then Minister for Agriculture and Water Resources 24 February 2019</w:t>
            </w:r>
            <w:r w:rsidR="00E230DC">
              <w:rPr>
                <w:noProof/>
                <w:webHidden/>
              </w:rPr>
              <w:tab/>
            </w:r>
            <w:r w:rsidR="00E230DC">
              <w:rPr>
                <w:noProof/>
                <w:webHidden/>
              </w:rPr>
              <w:fldChar w:fldCharType="begin"/>
            </w:r>
            <w:r w:rsidR="00E230DC">
              <w:rPr>
                <w:noProof/>
                <w:webHidden/>
              </w:rPr>
              <w:instrText xml:space="preserve"> PAGEREF _Toc10031912 \h </w:instrText>
            </w:r>
            <w:r w:rsidR="00E230DC">
              <w:rPr>
                <w:noProof/>
                <w:webHidden/>
              </w:rPr>
            </w:r>
            <w:r w:rsidR="00E230DC">
              <w:rPr>
                <w:noProof/>
                <w:webHidden/>
              </w:rPr>
              <w:fldChar w:fldCharType="separate"/>
            </w:r>
            <w:r w:rsidR="00BD638C">
              <w:rPr>
                <w:noProof/>
                <w:webHidden/>
              </w:rPr>
              <w:t>47</w:t>
            </w:r>
            <w:r w:rsidR="00E230DC">
              <w:rPr>
                <w:noProof/>
                <w:webHidden/>
              </w:rPr>
              <w:fldChar w:fldCharType="end"/>
            </w:r>
          </w:hyperlink>
        </w:p>
        <w:p w14:paraId="472EFD0C" w14:textId="671F03CD" w:rsidR="00E230DC" w:rsidRDefault="008827C0">
          <w:pPr>
            <w:pStyle w:val="TOC2"/>
            <w:tabs>
              <w:tab w:val="right" w:leader="dot" w:pos="9016"/>
            </w:tabs>
            <w:rPr>
              <w:rFonts w:eastAsiaTheme="minorEastAsia" w:cstheme="minorBidi"/>
              <w:noProof/>
              <w:szCs w:val="22"/>
              <w:lang w:eastAsia="en-AU"/>
            </w:rPr>
          </w:pPr>
          <w:hyperlink w:anchor="_Toc10031913" w:history="1">
            <w:r w:rsidR="00E230DC" w:rsidRPr="001A064D">
              <w:rPr>
                <w:rStyle w:val="Hyperlink"/>
                <w:noProof/>
              </w:rPr>
              <w:t>Media Statement from the then Minister for Agriculture and Water Resources 5 March 2019</w:t>
            </w:r>
            <w:r w:rsidR="00E230DC">
              <w:rPr>
                <w:noProof/>
                <w:webHidden/>
              </w:rPr>
              <w:tab/>
            </w:r>
            <w:r w:rsidR="00E230DC">
              <w:rPr>
                <w:noProof/>
                <w:webHidden/>
              </w:rPr>
              <w:fldChar w:fldCharType="begin"/>
            </w:r>
            <w:r w:rsidR="00E230DC">
              <w:rPr>
                <w:noProof/>
                <w:webHidden/>
              </w:rPr>
              <w:instrText xml:space="preserve"> PAGEREF _Toc10031913 \h </w:instrText>
            </w:r>
            <w:r w:rsidR="00E230DC">
              <w:rPr>
                <w:noProof/>
                <w:webHidden/>
              </w:rPr>
            </w:r>
            <w:r w:rsidR="00E230DC">
              <w:rPr>
                <w:noProof/>
                <w:webHidden/>
              </w:rPr>
              <w:fldChar w:fldCharType="separate"/>
            </w:r>
            <w:r w:rsidR="00BD638C">
              <w:rPr>
                <w:noProof/>
                <w:webHidden/>
              </w:rPr>
              <w:t>48</w:t>
            </w:r>
            <w:r w:rsidR="00E230DC">
              <w:rPr>
                <w:noProof/>
                <w:webHidden/>
              </w:rPr>
              <w:fldChar w:fldCharType="end"/>
            </w:r>
          </w:hyperlink>
        </w:p>
        <w:p w14:paraId="70AEA021" w14:textId="0E9E8BE8" w:rsidR="00E230DC" w:rsidRDefault="008827C0">
          <w:pPr>
            <w:pStyle w:val="TOC2"/>
            <w:tabs>
              <w:tab w:val="right" w:leader="dot" w:pos="9016"/>
            </w:tabs>
            <w:rPr>
              <w:rFonts w:eastAsiaTheme="minorEastAsia" w:cstheme="minorBidi"/>
              <w:noProof/>
              <w:szCs w:val="22"/>
              <w:lang w:eastAsia="en-AU"/>
            </w:rPr>
          </w:pPr>
          <w:hyperlink w:anchor="_Toc10031914" w:history="1">
            <w:r w:rsidR="00E230DC" w:rsidRPr="001A064D">
              <w:rPr>
                <w:rStyle w:val="Hyperlink"/>
                <w:noProof/>
              </w:rPr>
              <w:t>Committee Terms of Reference</w:t>
            </w:r>
            <w:r w:rsidR="00E230DC">
              <w:rPr>
                <w:noProof/>
                <w:webHidden/>
              </w:rPr>
              <w:tab/>
            </w:r>
            <w:r w:rsidR="00E230DC">
              <w:rPr>
                <w:noProof/>
                <w:webHidden/>
              </w:rPr>
              <w:fldChar w:fldCharType="begin"/>
            </w:r>
            <w:r w:rsidR="00E230DC">
              <w:rPr>
                <w:noProof/>
                <w:webHidden/>
              </w:rPr>
              <w:instrText xml:space="preserve"> PAGEREF _Toc10031914 \h </w:instrText>
            </w:r>
            <w:r w:rsidR="00E230DC">
              <w:rPr>
                <w:noProof/>
                <w:webHidden/>
              </w:rPr>
            </w:r>
            <w:r w:rsidR="00E230DC">
              <w:rPr>
                <w:noProof/>
                <w:webHidden/>
              </w:rPr>
              <w:fldChar w:fldCharType="separate"/>
            </w:r>
            <w:r w:rsidR="00BD638C">
              <w:rPr>
                <w:noProof/>
                <w:webHidden/>
              </w:rPr>
              <w:t>49</w:t>
            </w:r>
            <w:r w:rsidR="00E230DC">
              <w:rPr>
                <w:noProof/>
                <w:webHidden/>
              </w:rPr>
              <w:fldChar w:fldCharType="end"/>
            </w:r>
          </w:hyperlink>
        </w:p>
        <w:p w14:paraId="76420BF8" w14:textId="429C889D" w:rsidR="00E230DC" w:rsidRDefault="008827C0">
          <w:pPr>
            <w:pStyle w:val="TOC1"/>
            <w:tabs>
              <w:tab w:val="right" w:leader="dot" w:pos="9016"/>
            </w:tabs>
            <w:rPr>
              <w:rFonts w:eastAsiaTheme="minorEastAsia" w:cstheme="minorBidi"/>
              <w:noProof/>
              <w:szCs w:val="22"/>
              <w:lang w:eastAsia="en-AU"/>
            </w:rPr>
          </w:pPr>
          <w:hyperlink w:anchor="_Toc10031915" w:history="1">
            <w:r w:rsidR="00E230DC" w:rsidRPr="001A064D">
              <w:rPr>
                <w:rStyle w:val="Hyperlink"/>
                <w:noProof/>
              </w:rPr>
              <w:t>Appendix 2</w:t>
            </w:r>
            <w:r w:rsidR="00E230DC">
              <w:rPr>
                <w:noProof/>
                <w:webHidden/>
              </w:rPr>
              <w:tab/>
            </w:r>
            <w:r w:rsidR="00E230DC">
              <w:rPr>
                <w:noProof/>
                <w:webHidden/>
              </w:rPr>
              <w:fldChar w:fldCharType="begin"/>
            </w:r>
            <w:r w:rsidR="00E230DC">
              <w:rPr>
                <w:noProof/>
                <w:webHidden/>
              </w:rPr>
              <w:instrText xml:space="preserve"> PAGEREF _Toc10031915 \h </w:instrText>
            </w:r>
            <w:r w:rsidR="00E230DC">
              <w:rPr>
                <w:noProof/>
                <w:webHidden/>
              </w:rPr>
            </w:r>
            <w:r w:rsidR="00E230DC">
              <w:rPr>
                <w:noProof/>
                <w:webHidden/>
              </w:rPr>
              <w:fldChar w:fldCharType="separate"/>
            </w:r>
            <w:r w:rsidR="00BD638C">
              <w:rPr>
                <w:noProof/>
                <w:webHidden/>
              </w:rPr>
              <w:t>51</w:t>
            </w:r>
            <w:r w:rsidR="00E230DC">
              <w:rPr>
                <w:noProof/>
                <w:webHidden/>
              </w:rPr>
              <w:fldChar w:fldCharType="end"/>
            </w:r>
          </w:hyperlink>
        </w:p>
        <w:p w14:paraId="5ED21E35" w14:textId="3504F340" w:rsidR="00E230DC" w:rsidRDefault="008827C0">
          <w:pPr>
            <w:pStyle w:val="TOC2"/>
            <w:tabs>
              <w:tab w:val="right" w:leader="dot" w:pos="9016"/>
            </w:tabs>
            <w:rPr>
              <w:rFonts w:eastAsiaTheme="minorEastAsia" w:cstheme="minorBidi"/>
              <w:noProof/>
              <w:szCs w:val="22"/>
              <w:lang w:eastAsia="en-AU"/>
            </w:rPr>
          </w:pPr>
          <w:hyperlink w:anchor="_Toc10031916" w:history="1">
            <w:r w:rsidR="00E230DC" w:rsidRPr="001A064D">
              <w:rPr>
                <w:rStyle w:val="Hyperlink"/>
                <w:noProof/>
              </w:rPr>
              <w:t>List of parties providing submissions to the Committee</w:t>
            </w:r>
            <w:r w:rsidR="00E230DC">
              <w:rPr>
                <w:noProof/>
                <w:webHidden/>
              </w:rPr>
              <w:tab/>
            </w:r>
            <w:r w:rsidR="00E230DC">
              <w:rPr>
                <w:noProof/>
                <w:webHidden/>
              </w:rPr>
              <w:fldChar w:fldCharType="begin"/>
            </w:r>
            <w:r w:rsidR="00E230DC">
              <w:rPr>
                <w:noProof/>
                <w:webHidden/>
              </w:rPr>
              <w:instrText xml:space="preserve"> PAGEREF _Toc10031916 \h </w:instrText>
            </w:r>
            <w:r w:rsidR="00E230DC">
              <w:rPr>
                <w:noProof/>
                <w:webHidden/>
              </w:rPr>
            </w:r>
            <w:r w:rsidR="00E230DC">
              <w:rPr>
                <w:noProof/>
                <w:webHidden/>
              </w:rPr>
              <w:fldChar w:fldCharType="separate"/>
            </w:r>
            <w:r w:rsidR="00BD638C">
              <w:rPr>
                <w:noProof/>
                <w:webHidden/>
              </w:rPr>
              <w:t>51</w:t>
            </w:r>
            <w:r w:rsidR="00E230DC">
              <w:rPr>
                <w:noProof/>
                <w:webHidden/>
              </w:rPr>
              <w:fldChar w:fldCharType="end"/>
            </w:r>
          </w:hyperlink>
        </w:p>
        <w:p w14:paraId="3DDDAD7F" w14:textId="5D8ECD48" w:rsidR="00E230DC" w:rsidRDefault="008827C0">
          <w:pPr>
            <w:pStyle w:val="TOC1"/>
            <w:tabs>
              <w:tab w:val="right" w:leader="dot" w:pos="9016"/>
            </w:tabs>
            <w:rPr>
              <w:rFonts w:eastAsiaTheme="minorEastAsia" w:cstheme="minorBidi"/>
              <w:noProof/>
              <w:szCs w:val="22"/>
              <w:lang w:eastAsia="en-AU"/>
            </w:rPr>
          </w:pPr>
          <w:hyperlink w:anchor="_Toc10031917" w:history="1">
            <w:r w:rsidR="00E230DC" w:rsidRPr="001A064D">
              <w:rPr>
                <w:rStyle w:val="Hyperlink"/>
                <w:noProof/>
              </w:rPr>
              <w:t>Appendix 3: Letter from the Committee Chair to the then Minister for Agriculture and Water Resources</w:t>
            </w:r>
            <w:r w:rsidR="00E230DC">
              <w:rPr>
                <w:noProof/>
                <w:webHidden/>
              </w:rPr>
              <w:tab/>
            </w:r>
            <w:r w:rsidR="00E230DC">
              <w:rPr>
                <w:noProof/>
                <w:webHidden/>
              </w:rPr>
              <w:fldChar w:fldCharType="begin"/>
            </w:r>
            <w:r w:rsidR="00E230DC">
              <w:rPr>
                <w:noProof/>
                <w:webHidden/>
              </w:rPr>
              <w:instrText xml:space="preserve"> PAGEREF _Toc10031917 \h </w:instrText>
            </w:r>
            <w:r w:rsidR="00E230DC">
              <w:rPr>
                <w:noProof/>
                <w:webHidden/>
              </w:rPr>
            </w:r>
            <w:r w:rsidR="00E230DC">
              <w:rPr>
                <w:noProof/>
                <w:webHidden/>
              </w:rPr>
              <w:fldChar w:fldCharType="separate"/>
            </w:r>
            <w:r w:rsidR="00BD638C">
              <w:rPr>
                <w:noProof/>
                <w:webHidden/>
              </w:rPr>
              <w:t>52</w:t>
            </w:r>
            <w:r w:rsidR="00E230DC">
              <w:rPr>
                <w:noProof/>
                <w:webHidden/>
              </w:rPr>
              <w:fldChar w:fldCharType="end"/>
            </w:r>
          </w:hyperlink>
        </w:p>
        <w:p w14:paraId="7C55BD98" w14:textId="4EB7832A" w:rsidR="00E230DC" w:rsidRDefault="008827C0">
          <w:pPr>
            <w:pStyle w:val="TOC1"/>
            <w:tabs>
              <w:tab w:val="right" w:leader="dot" w:pos="9016"/>
            </w:tabs>
            <w:rPr>
              <w:rFonts w:eastAsiaTheme="minorEastAsia" w:cstheme="minorBidi"/>
              <w:noProof/>
              <w:szCs w:val="22"/>
              <w:lang w:eastAsia="en-AU"/>
            </w:rPr>
          </w:pPr>
          <w:hyperlink w:anchor="_Toc10031918" w:history="1">
            <w:r w:rsidR="00E230DC" w:rsidRPr="001A064D">
              <w:rPr>
                <w:rStyle w:val="Hyperlink"/>
                <w:noProof/>
              </w:rPr>
              <w:t>Appendix 4</w:t>
            </w:r>
            <w:r w:rsidR="00E230DC">
              <w:rPr>
                <w:noProof/>
                <w:webHidden/>
              </w:rPr>
              <w:tab/>
            </w:r>
            <w:r w:rsidR="00E230DC">
              <w:rPr>
                <w:noProof/>
                <w:webHidden/>
              </w:rPr>
              <w:fldChar w:fldCharType="begin"/>
            </w:r>
            <w:r w:rsidR="00E230DC">
              <w:rPr>
                <w:noProof/>
                <w:webHidden/>
              </w:rPr>
              <w:instrText xml:space="preserve"> PAGEREF _Toc10031918 \h </w:instrText>
            </w:r>
            <w:r w:rsidR="00E230DC">
              <w:rPr>
                <w:noProof/>
                <w:webHidden/>
              </w:rPr>
            </w:r>
            <w:r w:rsidR="00E230DC">
              <w:rPr>
                <w:noProof/>
                <w:webHidden/>
              </w:rPr>
              <w:fldChar w:fldCharType="separate"/>
            </w:r>
            <w:r w:rsidR="00BD638C">
              <w:rPr>
                <w:noProof/>
                <w:webHidden/>
              </w:rPr>
              <w:t>54</w:t>
            </w:r>
            <w:r w:rsidR="00E230DC">
              <w:rPr>
                <w:noProof/>
                <w:webHidden/>
              </w:rPr>
              <w:fldChar w:fldCharType="end"/>
            </w:r>
          </w:hyperlink>
        </w:p>
        <w:p w14:paraId="005775F8" w14:textId="504711A2" w:rsidR="00E230DC" w:rsidRDefault="008827C0">
          <w:pPr>
            <w:pStyle w:val="TOC2"/>
            <w:tabs>
              <w:tab w:val="right" w:leader="dot" w:pos="9016"/>
            </w:tabs>
            <w:rPr>
              <w:rFonts w:eastAsiaTheme="minorEastAsia" w:cstheme="minorBidi"/>
              <w:noProof/>
              <w:szCs w:val="22"/>
              <w:lang w:eastAsia="en-AU"/>
            </w:rPr>
          </w:pPr>
          <w:hyperlink w:anchor="_Toc10031919" w:history="1">
            <w:r w:rsidR="00E230DC" w:rsidRPr="001A064D">
              <w:rPr>
                <w:rStyle w:val="Hyperlink"/>
                <w:noProof/>
              </w:rPr>
              <w:t>Who Should Pay for Biosecurity Services?</w:t>
            </w:r>
            <w:r w:rsidR="00E230DC">
              <w:rPr>
                <w:noProof/>
                <w:webHidden/>
              </w:rPr>
              <w:tab/>
            </w:r>
            <w:r w:rsidR="00E230DC">
              <w:rPr>
                <w:noProof/>
                <w:webHidden/>
              </w:rPr>
              <w:fldChar w:fldCharType="begin"/>
            </w:r>
            <w:r w:rsidR="00E230DC">
              <w:rPr>
                <w:noProof/>
                <w:webHidden/>
              </w:rPr>
              <w:instrText xml:space="preserve"> PAGEREF _Toc10031919 \h </w:instrText>
            </w:r>
            <w:r w:rsidR="00E230DC">
              <w:rPr>
                <w:noProof/>
                <w:webHidden/>
              </w:rPr>
            </w:r>
            <w:r w:rsidR="00E230DC">
              <w:rPr>
                <w:noProof/>
                <w:webHidden/>
              </w:rPr>
              <w:fldChar w:fldCharType="separate"/>
            </w:r>
            <w:r w:rsidR="00BD638C">
              <w:rPr>
                <w:noProof/>
                <w:webHidden/>
              </w:rPr>
              <w:t>54</w:t>
            </w:r>
            <w:r w:rsidR="00E230DC">
              <w:rPr>
                <w:noProof/>
                <w:webHidden/>
              </w:rPr>
              <w:fldChar w:fldCharType="end"/>
            </w:r>
          </w:hyperlink>
        </w:p>
        <w:p w14:paraId="36556769" w14:textId="274D6187" w:rsidR="00E230DC" w:rsidRDefault="008827C0">
          <w:pPr>
            <w:pStyle w:val="TOC3"/>
            <w:tabs>
              <w:tab w:val="right" w:leader="dot" w:pos="9016"/>
            </w:tabs>
            <w:rPr>
              <w:rFonts w:eastAsiaTheme="minorEastAsia" w:cstheme="minorBidi"/>
              <w:noProof/>
              <w:szCs w:val="22"/>
              <w:lang w:eastAsia="en-AU"/>
            </w:rPr>
          </w:pPr>
          <w:hyperlink w:anchor="_Toc10031920" w:history="1">
            <w:r w:rsidR="00E230DC" w:rsidRPr="001A064D">
              <w:rPr>
                <w:rStyle w:val="Hyperlink"/>
                <w:noProof/>
              </w:rPr>
              <w:t>Understanding the Nature of the Product and Who Should Pay</w:t>
            </w:r>
            <w:r w:rsidR="00E230DC">
              <w:rPr>
                <w:noProof/>
                <w:webHidden/>
              </w:rPr>
              <w:tab/>
            </w:r>
            <w:r w:rsidR="00E230DC">
              <w:rPr>
                <w:noProof/>
                <w:webHidden/>
              </w:rPr>
              <w:fldChar w:fldCharType="begin"/>
            </w:r>
            <w:r w:rsidR="00E230DC">
              <w:rPr>
                <w:noProof/>
                <w:webHidden/>
              </w:rPr>
              <w:instrText xml:space="preserve"> PAGEREF _Toc10031920 \h </w:instrText>
            </w:r>
            <w:r w:rsidR="00E230DC">
              <w:rPr>
                <w:noProof/>
                <w:webHidden/>
              </w:rPr>
            </w:r>
            <w:r w:rsidR="00E230DC">
              <w:rPr>
                <w:noProof/>
                <w:webHidden/>
              </w:rPr>
              <w:fldChar w:fldCharType="separate"/>
            </w:r>
            <w:r w:rsidR="00BD638C">
              <w:rPr>
                <w:noProof/>
                <w:webHidden/>
              </w:rPr>
              <w:t>54</w:t>
            </w:r>
            <w:r w:rsidR="00E230DC">
              <w:rPr>
                <w:noProof/>
                <w:webHidden/>
              </w:rPr>
              <w:fldChar w:fldCharType="end"/>
            </w:r>
          </w:hyperlink>
        </w:p>
        <w:p w14:paraId="056D0975" w14:textId="3907EE1B" w:rsidR="00E230DC" w:rsidRDefault="008827C0">
          <w:pPr>
            <w:pStyle w:val="TOC3"/>
            <w:tabs>
              <w:tab w:val="right" w:leader="dot" w:pos="9016"/>
            </w:tabs>
            <w:rPr>
              <w:rFonts w:eastAsiaTheme="minorEastAsia" w:cstheme="minorBidi"/>
              <w:noProof/>
              <w:szCs w:val="22"/>
              <w:lang w:eastAsia="en-AU"/>
            </w:rPr>
          </w:pPr>
          <w:hyperlink w:anchor="_Toc10031921" w:history="1">
            <w:r w:rsidR="00E230DC" w:rsidRPr="001A064D">
              <w:rPr>
                <w:rStyle w:val="Hyperlink"/>
                <w:noProof/>
              </w:rPr>
              <w:t>Risk Exacerbator / Beneficiary Model for Funding</w:t>
            </w:r>
            <w:r w:rsidR="00E230DC">
              <w:rPr>
                <w:noProof/>
                <w:webHidden/>
              </w:rPr>
              <w:tab/>
            </w:r>
            <w:r w:rsidR="00E230DC">
              <w:rPr>
                <w:noProof/>
                <w:webHidden/>
              </w:rPr>
              <w:fldChar w:fldCharType="begin"/>
            </w:r>
            <w:r w:rsidR="00E230DC">
              <w:rPr>
                <w:noProof/>
                <w:webHidden/>
              </w:rPr>
              <w:instrText xml:space="preserve"> PAGEREF _Toc10031921 \h </w:instrText>
            </w:r>
            <w:r w:rsidR="00E230DC">
              <w:rPr>
                <w:noProof/>
                <w:webHidden/>
              </w:rPr>
            </w:r>
            <w:r w:rsidR="00E230DC">
              <w:rPr>
                <w:noProof/>
                <w:webHidden/>
              </w:rPr>
              <w:fldChar w:fldCharType="separate"/>
            </w:r>
            <w:r w:rsidR="00BD638C">
              <w:rPr>
                <w:noProof/>
                <w:webHidden/>
              </w:rPr>
              <w:t>57</w:t>
            </w:r>
            <w:r w:rsidR="00E230DC">
              <w:rPr>
                <w:noProof/>
                <w:webHidden/>
              </w:rPr>
              <w:fldChar w:fldCharType="end"/>
            </w:r>
          </w:hyperlink>
        </w:p>
        <w:p w14:paraId="431074FE" w14:textId="22AA69D8" w:rsidR="00E230DC" w:rsidRDefault="008827C0">
          <w:pPr>
            <w:pStyle w:val="TOC1"/>
            <w:tabs>
              <w:tab w:val="right" w:leader="dot" w:pos="9016"/>
            </w:tabs>
            <w:rPr>
              <w:rFonts w:eastAsiaTheme="minorEastAsia" w:cstheme="minorBidi"/>
              <w:noProof/>
              <w:szCs w:val="22"/>
              <w:lang w:eastAsia="en-AU"/>
            </w:rPr>
          </w:pPr>
          <w:hyperlink w:anchor="_Toc10031922" w:history="1">
            <w:r w:rsidR="00E230DC" w:rsidRPr="001A064D">
              <w:rPr>
                <w:rStyle w:val="Hyperlink"/>
                <w:noProof/>
              </w:rPr>
              <w:t>Appendix 5: Examples of Private Sector Investments in Biosecurity</w:t>
            </w:r>
            <w:r w:rsidR="00E230DC">
              <w:rPr>
                <w:noProof/>
                <w:webHidden/>
              </w:rPr>
              <w:tab/>
            </w:r>
            <w:r w:rsidR="00E230DC">
              <w:rPr>
                <w:noProof/>
                <w:webHidden/>
              </w:rPr>
              <w:fldChar w:fldCharType="begin"/>
            </w:r>
            <w:r w:rsidR="00E230DC">
              <w:rPr>
                <w:noProof/>
                <w:webHidden/>
              </w:rPr>
              <w:instrText xml:space="preserve"> PAGEREF _Toc10031922 \h </w:instrText>
            </w:r>
            <w:r w:rsidR="00E230DC">
              <w:rPr>
                <w:noProof/>
                <w:webHidden/>
              </w:rPr>
            </w:r>
            <w:r w:rsidR="00E230DC">
              <w:rPr>
                <w:noProof/>
                <w:webHidden/>
              </w:rPr>
              <w:fldChar w:fldCharType="separate"/>
            </w:r>
            <w:r w:rsidR="00BD638C">
              <w:rPr>
                <w:noProof/>
                <w:webHidden/>
              </w:rPr>
              <w:t>59</w:t>
            </w:r>
            <w:r w:rsidR="00E230DC">
              <w:rPr>
                <w:noProof/>
                <w:webHidden/>
              </w:rPr>
              <w:fldChar w:fldCharType="end"/>
            </w:r>
          </w:hyperlink>
        </w:p>
        <w:p w14:paraId="6965038C" w14:textId="0EC5C428" w:rsidR="00E230DC" w:rsidRDefault="008827C0">
          <w:pPr>
            <w:pStyle w:val="TOC2"/>
            <w:tabs>
              <w:tab w:val="right" w:leader="dot" w:pos="9016"/>
            </w:tabs>
            <w:rPr>
              <w:rFonts w:eastAsiaTheme="minorEastAsia" w:cstheme="minorBidi"/>
              <w:noProof/>
              <w:szCs w:val="22"/>
              <w:lang w:eastAsia="en-AU"/>
            </w:rPr>
          </w:pPr>
          <w:hyperlink w:anchor="_Toc10031923" w:history="1">
            <w:r w:rsidR="00E230DC" w:rsidRPr="001A064D">
              <w:rPr>
                <w:rStyle w:val="Hyperlink"/>
                <w:noProof/>
              </w:rPr>
              <w:t>Federal Chamber of Automotive Industries</w:t>
            </w:r>
            <w:r w:rsidR="00E230DC">
              <w:rPr>
                <w:noProof/>
                <w:webHidden/>
              </w:rPr>
              <w:tab/>
            </w:r>
            <w:r w:rsidR="00E230DC">
              <w:rPr>
                <w:noProof/>
                <w:webHidden/>
              </w:rPr>
              <w:fldChar w:fldCharType="begin"/>
            </w:r>
            <w:r w:rsidR="00E230DC">
              <w:rPr>
                <w:noProof/>
                <w:webHidden/>
              </w:rPr>
              <w:instrText xml:space="preserve"> PAGEREF _Toc10031923 \h </w:instrText>
            </w:r>
            <w:r w:rsidR="00E230DC">
              <w:rPr>
                <w:noProof/>
                <w:webHidden/>
              </w:rPr>
            </w:r>
            <w:r w:rsidR="00E230DC">
              <w:rPr>
                <w:noProof/>
                <w:webHidden/>
              </w:rPr>
              <w:fldChar w:fldCharType="separate"/>
            </w:r>
            <w:r w:rsidR="00BD638C">
              <w:rPr>
                <w:noProof/>
                <w:webHidden/>
              </w:rPr>
              <w:t>59</w:t>
            </w:r>
            <w:r w:rsidR="00E230DC">
              <w:rPr>
                <w:noProof/>
                <w:webHidden/>
              </w:rPr>
              <w:fldChar w:fldCharType="end"/>
            </w:r>
          </w:hyperlink>
        </w:p>
        <w:p w14:paraId="6345F271" w14:textId="11358A42" w:rsidR="00E230DC" w:rsidRDefault="008827C0">
          <w:pPr>
            <w:pStyle w:val="TOC2"/>
            <w:tabs>
              <w:tab w:val="right" w:leader="dot" w:pos="9016"/>
            </w:tabs>
            <w:rPr>
              <w:rFonts w:eastAsiaTheme="minorEastAsia" w:cstheme="minorBidi"/>
              <w:noProof/>
              <w:szCs w:val="22"/>
              <w:lang w:eastAsia="en-AU"/>
            </w:rPr>
          </w:pPr>
          <w:hyperlink w:anchor="_Toc10031924" w:history="1">
            <w:r w:rsidR="00E230DC" w:rsidRPr="001A064D">
              <w:rPr>
                <w:rStyle w:val="Hyperlink"/>
                <w:noProof/>
                <w:lang w:val="en-US"/>
              </w:rPr>
              <w:t>Minerals Council of Australia</w:t>
            </w:r>
            <w:r w:rsidR="00E230DC">
              <w:rPr>
                <w:noProof/>
                <w:webHidden/>
              </w:rPr>
              <w:tab/>
            </w:r>
            <w:r w:rsidR="00E230DC">
              <w:rPr>
                <w:noProof/>
                <w:webHidden/>
              </w:rPr>
              <w:fldChar w:fldCharType="begin"/>
            </w:r>
            <w:r w:rsidR="00E230DC">
              <w:rPr>
                <w:noProof/>
                <w:webHidden/>
              </w:rPr>
              <w:instrText xml:space="preserve"> PAGEREF _Toc10031924 \h </w:instrText>
            </w:r>
            <w:r w:rsidR="00E230DC">
              <w:rPr>
                <w:noProof/>
                <w:webHidden/>
              </w:rPr>
            </w:r>
            <w:r w:rsidR="00E230DC">
              <w:rPr>
                <w:noProof/>
                <w:webHidden/>
              </w:rPr>
              <w:fldChar w:fldCharType="separate"/>
            </w:r>
            <w:r w:rsidR="00BD638C">
              <w:rPr>
                <w:noProof/>
                <w:webHidden/>
              </w:rPr>
              <w:t>59</w:t>
            </w:r>
            <w:r w:rsidR="00E230DC">
              <w:rPr>
                <w:noProof/>
                <w:webHidden/>
              </w:rPr>
              <w:fldChar w:fldCharType="end"/>
            </w:r>
          </w:hyperlink>
        </w:p>
        <w:p w14:paraId="0D72B810" w14:textId="5045FF2B" w:rsidR="00E230DC" w:rsidRDefault="008827C0">
          <w:pPr>
            <w:pStyle w:val="TOC2"/>
            <w:tabs>
              <w:tab w:val="right" w:leader="dot" w:pos="9016"/>
            </w:tabs>
            <w:rPr>
              <w:rFonts w:eastAsiaTheme="minorEastAsia" w:cstheme="minorBidi"/>
              <w:noProof/>
              <w:szCs w:val="22"/>
              <w:lang w:eastAsia="en-AU"/>
            </w:rPr>
          </w:pPr>
          <w:hyperlink w:anchor="_Toc10031925" w:history="1">
            <w:r w:rsidR="00E230DC" w:rsidRPr="001A064D">
              <w:rPr>
                <w:rStyle w:val="Hyperlink"/>
                <w:noProof/>
              </w:rPr>
              <w:t>Horticultural organisations</w:t>
            </w:r>
            <w:r w:rsidR="00E230DC">
              <w:rPr>
                <w:noProof/>
                <w:webHidden/>
              </w:rPr>
              <w:tab/>
            </w:r>
            <w:r w:rsidR="00E230DC">
              <w:rPr>
                <w:noProof/>
                <w:webHidden/>
              </w:rPr>
              <w:fldChar w:fldCharType="begin"/>
            </w:r>
            <w:r w:rsidR="00E230DC">
              <w:rPr>
                <w:noProof/>
                <w:webHidden/>
              </w:rPr>
              <w:instrText xml:space="preserve"> PAGEREF _Toc10031925 \h </w:instrText>
            </w:r>
            <w:r w:rsidR="00E230DC">
              <w:rPr>
                <w:noProof/>
                <w:webHidden/>
              </w:rPr>
            </w:r>
            <w:r w:rsidR="00E230DC">
              <w:rPr>
                <w:noProof/>
                <w:webHidden/>
              </w:rPr>
              <w:fldChar w:fldCharType="separate"/>
            </w:r>
            <w:r w:rsidR="00BD638C">
              <w:rPr>
                <w:noProof/>
                <w:webHidden/>
              </w:rPr>
              <w:t>59</w:t>
            </w:r>
            <w:r w:rsidR="00E230DC">
              <w:rPr>
                <w:noProof/>
                <w:webHidden/>
              </w:rPr>
              <w:fldChar w:fldCharType="end"/>
            </w:r>
          </w:hyperlink>
        </w:p>
        <w:p w14:paraId="050BFD95" w14:textId="45C55C28" w:rsidR="00E230DC" w:rsidRDefault="008827C0">
          <w:pPr>
            <w:pStyle w:val="TOC2"/>
            <w:tabs>
              <w:tab w:val="right" w:leader="dot" w:pos="9016"/>
            </w:tabs>
            <w:rPr>
              <w:rFonts w:eastAsiaTheme="minorEastAsia" w:cstheme="minorBidi"/>
              <w:noProof/>
              <w:szCs w:val="22"/>
              <w:lang w:eastAsia="en-AU"/>
            </w:rPr>
          </w:pPr>
          <w:hyperlink w:anchor="_Toc10031926" w:history="1">
            <w:r w:rsidR="00E230DC" w:rsidRPr="001A064D">
              <w:rPr>
                <w:rStyle w:val="Hyperlink"/>
                <w:noProof/>
              </w:rPr>
              <w:t>BlueScope Steel</w:t>
            </w:r>
            <w:r w:rsidR="00E230DC">
              <w:rPr>
                <w:noProof/>
                <w:webHidden/>
              </w:rPr>
              <w:tab/>
            </w:r>
            <w:r w:rsidR="00E230DC">
              <w:rPr>
                <w:noProof/>
                <w:webHidden/>
              </w:rPr>
              <w:fldChar w:fldCharType="begin"/>
            </w:r>
            <w:r w:rsidR="00E230DC">
              <w:rPr>
                <w:noProof/>
                <w:webHidden/>
              </w:rPr>
              <w:instrText xml:space="preserve"> PAGEREF _Toc10031926 \h </w:instrText>
            </w:r>
            <w:r w:rsidR="00E230DC">
              <w:rPr>
                <w:noProof/>
                <w:webHidden/>
              </w:rPr>
            </w:r>
            <w:r w:rsidR="00E230DC">
              <w:rPr>
                <w:noProof/>
                <w:webHidden/>
              </w:rPr>
              <w:fldChar w:fldCharType="separate"/>
            </w:r>
            <w:r w:rsidR="00BD638C">
              <w:rPr>
                <w:noProof/>
                <w:webHidden/>
              </w:rPr>
              <w:t>61</w:t>
            </w:r>
            <w:r w:rsidR="00E230DC">
              <w:rPr>
                <w:noProof/>
                <w:webHidden/>
              </w:rPr>
              <w:fldChar w:fldCharType="end"/>
            </w:r>
          </w:hyperlink>
        </w:p>
        <w:p w14:paraId="380BE059" w14:textId="5E51FD45" w:rsidR="00E230DC" w:rsidRDefault="008827C0">
          <w:pPr>
            <w:pStyle w:val="TOC2"/>
            <w:tabs>
              <w:tab w:val="right" w:leader="dot" w:pos="9016"/>
            </w:tabs>
            <w:rPr>
              <w:rFonts w:eastAsiaTheme="minorEastAsia" w:cstheme="minorBidi"/>
              <w:noProof/>
              <w:szCs w:val="22"/>
              <w:lang w:eastAsia="en-AU"/>
            </w:rPr>
          </w:pPr>
          <w:hyperlink w:anchor="_Toc10031927" w:history="1">
            <w:r w:rsidR="00E230DC" w:rsidRPr="001A064D">
              <w:rPr>
                <w:rStyle w:val="Hyperlink"/>
                <w:noProof/>
              </w:rPr>
              <w:t>Carnival Australia</w:t>
            </w:r>
            <w:r w:rsidR="00E230DC">
              <w:rPr>
                <w:noProof/>
                <w:webHidden/>
              </w:rPr>
              <w:tab/>
            </w:r>
            <w:r w:rsidR="00E230DC">
              <w:rPr>
                <w:noProof/>
                <w:webHidden/>
              </w:rPr>
              <w:fldChar w:fldCharType="begin"/>
            </w:r>
            <w:r w:rsidR="00E230DC">
              <w:rPr>
                <w:noProof/>
                <w:webHidden/>
              </w:rPr>
              <w:instrText xml:space="preserve"> PAGEREF _Toc10031927 \h </w:instrText>
            </w:r>
            <w:r w:rsidR="00E230DC">
              <w:rPr>
                <w:noProof/>
                <w:webHidden/>
              </w:rPr>
            </w:r>
            <w:r w:rsidR="00E230DC">
              <w:rPr>
                <w:noProof/>
                <w:webHidden/>
              </w:rPr>
              <w:fldChar w:fldCharType="separate"/>
            </w:r>
            <w:r w:rsidR="00BD638C">
              <w:rPr>
                <w:noProof/>
                <w:webHidden/>
              </w:rPr>
              <w:t>61</w:t>
            </w:r>
            <w:r w:rsidR="00E230DC">
              <w:rPr>
                <w:noProof/>
                <w:webHidden/>
              </w:rPr>
              <w:fldChar w:fldCharType="end"/>
            </w:r>
          </w:hyperlink>
        </w:p>
        <w:p w14:paraId="3AAA780B" w14:textId="3C5AB129" w:rsidR="00E230DC" w:rsidRDefault="008827C0">
          <w:pPr>
            <w:pStyle w:val="TOC2"/>
            <w:tabs>
              <w:tab w:val="right" w:leader="dot" w:pos="9016"/>
            </w:tabs>
            <w:rPr>
              <w:rFonts w:eastAsiaTheme="minorEastAsia" w:cstheme="minorBidi"/>
              <w:noProof/>
              <w:szCs w:val="22"/>
              <w:lang w:eastAsia="en-AU"/>
            </w:rPr>
          </w:pPr>
          <w:hyperlink w:anchor="_Toc10031928" w:history="1">
            <w:r w:rsidR="00E230DC" w:rsidRPr="001A064D">
              <w:rPr>
                <w:rStyle w:val="Hyperlink"/>
                <w:noProof/>
                <w:lang w:val="en-US"/>
              </w:rPr>
              <w:t>The Chamber of Minerals and Energy of WA</w:t>
            </w:r>
            <w:r w:rsidR="00E230DC">
              <w:rPr>
                <w:noProof/>
                <w:webHidden/>
              </w:rPr>
              <w:tab/>
            </w:r>
            <w:r w:rsidR="00E230DC">
              <w:rPr>
                <w:noProof/>
                <w:webHidden/>
              </w:rPr>
              <w:fldChar w:fldCharType="begin"/>
            </w:r>
            <w:r w:rsidR="00E230DC">
              <w:rPr>
                <w:noProof/>
                <w:webHidden/>
              </w:rPr>
              <w:instrText xml:space="preserve"> PAGEREF _Toc10031928 \h </w:instrText>
            </w:r>
            <w:r w:rsidR="00E230DC">
              <w:rPr>
                <w:noProof/>
                <w:webHidden/>
              </w:rPr>
            </w:r>
            <w:r w:rsidR="00E230DC">
              <w:rPr>
                <w:noProof/>
                <w:webHidden/>
              </w:rPr>
              <w:fldChar w:fldCharType="separate"/>
            </w:r>
            <w:r w:rsidR="00BD638C">
              <w:rPr>
                <w:noProof/>
                <w:webHidden/>
              </w:rPr>
              <w:t>61</w:t>
            </w:r>
            <w:r w:rsidR="00E230DC">
              <w:rPr>
                <w:noProof/>
                <w:webHidden/>
              </w:rPr>
              <w:fldChar w:fldCharType="end"/>
            </w:r>
          </w:hyperlink>
        </w:p>
        <w:p w14:paraId="38CC234D" w14:textId="2A79F366" w:rsidR="00E230DC" w:rsidRDefault="008827C0">
          <w:pPr>
            <w:pStyle w:val="TOC2"/>
            <w:tabs>
              <w:tab w:val="right" w:leader="dot" w:pos="9016"/>
            </w:tabs>
            <w:rPr>
              <w:rFonts w:eastAsiaTheme="minorEastAsia" w:cstheme="minorBidi"/>
              <w:noProof/>
              <w:szCs w:val="22"/>
              <w:lang w:eastAsia="en-AU"/>
            </w:rPr>
          </w:pPr>
          <w:hyperlink w:anchor="_Toc10031929" w:history="1">
            <w:r w:rsidR="00E230DC" w:rsidRPr="001A064D">
              <w:rPr>
                <w:rStyle w:val="Hyperlink"/>
                <w:noProof/>
              </w:rPr>
              <w:t>Australian Pork Ltd</w:t>
            </w:r>
            <w:r w:rsidR="00E230DC">
              <w:rPr>
                <w:noProof/>
                <w:webHidden/>
              </w:rPr>
              <w:tab/>
            </w:r>
            <w:r w:rsidR="00E230DC">
              <w:rPr>
                <w:noProof/>
                <w:webHidden/>
              </w:rPr>
              <w:fldChar w:fldCharType="begin"/>
            </w:r>
            <w:r w:rsidR="00E230DC">
              <w:rPr>
                <w:noProof/>
                <w:webHidden/>
              </w:rPr>
              <w:instrText xml:space="preserve"> PAGEREF _Toc10031929 \h </w:instrText>
            </w:r>
            <w:r w:rsidR="00E230DC">
              <w:rPr>
                <w:noProof/>
                <w:webHidden/>
              </w:rPr>
            </w:r>
            <w:r w:rsidR="00E230DC">
              <w:rPr>
                <w:noProof/>
                <w:webHidden/>
              </w:rPr>
              <w:fldChar w:fldCharType="separate"/>
            </w:r>
            <w:r w:rsidR="00BD638C">
              <w:rPr>
                <w:noProof/>
                <w:webHidden/>
              </w:rPr>
              <w:t>61</w:t>
            </w:r>
            <w:r w:rsidR="00E230DC">
              <w:rPr>
                <w:noProof/>
                <w:webHidden/>
              </w:rPr>
              <w:fldChar w:fldCharType="end"/>
            </w:r>
          </w:hyperlink>
        </w:p>
        <w:p w14:paraId="0A730AA1" w14:textId="50D3C547" w:rsidR="00E230DC" w:rsidRDefault="008827C0">
          <w:pPr>
            <w:pStyle w:val="TOC2"/>
            <w:tabs>
              <w:tab w:val="right" w:leader="dot" w:pos="9016"/>
            </w:tabs>
            <w:rPr>
              <w:rFonts w:eastAsiaTheme="minorEastAsia" w:cstheme="minorBidi"/>
              <w:noProof/>
              <w:szCs w:val="22"/>
              <w:lang w:eastAsia="en-AU"/>
            </w:rPr>
          </w:pPr>
          <w:hyperlink w:anchor="_Toc10031930" w:history="1">
            <w:r w:rsidR="00E230DC" w:rsidRPr="001A064D">
              <w:rPr>
                <w:rStyle w:val="Hyperlink"/>
                <w:noProof/>
              </w:rPr>
              <w:t>Cruise Lines International Association - Australasia</w:t>
            </w:r>
            <w:r w:rsidR="00E230DC">
              <w:rPr>
                <w:noProof/>
                <w:webHidden/>
              </w:rPr>
              <w:tab/>
            </w:r>
            <w:r w:rsidR="00E230DC">
              <w:rPr>
                <w:noProof/>
                <w:webHidden/>
              </w:rPr>
              <w:fldChar w:fldCharType="begin"/>
            </w:r>
            <w:r w:rsidR="00E230DC">
              <w:rPr>
                <w:noProof/>
                <w:webHidden/>
              </w:rPr>
              <w:instrText xml:space="preserve"> PAGEREF _Toc10031930 \h </w:instrText>
            </w:r>
            <w:r w:rsidR="00E230DC">
              <w:rPr>
                <w:noProof/>
                <w:webHidden/>
              </w:rPr>
            </w:r>
            <w:r w:rsidR="00E230DC">
              <w:rPr>
                <w:noProof/>
                <w:webHidden/>
              </w:rPr>
              <w:fldChar w:fldCharType="separate"/>
            </w:r>
            <w:r w:rsidR="00BD638C">
              <w:rPr>
                <w:noProof/>
                <w:webHidden/>
              </w:rPr>
              <w:t>61</w:t>
            </w:r>
            <w:r w:rsidR="00E230DC">
              <w:rPr>
                <w:noProof/>
                <w:webHidden/>
              </w:rPr>
              <w:fldChar w:fldCharType="end"/>
            </w:r>
          </w:hyperlink>
        </w:p>
        <w:p w14:paraId="7A6B8B2A" w14:textId="38067921" w:rsidR="00E230DC" w:rsidRDefault="008827C0">
          <w:pPr>
            <w:pStyle w:val="TOC2"/>
            <w:tabs>
              <w:tab w:val="right" w:leader="dot" w:pos="9016"/>
            </w:tabs>
            <w:rPr>
              <w:rFonts w:eastAsiaTheme="minorEastAsia" w:cstheme="minorBidi"/>
              <w:noProof/>
              <w:szCs w:val="22"/>
              <w:lang w:eastAsia="en-AU"/>
            </w:rPr>
          </w:pPr>
          <w:hyperlink w:anchor="_Toc10031931" w:history="1">
            <w:r w:rsidR="00E230DC" w:rsidRPr="001A064D">
              <w:rPr>
                <w:rStyle w:val="Hyperlink"/>
                <w:noProof/>
              </w:rPr>
              <w:t>Australian Aluminium Council</w:t>
            </w:r>
            <w:r w:rsidR="00E230DC">
              <w:rPr>
                <w:noProof/>
                <w:webHidden/>
              </w:rPr>
              <w:tab/>
            </w:r>
            <w:r w:rsidR="00E230DC">
              <w:rPr>
                <w:noProof/>
                <w:webHidden/>
              </w:rPr>
              <w:fldChar w:fldCharType="begin"/>
            </w:r>
            <w:r w:rsidR="00E230DC">
              <w:rPr>
                <w:noProof/>
                <w:webHidden/>
              </w:rPr>
              <w:instrText xml:space="preserve"> PAGEREF _Toc10031931 \h </w:instrText>
            </w:r>
            <w:r w:rsidR="00E230DC">
              <w:rPr>
                <w:noProof/>
                <w:webHidden/>
              </w:rPr>
            </w:r>
            <w:r w:rsidR="00E230DC">
              <w:rPr>
                <w:noProof/>
                <w:webHidden/>
              </w:rPr>
              <w:fldChar w:fldCharType="separate"/>
            </w:r>
            <w:r w:rsidR="00BD638C">
              <w:rPr>
                <w:noProof/>
                <w:webHidden/>
              </w:rPr>
              <w:t>61</w:t>
            </w:r>
            <w:r w:rsidR="00E230DC">
              <w:rPr>
                <w:noProof/>
                <w:webHidden/>
              </w:rPr>
              <w:fldChar w:fldCharType="end"/>
            </w:r>
          </w:hyperlink>
        </w:p>
        <w:p w14:paraId="0AC6D1CF" w14:textId="1F046424" w:rsidR="00E230DC" w:rsidRDefault="008827C0">
          <w:pPr>
            <w:pStyle w:val="TOC2"/>
            <w:tabs>
              <w:tab w:val="right" w:leader="dot" w:pos="9016"/>
            </w:tabs>
            <w:rPr>
              <w:rFonts w:eastAsiaTheme="minorEastAsia" w:cstheme="minorBidi"/>
              <w:noProof/>
              <w:szCs w:val="22"/>
              <w:lang w:eastAsia="en-AU"/>
            </w:rPr>
          </w:pPr>
          <w:hyperlink w:anchor="_Toc10031932" w:history="1">
            <w:r w:rsidR="00E230DC" w:rsidRPr="001A064D">
              <w:rPr>
                <w:rStyle w:val="Hyperlink"/>
                <w:noProof/>
              </w:rPr>
              <w:t>Glencore</w:t>
            </w:r>
            <w:r w:rsidR="00E230DC">
              <w:rPr>
                <w:noProof/>
                <w:webHidden/>
              </w:rPr>
              <w:tab/>
            </w:r>
            <w:r w:rsidR="00E230DC">
              <w:rPr>
                <w:noProof/>
                <w:webHidden/>
              </w:rPr>
              <w:fldChar w:fldCharType="begin"/>
            </w:r>
            <w:r w:rsidR="00E230DC">
              <w:rPr>
                <w:noProof/>
                <w:webHidden/>
              </w:rPr>
              <w:instrText xml:space="preserve"> PAGEREF _Toc10031932 \h </w:instrText>
            </w:r>
            <w:r w:rsidR="00E230DC">
              <w:rPr>
                <w:noProof/>
                <w:webHidden/>
              </w:rPr>
            </w:r>
            <w:r w:rsidR="00E230DC">
              <w:rPr>
                <w:noProof/>
                <w:webHidden/>
              </w:rPr>
              <w:fldChar w:fldCharType="separate"/>
            </w:r>
            <w:r w:rsidR="00BD638C">
              <w:rPr>
                <w:noProof/>
                <w:webHidden/>
              </w:rPr>
              <w:t>62</w:t>
            </w:r>
            <w:r w:rsidR="00E230DC">
              <w:rPr>
                <w:noProof/>
                <w:webHidden/>
              </w:rPr>
              <w:fldChar w:fldCharType="end"/>
            </w:r>
          </w:hyperlink>
        </w:p>
        <w:p w14:paraId="086B95F2" w14:textId="557CCA65" w:rsidR="00E230DC" w:rsidRDefault="008827C0">
          <w:pPr>
            <w:pStyle w:val="TOC2"/>
            <w:tabs>
              <w:tab w:val="right" w:leader="dot" w:pos="9016"/>
            </w:tabs>
            <w:rPr>
              <w:rFonts w:eastAsiaTheme="minorEastAsia" w:cstheme="minorBidi"/>
              <w:noProof/>
              <w:szCs w:val="22"/>
              <w:lang w:eastAsia="en-AU"/>
            </w:rPr>
          </w:pPr>
          <w:hyperlink w:anchor="_Toc10031933" w:history="1">
            <w:r w:rsidR="00E230DC" w:rsidRPr="001A064D">
              <w:rPr>
                <w:rStyle w:val="Hyperlink"/>
                <w:noProof/>
              </w:rPr>
              <w:t>Fertilizer Australia</w:t>
            </w:r>
            <w:r w:rsidR="00E230DC">
              <w:rPr>
                <w:noProof/>
                <w:webHidden/>
              </w:rPr>
              <w:tab/>
            </w:r>
            <w:r w:rsidR="00E230DC">
              <w:rPr>
                <w:noProof/>
                <w:webHidden/>
              </w:rPr>
              <w:fldChar w:fldCharType="begin"/>
            </w:r>
            <w:r w:rsidR="00E230DC">
              <w:rPr>
                <w:noProof/>
                <w:webHidden/>
              </w:rPr>
              <w:instrText xml:space="preserve"> PAGEREF _Toc10031933 \h </w:instrText>
            </w:r>
            <w:r w:rsidR="00E230DC">
              <w:rPr>
                <w:noProof/>
                <w:webHidden/>
              </w:rPr>
            </w:r>
            <w:r w:rsidR="00E230DC">
              <w:rPr>
                <w:noProof/>
                <w:webHidden/>
              </w:rPr>
              <w:fldChar w:fldCharType="separate"/>
            </w:r>
            <w:r w:rsidR="00BD638C">
              <w:rPr>
                <w:noProof/>
                <w:webHidden/>
              </w:rPr>
              <w:t>62</w:t>
            </w:r>
            <w:r w:rsidR="00E230DC">
              <w:rPr>
                <w:noProof/>
                <w:webHidden/>
              </w:rPr>
              <w:fldChar w:fldCharType="end"/>
            </w:r>
          </w:hyperlink>
        </w:p>
        <w:p w14:paraId="22640AAE" w14:textId="119C9B69" w:rsidR="00E230DC" w:rsidRDefault="008827C0">
          <w:pPr>
            <w:pStyle w:val="TOC1"/>
            <w:tabs>
              <w:tab w:val="right" w:leader="dot" w:pos="9016"/>
            </w:tabs>
            <w:rPr>
              <w:rFonts w:eastAsiaTheme="minorEastAsia" w:cstheme="minorBidi"/>
              <w:noProof/>
              <w:szCs w:val="22"/>
              <w:lang w:eastAsia="en-AU"/>
            </w:rPr>
          </w:pPr>
          <w:hyperlink w:anchor="_Toc10031934" w:history="1">
            <w:r w:rsidR="00E230DC" w:rsidRPr="001A064D">
              <w:rPr>
                <w:rStyle w:val="Hyperlink"/>
                <w:noProof/>
              </w:rPr>
              <w:t>Appendix 6: Summary of Alternative Options Considered by the Committee</w:t>
            </w:r>
            <w:r w:rsidR="00E230DC">
              <w:rPr>
                <w:noProof/>
                <w:webHidden/>
              </w:rPr>
              <w:tab/>
            </w:r>
            <w:r w:rsidR="00E230DC">
              <w:rPr>
                <w:noProof/>
                <w:webHidden/>
              </w:rPr>
              <w:fldChar w:fldCharType="begin"/>
            </w:r>
            <w:r w:rsidR="00E230DC">
              <w:rPr>
                <w:noProof/>
                <w:webHidden/>
              </w:rPr>
              <w:instrText xml:space="preserve"> PAGEREF _Toc10031934 \h </w:instrText>
            </w:r>
            <w:r w:rsidR="00E230DC">
              <w:rPr>
                <w:noProof/>
                <w:webHidden/>
              </w:rPr>
            </w:r>
            <w:r w:rsidR="00E230DC">
              <w:rPr>
                <w:noProof/>
                <w:webHidden/>
              </w:rPr>
              <w:fldChar w:fldCharType="separate"/>
            </w:r>
            <w:r w:rsidR="00BD638C">
              <w:rPr>
                <w:noProof/>
                <w:webHidden/>
              </w:rPr>
              <w:t>63</w:t>
            </w:r>
            <w:r w:rsidR="00E230DC">
              <w:rPr>
                <w:noProof/>
                <w:webHidden/>
              </w:rPr>
              <w:fldChar w:fldCharType="end"/>
            </w:r>
          </w:hyperlink>
        </w:p>
        <w:p w14:paraId="65608746" w14:textId="7ABC65C4" w:rsidR="00DA3FF1" w:rsidRDefault="00DA3FF1">
          <w:r>
            <w:rPr>
              <w:b/>
              <w:bCs/>
              <w:noProof/>
            </w:rPr>
            <w:fldChar w:fldCharType="end"/>
          </w:r>
        </w:p>
      </w:sdtContent>
    </w:sdt>
    <w:p w14:paraId="002E0101" w14:textId="42FABDF2" w:rsidR="00B041E2" w:rsidRDefault="00DA3FF1">
      <w:pPr>
        <w:pStyle w:val="TableofFigures"/>
        <w:tabs>
          <w:tab w:val="right" w:leader="dot" w:pos="9016"/>
        </w:tabs>
        <w:rPr>
          <w:rFonts w:eastAsiaTheme="minorEastAsia" w:cstheme="minorBidi"/>
          <w:noProof/>
          <w:szCs w:val="22"/>
          <w:lang w:eastAsia="en-AU"/>
        </w:rPr>
      </w:pPr>
      <w:r>
        <w:fldChar w:fldCharType="begin"/>
      </w:r>
      <w:r>
        <w:instrText xml:space="preserve"> TOC \h \z \c "Table" </w:instrText>
      </w:r>
      <w:r>
        <w:fldChar w:fldCharType="separate"/>
      </w:r>
      <w:hyperlink w:anchor="_Toc10031672" w:history="1">
        <w:r w:rsidR="00B041E2" w:rsidRPr="009B6F1F">
          <w:rPr>
            <w:rStyle w:val="Hyperlink"/>
            <w:rFonts w:eastAsiaTheme="majorEastAsia"/>
            <w:noProof/>
          </w:rPr>
          <w:t>Table 1: Biosecurity Imports Levy Base and Rates</w:t>
        </w:r>
        <w:r w:rsidR="00B041E2">
          <w:rPr>
            <w:noProof/>
            <w:webHidden/>
          </w:rPr>
          <w:tab/>
        </w:r>
        <w:r w:rsidR="00B041E2">
          <w:rPr>
            <w:noProof/>
            <w:webHidden/>
          </w:rPr>
          <w:fldChar w:fldCharType="begin"/>
        </w:r>
        <w:r w:rsidR="00B041E2">
          <w:rPr>
            <w:noProof/>
            <w:webHidden/>
          </w:rPr>
          <w:instrText xml:space="preserve"> PAGEREF _Toc10031672 \h </w:instrText>
        </w:r>
        <w:r w:rsidR="00B041E2">
          <w:rPr>
            <w:noProof/>
            <w:webHidden/>
          </w:rPr>
        </w:r>
        <w:r w:rsidR="00B041E2">
          <w:rPr>
            <w:noProof/>
            <w:webHidden/>
          </w:rPr>
          <w:fldChar w:fldCharType="separate"/>
        </w:r>
        <w:r w:rsidR="00BD638C">
          <w:rPr>
            <w:noProof/>
            <w:webHidden/>
          </w:rPr>
          <w:t>7</w:t>
        </w:r>
        <w:r w:rsidR="00B041E2">
          <w:rPr>
            <w:noProof/>
            <w:webHidden/>
          </w:rPr>
          <w:fldChar w:fldCharType="end"/>
        </w:r>
      </w:hyperlink>
    </w:p>
    <w:p w14:paraId="7FE934D0" w14:textId="7F0F9C43" w:rsidR="00B041E2" w:rsidRDefault="008827C0">
      <w:pPr>
        <w:pStyle w:val="TableofFigures"/>
        <w:tabs>
          <w:tab w:val="right" w:leader="dot" w:pos="9016"/>
        </w:tabs>
        <w:rPr>
          <w:rFonts w:eastAsiaTheme="minorEastAsia" w:cstheme="minorBidi"/>
          <w:noProof/>
          <w:szCs w:val="22"/>
          <w:lang w:eastAsia="en-AU"/>
        </w:rPr>
      </w:pPr>
      <w:hyperlink w:anchor="_Toc10031673" w:history="1">
        <w:r w:rsidR="00B041E2" w:rsidRPr="009B6F1F">
          <w:rPr>
            <w:rStyle w:val="Hyperlink"/>
            <w:rFonts w:eastAsiaTheme="majorEastAsia"/>
            <w:noProof/>
          </w:rPr>
          <w:t>Table 2: Sources of Commonwealth Government Funding and Total Funding for Biosecurity – 2011-12 to 2019-20 (nominal $ million)</w:t>
        </w:r>
        <w:r w:rsidR="00B041E2">
          <w:rPr>
            <w:noProof/>
            <w:webHidden/>
          </w:rPr>
          <w:tab/>
        </w:r>
        <w:r w:rsidR="00B041E2">
          <w:rPr>
            <w:noProof/>
            <w:webHidden/>
          </w:rPr>
          <w:fldChar w:fldCharType="begin"/>
        </w:r>
        <w:r w:rsidR="00B041E2">
          <w:rPr>
            <w:noProof/>
            <w:webHidden/>
          </w:rPr>
          <w:instrText xml:space="preserve"> PAGEREF _Toc10031673 \h </w:instrText>
        </w:r>
        <w:r w:rsidR="00B041E2">
          <w:rPr>
            <w:noProof/>
            <w:webHidden/>
          </w:rPr>
        </w:r>
        <w:r w:rsidR="00B041E2">
          <w:rPr>
            <w:noProof/>
            <w:webHidden/>
          </w:rPr>
          <w:fldChar w:fldCharType="separate"/>
        </w:r>
        <w:r w:rsidR="00BD638C">
          <w:rPr>
            <w:noProof/>
            <w:webHidden/>
          </w:rPr>
          <w:t>11</w:t>
        </w:r>
        <w:r w:rsidR="00B041E2">
          <w:rPr>
            <w:noProof/>
            <w:webHidden/>
          </w:rPr>
          <w:fldChar w:fldCharType="end"/>
        </w:r>
      </w:hyperlink>
    </w:p>
    <w:p w14:paraId="309C0B46" w14:textId="0BF97DC8" w:rsidR="00B041E2" w:rsidRDefault="008827C0">
      <w:pPr>
        <w:pStyle w:val="TableofFigures"/>
        <w:tabs>
          <w:tab w:val="right" w:leader="dot" w:pos="9016"/>
        </w:tabs>
        <w:rPr>
          <w:rFonts w:eastAsiaTheme="minorEastAsia" w:cstheme="minorBidi"/>
          <w:noProof/>
          <w:szCs w:val="22"/>
          <w:lang w:eastAsia="en-AU"/>
        </w:rPr>
      </w:pPr>
      <w:hyperlink w:anchor="_Toc10031674" w:history="1">
        <w:r w:rsidR="00B041E2" w:rsidRPr="009B6F1F">
          <w:rPr>
            <w:rStyle w:val="Hyperlink"/>
            <w:rFonts w:eastAsiaTheme="majorEastAsia"/>
            <w:noProof/>
          </w:rPr>
          <w:t>Table 3: Sources of Commonwealth Government Funding and Total Funding for Biosecurity – 2011-12 to 2019-20 (real 2011-12 dollar $ million)</w:t>
        </w:r>
        <w:r w:rsidR="00B041E2">
          <w:rPr>
            <w:noProof/>
            <w:webHidden/>
          </w:rPr>
          <w:tab/>
        </w:r>
        <w:r w:rsidR="00B041E2">
          <w:rPr>
            <w:noProof/>
            <w:webHidden/>
          </w:rPr>
          <w:fldChar w:fldCharType="begin"/>
        </w:r>
        <w:r w:rsidR="00B041E2">
          <w:rPr>
            <w:noProof/>
            <w:webHidden/>
          </w:rPr>
          <w:instrText xml:space="preserve"> PAGEREF _Toc10031674 \h </w:instrText>
        </w:r>
        <w:r w:rsidR="00B041E2">
          <w:rPr>
            <w:noProof/>
            <w:webHidden/>
          </w:rPr>
        </w:r>
        <w:r w:rsidR="00B041E2">
          <w:rPr>
            <w:noProof/>
            <w:webHidden/>
          </w:rPr>
          <w:fldChar w:fldCharType="separate"/>
        </w:r>
        <w:r w:rsidR="00BD638C">
          <w:rPr>
            <w:noProof/>
            <w:webHidden/>
          </w:rPr>
          <w:t>11</w:t>
        </w:r>
        <w:r w:rsidR="00B041E2">
          <w:rPr>
            <w:noProof/>
            <w:webHidden/>
          </w:rPr>
          <w:fldChar w:fldCharType="end"/>
        </w:r>
      </w:hyperlink>
    </w:p>
    <w:p w14:paraId="6D693A18" w14:textId="291E7858" w:rsidR="00B041E2" w:rsidRDefault="008827C0">
      <w:pPr>
        <w:pStyle w:val="TableofFigures"/>
        <w:tabs>
          <w:tab w:val="right" w:leader="dot" w:pos="9016"/>
        </w:tabs>
        <w:rPr>
          <w:rFonts w:eastAsiaTheme="minorEastAsia" w:cstheme="minorBidi"/>
          <w:noProof/>
          <w:szCs w:val="22"/>
          <w:lang w:eastAsia="en-AU"/>
        </w:rPr>
      </w:pPr>
      <w:hyperlink w:anchor="_Toc10031675" w:history="1">
        <w:r w:rsidR="00B041E2" w:rsidRPr="009B6F1F">
          <w:rPr>
            <w:rStyle w:val="Hyperlink"/>
            <w:rFonts w:eastAsiaTheme="majorEastAsia"/>
            <w:noProof/>
          </w:rPr>
          <w:t>Table 4: Numbers of Full Import Declarations, 2018</w:t>
        </w:r>
        <w:r w:rsidR="00B041E2">
          <w:rPr>
            <w:noProof/>
            <w:webHidden/>
          </w:rPr>
          <w:tab/>
        </w:r>
        <w:r w:rsidR="00B041E2">
          <w:rPr>
            <w:noProof/>
            <w:webHidden/>
          </w:rPr>
          <w:fldChar w:fldCharType="begin"/>
        </w:r>
        <w:r w:rsidR="00B041E2">
          <w:rPr>
            <w:noProof/>
            <w:webHidden/>
          </w:rPr>
          <w:instrText xml:space="preserve"> PAGEREF _Toc10031675 \h </w:instrText>
        </w:r>
        <w:r w:rsidR="00B041E2">
          <w:rPr>
            <w:noProof/>
            <w:webHidden/>
          </w:rPr>
        </w:r>
        <w:r w:rsidR="00B041E2">
          <w:rPr>
            <w:noProof/>
            <w:webHidden/>
          </w:rPr>
          <w:fldChar w:fldCharType="separate"/>
        </w:r>
        <w:r w:rsidR="00BD638C">
          <w:rPr>
            <w:noProof/>
            <w:webHidden/>
          </w:rPr>
          <w:t>26</w:t>
        </w:r>
        <w:r w:rsidR="00B041E2">
          <w:rPr>
            <w:noProof/>
            <w:webHidden/>
          </w:rPr>
          <w:fldChar w:fldCharType="end"/>
        </w:r>
      </w:hyperlink>
    </w:p>
    <w:p w14:paraId="78E6975D" w14:textId="20CBD041" w:rsidR="00B041E2" w:rsidRDefault="008827C0">
      <w:pPr>
        <w:pStyle w:val="TableofFigures"/>
        <w:tabs>
          <w:tab w:val="right" w:leader="dot" w:pos="9016"/>
        </w:tabs>
        <w:rPr>
          <w:rFonts w:eastAsiaTheme="minorEastAsia" w:cstheme="minorBidi"/>
          <w:noProof/>
          <w:szCs w:val="22"/>
          <w:lang w:eastAsia="en-AU"/>
        </w:rPr>
      </w:pPr>
      <w:hyperlink w:anchor="_Toc10031676" w:history="1">
        <w:r w:rsidR="00B041E2" w:rsidRPr="009B6F1F">
          <w:rPr>
            <w:rStyle w:val="Hyperlink"/>
            <w:rFonts w:eastAsiaTheme="majorEastAsia"/>
            <w:noProof/>
          </w:rPr>
          <w:t>Table 5: Departmental Identification of Exotic Pests and Diseases, 2009-2013</w:t>
        </w:r>
        <w:r w:rsidR="00B041E2">
          <w:rPr>
            <w:noProof/>
            <w:webHidden/>
          </w:rPr>
          <w:tab/>
        </w:r>
        <w:r w:rsidR="00B041E2">
          <w:rPr>
            <w:noProof/>
            <w:webHidden/>
          </w:rPr>
          <w:fldChar w:fldCharType="begin"/>
        </w:r>
        <w:r w:rsidR="00B041E2">
          <w:rPr>
            <w:noProof/>
            <w:webHidden/>
          </w:rPr>
          <w:instrText xml:space="preserve"> PAGEREF _Toc10031676 \h </w:instrText>
        </w:r>
        <w:r w:rsidR="00B041E2">
          <w:rPr>
            <w:noProof/>
            <w:webHidden/>
          </w:rPr>
        </w:r>
        <w:r w:rsidR="00B041E2">
          <w:rPr>
            <w:noProof/>
            <w:webHidden/>
          </w:rPr>
          <w:fldChar w:fldCharType="separate"/>
        </w:r>
        <w:r w:rsidR="00BD638C">
          <w:rPr>
            <w:noProof/>
            <w:webHidden/>
          </w:rPr>
          <w:t>30</w:t>
        </w:r>
        <w:r w:rsidR="00B041E2">
          <w:rPr>
            <w:noProof/>
            <w:webHidden/>
          </w:rPr>
          <w:fldChar w:fldCharType="end"/>
        </w:r>
      </w:hyperlink>
    </w:p>
    <w:p w14:paraId="4149B34F" w14:textId="2F76E252" w:rsidR="00B041E2" w:rsidRDefault="008827C0">
      <w:pPr>
        <w:pStyle w:val="TableofFigures"/>
        <w:tabs>
          <w:tab w:val="right" w:leader="dot" w:pos="9016"/>
        </w:tabs>
        <w:rPr>
          <w:rFonts w:eastAsiaTheme="minorEastAsia" w:cstheme="minorBidi"/>
          <w:noProof/>
          <w:szCs w:val="22"/>
          <w:lang w:eastAsia="en-AU"/>
        </w:rPr>
      </w:pPr>
      <w:hyperlink w:anchor="_Toc10031677" w:history="1">
        <w:r w:rsidR="00B041E2" w:rsidRPr="009B6F1F">
          <w:rPr>
            <w:rStyle w:val="Hyperlink"/>
            <w:rFonts w:eastAsiaTheme="majorEastAsia"/>
            <w:noProof/>
          </w:rPr>
          <w:t>Table 6: Beneficiaries and Risk Exacerbators of Biosecurity</w:t>
        </w:r>
        <w:r w:rsidR="00B041E2">
          <w:rPr>
            <w:noProof/>
            <w:webHidden/>
          </w:rPr>
          <w:tab/>
        </w:r>
        <w:r w:rsidR="00B041E2">
          <w:rPr>
            <w:noProof/>
            <w:webHidden/>
          </w:rPr>
          <w:fldChar w:fldCharType="begin"/>
        </w:r>
        <w:r w:rsidR="00B041E2">
          <w:rPr>
            <w:noProof/>
            <w:webHidden/>
          </w:rPr>
          <w:instrText xml:space="preserve"> PAGEREF _Toc10031677 \h </w:instrText>
        </w:r>
        <w:r w:rsidR="00B041E2">
          <w:rPr>
            <w:noProof/>
            <w:webHidden/>
          </w:rPr>
        </w:r>
        <w:r w:rsidR="00B041E2">
          <w:rPr>
            <w:noProof/>
            <w:webHidden/>
          </w:rPr>
          <w:fldChar w:fldCharType="separate"/>
        </w:r>
        <w:r w:rsidR="00BD638C">
          <w:rPr>
            <w:noProof/>
            <w:webHidden/>
          </w:rPr>
          <w:t>57</w:t>
        </w:r>
        <w:r w:rsidR="00B041E2">
          <w:rPr>
            <w:noProof/>
            <w:webHidden/>
          </w:rPr>
          <w:fldChar w:fldCharType="end"/>
        </w:r>
      </w:hyperlink>
    </w:p>
    <w:p w14:paraId="4370C686" w14:textId="56061705" w:rsidR="00B041E2" w:rsidRDefault="008827C0">
      <w:pPr>
        <w:pStyle w:val="TableofFigures"/>
        <w:tabs>
          <w:tab w:val="right" w:leader="dot" w:pos="9016"/>
        </w:tabs>
        <w:rPr>
          <w:rFonts w:eastAsiaTheme="minorEastAsia" w:cstheme="minorBidi"/>
          <w:noProof/>
          <w:szCs w:val="22"/>
          <w:lang w:eastAsia="en-AU"/>
        </w:rPr>
      </w:pPr>
      <w:hyperlink w:anchor="_Toc10031678" w:history="1">
        <w:r w:rsidR="00B041E2" w:rsidRPr="009B6F1F">
          <w:rPr>
            <w:rStyle w:val="Hyperlink"/>
            <w:rFonts w:eastAsiaTheme="majorEastAsia"/>
            <w:noProof/>
          </w:rPr>
          <w:t>Table 7: Summary of Options Considered by the Committee</w:t>
        </w:r>
        <w:r w:rsidR="00B041E2">
          <w:rPr>
            <w:noProof/>
            <w:webHidden/>
          </w:rPr>
          <w:tab/>
        </w:r>
        <w:r w:rsidR="00B041E2">
          <w:rPr>
            <w:noProof/>
            <w:webHidden/>
          </w:rPr>
          <w:fldChar w:fldCharType="begin"/>
        </w:r>
        <w:r w:rsidR="00B041E2">
          <w:rPr>
            <w:noProof/>
            <w:webHidden/>
          </w:rPr>
          <w:instrText xml:space="preserve"> PAGEREF _Toc10031678 \h </w:instrText>
        </w:r>
        <w:r w:rsidR="00B041E2">
          <w:rPr>
            <w:noProof/>
            <w:webHidden/>
          </w:rPr>
        </w:r>
        <w:r w:rsidR="00B041E2">
          <w:rPr>
            <w:noProof/>
            <w:webHidden/>
          </w:rPr>
          <w:fldChar w:fldCharType="separate"/>
        </w:r>
        <w:r w:rsidR="00BD638C">
          <w:rPr>
            <w:noProof/>
            <w:webHidden/>
          </w:rPr>
          <w:t>64</w:t>
        </w:r>
        <w:r w:rsidR="00B041E2">
          <w:rPr>
            <w:noProof/>
            <w:webHidden/>
          </w:rPr>
          <w:fldChar w:fldCharType="end"/>
        </w:r>
      </w:hyperlink>
    </w:p>
    <w:p w14:paraId="7C6771DA" w14:textId="61010BC9" w:rsidR="009641C2" w:rsidRDefault="00DA3FF1">
      <w:pPr>
        <w:spacing w:before="0" w:after="160" w:line="259" w:lineRule="auto"/>
      </w:pPr>
      <w:r>
        <w:fldChar w:fldCharType="end"/>
      </w:r>
      <w:r w:rsidR="009641C2">
        <w:br w:type="page"/>
      </w:r>
    </w:p>
    <w:p w14:paraId="058C433F" w14:textId="7EF22BD2" w:rsidR="00CF4D1E" w:rsidRDefault="009641C2" w:rsidP="009641C2">
      <w:pPr>
        <w:pStyle w:val="Heading1"/>
      </w:pPr>
      <w:bookmarkStart w:id="2" w:name="_Toc10031874"/>
      <w:r>
        <w:t>Executive Summary</w:t>
      </w:r>
      <w:bookmarkEnd w:id="2"/>
    </w:p>
    <w:p w14:paraId="52A43933" w14:textId="77777777" w:rsidR="004D0F57" w:rsidRPr="00161F8F" w:rsidRDefault="004D0F57" w:rsidP="004D0F57">
      <w:pPr>
        <w:pStyle w:val="Heading5"/>
      </w:pPr>
      <w:r w:rsidRPr="00161F8F">
        <w:t>Biosecurity Levy Steering Committee</w:t>
      </w:r>
      <w:r>
        <w:t xml:space="preserve"> Appointed to Help Design</w:t>
      </w:r>
      <w:r w:rsidRPr="00161F8F">
        <w:t xml:space="preserve"> Biosecurity Imports Levy</w:t>
      </w:r>
    </w:p>
    <w:p w14:paraId="013347FA" w14:textId="4710D420" w:rsidR="004D0F57" w:rsidRDefault="004D0F57" w:rsidP="004D0F57">
      <w:r>
        <w:t>On 5 March 2019, the</w:t>
      </w:r>
      <w:r w:rsidR="006E1366">
        <w:t xml:space="preserve"> </w:t>
      </w:r>
      <w:r w:rsidR="00F31A7F">
        <w:t>then</w:t>
      </w:r>
      <w:r>
        <w:t xml:space="preserve"> Minister for Agriculture and Water Resources appointed a Biosecurity Levy Steering Committee </w:t>
      </w:r>
      <w:r w:rsidRPr="00E15D74">
        <w:t xml:space="preserve">to make recommendations on the design and implementation of </w:t>
      </w:r>
      <w:r>
        <w:t>the Biosecurity Imports Levy. This followed widespread concerns about the design and intent of the levy, which was announced as part of the 2018-19 Budget.</w:t>
      </w:r>
    </w:p>
    <w:p w14:paraId="25C2DFB3" w14:textId="2373D9BB" w:rsidR="004D0F57" w:rsidRDefault="004D0F57" w:rsidP="004D0F57">
      <w:pPr>
        <w:rPr>
          <w:rFonts w:cs="Cambria"/>
          <w:color w:val="000000"/>
        </w:rPr>
      </w:pPr>
      <w:r>
        <w:t>The concept</w:t>
      </w:r>
      <w:r w:rsidR="003E66D6">
        <w:t xml:space="preserve"> of a Biosecurity Imports Levy</w:t>
      </w:r>
      <w:r>
        <w:t xml:space="preserve">, was recommended by the 2017 Review into the Intergovernmental Agreement on Biosecurity as a means of </w:t>
      </w:r>
      <w:r>
        <w:rPr>
          <w:rFonts w:cs="Cambria"/>
          <w:color w:val="000000"/>
        </w:rPr>
        <w:t xml:space="preserve">strengthening </w:t>
      </w:r>
      <w:r w:rsidR="003E66D6">
        <w:rPr>
          <w:rFonts w:cs="Cambria"/>
          <w:color w:val="000000"/>
        </w:rPr>
        <w:t xml:space="preserve">the national biosecurity system. </w:t>
      </w:r>
      <w:r>
        <w:rPr>
          <w:rFonts w:cs="Cambria"/>
          <w:color w:val="000000"/>
        </w:rPr>
        <w:t>However, the Review did not apportion risk across different entry pathways.</w:t>
      </w:r>
    </w:p>
    <w:p w14:paraId="75DB3880" w14:textId="29E7E14A" w:rsidR="004D0F57" w:rsidRPr="007E02CE" w:rsidRDefault="002E4920" w:rsidP="004D0F57">
      <w:pPr>
        <w:pStyle w:val="Heading5"/>
      </w:pPr>
      <w:r>
        <w:t xml:space="preserve">The Levy Should be Simple and Fair, and Relate to Biosecurity Risk </w:t>
      </w:r>
    </w:p>
    <w:p w14:paraId="62BFD039" w14:textId="13A86B40" w:rsidR="004D0F57" w:rsidRDefault="004D0F57" w:rsidP="004D0F57">
      <w:r>
        <w:t xml:space="preserve">The Committee endorses sentiments expressed by the Government in proposing the </w:t>
      </w:r>
      <w:r w:rsidR="002E4920">
        <w:t>levy that</w:t>
      </w:r>
      <w:r>
        <w:t xml:space="preserve"> risk creators and exacerbators shou</w:t>
      </w:r>
      <w:r w:rsidR="002E4920">
        <w:t xml:space="preserve">ld </w:t>
      </w:r>
      <w:r w:rsidR="003E66D6">
        <w:t xml:space="preserve">contribute to paying </w:t>
      </w:r>
      <w:r w:rsidR="002E4920">
        <w:t xml:space="preserve">for biosecurity services. </w:t>
      </w:r>
      <w:r>
        <w:t>Applying this thinking requires a detailed assessment of the risk attached to the importation of goods and vessels.</w:t>
      </w:r>
    </w:p>
    <w:p w14:paraId="73A3F5F8" w14:textId="37C766FB" w:rsidR="004D0F57" w:rsidRPr="007E02CE" w:rsidRDefault="004D0F57" w:rsidP="004D0F57">
      <w:pPr>
        <w:pStyle w:val="Heading5"/>
      </w:pPr>
      <w:r>
        <w:t>It is Vital that Assurances be Provided that Levy Revenue will be Allocated for Biosecurity</w:t>
      </w:r>
      <w:r w:rsidR="00F50BA3">
        <w:t xml:space="preserve"> …</w:t>
      </w:r>
    </w:p>
    <w:p w14:paraId="74200E12" w14:textId="1B99AD6A" w:rsidR="004D0F57" w:rsidRDefault="003E66D6" w:rsidP="004D0F57">
      <w:r>
        <w:t>S</w:t>
      </w:r>
      <w:r w:rsidR="004D0F57">
        <w:t xml:space="preserve">ubmissions to the Committee expressed concern that revenue generated through the levy may not be </w:t>
      </w:r>
      <w:r>
        <w:t>allocated fully</w:t>
      </w:r>
      <w:r w:rsidR="004D0F57">
        <w:t xml:space="preserve"> for biosecurity</w:t>
      </w:r>
      <w:r w:rsidR="0065560D">
        <w:t xml:space="preserve"> purposes</w:t>
      </w:r>
      <w:r w:rsidR="004D0F57">
        <w:t xml:space="preserve">. The Committee considers it is vital for the legitimacy of the levy, and consistent with the concept of “shared responsibility”, that the Government </w:t>
      </w:r>
      <w:r>
        <w:t>provides</w:t>
      </w:r>
      <w:r w:rsidR="004D0F57">
        <w:t xml:space="preserve"> a clear relationship between </w:t>
      </w:r>
      <w:r>
        <w:t xml:space="preserve">the </w:t>
      </w:r>
      <w:r w:rsidR="004D0F57">
        <w:t>revenue raised and the application of funds to biosecurity activities.</w:t>
      </w:r>
    </w:p>
    <w:p w14:paraId="0CC8C6CC" w14:textId="5B71C0AA" w:rsidR="004D0F57" w:rsidRPr="007E02CE" w:rsidRDefault="00F50BA3" w:rsidP="004D0F57">
      <w:pPr>
        <w:pStyle w:val="Heading5"/>
      </w:pPr>
      <w:r>
        <w:t xml:space="preserve">… </w:t>
      </w:r>
      <w:r w:rsidR="004D0F57">
        <w:t>With the Experience of the Passenger Movement Charge Highlighting Industry Concerns</w:t>
      </w:r>
      <w:r>
        <w:t xml:space="preserve"> …</w:t>
      </w:r>
    </w:p>
    <w:p w14:paraId="0D7F3623" w14:textId="680C716B" w:rsidR="004D0F57" w:rsidRDefault="004D0F57" w:rsidP="004D0F57">
      <w:r>
        <w:t>The Passenger Movement Charge</w:t>
      </w:r>
      <w:r w:rsidRPr="00E940DC">
        <w:t xml:space="preserve">, now $60, </w:t>
      </w:r>
      <w:r>
        <w:t xml:space="preserve">is </w:t>
      </w:r>
      <w:r w:rsidRPr="00E940DC">
        <w:t>levied on departing passenger</w:t>
      </w:r>
      <w:r>
        <w:t>s</w:t>
      </w:r>
      <w:r w:rsidRPr="00E940DC">
        <w:t xml:space="preserve"> (sea and air)</w:t>
      </w:r>
      <w:r>
        <w:t>. An $8 increase in 2001-02 and part of a $2 increase in the 1994 Budget were explicitly justified at the time for biosecurity purposes. This connection has since been lost, with the Passenger Movement Charge now seen as “just another tax”. Many businesses, and the Committee itself, are concerned that a similar fate might befall a biosecurity imports levy if safeguards are not imposed.</w:t>
      </w:r>
    </w:p>
    <w:p w14:paraId="644C8EC4" w14:textId="77777777" w:rsidR="004D0F57" w:rsidRDefault="004D0F57" w:rsidP="004D0F57">
      <w:r>
        <w:t>The Committee’s recommendation is for this more-than-$8 Passenger Movement Charge</w:t>
      </w:r>
      <w:r w:rsidRPr="00A673F8">
        <w:t xml:space="preserve"> </w:t>
      </w:r>
      <w:r>
        <w:t>component to be appropriated anew for biosecurity purposes.</w:t>
      </w:r>
    </w:p>
    <w:p w14:paraId="680DDBED" w14:textId="19E1AC0A" w:rsidR="004D0F57" w:rsidRPr="00E940DC" w:rsidRDefault="00F50BA3" w:rsidP="004D0F57">
      <w:pPr>
        <w:pStyle w:val="Heading5"/>
      </w:pPr>
      <w:r>
        <w:t xml:space="preserve">… </w:t>
      </w:r>
      <w:r w:rsidR="004D0F57">
        <w:t>Leading the Committee to Recommend a Biosecurity Advisory Council</w:t>
      </w:r>
      <w:r>
        <w:t xml:space="preserve"> …</w:t>
      </w:r>
    </w:p>
    <w:p w14:paraId="020B60B5" w14:textId="7CDBC7D8" w:rsidR="004D0F57" w:rsidRDefault="004D0F57" w:rsidP="004D0F57">
      <w:r>
        <w:t xml:space="preserve">The Committee recommends </w:t>
      </w:r>
      <w:r>
        <w:rPr>
          <w:rFonts w:ascii="Calibri" w:hAnsi="Calibri" w:cs="Calibri"/>
        </w:rPr>
        <w:t xml:space="preserve">the appointment of </w:t>
      </w:r>
      <w:r>
        <w:t xml:space="preserve">a high-level, expertise-based Biosecurity Advisory Council </w:t>
      </w:r>
      <w:r w:rsidR="009F551F">
        <w:t>to</w:t>
      </w:r>
      <w:r>
        <w:t xml:space="preserve"> enhance the shared responsibility principle and provide more scope for private sector interests to contribute constructively to important biosecurity decisions, including funding and consideration of relative biosecurity risk, and thereby to assist the Department</w:t>
      </w:r>
      <w:r w:rsidR="00EA0254">
        <w:t xml:space="preserve"> of Agriculture and Water Resources</w:t>
      </w:r>
      <w:r>
        <w:t xml:space="preserve">’ biosecurity efforts. </w:t>
      </w:r>
    </w:p>
    <w:p w14:paraId="0989C1C5" w14:textId="77777777" w:rsidR="004D0F57" w:rsidRPr="008C1072" w:rsidRDefault="004D0F57" w:rsidP="004D0F57">
      <w:pPr>
        <w:pStyle w:val="Heading5"/>
      </w:pPr>
      <w:r>
        <w:t>… and an Annual Budget-Related Reconciliation of Biosecurity Revenue and Expenditure</w:t>
      </w:r>
    </w:p>
    <w:p w14:paraId="04DB5706" w14:textId="6A796FA9" w:rsidR="004D0F57" w:rsidRDefault="004D0F57" w:rsidP="004D0F57">
      <w:r>
        <w:t xml:space="preserve">A further measure would be for the </w:t>
      </w:r>
      <w:r w:rsidR="00EA0254">
        <w:t xml:space="preserve">Department </w:t>
      </w:r>
      <w:r w:rsidR="000279F9">
        <w:t>of Agriculture and Water Resources</w:t>
      </w:r>
      <w:r w:rsidR="00911B5A">
        <w:t xml:space="preserve"> (‘the Department’)</w:t>
      </w:r>
      <w:r w:rsidR="000279F9">
        <w:t xml:space="preserve"> </w:t>
      </w:r>
      <w:r>
        <w:t xml:space="preserve">to produce an annual Budget-related paper which would provide a full reconciliation of biosecurity-related revenue and expenditure. </w:t>
      </w:r>
    </w:p>
    <w:p w14:paraId="6DA62AFA" w14:textId="77777777" w:rsidR="004D0F57" w:rsidRPr="00F50B8A" w:rsidRDefault="004D0F57" w:rsidP="004D0F57">
      <w:pPr>
        <w:pStyle w:val="Heading5"/>
      </w:pPr>
      <w:r>
        <w:t>The Appropriate Levy Collection Mechanism is the Full Import Declaration (FID)</w:t>
      </w:r>
    </w:p>
    <w:p w14:paraId="1447C3A9" w14:textId="358045A7" w:rsidR="004D0F57" w:rsidRDefault="004D0F57" w:rsidP="004D0F57">
      <w:r>
        <w:t>In submissions to the Committee, and in earlier consultations, the overwhelming preference was for the existing Full Import Declaration (or FID) to be used as the levy collection mechanism. FIDs cover all cargo (both sea and air, but not empty shipping containers, a relatively minor 7 percent of total sea container arrivals).</w:t>
      </w:r>
      <w:r w:rsidR="00C432E9">
        <w:t xml:space="preserve"> The Committee agrees with this view</w:t>
      </w:r>
      <w:r>
        <w:t>.</w:t>
      </w:r>
    </w:p>
    <w:p w14:paraId="2029EAAF" w14:textId="77777777" w:rsidR="004D0F57" w:rsidRPr="00DE4CD4" w:rsidRDefault="004D0F57" w:rsidP="004D0F57">
      <w:pPr>
        <w:pStyle w:val="Heading5"/>
      </w:pPr>
      <w:r>
        <w:t>Applying a Levy</w:t>
      </w:r>
    </w:p>
    <w:p w14:paraId="3B971DD9" w14:textId="68DB74F7" w:rsidR="004D0F57" w:rsidRDefault="004D0F57" w:rsidP="004D0F57">
      <w:r>
        <w:t>The Committee accepts a levy on containers as there are clearly biosecurity risks associated with them. Most submissions urged the Committee to extend the levy to air ca</w:t>
      </w:r>
      <w:r w:rsidR="00C432E9">
        <w:t xml:space="preserve">rgo. </w:t>
      </w:r>
      <w:r>
        <w:t>Also, the Committee accepts a levy on break bulk imports as there are biosecurity risks associated with the importation of break bulk items</w:t>
      </w:r>
      <w:r w:rsidR="00C432E9">
        <w:t xml:space="preserve">. </w:t>
      </w:r>
      <w:r>
        <w:t xml:space="preserve">The Committee has </w:t>
      </w:r>
      <w:r w:rsidRPr="00195678">
        <w:t xml:space="preserve">doubts about </w:t>
      </w:r>
      <w:r>
        <w:t>a levy on inorganic, inert or liquid bulk commodity imports for which the biosecurity risk appears very low to negligible. In addition</w:t>
      </w:r>
      <w:r w:rsidR="00F50BA3">
        <w:t>,</w:t>
      </w:r>
      <w:r>
        <w:t xml:space="preserve"> some of these bulk commodity imports have a low value relative to their mass, so a significant levy could impair the competitive position of subsequent manufacturing processes based </w:t>
      </w:r>
      <w:r w:rsidR="00F50BA3">
        <w:t>up</w:t>
      </w:r>
      <w:r>
        <w:t>on them.</w:t>
      </w:r>
      <w:r w:rsidRPr="00486F57">
        <w:t xml:space="preserve"> </w:t>
      </w:r>
    </w:p>
    <w:p w14:paraId="2F60EDC7" w14:textId="46231101" w:rsidR="004D0F57" w:rsidRDefault="004D0F57" w:rsidP="004D0F57">
      <w:r>
        <w:t>Some bulk commodity imports of an organic nature</w:t>
      </w:r>
      <w:r w:rsidRPr="002B7C04">
        <w:t xml:space="preserve">, may warrant the imposition of a levy as the level </w:t>
      </w:r>
      <w:r>
        <w:t>of biosecurity risk they pose appears</w:t>
      </w:r>
      <w:r w:rsidRPr="002B7C04">
        <w:t xml:space="preserve"> much greater</w:t>
      </w:r>
      <w:r>
        <w:t>.</w:t>
      </w:r>
    </w:p>
    <w:p w14:paraId="16FB77E0" w14:textId="385C5ED9" w:rsidR="004D0F57" w:rsidRDefault="004D0F57" w:rsidP="004D0F57">
      <w:r>
        <w:t>The Committee has not received convincing evidence on the merits of imposing a levy based on gross vessel tonnage. Overall, the Committee is not attracted to a levy on the arrival of a shipping vessel. Vessels already pay a biosecurity-related (cost recovery) ve</w:t>
      </w:r>
      <w:r w:rsidR="00C432E9">
        <w:t>ssel operator charge on arrival;</w:t>
      </w:r>
      <w:r>
        <w:t xml:space="preserve"> </w:t>
      </w:r>
      <w:r w:rsidR="00C432E9">
        <w:rPr>
          <w:noProof/>
        </w:rPr>
        <w:t>a</w:t>
      </w:r>
      <w:r>
        <w:t xml:space="preserve">ny additional unrecovered biosecurity costs relating to vessels could and should be met by increasing the existing charge. </w:t>
      </w:r>
    </w:p>
    <w:p w14:paraId="483295F4" w14:textId="47F7E962" w:rsidR="004D0F57" w:rsidRPr="009E2159" w:rsidRDefault="004D0F57" w:rsidP="00C432E9">
      <w:pPr>
        <w:spacing w:before="0" w:after="160" w:line="259" w:lineRule="auto"/>
        <w:rPr>
          <w:rFonts w:asciiTheme="majorHAnsi" w:hAnsiTheme="majorHAnsi"/>
          <w:b/>
          <w:color w:val="2F5496" w:themeColor="accent1" w:themeShade="BF"/>
        </w:rPr>
      </w:pPr>
      <w:r w:rsidRPr="009E2159">
        <w:rPr>
          <w:rFonts w:asciiTheme="majorHAnsi" w:hAnsiTheme="majorHAnsi"/>
          <w:color w:val="2F5496" w:themeColor="accent1" w:themeShade="BF"/>
        </w:rPr>
        <w:t>The Disposition of Biosecurity Risk is Vital to Designing a Levy</w:t>
      </w:r>
      <w:r w:rsidR="00F50BA3" w:rsidRPr="009E2159">
        <w:rPr>
          <w:rFonts w:asciiTheme="majorHAnsi" w:hAnsiTheme="majorHAnsi"/>
          <w:color w:val="2F5496" w:themeColor="accent1" w:themeShade="BF"/>
        </w:rPr>
        <w:t xml:space="preserve"> …</w:t>
      </w:r>
    </w:p>
    <w:p w14:paraId="18AA76AD" w14:textId="0E1F1E64" w:rsidR="004D0F57" w:rsidRDefault="004D0F57" w:rsidP="004D0F57">
      <w:r>
        <w:t>The Committee recognised from the start of its deliberations the imperative of having robust, science-based biosecurity risk assessments to underpin its recommendations for levy design.</w:t>
      </w:r>
      <w:r w:rsidR="009E2159">
        <w:rPr>
          <w:rFonts w:cs="Cambria"/>
          <w:color w:val="000000"/>
        </w:rPr>
        <w:t xml:space="preserve"> </w:t>
      </w:r>
      <w:r>
        <w:rPr>
          <w:rFonts w:cs="Cambria"/>
          <w:color w:val="000000"/>
        </w:rPr>
        <w:t xml:space="preserve">It reviewed </w:t>
      </w:r>
      <w:r>
        <w:t>many reports and data related to biosecurity risk</w:t>
      </w:r>
      <w:r w:rsidR="009E2159">
        <w:t xml:space="preserve"> and </w:t>
      </w:r>
      <w:r>
        <w:t>requested</w:t>
      </w:r>
      <w:r w:rsidRPr="00C9321D">
        <w:t xml:space="preserve"> </w:t>
      </w:r>
      <w:r>
        <w:t>science-based advice</w:t>
      </w:r>
      <w:r w:rsidRPr="001470B3">
        <w:t xml:space="preserve"> </w:t>
      </w:r>
      <w:r>
        <w:t>from the Department to identify relative biosecurity risk generated</w:t>
      </w:r>
      <w:r w:rsidR="009E2159">
        <w:t xml:space="preserve"> by the various import pathways.</w:t>
      </w:r>
    </w:p>
    <w:p w14:paraId="5E979387" w14:textId="07008E1C" w:rsidR="004D0F57" w:rsidRPr="001470B3" w:rsidRDefault="00F50BA3" w:rsidP="004D0F57">
      <w:pPr>
        <w:pStyle w:val="Heading5"/>
      </w:pPr>
      <w:r>
        <w:t xml:space="preserve">… </w:t>
      </w:r>
      <w:r w:rsidR="004D0F57">
        <w:t>But the Relevant Analysis and Information is Not Available</w:t>
      </w:r>
      <w:r w:rsidR="00990AF9">
        <w:t xml:space="preserve"> at the Present Time</w:t>
      </w:r>
      <w:r>
        <w:t>:</w:t>
      </w:r>
    </w:p>
    <w:p w14:paraId="39CE121A" w14:textId="02CE1868" w:rsidR="004D0F57" w:rsidRDefault="004D0F57" w:rsidP="004D0F57">
      <w:r>
        <w:t>Regrettably, none of the information available from public sources provides a robust basis on which the Committee can base definitive recommendations regarding the share of the levy that should be borne by different import pathways and vectors. The available information tends to be partial, i</w:t>
      </w:r>
      <w:r w:rsidR="009E2159">
        <w:t xml:space="preserve">ncomplete and often anecdotal. </w:t>
      </w:r>
      <w:r>
        <w:t>Given this, it is not possible for the Committee to recommend the allocation of a levy across cargoes and possibly vessels, when the scientific basis of doing so does not appear to exist</w:t>
      </w:r>
      <w:r w:rsidR="00F50BA3">
        <w:t xml:space="preserve"> at the present time</w:t>
      </w:r>
      <w:r>
        <w:t xml:space="preserve">. </w:t>
      </w:r>
    </w:p>
    <w:p w14:paraId="3199349B" w14:textId="77777777" w:rsidR="004D0F57" w:rsidRPr="003471A6" w:rsidRDefault="004D0F57" w:rsidP="004D0F57">
      <w:pPr>
        <w:pStyle w:val="Heading5"/>
      </w:pPr>
      <w:r>
        <w:t>It Should be Obtained as a Matter of Urgency so that the Committee’s Task can be Completed</w:t>
      </w:r>
    </w:p>
    <w:p w14:paraId="5D83EAE2" w14:textId="177797A9" w:rsidR="004D0F57" w:rsidRDefault="004D0F57" w:rsidP="004D0F57">
      <w:r>
        <w:t xml:space="preserve">Therefore, the Committee </w:t>
      </w:r>
      <w:r w:rsidR="009F551F">
        <w:t>recommends</w:t>
      </w:r>
      <w:r>
        <w:t xml:space="preserve"> that this analysis be un</w:t>
      </w:r>
      <w:r w:rsidR="009E2159">
        <w:t>dertaken as a matter of urgency;</w:t>
      </w:r>
      <w:r>
        <w:t xml:space="preserve"> the work should be able to be completed within three months or so. The Committee would be open to then being re-convened in order to complete its task, if this would assist the process.</w:t>
      </w:r>
    </w:p>
    <w:p w14:paraId="7BDAAB0B" w14:textId="180507F8" w:rsidR="009E2159" w:rsidRDefault="009F551F" w:rsidP="004D0F57">
      <w:pPr>
        <w:rPr>
          <w:szCs w:val="48"/>
        </w:rPr>
      </w:pPr>
      <w:r>
        <w:rPr>
          <w:szCs w:val="48"/>
        </w:rPr>
        <w:t>G</w:t>
      </w:r>
      <w:r w:rsidR="009E2159">
        <w:rPr>
          <w:szCs w:val="48"/>
        </w:rPr>
        <w:t xml:space="preserve">iven that the final levy design is likely to differ from that originally proposed, the Committee considers that completion of a Regulation Impact Statement on the levy would be prudent. </w:t>
      </w:r>
    </w:p>
    <w:p w14:paraId="140F6A12" w14:textId="52D7F96D" w:rsidR="000279F9" w:rsidRDefault="000279F9" w:rsidP="000279F9">
      <w:pPr>
        <w:pStyle w:val="Heading5"/>
        <w:tabs>
          <w:tab w:val="left" w:pos="1815"/>
        </w:tabs>
      </w:pPr>
      <w:r>
        <w:t xml:space="preserve">Committee </w:t>
      </w:r>
      <w:r w:rsidR="00C27B7C">
        <w:t>considered alternative options</w:t>
      </w:r>
    </w:p>
    <w:p w14:paraId="1BFCCC0A" w14:textId="702228B6" w:rsidR="000279F9" w:rsidRDefault="000279F9" w:rsidP="000279F9">
      <w:r w:rsidRPr="00AA5FD5">
        <w:t xml:space="preserve">The Committee </w:t>
      </w:r>
      <w:r>
        <w:t xml:space="preserve">considered </w:t>
      </w:r>
      <w:r w:rsidRPr="00AA5FD5">
        <w:t xml:space="preserve">a range of potential levy designs that </w:t>
      </w:r>
      <w:r>
        <w:t>w</w:t>
      </w:r>
      <w:r w:rsidRPr="00AA5FD5">
        <w:t xml:space="preserve">ould </w:t>
      </w:r>
      <w:r>
        <w:t xml:space="preserve">meet </w:t>
      </w:r>
      <w:r w:rsidRPr="00AA5FD5">
        <w:t xml:space="preserve">the </w:t>
      </w:r>
      <w:r>
        <w:t xml:space="preserve">government’s </w:t>
      </w:r>
      <w:r w:rsidRPr="00AA5FD5">
        <w:t xml:space="preserve">revenue target. </w:t>
      </w:r>
      <w:r w:rsidR="002F29B1">
        <w:t>A subset are described in Appendix 6 to the report.</w:t>
      </w:r>
    </w:p>
    <w:p w14:paraId="4C2C6DAE" w14:textId="77777777" w:rsidR="000279F9" w:rsidRPr="00AA5FD5" w:rsidRDefault="000279F9" w:rsidP="000279F9">
      <w:r w:rsidRPr="00AA5FD5">
        <w:t>However, all the alternative options suffer from the absence of any clear and demonstrable basis on which to assess the share that should be contributed from different import pathways.</w:t>
      </w:r>
    </w:p>
    <w:p w14:paraId="5F788214" w14:textId="5C0787FB" w:rsidR="00C017CF" w:rsidRDefault="000279F9" w:rsidP="000279F9">
      <w:r w:rsidRPr="00EB2BA5">
        <w:t xml:space="preserve">The Committee sought advice </w:t>
      </w:r>
      <w:r>
        <w:t>from the</w:t>
      </w:r>
      <w:r w:rsidR="006E1366">
        <w:t xml:space="preserve"> then</w:t>
      </w:r>
      <w:r>
        <w:t xml:space="preserve"> Minister and the Department </w:t>
      </w:r>
      <w:r w:rsidRPr="00EB2BA5">
        <w:t xml:space="preserve">but was </w:t>
      </w:r>
      <w:r>
        <w:t xml:space="preserve">informed that </w:t>
      </w:r>
      <w:r w:rsidRPr="00EB2BA5">
        <w:t>robust, science-based data on the relative risks attached to import vectors and pathways</w:t>
      </w:r>
      <w:r>
        <w:t xml:space="preserve"> was not available</w:t>
      </w:r>
      <w:r w:rsidRPr="00EB2BA5">
        <w:t>. Until the work to produce this information is undertaken, the Committee consider</w:t>
      </w:r>
      <w:r>
        <w:t>s</w:t>
      </w:r>
      <w:r w:rsidRPr="00EB2BA5">
        <w:t xml:space="preserve"> that there </w:t>
      </w:r>
      <w:r>
        <w:t xml:space="preserve">is </w:t>
      </w:r>
      <w:r w:rsidRPr="00EB2BA5">
        <w:t>no solid foundation for the selection of a preferred option.</w:t>
      </w:r>
    </w:p>
    <w:p w14:paraId="27F8864C" w14:textId="77777777" w:rsidR="00C017CF" w:rsidRDefault="00C017CF">
      <w:pPr>
        <w:spacing w:before="0" w:after="160" w:line="259" w:lineRule="auto"/>
      </w:pPr>
      <w:r>
        <w:br w:type="page"/>
      </w:r>
    </w:p>
    <w:p w14:paraId="368C79E0" w14:textId="30C164A4" w:rsidR="000279F9" w:rsidRPr="00F04050" w:rsidRDefault="000279F9" w:rsidP="000279F9">
      <w:r>
        <w:t>The Committee has</w:t>
      </w:r>
      <w:r w:rsidR="00911B5A">
        <w:t>,</w:t>
      </w:r>
      <w:r>
        <w:t xml:space="preserve"> however</w:t>
      </w:r>
      <w:r w:rsidR="00911B5A">
        <w:t>,</w:t>
      </w:r>
      <w:r>
        <w:t xml:space="preserve"> received advice from the </w:t>
      </w:r>
      <w:r w:rsidRPr="00F04050">
        <w:t xml:space="preserve">Centre for Excellence in Biosecurity Risk Analysis that </w:t>
      </w:r>
      <w:r>
        <w:t xml:space="preserve">the information the Committee is seeking </w:t>
      </w:r>
      <w:r w:rsidRPr="00F04050">
        <w:t>should not be unduly difficult to generate</w:t>
      </w:r>
      <w:r>
        <w:t>.</w:t>
      </w:r>
    </w:p>
    <w:p w14:paraId="462C671B" w14:textId="21CA6A59" w:rsidR="000279F9" w:rsidRDefault="000279F9" w:rsidP="000279F9">
      <w:r>
        <w:t xml:space="preserve">The </w:t>
      </w:r>
      <w:r w:rsidRPr="00AA5FD5">
        <w:t>Committee is confident that</w:t>
      </w:r>
      <w:r>
        <w:t>,</w:t>
      </w:r>
      <w:r w:rsidRPr="00AA5FD5">
        <w:t xml:space="preserve"> </w:t>
      </w:r>
      <w:r>
        <w:t xml:space="preserve">if this information were to be made available, it </w:t>
      </w:r>
      <w:r w:rsidRPr="00AA5FD5">
        <w:t xml:space="preserve">could quickly </w:t>
      </w:r>
      <w:r>
        <w:t xml:space="preserve">finalise </w:t>
      </w:r>
      <w:r w:rsidRPr="00AA5FD5">
        <w:t>and recommend a preferred levy design</w:t>
      </w:r>
      <w:r>
        <w:t>.</w:t>
      </w:r>
    </w:p>
    <w:p w14:paraId="5F881179" w14:textId="66E3CA61" w:rsidR="00FB154A" w:rsidRDefault="00FB154A" w:rsidP="00FB154A">
      <w:r>
        <w:t>The Committee also considered recommending an imperfect interim design, which would allow the revenue timetable to be met. This might apply for a 12 months period, and be associated with a legislative sunset provision. During this period, additional analysis could be conducted to provide the necessary matrix of biosecurity risks across vectors and pathways.</w:t>
      </w:r>
    </w:p>
    <w:p w14:paraId="19CEC4AD" w14:textId="47ADFD95" w:rsidR="00C017CF" w:rsidRDefault="00FB154A" w:rsidP="00C017CF">
      <w:pPr>
        <w:rPr>
          <w:szCs w:val="22"/>
        </w:rPr>
      </w:pPr>
      <w:r>
        <w:t>The Committee has therefore come to the view that, in the absence of authoritative, science-based advice to identify the quantum and relative biosecurity risk generated by the various import pathways, it is unable to determine an appropriate level for a biosecurity levy to apply to such items. Without such information, the robust basis on which a levy could be based, leading to a definitive recommendation that would enjoy wide private sector support, does not exist.</w:t>
      </w:r>
      <w:r w:rsidR="00C017CF">
        <w:t xml:space="preserve"> Some of the options discussed in Appendix 6 merit further consideration once the biosecurity risk data is available.</w:t>
      </w:r>
    </w:p>
    <w:p w14:paraId="54513A10" w14:textId="77777777" w:rsidR="004D0F57" w:rsidRPr="003471A6" w:rsidRDefault="004D0F57" w:rsidP="004D0F57">
      <w:pPr>
        <w:pStyle w:val="Heading5"/>
      </w:pPr>
      <w:r w:rsidRPr="003471A6">
        <w:t>Recommendations</w:t>
      </w:r>
    </w:p>
    <w:p w14:paraId="663A0929" w14:textId="7E3E1A3B" w:rsidR="002E4920" w:rsidRPr="003156A5" w:rsidRDefault="002E4920" w:rsidP="004163D1">
      <w:pPr>
        <w:pStyle w:val="ListParagraph"/>
        <w:numPr>
          <w:ilvl w:val="0"/>
          <w:numId w:val="29"/>
        </w:numPr>
        <w:rPr>
          <w:szCs w:val="48"/>
        </w:rPr>
      </w:pPr>
      <w:r w:rsidRPr="003156A5">
        <w:rPr>
          <w:szCs w:val="48"/>
        </w:rPr>
        <w:t>The Committee supports the imposition of a levy on the importation of containers (both sea and air)</w:t>
      </w:r>
      <w:r w:rsidR="00A91F51" w:rsidRPr="003156A5">
        <w:rPr>
          <w:szCs w:val="48"/>
        </w:rPr>
        <w:t xml:space="preserve"> and</w:t>
      </w:r>
      <w:r w:rsidRPr="003156A5">
        <w:rPr>
          <w:szCs w:val="48"/>
        </w:rPr>
        <w:t xml:space="preserve"> break bulk items which represent creators or exacerbators of biosecurity risk</w:t>
      </w:r>
      <w:r w:rsidR="003156A5" w:rsidRPr="003156A5">
        <w:rPr>
          <w:szCs w:val="48"/>
        </w:rPr>
        <w:t>. Further,</w:t>
      </w:r>
      <w:r w:rsidR="00A91F51" w:rsidRPr="003156A5">
        <w:rPr>
          <w:szCs w:val="48"/>
        </w:rPr>
        <w:t xml:space="preserve"> </w:t>
      </w:r>
      <w:r w:rsidR="00A91F51">
        <w:t>there may also be a case for the application of a levy for bulk cargo, especially organic bulk cargo</w:t>
      </w:r>
      <w:r w:rsidR="003156A5">
        <w:t xml:space="preserve">. </w:t>
      </w:r>
      <w:r w:rsidR="002F2885" w:rsidRPr="002F2885">
        <w:t>The quantum of each levy component to be determined dependent on risk, fairness and competitive impact.</w:t>
      </w:r>
      <w:r w:rsidR="002A7043">
        <w:t xml:space="preserve"> </w:t>
      </w:r>
      <w:r w:rsidR="0036316B">
        <w:t>(Potential levy options are canvassed in Appendix 6.)</w:t>
      </w:r>
    </w:p>
    <w:p w14:paraId="5B7E5FD5" w14:textId="01160B81" w:rsidR="002E4920" w:rsidRDefault="002E4920" w:rsidP="002E4920">
      <w:pPr>
        <w:pStyle w:val="ListParagraph"/>
        <w:numPr>
          <w:ilvl w:val="0"/>
          <w:numId w:val="29"/>
        </w:numPr>
        <w:rPr>
          <w:szCs w:val="48"/>
        </w:rPr>
      </w:pPr>
      <w:r>
        <w:rPr>
          <w:szCs w:val="48"/>
        </w:rPr>
        <w:t>The levy should be applied via the existing Full Import Declaration, with the Department of Home Affairs being tasked with making the necessary software adjustments promptly.</w:t>
      </w:r>
    </w:p>
    <w:p w14:paraId="1A2F4479" w14:textId="77777777" w:rsidR="002E4920" w:rsidRPr="004A693C" w:rsidRDefault="002E4920" w:rsidP="002E4920">
      <w:pPr>
        <w:pStyle w:val="ListParagraph"/>
        <w:numPr>
          <w:ilvl w:val="0"/>
          <w:numId w:val="29"/>
        </w:numPr>
        <w:rPr>
          <w:szCs w:val="48"/>
        </w:rPr>
      </w:pPr>
      <w:r>
        <w:rPr>
          <w:szCs w:val="48"/>
        </w:rPr>
        <w:t>T</w:t>
      </w:r>
      <w:r>
        <w:t xml:space="preserve">he Department, the </w:t>
      </w:r>
      <w:r>
        <w:rPr>
          <w:iCs/>
        </w:rPr>
        <w:t xml:space="preserve">Inspector-General of Biosecurity and/or the </w:t>
      </w:r>
      <w:r>
        <w:t xml:space="preserve">Centre of Excellence for Biosecurity Risk Analysis should as a matter of urgency undertake </w:t>
      </w:r>
      <w:r>
        <w:rPr>
          <w:szCs w:val="48"/>
        </w:rPr>
        <w:t>a robust, science-based assessment of biosecurity risk across the various vectors and pathways that is sufficiently detailed to enable values to be attached to the levy components identified in this report</w:t>
      </w:r>
      <w:r>
        <w:t>.</w:t>
      </w:r>
    </w:p>
    <w:p w14:paraId="2262A47C" w14:textId="77777777" w:rsidR="002E4920" w:rsidRPr="00123329" w:rsidRDefault="002E4920" w:rsidP="002E4920">
      <w:pPr>
        <w:pStyle w:val="ListParagraph"/>
        <w:numPr>
          <w:ilvl w:val="0"/>
          <w:numId w:val="29"/>
        </w:numPr>
        <w:rPr>
          <w:szCs w:val="48"/>
        </w:rPr>
      </w:pPr>
      <w:r>
        <w:rPr>
          <w:szCs w:val="48"/>
        </w:rPr>
        <w:t>The finalised design of the levy should be subject to a Regulation Impact Statement</w:t>
      </w:r>
      <w:r>
        <w:t>.</w:t>
      </w:r>
    </w:p>
    <w:p w14:paraId="3D4CEA4F" w14:textId="77777777" w:rsidR="002E4920" w:rsidRPr="00123329" w:rsidRDefault="002E4920" w:rsidP="002E4920">
      <w:pPr>
        <w:pStyle w:val="ListParagraph"/>
        <w:numPr>
          <w:ilvl w:val="0"/>
          <w:numId w:val="29"/>
        </w:numPr>
        <w:rPr>
          <w:szCs w:val="48"/>
        </w:rPr>
      </w:pPr>
      <w:r>
        <w:t>Rather than the levy being extended to passengers (once the current moratorium expires in July 2022), the component of the Passenger Movement Charge originally justified for biosecurity purposes (more than $8 per passenger) should be appropriated anew for biosecurity purposes.</w:t>
      </w:r>
    </w:p>
    <w:p w14:paraId="4AC5BA8E" w14:textId="77777777" w:rsidR="002E4920" w:rsidRPr="00123329" w:rsidRDefault="002E4920" w:rsidP="002E4920">
      <w:pPr>
        <w:pStyle w:val="ListParagraph"/>
        <w:numPr>
          <w:ilvl w:val="0"/>
          <w:numId w:val="29"/>
        </w:numPr>
        <w:rPr>
          <w:szCs w:val="48"/>
        </w:rPr>
      </w:pPr>
      <w:r>
        <w:t xml:space="preserve">A new levy should not be applied to the arrival of shipping vessels, given that vessels already pay a biosecurity-related (cost recovery) vessel operator charge (plus associated in-office and out-of-office fees) </w:t>
      </w:r>
      <w:r>
        <w:rPr>
          <w:noProof/>
        </w:rPr>
        <w:t xml:space="preserve">through </w:t>
      </w:r>
      <w:r>
        <w:t xml:space="preserve">the </w:t>
      </w:r>
      <w:r w:rsidRPr="00780C20">
        <w:t>Maritime Arrivals Reporting System</w:t>
      </w:r>
      <w:r>
        <w:t>.</w:t>
      </w:r>
      <w:r w:rsidRPr="004705AD">
        <w:t xml:space="preserve"> </w:t>
      </w:r>
      <w:r>
        <w:t>Any additional unrecovered biosecurity costs relating to vessels should be met by increasing the existing charge.</w:t>
      </w:r>
    </w:p>
    <w:p w14:paraId="1E92BBF8" w14:textId="77777777" w:rsidR="002E4920" w:rsidRPr="00F634CF" w:rsidRDefault="002E4920" w:rsidP="002E4920">
      <w:pPr>
        <w:pStyle w:val="ListParagraph"/>
        <w:numPr>
          <w:ilvl w:val="0"/>
          <w:numId w:val="29"/>
        </w:numPr>
        <w:rPr>
          <w:szCs w:val="48"/>
        </w:rPr>
      </w:pPr>
      <w:r>
        <w:t>A high-level, expertise-based Biosecurity Advisory Council should be appointed to enhance the shared responsibility principle of biosecurity, provide more scope for private sector interests to contribute constructively to important biosecurity decisions, including funding and consideration of relative biosecurity risk, and ensure that levy proceeds are appropriated for additional biosecurity activities.</w:t>
      </w:r>
    </w:p>
    <w:p w14:paraId="0C2321FD" w14:textId="3097B789" w:rsidR="004D0F57" w:rsidRPr="002E4920" w:rsidRDefault="002E4920" w:rsidP="002E4920">
      <w:pPr>
        <w:pStyle w:val="ListParagraph"/>
        <w:numPr>
          <w:ilvl w:val="0"/>
          <w:numId w:val="29"/>
        </w:numPr>
        <w:rPr>
          <w:szCs w:val="48"/>
        </w:rPr>
      </w:pPr>
      <w:r>
        <w:t>The Department should produce an annual Budget-related paper which would provide a full reconciliation of biosecurity-related revenue and expenditure and thereby assist in clarifying how funds are collected and appropriated, and where they are spent.</w:t>
      </w:r>
    </w:p>
    <w:p w14:paraId="53F756C4" w14:textId="77777777" w:rsidR="009641C2" w:rsidRPr="009641C2" w:rsidRDefault="009641C2" w:rsidP="009641C2"/>
    <w:p w14:paraId="1AF6A72F" w14:textId="77777777" w:rsidR="00CF4D1E" w:rsidRDefault="00CF4D1E">
      <w:pPr>
        <w:spacing w:before="0" w:after="160" w:line="259" w:lineRule="auto"/>
      </w:pPr>
    </w:p>
    <w:p w14:paraId="2FF05671" w14:textId="2787ACA3" w:rsidR="00CF4D1E" w:rsidRDefault="00CF4D1E">
      <w:pPr>
        <w:spacing w:before="0" w:after="160" w:line="259" w:lineRule="auto"/>
        <w:sectPr w:rsidR="00CF4D1E" w:rsidSect="00E91A06">
          <w:footerReference w:type="default" r:id="rId14"/>
          <w:pgSz w:w="11906" w:h="16838"/>
          <w:pgMar w:top="1440" w:right="1440" w:bottom="1440" w:left="1440" w:header="708" w:footer="708" w:gutter="0"/>
          <w:pgNumType w:fmt="lowerRoman" w:start="0"/>
          <w:cols w:space="708"/>
          <w:titlePg/>
          <w:docGrid w:linePitch="360"/>
        </w:sectPr>
      </w:pPr>
    </w:p>
    <w:p w14:paraId="373826D7" w14:textId="40E6BDDF" w:rsidR="005C11BE" w:rsidRDefault="00F73581" w:rsidP="00F73581">
      <w:pPr>
        <w:pStyle w:val="Heading1"/>
      </w:pPr>
      <w:bookmarkStart w:id="3" w:name="_Toc10031875"/>
      <w:r>
        <w:t>1</w:t>
      </w:r>
      <w:r w:rsidR="00730314">
        <w:t>.</w:t>
      </w:r>
      <w:r>
        <w:tab/>
        <w:t>Introduction</w:t>
      </w:r>
      <w:bookmarkEnd w:id="3"/>
    </w:p>
    <w:p w14:paraId="0D3F789C" w14:textId="751EF364" w:rsidR="008F1C41" w:rsidRDefault="008F1C41" w:rsidP="008F1C41">
      <w:r>
        <w:t>The Biosecurity Import</w:t>
      </w:r>
      <w:r w:rsidR="00ED0AB6">
        <w:t>s</w:t>
      </w:r>
      <w:r>
        <w:t xml:space="preserve"> Levy</w:t>
      </w:r>
      <w:r w:rsidR="0060507A">
        <w:t xml:space="preserve"> </w:t>
      </w:r>
      <w:r>
        <w:t xml:space="preserve">was announced as a revenue measure in the 2018-19 Commonwealth Budget and was </w:t>
      </w:r>
      <w:r w:rsidR="00974877">
        <w:t>due to commence on</w:t>
      </w:r>
      <w:r>
        <w:t xml:space="preserve"> 1 July 2019</w:t>
      </w:r>
      <w:r w:rsidR="00D475B3">
        <w:t>.</w:t>
      </w:r>
      <w:r>
        <w:t xml:space="preserve"> </w:t>
      </w:r>
    </w:p>
    <w:p w14:paraId="5702A87A" w14:textId="7B3E1B94" w:rsidR="008F1C41" w:rsidRDefault="008F1C41" w:rsidP="008F1C41">
      <w:r>
        <w:t xml:space="preserve">Following widespread concerns </w:t>
      </w:r>
      <w:r w:rsidR="00974877">
        <w:t xml:space="preserve">over several months </w:t>
      </w:r>
      <w:r>
        <w:t xml:space="preserve">about the new measure, Pegasus Economics was engaged by the Department </w:t>
      </w:r>
      <w:r w:rsidR="001C0ECE">
        <w:t xml:space="preserve">of Agriculture and Water Resources (‘the Department’) </w:t>
      </w:r>
      <w:r>
        <w:t xml:space="preserve">to prepare a brief report to the </w:t>
      </w:r>
      <w:r w:rsidR="006E1366">
        <w:t xml:space="preserve">then </w:t>
      </w:r>
      <w:r>
        <w:t>Minister</w:t>
      </w:r>
      <w:r w:rsidR="008B382F">
        <w:t xml:space="preserve"> for Agriculture and Water Resources</w:t>
      </w:r>
      <w:r>
        <w:t xml:space="preserve"> on industry views and point</w:t>
      </w:r>
      <w:r w:rsidR="003B0D2B">
        <w:t>s of agreement on a way forward</w:t>
      </w:r>
      <w:r>
        <w:t>.</w:t>
      </w:r>
    </w:p>
    <w:p w14:paraId="1C0625D1" w14:textId="7179028A" w:rsidR="008F1C41" w:rsidRDefault="008F1C41" w:rsidP="008F1C41">
      <w:r>
        <w:t>In its report Pegasus found that:</w:t>
      </w:r>
    </w:p>
    <w:p w14:paraId="32E58012" w14:textId="5148019F" w:rsidR="008F1C41" w:rsidRDefault="008F1C41" w:rsidP="008F1C41">
      <w:pPr>
        <w:pStyle w:val="Quote"/>
      </w:pPr>
      <w:r>
        <w:t xml:space="preserve">… the process for implementation of the levy has not yielded a consensus as to the appropriate point of imposition for the levy, the basis for calculating the tax liability or the collection mechanism. </w:t>
      </w:r>
      <w:sdt>
        <w:sdtPr>
          <w:id w:val="-2027396120"/>
          <w:citation/>
        </w:sdtPr>
        <w:sdtEndPr/>
        <w:sdtContent>
          <w:r>
            <w:fldChar w:fldCharType="begin"/>
          </w:r>
          <w:r>
            <w:instrText xml:space="preserve">CITATION Fis19 \p 17 \t  \l 3081 </w:instrText>
          </w:r>
          <w:r>
            <w:fldChar w:fldCharType="separate"/>
          </w:r>
          <w:r w:rsidR="00604A29">
            <w:rPr>
              <w:noProof/>
            </w:rPr>
            <w:t>(Fisher &amp; Davey, 2019, p. 17)</w:t>
          </w:r>
          <w:r>
            <w:fldChar w:fldCharType="end"/>
          </w:r>
        </w:sdtContent>
      </w:sdt>
    </w:p>
    <w:p w14:paraId="296EEE69" w14:textId="425ADBDE" w:rsidR="008F1C41" w:rsidRDefault="008F1C41" w:rsidP="008F1C41">
      <w:r>
        <w:t>Pegasus suggested t</w:t>
      </w:r>
      <w:r w:rsidRPr="008A1483">
        <w:t xml:space="preserve">he process </w:t>
      </w:r>
      <w:r>
        <w:t xml:space="preserve">for implementation of the levy </w:t>
      </w:r>
      <w:r w:rsidRPr="008A1483">
        <w:t>need</w:t>
      </w:r>
      <w:r>
        <w:t>ed</w:t>
      </w:r>
      <w:r w:rsidRPr="008A1483">
        <w:t xml:space="preserve"> to be re</w:t>
      </w:r>
      <w:r>
        <w:t>-</w:t>
      </w:r>
      <w:r w:rsidRPr="008A1483">
        <w:t>set and undertaken in a way that rebuil</w:t>
      </w:r>
      <w:r>
        <w:t>t</w:t>
      </w:r>
      <w:r w:rsidRPr="008A1483">
        <w:t xml:space="preserve"> trust and confidence</w:t>
      </w:r>
      <w:r>
        <w:t xml:space="preserve">. In response to the Pegasus </w:t>
      </w:r>
      <w:r w:rsidR="0008231C">
        <w:t>R</w:t>
      </w:r>
      <w:r>
        <w:t xml:space="preserve">eport, on 24 February 2019 the </w:t>
      </w:r>
      <w:r w:rsidR="00F31A7F">
        <w:t xml:space="preserve">then </w:t>
      </w:r>
      <w:r>
        <w:t>Minister for Agriculture and Water Resources, the Hon. David Littleproud</w:t>
      </w:r>
      <w:r w:rsidR="008B382F">
        <w:t xml:space="preserve"> </w:t>
      </w:r>
      <w:sdt>
        <w:sdtPr>
          <w:id w:val="878523398"/>
          <w:citation/>
        </w:sdtPr>
        <w:sdtEndPr/>
        <w:sdtContent>
          <w:r w:rsidR="008B382F">
            <w:fldChar w:fldCharType="begin"/>
          </w:r>
          <w:r w:rsidR="008B382F">
            <w:instrText xml:space="preserve">CITATION Lit19 \n  \t  \l 3081 </w:instrText>
          </w:r>
          <w:r w:rsidR="008B382F">
            <w:fldChar w:fldCharType="separate"/>
          </w:r>
          <w:r w:rsidR="008B382F">
            <w:rPr>
              <w:noProof/>
            </w:rPr>
            <w:t>(2019c)</w:t>
          </w:r>
          <w:r w:rsidR="008B382F">
            <w:fldChar w:fldCharType="end"/>
          </w:r>
        </w:sdtContent>
      </w:sdt>
      <w:r w:rsidR="00D475B3">
        <w:t>,</w:t>
      </w:r>
      <w:r>
        <w:t xml:space="preserve"> announced:</w:t>
      </w:r>
    </w:p>
    <w:p w14:paraId="1FBCEAA5" w14:textId="62673FD5" w:rsidR="008F1C41" w:rsidRDefault="008F1C41" w:rsidP="008F1C41">
      <w:pPr>
        <w:pStyle w:val="Quote"/>
      </w:pPr>
      <w:r>
        <w:rPr>
          <w:shd w:val="clear" w:color="auto" w:fill="FFFFFF"/>
        </w:rPr>
        <w:t xml:space="preserve">We've rightly heard concerns of importers around various levy designs the Department of Agriculture and Water Resources has presented during consultation on this levy. Consequently I am establishing an industry steering committee so industry itself can help design the levy. </w:t>
      </w:r>
    </w:p>
    <w:p w14:paraId="3EB40E86" w14:textId="1CCAEFAC" w:rsidR="00594EC6" w:rsidRDefault="008F1C41" w:rsidP="008F1C41">
      <w:r>
        <w:t>On 5 March</w:t>
      </w:r>
      <w:r w:rsidR="00F07F44">
        <w:t xml:space="preserve"> 2019</w:t>
      </w:r>
      <w:r>
        <w:t xml:space="preserve"> the </w:t>
      </w:r>
      <w:r w:rsidR="006E1366">
        <w:t xml:space="preserve">then </w:t>
      </w:r>
      <w:r>
        <w:t xml:space="preserve">Minister announced the chair and membership of the Biosecurity Levy Steering Committee. </w:t>
      </w:r>
      <w:r w:rsidRPr="003D7D73">
        <w:t xml:space="preserve">The </w:t>
      </w:r>
      <w:r w:rsidR="006E1366">
        <w:t xml:space="preserve">then </w:t>
      </w:r>
      <w:r w:rsidRPr="003D7D73">
        <w:t>Minister’s announcement</w:t>
      </w:r>
      <w:r w:rsidR="00AD4C31">
        <w:t>s on the Steering Committee</w:t>
      </w:r>
      <w:r w:rsidR="002366BF">
        <w:t>,</w:t>
      </w:r>
      <w:r w:rsidRPr="003D7D73">
        <w:t xml:space="preserve"> as well as the </w:t>
      </w:r>
      <w:r w:rsidR="00974877" w:rsidRPr="003D7D73">
        <w:t>Committee</w:t>
      </w:r>
      <w:r w:rsidR="00974877">
        <w:t>’s</w:t>
      </w:r>
      <w:r w:rsidR="00974877" w:rsidRPr="003D7D73">
        <w:t xml:space="preserve"> </w:t>
      </w:r>
      <w:r w:rsidRPr="003D7D73">
        <w:t>terms of reference</w:t>
      </w:r>
      <w:r w:rsidR="002366BF">
        <w:t>,</w:t>
      </w:r>
      <w:r w:rsidRPr="003D7D73">
        <w:t xml:space="preserve"> are provided in </w:t>
      </w:r>
      <w:r w:rsidRPr="00F07F44">
        <w:rPr>
          <w:b/>
        </w:rPr>
        <w:t>Appendix 1</w:t>
      </w:r>
      <w:r w:rsidRPr="003D7D73">
        <w:t>.</w:t>
      </w:r>
      <w:r w:rsidR="00594EC6">
        <w:t xml:space="preserve"> </w:t>
      </w:r>
    </w:p>
    <w:p w14:paraId="2D826DC5" w14:textId="30853214" w:rsidR="008F1C41" w:rsidRDefault="00594EC6" w:rsidP="008F1C41">
      <w:r>
        <w:t xml:space="preserve">All members of the Committee, apart from the chair, were active participants in the public debate which followed the 2018 Budget announcement. This included multiple submissions to the </w:t>
      </w:r>
      <w:r w:rsidR="006E1366">
        <w:t xml:space="preserve">then </w:t>
      </w:r>
      <w:r>
        <w:t>Minister and/or Department by their respective organisations or companies. Not all of these are explicitly cited in this report, but they have been fully taken into account, along with Committee members’ active contribution to this report.</w:t>
      </w:r>
    </w:p>
    <w:p w14:paraId="7FB9F062" w14:textId="617856FC" w:rsidR="008F1C41" w:rsidRDefault="008F1C41" w:rsidP="008F1C41">
      <w:r>
        <w:t xml:space="preserve">In the 2019-20 Commonwealth Budget it was announced that the start date for the levy would be </w:t>
      </w:r>
      <w:r w:rsidR="00D475B3">
        <w:t>deferred</w:t>
      </w:r>
      <w:r>
        <w:t xml:space="preserve"> to 1 September </w:t>
      </w:r>
      <w:r w:rsidR="00F07F44">
        <w:t xml:space="preserve">2019 </w:t>
      </w:r>
      <w:r w:rsidRPr="00E15D74">
        <w:t xml:space="preserve">to allow the </w:t>
      </w:r>
      <w:r>
        <w:t>C</w:t>
      </w:r>
      <w:r w:rsidRPr="00E15D74">
        <w:t xml:space="preserve">ommittee to make recommendations on design and implementation </w:t>
      </w:r>
      <w:sdt>
        <w:sdtPr>
          <w:id w:val="843517367"/>
          <w:citation/>
        </w:sdtPr>
        <w:sdtEndPr/>
        <w:sdtContent>
          <w:r>
            <w:fldChar w:fldCharType="begin"/>
          </w:r>
          <w:r>
            <w:instrText xml:space="preserve">CITATION Com19 \p 5 \l 3081 </w:instrText>
          </w:r>
          <w:r>
            <w:fldChar w:fldCharType="separate"/>
          </w:r>
          <w:r w:rsidR="00604A29">
            <w:rPr>
              <w:noProof/>
            </w:rPr>
            <w:t>(Commonwealth of Australia, 2019, p. 5)</w:t>
          </w:r>
          <w:r>
            <w:fldChar w:fldCharType="end"/>
          </w:r>
        </w:sdtContent>
      </w:sdt>
      <w:r w:rsidRPr="00E15D74">
        <w:t>.</w:t>
      </w:r>
    </w:p>
    <w:p w14:paraId="0D6EC9F0" w14:textId="2F4020CC" w:rsidR="003509B3" w:rsidRDefault="00EB5D3E" w:rsidP="003509B3">
      <w:r>
        <w:t>Th</w:t>
      </w:r>
      <w:r w:rsidR="00D91D32">
        <w:t xml:space="preserve">e Committee convened its inaugural meeting on </w:t>
      </w:r>
      <w:r w:rsidR="00F868A2">
        <w:t>8</w:t>
      </w:r>
      <w:r w:rsidR="00813337">
        <w:t xml:space="preserve"> March 2019 and</w:t>
      </w:r>
      <w:r w:rsidR="00F07F44">
        <w:t xml:space="preserve"> held</w:t>
      </w:r>
      <w:r w:rsidR="00813337">
        <w:t xml:space="preserve"> </w:t>
      </w:r>
      <w:r w:rsidR="00F67123">
        <w:t xml:space="preserve">follow-up meetings </w:t>
      </w:r>
      <w:r w:rsidR="003D7D73">
        <w:t>and consultations throughout March, April and May</w:t>
      </w:r>
      <w:r w:rsidR="00AD0EB1">
        <w:t>. Consultations were sometimes face-to-face, sometimes by phone and sometimes electronically</w:t>
      </w:r>
      <w:r w:rsidR="003D7D73">
        <w:t>.</w:t>
      </w:r>
    </w:p>
    <w:p w14:paraId="5E9184B8" w14:textId="40CC4437" w:rsidR="00285E33" w:rsidRPr="00AD0EB1" w:rsidRDefault="003D7D73" w:rsidP="00B872C3">
      <w:pPr>
        <w:rPr>
          <w:rFonts w:ascii="Calibri" w:hAnsi="Calibri" w:cs="Calibri"/>
          <w:szCs w:val="22"/>
        </w:rPr>
      </w:pPr>
      <w:r w:rsidRPr="00AD0EB1">
        <w:rPr>
          <w:szCs w:val="22"/>
        </w:rPr>
        <w:t>To assist</w:t>
      </w:r>
      <w:r w:rsidR="00925E32" w:rsidRPr="00AD0EB1">
        <w:rPr>
          <w:szCs w:val="22"/>
        </w:rPr>
        <w:t xml:space="preserve"> public consultation, a discussion paper was released on 1 April 2019</w:t>
      </w:r>
      <w:r w:rsidR="00813337" w:rsidRPr="00AD0EB1">
        <w:rPr>
          <w:szCs w:val="22"/>
        </w:rPr>
        <w:t>. The paper</w:t>
      </w:r>
      <w:r w:rsidR="00925E32" w:rsidRPr="00AD0EB1">
        <w:rPr>
          <w:szCs w:val="22"/>
        </w:rPr>
        <w:t xml:space="preserve"> </w:t>
      </w:r>
      <w:r w:rsidR="00813337" w:rsidRPr="00AD0EB1">
        <w:rPr>
          <w:rFonts w:ascii="Calibri" w:hAnsi="Calibri" w:cs="Calibri"/>
          <w:szCs w:val="22"/>
        </w:rPr>
        <w:t>summarised</w:t>
      </w:r>
      <w:r w:rsidR="006439C8" w:rsidRPr="00AD0EB1">
        <w:rPr>
          <w:rFonts w:ascii="Calibri" w:hAnsi="Calibri" w:cs="Calibri"/>
          <w:szCs w:val="22"/>
        </w:rPr>
        <w:t xml:space="preserve"> developments relating to the</w:t>
      </w:r>
      <w:r w:rsidR="00D754B1" w:rsidRPr="00AD0EB1">
        <w:rPr>
          <w:rFonts w:ascii="Calibri" w:hAnsi="Calibri" w:cs="Calibri"/>
          <w:szCs w:val="22"/>
        </w:rPr>
        <w:t xml:space="preserve"> justification of the Government’s</w:t>
      </w:r>
      <w:r w:rsidR="006439C8" w:rsidRPr="00AD0EB1">
        <w:rPr>
          <w:rFonts w:ascii="Calibri" w:hAnsi="Calibri" w:cs="Calibri"/>
          <w:szCs w:val="22"/>
        </w:rPr>
        <w:t xml:space="preserve"> levy</w:t>
      </w:r>
      <w:r w:rsidR="00314D83" w:rsidRPr="00AD0EB1">
        <w:rPr>
          <w:rFonts w:ascii="Calibri" w:hAnsi="Calibri" w:cs="Calibri"/>
          <w:szCs w:val="22"/>
        </w:rPr>
        <w:t>, outlined the principal issues under consideration, along with some of the Committee’s early thinking,</w:t>
      </w:r>
      <w:r w:rsidR="006439C8" w:rsidRPr="00AD0EB1">
        <w:rPr>
          <w:rFonts w:ascii="Calibri" w:hAnsi="Calibri" w:cs="Calibri"/>
          <w:szCs w:val="22"/>
        </w:rPr>
        <w:t xml:space="preserve"> and </w:t>
      </w:r>
      <w:r w:rsidR="00813337" w:rsidRPr="00AD0EB1">
        <w:rPr>
          <w:rFonts w:ascii="Calibri" w:hAnsi="Calibri" w:cs="Calibri"/>
          <w:szCs w:val="22"/>
        </w:rPr>
        <w:t>sought</w:t>
      </w:r>
      <w:r w:rsidR="006439C8" w:rsidRPr="00AD0EB1">
        <w:rPr>
          <w:rFonts w:ascii="Calibri" w:hAnsi="Calibri" w:cs="Calibri"/>
          <w:szCs w:val="22"/>
        </w:rPr>
        <w:t xml:space="preserve"> input from affected parties on the impacts, advantages and</w:t>
      </w:r>
      <w:r w:rsidR="00B872C3" w:rsidRPr="00AD0EB1">
        <w:rPr>
          <w:rFonts w:ascii="Calibri" w:hAnsi="Calibri" w:cs="Calibri"/>
          <w:szCs w:val="22"/>
        </w:rPr>
        <w:t xml:space="preserve"> </w:t>
      </w:r>
      <w:r w:rsidR="006439C8" w:rsidRPr="00AD0EB1">
        <w:rPr>
          <w:rFonts w:ascii="Calibri" w:hAnsi="Calibri" w:cs="Calibri"/>
          <w:szCs w:val="22"/>
        </w:rPr>
        <w:t>disadvantages of different levy design and collection options.</w:t>
      </w:r>
      <w:r w:rsidR="007C75FB" w:rsidRPr="00AD0EB1">
        <w:rPr>
          <w:rFonts w:ascii="Calibri" w:hAnsi="Calibri" w:cs="Calibri"/>
          <w:szCs w:val="22"/>
        </w:rPr>
        <w:t xml:space="preserve"> </w:t>
      </w:r>
      <w:r w:rsidRPr="00AD0EB1">
        <w:rPr>
          <w:rFonts w:ascii="Calibri" w:hAnsi="Calibri" w:cs="Calibri"/>
          <w:szCs w:val="22"/>
        </w:rPr>
        <w:t>In response,</w:t>
      </w:r>
      <w:r w:rsidR="00E52080" w:rsidRPr="00AD0EB1">
        <w:rPr>
          <w:rFonts w:ascii="Calibri" w:hAnsi="Calibri" w:cs="Calibri"/>
          <w:szCs w:val="22"/>
        </w:rPr>
        <w:t xml:space="preserve"> the Committee received 2</w:t>
      </w:r>
      <w:r w:rsidR="00D05120" w:rsidRPr="00AD0EB1">
        <w:rPr>
          <w:rFonts w:ascii="Calibri" w:hAnsi="Calibri" w:cs="Calibri"/>
          <w:szCs w:val="22"/>
        </w:rPr>
        <w:t>9</w:t>
      </w:r>
      <w:r w:rsidR="00E52080" w:rsidRPr="00AD0EB1">
        <w:rPr>
          <w:rFonts w:ascii="Calibri" w:hAnsi="Calibri" w:cs="Calibri"/>
          <w:szCs w:val="22"/>
        </w:rPr>
        <w:t xml:space="preserve"> submissions</w:t>
      </w:r>
      <w:r w:rsidRPr="00AD0EB1">
        <w:rPr>
          <w:rFonts w:ascii="Calibri" w:hAnsi="Calibri" w:cs="Calibri"/>
          <w:szCs w:val="22"/>
        </w:rPr>
        <w:t xml:space="preserve"> (see</w:t>
      </w:r>
      <w:r w:rsidR="00E52080" w:rsidRPr="00AD0EB1">
        <w:rPr>
          <w:rFonts w:ascii="Calibri" w:hAnsi="Calibri" w:cs="Calibri"/>
          <w:szCs w:val="22"/>
        </w:rPr>
        <w:t xml:space="preserve"> </w:t>
      </w:r>
      <w:r w:rsidR="00E52080" w:rsidRPr="00AD0EB1">
        <w:rPr>
          <w:rFonts w:ascii="Calibri" w:hAnsi="Calibri" w:cs="Calibri"/>
          <w:b/>
          <w:szCs w:val="22"/>
        </w:rPr>
        <w:t>Appendix 2</w:t>
      </w:r>
      <w:r w:rsidRPr="00AD0EB1">
        <w:rPr>
          <w:rFonts w:ascii="Calibri" w:hAnsi="Calibri" w:cs="Calibri"/>
          <w:szCs w:val="22"/>
        </w:rPr>
        <w:t>)</w:t>
      </w:r>
      <w:r w:rsidR="00E52080" w:rsidRPr="00AD0EB1">
        <w:rPr>
          <w:rFonts w:ascii="Calibri" w:hAnsi="Calibri" w:cs="Calibri"/>
          <w:szCs w:val="22"/>
        </w:rPr>
        <w:t>.</w:t>
      </w:r>
    </w:p>
    <w:p w14:paraId="221140DE" w14:textId="09BF80FB" w:rsidR="00FD3F3B" w:rsidRPr="00AD0EB1" w:rsidRDefault="00FD3F3B" w:rsidP="00B872C3">
      <w:pPr>
        <w:rPr>
          <w:rFonts w:ascii="Calibri" w:hAnsi="Calibri" w:cs="Calibri"/>
          <w:szCs w:val="22"/>
        </w:rPr>
      </w:pPr>
      <w:r w:rsidRPr="00AD0EB1">
        <w:rPr>
          <w:rFonts w:ascii="Calibri" w:hAnsi="Calibri" w:cs="Calibri"/>
          <w:szCs w:val="22"/>
        </w:rPr>
        <w:t>T</w:t>
      </w:r>
      <w:r w:rsidR="00813337" w:rsidRPr="00AD0EB1">
        <w:rPr>
          <w:rFonts w:ascii="Calibri" w:hAnsi="Calibri" w:cs="Calibri"/>
          <w:szCs w:val="22"/>
        </w:rPr>
        <w:t>hroughout its deliberations, t</w:t>
      </w:r>
      <w:r w:rsidRPr="00AD0EB1">
        <w:rPr>
          <w:rFonts w:ascii="Calibri" w:hAnsi="Calibri" w:cs="Calibri"/>
          <w:szCs w:val="22"/>
        </w:rPr>
        <w:t>he Committee received valuable secretariat and research assistance</w:t>
      </w:r>
      <w:r w:rsidR="00594EC6" w:rsidRPr="00AD0EB1">
        <w:rPr>
          <w:rFonts w:ascii="Calibri" w:hAnsi="Calibri" w:cs="Calibri"/>
          <w:szCs w:val="22"/>
        </w:rPr>
        <w:t>, and general guidance reflecting their awareness of the issues,</w:t>
      </w:r>
      <w:r w:rsidRPr="00AD0EB1">
        <w:rPr>
          <w:rFonts w:ascii="Calibri" w:hAnsi="Calibri" w:cs="Calibri"/>
          <w:szCs w:val="22"/>
        </w:rPr>
        <w:t xml:space="preserve"> from Roger Fisher and Alis</w:t>
      </w:r>
      <w:r w:rsidR="00594EC6" w:rsidRPr="00AD0EB1">
        <w:rPr>
          <w:rFonts w:ascii="Calibri" w:hAnsi="Calibri" w:cs="Calibri"/>
          <w:szCs w:val="22"/>
        </w:rPr>
        <w:t>tair Davey of Pegasus Economics. The Committee</w:t>
      </w:r>
      <w:r w:rsidRPr="00AD0EB1">
        <w:rPr>
          <w:rFonts w:ascii="Calibri" w:hAnsi="Calibri" w:cs="Calibri"/>
          <w:szCs w:val="22"/>
        </w:rPr>
        <w:t xml:space="preserve"> expresses its </w:t>
      </w:r>
      <w:r w:rsidR="00813337" w:rsidRPr="00AD0EB1">
        <w:rPr>
          <w:rFonts w:ascii="Calibri" w:hAnsi="Calibri" w:cs="Calibri"/>
          <w:szCs w:val="22"/>
        </w:rPr>
        <w:t xml:space="preserve">considerable </w:t>
      </w:r>
      <w:r w:rsidRPr="00AD0EB1">
        <w:rPr>
          <w:rFonts w:ascii="Calibri" w:hAnsi="Calibri" w:cs="Calibri"/>
          <w:szCs w:val="22"/>
        </w:rPr>
        <w:t>appreciation</w:t>
      </w:r>
      <w:r w:rsidR="000A41BE" w:rsidRPr="00AD0EB1">
        <w:rPr>
          <w:rFonts w:ascii="Calibri" w:hAnsi="Calibri" w:cs="Calibri"/>
          <w:szCs w:val="22"/>
        </w:rPr>
        <w:t xml:space="preserve"> to them for this assistance</w:t>
      </w:r>
      <w:r w:rsidRPr="00AD0EB1">
        <w:rPr>
          <w:rFonts w:ascii="Calibri" w:hAnsi="Calibri" w:cs="Calibri"/>
          <w:szCs w:val="22"/>
        </w:rPr>
        <w:t>.</w:t>
      </w:r>
    </w:p>
    <w:p w14:paraId="53E85376" w14:textId="7761BE54" w:rsidR="00AD4C31" w:rsidRPr="00AD0EB1" w:rsidRDefault="00304687" w:rsidP="00AD0EB1">
      <w:pPr>
        <w:rPr>
          <w:rFonts w:ascii="Calibri" w:hAnsi="Calibri" w:cs="Calibri"/>
          <w:szCs w:val="22"/>
        </w:rPr>
      </w:pPr>
      <w:r w:rsidRPr="00AD0EB1">
        <w:rPr>
          <w:rFonts w:ascii="Calibri" w:hAnsi="Calibri" w:cs="Calibri"/>
          <w:szCs w:val="22"/>
        </w:rPr>
        <w:t>The Committee also expresses its appreciation to officers of the Department who willingly assisted with the provision of data</w:t>
      </w:r>
      <w:r w:rsidR="00594EC6" w:rsidRPr="00AD0EB1">
        <w:rPr>
          <w:rFonts w:ascii="Calibri" w:hAnsi="Calibri" w:cs="Calibri"/>
          <w:szCs w:val="22"/>
        </w:rPr>
        <w:t xml:space="preserve"> and background information, answers to</w:t>
      </w:r>
      <w:r w:rsidRPr="00AD0EB1">
        <w:rPr>
          <w:rFonts w:ascii="Calibri" w:hAnsi="Calibri" w:cs="Calibri"/>
          <w:szCs w:val="22"/>
        </w:rPr>
        <w:t xml:space="preserve"> queries, and </w:t>
      </w:r>
      <w:r w:rsidR="00594EC6" w:rsidRPr="00AD0EB1">
        <w:rPr>
          <w:rFonts w:ascii="Calibri" w:hAnsi="Calibri" w:cs="Calibri"/>
          <w:szCs w:val="22"/>
        </w:rPr>
        <w:t>the distribution of</w:t>
      </w:r>
      <w:r w:rsidRPr="00AD0EB1">
        <w:rPr>
          <w:rFonts w:ascii="Calibri" w:hAnsi="Calibri" w:cs="Calibri"/>
          <w:szCs w:val="22"/>
        </w:rPr>
        <w:t xml:space="preserve"> the discussion paper to its master list of interested parties.</w:t>
      </w:r>
      <w:r w:rsidR="00AD4C31">
        <w:br w:type="page"/>
      </w:r>
    </w:p>
    <w:p w14:paraId="00EBBB34" w14:textId="1B602E99" w:rsidR="00F73581" w:rsidRDefault="00322325" w:rsidP="004E36E0">
      <w:pPr>
        <w:pStyle w:val="Heading1"/>
      </w:pPr>
      <w:bookmarkStart w:id="4" w:name="_Toc10031876"/>
      <w:r>
        <w:t>2</w:t>
      </w:r>
      <w:r w:rsidR="00730314">
        <w:t>.</w:t>
      </w:r>
      <w:r w:rsidR="00F73581">
        <w:tab/>
      </w:r>
      <w:r w:rsidR="004E36E0">
        <w:t xml:space="preserve">Background to the </w:t>
      </w:r>
      <w:r w:rsidR="00F73581">
        <w:t>Biosecurity Imports Levy</w:t>
      </w:r>
      <w:bookmarkEnd w:id="4"/>
    </w:p>
    <w:p w14:paraId="532FFD7F" w14:textId="2C2C8D49" w:rsidR="00751AAC" w:rsidRDefault="00322325" w:rsidP="00751AAC">
      <w:pPr>
        <w:pStyle w:val="Heading2"/>
      </w:pPr>
      <w:bookmarkStart w:id="5" w:name="_Toc10031877"/>
      <w:r>
        <w:t>2</w:t>
      </w:r>
      <w:r w:rsidR="00751AAC">
        <w:t>.1</w:t>
      </w:r>
      <w:r w:rsidR="00751AAC">
        <w:tab/>
        <w:t>Overall Biosecurity Task</w:t>
      </w:r>
      <w:bookmarkEnd w:id="5"/>
    </w:p>
    <w:p w14:paraId="786C8E16" w14:textId="67680C0E" w:rsidR="00751AAC" w:rsidRPr="00C15463" w:rsidRDefault="00751AAC" w:rsidP="00751AAC">
      <w:r w:rsidRPr="00C15463">
        <w:t xml:space="preserve">One of the major threats to native biological diversity are </w:t>
      </w:r>
      <w:r w:rsidR="00813337">
        <w:t>incursions</w:t>
      </w:r>
      <w:r w:rsidRPr="00C15463">
        <w:t xml:space="preserve"> by alien invasive species </w:t>
      </w:r>
      <w:sdt>
        <w:sdtPr>
          <w:id w:val="-1172792530"/>
          <w:citation/>
        </w:sdtPr>
        <w:sdtEndPr/>
        <w:sdtContent>
          <w:r w:rsidRPr="00C15463">
            <w:fldChar w:fldCharType="begin"/>
          </w:r>
          <w:r w:rsidRPr="00C15463">
            <w:instrText xml:space="preserve"> CITATION Int00 \l 3081 </w:instrText>
          </w:r>
          <w:r w:rsidRPr="00C15463">
            <w:fldChar w:fldCharType="separate"/>
          </w:r>
          <w:r w:rsidR="00604A29">
            <w:rPr>
              <w:noProof/>
            </w:rPr>
            <w:t>(International Union for Conservation of Nature, 2000)</w:t>
          </w:r>
          <w:r w:rsidRPr="00C15463">
            <w:fldChar w:fldCharType="end"/>
          </w:r>
        </w:sdtContent>
      </w:sdt>
      <w:r w:rsidRPr="00C15463">
        <w:t>.</w:t>
      </w:r>
      <w:r w:rsidRPr="00C15463">
        <w:rPr>
          <w:rStyle w:val="FootnoteReference"/>
        </w:rPr>
        <w:footnoteReference w:id="1"/>
      </w:r>
      <w:r w:rsidRPr="00C15463">
        <w:t xml:space="preserve"> The</w:t>
      </w:r>
      <w:r w:rsidR="00813337">
        <w:t>ir</w:t>
      </w:r>
      <w:r w:rsidRPr="00C15463">
        <w:t xml:space="preserve"> impacts are immense, insidious, and usually irreversible. They may be as damaging to native species and ecosystems as the loss and degradation of habitats. </w:t>
      </w:r>
    </w:p>
    <w:p w14:paraId="7793EC02" w14:textId="0F19E4D4" w:rsidR="00751AAC" w:rsidRPr="00C15463" w:rsidRDefault="00751AAC" w:rsidP="00751AAC">
      <w:r w:rsidRPr="00C15463">
        <w:t>Ecological impacts of alien invasive species range from competition, predation on and hybridization with native species, transmission of parasites and pathogens, alteration of habitats, disruption of ecosystem functioning and services</w:t>
      </w:r>
      <w:r w:rsidR="00813337">
        <w:t>,</w:t>
      </w:r>
      <w:r w:rsidRPr="00C15463">
        <w:t xml:space="preserve"> to extinction of native species </w:t>
      </w:r>
      <w:sdt>
        <w:sdtPr>
          <w:id w:val="609092065"/>
          <w:citation/>
        </w:sdtPr>
        <w:sdtEndPr/>
        <w:sdtContent>
          <w:r w:rsidRPr="00C15463">
            <w:fldChar w:fldCharType="begin"/>
          </w:r>
          <w:r w:rsidRPr="00C15463">
            <w:instrText xml:space="preserve"> CITATION Ket09 \l 3081 </w:instrText>
          </w:r>
          <w:r w:rsidRPr="00C15463">
            <w:fldChar w:fldCharType="separate"/>
          </w:r>
          <w:r w:rsidR="00604A29">
            <w:rPr>
              <w:noProof/>
            </w:rPr>
            <w:t>(Kettunen, et al., 2009)</w:t>
          </w:r>
          <w:r w:rsidRPr="00C15463">
            <w:fldChar w:fldCharType="end"/>
          </w:r>
        </w:sdtContent>
      </w:sdt>
      <w:r w:rsidRPr="00C15463">
        <w:t xml:space="preserve">. </w:t>
      </w:r>
    </w:p>
    <w:p w14:paraId="00D1F90C" w14:textId="259400A9" w:rsidR="00751AAC" w:rsidRPr="00C15463" w:rsidRDefault="00751AAC" w:rsidP="00751AAC">
      <w:r w:rsidRPr="00C15463">
        <w:t>The establishment of alien invasive species can also have significant negative</w:t>
      </w:r>
      <w:r w:rsidR="00813337">
        <w:t xml:space="preserve"> quantifiable</w:t>
      </w:r>
      <w:r w:rsidRPr="00C15463">
        <w:t xml:space="preserve"> economic impacts </w:t>
      </w:r>
      <w:sdt>
        <w:sdtPr>
          <w:id w:val="-1139187478"/>
          <w:citation/>
        </w:sdtPr>
        <w:sdtEndPr/>
        <w:sdtContent>
          <w:r w:rsidRPr="00C15463">
            <w:fldChar w:fldCharType="begin"/>
          </w:r>
          <w:r w:rsidRPr="00C15463">
            <w:instrText xml:space="preserve"> CITATION Ket09 \l 3081 </w:instrText>
          </w:r>
          <w:r w:rsidRPr="00C15463">
            <w:fldChar w:fldCharType="separate"/>
          </w:r>
          <w:r w:rsidR="00604A29">
            <w:rPr>
              <w:noProof/>
            </w:rPr>
            <w:t>(Kettunen, et al., 2009)</w:t>
          </w:r>
          <w:r w:rsidRPr="00C15463">
            <w:fldChar w:fldCharType="end"/>
          </w:r>
        </w:sdtContent>
      </w:sdt>
      <w:r w:rsidRPr="00C15463">
        <w:t xml:space="preserve">. </w:t>
      </w:r>
      <w:r>
        <w:t>O</w:t>
      </w:r>
      <w:r w:rsidRPr="00C15463">
        <w:t>utbreak</w:t>
      </w:r>
      <w:r>
        <w:t>s</w:t>
      </w:r>
      <w:r w:rsidRPr="00C15463">
        <w:t xml:space="preserve"> by alien invasive species </w:t>
      </w:r>
      <w:r>
        <w:t>and associated diseases have</w:t>
      </w:r>
      <w:r w:rsidRPr="00C15463">
        <w:t xml:space="preserve"> the potential to devastate Aus</w:t>
      </w:r>
      <w:r w:rsidR="00813337">
        <w:t>tralia’s $60 billion agricultural</w:t>
      </w:r>
      <w:r w:rsidRPr="00C15463">
        <w:t xml:space="preserve"> industries, the environment, </w:t>
      </w:r>
      <w:r w:rsidR="00813337">
        <w:t xml:space="preserve">and </w:t>
      </w:r>
      <w:r w:rsidRPr="00C15463">
        <w:t xml:space="preserve">plant, animal and human health </w:t>
      </w:r>
      <w:sdt>
        <w:sdtPr>
          <w:id w:val="-86852509"/>
          <w:citation/>
        </w:sdtPr>
        <w:sdtEndPr/>
        <w:sdtContent>
          <w:r w:rsidRPr="00C15463">
            <w:fldChar w:fldCharType="begin"/>
          </w:r>
          <w:r w:rsidRPr="00C15463">
            <w:instrText xml:space="preserve">CITATION Lit191 \t  \l 3081 </w:instrText>
          </w:r>
          <w:r w:rsidRPr="00C15463">
            <w:fldChar w:fldCharType="separate"/>
          </w:r>
          <w:r w:rsidR="00604A29">
            <w:rPr>
              <w:noProof/>
            </w:rPr>
            <w:t>(Littleproud, 2019b)</w:t>
          </w:r>
          <w:r w:rsidRPr="00C15463">
            <w:fldChar w:fldCharType="end"/>
          </w:r>
        </w:sdtContent>
      </w:sdt>
      <w:r w:rsidRPr="00C15463">
        <w:t>.</w:t>
      </w:r>
    </w:p>
    <w:p w14:paraId="124BFFA1" w14:textId="5F671B09" w:rsidR="00751AAC" w:rsidRDefault="00813337" w:rsidP="00751AAC">
      <w:r>
        <w:t>For example, i</w:t>
      </w:r>
      <w:r w:rsidR="00751AAC" w:rsidRPr="00C15463">
        <w:t xml:space="preserve">t has been estimated that </w:t>
      </w:r>
      <w:r w:rsidR="00751AAC" w:rsidRPr="00C15463">
        <w:rPr>
          <w:shd w:val="clear" w:color="auto" w:fill="FFFFFF"/>
        </w:rPr>
        <w:t xml:space="preserve">a large multi-state foot and mouth </w:t>
      </w:r>
      <w:r w:rsidR="00D475B3">
        <w:rPr>
          <w:shd w:val="clear" w:color="auto" w:fill="FFFFFF"/>
        </w:rPr>
        <w:t xml:space="preserve">disease </w:t>
      </w:r>
      <w:r w:rsidR="00751AAC" w:rsidRPr="00C15463">
        <w:rPr>
          <w:shd w:val="clear" w:color="auto" w:fill="FFFFFF"/>
        </w:rPr>
        <w:t>outbreak would reduce Australia’s gross domestic product by $23.6 billion in present value terms over a 10 year period, while a small</w:t>
      </w:r>
      <w:r>
        <w:rPr>
          <w:shd w:val="clear" w:color="auto" w:fill="FFFFFF"/>
        </w:rPr>
        <w:t>er</w:t>
      </w:r>
      <w:r w:rsidR="00751AAC" w:rsidRPr="00C15463">
        <w:rPr>
          <w:shd w:val="clear" w:color="auto" w:fill="FFFFFF"/>
        </w:rPr>
        <w:t xml:space="preserve"> Victorian outbreak would result in a reduction of $4.6 billion </w:t>
      </w:r>
      <w:sdt>
        <w:sdtPr>
          <w:rPr>
            <w:shd w:val="clear" w:color="auto" w:fill="FFFFFF"/>
          </w:rPr>
          <w:id w:val="853307418"/>
          <w:citation/>
        </w:sdtPr>
        <w:sdtEndPr/>
        <w:sdtContent>
          <w:r w:rsidR="00751AAC" w:rsidRPr="00C15463">
            <w:rPr>
              <w:shd w:val="clear" w:color="auto" w:fill="FFFFFF"/>
            </w:rPr>
            <w:fldChar w:fldCharType="begin"/>
          </w:r>
          <w:r w:rsidR="00751AAC" w:rsidRPr="00C15463">
            <w:rPr>
              <w:shd w:val="clear" w:color="auto" w:fill="FFFFFF"/>
            </w:rPr>
            <w:instrText xml:space="preserve"> CITATION Bue13 \l 3081 </w:instrText>
          </w:r>
          <w:r w:rsidR="00751AAC" w:rsidRPr="00C15463">
            <w:rPr>
              <w:shd w:val="clear" w:color="auto" w:fill="FFFFFF"/>
            </w:rPr>
            <w:fldChar w:fldCharType="separate"/>
          </w:r>
          <w:r w:rsidR="00604A29" w:rsidRPr="00604A29">
            <w:rPr>
              <w:noProof/>
              <w:shd w:val="clear" w:color="auto" w:fill="FFFFFF"/>
            </w:rPr>
            <w:t>(Buetre, et al., 2013)</w:t>
          </w:r>
          <w:r w:rsidR="00751AAC" w:rsidRPr="00C15463">
            <w:rPr>
              <w:shd w:val="clear" w:color="auto" w:fill="FFFFFF"/>
            </w:rPr>
            <w:fldChar w:fldCharType="end"/>
          </w:r>
        </w:sdtContent>
      </w:sdt>
      <w:r w:rsidR="00751AAC" w:rsidRPr="00C15463">
        <w:rPr>
          <w:shd w:val="clear" w:color="auto" w:fill="FFFFFF"/>
        </w:rPr>
        <w:t>.</w:t>
      </w:r>
    </w:p>
    <w:p w14:paraId="10DBF537" w14:textId="78A22B5B" w:rsidR="00A87158" w:rsidRDefault="00813337" w:rsidP="009F7459">
      <w:r>
        <w:t>The task of b</w:t>
      </w:r>
      <w:r w:rsidR="00751AAC">
        <w:t xml:space="preserve">iosecurity is managing the risk of entry, establishment and spread of pests, diseases and weeds that could pose a threat to animal, plant or human health or the environment </w:t>
      </w:r>
      <w:sdt>
        <w:sdtPr>
          <w:id w:val="-850105787"/>
          <w:citation/>
        </w:sdtPr>
        <w:sdtEndPr/>
        <w:sdtContent>
          <w:r w:rsidR="00751AAC">
            <w:fldChar w:fldCharType="begin"/>
          </w:r>
          <w:r w:rsidR="00751AAC">
            <w:instrText xml:space="preserve">CITATION Com15 \p 123 \t  \l 3081 </w:instrText>
          </w:r>
          <w:r w:rsidR="00751AAC">
            <w:fldChar w:fldCharType="separate"/>
          </w:r>
          <w:r w:rsidR="00604A29">
            <w:rPr>
              <w:noProof/>
            </w:rPr>
            <w:t>(Commonwealth of Australia, 2015, p. 123)</w:t>
          </w:r>
          <w:r w:rsidR="00751AAC">
            <w:fldChar w:fldCharType="end"/>
          </w:r>
        </w:sdtContent>
      </w:sdt>
      <w:r w:rsidR="00751AAC" w:rsidRPr="00C15463">
        <w:t xml:space="preserve">. </w:t>
      </w:r>
      <w:r w:rsidR="0009605C">
        <w:t>B</w:t>
      </w:r>
      <w:r w:rsidR="001D55BD">
        <w:t xml:space="preserve">iosecurity </w:t>
      </w:r>
      <w:r w:rsidR="0009605C">
        <w:t>is a much broader concept than quarantine</w:t>
      </w:r>
      <w:r w:rsidR="00D475B3">
        <w:t>,</w:t>
      </w:r>
      <w:r w:rsidR="0009605C">
        <w:t xml:space="preserve"> </w:t>
      </w:r>
      <w:r w:rsidR="00D475B3">
        <w:t>which</w:t>
      </w:r>
      <w:r w:rsidR="00D754B1">
        <w:t xml:space="preserve"> (being a lagging risk control)</w:t>
      </w:r>
      <w:r w:rsidR="007E3B07">
        <w:t xml:space="preserve"> </w:t>
      </w:r>
      <w:r w:rsidR="00847F8D">
        <w:t>has a largely negative, defensive connotation associated with isolation, segregation and disinfection at the border</w:t>
      </w:r>
      <w:r w:rsidR="001D55BD">
        <w:t xml:space="preserve"> </w:t>
      </w:r>
      <w:sdt>
        <w:sdtPr>
          <w:id w:val="2055270155"/>
          <w:citation/>
        </w:sdtPr>
        <w:sdtEndPr/>
        <w:sdtContent>
          <w:r w:rsidR="001D55BD">
            <w:fldChar w:fldCharType="begin"/>
          </w:r>
          <w:r w:rsidR="00C7576F">
            <w:instrText xml:space="preserve">CITATION Bea08 \p XVII \t  \l 3081 </w:instrText>
          </w:r>
          <w:r w:rsidR="001D55BD">
            <w:fldChar w:fldCharType="separate"/>
          </w:r>
          <w:r w:rsidR="00604A29">
            <w:rPr>
              <w:noProof/>
            </w:rPr>
            <w:t>(Beale, Fairbrother, Inglis, &amp; Trebeck, 2008, p. XVII)</w:t>
          </w:r>
          <w:r w:rsidR="001D55BD">
            <w:fldChar w:fldCharType="end"/>
          </w:r>
        </w:sdtContent>
      </w:sdt>
      <w:r w:rsidR="00847F8D">
        <w:t>.</w:t>
      </w:r>
      <w:r w:rsidR="00E61EFA">
        <w:t xml:space="preserve"> </w:t>
      </w:r>
      <w:r>
        <w:t>By contrast</w:t>
      </w:r>
      <w:r w:rsidR="00184517">
        <w:t>, b</w:t>
      </w:r>
      <w:r w:rsidR="000954E0">
        <w:t>iosecurity</w:t>
      </w:r>
      <w:r w:rsidR="00D754B1">
        <w:t xml:space="preserve"> (being a leading risk control)</w:t>
      </w:r>
      <w:r w:rsidR="000954E0">
        <w:t xml:space="preserve"> is</w:t>
      </w:r>
      <w:r w:rsidR="009F7459">
        <w:t xml:space="preserve"> more pro-active, aligned with the pre-</w:t>
      </w:r>
      <w:r w:rsidR="000954E0">
        <w:t>border</w:t>
      </w:r>
      <w:r w:rsidR="009F7459">
        <w:t>, border and post-border continuum, a multi</w:t>
      </w:r>
      <w:r w:rsidR="000954E0">
        <w:t>-</w:t>
      </w:r>
      <w:r w:rsidR="009F7459">
        <w:t>layered approach, a shift from zero risk to managed risk, from barrier prevention to border management, from ‘no, unless ...’ to ‘yes, provided ...’</w:t>
      </w:r>
    </w:p>
    <w:p w14:paraId="287F62A8" w14:textId="2C4BA3D1" w:rsidR="00751AAC" w:rsidRPr="00C15463" w:rsidRDefault="00751AAC" w:rsidP="00751AAC">
      <w:r w:rsidRPr="00C15463">
        <w:t>The Commonwealth Department of Agriculture and Water Resources has primary responsibility for implementing pre-border and border biosecurity measures. For post-border measure</w:t>
      </w:r>
      <w:r w:rsidR="003B0D2B">
        <w:t>s</w:t>
      </w:r>
      <w:r w:rsidRPr="00C15463">
        <w:t xml:space="preserve"> and programs, </w:t>
      </w:r>
      <w:r>
        <w:t>the Department</w:t>
      </w:r>
      <w:r w:rsidR="000954E0">
        <w:t xml:space="preserve"> works with State and Territory G</w:t>
      </w:r>
      <w:r w:rsidRPr="00C15463">
        <w:t>overnments via the National Biosecuri</w:t>
      </w:r>
      <w:r w:rsidR="00314D83">
        <w:t>ty Committee, and with industry</w:t>
      </w:r>
      <w:r w:rsidR="00673541">
        <w:t xml:space="preserve"> and community </w:t>
      </w:r>
      <w:r w:rsidRPr="00C15463">
        <w:t>bodies. Australia’s biosecurity system safeguards:</w:t>
      </w:r>
    </w:p>
    <w:p w14:paraId="39F88D21" w14:textId="77777777" w:rsidR="00751AAC" w:rsidRPr="00C15463" w:rsidRDefault="00751AAC" w:rsidP="00751AAC">
      <w:pPr>
        <w:pStyle w:val="ListParagraph"/>
        <w:numPr>
          <w:ilvl w:val="0"/>
          <w:numId w:val="13"/>
        </w:numPr>
      </w:pPr>
      <w:r w:rsidRPr="00C15463">
        <w:t>$6 trillion in environmental assets</w:t>
      </w:r>
    </w:p>
    <w:p w14:paraId="0F4AEEC4" w14:textId="482A20A5" w:rsidR="00751AAC" w:rsidRPr="00C15463" w:rsidRDefault="00751AAC" w:rsidP="00751AAC">
      <w:pPr>
        <w:pStyle w:val="ListParagraph"/>
        <w:numPr>
          <w:ilvl w:val="0"/>
          <w:numId w:val="13"/>
        </w:numPr>
      </w:pPr>
      <w:r w:rsidRPr="00C15463">
        <w:t xml:space="preserve">$48 billion in </w:t>
      </w:r>
      <w:r w:rsidR="000954E0">
        <w:t>annual agricultural export revenue</w:t>
      </w:r>
    </w:p>
    <w:p w14:paraId="48B680D0" w14:textId="2D36DE43" w:rsidR="00751AAC" w:rsidRPr="00C15463" w:rsidRDefault="00751AAC" w:rsidP="00751AAC">
      <w:pPr>
        <w:pStyle w:val="ListParagraph"/>
        <w:numPr>
          <w:ilvl w:val="0"/>
          <w:numId w:val="13"/>
        </w:numPr>
      </w:pPr>
      <w:r w:rsidRPr="00C15463">
        <w:t xml:space="preserve">$38 billion in </w:t>
      </w:r>
      <w:r w:rsidR="000954E0">
        <w:t xml:space="preserve">annual </w:t>
      </w:r>
      <w:r w:rsidRPr="00C15463">
        <w:t>inbound tourism</w:t>
      </w:r>
      <w:r w:rsidR="000954E0">
        <w:t xml:space="preserve"> revenue</w:t>
      </w:r>
    </w:p>
    <w:p w14:paraId="1C787A77" w14:textId="44B5C2DC" w:rsidR="00751AAC" w:rsidRDefault="00751AAC" w:rsidP="00751AAC">
      <w:pPr>
        <w:pStyle w:val="ListParagraph"/>
        <w:numPr>
          <w:ilvl w:val="0"/>
          <w:numId w:val="13"/>
        </w:numPr>
      </w:pPr>
      <w:r w:rsidRPr="00C15463">
        <w:t xml:space="preserve">1.6 million jobs across the supply chain </w:t>
      </w:r>
      <w:sdt>
        <w:sdtPr>
          <w:id w:val="-440523210"/>
          <w:citation/>
        </w:sdtPr>
        <w:sdtEndPr/>
        <w:sdtContent>
          <w:r w:rsidRPr="00C15463">
            <w:fldChar w:fldCharType="begin"/>
          </w:r>
          <w:r w:rsidRPr="00C15463">
            <w:instrText xml:space="preserve">CITATION Lit191 \t  \l 3081 </w:instrText>
          </w:r>
          <w:r w:rsidRPr="00C15463">
            <w:fldChar w:fldCharType="separate"/>
          </w:r>
          <w:r w:rsidR="00604A29">
            <w:rPr>
              <w:noProof/>
            </w:rPr>
            <w:t>(Littleproud, 2019b)</w:t>
          </w:r>
          <w:r w:rsidRPr="00C15463">
            <w:fldChar w:fldCharType="end"/>
          </w:r>
        </w:sdtContent>
      </w:sdt>
      <w:r w:rsidRPr="00C15463">
        <w:t>.</w:t>
      </w:r>
    </w:p>
    <w:p w14:paraId="496D463F" w14:textId="6A31E55B" w:rsidR="00664FF9" w:rsidRPr="00D475B3" w:rsidRDefault="00C9578B" w:rsidP="006A3AFF">
      <w:r w:rsidRPr="00D475B3">
        <w:t>The</w:t>
      </w:r>
      <w:r w:rsidR="000954E0">
        <w:t xml:space="preserve"> </w:t>
      </w:r>
      <w:r w:rsidR="000954E0" w:rsidRPr="00D475B3">
        <w:t>1996</w:t>
      </w:r>
      <w:r w:rsidRPr="00D475B3">
        <w:t xml:space="preserve"> </w:t>
      </w:r>
      <w:r w:rsidR="002A7795" w:rsidRPr="00D475B3">
        <w:t>r</w:t>
      </w:r>
      <w:r w:rsidRPr="00D475B3">
        <w:t xml:space="preserve">eview of biosecurity </w:t>
      </w:r>
      <w:r w:rsidR="00CA7477">
        <w:t>arrangements</w:t>
      </w:r>
      <w:r w:rsidR="009C4A49" w:rsidRPr="00D475B3">
        <w:t xml:space="preserve"> – </w:t>
      </w:r>
      <w:r w:rsidR="0065672E" w:rsidRPr="00D475B3">
        <w:rPr>
          <w:i/>
        </w:rPr>
        <w:t>Australian Quarantine: a shared responsibility</w:t>
      </w:r>
      <w:r w:rsidR="004A00AC" w:rsidRPr="00D475B3">
        <w:t xml:space="preserve"> </w:t>
      </w:r>
      <w:sdt>
        <w:sdtPr>
          <w:id w:val="1325321618"/>
          <w:citation/>
        </w:sdtPr>
        <w:sdtEndPr/>
        <w:sdtContent>
          <w:r w:rsidR="004A00AC" w:rsidRPr="00D475B3">
            <w:fldChar w:fldCharType="begin"/>
          </w:r>
          <w:r w:rsidR="004A00AC" w:rsidRPr="00D475B3">
            <w:instrText xml:space="preserve"> CITATION Nai96 \l 3081 </w:instrText>
          </w:r>
          <w:r w:rsidR="004A00AC" w:rsidRPr="00D475B3">
            <w:fldChar w:fldCharType="separate"/>
          </w:r>
          <w:r w:rsidR="00604A29">
            <w:rPr>
              <w:noProof/>
            </w:rPr>
            <w:t>(Nairn, Allen, Inglis, &amp; Tanner, 1996)</w:t>
          </w:r>
          <w:r w:rsidR="004A00AC" w:rsidRPr="00D475B3">
            <w:fldChar w:fldCharType="end"/>
          </w:r>
        </w:sdtContent>
      </w:sdt>
      <w:r w:rsidR="0065672E" w:rsidRPr="00D475B3">
        <w:t>,</w:t>
      </w:r>
      <w:r w:rsidR="0065672E" w:rsidRPr="00D475B3">
        <w:rPr>
          <w:rFonts w:ascii="TimesNewRomanPSMT" w:hAnsi="TimesNewRomanPSMT" w:cs="TimesNewRomanPSMT"/>
          <w:szCs w:val="22"/>
        </w:rPr>
        <w:t xml:space="preserve"> </w:t>
      </w:r>
      <w:r w:rsidR="006A3AFF" w:rsidRPr="00D475B3">
        <w:t xml:space="preserve">promoted </w:t>
      </w:r>
      <w:r w:rsidR="0089203F" w:rsidRPr="00D475B3">
        <w:t>quarantine and biosecurity arrangements</w:t>
      </w:r>
      <w:r w:rsidR="006A3AFF" w:rsidRPr="00D475B3">
        <w:t xml:space="preserve"> as a </w:t>
      </w:r>
      <w:r w:rsidR="000954E0">
        <w:t>‘</w:t>
      </w:r>
      <w:r w:rsidR="006A3AFF" w:rsidRPr="00D475B3">
        <w:t>shared responsibility</w:t>
      </w:r>
      <w:r w:rsidR="000954E0">
        <w:t>’</w:t>
      </w:r>
      <w:r w:rsidR="006A3AFF" w:rsidRPr="00D475B3">
        <w:t xml:space="preserve"> between Commonwealth and state governments, businesses and the general community</w:t>
      </w:r>
      <w:r w:rsidR="009E5DBB" w:rsidRPr="00D475B3">
        <w:t>:</w:t>
      </w:r>
    </w:p>
    <w:p w14:paraId="06F402C2" w14:textId="2F6B0E53" w:rsidR="009E5DBB" w:rsidRPr="00D475B3" w:rsidRDefault="00CE14FB" w:rsidP="00B05F7F">
      <w:pPr>
        <w:pStyle w:val="Quote"/>
      </w:pPr>
      <w:r w:rsidRPr="00D475B3">
        <w:t xml:space="preserve">Effective quarantine relies on all stakeholders </w:t>
      </w:r>
      <w:r w:rsidRPr="00D475B3">
        <w:rPr>
          <w:rFonts w:ascii="Cambria Math" w:hAnsi="Cambria Math" w:cs="Cambria Math"/>
        </w:rPr>
        <w:t>⎯</w:t>
      </w:r>
      <w:r w:rsidRPr="00D475B3">
        <w:t xml:space="preserve"> governments, industry and the general public — appreciating the importance of quarantine vigilance to everyday activities and responding accordingly. Quarantine is a shared responsibility for the benefit of all Australians. Breaches of quarantine have the potential to affect not only the agricultural and public health sectors </w:t>
      </w:r>
      <w:r w:rsidRPr="00D475B3">
        <w:rPr>
          <w:rFonts w:ascii="Cambria Math" w:hAnsi="Cambria Math" w:cs="Cambria Math"/>
        </w:rPr>
        <w:t>⎯</w:t>
      </w:r>
      <w:r w:rsidRPr="00D475B3">
        <w:t xml:space="preserve"> which are widely accepted as traditional stakeholders in quarantine </w:t>
      </w:r>
      <w:r w:rsidRPr="00D475B3">
        <w:rPr>
          <w:rFonts w:ascii="Cambria Math" w:hAnsi="Cambria Math" w:cs="Cambria Math"/>
        </w:rPr>
        <w:t>⎯</w:t>
      </w:r>
      <w:r w:rsidRPr="00D475B3">
        <w:t xml:space="preserve"> but also forestry, aquaculture, the natural environment and the general public. The Review Committee strongly endorses the adoption of a broader view of quarantine that embraces the whole Australian community. </w:t>
      </w:r>
      <w:sdt>
        <w:sdtPr>
          <w:id w:val="-453019709"/>
          <w:citation/>
        </w:sdtPr>
        <w:sdtEndPr/>
        <w:sdtContent>
          <w:r w:rsidRPr="00D475B3">
            <w:fldChar w:fldCharType="begin"/>
          </w:r>
          <w:r w:rsidR="00B05F7F" w:rsidRPr="00D475B3">
            <w:instrText xml:space="preserve">CITATION Nai96 \p 34 \t  \l 3081 </w:instrText>
          </w:r>
          <w:r w:rsidRPr="00D475B3">
            <w:fldChar w:fldCharType="separate"/>
          </w:r>
          <w:r w:rsidR="00604A29">
            <w:rPr>
              <w:noProof/>
            </w:rPr>
            <w:t>(Nairn, Allen, Inglis, &amp; Tanner, 1996, p. 34)</w:t>
          </w:r>
          <w:r w:rsidRPr="00D475B3">
            <w:fldChar w:fldCharType="end"/>
          </w:r>
        </w:sdtContent>
      </w:sdt>
    </w:p>
    <w:p w14:paraId="5F57785B" w14:textId="747CB705" w:rsidR="00B05F7F" w:rsidRPr="00D475B3" w:rsidRDefault="00E51322" w:rsidP="006A3AFF">
      <w:pPr>
        <w:rPr>
          <w:rFonts w:cs="Cambria"/>
          <w:color w:val="000000"/>
          <w:szCs w:val="22"/>
        </w:rPr>
      </w:pPr>
      <w:r w:rsidRPr="00D475B3">
        <w:t>In</w:t>
      </w:r>
      <w:r w:rsidR="00C51402" w:rsidRPr="00D475B3">
        <w:t xml:space="preserve"> 2008</w:t>
      </w:r>
      <w:r w:rsidR="00CA7477">
        <w:t>,</w:t>
      </w:r>
      <w:r w:rsidR="00C51402" w:rsidRPr="00D475B3">
        <w:t xml:space="preserve"> </w:t>
      </w:r>
      <w:r w:rsidRPr="00D475B3">
        <w:t xml:space="preserve">the </w:t>
      </w:r>
      <w:r w:rsidR="00C51402" w:rsidRPr="00D475B3">
        <w:t>Independent Review of Australia’s Quarantine and Biosecurity Arrangements</w:t>
      </w:r>
      <w:r w:rsidR="000954E0">
        <w:t xml:space="preserve"> – </w:t>
      </w:r>
      <w:r w:rsidR="000954E0">
        <w:rPr>
          <w:i/>
        </w:rPr>
        <w:t xml:space="preserve">One Biosecurity, a Working Partnership </w:t>
      </w:r>
      <w:r w:rsidR="000954E0">
        <w:t>–</w:t>
      </w:r>
      <w:r w:rsidR="00C51402" w:rsidRPr="00D475B3">
        <w:t xml:space="preserve"> </w:t>
      </w:r>
      <w:r w:rsidR="00673541">
        <w:t xml:space="preserve">(Beale Report) </w:t>
      </w:r>
      <w:sdt>
        <w:sdtPr>
          <w:id w:val="-779941882"/>
          <w:citation/>
        </w:sdtPr>
        <w:sdtEndPr/>
        <w:sdtContent>
          <w:r w:rsidR="00873B6D" w:rsidRPr="00D475B3">
            <w:fldChar w:fldCharType="begin"/>
          </w:r>
          <w:r w:rsidR="008370F4" w:rsidRPr="00D475B3">
            <w:instrText xml:space="preserve">CITATION Bea08 \p IX \t  \l 3081 </w:instrText>
          </w:r>
          <w:r w:rsidR="00873B6D" w:rsidRPr="00D475B3">
            <w:fldChar w:fldCharType="separate"/>
          </w:r>
          <w:r w:rsidR="00604A29">
            <w:rPr>
              <w:noProof/>
            </w:rPr>
            <w:t>(Beale, Fairbrother, Inglis, &amp; Trebeck, 2008, p. IX)</w:t>
          </w:r>
          <w:r w:rsidR="00873B6D" w:rsidRPr="00D475B3">
            <w:fldChar w:fldCharType="end"/>
          </w:r>
        </w:sdtContent>
      </w:sdt>
      <w:r w:rsidRPr="00D475B3">
        <w:t xml:space="preserve"> </w:t>
      </w:r>
      <w:r w:rsidR="0029692B" w:rsidRPr="00D475B3">
        <w:t xml:space="preserve">built </w:t>
      </w:r>
      <w:r w:rsidR="00314D83">
        <w:rPr>
          <w:rFonts w:cs="Cambria"/>
          <w:color w:val="000000"/>
          <w:szCs w:val="22"/>
        </w:rPr>
        <w:t>on the</w:t>
      </w:r>
      <w:r w:rsidR="00873B6D" w:rsidRPr="00D475B3">
        <w:rPr>
          <w:rFonts w:cs="Cambria"/>
          <w:color w:val="000000"/>
          <w:szCs w:val="22"/>
        </w:rPr>
        <w:t xml:space="preserve"> shared responsibility principle:</w:t>
      </w:r>
    </w:p>
    <w:p w14:paraId="30D90465" w14:textId="6EAC24C1" w:rsidR="00873B6D" w:rsidRPr="00C15463" w:rsidRDefault="004C0B8C" w:rsidP="004C0B8C">
      <w:pPr>
        <w:pStyle w:val="Quote"/>
      </w:pPr>
      <w:r w:rsidRPr="00CA7477">
        <w:t>The central theme is the development of a seamless biosecurity system that fully involves all the appropriate players—business, other nations, the states and territories and the Australian community—across pre-border, border and post-border risk management measures.</w:t>
      </w:r>
    </w:p>
    <w:p w14:paraId="4B2CF63C" w14:textId="15A0ECF3" w:rsidR="00986F8A" w:rsidRDefault="00322325" w:rsidP="004E36E0">
      <w:pPr>
        <w:pStyle w:val="Heading2"/>
      </w:pPr>
      <w:bookmarkStart w:id="6" w:name="_Toc10031878"/>
      <w:r>
        <w:t>2.2</w:t>
      </w:r>
      <w:r w:rsidR="00986F8A">
        <w:tab/>
        <w:t>Intergovernmental Agreement on Biosecurity Review</w:t>
      </w:r>
      <w:bookmarkEnd w:id="6"/>
    </w:p>
    <w:p w14:paraId="453D1FE7" w14:textId="2E15F2E7" w:rsidR="00D173AB" w:rsidRPr="0088649E" w:rsidRDefault="00D173AB" w:rsidP="00D173AB">
      <w:r>
        <w:t xml:space="preserve">The </w:t>
      </w:r>
      <w:r w:rsidR="00FA4F92">
        <w:t>B</w:t>
      </w:r>
      <w:r w:rsidR="0089236D">
        <w:t xml:space="preserve">iosecurity </w:t>
      </w:r>
      <w:r w:rsidR="00FA4F92">
        <w:t>I</w:t>
      </w:r>
      <w:r w:rsidR="0089236D">
        <w:t xml:space="preserve">mports </w:t>
      </w:r>
      <w:r w:rsidR="00FA4F92">
        <w:t>L</w:t>
      </w:r>
      <w:r w:rsidR="00314D83">
        <w:t>evy had</w:t>
      </w:r>
      <w:r>
        <w:t xml:space="preserve"> its origin in the 2017 report by </w:t>
      </w:r>
      <w:r w:rsidR="000954E0">
        <w:t>another</w:t>
      </w:r>
      <w:r>
        <w:t xml:space="preserve"> independent review of the capacity of the national biosecurity system and its underpinning Intergovernmental Agreement </w:t>
      </w:r>
      <w:sdt>
        <w:sdtPr>
          <w:id w:val="-1287192274"/>
          <w:citation/>
        </w:sdtPr>
        <w:sdtEndPr/>
        <w:sdtContent>
          <w:r>
            <w:fldChar w:fldCharType="begin"/>
          </w:r>
          <w:r>
            <w:instrText xml:space="preserve"> CITATION Cra17 \l 3081 </w:instrText>
          </w:r>
          <w:r>
            <w:fldChar w:fldCharType="separate"/>
          </w:r>
          <w:r w:rsidR="00604A29">
            <w:rPr>
              <w:noProof/>
            </w:rPr>
            <w:t>(Craik, Palmer, &amp; Sheldrake, 2017)</w:t>
          </w:r>
          <w:r>
            <w:fldChar w:fldCharType="end"/>
          </w:r>
        </w:sdtContent>
      </w:sdt>
      <w:r>
        <w:t xml:space="preserve">, referred to as the as the Intergovernmental Agreement on Biosecurity Review (IABR). The IABR set out 42 recommendations </w:t>
      </w:r>
      <w:r>
        <w:rPr>
          <w:rFonts w:cs="Cambria"/>
          <w:color w:val="000000"/>
          <w:szCs w:val="22"/>
        </w:rPr>
        <w:t>aimed at strengthening the national biosecurity system over the next five to ten-year period, to be advanced by governments, industry and other parties, including under a refreshed intergovernmental agreement</w:t>
      </w:r>
      <w:r>
        <w:t>.</w:t>
      </w:r>
    </w:p>
    <w:p w14:paraId="54FDCCE4" w14:textId="77777777" w:rsidR="00D173AB" w:rsidRDefault="00D173AB" w:rsidP="00D173AB">
      <w:r>
        <w:t>In relation to overall funding levels for the national biosecurity system, the IABR found that:</w:t>
      </w:r>
    </w:p>
    <w:p w14:paraId="27AA16DA" w14:textId="17748E0E" w:rsidR="00D173AB" w:rsidRPr="00951E26" w:rsidRDefault="00D173AB" w:rsidP="00D173AB">
      <w:pPr>
        <w:pStyle w:val="Quote"/>
      </w:pPr>
      <w:r>
        <w:t>…</w:t>
      </w:r>
      <w:r w:rsidRPr="00951E26">
        <w:t xml:space="preserve"> government appropriation funding has generally been static or in decline, while externally sourced funds (cost-recovered funds and levies) have been increasing. National system funding needs to be sufficient to fulfil governments’ obligations to the national system: the Australian Government’s components need to be sufficiently funded to achieve Australia’s legislated Appropriate Level of </w:t>
      </w:r>
      <w:r>
        <w:t>Protection</w:t>
      </w:r>
      <w:r w:rsidRPr="00951E26">
        <w:t>; and states and territories need to increase funding to meet their baseline, or core, commitments. The appropriate level of funding required—or ‘how much is enough’—to operate the national system will not be clear until the suite of high-priority pests and diseases and their biosecurity requirements have been agreed and worked through, including with key industry and community players.</w:t>
      </w:r>
      <w:r>
        <w:t xml:space="preserve"> </w:t>
      </w:r>
      <w:sdt>
        <w:sdtPr>
          <w:id w:val="-664313945"/>
          <w:citation/>
        </w:sdtPr>
        <w:sdtEndPr/>
        <w:sdtContent>
          <w:r>
            <w:fldChar w:fldCharType="begin"/>
          </w:r>
          <w:r>
            <w:instrText xml:space="preserve">CITATION Cra17 \p 2 \t  \l 3081 </w:instrText>
          </w:r>
          <w:r>
            <w:fldChar w:fldCharType="separate"/>
          </w:r>
          <w:r w:rsidR="00604A29">
            <w:rPr>
              <w:noProof/>
            </w:rPr>
            <w:t>(Craik, Palmer, &amp; Sheldrake, 2017, p. 2)</w:t>
          </w:r>
          <w:r>
            <w:fldChar w:fldCharType="end"/>
          </w:r>
        </w:sdtContent>
      </w:sdt>
    </w:p>
    <w:p w14:paraId="433B82BC" w14:textId="409C422B" w:rsidR="00D173AB" w:rsidRDefault="00D173AB" w:rsidP="00D173AB">
      <w:r>
        <w:t xml:space="preserve">However, the IABR noted that in relation to environmental pests and diseases, work to determine national priorities could not be readily located </w:t>
      </w:r>
      <w:sdt>
        <w:sdtPr>
          <w:id w:val="1127971515"/>
          <w:citation/>
        </w:sdtPr>
        <w:sdtEndPr/>
        <w:sdtContent>
          <w:r>
            <w:fldChar w:fldCharType="begin"/>
          </w:r>
          <w:r>
            <w:instrText xml:space="preserve">CITATION Cra17 \p 60 \t  \l 3081 </w:instrText>
          </w:r>
          <w:r>
            <w:fldChar w:fldCharType="separate"/>
          </w:r>
          <w:r w:rsidR="00604A29">
            <w:rPr>
              <w:noProof/>
            </w:rPr>
            <w:t>(Craik, Palmer, &amp; Sheldrake, 2017, p. 60)</w:t>
          </w:r>
          <w:r>
            <w:fldChar w:fldCharType="end"/>
          </w:r>
        </w:sdtContent>
      </w:sdt>
      <w:r>
        <w:t xml:space="preserve">. </w:t>
      </w:r>
    </w:p>
    <w:p w14:paraId="5D134275" w14:textId="2AABA2E6" w:rsidR="00D173AB" w:rsidRDefault="00D173AB" w:rsidP="00D173AB">
      <w:r>
        <w:t>In relation to funding, the IABR recommended</w:t>
      </w:r>
      <w:r w:rsidR="00841979">
        <w:t xml:space="preserve"> – and State/Territory and Commonwealth Governments later agreed –</w:t>
      </w:r>
      <w:r>
        <w:t xml:space="preserve"> </w:t>
      </w:r>
      <w:r>
        <w:rPr>
          <w:rFonts w:cs="Cambria"/>
          <w:color w:val="000000"/>
          <w:szCs w:val="22"/>
        </w:rPr>
        <w:t xml:space="preserve">that budget appropriations to all Australian governments for biosecurity </w:t>
      </w:r>
      <w:r w:rsidR="000954E0">
        <w:rPr>
          <w:rFonts w:cs="Cambria"/>
          <w:color w:val="000000"/>
          <w:szCs w:val="22"/>
        </w:rPr>
        <w:t>needed to</w:t>
      </w:r>
      <w:r>
        <w:rPr>
          <w:rFonts w:cs="Cambria"/>
          <w:color w:val="000000"/>
          <w:szCs w:val="22"/>
        </w:rPr>
        <w:t xml:space="preserve"> be at least maintained at 2016–17 levels (in real terms) </w:t>
      </w:r>
      <w:r w:rsidR="00314D83">
        <w:rPr>
          <w:rFonts w:cs="Cambria"/>
          <w:color w:val="000000"/>
          <w:szCs w:val="22"/>
        </w:rPr>
        <w:t xml:space="preserve">at least </w:t>
      </w:r>
      <w:r>
        <w:rPr>
          <w:rFonts w:cs="Cambria"/>
          <w:color w:val="000000"/>
          <w:szCs w:val="22"/>
        </w:rPr>
        <w:t>until after the next review</w:t>
      </w:r>
      <w:r>
        <w:rPr>
          <w:color w:val="000000"/>
        </w:rPr>
        <w:t>,</w:t>
      </w:r>
      <w:r>
        <w:rPr>
          <w:rFonts w:cs="Cambria"/>
          <w:color w:val="000000"/>
          <w:szCs w:val="22"/>
        </w:rPr>
        <w:t xml:space="preserve"> arguing that stable funding commitments were critical for effective planning and delivery of biosecurity activities</w:t>
      </w:r>
      <w:r w:rsidR="000C55AB">
        <w:rPr>
          <w:rFonts w:cs="Cambria"/>
          <w:color w:val="000000"/>
          <w:szCs w:val="22"/>
        </w:rPr>
        <w:t>.</w:t>
      </w:r>
      <w:sdt>
        <w:sdtPr>
          <w:rPr>
            <w:rFonts w:cs="Cambria"/>
            <w:color w:val="000000"/>
            <w:szCs w:val="22"/>
          </w:rPr>
          <w:id w:val="372430728"/>
          <w:citation/>
        </w:sdtPr>
        <w:sdtEndPr/>
        <w:sdtContent>
          <w:r>
            <w:rPr>
              <w:rFonts w:cs="Cambria"/>
              <w:color w:val="000000"/>
              <w:szCs w:val="22"/>
            </w:rPr>
            <w:fldChar w:fldCharType="begin"/>
          </w:r>
          <w:r>
            <w:rPr>
              <w:rFonts w:cs="Cambria"/>
              <w:color w:val="000000"/>
              <w:szCs w:val="22"/>
            </w:rPr>
            <w:instrText xml:space="preserve">CITATION Cra17 \p 119 \t  \l 3081 </w:instrText>
          </w:r>
          <w:r>
            <w:rPr>
              <w:rFonts w:cs="Cambria"/>
              <w:color w:val="000000"/>
              <w:szCs w:val="22"/>
            </w:rPr>
            <w:fldChar w:fldCharType="separate"/>
          </w:r>
          <w:r w:rsidR="00604A29">
            <w:rPr>
              <w:rFonts w:cs="Cambria"/>
              <w:noProof/>
              <w:color w:val="000000"/>
              <w:szCs w:val="22"/>
            </w:rPr>
            <w:t xml:space="preserve"> </w:t>
          </w:r>
          <w:r w:rsidR="00604A29" w:rsidRPr="00604A29">
            <w:rPr>
              <w:rFonts w:cs="Cambria"/>
              <w:noProof/>
              <w:color w:val="000000"/>
              <w:szCs w:val="22"/>
            </w:rPr>
            <w:t>(Craik, Palmer, &amp; Sheldrake, 2017, p. 119)</w:t>
          </w:r>
          <w:r>
            <w:rPr>
              <w:rFonts w:cs="Cambria"/>
              <w:color w:val="000000"/>
              <w:szCs w:val="22"/>
            </w:rPr>
            <w:fldChar w:fldCharType="end"/>
          </w:r>
        </w:sdtContent>
      </w:sdt>
    </w:p>
    <w:p w14:paraId="76F17826" w14:textId="0C171DD6" w:rsidR="0044671A" w:rsidRDefault="00D173AB" w:rsidP="00465E79">
      <w:pPr>
        <w:rPr>
          <w:rFonts w:cs="Cambria"/>
          <w:color w:val="000000"/>
          <w:szCs w:val="22"/>
        </w:rPr>
      </w:pPr>
      <w:r>
        <w:t xml:space="preserve">It recognised that governments did </w:t>
      </w:r>
      <w:r>
        <w:rPr>
          <w:rFonts w:cs="Cambria"/>
          <w:color w:val="000000"/>
          <w:szCs w:val="22"/>
        </w:rPr>
        <w:t xml:space="preserve">have some options to provide a more sustainable funding base, including reviewing their own cost-recovery arrangements and implementing new biosecurity levies to contribute further to funding the national biosecurity system </w:t>
      </w:r>
      <w:sdt>
        <w:sdtPr>
          <w:rPr>
            <w:rFonts w:cs="Cambria"/>
            <w:color w:val="000000"/>
            <w:szCs w:val="22"/>
          </w:rPr>
          <w:id w:val="1452752302"/>
          <w:citation/>
        </w:sdtPr>
        <w:sdtEndPr/>
        <w:sdtContent>
          <w:r>
            <w:rPr>
              <w:rFonts w:cs="Cambria"/>
              <w:color w:val="000000"/>
              <w:szCs w:val="22"/>
            </w:rPr>
            <w:fldChar w:fldCharType="begin"/>
          </w:r>
          <w:r>
            <w:rPr>
              <w:rFonts w:cs="Cambria"/>
              <w:color w:val="000000"/>
              <w:szCs w:val="22"/>
            </w:rPr>
            <w:instrText xml:space="preserve">CITATION Cra17 \p 2 \t  \l 3081 </w:instrText>
          </w:r>
          <w:r>
            <w:rPr>
              <w:rFonts w:cs="Cambria"/>
              <w:color w:val="000000"/>
              <w:szCs w:val="22"/>
            </w:rPr>
            <w:fldChar w:fldCharType="separate"/>
          </w:r>
          <w:r w:rsidR="00604A29" w:rsidRPr="00604A29">
            <w:rPr>
              <w:rFonts w:cs="Cambria"/>
              <w:noProof/>
              <w:color w:val="000000"/>
              <w:szCs w:val="22"/>
            </w:rPr>
            <w:t>(Craik, Palmer, &amp; Sheldrake, 2017, p. 2)</w:t>
          </w:r>
          <w:r>
            <w:rPr>
              <w:rFonts w:cs="Cambria"/>
              <w:color w:val="000000"/>
              <w:szCs w:val="22"/>
            </w:rPr>
            <w:fldChar w:fldCharType="end"/>
          </w:r>
        </w:sdtContent>
      </w:sdt>
      <w:r>
        <w:rPr>
          <w:rFonts w:cs="Cambria"/>
          <w:color w:val="000000"/>
          <w:szCs w:val="22"/>
        </w:rPr>
        <w:t>. To that end, recommendation 33 stated that</w:t>
      </w:r>
      <w:r w:rsidR="00F8387F">
        <w:rPr>
          <w:rFonts w:cs="Cambria"/>
          <w:color w:val="000000"/>
          <w:szCs w:val="22"/>
        </w:rPr>
        <w:t>:</w:t>
      </w:r>
    </w:p>
    <w:p w14:paraId="00EDA2AA" w14:textId="2B23C003" w:rsidR="00F8387F" w:rsidRDefault="009046E8" w:rsidP="009046E8">
      <w:pPr>
        <w:pStyle w:val="Quote"/>
      </w:pPr>
      <w:r>
        <w:t>All levels of government could help meet their budgetary challenges by reviewing biosecurity levies and rates/charges currently or potentially applying to biosecurity system participants.</w:t>
      </w:r>
    </w:p>
    <w:p w14:paraId="68985EB7" w14:textId="64B5B069" w:rsidR="0044671A" w:rsidRDefault="007D7283" w:rsidP="00465E79">
      <w:r>
        <w:t xml:space="preserve">The </w:t>
      </w:r>
      <w:r w:rsidR="00F05742">
        <w:t xml:space="preserve">IABR </w:t>
      </w:r>
      <w:r>
        <w:t xml:space="preserve">suggested the imposition of a </w:t>
      </w:r>
      <w:r w:rsidR="00463770">
        <w:t>broad</w:t>
      </w:r>
      <w:r w:rsidR="009A491B">
        <w:t>-</w:t>
      </w:r>
      <w:r w:rsidR="00463770">
        <w:t xml:space="preserve">based </w:t>
      </w:r>
      <w:r>
        <w:t xml:space="preserve">levy on </w:t>
      </w:r>
      <w:r w:rsidR="00463770">
        <w:t xml:space="preserve">both sea and air </w:t>
      </w:r>
      <w:r>
        <w:t>container</w:t>
      </w:r>
      <w:r w:rsidR="00772A3B">
        <w:t>s</w:t>
      </w:r>
      <w:r>
        <w:t xml:space="preserve"> and </w:t>
      </w:r>
      <w:r w:rsidR="00FA0927">
        <w:t>non-</w:t>
      </w:r>
      <w:r>
        <w:t xml:space="preserve">containerised </w:t>
      </w:r>
      <w:r w:rsidR="00FA0927">
        <w:t xml:space="preserve">sea freight </w:t>
      </w:r>
      <w:r w:rsidR="00075B5D">
        <w:t>where funding</w:t>
      </w:r>
      <w:r w:rsidR="00FA0927">
        <w:t xml:space="preserve"> would grow in accordance with </w:t>
      </w:r>
      <w:r w:rsidR="00075B5D">
        <w:t xml:space="preserve">the biosecurity risk posed by </w:t>
      </w:r>
      <w:r w:rsidR="00EA37B7">
        <w:t>incoming</w:t>
      </w:r>
      <w:r w:rsidR="00075B5D">
        <w:t xml:space="preserve"> freight</w:t>
      </w:r>
      <w:r w:rsidR="00F05742">
        <w:t>:</w:t>
      </w:r>
    </w:p>
    <w:p w14:paraId="07C779DF" w14:textId="680DA10C" w:rsidR="00F05742" w:rsidRDefault="00BD2265" w:rsidP="009A4D9D">
      <w:pPr>
        <w:pStyle w:val="Quote"/>
      </w:pPr>
      <w:r>
        <w:t xml:space="preserve">Much of the material of concern to the national biosecurity system, including of environmental concern, arrives via vessels and containers—either in the contents of the container or on the external surfaces of the container itself. </w:t>
      </w:r>
      <w:r w:rsidR="00706490">
        <w:t xml:space="preserve">… </w:t>
      </w:r>
      <w:r>
        <w:t>The panel is of the view that a broad-based levy on containers should be implemented to contribute towards a greater effort on environmental biosecurity and improved national monitoring and surveillance generally. The levy should be extended to non</w:t>
      </w:r>
      <w:r>
        <w:noBreakHyphen/>
        <w:t>co</w:t>
      </w:r>
      <w:r w:rsidR="009A4D9D">
        <w:t>ntainerised imports as well</w:t>
      </w:r>
      <w:r>
        <w:t>.</w:t>
      </w:r>
      <w:r w:rsidR="00075B5D">
        <w:t xml:space="preserve"> </w:t>
      </w:r>
      <w:sdt>
        <w:sdtPr>
          <w:id w:val="332572378"/>
          <w:citation/>
        </w:sdtPr>
        <w:sdtEndPr/>
        <w:sdtContent>
          <w:r w:rsidR="009F12FF">
            <w:fldChar w:fldCharType="begin"/>
          </w:r>
          <w:r w:rsidR="009F12FF">
            <w:instrText xml:space="preserve">CITATION Cra17 \p 120 \t  \l 3081 </w:instrText>
          </w:r>
          <w:r w:rsidR="009F12FF">
            <w:fldChar w:fldCharType="separate"/>
          </w:r>
          <w:r w:rsidR="00604A29">
            <w:rPr>
              <w:noProof/>
            </w:rPr>
            <w:t>(Craik, Palmer, &amp; Sheldrake, 2017, p. 120)</w:t>
          </w:r>
          <w:r w:rsidR="009F12FF">
            <w:fldChar w:fldCharType="end"/>
          </w:r>
        </w:sdtContent>
      </w:sdt>
    </w:p>
    <w:p w14:paraId="712EF143" w14:textId="5F81D593" w:rsidR="00772A3B" w:rsidRDefault="00772A3B" w:rsidP="00772A3B">
      <w:pPr>
        <w:rPr>
          <w:rFonts w:cs="Cambria"/>
          <w:color w:val="000000"/>
          <w:szCs w:val="22"/>
        </w:rPr>
      </w:pPr>
      <w:r>
        <w:t xml:space="preserve">As the IABR was </w:t>
      </w:r>
      <w:r>
        <w:rPr>
          <w:rFonts w:cs="Cambria"/>
          <w:color w:val="000000"/>
          <w:szCs w:val="22"/>
        </w:rPr>
        <w:t xml:space="preserve">of the view that inbound passengers posed a significant source of biosecurity risk, it also suggested that the Passenger Movement Charge should be increased so that inbound passengers could make a contribution to the national biosecurity system once the moratorium on further increases in the charge was lifted on 1 July 2022 </w:t>
      </w:r>
      <w:sdt>
        <w:sdtPr>
          <w:rPr>
            <w:rFonts w:cs="Cambria"/>
            <w:color w:val="000000"/>
            <w:szCs w:val="22"/>
          </w:rPr>
          <w:id w:val="1197199508"/>
          <w:citation/>
        </w:sdtPr>
        <w:sdtEndPr/>
        <w:sdtContent>
          <w:r>
            <w:rPr>
              <w:rFonts w:cs="Cambria"/>
              <w:color w:val="000000"/>
              <w:szCs w:val="22"/>
            </w:rPr>
            <w:fldChar w:fldCharType="begin"/>
          </w:r>
          <w:r>
            <w:rPr>
              <w:rFonts w:cs="Cambria"/>
              <w:color w:val="000000"/>
              <w:szCs w:val="22"/>
            </w:rPr>
            <w:instrText xml:space="preserve">CITATION Cra17 \p 122-123 \t  \l 3081 </w:instrText>
          </w:r>
          <w:r>
            <w:rPr>
              <w:rFonts w:cs="Cambria"/>
              <w:color w:val="000000"/>
              <w:szCs w:val="22"/>
            </w:rPr>
            <w:fldChar w:fldCharType="separate"/>
          </w:r>
          <w:r w:rsidR="00604A29" w:rsidRPr="00604A29">
            <w:rPr>
              <w:rFonts w:cs="Cambria"/>
              <w:noProof/>
              <w:color w:val="000000"/>
              <w:szCs w:val="22"/>
            </w:rPr>
            <w:t>(Craik, Palmer, &amp; Sheldrake, 2017, pp. 122-123)</w:t>
          </w:r>
          <w:r>
            <w:rPr>
              <w:rFonts w:cs="Cambria"/>
              <w:color w:val="000000"/>
              <w:szCs w:val="22"/>
            </w:rPr>
            <w:fldChar w:fldCharType="end"/>
          </w:r>
        </w:sdtContent>
      </w:sdt>
      <w:r w:rsidR="00717A8A">
        <w:rPr>
          <w:rFonts w:cs="Cambria"/>
          <w:color w:val="000000"/>
          <w:szCs w:val="22"/>
        </w:rPr>
        <w:t>.</w:t>
      </w:r>
    </w:p>
    <w:p w14:paraId="30EA7959" w14:textId="77777777" w:rsidR="00772A3B" w:rsidRDefault="00772A3B" w:rsidP="00772A3B">
      <w:r>
        <w:rPr>
          <w:rFonts w:cs="Cambria"/>
          <w:color w:val="000000"/>
          <w:szCs w:val="22"/>
        </w:rPr>
        <w:t>While the IABR related its recommendations to the biosecurity risk attached to import activities, it did not provide detailed assessments of the magnitude of that risk or attempt to apportion risk across different entry pathways.</w:t>
      </w:r>
    </w:p>
    <w:p w14:paraId="23D01C09" w14:textId="2E3E154A" w:rsidR="00465E79" w:rsidRDefault="00772A3B" w:rsidP="00772A3B">
      <w:pPr>
        <w:rPr>
          <w:szCs w:val="22"/>
        </w:rPr>
      </w:pPr>
      <w:r>
        <w:t>Recommendation 34 stated that</w:t>
      </w:r>
      <w:r w:rsidR="00465E79">
        <w:t>:</w:t>
      </w:r>
    </w:p>
    <w:p w14:paraId="01D0597F" w14:textId="77777777" w:rsidR="00465E79" w:rsidRDefault="00465E79" w:rsidP="00C20BDB">
      <w:pPr>
        <w:pStyle w:val="Quote"/>
      </w:pPr>
      <w:r>
        <w:t xml:space="preserve">Funding for the national biosecurity </w:t>
      </w:r>
      <w:r w:rsidRPr="00C20BDB">
        <w:t>system</w:t>
      </w:r>
      <w:r>
        <w:t xml:space="preserve"> should be increased by: </w:t>
      </w:r>
    </w:p>
    <w:p w14:paraId="3106078C" w14:textId="77777777" w:rsidR="00465E79" w:rsidRDefault="00465E79" w:rsidP="00465E79">
      <w:pPr>
        <w:pStyle w:val="Quote"/>
        <w:numPr>
          <w:ilvl w:val="0"/>
          <w:numId w:val="1"/>
        </w:numPr>
      </w:pPr>
      <w:r>
        <w:t xml:space="preserve">implementing a per-container levy on incoming shipping containers of $10 per twenty-foot equivalent unit and a levy of $5 on incoming air containers, effective from 1 July 2019 </w:t>
      </w:r>
    </w:p>
    <w:p w14:paraId="18280DAD" w14:textId="77777777" w:rsidR="004D5214" w:rsidRDefault="004D5214" w:rsidP="004D5214">
      <w:pPr>
        <w:pStyle w:val="Quote"/>
        <w:numPr>
          <w:ilvl w:val="0"/>
          <w:numId w:val="1"/>
        </w:numPr>
      </w:pPr>
      <w:r>
        <w:t xml:space="preserve">increasing the Passenger Movement Charge by $5, effective from 1 July 2022, with the revenue generated hypothecated to the Australian Government agriculture department for use nationally to enhance activities across Australia’s biosecurity system </w:t>
      </w:r>
    </w:p>
    <w:p w14:paraId="53A1763F" w14:textId="77777777" w:rsidR="004D5214" w:rsidRDefault="004D5214" w:rsidP="004D5214">
      <w:pPr>
        <w:pStyle w:val="Quote"/>
        <w:numPr>
          <w:ilvl w:val="0"/>
          <w:numId w:val="1"/>
        </w:numPr>
      </w:pPr>
      <w:r>
        <w:t xml:space="preserve">more widespread implementation by states and territories of land-based levies, with each jurisdiction to determine the magnitude of a levy based on its circumstances, but to include properties at least two hectares or greater. </w:t>
      </w:r>
    </w:p>
    <w:p w14:paraId="744224E7" w14:textId="40FE37A1" w:rsidR="004D5214" w:rsidRDefault="004D5214" w:rsidP="004D5214">
      <w:pPr>
        <w:pStyle w:val="Quote"/>
      </w:pPr>
      <w:r>
        <w:t xml:space="preserve">The revenue raised by these mechanisms should be directed to those areas of the national biosecurity system that are currently most underfunded, with a priority for strengthening environmental biosecurity activities, national monitoring and surveillance activities, </w:t>
      </w:r>
      <w:r w:rsidR="00CA7477">
        <w:t>research and innovation</w:t>
      </w:r>
      <w:r>
        <w:t xml:space="preserve"> and national communications and awareness activities. </w:t>
      </w:r>
      <w:sdt>
        <w:sdtPr>
          <w:id w:val="-639574985"/>
          <w:citation/>
        </w:sdtPr>
        <w:sdtEndPr/>
        <w:sdtContent>
          <w:r>
            <w:fldChar w:fldCharType="begin"/>
          </w:r>
          <w:r>
            <w:instrText xml:space="preserve">CITATION Cra17 \p 134 \t  \l 3081 </w:instrText>
          </w:r>
          <w:r>
            <w:fldChar w:fldCharType="separate"/>
          </w:r>
          <w:r w:rsidR="00604A29">
            <w:rPr>
              <w:noProof/>
            </w:rPr>
            <w:t>(Craik, Palmer, &amp; Sheldrake, 2017, p. 134)</w:t>
          </w:r>
          <w:r>
            <w:fldChar w:fldCharType="end"/>
          </w:r>
        </w:sdtContent>
      </w:sdt>
    </w:p>
    <w:p w14:paraId="4A423190" w14:textId="28C1C213" w:rsidR="00C1436F" w:rsidRDefault="00772A3B" w:rsidP="00C1436F">
      <w:r>
        <w:t xml:space="preserve">The IABR commented that </w:t>
      </w:r>
      <w:r>
        <w:rPr>
          <w:rFonts w:cs="Cambria"/>
          <w:color w:val="000000"/>
          <w:szCs w:val="22"/>
        </w:rPr>
        <w:t xml:space="preserve">a levy would be justifiable provided it was smaller than the discontinued user charges applied to examine 100 per cent of sea containers and was implemented for the purpose of improving environmental biosecurity and national monitoring and surveillance </w:t>
      </w:r>
      <w:sdt>
        <w:sdtPr>
          <w:rPr>
            <w:rFonts w:cs="Cambria"/>
            <w:color w:val="000000"/>
            <w:szCs w:val="22"/>
          </w:rPr>
          <w:id w:val="2100517895"/>
          <w:citation/>
        </w:sdtPr>
        <w:sdtEndPr/>
        <w:sdtContent>
          <w:r>
            <w:rPr>
              <w:rFonts w:cs="Cambria"/>
              <w:color w:val="000000"/>
              <w:szCs w:val="22"/>
            </w:rPr>
            <w:fldChar w:fldCharType="begin"/>
          </w:r>
          <w:r>
            <w:rPr>
              <w:rFonts w:cs="Cambria"/>
              <w:color w:val="000000"/>
              <w:szCs w:val="22"/>
            </w:rPr>
            <w:instrText xml:space="preserve">CITATION Cra17 \p 121 \t  \l 3081 </w:instrText>
          </w:r>
          <w:r>
            <w:rPr>
              <w:rFonts w:cs="Cambria"/>
              <w:color w:val="000000"/>
              <w:szCs w:val="22"/>
            </w:rPr>
            <w:fldChar w:fldCharType="separate"/>
          </w:r>
          <w:r w:rsidR="00604A29" w:rsidRPr="00604A29">
            <w:rPr>
              <w:rFonts w:cs="Cambria"/>
              <w:noProof/>
              <w:color w:val="000000"/>
              <w:szCs w:val="22"/>
            </w:rPr>
            <w:t>(Craik, Palmer, &amp; Sheldrake, 2017, p. 121)</w:t>
          </w:r>
          <w:r>
            <w:rPr>
              <w:rFonts w:cs="Cambria"/>
              <w:color w:val="000000"/>
              <w:szCs w:val="22"/>
            </w:rPr>
            <w:fldChar w:fldCharType="end"/>
          </w:r>
        </w:sdtContent>
      </w:sdt>
      <w:r>
        <w:rPr>
          <w:rFonts w:cs="Cambria"/>
          <w:color w:val="000000"/>
          <w:szCs w:val="22"/>
        </w:rPr>
        <w:t xml:space="preserve">. A </w:t>
      </w:r>
      <w:r>
        <w:t>shipping container levy had been applied at the rate of $30 for a consignment occupying a full container and $8 for a consignment occupying only part of a container prior to 1 December 2015 to cover the cost of e</w:t>
      </w:r>
      <w:r w:rsidRPr="00771B39">
        <w:rPr>
          <w:rFonts w:ascii="Calibri" w:hAnsi="Calibri" w:cs="Calibri"/>
          <w:color w:val="000000"/>
          <w:szCs w:val="22"/>
        </w:rPr>
        <w:t>xamining 100 per</w:t>
      </w:r>
      <w:r w:rsidR="00717A8A">
        <w:rPr>
          <w:rFonts w:ascii="Calibri" w:hAnsi="Calibri" w:cs="Calibri"/>
          <w:color w:val="000000"/>
          <w:szCs w:val="22"/>
        </w:rPr>
        <w:t xml:space="preserve"> </w:t>
      </w:r>
      <w:r w:rsidRPr="00771B39">
        <w:rPr>
          <w:rFonts w:ascii="Calibri" w:hAnsi="Calibri" w:cs="Calibri"/>
          <w:color w:val="000000"/>
          <w:szCs w:val="22"/>
        </w:rPr>
        <w:t>cent of sea containers</w:t>
      </w:r>
      <w:r>
        <w:rPr>
          <w:rFonts w:ascii="Calibri" w:hAnsi="Calibri" w:cs="Calibri"/>
          <w:color w:val="000000"/>
          <w:szCs w:val="22"/>
        </w:rPr>
        <w:t>. It was</w:t>
      </w:r>
      <w:r w:rsidRPr="00771B39">
        <w:rPr>
          <w:rFonts w:ascii="Calibri" w:hAnsi="Calibri" w:cs="Calibri"/>
          <w:color w:val="000000"/>
          <w:szCs w:val="22"/>
        </w:rPr>
        <w:t xml:space="preserve"> </w:t>
      </w:r>
      <w:r>
        <w:rPr>
          <w:rFonts w:ascii="Calibri" w:hAnsi="Calibri" w:cs="Calibri"/>
          <w:color w:val="000000"/>
          <w:szCs w:val="22"/>
        </w:rPr>
        <w:t>collected through the Full Import Declaration (FID) (</w:t>
      </w:r>
      <w:r>
        <w:t xml:space="preserve">Department of Agriculture and </w:t>
      </w:r>
      <w:r w:rsidR="00A36F80">
        <w:t>Water Resources, 2015, pp 5-6).</w:t>
      </w:r>
      <w:r w:rsidR="00F42AC9">
        <w:t xml:space="preserve"> Its termination followed acceptance that 100 per cent inspection was no longer appropriate. </w:t>
      </w:r>
    </w:p>
    <w:p w14:paraId="20B4131F" w14:textId="05DAF7F6" w:rsidR="00B02B6B" w:rsidRDefault="00772A3B" w:rsidP="00772A3B">
      <w:r>
        <w:t>In relation to a container levy, the IABR commented</w:t>
      </w:r>
      <w:r w:rsidR="00B63566">
        <w:t>:</w:t>
      </w:r>
    </w:p>
    <w:p w14:paraId="4A3FA92D" w14:textId="44DA9D21" w:rsidR="00B63566" w:rsidRDefault="00B63566" w:rsidP="00B63566">
      <w:pPr>
        <w:pStyle w:val="Quote"/>
      </w:pPr>
      <w:r>
        <w:t xml:space="preserve">The benefits of implementing </w:t>
      </w:r>
      <w:r w:rsidR="005C4782">
        <w:t>a levy on incoming containers are</w:t>
      </w:r>
      <w:r>
        <w:t xml:space="preserve"> that it is directly related to a primary risk-creating activity, revenue will reflect changes in the volume of risk material over time, and a collection mechanism has already been created. </w:t>
      </w:r>
      <w:sdt>
        <w:sdtPr>
          <w:id w:val="320939814"/>
          <w:citation/>
        </w:sdtPr>
        <w:sdtEndPr/>
        <w:sdtContent>
          <w:r>
            <w:fldChar w:fldCharType="begin"/>
          </w:r>
          <w:r>
            <w:instrText xml:space="preserve">CITATION Cra17 \p 120 \t  \l 3081 </w:instrText>
          </w:r>
          <w:r>
            <w:fldChar w:fldCharType="separate"/>
          </w:r>
          <w:r w:rsidR="00604A29">
            <w:rPr>
              <w:noProof/>
            </w:rPr>
            <w:t>(Craik, Palmer, &amp; Sheldrake, 2017, p. 120)</w:t>
          </w:r>
          <w:r>
            <w:fldChar w:fldCharType="end"/>
          </w:r>
        </w:sdtContent>
      </w:sdt>
    </w:p>
    <w:p w14:paraId="117E7021" w14:textId="2FE83919" w:rsidR="000271B8" w:rsidRDefault="005C4782" w:rsidP="00EA4D0B">
      <w:r>
        <w:t>This latter comment</w:t>
      </w:r>
      <w:r w:rsidR="000271B8">
        <w:rPr>
          <w:rFonts w:ascii="Calibri" w:hAnsi="Calibri" w:cs="Calibri"/>
          <w:color w:val="000000"/>
          <w:szCs w:val="22"/>
        </w:rPr>
        <w:t xml:space="preserve"> appear</w:t>
      </w:r>
      <w:r>
        <w:rPr>
          <w:rFonts w:ascii="Calibri" w:hAnsi="Calibri" w:cs="Calibri"/>
          <w:color w:val="000000"/>
          <w:szCs w:val="22"/>
        </w:rPr>
        <w:t>s</w:t>
      </w:r>
      <w:r w:rsidR="000271B8">
        <w:rPr>
          <w:rFonts w:ascii="Calibri" w:hAnsi="Calibri" w:cs="Calibri"/>
          <w:color w:val="000000"/>
          <w:szCs w:val="22"/>
        </w:rPr>
        <w:t xml:space="preserve"> </w:t>
      </w:r>
      <w:r>
        <w:rPr>
          <w:rFonts w:ascii="Calibri" w:hAnsi="Calibri" w:cs="Calibri"/>
          <w:color w:val="000000"/>
          <w:szCs w:val="22"/>
        </w:rPr>
        <w:t>to imply</w:t>
      </w:r>
      <w:r w:rsidR="000271B8">
        <w:rPr>
          <w:rFonts w:ascii="Calibri" w:hAnsi="Calibri" w:cs="Calibri"/>
          <w:color w:val="000000"/>
          <w:szCs w:val="22"/>
        </w:rPr>
        <w:t xml:space="preserve"> </w:t>
      </w:r>
      <w:r>
        <w:rPr>
          <w:rFonts w:ascii="Calibri" w:hAnsi="Calibri" w:cs="Calibri"/>
          <w:color w:val="000000"/>
          <w:szCs w:val="22"/>
        </w:rPr>
        <w:t>that</w:t>
      </w:r>
      <w:r w:rsidR="000271B8">
        <w:rPr>
          <w:rFonts w:ascii="Calibri" w:hAnsi="Calibri" w:cs="Calibri"/>
          <w:color w:val="000000"/>
          <w:szCs w:val="22"/>
        </w:rPr>
        <w:t xml:space="preserve"> the IABR </w:t>
      </w:r>
      <w:r>
        <w:rPr>
          <w:rFonts w:ascii="Calibri" w:hAnsi="Calibri" w:cs="Calibri"/>
          <w:color w:val="000000"/>
          <w:szCs w:val="22"/>
        </w:rPr>
        <w:t>favoured</w:t>
      </w:r>
      <w:r w:rsidR="000271B8">
        <w:rPr>
          <w:rFonts w:ascii="Calibri" w:hAnsi="Calibri" w:cs="Calibri"/>
          <w:color w:val="000000"/>
          <w:szCs w:val="22"/>
        </w:rPr>
        <w:t xml:space="preserve"> any new container levy be</w:t>
      </w:r>
      <w:r>
        <w:rPr>
          <w:rFonts w:ascii="Calibri" w:hAnsi="Calibri" w:cs="Calibri"/>
          <w:color w:val="000000"/>
          <w:szCs w:val="22"/>
        </w:rPr>
        <w:t>ing</w:t>
      </w:r>
      <w:r w:rsidR="000271B8">
        <w:rPr>
          <w:rFonts w:ascii="Calibri" w:hAnsi="Calibri" w:cs="Calibri"/>
          <w:color w:val="000000"/>
          <w:szCs w:val="22"/>
        </w:rPr>
        <w:t xml:space="preserve"> collected through the FID.</w:t>
      </w:r>
    </w:p>
    <w:p w14:paraId="0055F066" w14:textId="7A6BB7FD" w:rsidR="00EA4D0B" w:rsidRDefault="00EA4D0B" w:rsidP="00EA4D0B">
      <w:pPr>
        <w:rPr>
          <w:szCs w:val="22"/>
        </w:rPr>
      </w:pPr>
      <w:r>
        <w:t>In relation to non-containerised sea freight (bulk and break bulk), the IABR commented:</w:t>
      </w:r>
    </w:p>
    <w:p w14:paraId="029BC8D8" w14:textId="475DF25F" w:rsidR="008844A0" w:rsidRDefault="008844A0" w:rsidP="008844A0">
      <w:pPr>
        <w:pStyle w:val="Quote"/>
      </w:pPr>
      <w:r>
        <w:t xml:space="preserve">The panel believes that, on equity grounds, the levy should be expanded to include non-containerised incoming trade in the future, as the vessels themselves also create biosecurity risks. </w:t>
      </w:r>
      <w:sdt>
        <w:sdtPr>
          <w:id w:val="-1200615954"/>
          <w:citation/>
        </w:sdtPr>
        <w:sdtEndPr/>
        <w:sdtContent>
          <w:r>
            <w:fldChar w:fldCharType="begin"/>
          </w:r>
          <w:r>
            <w:instrText xml:space="preserve">CITATION Cra17 \p 121 \t  \l 3081 </w:instrText>
          </w:r>
          <w:r>
            <w:fldChar w:fldCharType="separate"/>
          </w:r>
          <w:r w:rsidR="00604A29">
            <w:rPr>
              <w:noProof/>
            </w:rPr>
            <w:t>(Craik, Palmer, &amp; Sheldrake, 2017, p. 121)</w:t>
          </w:r>
          <w:r>
            <w:fldChar w:fldCharType="end"/>
          </w:r>
        </w:sdtContent>
      </w:sdt>
    </w:p>
    <w:p w14:paraId="23750E29" w14:textId="4682E85C" w:rsidR="009A4D9D" w:rsidRDefault="005C4782" w:rsidP="009A4D9D">
      <w:pPr>
        <w:tabs>
          <w:tab w:val="left" w:pos="5625"/>
        </w:tabs>
      </w:pPr>
      <w:r>
        <w:t>There has been some conjecture, including within the Committee, as to whether this comment meant the IABR envisaged a levy also being applied to non-containerised cargo or just the vessels in which such cargo was transported. Regardless</w:t>
      </w:r>
      <w:r w:rsidR="009A4D9D">
        <w:t>, the IABR was reluctant to recommend a levy on non-containerised sea freight at that time, citing the</w:t>
      </w:r>
      <w:r w:rsidR="00673541">
        <w:t xml:space="preserve"> Department’s</w:t>
      </w:r>
      <w:r w:rsidR="009A4D9D">
        <w:t xml:space="preserve"> </w:t>
      </w:r>
      <w:r w:rsidR="009A4D9D">
        <w:rPr>
          <w:i/>
        </w:rPr>
        <w:t>Cost Recovery Implementation Statement, Biosecurity 2015-16</w:t>
      </w:r>
      <w:r w:rsidR="009A4D9D">
        <w:t>:</w:t>
      </w:r>
    </w:p>
    <w:p w14:paraId="5CAD0931" w14:textId="03909972" w:rsidR="009A4D9D" w:rsidRDefault="009A4D9D" w:rsidP="009A4D9D">
      <w:pPr>
        <w:pStyle w:val="Quote"/>
      </w:pPr>
      <w:r>
        <w:t xml:space="preserve">The department did examine other options to apply a levy to all types of imported cargo, however, there are no other cost-effective mechanisms available at this time. </w:t>
      </w:r>
      <w:sdt>
        <w:sdtPr>
          <w:id w:val="-86230592"/>
          <w:citation/>
        </w:sdtPr>
        <w:sdtEndPr/>
        <w:sdtContent>
          <w:r w:rsidR="00C87558">
            <w:fldChar w:fldCharType="begin"/>
          </w:r>
          <w:r w:rsidR="00C87558">
            <w:instrText xml:space="preserve">CITATION Dep15 \p 6 \t  \l 3081 </w:instrText>
          </w:r>
          <w:r w:rsidR="00C87558">
            <w:fldChar w:fldCharType="separate"/>
          </w:r>
          <w:r w:rsidR="00604A29">
            <w:rPr>
              <w:noProof/>
            </w:rPr>
            <w:t>(Department of Agriculture and Water Resources, 2015, p. 6)</w:t>
          </w:r>
          <w:r w:rsidR="00C87558">
            <w:fldChar w:fldCharType="end"/>
          </w:r>
        </w:sdtContent>
      </w:sdt>
    </w:p>
    <w:p w14:paraId="65DA7F4D" w14:textId="62E93065" w:rsidR="00224ACF" w:rsidRPr="00ED1354" w:rsidRDefault="00224ACF" w:rsidP="00224ACF">
      <w:r>
        <w:t xml:space="preserve">In the event that a levy on both sea and air </w:t>
      </w:r>
      <w:r w:rsidR="00A637EA">
        <w:t>containers was deemed unacceptable</w:t>
      </w:r>
      <w:r>
        <w:t xml:space="preserve">, the IABR suggested an alternative </w:t>
      </w:r>
      <w:r>
        <w:rPr>
          <w:rFonts w:cs="Cambria"/>
          <w:color w:val="000000"/>
          <w:szCs w:val="22"/>
        </w:rPr>
        <w:t xml:space="preserve">to supplement the </w:t>
      </w:r>
      <w:r w:rsidR="005C4782">
        <w:rPr>
          <w:rFonts w:cs="Cambria"/>
          <w:color w:val="000000"/>
          <w:szCs w:val="22"/>
        </w:rPr>
        <w:t xml:space="preserve">existing </w:t>
      </w:r>
      <w:r>
        <w:rPr>
          <w:rFonts w:cs="Cambria"/>
          <w:color w:val="000000"/>
          <w:szCs w:val="22"/>
        </w:rPr>
        <w:t xml:space="preserve">charge on FIDs with a levy to collect a similar amount to the proposed container charge </w:t>
      </w:r>
      <w:sdt>
        <w:sdtPr>
          <w:rPr>
            <w:rFonts w:cs="Cambria"/>
            <w:color w:val="000000"/>
            <w:szCs w:val="22"/>
          </w:rPr>
          <w:id w:val="967622908"/>
          <w:citation/>
        </w:sdtPr>
        <w:sdtEndPr/>
        <w:sdtContent>
          <w:r>
            <w:rPr>
              <w:rFonts w:cs="Cambria"/>
              <w:color w:val="000000"/>
              <w:szCs w:val="22"/>
            </w:rPr>
            <w:fldChar w:fldCharType="begin"/>
          </w:r>
          <w:r w:rsidR="004D45EE">
            <w:rPr>
              <w:rFonts w:cs="Cambria"/>
              <w:color w:val="000000"/>
              <w:szCs w:val="22"/>
            </w:rPr>
            <w:instrText xml:space="preserve">CITATION Cra17 \p 121 \t  \l 3081 </w:instrText>
          </w:r>
          <w:r>
            <w:rPr>
              <w:rFonts w:cs="Cambria"/>
              <w:color w:val="000000"/>
              <w:szCs w:val="22"/>
            </w:rPr>
            <w:fldChar w:fldCharType="separate"/>
          </w:r>
          <w:r w:rsidR="00604A29" w:rsidRPr="00604A29">
            <w:rPr>
              <w:rFonts w:cs="Cambria"/>
              <w:noProof/>
              <w:color w:val="000000"/>
              <w:szCs w:val="22"/>
            </w:rPr>
            <w:t>(Craik, Palmer, &amp; Sheldrake, 2017, p. 121)</w:t>
          </w:r>
          <w:r>
            <w:rPr>
              <w:rFonts w:cs="Cambria"/>
              <w:color w:val="000000"/>
              <w:szCs w:val="22"/>
            </w:rPr>
            <w:fldChar w:fldCharType="end"/>
          </w:r>
        </w:sdtContent>
      </w:sdt>
      <w:r>
        <w:rPr>
          <w:rFonts w:cs="Cambria"/>
          <w:color w:val="000000"/>
          <w:szCs w:val="22"/>
        </w:rPr>
        <w:t>.</w:t>
      </w:r>
      <w:r w:rsidR="00A615B3">
        <w:rPr>
          <w:rFonts w:cs="Cambria"/>
          <w:color w:val="000000"/>
          <w:szCs w:val="22"/>
        </w:rPr>
        <w:t xml:space="preserve"> The question of the FID becoming the collection mechanism for the levy is taken up later in section 6 of the report.</w:t>
      </w:r>
    </w:p>
    <w:p w14:paraId="2EE55112" w14:textId="0431A728" w:rsidR="00986F8A" w:rsidRDefault="00322325" w:rsidP="004E36E0">
      <w:pPr>
        <w:pStyle w:val="Heading2"/>
      </w:pPr>
      <w:bookmarkStart w:id="7" w:name="_Toc10031879"/>
      <w:r>
        <w:t>2.3</w:t>
      </w:r>
      <w:r w:rsidR="006C398B">
        <w:tab/>
        <w:t>2018-19 Budget Announcement</w:t>
      </w:r>
      <w:r w:rsidR="004E36E0">
        <w:t xml:space="preserve"> and Stakeholder Consultation</w:t>
      </w:r>
      <w:bookmarkEnd w:id="7"/>
    </w:p>
    <w:p w14:paraId="123D0F5F" w14:textId="24A2070B" w:rsidR="00186212" w:rsidRDefault="00186212" w:rsidP="00186212">
      <w:pPr>
        <w:rPr>
          <w:szCs w:val="22"/>
        </w:rPr>
      </w:pPr>
      <w:r>
        <w:t xml:space="preserve">The </w:t>
      </w:r>
      <w:r w:rsidR="00FA4F92">
        <w:t>B</w:t>
      </w:r>
      <w:r w:rsidR="00717A8A">
        <w:t xml:space="preserve">iosecurity </w:t>
      </w:r>
      <w:r w:rsidR="00FA4F92">
        <w:t>I</w:t>
      </w:r>
      <w:r w:rsidR="00717A8A">
        <w:t xml:space="preserve">mports </w:t>
      </w:r>
      <w:r w:rsidR="00FA4F92">
        <w:t>L</w:t>
      </w:r>
      <w:r w:rsidR="00772A3B">
        <w:t>evy</w:t>
      </w:r>
      <w:r>
        <w:t xml:space="preserve"> was announced as a revenue measure in the 2018-19 Commonwealth Budget. According to Budget Paper No. 2:</w:t>
      </w:r>
    </w:p>
    <w:p w14:paraId="4B8377AB" w14:textId="77777777" w:rsidR="00186212" w:rsidRDefault="00186212" w:rsidP="00186212">
      <w:pPr>
        <w:pStyle w:val="Quote"/>
      </w:pPr>
      <w:r>
        <w:t xml:space="preserve">As recommended by the Intergovernmental Agreement on Biosecurity Review, the Government will introduce a new levy on sea imports, imposed on port operators from 1 July 2019, to enable the Government to invest in measures that will help it detect, identify and respond to exotic pests and diseases earlier. </w:t>
      </w:r>
    </w:p>
    <w:p w14:paraId="0D92B1E4" w14:textId="5F387F93" w:rsidR="00186212" w:rsidRDefault="00186212" w:rsidP="00186212">
      <w:pPr>
        <w:pStyle w:val="Quote"/>
      </w:pPr>
      <w:r>
        <w:t xml:space="preserve">This measure will apply a $10.02 levy per twenty foot container (or equivalent) and non-containerised cargo will incur a levy of $1 per tonne. The levy will be payable on a quarterly basis. The levy is estimated to </w:t>
      </w:r>
      <w:r w:rsidR="00B63795">
        <w:t>have a gain to revenue of $360</w:t>
      </w:r>
      <w:r>
        <w:t xml:space="preserve"> million in fiscal balance terms over the forward estimates period. In underlying cash balance terms </w:t>
      </w:r>
      <w:r w:rsidR="00B63795">
        <w:t>the measure has a gain of $325</w:t>
      </w:r>
      <w:r>
        <w:t xml:space="preserve"> million over the forward estimates. The Department of Agriculture and Water Resources will administer the levy. </w:t>
      </w:r>
      <w:sdt>
        <w:sdtPr>
          <w:id w:val="-592626265"/>
          <w:citation/>
        </w:sdtPr>
        <w:sdtEndPr/>
        <w:sdtContent>
          <w:r>
            <w:fldChar w:fldCharType="begin"/>
          </w:r>
          <w:r w:rsidR="001A2F6C">
            <w:instrText xml:space="preserve">CITATION The18 \p 7 \t  \l 3081 </w:instrText>
          </w:r>
          <w:r>
            <w:fldChar w:fldCharType="separate"/>
          </w:r>
          <w:r w:rsidR="00604A29">
            <w:rPr>
              <w:noProof/>
            </w:rPr>
            <w:t>(Commonwealth of Australia, 2018, p. 7)</w:t>
          </w:r>
          <w:r>
            <w:fldChar w:fldCharType="end"/>
          </w:r>
        </w:sdtContent>
      </w:sdt>
    </w:p>
    <w:p w14:paraId="186B7A50" w14:textId="4A746DDF" w:rsidR="000A6201" w:rsidRDefault="00772A3B" w:rsidP="00B57FB8">
      <w:r>
        <w:t xml:space="preserve">During the course of the Department’s consultation with stakeholders following the 2018 Budget, the proposed scope of the </w:t>
      </w:r>
      <w:r w:rsidR="00FA4F92">
        <w:t>B</w:t>
      </w:r>
      <w:r w:rsidR="0008460C">
        <w:t xml:space="preserve">iosecurity </w:t>
      </w:r>
      <w:r w:rsidR="00FA4F92">
        <w:t>I</w:t>
      </w:r>
      <w:r w:rsidR="0008460C">
        <w:t xml:space="preserve">mports </w:t>
      </w:r>
      <w:r w:rsidR="00FA4F92">
        <w:t>L</w:t>
      </w:r>
      <w:r>
        <w:t xml:space="preserve">evy was varied in terms of the calculation of charges </w:t>
      </w:r>
      <w:r w:rsidR="001C7279">
        <w:t xml:space="preserve">as shown in </w:t>
      </w:r>
      <w:r w:rsidR="001C7279" w:rsidRPr="00F07F44">
        <w:rPr>
          <w:b/>
        </w:rPr>
        <w:t>Table 1</w:t>
      </w:r>
      <w:r w:rsidR="001C7279" w:rsidRPr="00990AF9">
        <w:t>,</w:t>
      </w:r>
      <w:r w:rsidR="001C7279">
        <w:rPr>
          <w:b/>
        </w:rPr>
        <w:t xml:space="preserve"> </w:t>
      </w:r>
      <w:r w:rsidR="004856D0">
        <w:t>as well as</w:t>
      </w:r>
      <w:r>
        <w:t xml:space="preserve"> the collection mechanism</w:t>
      </w:r>
      <w:r w:rsidR="00B57FB8">
        <w:t>.</w:t>
      </w:r>
    </w:p>
    <w:p w14:paraId="57C64AA1" w14:textId="1B5E4E0E" w:rsidR="00661704" w:rsidRDefault="00661704" w:rsidP="00661704">
      <w:pPr>
        <w:pStyle w:val="Caption"/>
        <w:spacing w:after="0"/>
      </w:pPr>
      <w:bookmarkStart w:id="8" w:name="_Toc1395429"/>
      <w:bookmarkStart w:id="9" w:name="_Toc5192909"/>
      <w:bookmarkStart w:id="10" w:name="_Toc10031672"/>
      <w:r>
        <w:t xml:space="preserve">Table </w:t>
      </w:r>
      <w:r>
        <w:fldChar w:fldCharType="begin"/>
      </w:r>
      <w:r>
        <w:rPr>
          <w:noProof/>
        </w:rPr>
        <w:instrText xml:space="preserve"> SEQ Table \* ARABIC </w:instrText>
      </w:r>
      <w:r>
        <w:fldChar w:fldCharType="separate"/>
      </w:r>
      <w:r w:rsidR="00BD638C">
        <w:rPr>
          <w:noProof/>
        </w:rPr>
        <w:t>1</w:t>
      </w:r>
      <w:r>
        <w:fldChar w:fldCharType="end"/>
      </w:r>
      <w:r>
        <w:t xml:space="preserve">: </w:t>
      </w:r>
      <w:r w:rsidR="0008460C">
        <w:t xml:space="preserve">Biosecurity Imports </w:t>
      </w:r>
      <w:r>
        <w:t>Levy Base and Rates</w:t>
      </w:r>
      <w:bookmarkEnd w:id="8"/>
      <w:bookmarkEnd w:id="9"/>
      <w:bookmarkEnd w:id="10"/>
    </w:p>
    <w:tbl>
      <w:tblPr>
        <w:tblStyle w:val="GridTable5Dark-Accent3"/>
        <w:tblW w:w="0" w:type="auto"/>
        <w:tblLook w:val="04A0" w:firstRow="1" w:lastRow="0" w:firstColumn="1" w:lastColumn="0" w:noHBand="0" w:noVBand="1"/>
      </w:tblPr>
      <w:tblGrid>
        <w:gridCol w:w="2254"/>
        <w:gridCol w:w="2254"/>
        <w:gridCol w:w="2254"/>
        <w:gridCol w:w="2254"/>
      </w:tblGrid>
      <w:tr w:rsidR="00661704" w14:paraId="1E682C69" w14:textId="77777777" w:rsidTr="00B53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D29DC2D" w14:textId="77777777" w:rsidR="00661704" w:rsidRDefault="00661704">
            <w:pPr>
              <w:spacing w:after="0"/>
              <w:rPr>
                <w:b w:val="0"/>
                <w:bCs w:val="0"/>
              </w:rPr>
            </w:pPr>
          </w:p>
        </w:tc>
        <w:tc>
          <w:tcPr>
            <w:tcW w:w="2254" w:type="dxa"/>
            <w:hideMark/>
          </w:tcPr>
          <w:p w14:paraId="79F09471" w14:textId="77777777" w:rsidR="00661704" w:rsidRDefault="00661704">
            <w:pPr>
              <w:spacing w:after="0"/>
              <w:cnfStyle w:val="100000000000" w:firstRow="1" w:lastRow="0" w:firstColumn="0" w:lastColumn="0" w:oddVBand="0" w:evenVBand="0" w:oddHBand="0" w:evenHBand="0" w:firstRowFirstColumn="0" w:firstRowLastColumn="0" w:lastRowFirstColumn="0" w:lastRowLastColumn="0"/>
              <w:rPr>
                <w:b w:val="0"/>
                <w:bCs w:val="0"/>
              </w:rPr>
            </w:pPr>
            <w:r>
              <w:rPr>
                <w:b w:val="0"/>
                <w:bCs w:val="0"/>
              </w:rPr>
              <w:t>Budget</w:t>
            </w:r>
          </w:p>
        </w:tc>
        <w:tc>
          <w:tcPr>
            <w:tcW w:w="2254" w:type="dxa"/>
            <w:hideMark/>
          </w:tcPr>
          <w:p w14:paraId="1D7BBB0C" w14:textId="13D1F1CE" w:rsidR="00661704" w:rsidRDefault="00772A3B" w:rsidP="00772A3B">
            <w:pPr>
              <w:spacing w:after="0"/>
              <w:cnfStyle w:val="100000000000" w:firstRow="1" w:lastRow="0" w:firstColumn="0" w:lastColumn="0" w:oddVBand="0" w:evenVBand="0" w:oddHBand="0" w:evenHBand="0" w:firstRowFirstColumn="0" w:firstRowLastColumn="0" w:lastRowFirstColumn="0" w:lastRowLastColumn="0"/>
              <w:rPr>
                <w:b w:val="0"/>
                <w:bCs w:val="0"/>
              </w:rPr>
            </w:pPr>
            <w:r>
              <w:rPr>
                <w:b w:val="0"/>
                <w:bCs w:val="0"/>
              </w:rPr>
              <w:t>Departmental</w:t>
            </w:r>
            <w:r w:rsidR="00661704">
              <w:rPr>
                <w:b w:val="0"/>
                <w:bCs w:val="0"/>
              </w:rPr>
              <w:t xml:space="preserve"> position (November 2018)</w:t>
            </w:r>
          </w:p>
        </w:tc>
        <w:tc>
          <w:tcPr>
            <w:tcW w:w="2254" w:type="dxa"/>
            <w:hideMark/>
          </w:tcPr>
          <w:p w14:paraId="2EC388E9" w14:textId="7836345D" w:rsidR="00661704" w:rsidRDefault="00661704" w:rsidP="00772A3B">
            <w:pPr>
              <w:spacing w:after="0"/>
              <w:cnfStyle w:val="100000000000" w:firstRow="1" w:lastRow="0" w:firstColumn="0" w:lastColumn="0" w:oddVBand="0" w:evenVBand="0" w:oddHBand="0" w:evenHBand="0" w:firstRowFirstColumn="0" w:firstRowLastColumn="0" w:lastRowFirstColumn="0" w:lastRowLastColumn="0"/>
              <w:rPr>
                <w:b w:val="0"/>
                <w:bCs w:val="0"/>
              </w:rPr>
            </w:pPr>
            <w:bookmarkStart w:id="11" w:name="_Hlk5822582"/>
            <w:r>
              <w:rPr>
                <w:b w:val="0"/>
                <w:bCs w:val="0"/>
              </w:rPr>
              <w:t>Alternative proposal by an industry party (January 2019)</w:t>
            </w:r>
            <w:bookmarkEnd w:id="11"/>
          </w:p>
        </w:tc>
      </w:tr>
      <w:tr w:rsidR="00661704" w14:paraId="7459F0E4" w14:textId="77777777" w:rsidTr="00B53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hideMark/>
          </w:tcPr>
          <w:p w14:paraId="1D7C82DA" w14:textId="77777777" w:rsidR="00661704" w:rsidRDefault="00661704">
            <w:pPr>
              <w:spacing w:after="0"/>
              <w:rPr>
                <w:b w:val="0"/>
                <w:bCs w:val="0"/>
              </w:rPr>
            </w:pPr>
            <w:r>
              <w:rPr>
                <w:b w:val="0"/>
                <w:bCs w:val="0"/>
              </w:rPr>
              <w:t>Vessels</w:t>
            </w:r>
          </w:p>
        </w:tc>
        <w:tc>
          <w:tcPr>
            <w:tcW w:w="2254" w:type="dxa"/>
            <w:hideMark/>
          </w:tcPr>
          <w:p w14:paraId="4CB49C58" w14:textId="77777777" w:rsidR="00661704" w:rsidRDefault="00661704">
            <w:pPr>
              <w:spacing w:after="0"/>
              <w:cnfStyle w:val="000000100000" w:firstRow="0" w:lastRow="0" w:firstColumn="0" w:lastColumn="0" w:oddVBand="0" w:evenVBand="0" w:oddHBand="1" w:evenHBand="0" w:firstRowFirstColumn="0" w:firstRowLastColumn="0" w:lastRowFirstColumn="0" w:lastRowLastColumn="0"/>
            </w:pPr>
            <w:r>
              <w:t>N/A</w:t>
            </w:r>
          </w:p>
        </w:tc>
        <w:tc>
          <w:tcPr>
            <w:tcW w:w="2254" w:type="dxa"/>
            <w:hideMark/>
          </w:tcPr>
          <w:p w14:paraId="47DEA9D2" w14:textId="77777777" w:rsidR="00661704" w:rsidRDefault="00661704">
            <w:pPr>
              <w:spacing w:after="0"/>
              <w:cnfStyle w:val="000000100000" w:firstRow="0" w:lastRow="0" w:firstColumn="0" w:lastColumn="0" w:oddVBand="0" w:evenVBand="0" w:oddHBand="1" w:evenHBand="0" w:firstRowFirstColumn="0" w:firstRowLastColumn="0" w:lastRowFirstColumn="0" w:lastRowLastColumn="0"/>
            </w:pPr>
            <w:r>
              <w:t>$0.027 per ton vessel gross tonnage</w:t>
            </w:r>
          </w:p>
        </w:tc>
        <w:tc>
          <w:tcPr>
            <w:tcW w:w="2254" w:type="dxa"/>
            <w:hideMark/>
          </w:tcPr>
          <w:p w14:paraId="4425AC90" w14:textId="77777777" w:rsidR="00661704" w:rsidRDefault="00661704">
            <w:pPr>
              <w:spacing w:after="0"/>
              <w:cnfStyle w:val="000000100000" w:firstRow="0" w:lastRow="0" w:firstColumn="0" w:lastColumn="0" w:oddVBand="0" w:evenVBand="0" w:oddHBand="1" w:evenHBand="0" w:firstRowFirstColumn="0" w:firstRowLastColumn="0" w:lastRowFirstColumn="0" w:lastRowLastColumn="0"/>
            </w:pPr>
            <w:r>
              <w:t>$0.059 per ton vessel gross tonnage</w:t>
            </w:r>
          </w:p>
        </w:tc>
      </w:tr>
      <w:tr w:rsidR="00661704" w14:paraId="1E03E4B1" w14:textId="77777777" w:rsidTr="00B53DF7">
        <w:tc>
          <w:tcPr>
            <w:cnfStyle w:val="001000000000" w:firstRow="0" w:lastRow="0" w:firstColumn="1" w:lastColumn="0" w:oddVBand="0" w:evenVBand="0" w:oddHBand="0" w:evenHBand="0" w:firstRowFirstColumn="0" w:firstRowLastColumn="0" w:lastRowFirstColumn="0" w:lastRowLastColumn="0"/>
            <w:tcW w:w="2254" w:type="dxa"/>
            <w:hideMark/>
          </w:tcPr>
          <w:p w14:paraId="397B6034" w14:textId="77777777" w:rsidR="00661704" w:rsidRDefault="00661704">
            <w:pPr>
              <w:spacing w:after="0"/>
              <w:rPr>
                <w:b w:val="0"/>
                <w:bCs w:val="0"/>
              </w:rPr>
            </w:pPr>
            <w:r>
              <w:rPr>
                <w:b w:val="0"/>
                <w:bCs w:val="0"/>
              </w:rPr>
              <w:t>Containers</w:t>
            </w:r>
          </w:p>
        </w:tc>
        <w:tc>
          <w:tcPr>
            <w:tcW w:w="2254" w:type="dxa"/>
            <w:hideMark/>
          </w:tcPr>
          <w:p w14:paraId="4D266AA7" w14:textId="77777777" w:rsidR="00661704" w:rsidRDefault="00661704">
            <w:pPr>
              <w:spacing w:after="0"/>
              <w:cnfStyle w:val="000000000000" w:firstRow="0" w:lastRow="0" w:firstColumn="0" w:lastColumn="0" w:oddVBand="0" w:evenVBand="0" w:oddHBand="0" w:evenHBand="0" w:firstRowFirstColumn="0" w:firstRowLastColumn="0" w:lastRowFirstColumn="0" w:lastRowLastColumn="0"/>
            </w:pPr>
            <w:r>
              <w:t>$10.02 per twenty foot equivalent unit (TEU)</w:t>
            </w:r>
          </w:p>
        </w:tc>
        <w:tc>
          <w:tcPr>
            <w:tcW w:w="2254" w:type="dxa"/>
            <w:hideMark/>
          </w:tcPr>
          <w:p w14:paraId="55D6789C" w14:textId="77777777" w:rsidR="00661704" w:rsidRDefault="00661704">
            <w:pPr>
              <w:spacing w:after="0"/>
              <w:cnfStyle w:val="000000000000" w:firstRow="0" w:lastRow="0" w:firstColumn="0" w:lastColumn="0" w:oddVBand="0" w:evenVBand="0" w:oddHBand="0" w:evenHBand="0" w:firstRowFirstColumn="0" w:firstRowLastColumn="0" w:lastRowFirstColumn="0" w:lastRowLastColumn="0"/>
            </w:pPr>
            <w:r>
              <w:t>$10 per TEU</w:t>
            </w:r>
          </w:p>
        </w:tc>
        <w:tc>
          <w:tcPr>
            <w:tcW w:w="2254" w:type="dxa"/>
            <w:hideMark/>
          </w:tcPr>
          <w:p w14:paraId="1FDDE0C0" w14:textId="77777777" w:rsidR="00661704" w:rsidRDefault="00661704">
            <w:pPr>
              <w:spacing w:after="0"/>
              <w:cnfStyle w:val="000000000000" w:firstRow="0" w:lastRow="0" w:firstColumn="0" w:lastColumn="0" w:oddVBand="0" w:evenVBand="0" w:oddHBand="0" w:evenHBand="0" w:firstRowFirstColumn="0" w:firstRowLastColumn="0" w:lastRowFirstColumn="0" w:lastRowLastColumn="0"/>
            </w:pPr>
            <w:r>
              <w:t>$10 per TEU</w:t>
            </w:r>
          </w:p>
        </w:tc>
      </w:tr>
      <w:tr w:rsidR="00661704" w14:paraId="1EFCA463" w14:textId="77777777" w:rsidTr="00B53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hideMark/>
          </w:tcPr>
          <w:p w14:paraId="166923F5" w14:textId="77777777" w:rsidR="00661704" w:rsidRDefault="00661704">
            <w:pPr>
              <w:spacing w:after="0"/>
              <w:rPr>
                <w:b w:val="0"/>
                <w:bCs w:val="0"/>
              </w:rPr>
            </w:pPr>
            <w:r>
              <w:rPr>
                <w:b w:val="0"/>
                <w:bCs w:val="0"/>
              </w:rPr>
              <w:t>Break bulk cargo</w:t>
            </w:r>
          </w:p>
        </w:tc>
        <w:tc>
          <w:tcPr>
            <w:tcW w:w="2254" w:type="dxa"/>
            <w:hideMark/>
          </w:tcPr>
          <w:p w14:paraId="5A9536AF" w14:textId="77777777" w:rsidR="00661704" w:rsidRDefault="00661704">
            <w:pPr>
              <w:spacing w:after="0"/>
              <w:cnfStyle w:val="000000100000" w:firstRow="0" w:lastRow="0" w:firstColumn="0" w:lastColumn="0" w:oddVBand="0" w:evenVBand="0" w:oddHBand="1" w:evenHBand="0" w:firstRowFirstColumn="0" w:firstRowLastColumn="0" w:lastRowFirstColumn="0" w:lastRowLastColumn="0"/>
            </w:pPr>
            <w:r>
              <w:t>$1 per metric tonne</w:t>
            </w:r>
          </w:p>
        </w:tc>
        <w:tc>
          <w:tcPr>
            <w:tcW w:w="2254" w:type="dxa"/>
            <w:hideMark/>
          </w:tcPr>
          <w:p w14:paraId="295FB8C2" w14:textId="77777777" w:rsidR="00661704" w:rsidRDefault="00661704">
            <w:pPr>
              <w:spacing w:after="0"/>
              <w:cnfStyle w:val="000000100000" w:firstRow="0" w:lastRow="0" w:firstColumn="0" w:lastColumn="0" w:oddVBand="0" w:evenVBand="0" w:oddHBand="1" w:evenHBand="0" w:firstRowFirstColumn="0" w:firstRowLastColumn="0" w:lastRowFirstColumn="0" w:lastRowLastColumn="0"/>
            </w:pPr>
            <w:r>
              <w:t>$1 per metric tonne</w:t>
            </w:r>
          </w:p>
        </w:tc>
        <w:tc>
          <w:tcPr>
            <w:tcW w:w="2254" w:type="dxa"/>
            <w:hideMark/>
          </w:tcPr>
          <w:p w14:paraId="583FB481" w14:textId="77777777" w:rsidR="00661704" w:rsidRDefault="00661704">
            <w:pPr>
              <w:spacing w:after="0"/>
              <w:cnfStyle w:val="000000100000" w:firstRow="0" w:lastRow="0" w:firstColumn="0" w:lastColumn="0" w:oddVBand="0" w:evenVBand="0" w:oddHBand="1" w:evenHBand="0" w:firstRowFirstColumn="0" w:firstRowLastColumn="0" w:lastRowFirstColumn="0" w:lastRowLastColumn="0"/>
            </w:pPr>
            <w:r>
              <w:t>$1 per metric tonne</w:t>
            </w:r>
          </w:p>
        </w:tc>
      </w:tr>
      <w:tr w:rsidR="00661704" w14:paraId="3189A391" w14:textId="77777777" w:rsidTr="00B53DF7">
        <w:tc>
          <w:tcPr>
            <w:cnfStyle w:val="001000000000" w:firstRow="0" w:lastRow="0" w:firstColumn="1" w:lastColumn="0" w:oddVBand="0" w:evenVBand="0" w:oddHBand="0" w:evenHBand="0" w:firstRowFirstColumn="0" w:firstRowLastColumn="0" w:lastRowFirstColumn="0" w:lastRowLastColumn="0"/>
            <w:tcW w:w="2254" w:type="dxa"/>
            <w:hideMark/>
          </w:tcPr>
          <w:p w14:paraId="5D3B368A" w14:textId="77777777" w:rsidR="00661704" w:rsidRDefault="00661704">
            <w:pPr>
              <w:spacing w:after="0"/>
              <w:rPr>
                <w:b w:val="0"/>
                <w:bCs w:val="0"/>
              </w:rPr>
            </w:pPr>
            <w:r>
              <w:rPr>
                <w:b w:val="0"/>
                <w:bCs w:val="0"/>
              </w:rPr>
              <w:t>Bulk cargo</w:t>
            </w:r>
          </w:p>
        </w:tc>
        <w:tc>
          <w:tcPr>
            <w:tcW w:w="2254" w:type="dxa"/>
            <w:hideMark/>
          </w:tcPr>
          <w:p w14:paraId="43A83E66" w14:textId="77777777" w:rsidR="00661704" w:rsidRDefault="00661704">
            <w:pPr>
              <w:spacing w:after="0"/>
              <w:cnfStyle w:val="000000000000" w:firstRow="0" w:lastRow="0" w:firstColumn="0" w:lastColumn="0" w:oddVBand="0" w:evenVBand="0" w:oddHBand="0" w:evenHBand="0" w:firstRowFirstColumn="0" w:firstRowLastColumn="0" w:lastRowFirstColumn="0" w:lastRowLastColumn="0"/>
            </w:pPr>
            <w:r>
              <w:t>$1 per metric tonne</w:t>
            </w:r>
          </w:p>
        </w:tc>
        <w:tc>
          <w:tcPr>
            <w:tcW w:w="2254" w:type="dxa"/>
            <w:hideMark/>
          </w:tcPr>
          <w:p w14:paraId="286EA8F8" w14:textId="77777777" w:rsidR="00661704" w:rsidRDefault="00661704">
            <w:pPr>
              <w:spacing w:after="0"/>
              <w:cnfStyle w:val="000000000000" w:firstRow="0" w:lastRow="0" w:firstColumn="0" w:lastColumn="0" w:oddVBand="0" w:evenVBand="0" w:oddHBand="0" w:evenHBand="0" w:firstRowFirstColumn="0" w:firstRowLastColumn="0" w:lastRowFirstColumn="0" w:lastRowLastColumn="0"/>
            </w:pPr>
            <w:r>
              <w:t>$0.50 per metric tonne</w:t>
            </w:r>
          </w:p>
        </w:tc>
        <w:tc>
          <w:tcPr>
            <w:tcW w:w="2254" w:type="dxa"/>
            <w:hideMark/>
          </w:tcPr>
          <w:p w14:paraId="38550ABC" w14:textId="77777777" w:rsidR="00661704" w:rsidRDefault="00661704">
            <w:pPr>
              <w:spacing w:after="0"/>
              <w:cnfStyle w:val="000000000000" w:firstRow="0" w:lastRow="0" w:firstColumn="0" w:lastColumn="0" w:oddVBand="0" w:evenVBand="0" w:oddHBand="0" w:evenHBand="0" w:firstRowFirstColumn="0" w:firstRowLastColumn="0" w:lastRowFirstColumn="0" w:lastRowLastColumn="0"/>
            </w:pPr>
            <w:r>
              <w:t>N/A</w:t>
            </w:r>
          </w:p>
        </w:tc>
      </w:tr>
      <w:tr w:rsidR="00661704" w14:paraId="3BB2601D" w14:textId="77777777" w:rsidTr="00B53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hideMark/>
          </w:tcPr>
          <w:p w14:paraId="0854C047" w14:textId="77777777" w:rsidR="00661704" w:rsidRDefault="00661704">
            <w:pPr>
              <w:spacing w:after="0"/>
              <w:rPr>
                <w:b w:val="0"/>
                <w:bCs w:val="0"/>
              </w:rPr>
            </w:pPr>
            <w:r>
              <w:rPr>
                <w:b w:val="0"/>
                <w:bCs w:val="0"/>
              </w:rPr>
              <w:t>Total revenue</w:t>
            </w:r>
          </w:p>
        </w:tc>
        <w:tc>
          <w:tcPr>
            <w:tcW w:w="2254" w:type="dxa"/>
            <w:hideMark/>
          </w:tcPr>
          <w:p w14:paraId="36612C06" w14:textId="77777777" w:rsidR="00661704" w:rsidRDefault="00661704">
            <w:pPr>
              <w:spacing w:after="0"/>
              <w:cnfStyle w:val="000000100000" w:firstRow="0" w:lastRow="0" w:firstColumn="0" w:lastColumn="0" w:oddVBand="0" w:evenVBand="0" w:oddHBand="1" w:evenHBand="0" w:firstRowFirstColumn="0" w:firstRowLastColumn="0" w:lastRowFirstColumn="0" w:lastRowLastColumn="0"/>
            </w:pPr>
            <w:r>
              <w:t xml:space="preserve">$325m over three year forward estimates </w:t>
            </w:r>
          </w:p>
        </w:tc>
        <w:tc>
          <w:tcPr>
            <w:tcW w:w="2254" w:type="dxa"/>
            <w:hideMark/>
          </w:tcPr>
          <w:p w14:paraId="48E2BFEA" w14:textId="77777777" w:rsidR="00661704" w:rsidRDefault="00661704">
            <w:pPr>
              <w:spacing w:after="0"/>
              <w:cnfStyle w:val="000000100000" w:firstRow="0" w:lastRow="0" w:firstColumn="0" w:lastColumn="0" w:oddVBand="0" w:evenVBand="0" w:oddHBand="1" w:evenHBand="0" w:firstRowFirstColumn="0" w:firstRowLastColumn="0" w:lastRowFirstColumn="0" w:lastRowLastColumn="0"/>
            </w:pPr>
            <w:r>
              <w:t xml:space="preserve">$325m over three year forward estimates </w:t>
            </w:r>
          </w:p>
        </w:tc>
        <w:tc>
          <w:tcPr>
            <w:tcW w:w="2254" w:type="dxa"/>
            <w:hideMark/>
          </w:tcPr>
          <w:p w14:paraId="3DE956C4" w14:textId="77777777" w:rsidR="00661704" w:rsidRDefault="00661704">
            <w:pPr>
              <w:spacing w:after="0"/>
              <w:cnfStyle w:val="000000100000" w:firstRow="0" w:lastRow="0" w:firstColumn="0" w:lastColumn="0" w:oddVBand="0" w:evenVBand="0" w:oddHBand="1" w:evenHBand="0" w:firstRowFirstColumn="0" w:firstRowLastColumn="0" w:lastRowFirstColumn="0" w:lastRowLastColumn="0"/>
            </w:pPr>
            <w:r>
              <w:t xml:space="preserve">$325m over three year forward estimates </w:t>
            </w:r>
          </w:p>
        </w:tc>
      </w:tr>
    </w:tbl>
    <w:p w14:paraId="451E1A3E" w14:textId="0C20AC9B" w:rsidR="00661704" w:rsidRPr="00B63795" w:rsidRDefault="00661704" w:rsidP="00181A16">
      <w:pPr>
        <w:spacing w:before="0"/>
        <w:rPr>
          <w:rFonts w:eastAsiaTheme="minorHAnsi" w:cstheme="minorBidi"/>
          <w:sz w:val="18"/>
          <w:szCs w:val="18"/>
        </w:rPr>
      </w:pPr>
      <w:r w:rsidRPr="00B63795">
        <w:rPr>
          <w:sz w:val="18"/>
          <w:szCs w:val="18"/>
        </w:rPr>
        <w:t xml:space="preserve">Source: </w:t>
      </w:r>
      <w:r w:rsidR="00772A3B" w:rsidRPr="00B63795">
        <w:rPr>
          <w:sz w:val="18"/>
          <w:szCs w:val="18"/>
        </w:rPr>
        <w:t>Department of Agriculture and Water Resources</w:t>
      </w:r>
      <w:r w:rsidRPr="00B63795">
        <w:rPr>
          <w:sz w:val="18"/>
          <w:szCs w:val="18"/>
        </w:rPr>
        <w:t xml:space="preserve"> </w:t>
      </w:r>
      <w:sdt>
        <w:sdtPr>
          <w:rPr>
            <w:sz w:val="18"/>
            <w:szCs w:val="18"/>
          </w:rPr>
          <w:id w:val="519594143"/>
          <w:citation/>
        </w:sdtPr>
        <w:sdtEndPr/>
        <w:sdtContent>
          <w:r w:rsidR="00181A16" w:rsidRPr="00B63795">
            <w:rPr>
              <w:sz w:val="18"/>
              <w:szCs w:val="18"/>
            </w:rPr>
            <w:fldChar w:fldCharType="begin"/>
          </w:r>
          <w:r w:rsidR="00551AC5" w:rsidRPr="00B63795">
            <w:rPr>
              <w:sz w:val="18"/>
              <w:szCs w:val="18"/>
            </w:rPr>
            <w:instrText xml:space="preserve">CITATION Dep8b1 \n  \t  \m Dep9a \n  \t  \l 3081 </w:instrText>
          </w:r>
          <w:r w:rsidR="00181A16" w:rsidRPr="00B63795">
            <w:rPr>
              <w:sz w:val="18"/>
              <w:szCs w:val="18"/>
            </w:rPr>
            <w:fldChar w:fldCharType="separate"/>
          </w:r>
          <w:r w:rsidR="00604A29" w:rsidRPr="00604A29">
            <w:rPr>
              <w:noProof/>
              <w:sz w:val="18"/>
              <w:szCs w:val="18"/>
            </w:rPr>
            <w:t>(2018b; 2019a)</w:t>
          </w:r>
          <w:r w:rsidR="00181A16" w:rsidRPr="00B63795">
            <w:rPr>
              <w:sz w:val="18"/>
              <w:szCs w:val="18"/>
            </w:rPr>
            <w:fldChar w:fldCharType="end"/>
          </w:r>
        </w:sdtContent>
      </w:sdt>
      <w:r w:rsidR="008E4CC4">
        <w:rPr>
          <w:sz w:val="18"/>
          <w:szCs w:val="18"/>
        </w:rPr>
        <w:t>.</w:t>
      </w:r>
    </w:p>
    <w:p w14:paraId="4AC7B4A3" w14:textId="601996D2" w:rsidR="00772A3B" w:rsidRDefault="005C4782" w:rsidP="00772A3B">
      <w:r>
        <w:t>While the original B</w:t>
      </w:r>
      <w:r w:rsidR="00772A3B">
        <w:t xml:space="preserve">udget measure was formulated in terms of a $10.02 levy per TEU and non-containerised cargo of $1 per tonne, the Department subsequently put forward variations to the Budget measure in response to stakeholder concerns, especially regarding </w:t>
      </w:r>
      <w:r w:rsidR="00B63795">
        <w:t xml:space="preserve">what was </w:t>
      </w:r>
      <w:r>
        <w:t>claimed</w:t>
      </w:r>
      <w:r w:rsidR="00B63795">
        <w:t xml:space="preserve"> to be an</w:t>
      </w:r>
      <w:r w:rsidR="00772A3B">
        <w:t xml:space="preserve"> undue burden imposed on bulk cargoes. The proposed levy on bulk cargo was reduced, with</w:t>
      </w:r>
      <w:r w:rsidR="00B63795">
        <w:t xml:space="preserve"> the revenue shortfall made-</w:t>
      </w:r>
      <w:r w:rsidR="00772A3B">
        <w:t xml:space="preserve">up from a charge based on vessel gross tonnage, which would </w:t>
      </w:r>
      <w:r w:rsidR="00B63795">
        <w:t>include</w:t>
      </w:r>
      <w:r w:rsidR="00772A3B">
        <w:t xml:space="preserve"> vessels arriving in ballast to load export cargo, as well as cruise vessels. </w:t>
      </w:r>
    </w:p>
    <w:p w14:paraId="6A69B0E5" w14:textId="4AA7BF0A" w:rsidR="00772A3B" w:rsidRDefault="00772A3B" w:rsidP="00772A3B">
      <w:r>
        <w:t xml:space="preserve">Discussion regarding the imposition point also moved during the course of the Department’s consultations. The 2018-19 Budget Papers indicated that the </w:t>
      </w:r>
      <w:r w:rsidR="00FA4F92">
        <w:t>B</w:t>
      </w:r>
      <w:r w:rsidR="0008460C">
        <w:t xml:space="preserve">iosecurity </w:t>
      </w:r>
      <w:r w:rsidR="00FA4F92">
        <w:t>I</w:t>
      </w:r>
      <w:r w:rsidR="0008460C">
        <w:t xml:space="preserve">mports </w:t>
      </w:r>
      <w:r w:rsidR="00FA4F92">
        <w:t>L</w:t>
      </w:r>
      <w:r>
        <w:t xml:space="preserve">evy would be collected from ‘port operators’ (stevedores). Subsequent discussion canvassed the possibility of applying the tax at other points in the supply chain with the Department proposing in November 2018 that the </w:t>
      </w:r>
      <w:r w:rsidR="00FA4F92">
        <w:t>B</w:t>
      </w:r>
      <w:r w:rsidR="00BC57B7">
        <w:t xml:space="preserve">iosecurity </w:t>
      </w:r>
      <w:r w:rsidR="00FA4F92">
        <w:t>I</w:t>
      </w:r>
      <w:r w:rsidR="00BC57B7">
        <w:t xml:space="preserve">mports </w:t>
      </w:r>
      <w:r w:rsidR="00FA4F92">
        <w:t>L</w:t>
      </w:r>
      <w:r>
        <w:t xml:space="preserve">evy be applied to ‘vessel owners, operators or their agents’. </w:t>
      </w:r>
    </w:p>
    <w:p w14:paraId="3A5B5F85" w14:textId="08EF8C5D" w:rsidR="00181A16" w:rsidRDefault="00772A3B" w:rsidP="00772A3B">
      <w:pPr>
        <w:rPr>
          <w:szCs w:val="22"/>
        </w:rPr>
      </w:pPr>
      <w:r>
        <w:t xml:space="preserve">During the course of consultations, multiple justifications were offered for the </w:t>
      </w:r>
      <w:r w:rsidR="00FA4F92">
        <w:t>Biosecurity Imports Levy</w:t>
      </w:r>
      <w:r>
        <w:t>. Stakeholders were initially informed that it was introduced in order to build the Department’s biosecurity detection and response capabilities. The Budget measure indicated that the levy would</w:t>
      </w:r>
      <w:r w:rsidR="00181A16">
        <w:t xml:space="preserve">: </w:t>
      </w:r>
    </w:p>
    <w:p w14:paraId="5E6C49F4" w14:textId="3946143F" w:rsidR="00181A16" w:rsidRDefault="00AE082B" w:rsidP="00181A16">
      <w:pPr>
        <w:pStyle w:val="Quote"/>
      </w:pPr>
      <w:r>
        <w:t xml:space="preserve">… </w:t>
      </w:r>
      <w:r w:rsidR="00181A16">
        <w:t xml:space="preserve">enable the Government to invest in measures that will help it detect, identify and respond to exotic pests and diseases earlier. </w:t>
      </w:r>
      <w:sdt>
        <w:sdtPr>
          <w:id w:val="-2014440227"/>
          <w:citation/>
        </w:sdtPr>
        <w:sdtEndPr/>
        <w:sdtContent>
          <w:r w:rsidR="00181A16">
            <w:fldChar w:fldCharType="begin"/>
          </w:r>
          <w:r w:rsidR="001A2F6C">
            <w:instrText xml:space="preserve">CITATION The18 \p 7 \t  \l 3081 </w:instrText>
          </w:r>
          <w:r w:rsidR="00181A16">
            <w:fldChar w:fldCharType="separate"/>
          </w:r>
          <w:r w:rsidR="00604A29">
            <w:rPr>
              <w:noProof/>
            </w:rPr>
            <w:t>(Commonwealth of Australia, 2018, p. 7)</w:t>
          </w:r>
          <w:r w:rsidR="00181A16">
            <w:fldChar w:fldCharType="end"/>
          </w:r>
        </w:sdtContent>
      </w:sdt>
    </w:p>
    <w:p w14:paraId="7155527D" w14:textId="5127A352" w:rsidR="00772A3B" w:rsidRDefault="00772A3B" w:rsidP="00772A3B">
      <w:r>
        <w:t>Subsequent advice suggested that the levy would help fund a more general range of activities:</w:t>
      </w:r>
    </w:p>
    <w:p w14:paraId="52C6ABDA" w14:textId="49C5E371" w:rsidR="00772A3B" w:rsidRPr="00B63795" w:rsidRDefault="00772A3B" w:rsidP="00B63795">
      <w:pPr>
        <w:pStyle w:val="Quote"/>
        <w:rPr>
          <w:rFonts w:ascii="Cambria" w:eastAsia="Times New Roman" w:hAnsi="Cambria" w:cs="Cambria"/>
          <w:color w:val="000000"/>
        </w:rPr>
      </w:pPr>
      <w:r>
        <w:t>The levy will fund activities that cannot be cost recovered</w:t>
      </w:r>
      <w:r w:rsidR="00B63795">
        <w:rPr>
          <w:rFonts w:ascii="Cambria" w:eastAsia="Times New Roman" w:hAnsi="Cambria" w:cs="Cambria"/>
          <w:color w:val="000000"/>
        </w:rPr>
        <w:t xml:space="preserve">. </w:t>
      </w:r>
      <w:r>
        <w:t>This may include:</w:t>
      </w:r>
    </w:p>
    <w:p w14:paraId="2ABB9FD7" w14:textId="77777777" w:rsidR="00772A3B" w:rsidRPr="0044145F" w:rsidRDefault="00772A3B" w:rsidP="00772A3B">
      <w:pPr>
        <w:pStyle w:val="Quote"/>
        <w:numPr>
          <w:ilvl w:val="0"/>
          <w:numId w:val="4"/>
        </w:numPr>
        <w:spacing w:before="0"/>
      </w:pPr>
      <w:r w:rsidRPr="0044145F">
        <w:t>onshore surveillance</w:t>
      </w:r>
    </w:p>
    <w:p w14:paraId="7AEFC62E" w14:textId="77777777" w:rsidR="00772A3B" w:rsidRPr="0044145F" w:rsidRDefault="00772A3B" w:rsidP="00772A3B">
      <w:pPr>
        <w:pStyle w:val="Quote"/>
        <w:numPr>
          <w:ilvl w:val="0"/>
          <w:numId w:val="4"/>
        </w:numPr>
        <w:spacing w:before="0"/>
      </w:pPr>
      <w:r w:rsidRPr="0044145F">
        <w:t>diagnostics</w:t>
      </w:r>
    </w:p>
    <w:p w14:paraId="5B92D310" w14:textId="77777777" w:rsidR="00772A3B" w:rsidRPr="0044145F" w:rsidRDefault="00772A3B" w:rsidP="00772A3B">
      <w:pPr>
        <w:pStyle w:val="Quote"/>
        <w:numPr>
          <w:ilvl w:val="0"/>
          <w:numId w:val="4"/>
        </w:numPr>
        <w:spacing w:before="0"/>
      </w:pPr>
      <w:r w:rsidRPr="0044145F">
        <w:t>data analytics</w:t>
      </w:r>
    </w:p>
    <w:p w14:paraId="2AB7EC7F" w14:textId="77777777" w:rsidR="00772A3B" w:rsidRPr="0044145F" w:rsidRDefault="00772A3B" w:rsidP="00772A3B">
      <w:pPr>
        <w:pStyle w:val="Quote"/>
        <w:numPr>
          <w:ilvl w:val="0"/>
          <w:numId w:val="4"/>
        </w:numPr>
        <w:spacing w:before="0"/>
      </w:pPr>
      <w:r w:rsidRPr="0044145F">
        <w:t>research and adoption of new technology</w:t>
      </w:r>
    </w:p>
    <w:p w14:paraId="6CF89C40" w14:textId="77777777" w:rsidR="00772A3B" w:rsidRPr="0044145F" w:rsidRDefault="00772A3B" w:rsidP="00772A3B">
      <w:pPr>
        <w:pStyle w:val="Quote"/>
        <w:numPr>
          <w:ilvl w:val="0"/>
          <w:numId w:val="4"/>
        </w:numPr>
        <w:spacing w:before="0"/>
      </w:pPr>
      <w:r w:rsidRPr="0044145F">
        <w:t>education and stakeholder awareness</w:t>
      </w:r>
    </w:p>
    <w:p w14:paraId="188F3478" w14:textId="77777777" w:rsidR="00772A3B" w:rsidRPr="0044145F" w:rsidRDefault="00772A3B" w:rsidP="00772A3B">
      <w:pPr>
        <w:pStyle w:val="Quote"/>
        <w:numPr>
          <w:ilvl w:val="0"/>
          <w:numId w:val="4"/>
        </w:numPr>
        <w:spacing w:before="0"/>
      </w:pPr>
      <w:r w:rsidRPr="0044145F">
        <w:t>landholder biosecurity practices</w:t>
      </w:r>
    </w:p>
    <w:p w14:paraId="48DCA4C1" w14:textId="4192EBEA" w:rsidR="00772A3B" w:rsidRPr="0044145F" w:rsidRDefault="00772A3B" w:rsidP="00772A3B">
      <w:pPr>
        <w:pStyle w:val="Quote"/>
        <w:numPr>
          <w:ilvl w:val="0"/>
          <w:numId w:val="4"/>
        </w:numPr>
        <w:spacing w:before="0"/>
      </w:pPr>
      <w:r w:rsidRPr="0044145F">
        <w:t>responding to and managing biosecurity incursions</w:t>
      </w:r>
      <w:r w:rsidR="00B63795">
        <w:t>.</w:t>
      </w:r>
      <w:r>
        <w:t xml:space="preserve"> (Department of Agriculture and Water Resources, 2018a)</w:t>
      </w:r>
      <w:r w:rsidRPr="0044145F">
        <w:t xml:space="preserve"> </w:t>
      </w:r>
    </w:p>
    <w:p w14:paraId="53A94CB0" w14:textId="333E4365" w:rsidR="00772A3B" w:rsidRDefault="005C4782" w:rsidP="00772A3B">
      <w:r>
        <w:t>Later again, t</w:t>
      </w:r>
      <w:r w:rsidR="00772A3B">
        <w:t>he Department informed stakeholders that the</w:t>
      </w:r>
      <w:r w:rsidR="00FD5B14">
        <w:t xml:space="preserve"> </w:t>
      </w:r>
      <w:r w:rsidR="00772A3B">
        <w:t>levy was intended to target biosecurity risks created by certain import activities:</w:t>
      </w:r>
    </w:p>
    <w:p w14:paraId="7DEC1C0B" w14:textId="0B63B211" w:rsidR="006E7584" w:rsidRDefault="00772A3B" w:rsidP="00F636E1">
      <w:pPr>
        <w:pStyle w:val="Quote"/>
      </w:pPr>
      <w:r>
        <w:t>The Levy targets the risks associated with a key pathway for the transmission of harmful pes</w:t>
      </w:r>
      <w:r w:rsidR="00B63795">
        <w:t>ts and diseases into Australia –</w:t>
      </w:r>
      <w:r>
        <w:t xml:space="preserve"> vessels and containers carrying imported goods into Australia by sea</w:t>
      </w:r>
      <w:r w:rsidR="00B63795">
        <w:t>.</w:t>
      </w:r>
      <w:r>
        <w:t xml:space="preserve"> (Department of Agriculture and Water Resources, 2018c)</w:t>
      </w:r>
      <w:r w:rsidR="00F636E1">
        <w:t xml:space="preserve"> </w:t>
      </w:r>
    </w:p>
    <w:p w14:paraId="181C94EB" w14:textId="22055A4E" w:rsidR="00EE1615" w:rsidRPr="00990AF9" w:rsidRDefault="00F6515F">
      <w:pPr>
        <w:spacing w:before="0" w:after="160" w:line="259" w:lineRule="auto"/>
        <w:rPr>
          <w:rFonts w:eastAsiaTheme="majorEastAsia"/>
        </w:rPr>
      </w:pPr>
      <w:r>
        <w:t>While the intent of the activities that the levy would fund remained unclear, including during the Committee’s deliberations, the consistent message received from the Department was that biosecurity funding was under-funded and that the biosecurity threat to Australia is growing. The Committee accepted these views.</w:t>
      </w:r>
      <w:r w:rsidR="00EE1615">
        <w:br w:type="page"/>
      </w:r>
    </w:p>
    <w:p w14:paraId="2E99197F" w14:textId="4858F785" w:rsidR="00F73581" w:rsidRDefault="00B13982" w:rsidP="004E36E0">
      <w:pPr>
        <w:pStyle w:val="Heading1"/>
      </w:pPr>
      <w:bookmarkStart w:id="12" w:name="_Toc10031880"/>
      <w:r>
        <w:t>3</w:t>
      </w:r>
      <w:r w:rsidR="00730314">
        <w:t>.</w:t>
      </w:r>
      <w:r w:rsidR="004E36E0">
        <w:tab/>
      </w:r>
      <w:r w:rsidR="00B212C5">
        <w:t>Defining the Problem</w:t>
      </w:r>
      <w:bookmarkEnd w:id="12"/>
    </w:p>
    <w:p w14:paraId="0411F46C" w14:textId="4E46C866" w:rsidR="002C0FA5" w:rsidRDefault="00B13982" w:rsidP="000D1DB3">
      <w:pPr>
        <w:pStyle w:val="Heading2"/>
      </w:pPr>
      <w:bookmarkStart w:id="13" w:name="_Toc10031881"/>
      <w:r>
        <w:t>3</w:t>
      </w:r>
      <w:r w:rsidR="000D1DB3">
        <w:t>.1</w:t>
      </w:r>
      <w:r w:rsidR="000D1DB3">
        <w:tab/>
        <w:t xml:space="preserve">Growing Demand </w:t>
      </w:r>
      <w:r w:rsidR="00AA0182">
        <w:t>for</w:t>
      </w:r>
      <w:r w:rsidR="000D1DB3">
        <w:t xml:space="preserve"> Biosecurity</w:t>
      </w:r>
      <w:r w:rsidR="000656C7">
        <w:t xml:space="preserve"> Services</w:t>
      </w:r>
      <w:bookmarkEnd w:id="13"/>
      <w:r w:rsidR="00500488">
        <w:t xml:space="preserve"> </w:t>
      </w:r>
    </w:p>
    <w:p w14:paraId="0E6A1848" w14:textId="7D51A26A" w:rsidR="00BE420E" w:rsidRDefault="00B8321D" w:rsidP="002C0FA5">
      <w:r>
        <w:t xml:space="preserve">Australia is one of the few countries in the world to remain free from </w:t>
      </w:r>
      <w:r w:rsidR="00865872">
        <w:t>many</w:t>
      </w:r>
      <w:r>
        <w:t xml:space="preserve"> of the world’s most damaging pests and diseases </w:t>
      </w:r>
      <w:sdt>
        <w:sdtPr>
          <w:id w:val="557822322"/>
          <w:citation/>
        </w:sdtPr>
        <w:sdtEndPr/>
        <w:sdtContent>
          <w:r w:rsidR="005539BA">
            <w:fldChar w:fldCharType="begin"/>
          </w:r>
          <w:r w:rsidR="00A84EC3">
            <w:instrText xml:space="preserve">CITATION Aud17 \p 13 \t  \l 3081 </w:instrText>
          </w:r>
          <w:r w:rsidR="005539BA">
            <w:fldChar w:fldCharType="separate"/>
          </w:r>
          <w:r w:rsidR="00604A29">
            <w:rPr>
              <w:noProof/>
            </w:rPr>
            <w:t>(Australian National Audit Office, 2017, p. 13)</w:t>
          </w:r>
          <w:r w:rsidR="005539BA">
            <w:fldChar w:fldCharType="end"/>
          </w:r>
        </w:sdtContent>
      </w:sdt>
      <w:r w:rsidR="007B23D1">
        <w:t xml:space="preserve">. </w:t>
      </w:r>
      <w:r>
        <w:t>These include foot and mouth disease, African swine fever, bovine spongiform encephalopathy (commonly known as mad cow disease), and Karnal bunt (a f</w:t>
      </w:r>
      <w:r w:rsidR="00362ACA">
        <w:t xml:space="preserve">ungus affecting </w:t>
      </w:r>
      <w:r w:rsidR="00865872">
        <w:t xml:space="preserve">cereal </w:t>
      </w:r>
      <w:r w:rsidR="00362ACA">
        <w:t>grains</w:t>
      </w:r>
      <w:r>
        <w:t>). This status means that Australia and its agricultural industries maintain a comparative advantage in export markets around the world</w:t>
      </w:r>
      <w:r w:rsidR="007B23D1">
        <w:t xml:space="preserve">. </w:t>
      </w:r>
      <w:r w:rsidR="00FD7F8A">
        <w:t xml:space="preserve">The absence of many exotic pests and diseases also creates significant benefits for the Australian community and visitors, and for the health of </w:t>
      </w:r>
      <w:r w:rsidR="00865872">
        <w:t>Australia’s</w:t>
      </w:r>
      <w:r w:rsidR="00FD7F8A">
        <w:t xml:space="preserve"> natural environment.</w:t>
      </w:r>
    </w:p>
    <w:p w14:paraId="6EC73C4F" w14:textId="50592F1D" w:rsidR="00B8321D" w:rsidRDefault="00E83B21" w:rsidP="00BE420E">
      <w:r w:rsidRPr="00B8321D">
        <w:t>However, g</w:t>
      </w:r>
      <w:r w:rsidR="00ED1DFC" w:rsidRPr="00B8321D">
        <w:t xml:space="preserve">lobalisation – opening new trade routes, increasing trade with new partners and new commercial products, </w:t>
      </w:r>
      <w:r w:rsidR="00FD7F8A" w:rsidRPr="00B8321D">
        <w:t>and expanding</w:t>
      </w:r>
      <w:r w:rsidR="00ED1DFC" w:rsidRPr="00B8321D">
        <w:t xml:space="preserve"> tourism – increases opportunities for potential invasive alien species to be moved between continents</w:t>
      </w:r>
      <w:r w:rsidR="00012F0F" w:rsidRPr="00B8321D">
        <w:t xml:space="preserve"> </w:t>
      </w:r>
      <w:sdt>
        <w:sdtPr>
          <w:id w:val="-1555300226"/>
          <w:citation/>
        </w:sdtPr>
        <w:sdtEndPr/>
        <w:sdtContent>
          <w:r w:rsidR="001F3CEA" w:rsidRPr="00B8321D">
            <w:fldChar w:fldCharType="begin"/>
          </w:r>
          <w:r w:rsidR="001F3CEA" w:rsidRPr="00B8321D">
            <w:instrText xml:space="preserve">CITATION Shi10 \p 18 \t  \l 3081 </w:instrText>
          </w:r>
          <w:r w:rsidR="001F3CEA" w:rsidRPr="00B8321D">
            <w:fldChar w:fldCharType="separate"/>
          </w:r>
          <w:r w:rsidR="00604A29">
            <w:rPr>
              <w:noProof/>
            </w:rPr>
            <w:t>(Shine, et al., 2010, p. 18)</w:t>
          </w:r>
          <w:r w:rsidR="001F3CEA" w:rsidRPr="00B8321D">
            <w:fldChar w:fldCharType="end"/>
          </w:r>
        </w:sdtContent>
      </w:sdt>
      <w:r w:rsidR="00ED1DFC" w:rsidRPr="00B8321D">
        <w:t>.</w:t>
      </w:r>
      <w:r w:rsidRPr="00B8321D">
        <w:t xml:space="preserve"> In this context</w:t>
      </w:r>
      <w:r w:rsidR="00BE420E" w:rsidRPr="00B8321D">
        <w:t>,</w:t>
      </w:r>
      <w:r w:rsidR="00BE420E">
        <w:t xml:space="preserve"> Australia’s biosecurity faces an increasingly complex global </w:t>
      </w:r>
      <w:r w:rsidR="00865872">
        <w:t>challenge</w:t>
      </w:r>
      <w:r w:rsidR="00F128BB">
        <w:t xml:space="preserve"> </w:t>
      </w:r>
      <w:sdt>
        <w:sdtPr>
          <w:id w:val="-1861819541"/>
          <w:citation/>
        </w:sdtPr>
        <w:sdtEndPr/>
        <w:sdtContent>
          <w:r w:rsidR="00F128BB">
            <w:fldChar w:fldCharType="begin"/>
          </w:r>
          <w:r w:rsidR="00F128BB">
            <w:instrText xml:space="preserve">CITATION Com15 \p 125 \t  \l 3081 </w:instrText>
          </w:r>
          <w:r w:rsidR="00F128BB">
            <w:fldChar w:fldCharType="separate"/>
          </w:r>
          <w:r w:rsidR="00604A29">
            <w:rPr>
              <w:noProof/>
            </w:rPr>
            <w:t>(Commonwealth of Australia, 2015, p. 125)</w:t>
          </w:r>
          <w:r w:rsidR="00F128BB">
            <w:fldChar w:fldCharType="end"/>
          </w:r>
        </w:sdtContent>
      </w:sdt>
      <w:r w:rsidR="00BE420E">
        <w:t>. I</w:t>
      </w:r>
      <w:r w:rsidR="007B23D1">
        <w:t>ncreasing volumes of international travellers and trade from a growing number of countries have the potential</w:t>
      </w:r>
      <w:r w:rsidR="001F2D73">
        <w:t xml:space="preserve"> to</w:t>
      </w:r>
      <w:r w:rsidR="007B23D1">
        <w:t xml:space="preserve"> </w:t>
      </w:r>
      <w:r w:rsidR="00362ACA">
        <w:t>impair</w:t>
      </w:r>
      <w:r w:rsidR="007B23D1">
        <w:t xml:space="preserve"> Australia’s ability to protect its economy, environment and human health from exotic pests and diseases</w:t>
      </w:r>
      <w:r w:rsidR="003A08C1">
        <w:t xml:space="preserve">. </w:t>
      </w:r>
    </w:p>
    <w:p w14:paraId="09DD4737" w14:textId="3B6DD3CD" w:rsidR="003A3522" w:rsidRDefault="003A3522" w:rsidP="00BE420E">
      <w:r>
        <w:t xml:space="preserve">Previous reports on biosecurity have </w:t>
      </w:r>
      <w:r w:rsidR="00BE420E">
        <w:t xml:space="preserve">drawn attention to increasing </w:t>
      </w:r>
      <w:r>
        <w:t xml:space="preserve">demands </w:t>
      </w:r>
      <w:r w:rsidR="00BE420E">
        <w:t xml:space="preserve">on Australia’s </w:t>
      </w:r>
      <w:r>
        <w:t>biosecurity services</w:t>
      </w:r>
      <w:r w:rsidR="00BE420E">
        <w:t>.</w:t>
      </w:r>
      <w:r>
        <w:t xml:space="preserve"> </w:t>
      </w:r>
      <w:r w:rsidR="00BC43C5">
        <w:t xml:space="preserve">The </w:t>
      </w:r>
      <w:r w:rsidR="00673541">
        <w:t>Beale R</w:t>
      </w:r>
      <w:r w:rsidR="00A1318F">
        <w:t>eport</w:t>
      </w:r>
      <w:r w:rsidR="00BC43C5">
        <w:t xml:space="preserve"> found:</w:t>
      </w:r>
    </w:p>
    <w:p w14:paraId="3A6EE828" w14:textId="2D213752" w:rsidR="00587BFB" w:rsidRDefault="00587BFB" w:rsidP="001E3E98">
      <w:pPr>
        <w:pStyle w:val="Quote"/>
      </w:pPr>
      <w:r>
        <w:t>Demands on the overall system continue to increase. The volume of trade is growing and risk profiles are changing. Monitoring and surveillance needs are increasing as more trading partners move toward requiring active verification to substantiate pest and disease freedom claims (an approach described as ‘known not to occur’ rather than ‘not known to occur’). In addition, the system faces new priorities in terms of threats to both the terrestrial and aquatic environments.</w:t>
      </w:r>
      <w:r w:rsidR="001E3E98">
        <w:t xml:space="preserve"> </w:t>
      </w:r>
      <w:sdt>
        <w:sdtPr>
          <w:id w:val="892389177"/>
          <w:citation/>
        </w:sdtPr>
        <w:sdtEndPr/>
        <w:sdtContent>
          <w:r w:rsidR="001E3E98">
            <w:fldChar w:fldCharType="begin"/>
          </w:r>
          <w:r w:rsidR="001E3E98">
            <w:instrText xml:space="preserve">CITATION Bea08 \p 15 \t  \l 3081 </w:instrText>
          </w:r>
          <w:r w:rsidR="001E3E98">
            <w:fldChar w:fldCharType="separate"/>
          </w:r>
          <w:r w:rsidR="00604A29">
            <w:rPr>
              <w:noProof/>
            </w:rPr>
            <w:t>(Beale, Fairbrother, Inglis, &amp; Trebeck, 2008, p. 15)</w:t>
          </w:r>
          <w:r w:rsidR="001E3E98">
            <w:fldChar w:fldCharType="end"/>
          </w:r>
        </w:sdtContent>
      </w:sdt>
    </w:p>
    <w:p w14:paraId="67397869" w14:textId="56315681" w:rsidR="00ED7580" w:rsidRDefault="001E3BE4" w:rsidP="00D64C79">
      <w:r>
        <w:t>Similarly, a</w:t>
      </w:r>
      <w:r w:rsidR="009B4E9F">
        <w:t>ccording to IABR:</w:t>
      </w:r>
    </w:p>
    <w:p w14:paraId="5FA8CEFA" w14:textId="1EC6EC67" w:rsidR="001253AF" w:rsidRPr="001253AF" w:rsidRDefault="001253AF" w:rsidP="001253AF">
      <w:pPr>
        <w:pStyle w:val="Quote"/>
      </w:pPr>
      <w:r>
        <w:t xml:space="preserve">… </w:t>
      </w:r>
      <w:r w:rsidRPr="001253AF">
        <w:t>increased global trade volumes (including the growth in online shopping), where increased transport and shipping will mean new pathways for new aquatic and other pests and diseases</w:t>
      </w:r>
      <w:r>
        <w:t xml:space="preserve">. </w:t>
      </w:r>
      <w:sdt>
        <w:sdtPr>
          <w:id w:val="1059054991"/>
          <w:citation/>
        </w:sdtPr>
        <w:sdtEndPr/>
        <w:sdtContent>
          <w:r>
            <w:fldChar w:fldCharType="begin"/>
          </w:r>
          <w:r w:rsidR="00D9715F">
            <w:instrText xml:space="preserve">CITATION Cra17 \p 16 \t  \l 3081 </w:instrText>
          </w:r>
          <w:r>
            <w:fldChar w:fldCharType="separate"/>
          </w:r>
          <w:r w:rsidR="00604A29">
            <w:rPr>
              <w:noProof/>
            </w:rPr>
            <w:t>(Craik, Palmer, &amp; Sheldrake, 2017, p. 16)</w:t>
          </w:r>
          <w:r>
            <w:fldChar w:fldCharType="end"/>
          </w:r>
        </w:sdtContent>
      </w:sdt>
    </w:p>
    <w:p w14:paraId="7FB2182E" w14:textId="5A4ACCA4" w:rsidR="00700130" w:rsidRDefault="00700130" w:rsidP="00700130">
      <w:r>
        <w:t xml:space="preserve">According to the Commonwealth Government </w:t>
      </w:r>
      <w:sdt>
        <w:sdtPr>
          <w:id w:val="-1671177494"/>
          <w:citation/>
        </w:sdtPr>
        <w:sdtEndPr/>
        <w:sdtContent>
          <w:r>
            <w:fldChar w:fldCharType="begin"/>
          </w:r>
          <w:r>
            <w:instrText xml:space="preserve">CITATION Com15 \p 125 \n  \t  \l 3081 </w:instrText>
          </w:r>
          <w:r>
            <w:fldChar w:fldCharType="separate"/>
          </w:r>
          <w:r w:rsidR="00604A29">
            <w:rPr>
              <w:noProof/>
            </w:rPr>
            <w:t>(2015, p. 125)</w:t>
          </w:r>
          <w:r>
            <w:fldChar w:fldCharType="end"/>
          </w:r>
        </w:sdtContent>
      </w:sdt>
      <w:r>
        <w:t>:</w:t>
      </w:r>
    </w:p>
    <w:p w14:paraId="1D664452" w14:textId="4120C80A" w:rsidR="005767F4" w:rsidRDefault="005767F4" w:rsidP="005767F4">
      <w:pPr>
        <w:pStyle w:val="Quote"/>
      </w:pPr>
      <w:r>
        <w:t>Factors such as increasing global trade and the changing prevalence of pests, diseases and weeds in the region mean biosecurity risks are rising.</w:t>
      </w:r>
    </w:p>
    <w:p w14:paraId="012C1512" w14:textId="1EB78E8E" w:rsidR="008E68C9" w:rsidRDefault="008F21D8" w:rsidP="005767F4">
      <w:r>
        <w:t>Four</w:t>
      </w:r>
      <w:r w:rsidR="00AD74E9">
        <w:t xml:space="preserve"> recent examples of hitchhiker pests or diseases which demonstrate this growing complexity and associated biosecurity risk are </w:t>
      </w:r>
      <w:r w:rsidR="00F07F44">
        <w:t xml:space="preserve">Red Imported Fire Ants, African </w:t>
      </w:r>
      <w:r w:rsidR="00865872">
        <w:t>swine fever</w:t>
      </w:r>
      <w:r>
        <w:t>,</w:t>
      </w:r>
      <w:r w:rsidR="00F07F44">
        <w:t xml:space="preserve"> Brown Marmorated Stink Bug</w:t>
      </w:r>
      <w:r>
        <w:t xml:space="preserve"> and White spot disease of prawns</w:t>
      </w:r>
      <w:r w:rsidR="00F07F44">
        <w:t xml:space="preserve"> (see</w:t>
      </w:r>
      <w:r w:rsidR="00AD74E9">
        <w:t xml:space="preserve"> </w:t>
      </w:r>
      <w:r w:rsidR="00AD74E9" w:rsidRPr="00F07F44">
        <w:rPr>
          <w:b/>
        </w:rPr>
        <w:t>Box</w:t>
      </w:r>
      <w:r w:rsidR="001F2D73">
        <w:rPr>
          <w:b/>
        </w:rPr>
        <w:t xml:space="preserve"> </w:t>
      </w:r>
      <w:r w:rsidR="001F2D73">
        <w:t>immediately below</w:t>
      </w:r>
      <w:r w:rsidR="00F07F44">
        <w:t>)</w:t>
      </w:r>
      <w:r w:rsidR="00AD74E9">
        <w:t>.</w:t>
      </w:r>
      <w:r w:rsidR="008E68C9">
        <w:t xml:space="preserve"> </w:t>
      </w:r>
    </w:p>
    <w:p w14:paraId="21A6FC9B" w14:textId="1EEB7659" w:rsidR="005767F4" w:rsidRPr="005767F4" w:rsidRDefault="008E68C9" w:rsidP="005767F4">
      <w:r>
        <w:t>One effect of these incidents is that they necessitate a rapid and significant redeployment of resources, especially biosecurity staff, to deal with what is effectively an emergency. Inevitably, staff are (temporarily) withdrawn from their “normal” duties, which in turn means that “business as usual” functions can be stretched. Concerns expressed by Committee members stressed that the effective staff shortages impact on businesses – for example, in terms of delayed clearances – the cost of which are rarely appreciated.</w:t>
      </w:r>
    </w:p>
    <w:p w14:paraId="7FFBFF87" w14:textId="03F16DCA" w:rsidR="006220D4" w:rsidRDefault="00054E1C" w:rsidP="00315366">
      <w:r>
        <w:rPr>
          <w:noProof/>
          <w:lang w:eastAsia="en-AU"/>
        </w:rPr>
        <mc:AlternateContent>
          <mc:Choice Requires="wps">
            <w:drawing>
              <wp:anchor distT="45720" distB="45720" distL="114300" distR="114300" simplePos="0" relativeHeight="251659264" behindDoc="0" locked="0" layoutInCell="1" allowOverlap="1" wp14:anchorId="5D8F112E" wp14:editId="52ACD75E">
                <wp:simplePos x="0" y="0"/>
                <wp:positionH relativeFrom="margin">
                  <wp:align>left</wp:align>
                </wp:positionH>
                <wp:positionV relativeFrom="margin">
                  <wp:align>top</wp:align>
                </wp:positionV>
                <wp:extent cx="5538470" cy="7324725"/>
                <wp:effectExtent l="0" t="0" r="2413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732472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695AFDA" w14:textId="0D6CDF2A" w:rsidR="004163D1" w:rsidRPr="008F21D8" w:rsidRDefault="004163D1" w:rsidP="00F528CB">
                            <w:pPr>
                              <w:pStyle w:val="ListParagraph"/>
                              <w:numPr>
                                <w:ilvl w:val="0"/>
                                <w:numId w:val="24"/>
                              </w:numPr>
                              <w:rPr>
                                <w:color w:val="7030A0"/>
                                <w:sz w:val="20"/>
                                <w:szCs w:val="20"/>
                              </w:rPr>
                            </w:pPr>
                            <w:r w:rsidRPr="008F21D8">
                              <w:rPr>
                                <w:color w:val="7030A0"/>
                                <w:sz w:val="20"/>
                                <w:szCs w:val="20"/>
                              </w:rPr>
                              <w:t xml:space="preserve">Red Imported Fire Ants (RIFA) were first detected near the Port of Brisbane in February 2001 </w:t>
                            </w:r>
                            <w:sdt>
                              <w:sdtPr>
                                <w:rPr>
                                  <w:color w:val="7030A0"/>
                                  <w:sz w:val="20"/>
                                  <w:szCs w:val="20"/>
                                </w:rPr>
                                <w:id w:val="1156730596"/>
                                <w:citation/>
                              </w:sdtPr>
                              <w:sdtEndPr/>
                              <w:sdtContent>
                                <w:r w:rsidRPr="008F21D8">
                                  <w:rPr>
                                    <w:color w:val="7030A0"/>
                                    <w:sz w:val="20"/>
                                    <w:szCs w:val="20"/>
                                  </w:rPr>
                                  <w:fldChar w:fldCharType="begin"/>
                                </w:r>
                                <w:r w:rsidRPr="008F21D8">
                                  <w:rPr>
                                    <w:color w:val="7030A0"/>
                                    <w:sz w:val="20"/>
                                    <w:szCs w:val="20"/>
                                  </w:rPr>
                                  <w:instrText xml:space="preserve">CITATION Que19 \l 3081 </w:instrText>
                                </w:r>
                                <w:r w:rsidRPr="008F21D8">
                                  <w:rPr>
                                    <w:color w:val="7030A0"/>
                                    <w:sz w:val="20"/>
                                    <w:szCs w:val="20"/>
                                  </w:rPr>
                                  <w:fldChar w:fldCharType="separate"/>
                                </w:r>
                                <w:r w:rsidRPr="008F21D8">
                                  <w:rPr>
                                    <w:noProof/>
                                    <w:color w:val="7030A0"/>
                                    <w:sz w:val="20"/>
                                    <w:szCs w:val="20"/>
                                  </w:rPr>
                                  <w:t>(Queensland Government Department of Agriculture and Fisheries, 2019)</w:t>
                                </w:r>
                                <w:r w:rsidRPr="008F21D8">
                                  <w:rPr>
                                    <w:color w:val="7030A0"/>
                                    <w:sz w:val="20"/>
                                    <w:szCs w:val="20"/>
                                  </w:rPr>
                                  <w:fldChar w:fldCharType="end"/>
                                </w:r>
                              </w:sdtContent>
                            </w:sdt>
                            <w:r w:rsidRPr="008F21D8">
                              <w:rPr>
                                <w:color w:val="7030A0"/>
                                <w:sz w:val="20"/>
                                <w:szCs w:val="20"/>
                              </w:rPr>
                              <w:t xml:space="preserve">. A national eradication program commenced in September 2001, funded by State and Commonwealth Governments. There have been six detections to date, five in Queensland (including central Queensland and Brisbane Airport) and one in NSW. Two of the Queensland sites have been eradicated but colonies have spread within south-east Queensland. Detection involves field officers, odour detection dogs and use of remote sensing technology from helicopters. In 2017, State and Commonwealth Agriculture Ministers committed a further $411 million in a 10 year eradication program, on the basis that a significant benefit cost ratio existed from eradication efforts. In the absence of publicly funded efforts to control RIFA, it has been estimated they would cause losses of $8.5 billion over a 70-year period </w:t>
                            </w:r>
                            <w:sdt>
                              <w:sdtPr>
                                <w:rPr>
                                  <w:color w:val="7030A0"/>
                                  <w:sz w:val="20"/>
                                  <w:szCs w:val="20"/>
                                </w:rPr>
                                <w:id w:val="-802312410"/>
                                <w:citation/>
                              </w:sdtPr>
                              <w:sdtEndPr/>
                              <w:sdtContent>
                                <w:r w:rsidRPr="008F21D8">
                                  <w:rPr>
                                    <w:color w:val="7030A0"/>
                                    <w:sz w:val="20"/>
                                    <w:szCs w:val="20"/>
                                  </w:rPr>
                                  <w:fldChar w:fldCharType="begin"/>
                                </w:r>
                                <w:r w:rsidRPr="008F21D8">
                                  <w:rPr>
                                    <w:color w:val="7030A0"/>
                                    <w:sz w:val="20"/>
                                    <w:szCs w:val="20"/>
                                  </w:rPr>
                                  <w:instrText xml:space="preserve"> CITATION Haf14 \l 3081 </w:instrText>
                                </w:r>
                                <w:r w:rsidRPr="008F21D8">
                                  <w:rPr>
                                    <w:color w:val="7030A0"/>
                                    <w:sz w:val="20"/>
                                    <w:szCs w:val="20"/>
                                  </w:rPr>
                                  <w:fldChar w:fldCharType="separate"/>
                                </w:r>
                                <w:r w:rsidRPr="008F21D8">
                                  <w:rPr>
                                    <w:noProof/>
                                    <w:color w:val="7030A0"/>
                                    <w:sz w:val="20"/>
                                    <w:szCs w:val="20"/>
                                  </w:rPr>
                                  <w:t>(Hafi, Spring, Kompas, &amp; Morey, 2014)</w:t>
                                </w:r>
                                <w:r w:rsidRPr="008F21D8">
                                  <w:rPr>
                                    <w:color w:val="7030A0"/>
                                    <w:sz w:val="20"/>
                                    <w:szCs w:val="20"/>
                                  </w:rPr>
                                  <w:fldChar w:fldCharType="end"/>
                                </w:r>
                              </w:sdtContent>
                            </w:sdt>
                            <w:r w:rsidRPr="008F21D8">
                              <w:rPr>
                                <w:color w:val="7030A0"/>
                                <w:sz w:val="20"/>
                                <w:szCs w:val="20"/>
                              </w:rPr>
                              <w:t>. More than half the estimated losses are expected to come from damage to agricultural activities with the household sector accounting for the remainder.</w:t>
                            </w:r>
                          </w:p>
                          <w:p w14:paraId="6B6788F6" w14:textId="4B879A6F" w:rsidR="004163D1" w:rsidRPr="008F21D8" w:rsidRDefault="004163D1" w:rsidP="00F528CB">
                            <w:pPr>
                              <w:pStyle w:val="ListParagraph"/>
                              <w:numPr>
                                <w:ilvl w:val="0"/>
                                <w:numId w:val="24"/>
                              </w:numPr>
                              <w:rPr>
                                <w:color w:val="7030A0"/>
                                <w:sz w:val="20"/>
                                <w:szCs w:val="20"/>
                              </w:rPr>
                            </w:pPr>
                            <w:r w:rsidRPr="008F21D8">
                              <w:rPr>
                                <w:color w:val="7030A0"/>
                                <w:sz w:val="20"/>
                                <w:szCs w:val="20"/>
                              </w:rPr>
                              <w:t xml:space="preserve">African swine fever, a major problem of the pork industry, has recently spread to China, Vietnam and other Asian countries </w:t>
                            </w:r>
                            <w:sdt>
                              <w:sdtPr>
                                <w:rPr>
                                  <w:color w:val="7030A0"/>
                                  <w:sz w:val="20"/>
                                  <w:szCs w:val="20"/>
                                </w:rPr>
                                <w:id w:val="-1301838791"/>
                                <w:citation/>
                              </w:sdtPr>
                              <w:sdtEndPr/>
                              <w:sdtContent>
                                <w:r w:rsidRPr="008F21D8">
                                  <w:rPr>
                                    <w:color w:val="7030A0"/>
                                    <w:sz w:val="20"/>
                                    <w:szCs w:val="20"/>
                                  </w:rPr>
                                  <w:fldChar w:fldCharType="begin"/>
                                </w:r>
                                <w:r w:rsidRPr="008F21D8">
                                  <w:rPr>
                                    <w:color w:val="7030A0"/>
                                    <w:sz w:val="20"/>
                                    <w:szCs w:val="20"/>
                                  </w:rPr>
                                  <w:instrText xml:space="preserve">CITATION Aus192 \l 3081 </w:instrText>
                                </w:r>
                                <w:r w:rsidRPr="008F21D8">
                                  <w:rPr>
                                    <w:color w:val="7030A0"/>
                                    <w:sz w:val="20"/>
                                    <w:szCs w:val="20"/>
                                  </w:rPr>
                                  <w:fldChar w:fldCharType="separate"/>
                                </w:r>
                                <w:r w:rsidRPr="008F21D8">
                                  <w:rPr>
                                    <w:noProof/>
                                    <w:color w:val="7030A0"/>
                                    <w:sz w:val="20"/>
                                    <w:szCs w:val="20"/>
                                  </w:rPr>
                                  <w:t>(Australian Pork, 2019)</w:t>
                                </w:r>
                                <w:r w:rsidRPr="008F21D8">
                                  <w:rPr>
                                    <w:color w:val="7030A0"/>
                                    <w:sz w:val="20"/>
                                    <w:szCs w:val="20"/>
                                  </w:rPr>
                                  <w:fldChar w:fldCharType="end"/>
                                </w:r>
                              </w:sdtContent>
                            </w:sdt>
                            <w:r w:rsidRPr="008F21D8">
                              <w:rPr>
                                <w:color w:val="7030A0"/>
                                <w:sz w:val="20"/>
                                <w:szCs w:val="20"/>
                              </w:rPr>
                              <w:t xml:space="preserve">. If established in Australia, it would cause the loss of all export pig meat markets. Recent detections of virus fragments, but not live viruses, in (non-permitted) imports of pork products by air passengers and in mail, have occurred, with 20,000 pork product seizures having been made over the past year from passengers and 1,500 from mail. Testing of samples is being carried out at the Australian Animal Health Laboratory in Geelong. </w:t>
                            </w:r>
                          </w:p>
                          <w:p w14:paraId="6377EA98" w14:textId="77777777" w:rsidR="004163D1" w:rsidRDefault="004163D1" w:rsidP="00F528CB">
                            <w:pPr>
                              <w:pStyle w:val="ListParagraph"/>
                              <w:numPr>
                                <w:ilvl w:val="0"/>
                                <w:numId w:val="24"/>
                              </w:numPr>
                              <w:rPr>
                                <w:color w:val="7030A0"/>
                                <w:sz w:val="20"/>
                                <w:szCs w:val="20"/>
                              </w:rPr>
                            </w:pPr>
                            <w:r w:rsidRPr="008F21D8">
                              <w:rPr>
                                <w:color w:val="7030A0"/>
                                <w:sz w:val="20"/>
                                <w:szCs w:val="20"/>
                              </w:rPr>
                              <w:t xml:space="preserve">The threat posed by the Brown Marmorated Stink Bug has arisen quickly since being first detected in 2016. In the 2017-18 season (September to April), surveillance was undertaken on imports from one country; this increased to nine countries in 2018-19 (eight in Europe plus the USA), and will involve 32 countries in 2019-20 </w:t>
                            </w:r>
                            <w:sdt>
                              <w:sdtPr>
                                <w:rPr>
                                  <w:color w:val="7030A0"/>
                                  <w:sz w:val="20"/>
                                  <w:szCs w:val="20"/>
                                </w:rPr>
                                <w:id w:val="-367606453"/>
                                <w:citation/>
                              </w:sdtPr>
                              <w:sdtEndPr/>
                              <w:sdtContent>
                                <w:r w:rsidRPr="008F21D8">
                                  <w:rPr>
                                    <w:color w:val="7030A0"/>
                                    <w:sz w:val="20"/>
                                    <w:szCs w:val="20"/>
                                  </w:rPr>
                                  <w:fldChar w:fldCharType="begin"/>
                                </w:r>
                                <w:r w:rsidRPr="008F21D8">
                                  <w:rPr>
                                    <w:color w:val="7030A0"/>
                                    <w:sz w:val="20"/>
                                    <w:szCs w:val="20"/>
                                  </w:rPr>
                                  <w:instrText xml:space="preserve">CITATION Depte \l 3081 </w:instrText>
                                </w:r>
                                <w:r w:rsidRPr="008F21D8">
                                  <w:rPr>
                                    <w:color w:val="7030A0"/>
                                    <w:sz w:val="20"/>
                                    <w:szCs w:val="20"/>
                                  </w:rPr>
                                  <w:fldChar w:fldCharType="separate"/>
                                </w:r>
                                <w:r w:rsidRPr="008F21D8">
                                  <w:rPr>
                                    <w:noProof/>
                                    <w:color w:val="7030A0"/>
                                    <w:sz w:val="20"/>
                                    <w:szCs w:val="20"/>
                                  </w:rPr>
                                  <w:t>(Department of Agriculture and Water Resources, 2019c)</w:t>
                                </w:r>
                                <w:r w:rsidRPr="008F21D8">
                                  <w:rPr>
                                    <w:color w:val="7030A0"/>
                                    <w:sz w:val="20"/>
                                    <w:szCs w:val="20"/>
                                  </w:rPr>
                                  <w:fldChar w:fldCharType="end"/>
                                </w:r>
                              </w:sdtContent>
                            </w:sdt>
                            <w:r w:rsidRPr="008F21D8">
                              <w:rPr>
                                <w:color w:val="7030A0"/>
                                <w:sz w:val="20"/>
                                <w:szCs w:val="20"/>
                              </w:rPr>
                              <w:t>. Imports from these countries, especially Italy, require pre-shipment fumigation. The bug is known to feed on, and cause major damage to, over 300 host species, including many vegetable crops, fruit and ornamental trees. Detections have been recorded in Queensland, Victoria and WA, involving imports of machinery, terracotta pots and bulldozers. The intensive monitoring programs have necessitated a major redeployment of biosecurity staff.</w:t>
                            </w:r>
                          </w:p>
                          <w:p w14:paraId="121B9A25" w14:textId="69DB18F2" w:rsidR="004163D1" w:rsidRPr="008F21D8" w:rsidRDefault="004163D1" w:rsidP="008F21D8">
                            <w:pPr>
                              <w:pStyle w:val="ListParagraph"/>
                              <w:numPr>
                                <w:ilvl w:val="0"/>
                                <w:numId w:val="24"/>
                              </w:numPr>
                              <w:rPr>
                                <w:color w:val="7030A0"/>
                                <w:sz w:val="20"/>
                                <w:szCs w:val="20"/>
                              </w:rPr>
                            </w:pPr>
                            <w:r w:rsidRPr="008F21D8">
                              <w:rPr>
                                <w:rFonts w:cs="Arial"/>
                                <w:color w:val="7030A0"/>
                                <w:sz w:val="20"/>
                                <w:szCs w:val="20"/>
                                <w:lang w:val="en"/>
                              </w:rPr>
                              <w:t xml:space="preserve">White spot disease is a highly contagious viral disease of prawns, first detected in Taiwan and China in 1992. It has since spread throughout prawn farming regions in Asia and the Americas, causing rapid and heavy (over 80 percent) prawn mortality. Australia is almost the only prawn farming country in the world that had remained free of white spot disease (although a brief detection occurred in Darwin in 2000). The disease does </w:t>
                            </w:r>
                            <w:r w:rsidRPr="008F21D8">
                              <w:rPr>
                                <w:rStyle w:val="Strong"/>
                                <w:rFonts w:cs="Arial"/>
                                <w:b w:val="0"/>
                                <w:color w:val="7030A0"/>
                                <w:sz w:val="20"/>
                                <w:szCs w:val="20"/>
                                <w:lang w:val="en"/>
                              </w:rPr>
                              <w:t>not</w:t>
                            </w:r>
                            <w:r w:rsidRPr="008F21D8">
                              <w:rPr>
                                <w:rFonts w:cs="Arial"/>
                                <w:color w:val="7030A0"/>
                                <w:sz w:val="20"/>
                                <w:szCs w:val="20"/>
                                <w:lang w:val="en"/>
                              </w:rPr>
                              <w:t xml:space="preserve"> pose a threat to human health or food safety. </w:t>
                            </w:r>
                            <w:r w:rsidRPr="008F21D8">
                              <w:rPr>
                                <w:color w:val="7030A0"/>
                                <w:sz w:val="20"/>
                                <w:szCs w:val="20"/>
                                <w:lang w:val="en"/>
                              </w:rPr>
                              <w:t>In late 2016, seven prawn farms on the Logan River, Queensland, tested positive to the virus. This led to significant controls, including a six month ban on the imports of uncooked prawns and the enforced destocking of farms, representing losses of millions of dollars as efforts were intensified to contain and then eradicate the disease. Departmental testing showed that up to 70 percent of imported prawns tested positive for white spot d</w:t>
                            </w:r>
                            <w:r>
                              <w:rPr>
                                <w:color w:val="7030A0"/>
                                <w:sz w:val="20"/>
                                <w:szCs w:val="20"/>
                                <w:lang w:val="en"/>
                              </w:rPr>
                              <w:t xml:space="preserve">isease, </w:t>
                            </w:r>
                            <w:r w:rsidRPr="008F21D8">
                              <w:rPr>
                                <w:color w:val="7030A0"/>
                                <w:sz w:val="20"/>
                                <w:szCs w:val="20"/>
                                <w:lang w:val="en"/>
                              </w:rPr>
                              <w:t>the vector by which the disease became established in Queensland. Total expenditure on eradication by the Queensland and Commonwealth Governments amounted to around $50</w:t>
                            </w:r>
                            <w:r>
                              <w:rPr>
                                <w:color w:val="7030A0"/>
                                <w:sz w:val="20"/>
                                <w:szCs w:val="20"/>
                                <w:lang w:val="en"/>
                              </w:rPr>
                              <w:t> </w:t>
                            </w:r>
                            <w:r w:rsidRPr="008F21D8">
                              <w:rPr>
                                <w:color w:val="7030A0"/>
                                <w:sz w:val="20"/>
                                <w:szCs w:val="20"/>
                                <w:lang w:val="en"/>
                              </w:rPr>
                              <w:t xml:space="preserve">million. A review by the Inspector-General of Biosecurity </w:t>
                            </w:r>
                            <w:sdt>
                              <w:sdtPr>
                                <w:rPr>
                                  <w:color w:val="7030A0"/>
                                  <w:sz w:val="20"/>
                                  <w:szCs w:val="20"/>
                                  <w:lang w:val="en"/>
                                </w:rPr>
                                <w:id w:val="1161900914"/>
                                <w:citation/>
                              </w:sdtPr>
                              <w:sdtEndPr/>
                              <w:sdtContent>
                                <w:r>
                                  <w:rPr>
                                    <w:color w:val="7030A0"/>
                                    <w:sz w:val="20"/>
                                    <w:szCs w:val="20"/>
                                    <w:lang w:val="en"/>
                                  </w:rPr>
                                  <w:fldChar w:fldCharType="begin"/>
                                </w:r>
                                <w:r>
                                  <w:rPr>
                                    <w:color w:val="7030A0"/>
                                    <w:sz w:val="20"/>
                                    <w:szCs w:val="20"/>
                                  </w:rPr>
                                  <w:instrText xml:space="preserve">CITATION Ins17 \n  \t  \l 3081 </w:instrText>
                                </w:r>
                                <w:r>
                                  <w:rPr>
                                    <w:color w:val="7030A0"/>
                                    <w:sz w:val="20"/>
                                    <w:szCs w:val="20"/>
                                    <w:lang w:val="en"/>
                                  </w:rPr>
                                  <w:fldChar w:fldCharType="separate"/>
                                </w:r>
                                <w:r w:rsidRPr="00A439D7">
                                  <w:rPr>
                                    <w:noProof/>
                                    <w:color w:val="7030A0"/>
                                    <w:sz w:val="20"/>
                                    <w:szCs w:val="20"/>
                                  </w:rPr>
                                  <w:t>(2017)</w:t>
                                </w:r>
                                <w:r>
                                  <w:rPr>
                                    <w:color w:val="7030A0"/>
                                    <w:sz w:val="20"/>
                                    <w:szCs w:val="20"/>
                                    <w:lang w:val="en"/>
                                  </w:rPr>
                                  <w:fldChar w:fldCharType="end"/>
                                </w:r>
                              </w:sdtContent>
                            </w:sdt>
                            <w:r w:rsidRPr="008F21D8">
                              <w:rPr>
                                <w:color w:val="7030A0"/>
                                <w:sz w:val="20"/>
                                <w:szCs w:val="20"/>
                                <w:lang w:val="en"/>
                              </w:rPr>
                              <w:t xml:space="preserve"> concluded that the Acceptable level of Protection had been breached. It made 22 recommendations which were accepted, or accepted in principle, by the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8F112E" id="Text Box 2" o:spid="_x0000_s1029" type="#_x0000_t202" style="position:absolute;margin-left:0;margin-top:0;width:436.1pt;height:576.75pt;z-index:251659264;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" fillcolor="#91bce3 [2168]" strokecolor="#5b9bd5 [3208]" strokeweight=".5pt">
                <v:fill color2="#7aaddd [2616]" rotate="t" colors="0 #b1cbe9;.5 #a3c1e5;1 #92b9e4" focus="100%" type="gradient">
                  <o:fill v:ext="view" type="gradientUnscaled"/>
                </v:fill>
                <v:textbox>
                  <w:txbxContent>
                    <w:p w14:paraId="4695AFDA" w14:textId="0D6CDF2A" w:rsidR="004163D1" w:rsidRPr="008F21D8" w:rsidRDefault="004163D1" w:rsidP="00F528CB">
                      <w:pPr>
                        <w:pStyle w:val="ListParagraph"/>
                        <w:numPr>
                          <w:ilvl w:val="0"/>
                          <w:numId w:val="24"/>
                        </w:numPr>
                        <w:rPr>
                          <w:color w:val="7030A0"/>
                          <w:sz w:val="20"/>
                          <w:szCs w:val="20"/>
                        </w:rPr>
                      </w:pPr>
                      <w:r w:rsidRPr="008F21D8">
                        <w:rPr>
                          <w:color w:val="7030A0"/>
                          <w:sz w:val="20"/>
                          <w:szCs w:val="20"/>
                        </w:rPr>
                        <w:t xml:space="preserve">Red Imported Fire Ants (RIFA) were first detected near the Port of Brisbane in February 2001 </w:t>
                      </w:r>
                      <w:sdt>
                        <w:sdtPr>
                          <w:rPr>
                            <w:color w:val="7030A0"/>
                            <w:sz w:val="20"/>
                            <w:szCs w:val="20"/>
                          </w:rPr>
                          <w:id w:val="1156730596"/>
                          <w:citation/>
                        </w:sdtPr>
                        <w:sdtContent>
                          <w:r w:rsidRPr="008F21D8">
                            <w:rPr>
                              <w:color w:val="7030A0"/>
                              <w:sz w:val="20"/>
                              <w:szCs w:val="20"/>
                            </w:rPr>
                            <w:fldChar w:fldCharType="begin"/>
                          </w:r>
                          <w:r w:rsidRPr="008F21D8">
                            <w:rPr>
                              <w:color w:val="7030A0"/>
                              <w:sz w:val="20"/>
                              <w:szCs w:val="20"/>
                            </w:rPr>
                            <w:instrText xml:space="preserve">CITATION Que19 \l 3081 </w:instrText>
                          </w:r>
                          <w:r w:rsidRPr="008F21D8">
                            <w:rPr>
                              <w:color w:val="7030A0"/>
                              <w:sz w:val="20"/>
                              <w:szCs w:val="20"/>
                            </w:rPr>
                            <w:fldChar w:fldCharType="separate"/>
                          </w:r>
                          <w:r w:rsidRPr="008F21D8">
                            <w:rPr>
                              <w:noProof/>
                              <w:color w:val="7030A0"/>
                              <w:sz w:val="20"/>
                              <w:szCs w:val="20"/>
                            </w:rPr>
                            <w:t>(Queensland Government Department of Agriculture and Fisheries, 2019)</w:t>
                          </w:r>
                          <w:r w:rsidRPr="008F21D8">
                            <w:rPr>
                              <w:color w:val="7030A0"/>
                              <w:sz w:val="20"/>
                              <w:szCs w:val="20"/>
                            </w:rPr>
                            <w:fldChar w:fldCharType="end"/>
                          </w:r>
                        </w:sdtContent>
                      </w:sdt>
                      <w:r w:rsidRPr="008F21D8">
                        <w:rPr>
                          <w:color w:val="7030A0"/>
                          <w:sz w:val="20"/>
                          <w:szCs w:val="20"/>
                        </w:rPr>
                        <w:t xml:space="preserve">. A national eradication program commenced in September 2001, funded by State and Commonwealth Governments. There have been six detections to date, five in Queensland (including central Queensland and Brisbane Airport) and one in NSW. Two of the Queensland sites have been eradicated but colonies have spread within south-east Queensland. Detection involves field officers, odour detection dogs and use of remote sensing technology from helicopters. In 2017, State and Commonwealth Agriculture Ministers committed a further $411 million in a 10 year eradication program, on the basis that a significant benefit cost ratio existed from eradication efforts. In the absence of publicly funded efforts to control RIFA, it has been estimated they would cause losses of $8.5 billion over a 70-year period </w:t>
                      </w:r>
                      <w:sdt>
                        <w:sdtPr>
                          <w:rPr>
                            <w:color w:val="7030A0"/>
                            <w:sz w:val="20"/>
                            <w:szCs w:val="20"/>
                          </w:rPr>
                          <w:id w:val="-802312410"/>
                          <w:citation/>
                        </w:sdtPr>
                        <w:sdtContent>
                          <w:r w:rsidRPr="008F21D8">
                            <w:rPr>
                              <w:color w:val="7030A0"/>
                              <w:sz w:val="20"/>
                              <w:szCs w:val="20"/>
                            </w:rPr>
                            <w:fldChar w:fldCharType="begin"/>
                          </w:r>
                          <w:r w:rsidRPr="008F21D8">
                            <w:rPr>
                              <w:color w:val="7030A0"/>
                              <w:sz w:val="20"/>
                              <w:szCs w:val="20"/>
                            </w:rPr>
                            <w:instrText xml:space="preserve"> CITATION Haf14 \l 3081 </w:instrText>
                          </w:r>
                          <w:r w:rsidRPr="008F21D8">
                            <w:rPr>
                              <w:color w:val="7030A0"/>
                              <w:sz w:val="20"/>
                              <w:szCs w:val="20"/>
                            </w:rPr>
                            <w:fldChar w:fldCharType="separate"/>
                          </w:r>
                          <w:r w:rsidRPr="008F21D8">
                            <w:rPr>
                              <w:noProof/>
                              <w:color w:val="7030A0"/>
                              <w:sz w:val="20"/>
                              <w:szCs w:val="20"/>
                            </w:rPr>
                            <w:t>(Hafi, Spring, Kompas, &amp; Morey, 2014)</w:t>
                          </w:r>
                          <w:r w:rsidRPr="008F21D8">
                            <w:rPr>
                              <w:color w:val="7030A0"/>
                              <w:sz w:val="20"/>
                              <w:szCs w:val="20"/>
                            </w:rPr>
                            <w:fldChar w:fldCharType="end"/>
                          </w:r>
                        </w:sdtContent>
                      </w:sdt>
                      <w:r w:rsidRPr="008F21D8">
                        <w:rPr>
                          <w:color w:val="7030A0"/>
                          <w:sz w:val="20"/>
                          <w:szCs w:val="20"/>
                        </w:rPr>
                        <w:t>. More than half the estimated losses are expected to come from damage to agricultural activities with the household sector accounting for the remainder.</w:t>
                      </w:r>
                    </w:p>
                    <w:p w14:paraId="6B6788F6" w14:textId="4B879A6F" w:rsidR="004163D1" w:rsidRPr="008F21D8" w:rsidRDefault="004163D1" w:rsidP="00F528CB">
                      <w:pPr>
                        <w:pStyle w:val="ListParagraph"/>
                        <w:numPr>
                          <w:ilvl w:val="0"/>
                          <w:numId w:val="24"/>
                        </w:numPr>
                        <w:rPr>
                          <w:color w:val="7030A0"/>
                          <w:sz w:val="20"/>
                          <w:szCs w:val="20"/>
                        </w:rPr>
                      </w:pPr>
                      <w:r w:rsidRPr="008F21D8">
                        <w:rPr>
                          <w:color w:val="7030A0"/>
                          <w:sz w:val="20"/>
                          <w:szCs w:val="20"/>
                        </w:rPr>
                        <w:t xml:space="preserve">African swine fever, a major problem of the pork industry, has recently spread to China, Vietnam and other Asian countries </w:t>
                      </w:r>
                      <w:sdt>
                        <w:sdtPr>
                          <w:rPr>
                            <w:color w:val="7030A0"/>
                            <w:sz w:val="20"/>
                            <w:szCs w:val="20"/>
                          </w:rPr>
                          <w:id w:val="-1301838791"/>
                          <w:citation/>
                        </w:sdtPr>
                        <w:sdtContent>
                          <w:r w:rsidRPr="008F21D8">
                            <w:rPr>
                              <w:color w:val="7030A0"/>
                              <w:sz w:val="20"/>
                              <w:szCs w:val="20"/>
                            </w:rPr>
                            <w:fldChar w:fldCharType="begin"/>
                          </w:r>
                          <w:r w:rsidRPr="008F21D8">
                            <w:rPr>
                              <w:color w:val="7030A0"/>
                              <w:sz w:val="20"/>
                              <w:szCs w:val="20"/>
                            </w:rPr>
                            <w:instrText xml:space="preserve">CITATION Aus192 \l 3081 </w:instrText>
                          </w:r>
                          <w:r w:rsidRPr="008F21D8">
                            <w:rPr>
                              <w:color w:val="7030A0"/>
                              <w:sz w:val="20"/>
                              <w:szCs w:val="20"/>
                            </w:rPr>
                            <w:fldChar w:fldCharType="separate"/>
                          </w:r>
                          <w:r w:rsidRPr="008F21D8">
                            <w:rPr>
                              <w:noProof/>
                              <w:color w:val="7030A0"/>
                              <w:sz w:val="20"/>
                              <w:szCs w:val="20"/>
                            </w:rPr>
                            <w:t>(Australian Pork, 2019)</w:t>
                          </w:r>
                          <w:r w:rsidRPr="008F21D8">
                            <w:rPr>
                              <w:color w:val="7030A0"/>
                              <w:sz w:val="20"/>
                              <w:szCs w:val="20"/>
                            </w:rPr>
                            <w:fldChar w:fldCharType="end"/>
                          </w:r>
                        </w:sdtContent>
                      </w:sdt>
                      <w:r w:rsidRPr="008F21D8">
                        <w:rPr>
                          <w:color w:val="7030A0"/>
                          <w:sz w:val="20"/>
                          <w:szCs w:val="20"/>
                        </w:rPr>
                        <w:t xml:space="preserve">. If established in Australia, it would cause the loss of all export pig meat markets. Recent detections of virus fragments, but not live viruses, in (non-permitted) imports of pork products by air passengers and in mail, have occurred, with 20,000 pork product seizures having been made over the past year from passengers and 1,500 from mail. Testing of samples is being carried out at the Australian Animal Health Laboratory in Geelong. </w:t>
                      </w:r>
                    </w:p>
                    <w:p w14:paraId="6377EA98" w14:textId="77777777" w:rsidR="004163D1" w:rsidRDefault="004163D1" w:rsidP="00F528CB">
                      <w:pPr>
                        <w:pStyle w:val="ListParagraph"/>
                        <w:numPr>
                          <w:ilvl w:val="0"/>
                          <w:numId w:val="24"/>
                        </w:numPr>
                        <w:rPr>
                          <w:color w:val="7030A0"/>
                          <w:sz w:val="20"/>
                          <w:szCs w:val="20"/>
                        </w:rPr>
                      </w:pPr>
                      <w:r w:rsidRPr="008F21D8">
                        <w:rPr>
                          <w:color w:val="7030A0"/>
                          <w:sz w:val="20"/>
                          <w:szCs w:val="20"/>
                        </w:rPr>
                        <w:t xml:space="preserve">The threat posed by the Brown Marmorated Stink Bug has arisen quickly since being first detected in 2016. In the 2017-18 season (September to April), surveillance was undertaken on imports from one country; this increased to nine countries in 2018-19 (eight in Europe plus the USA), and will involve 32 countries in 2019-20 </w:t>
                      </w:r>
                      <w:sdt>
                        <w:sdtPr>
                          <w:rPr>
                            <w:color w:val="7030A0"/>
                            <w:sz w:val="20"/>
                            <w:szCs w:val="20"/>
                          </w:rPr>
                          <w:id w:val="-367606453"/>
                          <w:citation/>
                        </w:sdtPr>
                        <w:sdtContent>
                          <w:r w:rsidRPr="008F21D8">
                            <w:rPr>
                              <w:color w:val="7030A0"/>
                              <w:sz w:val="20"/>
                              <w:szCs w:val="20"/>
                            </w:rPr>
                            <w:fldChar w:fldCharType="begin"/>
                          </w:r>
                          <w:r w:rsidRPr="008F21D8">
                            <w:rPr>
                              <w:color w:val="7030A0"/>
                              <w:sz w:val="20"/>
                              <w:szCs w:val="20"/>
                            </w:rPr>
                            <w:instrText xml:space="preserve">CITATION Depte \l 3081 </w:instrText>
                          </w:r>
                          <w:r w:rsidRPr="008F21D8">
                            <w:rPr>
                              <w:color w:val="7030A0"/>
                              <w:sz w:val="20"/>
                              <w:szCs w:val="20"/>
                            </w:rPr>
                            <w:fldChar w:fldCharType="separate"/>
                          </w:r>
                          <w:r w:rsidRPr="008F21D8">
                            <w:rPr>
                              <w:noProof/>
                              <w:color w:val="7030A0"/>
                              <w:sz w:val="20"/>
                              <w:szCs w:val="20"/>
                            </w:rPr>
                            <w:t>(Department of Agriculture and Water Resources, 2019c)</w:t>
                          </w:r>
                          <w:r w:rsidRPr="008F21D8">
                            <w:rPr>
                              <w:color w:val="7030A0"/>
                              <w:sz w:val="20"/>
                              <w:szCs w:val="20"/>
                            </w:rPr>
                            <w:fldChar w:fldCharType="end"/>
                          </w:r>
                        </w:sdtContent>
                      </w:sdt>
                      <w:r w:rsidRPr="008F21D8">
                        <w:rPr>
                          <w:color w:val="7030A0"/>
                          <w:sz w:val="20"/>
                          <w:szCs w:val="20"/>
                        </w:rPr>
                        <w:t>. Imports from these countries, especially Italy, require pre-shipment fumigation. The bug is known to feed on, and cause major damage to, over 300 host species, including many vegetable crops, fruit and ornamental trees. Detections have been recorded in Queensland, Victoria and WA, involving imports of machinery, terracotta pots and bulldozers. The intensive monitoring programs have necessitated a major redeployment of biosecurity staff.</w:t>
                      </w:r>
                    </w:p>
                    <w:p w14:paraId="121B9A25" w14:textId="69DB18F2" w:rsidR="004163D1" w:rsidRPr="008F21D8" w:rsidRDefault="004163D1" w:rsidP="008F21D8">
                      <w:pPr>
                        <w:pStyle w:val="ListParagraph"/>
                        <w:numPr>
                          <w:ilvl w:val="0"/>
                          <w:numId w:val="24"/>
                        </w:numPr>
                        <w:rPr>
                          <w:color w:val="7030A0"/>
                          <w:sz w:val="20"/>
                          <w:szCs w:val="20"/>
                        </w:rPr>
                      </w:pPr>
                      <w:r w:rsidRPr="008F21D8">
                        <w:rPr>
                          <w:rFonts w:cs="Arial"/>
                          <w:color w:val="7030A0"/>
                          <w:sz w:val="20"/>
                          <w:szCs w:val="20"/>
                          <w:lang w:val="en"/>
                        </w:rPr>
                        <w:t xml:space="preserve">White spot disease is a highly contagious viral disease of prawns, first detected in Taiwan and China in 1992. It has since spread throughout prawn farming regions in Asia and the Americas, causing rapid and heavy (over 80 percent) prawn mortality. Australia is almost the only prawn farming country in the world that had remained free of white spot disease (although a brief detection occurred in Darwin in 2000). The disease does </w:t>
                      </w:r>
                      <w:r w:rsidRPr="008F21D8">
                        <w:rPr>
                          <w:rStyle w:val="Strong"/>
                          <w:rFonts w:cs="Arial"/>
                          <w:b w:val="0"/>
                          <w:color w:val="7030A0"/>
                          <w:sz w:val="20"/>
                          <w:szCs w:val="20"/>
                          <w:lang w:val="en"/>
                        </w:rPr>
                        <w:t>not</w:t>
                      </w:r>
                      <w:r w:rsidRPr="008F21D8">
                        <w:rPr>
                          <w:rFonts w:cs="Arial"/>
                          <w:color w:val="7030A0"/>
                          <w:sz w:val="20"/>
                          <w:szCs w:val="20"/>
                          <w:lang w:val="en"/>
                        </w:rPr>
                        <w:t xml:space="preserve"> pose a threat to human health or food safety. </w:t>
                      </w:r>
                      <w:r w:rsidRPr="008F21D8">
                        <w:rPr>
                          <w:color w:val="7030A0"/>
                          <w:sz w:val="20"/>
                          <w:szCs w:val="20"/>
                          <w:lang w:val="en"/>
                        </w:rPr>
                        <w:t>In late 2016, seven prawn farms on the Logan River, Queensland, tested positive to the virus. This led to significant controls, including a six month ban on the imports of uncooked prawns and the enforced destocking of farms, representing losses of millions of dollars as efforts were intensified to contain and then eradicate the disease. Departmental testing showed that up to 70 percent of imported prawns tested positive for white spot d</w:t>
                      </w:r>
                      <w:r>
                        <w:rPr>
                          <w:color w:val="7030A0"/>
                          <w:sz w:val="20"/>
                          <w:szCs w:val="20"/>
                          <w:lang w:val="en"/>
                        </w:rPr>
                        <w:t xml:space="preserve">isease, </w:t>
                      </w:r>
                      <w:r w:rsidRPr="008F21D8">
                        <w:rPr>
                          <w:color w:val="7030A0"/>
                          <w:sz w:val="20"/>
                          <w:szCs w:val="20"/>
                          <w:lang w:val="en"/>
                        </w:rPr>
                        <w:t>the vector by which the disease became established in Queensland. Total expenditure on eradication by the Queensland and Commonwealth Governments amounted to around $50</w:t>
                      </w:r>
                      <w:r>
                        <w:rPr>
                          <w:color w:val="7030A0"/>
                          <w:sz w:val="20"/>
                          <w:szCs w:val="20"/>
                          <w:lang w:val="en"/>
                        </w:rPr>
                        <w:t> </w:t>
                      </w:r>
                      <w:r w:rsidRPr="008F21D8">
                        <w:rPr>
                          <w:color w:val="7030A0"/>
                          <w:sz w:val="20"/>
                          <w:szCs w:val="20"/>
                          <w:lang w:val="en"/>
                        </w:rPr>
                        <w:t xml:space="preserve">million. A review by the Inspector-General of Biosecurity </w:t>
                      </w:r>
                      <w:sdt>
                        <w:sdtPr>
                          <w:rPr>
                            <w:color w:val="7030A0"/>
                            <w:sz w:val="20"/>
                            <w:szCs w:val="20"/>
                            <w:lang w:val="en"/>
                          </w:rPr>
                          <w:id w:val="1161900914"/>
                          <w:citation/>
                        </w:sdtPr>
                        <w:sdtContent>
                          <w:r>
                            <w:rPr>
                              <w:color w:val="7030A0"/>
                              <w:sz w:val="20"/>
                              <w:szCs w:val="20"/>
                              <w:lang w:val="en"/>
                            </w:rPr>
                            <w:fldChar w:fldCharType="begin"/>
                          </w:r>
                          <w:r>
                            <w:rPr>
                              <w:color w:val="7030A0"/>
                              <w:sz w:val="20"/>
                              <w:szCs w:val="20"/>
                            </w:rPr>
                            <w:instrText xml:space="preserve">CITATION Ins17 \n  \t  \l 3081 </w:instrText>
                          </w:r>
                          <w:r>
                            <w:rPr>
                              <w:color w:val="7030A0"/>
                              <w:sz w:val="20"/>
                              <w:szCs w:val="20"/>
                              <w:lang w:val="en"/>
                            </w:rPr>
                            <w:fldChar w:fldCharType="separate"/>
                          </w:r>
                          <w:r w:rsidRPr="00A439D7">
                            <w:rPr>
                              <w:noProof/>
                              <w:color w:val="7030A0"/>
                              <w:sz w:val="20"/>
                              <w:szCs w:val="20"/>
                            </w:rPr>
                            <w:t>(2017)</w:t>
                          </w:r>
                          <w:r>
                            <w:rPr>
                              <w:color w:val="7030A0"/>
                              <w:sz w:val="20"/>
                              <w:szCs w:val="20"/>
                              <w:lang w:val="en"/>
                            </w:rPr>
                            <w:fldChar w:fldCharType="end"/>
                          </w:r>
                        </w:sdtContent>
                      </w:sdt>
                      <w:r w:rsidRPr="008F21D8">
                        <w:rPr>
                          <w:color w:val="7030A0"/>
                          <w:sz w:val="20"/>
                          <w:szCs w:val="20"/>
                          <w:lang w:val="en"/>
                        </w:rPr>
                        <w:t xml:space="preserve"> concluded that the Acceptable level of Protection had been breached. It made 22 recommendations which were accepted, or accepted in principle, by the Department.</w:t>
                      </w:r>
                    </w:p>
                  </w:txbxContent>
                </v:textbox>
                <w10:wrap type="topAndBottom" anchorx="margin" anchory="margin"/>
              </v:shape>
            </w:pict>
          </mc:Fallback>
        </mc:AlternateContent>
      </w:r>
      <w:r w:rsidR="006220D4">
        <w:br w:type="page"/>
      </w:r>
    </w:p>
    <w:p w14:paraId="6590E77F" w14:textId="6546C453" w:rsidR="00ED7580" w:rsidRDefault="00B8321D" w:rsidP="00A12E85">
      <w:r>
        <w:t xml:space="preserve">By 2030-31 Australian airports are expected to handle almost three times as many international passengers compared to 2010–11 </w:t>
      </w:r>
      <w:sdt>
        <w:sdtPr>
          <w:id w:val="-565803035"/>
          <w:citation/>
        </w:sdtPr>
        <w:sdtEndPr/>
        <w:sdtContent>
          <w:r>
            <w:fldChar w:fldCharType="begin"/>
          </w:r>
          <w:r>
            <w:instrText xml:space="preserve">CITATION Bur12 \p 64 \t  \l 3081 </w:instrText>
          </w:r>
          <w:r>
            <w:fldChar w:fldCharType="separate"/>
          </w:r>
          <w:r w:rsidR="00604A29">
            <w:rPr>
              <w:noProof/>
            </w:rPr>
            <w:t>(Bureau of Infrastructure, Transport and Regional Economics, 2012, p. 64)</w:t>
          </w:r>
          <w:r>
            <w:fldChar w:fldCharType="end"/>
          </w:r>
        </w:sdtContent>
      </w:sdt>
      <w:r>
        <w:t xml:space="preserve">, while containerised imports are also projected to almost triple over a similar period </w:t>
      </w:r>
      <w:sdt>
        <w:sdtPr>
          <w:id w:val="11579733"/>
          <w:citation/>
        </w:sdtPr>
        <w:sdtEndPr/>
        <w:sdtContent>
          <w:r>
            <w:fldChar w:fldCharType="begin"/>
          </w:r>
          <w:r>
            <w:instrText xml:space="preserve">CITATION Bur14 \p 70 \t  \l 3081 </w:instrText>
          </w:r>
          <w:r>
            <w:fldChar w:fldCharType="separate"/>
          </w:r>
          <w:r w:rsidR="00604A29">
            <w:rPr>
              <w:noProof/>
            </w:rPr>
            <w:t>(Bureau of Infrastructure, Transport and Regional Economics, 2014, p. 70)</w:t>
          </w:r>
          <w:r>
            <w:fldChar w:fldCharType="end"/>
          </w:r>
        </w:sdtContent>
      </w:sdt>
      <w:r w:rsidR="00D4540C">
        <w:t>.</w:t>
      </w:r>
      <w:r w:rsidR="005D274F">
        <w:t xml:space="preserve"> </w:t>
      </w:r>
    </w:p>
    <w:p w14:paraId="15A43E49" w14:textId="1274B06F" w:rsidR="00BE420E" w:rsidRDefault="00B13982" w:rsidP="00BE420E">
      <w:pPr>
        <w:pStyle w:val="Heading2"/>
      </w:pPr>
      <w:bookmarkStart w:id="14" w:name="_Toc10031882"/>
      <w:r>
        <w:t>3</w:t>
      </w:r>
      <w:r w:rsidR="00BE420E">
        <w:t>.2</w:t>
      </w:r>
      <w:r w:rsidR="00BE420E">
        <w:tab/>
        <w:t>Biosecurity Funding</w:t>
      </w:r>
      <w:bookmarkEnd w:id="14"/>
    </w:p>
    <w:p w14:paraId="7F40757C" w14:textId="7879D5D4" w:rsidR="00B8321D" w:rsidRPr="002C0FA5" w:rsidRDefault="00B8321D" w:rsidP="00B8321D">
      <w:r>
        <w:t xml:space="preserve">While the demand for biosecurity services has been increasing and is expected to increase further, </w:t>
      </w:r>
      <w:r>
        <w:rPr>
          <w:rFonts w:cs="Cambria"/>
          <w:color w:val="000000"/>
          <w:szCs w:val="22"/>
        </w:rPr>
        <w:t xml:space="preserve">government budgets for biosecurity have been under pressure </w:t>
      </w:r>
      <w:sdt>
        <w:sdtPr>
          <w:rPr>
            <w:rFonts w:cs="Cambria"/>
            <w:color w:val="000000"/>
            <w:szCs w:val="22"/>
          </w:rPr>
          <w:id w:val="1242139595"/>
          <w:citation/>
        </w:sdtPr>
        <w:sdtEndPr/>
        <w:sdtContent>
          <w:r>
            <w:rPr>
              <w:rFonts w:cs="Cambria"/>
              <w:color w:val="000000"/>
              <w:szCs w:val="22"/>
            </w:rPr>
            <w:fldChar w:fldCharType="begin"/>
          </w:r>
          <w:r>
            <w:rPr>
              <w:rFonts w:cs="Cambria"/>
              <w:color w:val="000000"/>
              <w:szCs w:val="22"/>
            </w:rPr>
            <w:instrText xml:space="preserve">CITATION Cra17 \p 119 \t  \l 3081 </w:instrText>
          </w:r>
          <w:r>
            <w:rPr>
              <w:rFonts w:cs="Cambria"/>
              <w:color w:val="000000"/>
              <w:szCs w:val="22"/>
            </w:rPr>
            <w:fldChar w:fldCharType="separate"/>
          </w:r>
          <w:r w:rsidR="00604A29" w:rsidRPr="00604A29">
            <w:rPr>
              <w:rFonts w:cs="Cambria"/>
              <w:noProof/>
              <w:color w:val="000000"/>
              <w:szCs w:val="22"/>
            </w:rPr>
            <w:t>(Craik, Palmer, &amp; Sheldrake, 2017, p. 119)</w:t>
          </w:r>
          <w:r>
            <w:rPr>
              <w:rFonts w:cs="Cambria"/>
              <w:color w:val="000000"/>
              <w:szCs w:val="22"/>
            </w:rPr>
            <w:fldChar w:fldCharType="end"/>
          </w:r>
        </w:sdtContent>
      </w:sdt>
      <w:r>
        <w:rPr>
          <w:rFonts w:cs="Cambria"/>
          <w:color w:val="000000"/>
          <w:szCs w:val="22"/>
        </w:rPr>
        <w:t>.</w:t>
      </w:r>
    </w:p>
    <w:p w14:paraId="66E804CA" w14:textId="77777777" w:rsidR="00B8321D" w:rsidRDefault="00B8321D" w:rsidP="00B8321D">
      <w:r>
        <w:t>There are two primary sources for funding biosecurity functions:</w:t>
      </w:r>
    </w:p>
    <w:p w14:paraId="6E0CA534" w14:textId="77777777" w:rsidR="00B8321D" w:rsidRDefault="00B8321D" w:rsidP="00B8321D">
      <w:pPr>
        <w:pStyle w:val="ListParagraph"/>
        <w:numPr>
          <w:ilvl w:val="0"/>
          <w:numId w:val="5"/>
        </w:numPr>
      </w:pPr>
      <w:r>
        <w:t>taxpayer funding through budget appropriations</w:t>
      </w:r>
    </w:p>
    <w:p w14:paraId="762AA456" w14:textId="77777777" w:rsidR="00B8321D" w:rsidRDefault="00B8321D" w:rsidP="00B8321D">
      <w:pPr>
        <w:pStyle w:val="ListParagraph"/>
        <w:numPr>
          <w:ilvl w:val="0"/>
          <w:numId w:val="5"/>
        </w:numPr>
      </w:pPr>
      <w:r>
        <w:t>cost recovery from users of import clearance and export inspection and certification systems.</w:t>
      </w:r>
    </w:p>
    <w:p w14:paraId="20DD5D8E" w14:textId="5CF3E2D4" w:rsidR="00D80765" w:rsidRPr="00752E52" w:rsidRDefault="00D80765" w:rsidP="00D80765">
      <w:r w:rsidRPr="00752E52">
        <w:t xml:space="preserve">The Consolidated Revenue Fund is the principal working fund of the Commonwealth Government </w:t>
      </w:r>
      <w:sdt>
        <w:sdtPr>
          <w:id w:val="1762951561"/>
          <w:citation/>
        </w:sdtPr>
        <w:sdtEndPr/>
        <w:sdtContent>
          <w:r w:rsidRPr="00752E52">
            <w:fldChar w:fldCharType="begin"/>
          </w:r>
          <w:r w:rsidRPr="00752E52">
            <w:instrText xml:space="preserve">CITATION Pro01 \p 41 \t  \l 3081 </w:instrText>
          </w:r>
          <w:r w:rsidRPr="00752E52">
            <w:fldChar w:fldCharType="separate"/>
          </w:r>
          <w:r w:rsidR="00604A29">
            <w:rPr>
              <w:noProof/>
            </w:rPr>
            <w:t>(Productivity Commission, 2001, p. 41)</w:t>
          </w:r>
          <w:r w:rsidRPr="00752E52">
            <w:fldChar w:fldCharType="end"/>
          </w:r>
        </w:sdtContent>
      </w:sdt>
      <w:r w:rsidRPr="00752E52">
        <w:t>. Section 81 of the Constitution requires all public monies raised by the Commonwealth to be credited to the fund. Section 83 of the Constitution states that monies cannot be drawn from the fund without Parliamentary approval (an appropriation).</w:t>
      </w:r>
    </w:p>
    <w:p w14:paraId="675AC1BD" w14:textId="1E7E25B2" w:rsidR="00D80765" w:rsidRDefault="00D80765" w:rsidP="00D80765">
      <w:r w:rsidRPr="00752E52">
        <w:t xml:space="preserve">A special account is an appropriation mechanism that sets aside an amount within the </w:t>
      </w:r>
      <w:r w:rsidR="00865872" w:rsidRPr="00752E52">
        <w:t xml:space="preserve">Consolidated Revenue Fund </w:t>
      </w:r>
      <w:r w:rsidRPr="00752E52">
        <w:t xml:space="preserve">for specific expenditure purposes </w:t>
      </w:r>
      <w:sdt>
        <w:sdtPr>
          <w:id w:val="128526773"/>
          <w:citation/>
        </w:sdtPr>
        <w:sdtEndPr/>
        <w:sdtContent>
          <w:r w:rsidRPr="00752E52">
            <w:fldChar w:fldCharType="begin"/>
          </w:r>
          <w:r w:rsidR="007E2B23">
            <w:instrText xml:space="preserve">CITATION Com9b \p 131 \t  \l 3081 </w:instrText>
          </w:r>
          <w:r w:rsidRPr="00752E52">
            <w:fldChar w:fldCharType="separate"/>
          </w:r>
          <w:r w:rsidR="00604A29">
            <w:rPr>
              <w:noProof/>
            </w:rPr>
            <w:t>(Commonwealth of Australia, 2019a, p. 131)</w:t>
          </w:r>
          <w:r w:rsidRPr="00752E52">
            <w:fldChar w:fldCharType="end"/>
          </w:r>
        </w:sdtContent>
      </w:sdt>
      <w:r w:rsidRPr="00752E52">
        <w:t xml:space="preserve">. Special accounts can be used to appropriate expenditure resourced from contributions from other parties. </w:t>
      </w:r>
      <w:r w:rsidR="008323FA" w:rsidRPr="00752E52">
        <w:t>The Department</w:t>
      </w:r>
      <w:r w:rsidRPr="00752E52">
        <w:t xml:space="preserve"> </w:t>
      </w:r>
      <w:r w:rsidR="00865872">
        <w:t>receives</w:t>
      </w:r>
      <w:r w:rsidRPr="00752E52">
        <w:t xml:space="preserve"> cost recovery funds collected </w:t>
      </w:r>
      <w:r w:rsidR="00865872">
        <w:t>for</w:t>
      </w:r>
      <w:r w:rsidRPr="00752E52">
        <w:t xml:space="preserve"> its biosecurity activities by means of a special account – in this case, the Australian Quarantine and Inspection Service Special Account.</w:t>
      </w:r>
    </w:p>
    <w:p w14:paraId="545E870B" w14:textId="09C87026" w:rsidR="00A94D41" w:rsidRDefault="00752E52" w:rsidP="00B8321D">
      <w:r w:rsidRPr="00865872">
        <w:rPr>
          <w:b/>
        </w:rPr>
        <w:t>Tables 2 and 3</w:t>
      </w:r>
      <w:r>
        <w:t xml:space="preserve"> </w:t>
      </w:r>
      <w:r w:rsidR="00865872">
        <w:t>show</w:t>
      </w:r>
      <w:r w:rsidR="00B8321D">
        <w:t xml:space="preserve"> total Commonwealth funding sources and total funding for biosecurity from 2011-12 to 2019-20</w:t>
      </w:r>
      <w:r w:rsidR="00865872">
        <w:t>,</w:t>
      </w:r>
      <w:r w:rsidR="00B8321D">
        <w:t xml:space="preserve"> in nominal and real terms</w:t>
      </w:r>
      <w:r w:rsidR="00A94D41">
        <w:t xml:space="preserve">. </w:t>
      </w:r>
    </w:p>
    <w:p w14:paraId="121597D4" w14:textId="313BED72" w:rsidR="005F38FF" w:rsidRDefault="00294C49" w:rsidP="00B53DF7">
      <w:pPr>
        <w:pStyle w:val="Caption"/>
        <w:spacing w:after="0"/>
      </w:pPr>
      <w:bookmarkStart w:id="15" w:name="_Toc10031673"/>
      <w:r>
        <w:t xml:space="preserve">Table </w:t>
      </w:r>
      <w:r w:rsidR="00C15463">
        <w:rPr>
          <w:noProof/>
        </w:rPr>
        <w:fldChar w:fldCharType="begin"/>
      </w:r>
      <w:r w:rsidR="00C15463">
        <w:rPr>
          <w:noProof/>
        </w:rPr>
        <w:instrText xml:space="preserve"> SEQ Table \* ARABIC </w:instrText>
      </w:r>
      <w:r w:rsidR="00C15463">
        <w:rPr>
          <w:noProof/>
        </w:rPr>
        <w:fldChar w:fldCharType="separate"/>
      </w:r>
      <w:r w:rsidR="00BD638C">
        <w:rPr>
          <w:noProof/>
        </w:rPr>
        <w:t>2</w:t>
      </w:r>
      <w:r w:rsidR="00C15463">
        <w:rPr>
          <w:noProof/>
        </w:rPr>
        <w:fldChar w:fldCharType="end"/>
      </w:r>
      <w:r>
        <w:t xml:space="preserve">: </w:t>
      </w:r>
      <w:r w:rsidR="00245536">
        <w:t xml:space="preserve">Sources of Commonwealth Government Funding </w:t>
      </w:r>
      <w:r w:rsidR="00266793">
        <w:t xml:space="preserve">and Total Funding </w:t>
      </w:r>
      <w:r w:rsidR="00245536">
        <w:t xml:space="preserve">for Biosecurity </w:t>
      </w:r>
      <w:r w:rsidR="00A16197">
        <w:t>– 2011-12 to 2019-20</w:t>
      </w:r>
      <w:r w:rsidR="008B5326">
        <w:t xml:space="preserve"> </w:t>
      </w:r>
      <w:r w:rsidR="00A16197">
        <w:t>(</w:t>
      </w:r>
      <w:r w:rsidR="007B78D4">
        <w:t xml:space="preserve">nominal </w:t>
      </w:r>
      <w:r w:rsidR="00A16197">
        <w:t>$ million)</w:t>
      </w:r>
      <w:bookmarkEnd w:id="15"/>
    </w:p>
    <w:tbl>
      <w:tblPr>
        <w:tblW w:w="8721" w:type="dxa"/>
        <w:tblInd w:w="-5" w:type="dxa"/>
        <w:tblLook w:val="04A0" w:firstRow="1" w:lastRow="0" w:firstColumn="1" w:lastColumn="0" w:noHBand="0" w:noVBand="1"/>
      </w:tblPr>
      <w:tblGrid>
        <w:gridCol w:w="1738"/>
        <w:gridCol w:w="775"/>
        <w:gridCol w:w="776"/>
        <w:gridCol w:w="776"/>
        <w:gridCol w:w="776"/>
        <w:gridCol w:w="776"/>
        <w:gridCol w:w="776"/>
        <w:gridCol w:w="776"/>
        <w:gridCol w:w="776"/>
        <w:gridCol w:w="776"/>
      </w:tblGrid>
      <w:tr w:rsidR="002F592B" w:rsidRPr="002F592B" w14:paraId="0872172F" w14:textId="77777777" w:rsidTr="00B53DF7">
        <w:trPr>
          <w:trHeight w:val="285"/>
        </w:trPr>
        <w:tc>
          <w:tcPr>
            <w:tcW w:w="1738" w:type="dxa"/>
            <w:tcBorders>
              <w:top w:val="single" w:sz="4" w:space="0" w:color="A5A5A5"/>
              <w:left w:val="single" w:sz="4" w:space="0" w:color="A5A5A5"/>
              <w:right w:val="nil"/>
            </w:tcBorders>
            <w:shd w:val="clear" w:color="A5A5A5" w:fill="A5A5A5"/>
            <w:vAlign w:val="center"/>
            <w:hideMark/>
          </w:tcPr>
          <w:p w14:paraId="364AA087" w14:textId="4B6CD21A" w:rsidR="002F592B" w:rsidRPr="00175F05" w:rsidRDefault="002F592B" w:rsidP="002F592B">
            <w:pPr>
              <w:spacing w:before="0" w:after="0"/>
              <w:rPr>
                <w:rFonts w:ascii="Calibri" w:hAnsi="Calibri" w:cs="Calibri"/>
                <w:b/>
                <w:bCs/>
                <w:color w:val="000000"/>
                <w:szCs w:val="22"/>
                <w:lang w:eastAsia="en-AU"/>
              </w:rPr>
            </w:pPr>
            <w:r w:rsidRPr="00175F05">
              <w:rPr>
                <w:rFonts w:ascii="Calibri" w:hAnsi="Calibri" w:cs="Calibri"/>
                <w:b/>
                <w:bCs/>
                <w:color w:val="000000"/>
                <w:szCs w:val="22"/>
                <w:lang w:eastAsia="en-AU"/>
              </w:rPr>
              <w:t>Funding Source</w:t>
            </w:r>
            <w:r w:rsidR="00F07F44">
              <w:rPr>
                <w:rFonts w:ascii="Calibri" w:hAnsi="Calibri" w:cs="Calibri"/>
                <w:b/>
                <w:bCs/>
                <w:color w:val="000000"/>
                <w:szCs w:val="22"/>
                <w:lang w:eastAsia="en-AU"/>
              </w:rPr>
              <w:t xml:space="preserve"> ($m)</w:t>
            </w:r>
          </w:p>
        </w:tc>
        <w:tc>
          <w:tcPr>
            <w:tcW w:w="775" w:type="dxa"/>
            <w:tcBorders>
              <w:top w:val="single" w:sz="4" w:space="0" w:color="A5A5A5"/>
              <w:left w:val="nil"/>
              <w:right w:val="nil"/>
            </w:tcBorders>
            <w:shd w:val="clear" w:color="A5A5A5" w:fill="A5A5A5"/>
            <w:vAlign w:val="center"/>
            <w:hideMark/>
          </w:tcPr>
          <w:p w14:paraId="67FD34E1" w14:textId="77777777" w:rsidR="002F592B" w:rsidRPr="00175F05" w:rsidRDefault="002F592B" w:rsidP="002F592B">
            <w:pPr>
              <w:spacing w:before="0" w:after="0"/>
              <w:jc w:val="center"/>
              <w:rPr>
                <w:rFonts w:ascii="Calibri" w:hAnsi="Calibri" w:cs="Calibri"/>
                <w:b/>
                <w:bCs/>
                <w:color w:val="000000"/>
                <w:szCs w:val="22"/>
                <w:lang w:eastAsia="en-AU"/>
              </w:rPr>
            </w:pPr>
            <w:r w:rsidRPr="00175F05">
              <w:rPr>
                <w:rFonts w:ascii="Calibri" w:hAnsi="Calibri" w:cs="Calibri"/>
                <w:b/>
                <w:bCs/>
                <w:color w:val="000000"/>
                <w:szCs w:val="22"/>
                <w:lang w:eastAsia="en-AU"/>
              </w:rPr>
              <w:t>2011-12</w:t>
            </w:r>
          </w:p>
        </w:tc>
        <w:tc>
          <w:tcPr>
            <w:tcW w:w="776" w:type="dxa"/>
            <w:tcBorders>
              <w:top w:val="single" w:sz="4" w:space="0" w:color="A5A5A5"/>
              <w:left w:val="nil"/>
              <w:right w:val="nil"/>
            </w:tcBorders>
            <w:shd w:val="clear" w:color="A5A5A5" w:fill="A5A5A5"/>
            <w:vAlign w:val="center"/>
            <w:hideMark/>
          </w:tcPr>
          <w:p w14:paraId="77E293C5" w14:textId="77777777" w:rsidR="002F592B" w:rsidRPr="00175F05" w:rsidRDefault="002F592B" w:rsidP="002F592B">
            <w:pPr>
              <w:spacing w:before="0" w:after="0"/>
              <w:jc w:val="center"/>
              <w:rPr>
                <w:rFonts w:ascii="Calibri" w:hAnsi="Calibri" w:cs="Calibri"/>
                <w:b/>
                <w:bCs/>
                <w:color w:val="000000"/>
                <w:szCs w:val="22"/>
                <w:lang w:eastAsia="en-AU"/>
              </w:rPr>
            </w:pPr>
            <w:r w:rsidRPr="00175F05">
              <w:rPr>
                <w:rFonts w:ascii="Calibri" w:hAnsi="Calibri" w:cs="Calibri"/>
                <w:b/>
                <w:bCs/>
                <w:color w:val="000000"/>
                <w:szCs w:val="22"/>
                <w:lang w:eastAsia="en-AU"/>
              </w:rPr>
              <w:t>2012-13</w:t>
            </w:r>
          </w:p>
        </w:tc>
        <w:tc>
          <w:tcPr>
            <w:tcW w:w="776" w:type="dxa"/>
            <w:tcBorders>
              <w:top w:val="single" w:sz="4" w:space="0" w:color="A5A5A5"/>
              <w:left w:val="nil"/>
              <w:right w:val="nil"/>
            </w:tcBorders>
            <w:shd w:val="clear" w:color="A5A5A5" w:fill="A5A5A5"/>
            <w:vAlign w:val="center"/>
            <w:hideMark/>
          </w:tcPr>
          <w:p w14:paraId="4A4BEC52" w14:textId="77777777" w:rsidR="002F592B" w:rsidRPr="00175F05" w:rsidRDefault="002F592B" w:rsidP="002F592B">
            <w:pPr>
              <w:spacing w:before="0" w:after="0"/>
              <w:jc w:val="center"/>
              <w:rPr>
                <w:rFonts w:ascii="Calibri" w:hAnsi="Calibri" w:cs="Calibri"/>
                <w:b/>
                <w:bCs/>
                <w:color w:val="000000"/>
                <w:szCs w:val="22"/>
                <w:lang w:eastAsia="en-AU"/>
              </w:rPr>
            </w:pPr>
            <w:r w:rsidRPr="00175F05">
              <w:rPr>
                <w:rFonts w:ascii="Calibri" w:hAnsi="Calibri" w:cs="Calibri"/>
                <w:b/>
                <w:bCs/>
                <w:color w:val="000000"/>
                <w:szCs w:val="22"/>
                <w:lang w:eastAsia="en-AU"/>
              </w:rPr>
              <w:t>2013-14</w:t>
            </w:r>
          </w:p>
        </w:tc>
        <w:tc>
          <w:tcPr>
            <w:tcW w:w="776" w:type="dxa"/>
            <w:tcBorders>
              <w:top w:val="single" w:sz="4" w:space="0" w:color="A5A5A5"/>
              <w:left w:val="nil"/>
              <w:right w:val="nil"/>
            </w:tcBorders>
            <w:shd w:val="clear" w:color="A5A5A5" w:fill="A5A5A5"/>
            <w:vAlign w:val="center"/>
            <w:hideMark/>
          </w:tcPr>
          <w:p w14:paraId="5DB5D416" w14:textId="77777777" w:rsidR="002F592B" w:rsidRPr="00175F05" w:rsidRDefault="002F592B" w:rsidP="002F592B">
            <w:pPr>
              <w:spacing w:before="0" w:after="0"/>
              <w:jc w:val="center"/>
              <w:rPr>
                <w:rFonts w:ascii="Calibri" w:hAnsi="Calibri" w:cs="Calibri"/>
                <w:b/>
                <w:bCs/>
                <w:color w:val="000000"/>
                <w:szCs w:val="22"/>
                <w:lang w:eastAsia="en-AU"/>
              </w:rPr>
            </w:pPr>
            <w:r w:rsidRPr="00175F05">
              <w:rPr>
                <w:rFonts w:ascii="Calibri" w:hAnsi="Calibri" w:cs="Calibri"/>
                <w:b/>
                <w:bCs/>
                <w:color w:val="000000"/>
                <w:szCs w:val="22"/>
                <w:lang w:eastAsia="en-AU"/>
              </w:rPr>
              <w:t>2014-15</w:t>
            </w:r>
          </w:p>
        </w:tc>
        <w:tc>
          <w:tcPr>
            <w:tcW w:w="776" w:type="dxa"/>
            <w:tcBorders>
              <w:top w:val="single" w:sz="4" w:space="0" w:color="A5A5A5"/>
              <w:left w:val="nil"/>
              <w:right w:val="nil"/>
            </w:tcBorders>
            <w:shd w:val="clear" w:color="A5A5A5" w:fill="A5A5A5"/>
            <w:vAlign w:val="center"/>
            <w:hideMark/>
          </w:tcPr>
          <w:p w14:paraId="23964914" w14:textId="77777777" w:rsidR="002F592B" w:rsidRPr="00175F05" w:rsidRDefault="002F592B" w:rsidP="002F592B">
            <w:pPr>
              <w:spacing w:before="0" w:after="0"/>
              <w:jc w:val="center"/>
              <w:rPr>
                <w:rFonts w:ascii="Calibri" w:hAnsi="Calibri" w:cs="Calibri"/>
                <w:b/>
                <w:bCs/>
                <w:color w:val="000000"/>
                <w:szCs w:val="22"/>
                <w:lang w:eastAsia="en-AU"/>
              </w:rPr>
            </w:pPr>
            <w:r w:rsidRPr="00175F05">
              <w:rPr>
                <w:rFonts w:ascii="Calibri" w:hAnsi="Calibri" w:cs="Calibri"/>
                <w:b/>
                <w:bCs/>
                <w:color w:val="000000"/>
                <w:szCs w:val="22"/>
                <w:lang w:eastAsia="en-AU"/>
              </w:rPr>
              <w:t>2015-16</w:t>
            </w:r>
          </w:p>
        </w:tc>
        <w:tc>
          <w:tcPr>
            <w:tcW w:w="776" w:type="dxa"/>
            <w:tcBorders>
              <w:top w:val="single" w:sz="4" w:space="0" w:color="A5A5A5"/>
              <w:left w:val="nil"/>
              <w:right w:val="nil"/>
            </w:tcBorders>
            <w:shd w:val="clear" w:color="A5A5A5" w:fill="A5A5A5"/>
            <w:vAlign w:val="center"/>
            <w:hideMark/>
          </w:tcPr>
          <w:p w14:paraId="577E4C1F" w14:textId="77777777" w:rsidR="002F592B" w:rsidRPr="00175F05" w:rsidRDefault="002F592B" w:rsidP="002F592B">
            <w:pPr>
              <w:spacing w:before="0" w:after="0"/>
              <w:jc w:val="center"/>
              <w:rPr>
                <w:rFonts w:ascii="Calibri" w:hAnsi="Calibri" w:cs="Calibri"/>
                <w:b/>
                <w:bCs/>
                <w:color w:val="000000"/>
                <w:szCs w:val="22"/>
                <w:lang w:eastAsia="en-AU"/>
              </w:rPr>
            </w:pPr>
            <w:r w:rsidRPr="00175F05">
              <w:rPr>
                <w:rFonts w:ascii="Calibri" w:hAnsi="Calibri" w:cs="Calibri"/>
                <w:b/>
                <w:bCs/>
                <w:color w:val="000000"/>
                <w:szCs w:val="22"/>
                <w:lang w:eastAsia="en-AU"/>
              </w:rPr>
              <w:t>2016-17</w:t>
            </w:r>
          </w:p>
        </w:tc>
        <w:tc>
          <w:tcPr>
            <w:tcW w:w="776" w:type="dxa"/>
            <w:tcBorders>
              <w:top w:val="single" w:sz="4" w:space="0" w:color="A5A5A5"/>
              <w:left w:val="nil"/>
              <w:right w:val="nil"/>
            </w:tcBorders>
            <w:shd w:val="clear" w:color="A5A5A5" w:fill="A5A5A5"/>
            <w:vAlign w:val="center"/>
            <w:hideMark/>
          </w:tcPr>
          <w:p w14:paraId="233B2285" w14:textId="77777777" w:rsidR="002F592B" w:rsidRPr="00175F05" w:rsidRDefault="002F592B" w:rsidP="002F592B">
            <w:pPr>
              <w:spacing w:before="0" w:after="0"/>
              <w:jc w:val="center"/>
              <w:rPr>
                <w:rFonts w:ascii="Calibri" w:hAnsi="Calibri" w:cs="Calibri"/>
                <w:b/>
                <w:bCs/>
                <w:color w:val="000000"/>
                <w:szCs w:val="22"/>
                <w:lang w:eastAsia="en-AU"/>
              </w:rPr>
            </w:pPr>
            <w:r w:rsidRPr="00175F05">
              <w:rPr>
                <w:rFonts w:ascii="Calibri" w:hAnsi="Calibri" w:cs="Calibri"/>
                <w:b/>
                <w:bCs/>
                <w:color w:val="000000"/>
                <w:szCs w:val="22"/>
                <w:lang w:eastAsia="en-AU"/>
              </w:rPr>
              <w:t>2017-18</w:t>
            </w:r>
          </w:p>
        </w:tc>
        <w:tc>
          <w:tcPr>
            <w:tcW w:w="776" w:type="dxa"/>
            <w:tcBorders>
              <w:top w:val="single" w:sz="4" w:space="0" w:color="A5A5A5"/>
              <w:left w:val="nil"/>
              <w:right w:val="nil"/>
            </w:tcBorders>
            <w:shd w:val="clear" w:color="A5A5A5" w:fill="A5A5A5"/>
            <w:vAlign w:val="center"/>
            <w:hideMark/>
          </w:tcPr>
          <w:p w14:paraId="2EA81951" w14:textId="77777777" w:rsidR="002F592B" w:rsidRPr="00175F05" w:rsidRDefault="002F592B" w:rsidP="002F592B">
            <w:pPr>
              <w:spacing w:before="0" w:after="0"/>
              <w:jc w:val="center"/>
              <w:rPr>
                <w:rFonts w:ascii="Calibri" w:hAnsi="Calibri" w:cs="Calibri"/>
                <w:b/>
                <w:bCs/>
                <w:color w:val="000000"/>
                <w:szCs w:val="22"/>
                <w:lang w:eastAsia="en-AU"/>
              </w:rPr>
            </w:pPr>
            <w:r w:rsidRPr="00175F05">
              <w:rPr>
                <w:rFonts w:ascii="Calibri" w:hAnsi="Calibri" w:cs="Calibri"/>
                <w:b/>
                <w:bCs/>
                <w:color w:val="000000"/>
                <w:szCs w:val="22"/>
                <w:lang w:eastAsia="en-AU"/>
              </w:rPr>
              <w:t>2018-19</w:t>
            </w:r>
          </w:p>
        </w:tc>
        <w:tc>
          <w:tcPr>
            <w:tcW w:w="776" w:type="dxa"/>
            <w:tcBorders>
              <w:top w:val="single" w:sz="4" w:space="0" w:color="A5A5A5"/>
              <w:left w:val="nil"/>
              <w:right w:val="nil"/>
            </w:tcBorders>
            <w:shd w:val="clear" w:color="A5A5A5" w:fill="A5A5A5"/>
            <w:vAlign w:val="center"/>
            <w:hideMark/>
          </w:tcPr>
          <w:p w14:paraId="01DFF978" w14:textId="77777777" w:rsidR="002F592B" w:rsidRPr="00175F05" w:rsidRDefault="002F592B" w:rsidP="002F592B">
            <w:pPr>
              <w:spacing w:before="0" w:after="0"/>
              <w:jc w:val="center"/>
              <w:rPr>
                <w:rFonts w:ascii="Calibri" w:hAnsi="Calibri" w:cs="Calibri"/>
                <w:b/>
                <w:bCs/>
                <w:color w:val="000000"/>
                <w:szCs w:val="22"/>
                <w:lang w:eastAsia="en-AU"/>
              </w:rPr>
            </w:pPr>
            <w:r w:rsidRPr="00175F05">
              <w:rPr>
                <w:rFonts w:ascii="Calibri" w:hAnsi="Calibri" w:cs="Calibri"/>
                <w:b/>
                <w:bCs/>
                <w:color w:val="000000"/>
                <w:szCs w:val="22"/>
                <w:lang w:eastAsia="en-AU"/>
              </w:rPr>
              <w:t>2019-20</w:t>
            </w:r>
          </w:p>
        </w:tc>
      </w:tr>
      <w:tr w:rsidR="002F592B" w:rsidRPr="002F592B" w14:paraId="33AB200A" w14:textId="77777777" w:rsidTr="00B53DF7">
        <w:trPr>
          <w:trHeight w:val="285"/>
        </w:trPr>
        <w:tc>
          <w:tcPr>
            <w:tcW w:w="1738" w:type="dxa"/>
            <w:tcBorders>
              <w:right w:val="nil"/>
            </w:tcBorders>
            <w:shd w:val="clear" w:color="auto" w:fill="auto"/>
            <w:vAlign w:val="center"/>
            <w:hideMark/>
          </w:tcPr>
          <w:p w14:paraId="1BF02E76" w14:textId="28C5144D" w:rsidR="002F592B" w:rsidRPr="00175F05" w:rsidRDefault="005C39FB" w:rsidP="00F07F44">
            <w:pPr>
              <w:spacing w:before="0" w:after="0"/>
              <w:rPr>
                <w:rFonts w:ascii="Calibri" w:hAnsi="Calibri" w:cs="Calibri"/>
                <w:b/>
                <w:bCs/>
                <w:color w:val="000000"/>
                <w:szCs w:val="22"/>
                <w:lang w:eastAsia="en-AU"/>
              </w:rPr>
            </w:pPr>
            <w:r>
              <w:rPr>
                <w:rFonts w:ascii="Calibri" w:hAnsi="Calibri" w:cs="Calibri"/>
                <w:b/>
                <w:bCs/>
                <w:color w:val="000000"/>
                <w:szCs w:val="22"/>
                <w:lang w:eastAsia="en-AU"/>
              </w:rPr>
              <w:t>Budget</w:t>
            </w:r>
            <w:r w:rsidR="002640C3" w:rsidRPr="00175F05">
              <w:rPr>
                <w:rFonts w:ascii="Calibri" w:hAnsi="Calibri" w:cs="Calibri"/>
                <w:b/>
                <w:bCs/>
                <w:color w:val="000000"/>
                <w:szCs w:val="22"/>
                <w:lang w:eastAsia="en-AU"/>
              </w:rPr>
              <w:t xml:space="preserve"> Appropriations</w:t>
            </w:r>
            <w:r w:rsidR="002F592B" w:rsidRPr="00175F05">
              <w:rPr>
                <w:rFonts w:ascii="Calibri" w:hAnsi="Calibri" w:cs="Calibri"/>
                <w:b/>
                <w:bCs/>
                <w:color w:val="000000"/>
                <w:szCs w:val="22"/>
                <w:lang w:eastAsia="en-AU"/>
              </w:rPr>
              <w:t xml:space="preserve"> </w:t>
            </w:r>
          </w:p>
        </w:tc>
        <w:tc>
          <w:tcPr>
            <w:tcW w:w="775" w:type="dxa"/>
            <w:tcBorders>
              <w:left w:val="nil"/>
              <w:right w:val="nil"/>
            </w:tcBorders>
            <w:shd w:val="clear" w:color="auto" w:fill="auto"/>
            <w:vAlign w:val="center"/>
            <w:hideMark/>
          </w:tcPr>
          <w:p w14:paraId="68331ACE" w14:textId="77777777" w:rsidR="002F592B" w:rsidRPr="00357A9F" w:rsidRDefault="002F592B" w:rsidP="002F592B">
            <w:pPr>
              <w:tabs>
                <w:tab w:val="left" w:pos="639"/>
              </w:tabs>
              <w:spacing w:before="0" w:after="0"/>
              <w:ind w:right="1"/>
              <w:jc w:val="right"/>
              <w:rPr>
                <w:rFonts w:ascii="Calibri" w:hAnsi="Calibri" w:cs="Calibri"/>
                <w:color w:val="000000"/>
                <w:szCs w:val="22"/>
                <w:lang w:eastAsia="en-AU"/>
              </w:rPr>
            </w:pPr>
            <w:r w:rsidRPr="00357A9F">
              <w:rPr>
                <w:rFonts w:ascii="Calibri" w:hAnsi="Calibri" w:cs="Calibri"/>
                <w:color w:val="000000"/>
                <w:szCs w:val="22"/>
                <w:lang w:eastAsia="en-AU"/>
              </w:rPr>
              <w:t>307</w:t>
            </w:r>
          </w:p>
        </w:tc>
        <w:tc>
          <w:tcPr>
            <w:tcW w:w="776" w:type="dxa"/>
            <w:tcBorders>
              <w:left w:val="nil"/>
              <w:right w:val="nil"/>
            </w:tcBorders>
            <w:shd w:val="clear" w:color="auto" w:fill="auto"/>
            <w:vAlign w:val="center"/>
            <w:hideMark/>
          </w:tcPr>
          <w:p w14:paraId="0B983967" w14:textId="77777777"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236</w:t>
            </w:r>
          </w:p>
        </w:tc>
        <w:tc>
          <w:tcPr>
            <w:tcW w:w="776" w:type="dxa"/>
            <w:tcBorders>
              <w:left w:val="nil"/>
              <w:right w:val="nil"/>
            </w:tcBorders>
            <w:shd w:val="clear" w:color="auto" w:fill="auto"/>
            <w:vAlign w:val="center"/>
            <w:hideMark/>
          </w:tcPr>
          <w:p w14:paraId="69DED711" w14:textId="77777777"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235</w:t>
            </w:r>
          </w:p>
        </w:tc>
        <w:tc>
          <w:tcPr>
            <w:tcW w:w="776" w:type="dxa"/>
            <w:tcBorders>
              <w:left w:val="nil"/>
              <w:right w:val="nil"/>
            </w:tcBorders>
            <w:shd w:val="clear" w:color="auto" w:fill="auto"/>
            <w:vAlign w:val="center"/>
            <w:hideMark/>
          </w:tcPr>
          <w:p w14:paraId="24ED9F4A" w14:textId="77777777"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244</w:t>
            </w:r>
          </w:p>
        </w:tc>
        <w:tc>
          <w:tcPr>
            <w:tcW w:w="776" w:type="dxa"/>
            <w:tcBorders>
              <w:left w:val="nil"/>
              <w:right w:val="nil"/>
            </w:tcBorders>
            <w:shd w:val="clear" w:color="auto" w:fill="auto"/>
            <w:vAlign w:val="center"/>
            <w:hideMark/>
          </w:tcPr>
          <w:p w14:paraId="4B0493E1" w14:textId="77777777"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274</w:t>
            </w:r>
          </w:p>
        </w:tc>
        <w:tc>
          <w:tcPr>
            <w:tcW w:w="776" w:type="dxa"/>
            <w:tcBorders>
              <w:left w:val="nil"/>
              <w:right w:val="nil"/>
            </w:tcBorders>
            <w:shd w:val="clear" w:color="auto" w:fill="auto"/>
            <w:vAlign w:val="center"/>
            <w:hideMark/>
          </w:tcPr>
          <w:p w14:paraId="09A9E8D9" w14:textId="77777777"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304</w:t>
            </w:r>
          </w:p>
        </w:tc>
        <w:tc>
          <w:tcPr>
            <w:tcW w:w="776" w:type="dxa"/>
            <w:tcBorders>
              <w:left w:val="nil"/>
              <w:right w:val="nil"/>
            </w:tcBorders>
            <w:shd w:val="clear" w:color="auto" w:fill="auto"/>
            <w:vAlign w:val="center"/>
            <w:hideMark/>
          </w:tcPr>
          <w:p w14:paraId="56567298" w14:textId="77777777"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322</w:t>
            </w:r>
          </w:p>
        </w:tc>
        <w:tc>
          <w:tcPr>
            <w:tcW w:w="776" w:type="dxa"/>
            <w:tcBorders>
              <w:left w:val="nil"/>
              <w:right w:val="nil"/>
            </w:tcBorders>
            <w:shd w:val="clear" w:color="auto" w:fill="auto"/>
            <w:vAlign w:val="center"/>
            <w:hideMark/>
          </w:tcPr>
          <w:p w14:paraId="4D77200A" w14:textId="77777777"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407</w:t>
            </w:r>
          </w:p>
        </w:tc>
        <w:tc>
          <w:tcPr>
            <w:tcW w:w="776" w:type="dxa"/>
            <w:tcBorders>
              <w:left w:val="nil"/>
            </w:tcBorders>
            <w:shd w:val="clear" w:color="auto" w:fill="auto"/>
            <w:vAlign w:val="center"/>
            <w:hideMark/>
          </w:tcPr>
          <w:p w14:paraId="6E14EBE8" w14:textId="77777777"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351</w:t>
            </w:r>
          </w:p>
        </w:tc>
      </w:tr>
      <w:tr w:rsidR="002F592B" w:rsidRPr="002F592B" w14:paraId="07A7D3BC" w14:textId="77777777" w:rsidTr="00B53DF7">
        <w:trPr>
          <w:trHeight w:val="285"/>
        </w:trPr>
        <w:tc>
          <w:tcPr>
            <w:tcW w:w="1738" w:type="dxa"/>
            <w:tcBorders>
              <w:right w:val="nil"/>
            </w:tcBorders>
            <w:shd w:val="clear" w:color="auto" w:fill="auto"/>
            <w:vAlign w:val="center"/>
            <w:hideMark/>
          </w:tcPr>
          <w:p w14:paraId="46F8E3BE" w14:textId="4C595902" w:rsidR="002F592B" w:rsidRPr="00175F05" w:rsidRDefault="00AA489E" w:rsidP="00F07F44">
            <w:pPr>
              <w:spacing w:before="0" w:after="0"/>
              <w:rPr>
                <w:rFonts w:ascii="Calibri" w:hAnsi="Calibri" w:cs="Calibri"/>
                <w:b/>
                <w:bCs/>
                <w:color w:val="000000"/>
                <w:szCs w:val="22"/>
                <w:lang w:eastAsia="en-AU"/>
              </w:rPr>
            </w:pPr>
            <w:r>
              <w:rPr>
                <w:rFonts w:ascii="Calibri" w:hAnsi="Calibri" w:cs="Calibri"/>
                <w:b/>
                <w:bCs/>
                <w:color w:val="000000"/>
                <w:szCs w:val="22"/>
                <w:lang w:eastAsia="en-AU"/>
              </w:rPr>
              <w:t>Cost R</w:t>
            </w:r>
            <w:r w:rsidR="002F592B" w:rsidRPr="00175F05">
              <w:rPr>
                <w:rFonts w:ascii="Calibri" w:hAnsi="Calibri" w:cs="Calibri"/>
                <w:b/>
                <w:bCs/>
                <w:color w:val="000000"/>
                <w:szCs w:val="22"/>
                <w:lang w:eastAsia="en-AU"/>
              </w:rPr>
              <w:t xml:space="preserve">ecovered </w:t>
            </w:r>
          </w:p>
        </w:tc>
        <w:tc>
          <w:tcPr>
            <w:tcW w:w="775" w:type="dxa"/>
            <w:tcBorders>
              <w:left w:val="nil"/>
              <w:right w:val="nil"/>
            </w:tcBorders>
            <w:shd w:val="clear" w:color="auto" w:fill="auto"/>
            <w:vAlign w:val="center"/>
            <w:hideMark/>
          </w:tcPr>
          <w:p w14:paraId="5545CE22" w14:textId="77777777" w:rsidR="002F592B" w:rsidRPr="00357A9F" w:rsidRDefault="002F592B" w:rsidP="002F592B">
            <w:pPr>
              <w:tabs>
                <w:tab w:val="left" w:pos="639"/>
              </w:tabs>
              <w:spacing w:before="0" w:after="0"/>
              <w:ind w:right="1"/>
              <w:jc w:val="right"/>
              <w:rPr>
                <w:rFonts w:ascii="Calibri" w:hAnsi="Calibri" w:cs="Calibri"/>
                <w:color w:val="000000"/>
                <w:szCs w:val="22"/>
                <w:lang w:eastAsia="en-AU"/>
              </w:rPr>
            </w:pPr>
            <w:r w:rsidRPr="00357A9F">
              <w:rPr>
                <w:rFonts w:ascii="Calibri" w:hAnsi="Calibri" w:cs="Calibri"/>
                <w:color w:val="000000"/>
                <w:szCs w:val="22"/>
                <w:lang w:eastAsia="en-AU"/>
              </w:rPr>
              <w:t>322</w:t>
            </w:r>
          </w:p>
        </w:tc>
        <w:tc>
          <w:tcPr>
            <w:tcW w:w="776" w:type="dxa"/>
            <w:tcBorders>
              <w:left w:val="nil"/>
              <w:right w:val="nil"/>
            </w:tcBorders>
            <w:shd w:val="clear" w:color="auto" w:fill="auto"/>
            <w:vAlign w:val="center"/>
            <w:hideMark/>
          </w:tcPr>
          <w:p w14:paraId="7201CD95" w14:textId="77777777"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367</w:t>
            </w:r>
          </w:p>
        </w:tc>
        <w:tc>
          <w:tcPr>
            <w:tcW w:w="776" w:type="dxa"/>
            <w:tcBorders>
              <w:left w:val="nil"/>
              <w:right w:val="nil"/>
            </w:tcBorders>
            <w:shd w:val="clear" w:color="auto" w:fill="auto"/>
            <w:vAlign w:val="center"/>
            <w:hideMark/>
          </w:tcPr>
          <w:p w14:paraId="4A38C829" w14:textId="77777777"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389</w:t>
            </w:r>
          </w:p>
        </w:tc>
        <w:tc>
          <w:tcPr>
            <w:tcW w:w="776" w:type="dxa"/>
            <w:tcBorders>
              <w:left w:val="nil"/>
              <w:right w:val="nil"/>
            </w:tcBorders>
            <w:shd w:val="clear" w:color="auto" w:fill="auto"/>
            <w:vAlign w:val="center"/>
            <w:hideMark/>
          </w:tcPr>
          <w:p w14:paraId="7F63B09F" w14:textId="77777777"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386</w:t>
            </w:r>
          </w:p>
        </w:tc>
        <w:tc>
          <w:tcPr>
            <w:tcW w:w="776" w:type="dxa"/>
            <w:tcBorders>
              <w:left w:val="nil"/>
              <w:right w:val="nil"/>
            </w:tcBorders>
            <w:shd w:val="clear" w:color="auto" w:fill="auto"/>
            <w:vAlign w:val="center"/>
            <w:hideMark/>
          </w:tcPr>
          <w:p w14:paraId="2E7BBAE6" w14:textId="77777777"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439</w:t>
            </w:r>
          </w:p>
        </w:tc>
        <w:tc>
          <w:tcPr>
            <w:tcW w:w="776" w:type="dxa"/>
            <w:tcBorders>
              <w:left w:val="nil"/>
              <w:right w:val="nil"/>
            </w:tcBorders>
            <w:shd w:val="clear" w:color="auto" w:fill="auto"/>
            <w:vAlign w:val="center"/>
            <w:hideMark/>
          </w:tcPr>
          <w:p w14:paraId="5BBDDC33" w14:textId="77777777"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428</w:t>
            </w:r>
          </w:p>
        </w:tc>
        <w:tc>
          <w:tcPr>
            <w:tcW w:w="776" w:type="dxa"/>
            <w:tcBorders>
              <w:left w:val="nil"/>
              <w:right w:val="nil"/>
            </w:tcBorders>
            <w:shd w:val="clear" w:color="auto" w:fill="auto"/>
            <w:vAlign w:val="center"/>
            <w:hideMark/>
          </w:tcPr>
          <w:p w14:paraId="1DB577C8" w14:textId="77777777"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430</w:t>
            </w:r>
          </w:p>
        </w:tc>
        <w:tc>
          <w:tcPr>
            <w:tcW w:w="776" w:type="dxa"/>
            <w:tcBorders>
              <w:left w:val="nil"/>
              <w:right w:val="nil"/>
            </w:tcBorders>
            <w:shd w:val="clear" w:color="auto" w:fill="auto"/>
            <w:vAlign w:val="center"/>
            <w:hideMark/>
          </w:tcPr>
          <w:p w14:paraId="55C0F2AC" w14:textId="77777777"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433</w:t>
            </w:r>
          </w:p>
        </w:tc>
        <w:tc>
          <w:tcPr>
            <w:tcW w:w="776" w:type="dxa"/>
            <w:tcBorders>
              <w:left w:val="nil"/>
            </w:tcBorders>
            <w:shd w:val="clear" w:color="auto" w:fill="auto"/>
            <w:vAlign w:val="center"/>
            <w:hideMark/>
          </w:tcPr>
          <w:p w14:paraId="662A811B" w14:textId="77777777"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434</w:t>
            </w:r>
          </w:p>
        </w:tc>
      </w:tr>
      <w:tr w:rsidR="002F592B" w:rsidRPr="002F592B" w14:paraId="570251CA" w14:textId="77777777" w:rsidTr="00B53DF7">
        <w:trPr>
          <w:trHeight w:val="285"/>
        </w:trPr>
        <w:tc>
          <w:tcPr>
            <w:tcW w:w="1738" w:type="dxa"/>
            <w:tcBorders>
              <w:right w:val="nil"/>
            </w:tcBorders>
            <w:shd w:val="clear" w:color="auto" w:fill="auto"/>
            <w:vAlign w:val="center"/>
            <w:hideMark/>
          </w:tcPr>
          <w:p w14:paraId="4C728E7D" w14:textId="4D3020B5" w:rsidR="002F592B" w:rsidRPr="00175F05" w:rsidRDefault="00F07F44" w:rsidP="002F592B">
            <w:pPr>
              <w:spacing w:before="0" w:after="0"/>
              <w:rPr>
                <w:rFonts w:ascii="Calibri" w:hAnsi="Calibri" w:cs="Calibri"/>
                <w:b/>
                <w:bCs/>
                <w:color w:val="000000"/>
                <w:szCs w:val="22"/>
                <w:lang w:eastAsia="en-AU"/>
              </w:rPr>
            </w:pPr>
            <w:r>
              <w:rPr>
                <w:rFonts w:ascii="Calibri" w:hAnsi="Calibri" w:cs="Calibri"/>
                <w:b/>
                <w:bCs/>
                <w:color w:val="000000"/>
                <w:szCs w:val="22"/>
                <w:lang w:eastAsia="en-AU"/>
              </w:rPr>
              <w:t xml:space="preserve">Total </w:t>
            </w:r>
          </w:p>
        </w:tc>
        <w:tc>
          <w:tcPr>
            <w:tcW w:w="775" w:type="dxa"/>
            <w:tcBorders>
              <w:left w:val="nil"/>
              <w:right w:val="nil"/>
            </w:tcBorders>
            <w:shd w:val="clear" w:color="auto" w:fill="auto"/>
            <w:vAlign w:val="center"/>
            <w:hideMark/>
          </w:tcPr>
          <w:p w14:paraId="61D13E47" w14:textId="77777777" w:rsidR="002F592B" w:rsidRPr="00357A9F" w:rsidRDefault="002F592B" w:rsidP="002F592B">
            <w:pPr>
              <w:tabs>
                <w:tab w:val="left" w:pos="639"/>
              </w:tabs>
              <w:spacing w:before="0" w:after="0"/>
              <w:ind w:right="1"/>
              <w:jc w:val="right"/>
              <w:rPr>
                <w:rFonts w:ascii="Calibri" w:hAnsi="Calibri" w:cs="Calibri"/>
                <w:color w:val="000000"/>
                <w:szCs w:val="22"/>
                <w:lang w:eastAsia="en-AU"/>
              </w:rPr>
            </w:pPr>
            <w:r w:rsidRPr="00357A9F">
              <w:rPr>
                <w:rFonts w:ascii="Calibri" w:hAnsi="Calibri" w:cs="Calibri"/>
                <w:color w:val="000000"/>
                <w:szCs w:val="22"/>
                <w:lang w:eastAsia="en-AU"/>
              </w:rPr>
              <w:t>629</w:t>
            </w:r>
          </w:p>
        </w:tc>
        <w:tc>
          <w:tcPr>
            <w:tcW w:w="776" w:type="dxa"/>
            <w:tcBorders>
              <w:left w:val="nil"/>
              <w:right w:val="nil"/>
            </w:tcBorders>
            <w:shd w:val="clear" w:color="auto" w:fill="auto"/>
            <w:vAlign w:val="center"/>
            <w:hideMark/>
          </w:tcPr>
          <w:p w14:paraId="334F2713" w14:textId="77777777"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603</w:t>
            </w:r>
          </w:p>
        </w:tc>
        <w:tc>
          <w:tcPr>
            <w:tcW w:w="776" w:type="dxa"/>
            <w:tcBorders>
              <w:left w:val="nil"/>
              <w:right w:val="nil"/>
            </w:tcBorders>
            <w:shd w:val="clear" w:color="auto" w:fill="auto"/>
            <w:vAlign w:val="center"/>
            <w:hideMark/>
          </w:tcPr>
          <w:p w14:paraId="7E9AD259" w14:textId="77777777"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623</w:t>
            </w:r>
          </w:p>
        </w:tc>
        <w:tc>
          <w:tcPr>
            <w:tcW w:w="776" w:type="dxa"/>
            <w:tcBorders>
              <w:left w:val="nil"/>
              <w:right w:val="nil"/>
            </w:tcBorders>
            <w:shd w:val="clear" w:color="auto" w:fill="auto"/>
            <w:vAlign w:val="center"/>
            <w:hideMark/>
          </w:tcPr>
          <w:p w14:paraId="1484A75B" w14:textId="77777777"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630</w:t>
            </w:r>
          </w:p>
        </w:tc>
        <w:tc>
          <w:tcPr>
            <w:tcW w:w="776" w:type="dxa"/>
            <w:tcBorders>
              <w:left w:val="nil"/>
              <w:right w:val="nil"/>
            </w:tcBorders>
            <w:shd w:val="clear" w:color="auto" w:fill="auto"/>
            <w:vAlign w:val="center"/>
            <w:hideMark/>
          </w:tcPr>
          <w:p w14:paraId="40150DD3" w14:textId="77777777"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713</w:t>
            </w:r>
          </w:p>
        </w:tc>
        <w:tc>
          <w:tcPr>
            <w:tcW w:w="776" w:type="dxa"/>
            <w:tcBorders>
              <w:left w:val="nil"/>
              <w:right w:val="nil"/>
            </w:tcBorders>
            <w:shd w:val="clear" w:color="auto" w:fill="auto"/>
            <w:vAlign w:val="center"/>
            <w:hideMark/>
          </w:tcPr>
          <w:p w14:paraId="02C0213C" w14:textId="77777777"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732</w:t>
            </w:r>
          </w:p>
        </w:tc>
        <w:tc>
          <w:tcPr>
            <w:tcW w:w="776" w:type="dxa"/>
            <w:tcBorders>
              <w:left w:val="nil"/>
              <w:right w:val="nil"/>
            </w:tcBorders>
            <w:shd w:val="clear" w:color="auto" w:fill="auto"/>
            <w:vAlign w:val="center"/>
            <w:hideMark/>
          </w:tcPr>
          <w:p w14:paraId="1FC7BC83" w14:textId="77777777"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752</w:t>
            </w:r>
          </w:p>
        </w:tc>
        <w:tc>
          <w:tcPr>
            <w:tcW w:w="776" w:type="dxa"/>
            <w:tcBorders>
              <w:left w:val="nil"/>
              <w:right w:val="nil"/>
            </w:tcBorders>
            <w:shd w:val="clear" w:color="auto" w:fill="auto"/>
            <w:vAlign w:val="center"/>
            <w:hideMark/>
          </w:tcPr>
          <w:p w14:paraId="4C97AC88" w14:textId="77777777"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840</w:t>
            </w:r>
          </w:p>
        </w:tc>
        <w:tc>
          <w:tcPr>
            <w:tcW w:w="776" w:type="dxa"/>
            <w:tcBorders>
              <w:left w:val="nil"/>
            </w:tcBorders>
            <w:shd w:val="clear" w:color="auto" w:fill="auto"/>
            <w:vAlign w:val="center"/>
            <w:hideMark/>
          </w:tcPr>
          <w:p w14:paraId="71C2BE10" w14:textId="77777777"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785</w:t>
            </w:r>
          </w:p>
        </w:tc>
      </w:tr>
      <w:tr w:rsidR="002F592B" w:rsidRPr="002F592B" w14:paraId="458D6ACC" w14:textId="77777777" w:rsidTr="00B53DF7">
        <w:trPr>
          <w:trHeight w:val="285"/>
        </w:trPr>
        <w:tc>
          <w:tcPr>
            <w:tcW w:w="1738" w:type="dxa"/>
            <w:tcBorders>
              <w:bottom w:val="single" w:sz="4" w:space="0" w:color="auto"/>
              <w:right w:val="nil"/>
            </w:tcBorders>
            <w:shd w:val="clear" w:color="auto" w:fill="auto"/>
            <w:vAlign w:val="center"/>
            <w:hideMark/>
          </w:tcPr>
          <w:p w14:paraId="0F089478" w14:textId="672BB8D7" w:rsidR="002F592B" w:rsidRPr="00175F05" w:rsidRDefault="002640C3" w:rsidP="002F592B">
            <w:pPr>
              <w:spacing w:before="0" w:after="0"/>
              <w:rPr>
                <w:rFonts w:ascii="Calibri" w:hAnsi="Calibri" w:cs="Calibri"/>
                <w:b/>
                <w:bCs/>
                <w:color w:val="000000"/>
                <w:szCs w:val="22"/>
                <w:lang w:eastAsia="en-AU"/>
              </w:rPr>
            </w:pPr>
            <w:r w:rsidRPr="00175F05">
              <w:rPr>
                <w:rFonts w:ascii="Calibri" w:hAnsi="Calibri" w:cs="Calibri"/>
                <w:b/>
                <w:bCs/>
                <w:color w:val="000000"/>
                <w:szCs w:val="22"/>
                <w:lang w:eastAsia="en-AU"/>
              </w:rPr>
              <w:t>Percentage</w:t>
            </w:r>
            <w:r w:rsidR="002F592B" w:rsidRPr="00175F05">
              <w:rPr>
                <w:rFonts w:ascii="Calibri" w:hAnsi="Calibri" w:cs="Calibri"/>
                <w:b/>
                <w:bCs/>
                <w:color w:val="000000"/>
                <w:szCs w:val="22"/>
                <w:lang w:eastAsia="en-AU"/>
              </w:rPr>
              <w:t xml:space="preserve"> </w:t>
            </w:r>
            <w:r w:rsidR="00AA489E">
              <w:rPr>
                <w:rFonts w:ascii="Calibri" w:hAnsi="Calibri" w:cs="Calibri"/>
                <w:b/>
                <w:bCs/>
                <w:color w:val="000000"/>
                <w:szCs w:val="22"/>
                <w:lang w:eastAsia="en-AU"/>
              </w:rPr>
              <w:t>Cost R</w:t>
            </w:r>
            <w:r w:rsidR="002F592B" w:rsidRPr="00175F05">
              <w:rPr>
                <w:rFonts w:ascii="Calibri" w:hAnsi="Calibri" w:cs="Calibri"/>
                <w:b/>
                <w:bCs/>
                <w:color w:val="000000"/>
                <w:szCs w:val="22"/>
                <w:lang w:eastAsia="en-AU"/>
              </w:rPr>
              <w:t>ecovered</w:t>
            </w:r>
          </w:p>
        </w:tc>
        <w:tc>
          <w:tcPr>
            <w:tcW w:w="775" w:type="dxa"/>
            <w:tcBorders>
              <w:left w:val="nil"/>
              <w:bottom w:val="single" w:sz="4" w:space="0" w:color="auto"/>
              <w:right w:val="nil"/>
            </w:tcBorders>
            <w:shd w:val="clear" w:color="auto" w:fill="auto"/>
            <w:vAlign w:val="center"/>
            <w:hideMark/>
          </w:tcPr>
          <w:p w14:paraId="57346A27" w14:textId="2C6268D7" w:rsidR="002F592B" w:rsidRPr="00357A9F" w:rsidRDefault="002F592B" w:rsidP="002F592B">
            <w:pPr>
              <w:tabs>
                <w:tab w:val="left" w:pos="639"/>
              </w:tabs>
              <w:spacing w:before="0" w:after="0"/>
              <w:ind w:right="1"/>
              <w:jc w:val="right"/>
              <w:rPr>
                <w:rFonts w:ascii="Calibri" w:hAnsi="Calibri" w:cs="Calibri"/>
                <w:color w:val="000000"/>
                <w:szCs w:val="22"/>
                <w:lang w:eastAsia="en-AU"/>
              </w:rPr>
            </w:pPr>
            <w:r w:rsidRPr="00357A9F">
              <w:rPr>
                <w:rFonts w:ascii="Calibri" w:hAnsi="Calibri" w:cs="Calibri"/>
                <w:color w:val="000000"/>
                <w:szCs w:val="22"/>
                <w:lang w:eastAsia="en-AU"/>
              </w:rPr>
              <w:t>51</w:t>
            </w:r>
            <w:r w:rsidR="00F07F44">
              <w:rPr>
                <w:rFonts w:ascii="Calibri" w:hAnsi="Calibri" w:cs="Calibri"/>
                <w:color w:val="000000"/>
                <w:szCs w:val="22"/>
                <w:lang w:eastAsia="en-AU"/>
              </w:rPr>
              <w:t>%</w:t>
            </w:r>
          </w:p>
        </w:tc>
        <w:tc>
          <w:tcPr>
            <w:tcW w:w="776" w:type="dxa"/>
            <w:tcBorders>
              <w:left w:val="nil"/>
              <w:bottom w:val="single" w:sz="4" w:space="0" w:color="auto"/>
              <w:right w:val="nil"/>
            </w:tcBorders>
            <w:shd w:val="clear" w:color="auto" w:fill="auto"/>
            <w:vAlign w:val="center"/>
            <w:hideMark/>
          </w:tcPr>
          <w:p w14:paraId="10D93A9B" w14:textId="565CCB7B"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61</w:t>
            </w:r>
            <w:r w:rsidR="00F07F44">
              <w:rPr>
                <w:rFonts w:ascii="Calibri" w:hAnsi="Calibri" w:cs="Calibri"/>
                <w:color w:val="000000"/>
                <w:szCs w:val="22"/>
                <w:lang w:eastAsia="en-AU"/>
              </w:rPr>
              <w:t>%</w:t>
            </w:r>
          </w:p>
        </w:tc>
        <w:tc>
          <w:tcPr>
            <w:tcW w:w="776" w:type="dxa"/>
            <w:tcBorders>
              <w:left w:val="nil"/>
              <w:bottom w:val="single" w:sz="4" w:space="0" w:color="auto"/>
              <w:right w:val="nil"/>
            </w:tcBorders>
            <w:shd w:val="clear" w:color="auto" w:fill="auto"/>
            <w:vAlign w:val="center"/>
            <w:hideMark/>
          </w:tcPr>
          <w:p w14:paraId="78A9F704" w14:textId="40F7238C"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62</w:t>
            </w:r>
            <w:r w:rsidR="00F07F44">
              <w:rPr>
                <w:rFonts w:ascii="Calibri" w:hAnsi="Calibri" w:cs="Calibri"/>
                <w:color w:val="000000"/>
                <w:szCs w:val="22"/>
                <w:lang w:eastAsia="en-AU"/>
              </w:rPr>
              <w:t>%</w:t>
            </w:r>
          </w:p>
        </w:tc>
        <w:tc>
          <w:tcPr>
            <w:tcW w:w="776" w:type="dxa"/>
            <w:tcBorders>
              <w:left w:val="nil"/>
              <w:bottom w:val="single" w:sz="4" w:space="0" w:color="auto"/>
              <w:right w:val="nil"/>
            </w:tcBorders>
            <w:shd w:val="clear" w:color="auto" w:fill="auto"/>
            <w:vAlign w:val="center"/>
            <w:hideMark/>
          </w:tcPr>
          <w:p w14:paraId="2B7642D3" w14:textId="641B80FB"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61</w:t>
            </w:r>
            <w:r w:rsidR="00F07F44">
              <w:rPr>
                <w:rFonts w:ascii="Calibri" w:hAnsi="Calibri" w:cs="Calibri"/>
                <w:color w:val="000000"/>
                <w:szCs w:val="22"/>
                <w:lang w:eastAsia="en-AU"/>
              </w:rPr>
              <w:t>%</w:t>
            </w:r>
          </w:p>
        </w:tc>
        <w:tc>
          <w:tcPr>
            <w:tcW w:w="776" w:type="dxa"/>
            <w:tcBorders>
              <w:left w:val="nil"/>
              <w:bottom w:val="single" w:sz="4" w:space="0" w:color="auto"/>
              <w:right w:val="nil"/>
            </w:tcBorders>
            <w:shd w:val="clear" w:color="auto" w:fill="auto"/>
            <w:vAlign w:val="center"/>
            <w:hideMark/>
          </w:tcPr>
          <w:p w14:paraId="72EE618E" w14:textId="0E301632"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62</w:t>
            </w:r>
            <w:r w:rsidR="00F07F44">
              <w:rPr>
                <w:rFonts w:ascii="Calibri" w:hAnsi="Calibri" w:cs="Calibri"/>
                <w:color w:val="000000"/>
                <w:szCs w:val="22"/>
                <w:lang w:eastAsia="en-AU"/>
              </w:rPr>
              <w:t>%</w:t>
            </w:r>
          </w:p>
        </w:tc>
        <w:tc>
          <w:tcPr>
            <w:tcW w:w="776" w:type="dxa"/>
            <w:tcBorders>
              <w:left w:val="nil"/>
              <w:bottom w:val="single" w:sz="4" w:space="0" w:color="auto"/>
              <w:right w:val="nil"/>
            </w:tcBorders>
            <w:shd w:val="clear" w:color="auto" w:fill="auto"/>
            <w:vAlign w:val="center"/>
            <w:hideMark/>
          </w:tcPr>
          <w:p w14:paraId="3E217AAC" w14:textId="65D03D0D"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58</w:t>
            </w:r>
            <w:r w:rsidR="00F07F44">
              <w:rPr>
                <w:rFonts w:ascii="Calibri" w:hAnsi="Calibri" w:cs="Calibri"/>
                <w:color w:val="000000"/>
                <w:szCs w:val="22"/>
                <w:lang w:eastAsia="en-AU"/>
              </w:rPr>
              <w:t>%</w:t>
            </w:r>
          </w:p>
        </w:tc>
        <w:tc>
          <w:tcPr>
            <w:tcW w:w="776" w:type="dxa"/>
            <w:tcBorders>
              <w:left w:val="nil"/>
              <w:bottom w:val="single" w:sz="4" w:space="0" w:color="auto"/>
              <w:right w:val="nil"/>
            </w:tcBorders>
            <w:shd w:val="clear" w:color="auto" w:fill="auto"/>
            <w:vAlign w:val="center"/>
            <w:hideMark/>
          </w:tcPr>
          <w:p w14:paraId="256BFC84" w14:textId="00C3011B"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57</w:t>
            </w:r>
            <w:r w:rsidR="00F07F44">
              <w:rPr>
                <w:rFonts w:ascii="Calibri" w:hAnsi="Calibri" w:cs="Calibri"/>
                <w:color w:val="000000"/>
                <w:szCs w:val="22"/>
                <w:lang w:eastAsia="en-AU"/>
              </w:rPr>
              <w:t>%</w:t>
            </w:r>
          </w:p>
        </w:tc>
        <w:tc>
          <w:tcPr>
            <w:tcW w:w="776" w:type="dxa"/>
            <w:tcBorders>
              <w:left w:val="nil"/>
              <w:bottom w:val="single" w:sz="4" w:space="0" w:color="auto"/>
              <w:right w:val="nil"/>
            </w:tcBorders>
            <w:shd w:val="clear" w:color="auto" w:fill="auto"/>
            <w:vAlign w:val="center"/>
            <w:hideMark/>
          </w:tcPr>
          <w:p w14:paraId="3AC31A3D" w14:textId="540E1311"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52</w:t>
            </w:r>
            <w:r w:rsidR="00F07F44">
              <w:rPr>
                <w:rFonts w:ascii="Calibri" w:hAnsi="Calibri" w:cs="Calibri"/>
                <w:color w:val="000000"/>
                <w:szCs w:val="22"/>
                <w:lang w:eastAsia="en-AU"/>
              </w:rPr>
              <w:t>%</w:t>
            </w:r>
          </w:p>
        </w:tc>
        <w:tc>
          <w:tcPr>
            <w:tcW w:w="776" w:type="dxa"/>
            <w:tcBorders>
              <w:left w:val="nil"/>
              <w:bottom w:val="single" w:sz="4" w:space="0" w:color="auto"/>
            </w:tcBorders>
            <w:shd w:val="clear" w:color="auto" w:fill="auto"/>
            <w:vAlign w:val="center"/>
            <w:hideMark/>
          </w:tcPr>
          <w:p w14:paraId="69D2582B" w14:textId="3AFE5E1A" w:rsidR="002F592B" w:rsidRPr="00357A9F" w:rsidRDefault="002F592B" w:rsidP="002F592B">
            <w:pPr>
              <w:spacing w:before="0" w:after="0"/>
              <w:ind w:right="3"/>
              <w:jc w:val="right"/>
              <w:rPr>
                <w:rFonts w:ascii="Calibri" w:hAnsi="Calibri" w:cs="Calibri"/>
                <w:color w:val="000000"/>
                <w:szCs w:val="22"/>
                <w:lang w:eastAsia="en-AU"/>
              </w:rPr>
            </w:pPr>
            <w:r w:rsidRPr="00357A9F">
              <w:rPr>
                <w:rFonts w:ascii="Calibri" w:hAnsi="Calibri" w:cs="Calibri"/>
                <w:color w:val="000000"/>
                <w:szCs w:val="22"/>
                <w:lang w:eastAsia="en-AU"/>
              </w:rPr>
              <w:t>55</w:t>
            </w:r>
            <w:r w:rsidR="00F07F44">
              <w:rPr>
                <w:rFonts w:ascii="Calibri" w:hAnsi="Calibri" w:cs="Calibri"/>
                <w:color w:val="000000"/>
                <w:szCs w:val="22"/>
                <w:lang w:eastAsia="en-AU"/>
              </w:rPr>
              <w:t>%</w:t>
            </w:r>
          </w:p>
        </w:tc>
      </w:tr>
    </w:tbl>
    <w:p w14:paraId="04ED6BA1" w14:textId="79D2FC0A" w:rsidR="00275C10" w:rsidRDefault="00275C10" w:rsidP="00B53DF7">
      <w:pPr>
        <w:pStyle w:val="ListParagraph"/>
        <w:autoSpaceDE w:val="0"/>
        <w:autoSpaceDN w:val="0"/>
        <w:adjustRightInd w:val="0"/>
        <w:spacing w:before="0" w:after="0"/>
        <w:ind w:hanging="720"/>
        <w:rPr>
          <w:rFonts w:cs="Cambria"/>
          <w:color w:val="000000"/>
          <w:sz w:val="18"/>
          <w:szCs w:val="18"/>
        </w:rPr>
      </w:pPr>
      <w:r>
        <w:rPr>
          <w:rFonts w:cs="Cambria"/>
          <w:color w:val="000000"/>
          <w:sz w:val="18"/>
          <w:szCs w:val="18"/>
        </w:rPr>
        <w:t xml:space="preserve">Source: Department of Agriculture and Water Resources, data provided to the Steering Committee. </w:t>
      </w:r>
    </w:p>
    <w:p w14:paraId="63461AC2" w14:textId="5504E1DE" w:rsidR="005F38FF" w:rsidRDefault="00275C10" w:rsidP="00B53DF7">
      <w:pPr>
        <w:spacing w:before="0"/>
        <w:rPr>
          <w:rFonts w:cs="Cambria"/>
          <w:color w:val="000000"/>
          <w:sz w:val="18"/>
          <w:szCs w:val="18"/>
        </w:rPr>
      </w:pPr>
      <w:r>
        <w:rPr>
          <w:rFonts w:cs="Cambria"/>
          <w:color w:val="000000"/>
          <w:sz w:val="18"/>
          <w:szCs w:val="18"/>
        </w:rPr>
        <w:t>Note: $</w:t>
      </w:r>
      <w:r w:rsidR="0031187B">
        <w:rPr>
          <w:rFonts w:cs="Cambria"/>
          <w:color w:val="000000"/>
          <w:sz w:val="18"/>
          <w:szCs w:val="18"/>
        </w:rPr>
        <w:t>m</w:t>
      </w:r>
      <w:r>
        <w:rPr>
          <w:rFonts w:cs="Cambria"/>
          <w:color w:val="000000"/>
          <w:sz w:val="18"/>
          <w:szCs w:val="18"/>
        </w:rPr>
        <w:t xml:space="preserve"> </w:t>
      </w:r>
      <w:r w:rsidR="0031187B">
        <w:rPr>
          <w:rFonts w:cs="Cambria"/>
          <w:color w:val="000000"/>
          <w:sz w:val="18"/>
          <w:szCs w:val="18"/>
        </w:rPr>
        <w:t xml:space="preserve">in </w:t>
      </w:r>
      <w:r>
        <w:rPr>
          <w:rFonts w:cs="Cambria"/>
          <w:color w:val="000000"/>
          <w:sz w:val="18"/>
          <w:szCs w:val="18"/>
        </w:rPr>
        <w:t>nominal</w:t>
      </w:r>
      <w:r w:rsidR="0031187B">
        <w:rPr>
          <w:rFonts w:cs="Cambria"/>
          <w:color w:val="000000"/>
          <w:sz w:val="18"/>
          <w:szCs w:val="18"/>
        </w:rPr>
        <w:t xml:space="preserve"> terms</w:t>
      </w:r>
      <w:r>
        <w:rPr>
          <w:rFonts w:cs="Cambria"/>
          <w:color w:val="000000"/>
          <w:sz w:val="18"/>
          <w:szCs w:val="18"/>
        </w:rPr>
        <w:t>. Data includes Budget Outcomes 1 and 2, plus Treasury appropriations for national partnership payments to the States for biosecurity.</w:t>
      </w:r>
    </w:p>
    <w:p w14:paraId="20BAFC34" w14:textId="58B85D28" w:rsidR="00266793" w:rsidRDefault="00266793" w:rsidP="00B53DF7">
      <w:pPr>
        <w:pStyle w:val="Caption"/>
        <w:spacing w:after="0"/>
      </w:pPr>
      <w:bookmarkStart w:id="16" w:name="_Toc10031674"/>
      <w:r>
        <w:t xml:space="preserve">Table </w:t>
      </w:r>
      <w:r w:rsidR="00C15463">
        <w:rPr>
          <w:noProof/>
        </w:rPr>
        <w:fldChar w:fldCharType="begin"/>
      </w:r>
      <w:r w:rsidR="00C15463">
        <w:rPr>
          <w:noProof/>
        </w:rPr>
        <w:instrText xml:space="preserve"> SEQ Table \* ARABIC </w:instrText>
      </w:r>
      <w:r w:rsidR="00C15463">
        <w:rPr>
          <w:noProof/>
        </w:rPr>
        <w:fldChar w:fldCharType="separate"/>
      </w:r>
      <w:r w:rsidR="00BD638C">
        <w:rPr>
          <w:noProof/>
        </w:rPr>
        <w:t>3</w:t>
      </w:r>
      <w:r w:rsidR="00C15463">
        <w:rPr>
          <w:noProof/>
        </w:rPr>
        <w:fldChar w:fldCharType="end"/>
      </w:r>
      <w:r>
        <w:t xml:space="preserve">: Sources of Commonwealth Government Funding and Total Funding for Biosecurity – 2011-12 to 2019-20 </w:t>
      </w:r>
      <w:r w:rsidR="007B78D4">
        <w:t xml:space="preserve">(real 2011-12 </w:t>
      </w:r>
      <w:r w:rsidR="003F3F61">
        <w:t xml:space="preserve">dollar </w:t>
      </w:r>
      <w:r>
        <w:t>$ million)</w:t>
      </w:r>
      <w:bookmarkEnd w:id="16"/>
    </w:p>
    <w:tbl>
      <w:tblPr>
        <w:tblW w:w="8684" w:type="dxa"/>
        <w:tblInd w:w="-5" w:type="dxa"/>
        <w:tblBorders>
          <w:top w:val="single" w:sz="4" w:space="0" w:color="A5A5A5"/>
          <w:left w:val="single" w:sz="4" w:space="0" w:color="A5A5A5"/>
          <w:bottom w:val="single" w:sz="4" w:space="0" w:color="auto"/>
          <w:right w:val="single" w:sz="4" w:space="0" w:color="A5A5A5"/>
          <w:insideH w:val="single" w:sz="4" w:space="0" w:color="A5A5A5"/>
        </w:tblBorders>
        <w:tblLayout w:type="fixed"/>
        <w:tblLook w:val="04A0" w:firstRow="1" w:lastRow="0" w:firstColumn="1" w:lastColumn="0" w:noHBand="0" w:noVBand="1"/>
      </w:tblPr>
      <w:tblGrid>
        <w:gridCol w:w="1730"/>
        <w:gridCol w:w="772"/>
        <w:gridCol w:w="773"/>
        <w:gridCol w:w="773"/>
        <w:gridCol w:w="772"/>
        <w:gridCol w:w="773"/>
        <w:gridCol w:w="773"/>
        <w:gridCol w:w="772"/>
        <w:gridCol w:w="773"/>
        <w:gridCol w:w="773"/>
      </w:tblGrid>
      <w:tr w:rsidR="0033672D" w:rsidRPr="0088406D" w14:paraId="43F42882" w14:textId="77777777" w:rsidTr="00B53DF7">
        <w:trPr>
          <w:trHeight w:val="285"/>
        </w:trPr>
        <w:tc>
          <w:tcPr>
            <w:tcW w:w="1730" w:type="dxa"/>
            <w:tcBorders>
              <w:bottom w:val="nil"/>
            </w:tcBorders>
            <w:shd w:val="clear" w:color="A5A5A5" w:fill="A5A5A5"/>
            <w:vAlign w:val="center"/>
            <w:hideMark/>
          </w:tcPr>
          <w:p w14:paraId="597DFE52" w14:textId="7D498A1D" w:rsidR="0088406D" w:rsidRPr="0088406D" w:rsidRDefault="0088406D" w:rsidP="0088406D">
            <w:pPr>
              <w:spacing w:before="0" w:after="0"/>
              <w:rPr>
                <w:rFonts w:ascii="Calibri" w:hAnsi="Calibri" w:cs="Calibri"/>
                <w:b/>
                <w:bCs/>
                <w:color w:val="000000"/>
                <w:szCs w:val="22"/>
                <w:lang w:eastAsia="en-AU"/>
              </w:rPr>
            </w:pPr>
            <w:r w:rsidRPr="0088406D">
              <w:rPr>
                <w:rFonts w:ascii="Calibri" w:hAnsi="Calibri" w:cs="Calibri"/>
                <w:b/>
                <w:bCs/>
                <w:color w:val="000000"/>
                <w:szCs w:val="22"/>
                <w:lang w:eastAsia="en-AU"/>
              </w:rPr>
              <w:t>Funding Source</w:t>
            </w:r>
            <w:r w:rsidR="00F07F44">
              <w:rPr>
                <w:rFonts w:ascii="Calibri" w:hAnsi="Calibri" w:cs="Calibri"/>
                <w:b/>
                <w:bCs/>
                <w:color w:val="000000"/>
                <w:szCs w:val="22"/>
                <w:lang w:eastAsia="en-AU"/>
              </w:rPr>
              <w:t xml:space="preserve"> ($m)</w:t>
            </w:r>
          </w:p>
        </w:tc>
        <w:tc>
          <w:tcPr>
            <w:tcW w:w="772" w:type="dxa"/>
            <w:tcBorders>
              <w:bottom w:val="nil"/>
            </w:tcBorders>
            <w:shd w:val="clear" w:color="A5A5A5" w:fill="A5A5A5"/>
            <w:vAlign w:val="center"/>
            <w:hideMark/>
          </w:tcPr>
          <w:p w14:paraId="51926355" w14:textId="77777777" w:rsidR="0088406D" w:rsidRPr="0088406D" w:rsidRDefault="0088406D" w:rsidP="0088406D">
            <w:pPr>
              <w:spacing w:before="0" w:after="0"/>
              <w:jc w:val="center"/>
              <w:rPr>
                <w:rFonts w:ascii="Calibri" w:hAnsi="Calibri" w:cs="Calibri"/>
                <w:b/>
                <w:bCs/>
                <w:color w:val="000000"/>
                <w:szCs w:val="22"/>
                <w:lang w:eastAsia="en-AU"/>
              </w:rPr>
            </w:pPr>
            <w:r w:rsidRPr="0088406D">
              <w:rPr>
                <w:rFonts w:ascii="Calibri" w:hAnsi="Calibri" w:cs="Calibri"/>
                <w:b/>
                <w:bCs/>
                <w:color w:val="000000"/>
                <w:szCs w:val="22"/>
                <w:lang w:eastAsia="en-AU"/>
              </w:rPr>
              <w:t>2011-12</w:t>
            </w:r>
          </w:p>
        </w:tc>
        <w:tc>
          <w:tcPr>
            <w:tcW w:w="773" w:type="dxa"/>
            <w:tcBorders>
              <w:bottom w:val="nil"/>
            </w:tcBorders>
            <w:shd w:val="clear" w:color="A5A5A5" w:fill="A5A5A5"/>
            <w:vAlign w:val="center"/>
            <w:hideMark/>
          </w:tcPr>
          <w:p w14:paraId="77F9A205" w14:textId="77777777" w:rsidR="0088406D" w:rsidRPr="0088406D" w:rsidRDefault="0088406D" w:rsidP="0088406D">
            <w:pPr>
              <w:spacing w:before="0" w:after="0"/>
              <w:jc w:val="center"/>
              <w:rPr>
                <w:rFonts w:ascii="Calibri" w:hAnsi="Calibri" w:cs="Calibri"/>
                <w:b/>
                <w:bCs/>
                <w:color w:val="000000"/>
                <w:szCs w:val="22"/>
                <w:lang w:eastAsia="en-AU"/>
              </w:rPr>
            </w:pPr>
            <w:r w:rsidRPr="0088406D">
              <w:rPr>
                <w:rFonts w:ascii="Calibri" w:hAnsi="Calibri" w:cs="Calibri"/>
                <w:b/>
                <w:bCs/>
                <w:color w:val="000000"/>
                <w:szCs w:val="22"/>
                <w:lang w:eastAsia="en-AU"/>
              </w:rPr>
              <w:t>2012-13</w:t>
            </w:r>
          </w:p>
        </w:tc>
        <w:tc>
          <w:tcPr>
            <w:tcW w:w="773" w:type="dxa"/>
            <w:tcBorders>
              <w:bottom w:val="nil"/>
            </w:tcBorders>
            <w:shd w:val="clear" w:color="A5A5A5" w:fill="A5A5A5"/>
            <w:vAlign w:val="center"/>
            <w:hideMark/>
          </w:tcPr>
          <w:p w14:paraId="3EC99A78" w14:textId="77777777" w:rsidR="0088406D" w:rsidRPr="0088406D" w:rsidRDefault="0088406D" w:rsidP="0088406D">
            <w:pPr>
              <w:spacing w:before="0" w:after="0"/>
              <w:jc w:val="center"/>
              <w:rPr>
                <w:rFonts w:ascii="Calibri" w:hAnsi="Calibri" w:cs="Calibri"/>
                <w:b/>
                <w:bCs/>
                <w:color w:val="000000"/>
                <w:szCs w:val="22"/>
                <w:lang w:eastAsia="en-AU"/>
              </w:rPr>
            </w:pPr>
            <w:r w:rsidRPr="0088406D">
              <w:rPr>
                <w:rFonts w:ascii="Calibri" w:hAnsi="Calibri" w:cs="Calibri"/>
                <w:b/>
                <w:bCs/>
                <w:color w:val="000000"/>
                <w:szCs w:val="22"/>
                <w:lang w:eastAsia="en-AU"/>
              </w:rPr>
              <w:t>2013-14</w:t>
            </w:r>
          </w:p>
        </w:tc>
        <w:tc>
          <w:tcPr>
            <w:tcW w:w="772" w:type="dxa"/>
            <w:tcBorders>
              <w:bottom w:val="nil"/>
            </w:tcBorders>
            <w:shd w:val="clear" w:color="A5A5A5" w:fill="A5A5A5"/>
            <w:vAlign w:val="center"/>
            <w:hideMark/>
          </w:tcPr>
          <w:p w14:paraId="5737C2C9" w14:textId="77777777" w:rsidR="0088406D" w:rsidRPr="0088406D" w:rsidRDefault="0088406D" w:rsidP="0088406D">
            <w:pPr>
              <w:spacing w:before="0" w:after="0"/>
              <w:jc w:val="center"/>
              <w:rPr>
                <w:rFonts w:ascii="Calibri" w:hAnsi="Calibri" w:cs="Calibri"/>
                <w:b/>
                <w:bCs/>
                <w:color w:val="000000"/>
                <w:szCs w:val="22"/>
                <w:lang w:eastAsia="en-AU"/>
              </w:rPr>
            </w:pPr>
            <w:r w:rsidRPr="0088406D">
              <w:rPr>
                <w:rFonts w:ascii="Calibri" w:hAnsi="Calibri" w:cs="Calibri"/>
                <w:b/>
                <w:bCs/>
                <w:color w:val="000000"/>
                <w:szCs w:val="22"/>
                <w:lang w:eastAsia="en-AU"/>
              </w:rPr>
              <w:t>2014-15</w:t>
            </w:r>
          </w:p>
        </w:tc>
        <w:tc>
          <w:tcPr>
            <w:tcW w:w="773" w:type="dxa"/>
            <w:tcBorders>
              <w:bottom w:val="nil"/>
            </w:tcBorders>
            <w:shd w:val="clear" w:color="A5A5A5" w:fill="A5A5A5"/>
            <w:vAlign w:val="center"/>
            <w:hideMark/>
          </w:tcPr>
          <w:p w14:paraId="11388704" w14:textId="77777777" w:rsidR="0088406D" w:rsidRPr="0088406D" w:rsidRDefault="0088406D" w:rsidP="0088406D">
            <w:pPr>
              <w:spacing w:before="0" w:after="0"/>
              <w:jc w:val="center"/>
              <w:rPr>
                <w:rFonts w:ascii="Calibri" w:hAnsi="Calibri" w:cs="Calibri"/>
                <w:b/>
                <w:bCs/>
                <w:color w:val="000000"/>
                <w:szCs w:val="22"/>
                <w:lang w:eastAsia="en-AU"/>
              </w:rPr>
            </w:pPr>
            <w:r w:rsidRPr="0088406D">
              <w:rPr>
                <w:rFonts w:ascii="Calibri" w:hAnsi="Calibri" w:cs="Calibri"/>
                <w:b/>
                <w:bCs/>
                <w:color w:val="000000"/>
                <w:szCs w:val="22"/>
                <w:lang w:eastAsia="en-AU"/>
              </w:rPr>
              <w:t>2015-16</w:t>
            </w:r>
          </w:p>
        </w:tc>
        <w:tc>
          <w:tcPr>
            <w:tcW w:w="773" w:type="dxa"/>
            <w:tcBorders>
              <w:bottom w:val="nil"/>
            </w:tcBorders>
            <w:shd w:val="clear" w:color="A5A5A5" w:fill="A5A5A5"/>
            <w:vAlign w:val="center"/>
            <w:hideMark/>
          </w:tcPr>
          <w:p w14:paraId="40A070CE" w14:textId="77777777" w:rsidR="0088406D" w:rsidRPr="0088406D" w:rsidRDefault="0088406D" w:rsidP="0088406D">
            <w:pPr>
              <w:spacing w:before="0" w:after="0"/>
              <w:jc w:val="center"/>
              <w:rPr>
                <w:rFonts w:ascii="Calibri" w:hAnsi="Calibri" w:cs="Calibri"/>
                <w:b/>
                <w:bCs/>
                <w:color w:val="000000"/>
                <w:szCs w:val="22"/>
                <w:lang w:eastAsia="en-AU"/>
              </w:rPr>
            </w:pPr>
            <w:r w:rsidRPr="0088406D">
              <w:rPr>
                <w:rFonts w:ascii="Calibri" w:hAnsi="Calibri" w:cs="Calibri"/>
                <w:b/>
                <w:bCs/>
                <w:color w:val="000000"/>
                <w:szCs w:val="22"/>
                <w:lang w:eastAsia="en-AU"/>
              </w:rPr>
              <w:t>2016-17</w:t>
            </w:r>
          </w:p>
        </w:tc>
        <w:tc>
          <w:tcPr>
            <w:tcW w:w="772" w:type="dxa"/>
            <w:tcBorders>
              <w:bottom w:val="nil"/>
            </w:tcBorders>
            <w:shd w:val="clear" w:color="A5A5A5" w:fill="A5A5A5"/>
            <w:vAlign w:val="center"/>
            <w:hideMark/>
          </w:tcPr>
          <w:p w14:paraId="66146C32" w14:textId="77777777" w:rsidR="0088406D" w:rsidRPr="0088406D" w:rsidRDefault="0088406D" w:rsidP="0088406D">
            <w:pPr>
              <w:spacing w:before="0" w:after="0"/>
              <w:jc w:val="center"/>
              <w:rPr>
                <w:rFonts w:ascii="Calibri" w:hAnsi="Calibri" w:cs="Calibri"/>
                <w:b/>
                <w:bCs/>
                <w:color w:val="000000"/>
                <w:szCs w:val="22"/>
                <w:lang w:eastAsia="en-AU"/>
              </w:rPr>
            </w:pPr>
            <w:r w:rsidRPr="0088406D">
              <w:rPr>
                <w:rFonts w:ascii="Calibri" w:hAnsi="Calibri" w:cs="Calibri"/>
                <w:b/>
                <w:bCs/>
                <w:color w:val="000000"/>
                <w:szCs w:val="22"/>
                <w:lang w:eastAsia="en-AU"/>
              </w:rPr>
              <w:t>2017-18</w:t>
            </w:r>
          </w:p>
        </w:tc>
        <w:tc>
          <w:tcPr>
            <w:tcW w:w="773" w:type="dxa"/>
            <w:tcBorders>
              <w:bottom w:val="nil"/>
            </w:tcBorders>
            <w:shd w:val="clear" w:color="A5A5A5" w:fill="A5A5A5"/>
            <w:vAlign w:val="center"/>
            <w:hideMark/>
          </w:tcPr>
          <w:p w14:paraId="3887A071" w14:textId="77777777" w:rsidR="0088406D" w:rsidRPr="0088406D" w:rsidRDefault="0088406D" w:rsidP="0088406D">
            <w:pPr>
              <w:spacing w:before="0" w:after="0"/>
              <w:jc w:val="center"/>
              <w:rPr>
                <w:rFonts w:ascii="Calibri" w:hAnsi="Calibri" w:cs="Calibri"/>
                <w:b/>
                <w:bCs/>
                <w:color w:val="000000"/>
                <w:szCs w:val="22"/>
                <w:lang w:eastAsia="en-AU"/>
              </w:rPr>
            </w:pPr>
            <w:r w:rsidRPr="0088406D">
              <w:rPr>
                <w:rFonts w:ascii="Calibri" w:hAnsi="Calibri" w:cs="Calibri"/>
                <w:b/>
                <w:bCs/>
                <w:color w:val="000000"/>
                <w:szCs w:val="22"/>
                <w:lang w:eastAsia="en-AU"/>
              </w:rPr>
              <w:t>2018-19</w:t>
            </w:r>
          </w:p>
        </w:tc>
        <w:tc>
          <w:tcPr>
            <w:tcW w:w="773" w:type="dxa"/>
            <w:tcBorders>
              <w:bottom w:val="nil"/>
            </w:tcBorders>
            <w:shd w:val="clear" w:color="A5A5A5" w:fill="A5A5A5"/>
            <w:vAlign w:val="center"/>
            <w:hideMark/>
          </w:tcPr>
          <w:p w14:paraId="4622E691" w14:textId="77777777" w:rsidR="0088406D" w:rsidRPr="0088406D" w:rsidRDefault="0088406D" w:rsidP="0088406D">
            <w:pPr>
              <w:spacing w:before="0" w:after="0"/>
              <w:jc w:val="center"/>
              <w:rPr>
                <w:rFonts w:ascii="Calibri" w:hAnsi="Calibri" w:cs="Calibri"/>
                <w:b/>
                <w:bCs/>
                <w:color w:val="000000"/>
                <w:szCs w:val="22"/>
                <w:lang w:eastAsia="en-AU"/>
              </w:rPr>
            </w:pPr>
            <w:r w:rsidRPr="0088406D">
              <w:rPr>
                <w:rFonts w:ascii="Calibri" w:hAnsi="Calibri" w:cs="Calibri"/>
                <w:b/>
                <w:bCs/>
                <w:color w:val="000000"/>
                <w:szCs w:val="22"/>
                <w:lang w:eastAsia="en-AU"/>
              </w:rPr>
              <w:t>2019-20</w:t>
            </w:r>
          </w:p>
        </w:tc>
      </w:tr>
      <w:tr w:rsidR="0088406D" w:rsidRPr="0088406D" w14:paraId="4B30C5CF" w14:textId="77777777" w:rsidTr="00B53DF7">
        <w:trPr>
          <w:trHeight w:val="285"/>
        </w:trPr>
        <w:tc>
          <w:tcPr>
            <w:tcW w:w="1730" w:type="dxa"/>
            <w:tcBorders>
              <w:top w:val="nil"/>
              <w:left w:val="nil"/>
              <w:bottom w:val="nil"/>
            </w:tcBorders>
            <w:shd w:val="clear" w:color="auto" w:fill="auto"/>
            <w:vAlign w:val="center"/>
            <w:hideMark/>
          </w:tcPr>
          <w:p w14:paraId="08C2E948" w14:textId="23E8ED9D" w:rsidR="0088406D" w:rsidRPr="0088406D" w:rsidRDefault="005C39FB" w:rsidP="0088406D">
            <w:pPr>
              <w:spacing w:before="0" w:after="0"/>
              <w:rPr>
                <w:rFonts w:ascii="Calibri" w:hAnsi="Calibri" w:cs="Calibri"/>
                <w:b/>
                <w:bCs/>
                <w:color w:val="000000"/>
                <w:szCs w:val="22"/>
                <w:lang w:eastAsia="en-AU"/>
              </w:rPr>
            </w:pPr>
            <w:r>
              <w:rPr>
                <w:rFonts w:ascii="Calibri" w:hAnsi="Calibri" w:cs="Calibri"/>
                <w:b/>
                <w:bCs/>
                <w:color w:val="000000"/>
                <w:szCs w:val="22"/>
                <w:lang w:eastAsia="en-AU"/>
              </w:rPr>
              <w:t>Budget</w:t>
            </w:r>
            <w:r w:rsidR="002640C3" w:rsidRPr="00175F05">
              <w:rPr>
                <w:rFonts w:ascii="Calibri" w:hAnsi="Calibri" w:cs="Calibri"/>
                <w:b/>
                <w:bCs/>
                <w:color w:val="000000"/>
                <w:szCs w:val="22"/>
                <w:lang w:eastAsia="en-AU"/>
              </w:rPr>
              <w:t xml:space="preserve"> Appropriations</w:t>
            </w:r>
            <w:r w:rsidR="00F07F44">
              <w:rPr>
                <w:rFonts w:ascii="Calibri" w:hAnsi="Calibri" w:cs="Calibri"/>
                <w:b/>
                <w:bCs/>
                <w:color w:val="000000"/>
                <w:szCs w:val="22"/>
                <w:lang w:eastAsia="en-AU"/>
              </w:rPr>
              <w:t xml:space="preserve"> </w:t>
            </w:r>
          </w:p>
        </w:tc>
        <w:tc>
          <w:tcPr>
            <w:tcW w:w="772" w:type="dxa"/>
            <w:tcBorders>
              <w:top w:val="nil"/>
              <w:bottom w:val="nil"/>
            </w:tcBorders>
            <w:shd w:val="clear" w:color="auto" w:fill="auto"/>
            <w:noWrap/>
            <w:vAlign w:val="bottom"/>
            <w:hideMark/>
          </w:tcPr>
          <w:p w14:paraId="387C31C5"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307</w:t>
            </w:r>
          </w:p>
        </w:tc>
        <w:tc>
          <w:tcPr>
            <w:tcW w:w="773" w:type="dxa"/>
            <w:tcBorders>
              <w:top w:val="nil"/>
              <w:bottom w:val="nil"/>
            </w:tcBorders>
            <w:shd w:val="clear" w:color="auto" w:fill="auto"/>
            <w:noWrap/>
            <w:vAlign w:val="bottom"/>
            <w:hideMark/>
          </w:tcPr>
          <w:p w14:paraId="0F8E1867"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231</w:t>
            </w:r>
          </w:p>
        </w:tc>
        <w:tc>
          <w:tcPr>
            <w:tcW w:w="773" w:type="dxa"/>
            <w:tcBorders>
              <w:top w:val="nil"/>
              <w:bottom w:val="nil"/>
            </w:tcBorders>
            <w:shd w:val="clear" w:color="auto" w:fill="auto"/>
            <w:noWrap/>
            <w:vAlign w:val="bottom"/>
            <w:hideMark/>
          </w:tcPr>
          <w:p w14:paraId="594AE5FB"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224</w:t>
            </w:r>
          </w:p>
        </w:tc>
        <w:tc>
          <w:tcPr>
            <w:tcW w:w="772" w:type="dxa"/>
            <w:tcBorders>
              <w:top w:val="nil"/>
              <w:bottom w:val="nil"/>
            </w:tcBorders>
            <w:shd w:val="clear" w:color="auto" w:fill="auto"/>
            <w:noWrap/>
            <w:vAlign w:val="bottom"/>
            <w:hideMark/>
          </w:tcPr>
          <w:p w14:paraId="2965C1BA"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228</w:t>
            </w:r>
          </w:p>
        </w:tc>
        <w:tc>
          <w:tcPr>
            <w:tcW w:w="773" w:type="dxa"/>
            <w:tcBorders>
              <w:top w:val="nil"/>
              <w:bottom w:val="nil"/>
            </w:tcBorders>
            <w:shd w:val="clear" w:color="auto" w:fill="auto"/>
            <w:noWrap/>
            <w:vAlign w:val="bottom"/>
            <w:hideMark/>
          </w:tcPr>
          <w:p w14:paraId="3FC5B37E"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253</w:t>
            </w:r>
          </w:p>
        </w:tc>
        <w:tc>
          <w:tcPr>
            <w:tcW w:w="773" w:type="dxa"/>
            <w:tcBorders>
              <w:top w:val="nil"/>
              <w:bottom w:val="nil"/>
            </w:tcBorders>
            <w:shd w:val="clear" w:color="auto" w:fill="auto"/>
            <w:noWrap/>
            <w:vAlign w:val="bottom"/>
            <w:hideMark/>
          </w:tcPr>
          <w:p w14:paraId="1E83C816"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276</w:t>
            </w:r>
          </w:p>
        </w:tc>
        <w:tc>
          <w:tcPr>
            <w:tcW w:w="772" w:type="dxa"/>
            <w:tcBorders>
              <w:top w:val="nil"/>
              <w:bottom w:val="nil"/>
            </w:tcBorders>
            <w:shd w:val="clear" w:color="auto" w:fill="auto"/>
            <w:noWrap/>
            <w:vAlign w:val="bottom"/>
            <w:hideMark/>
          </w:tcPr>
          <w:p w14:paraId="409FA944"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287</w:t>
            </w:r>
          </w:p>
        </w:tc>
        <w:tc>
          <w:tcPr>
            <w:tcW w:w="773" w:type="dxa"/>
            <w:tcBorders>
              <w:top w:val="nil"/>
              <w:bottom w:val="nil"/>
            </w:tcBorders>
            <w:shd w:val="clear" w:color="auto" w:fill="auto"/>
            <w:noWrap/>
            <w:vAlign w:val="bottom"/>
            <w:hideMark/>
          </w:tcPr>
          <w:p w14:paraId="482D7529"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352</w:t>
            </w:r>
          </w:p>
        </w:tc>
        <w:tc>
          <w:tcPr>
            <w:tcW w:w="773" w:type="dxa"/>
            <w:tcBorders>
              <w:top w:val="nil"/>
              <w:bottom w:val="nil"/>
              <w:right w:val="nil"/>
            </w:tcBorders>
            <w:shd w:val="clear" w:color="auto" w:fill="auto"/>
            <w:noWrap/>
            <w:vAlign w:val="bottom"/>
            <w:hideMark/>
          </w:tcPr>
          <w:p w14:paraId="12F48F79"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298</w:t>
            </w:r>
          </w:p>
        </w:tc>
      </w:tr>
      <w:tr w:rsidR="0088406D" w:rsidRPr="0088406D" w14:paraId="54C43A4A" w14:textId="77777777" w:rsidTr="00B53DF7">
        <w:trPr>
          <w:trHeight w:val="285"/>
        </w:trPr>
        <w:tc>
          <w:tcPr>
            <w:tcW w:w="1730" w:type="dxa"/>
            <w:tcBorders>
              <w:top w:val="nil"/>
              <w:left w:val="nil"/>
              <w:bottom w:val="nil"/>
            </w:tcBorders>
            <w:shd w:val="clear" w:color="auto" w:fill="auto"/>
            <w:vAlign w:val="center"/>
            <w:hideMark/>
          </w:tcPr>
          <w:p w14:paraId="29218086" w14:textId="3F7D69D5" w:rsidR="0088406D" w:rsidRPr="0088406D" w:rsidRDefault="00AA489E" w:rsidP="0088406D">
            <w:pPr>
              <w:spacing w:before="0" w:after="0"/>
              <w:rPr>
                <w:rFonts w:ascii="Calibri" w:hAnsi="Calibri" w:cs="Calibri"/>
                <w:b/>
                <w:bCs/>
                <w:color w:val="000000"/>
                <w:szCs w:val="22"/>
                <w:lang w:eastAsia="en-AU"/>
              </w:rPr>
            </w:pPr>
            <w:r>
              <w:rPr>
                <w:rFonts w:ascii="Calibri" w:hAnsi="Calibri" w:cs="Calibri"/>
                <w:b/>
                <w:bCs/>
                <w:color w:val="000000"/>
                <w:szCs w:val="22"/>
                <w:lang w:eastAsia="en-AU"/>
              </w:rPr>
              <w:t>Cost R</w:t>
            </w:r>
            <w:r w:rsidR="0088406D" w:rsidRPr="0088406D">
              <w:rPr>
                <w:rFonts w:ascii="Calibri" w:hAnsi="Calibri" w:cs="Calibri"/>
                <w:b/>
                <w:bCs/>
                <w:color w:val="000000"/>
                <w:szCs w:val="22"/>
                <w:lang w:eastAsia="en-AU"/>
              </w:rPr>
              <w:t>ec</w:t>
            </w:r>
            <w:r w:rsidR="00F07F44">
              <w:rPr>
                <w:rFonts w:ascii="Calibri" w:hAnsi="Calibri" w:cs="Calibri"/>
                <w:b/>
                <w:bCs/>
                <w:color w:val="000000"/>
                <w:szCs w:val="22"/>
                <w:lang w:eastAsia="en-AU"/>
              </w:rPr>
              <w:t xml:space="preserve">overed </w:t>
            </w:r>
          </w:p>
        </w:tc>
        <w:tc>
          <w:tcPr>
            <w:tcW w:w="772" w:type="dxa"/>
            <w:tcBorders>
              <w:top w:val="nil"/>
              <w:bottom w:val="nil"/>
            </w:tcBorders>
            <w:shd w:val="clear" w:color="auto" w:fill="auto"/>
            <w:noWrap/>
            <w:vAlign w:val="bottom"/>
            <w:hideMark/>
          </w:tcPr>
          <w:p w14:paraId="054C64DB"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322</w:t>
            </w:r>
          </w:p>
        </w:tc>
        <w:tc>
          <w:tcPr>
            <w:tcW w:w="773" w:type="dxa"/>
            <w:tcBorders>
              <w:top w:val="nil"/>
              <w:bottom w:val="nil"/>
            </w:tcBorders>
            <w:shd w:val="clear" w:color="auto" w:fill="auto"/>
            <w:noWrap/>
            <w:vAlign w:val="bottom"/>
            <w:hideMark/>
          </w:tcPr>
          <w:p w14:paraId="5EC5E6AB"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359</w:t>
            </w:r>
          </w:p>
        </w:tc>
        <w:tc>
          <w:tcPr>
            <w:tcW w:w="773" w:type="dxa"/>
            <w:tcBorders>
              <w:top w:val="nil"/>
              <w:bottom w:val="nil"/>
            </w:tcBorders>
            <w:shd w:val="clear" w:color="auto" w:fill="auto"/>
            <w:noWrap/>
            <w:vAlign w:val="bottom"/>
            <w:hideMark/>
          </w:tcPr>
          <w:p w14:paraId="692F2867"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370</w:t>
            </w:r>
          </w:p>
        </w:tc>
        <w:tc>
          <w:tcPr>
            <w:tcW w:w="772" w:type="dxa"/>
            <w:tcBorders>
              <w:top w:val="nil"/>
              <w:bottom w:val="nil"/>
            </w:tcBorders>
            <w:shd w:val="clear" w:color="auto" w:fill="auto"/>
            <w:noWrap/>
            <w:vAlign w:val="bottom"/>
            <w:hideMark/>
          </w:tcPr>
          <w:p w14:paraId="512DE20A"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361</w:t>
            </w:r>
          </w:p>
        </w:tc>
        <w:tc>
          <w:tcPr>
            <w:tcW w:w="773" w:type="dxa"/>
            <w:tcBorders>
              <w:top w:val="nil"/>
              <w:bottom w:val="nil"/>
            </w:tcBorders>
            <w:shd w:val="clear" w:color="auto" w:fill="auto"/>
            <w:noWrap/>
            <w:vAlign w:val="bottom"/>
            <w:hideMark/>
          </w:tcPr>
          <w:p w14:paraId="684585AD"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405</w:t>
            </w:r>
          </w:p>
        </w:tc>
        <w:tc>
          <w:tcPr>
            <w:tcW w:w="773" w:type="dxa"/>
            <w:tcBorders>
              <w:top w:val="nil"/>
              <w:bottom w:val="nil"/>
            </w:tcBorders>
            <w:shd w:val="clear" w:color="auto" w:fill="auto"/>
            <w:noWrap/>
            <w:vAlign w:val="bottom"/>
            <w:hideMark/>
          </w:tcPr>
          <w:p w14:paraId="4E263B34"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389</w:t>
            </w:r>
          </w:p>
        </w:tc>
        <w:tc>
          <w:tcPr>
            <w:tcW w:w="772" w:type="dxa"/>
            <w:tcBorders>
              <w:top w:val="nil"/>
              <w:bottom w:val="nil"/>
            </w:tcBorders>
            <w:shd w:val="clear" w:color="auto" w:fill="auto"/>
            <w:noWrap/>
            <w:vAlign w:val="bottom"/>
            <w:hideMark/>
          </w:tcPr>
          <w:p w14:paraId="2BBA0F4F"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383</w:t>
            </w:r>
          </w:p>
        </w:tc>
        <w:tc>
          <w:tcPr>
            <w:tcW w:w="773" w:type="dxa"/>
            <w:tcBorders>
              <w:top w:val="nil"/>
              <w:bottom w:val="nil"/>
            </w:tcBorders>
            <w:shd w:val="clear" w:color="auto" w:fill="auto"/>
            <w:noWrap/>
            <w:vAlign w:val="bottom"/>
            <w:hideMark/>
          </w:tcPr>
          <w:p w14:paraId="1BEA263D"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375</w:t>
            </w:r>
          </w:p>
        </w:tc>
        <w:tc>
          <w:tcPr>
            <w:tcW w:w="773" w:type="dxa"/>
            <w:tcBorders>
              <w:top w:val="nil"/>
              <w:bottom w:val="nil"/>
              <w:right w:val="nil"/>
            </w:tcBorders>
            <w:shd w:val="clear" w:color="auto" w:fill="auto"/>
            <w:noWrap/>
            <w:vAlign w:val="bottom"/>
            <w:hideMark/>
          </w:tcPr>
          <w:p w14:paraId="00C9B227"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368</w:t>
            </w:r>
          </w:p>
        </w:tc>
      </w:tr>
      <w:tr w:rsidR="0088406D" w:rsidRPr="0088406D" w14:paraId="068439D0" w14:textId="77777777" w:rsidTr="00B53DF7">
        <w:trPr>
          <w:trHeight w:val="285"/>
        </w:trPr>
        <w:tc>
          <w:tcPr>
            <w:tcW w:w="1730" w:type="dxa"/>
            <w:tcBorders>
              <w:top w:val="nil"/>
              <w:left w:val="nil"/>
              <w:bottom w:val="single" w:sz="4" w:space="0" w:color="auto"/>
            </w:tcBorders>
            <w:shd w:val="clear" w:color="auto" w:fill="auto"/>
            <w:vAlign w:val="center"/>
            <w:hideMark/>
          </w:tcPr>
          <w:p w14:paraId="06FD049A" w14:textId="6724FEFB" w:rsidR="0088406D" w:rsidRPr="0088406D" w:rsidRDefault="00F07F44" w:rsidP="0088406D">
            <w:pPr>
              <w:spacing w:before="0" w:after="0"/>
              <w:rPr>
                <w:rFonts w:ascii="Calibri" w:hAnsi="Calibri" w:cs="Calibri"/>
                <w:b/>
                <w:bCs/>
                <w:color w:val="000000"/>
                <w:szCs w:val="22"/>
                <w:lang w:eastAsia="en-AU"/>
              </w:rPr>
            </w:pPr>
            <w:r>
              <w:rPr>
                <w:rFonts w:ascii="Calibri" w:hAnsi="Calibri" w:cs="Calibri"/>
                <w:b/>
                <w:bCs/>
                <w:color w:val="000000"/>
                <w:szCs w:val="22"/>
                <w:lang w:eastAsia="en-AU"/>
              </w:rPr>
              <w:t xml:space="preserve">Total </w:t>
            </w:r>
          </w:p>
        </w:tc>
        <w:tc>
          <w:tcPr>
            <w:tcW w:w="772" w:type="dxa"/>
            <w:tcBorders>
              <w:top w:val="nil"/>
              <w:bottom w:val="single" w:sz="4" w:space="0" w:color="auto"/>
            </w:tcBorders>
            <w:shd w:val="clear" w:color="auto" w:fill="auto"/>
            <w:noWrap/>
            <w:vAlign w:val="bottom"/>
            <w:hideMark/>
          </w:tcPr>
          <w:p w14:paraId="33A62D1C"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629</w:t>
            </w:r>
          </w:p>
        </w:tc>
        <w:tc>
          <w:tcPr>
            <w:tcW w:w="773" w:type="dxa"/>
            <w:tcBorders>
              <w:top w:val="nil"/>
              <w:bottom w:val="single" w:sz="4" w:space="0" w:color="auto"/>
            </w:tcBorders>
            <w:shd w:val="clear" w:color="auto" w:fill="auto"/>
            <w:noWrap/>
            <w:vAlign w:val="bottom"/>
            <w:hideMark/>
          </w:tcPr>
          <w:p w14:paraId="091D689C"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590</w:t>
            </w:r>
          </w:p>
        </w:tc>
        <w:tc>
          <w:tcPr>
            <w:tcW w:w="773" w:type="dxa"/>
            <w:tcBorders>
              <w:top w:val="nil"/>
              <w:bottom w:val="single" w:sz="4" w:space="0" w:color="auto"/>
            </w:tcBorders>
            <w:shd w:val="clear" w:color="auto" w:fill="auto"/>
            <w:noWrap/>
            <w:vAlign w:val="bottom"/>
            <w:hideMark/>
          </w:tcPr>
          <w:p w14:paraId="4842EF8E"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593</w:t>
            </w:r>
          </w:p>
        </w:tc>
        <w:tc>
          <w:tcPr>
            <w:tcW w:w="772" w:type="dxa"/>
            <w:tcBorders>
              <w:top w:val="nil"/>
              <w:bottom w:val="single" w:sz="4" w:space="0" w:color="auto"/>
            </w:tcBorders>
            <w:shd w:val="clear" w:color="auto" w:fill="auto"/>
            <w:noWrap/>
            <w:vAlign w:val="bottom"/>
            <w:hideMark/>
          </w:tcPr>
          <w:p w14:paraId="4AECEDFB"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590</w:t>
            </w:r>
          </w:p>
        </w:tc>
        <w:tc>
          <w:tcPr>
            <w:tcW w:w="773" w:type="dxa"/>
            <w:tcBorders>
              <w:top w:val="nil"/>
              <w:bottom w:val="single" w:sz="4" w:space="0" w:color="auto"/>
            </w:tcBorders>
            <w:shd w:val="clear" w:color="auto" w:fill="auto"/>
            <w:noWrap/>
            <w:vAlign w:val="bottom"/>
            <w:hideMark/>
          </w:tcPr>
          <w:p w14:paraId="7E729663"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658</w:t>
            </w:r>
          </w:p>
        </w:tc>
        <w:tc>
          <w:tcPr>
            <w:tcW w:w="773" w:type="dxa"/>
            <w:tcBorders>
              <w:top w:val="nil"/>
              <w:bottom w:val="single" w:sz="4" w:space="0" w:color="auto"/>
            </w:tcBorders>
            <w:shd w:val="clear" w:color="auto" w:fill="auto"/>
            <w:noWrap/>
            <w:vAlign w:val="bottom"/>
            <w:hideMark/>
          </w:tcPr>
          <w:p w14:paraId="0D005CDD"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665</w:t>
            </w:r>
          </w:p>
        </w:tc>
        <w:tc>
          <w:tcPr>
            <w:tcW w:w="772" w:type="dxa"/>
            <w:tcBorders>
              <w:top w:val="nil"/>
              <w:bottom w:val="single" w:sz="4" w:space="0" w:color="auto"/>
            </w:tcBorders>
            <w:shd w:val="clear" w:color="auto" w:fill="auto"/>
            <w:noWrap/>
            <w:vAlign w:val="bottom"/>
            <w:hideMark/>
          </w:tcPr>
          <w:p w14:paraId="61F7385D"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670</w:t>
            </w:r>
          </w:p>
        </w:tc>
        <w:tc>
          <w:tcPr>
            <w:tcW w:w="773" w:type="dxa"/>
            <w:tcBorders>
              <w:top w:val="nil"/>
              <w:bottom w:val="single" w:sz="4" w:space="0" w:color="auto"/>
            </w:tcBorders>
            <w:shd w:val="clear" w:color="auto" w:fill="auto"/>
            <w:noWrap/>
            <w:vAlign w:val="bottom"/>
            <w:hideMark/>
          </w:tcPr>
          <w:p w14:paraId="643A3CD2"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727</w:t>
            </w:r>
          </w:p>
        </w:tc>
        <w:tc>
          <w:tcPr>
            <w:tcW w:w="773" w:type="dxa"/>
            <w:tcBorders>
              <w:top w:val="nil"/>
              <w:bottom w:val="single" w:sz="4" w:space="0" w:color="auto"/>
              <w:right w:val="nil"/>
            </w:tcBorders>
            <w:shd w:val="clear" w:color="auto" w:fill="auto"/>
            <w:noWrap/>
            <w:vAlign w:val="bottom"/>
            <w:hideMark/>
          </w:tcPr>
          <w:p w14:paraId="293C39DA" w14:textId="77777777" w:rsidR="0088406D" w:rsidRPr="0088406D" w:rsidRDefault="0088406D" w:rsidP="0088406D">
            <w:pPr>
              <w:spacing w:before="0" w:after="0"/>
              <w:jc w:val="right"/>
              <w:rPr>
                <w:rFonts w:ascii="Calibri" w:hAnsi="Calibri" w:cs="Calibri"/>
                <w:color w:val="000000"/>
                <w:szCs w:val="22"/>
                <w:lang w:eastAsia="en-AU"/>
              </w:rPr>
            </w:pPr>
            <w:r w:rsidRPr="0088406D">
              <w:rPr>
                <w:rFonts w:ascii="Calibri" w:hAnsi="Calibri" w:cs="Calibri"/>
                <w:color w:val="000000"/>
                <w:szCs w:val="22"/>
                <w:lang w:eastAsia="en-AU"/>
              </w:rPr>
              <w:t>666</w:t>
            </w:r>
          </w:p>
        </w:tc>
      </w:tr>
    </w:tbl>
    <w:p w14:paraId="0C392167" w14:textId="77777777" w:rsidR="00AF57DB" w:rsidRDefault="00AF57DB" w:rsidP="00B53DF7">
      <w:pPr>
        <w:pStyle w:val="ListParagraph"/>
        <w:autoSpaceDE w:val="0"/>
        <w:autoSpaceDN w:val="0"/>
        <w:adjustRightInd w:val="0"/>
        <w:spacing w:before="0" w:after="0"/>
        <w:ind w:hanging="720"/>
        <w:rPr>
          <w:rFonts w:cs="Cambria"/>
          <w:color w:val="000000"/>
          <w:sz w:val="18"/>
          <w:szCs w:val="18"/>
        </w:rPr>
      </w:pPr>
      <w:r>
        <w:rPr>
          <w:rFonts w:cs="Cambria"/>
          <w:color w:val="000000"/>
          <w:sz w:val="18"/>
          <w:szCs w:val="18"/>
        </w:rPr>
        <w:t xml:space="preserve">Source: Department of Agriculture and Water Resources, data provided to the Steering Committee. </w:t>
      </w:r>
    </w:p>
    <w:p w14:paraId="06C31CFA" w14:textId="5999E0C4" w:rsidR="00AF57DB" w:rsidRDefault="00AF57DB" w:rsidP="00B53DF7">
      <w:pPr>
        <w:spacing w:before="0"/>
        <w:rPr>
          <w:rFonts w:cs="Cambria"/>
          <w:color w:val="000000"/>
          <w:sz w:val="18"/>
          <w:szCs w:val="18"/>
        </w:rPr>
      </w:pPr>
      <w:r>
        <w:rPr>
          <w:rFonts w:cs="Cambria"/>
          <w:color w:val="000000"/>
          <w:sz w:val="18"/>
          <w:szCs w:val="18"/>
        </w:rPr>
        <w:t>Note: $m in real 2011-12</w:t>
      </w:r>
      <w:r w:rsidR="00357A9F">
        <w:rPr>
          <w:rFonts w:cs="Cambria"/>
          <w:color w:val="000000"/>
          <w:sz w:val="18"/>
          <w:szCs w:val="18"/>
        </w:rPr>
        <w:t xml:space="preserve"> </w:t>
      </w:r>
      <w:r w:rsidR="003F3F61">
        <w:rPr>
          <w:rFonts w:cs="Cambria"/>
          <w:color w:val="000000"/>
          <w:sz w:val="18"/>
          <w:szCs w:val="18"/>
        </w:rPr>
        <w:t xml:space="preserve">dollar </w:t>
      </w:r>
      <w:r w:rsidR="00357A9F">
        <w:rPr>
          <w:rFonts w:cs="Cambria"/>
          <w:color w:val="000000"/>
          <w:sz w:val="18"/>
          <w:szCs w:val="18"/>
        </w:rPr>
        <w:t>terms</w:t>
      </w:r>
      <w:r>
        <w:rPr>
          <w:rFonts w:cs="Cambria"/>
          <w:color w:val="000000"/>
          <w:sz w:val="18"/>
          <w:szCs w:val="18"/>
        </w:rPr>
        <w:t xml:space="preserve">. </w:t>
      </w:r>
      <w:r w:rsidR="002E29EB">
        <w:rPr>
          <w:rFonts w:cs="Cambria"/>
          <w:color w:val="000000"/>
          <w:sz w:val="18"/>
          <w:szCs w:val="18"/>
        </w:rPr>
        <w:t>Data deflated using the consumer price index</w:t>
      </w:r>
      <w:r w:rsidR="00B8321D">
        <w:rPr>
          <w:rFonts w:cs="Cambria"/>
          <w:color w:val="000000"/>
          <w:sz w:val="18"/>
          <w:szCs w:val="18"/>
        </w:rPr>
        <w:t xml:space="preserve"> </w:t>
      </w:r>
      <w:r w:rsidR="007920AE">
        <w:rPr>
          <w:rFonts w:cs="Cambria"/>
          <w:color w:val="000000"/>
          <w:sz w:val="18"/>
          <w:szCs w:val="18"/>
        </w:rPr>
        <w:t>(CPI) and CPI forecasts</w:t>
      </w:r>
      <w:r w:rsidR="002E29EB">
        <w:rPr>
          <w:rFonts w:cs="Cambria"/>
          <w:color w:val="000000"/>
          <w:sz w:val="18"/>
          <w:szCs w:val="18"/>
        </w:rPr>
        <w:t xml:space="preserve">. </w:t>
      </w:r>
      <w:r>
        <w:rPr>
          <w:rFonts w:cs="Cambria"/>
          <w:color w:val="000000"/>
          <w:sz w:val="18"/>
          <w:szCs w:val="18"/>
        </w:rPr>
        <w:t>Data includes Budget Outcomes 1 and 2, plus Treasury appropriations for national partnership payments to the States for biosecurity.</w:t>
      </w:r>
    </w:p>
    <w:p w14:paraId="136898FF" w14:textId="0396E4AC" w:rsidR="00F46169" w:rsidRDefault="00B8321D" w:rsidP="00C77885">
      <w:r>
        <w:t xml:space="preserve">The IABR found that budget </w:t>
      </w:r>
      <w:r>
        <w:rPr>
          <w:color w:val="000000"/>
        </w:rPr>
        <w:t>appropri</w:t>
      </w:r>
      <w:r w:rsidR="006E7584">
        <w:rPr>
          <w:color w:val="000000"/>
        </w:rPr>
        <w:t>ation funding for Commonwealth b</w:t>
      </w:r>
      <w:r>
        <w:rPr>
          <w:color w:val="000000"/>
        </w:rPr>
        <w:t xml:space="preserve">iosecurity declined markedly </w:t>
      </w:r>
      <w:r>
        <w:rPr>
          <w:rFonts w:cs="Cambria"/>
          <w:color w:val="000000"/>
        </w:rPr>
        <w:t xml:space="preserve">from 2011–12 to 2014–15, falling by almost 30 per cent in real terms in just three years </w:t>
      </w:r>
      <w:sdt>
        <w:sdtPr>
          <w:rPr>
            <w:rFonts w:cs="Cambria"/>
            <w:color w:val="000000"/>
          </w:rPr>
          <w:id w:val="-575202237"/>
          <w:citation/>
        </w:sdtPr>
        <w:sdtEndPr/>
        <w:sdtContent>
          <w:r>
            <w:rPr>
              <w:rFonts w:cs="Cambria"/>
              <w:color w:val="000000"/>
            </w:rPr>
            <w:fldChar w:fldCharType="begin"/>
          </w:r>
          <w:r>
            <w:rPr>
              <w:rFonts w:cs="Cambria"/>
              <w:color w:val="000000"/>
            </w:rPr>
            <w:instrText xml:space="preserve">CITATION Cra17 \p 104 \t  \l 3081 </w:instrText>
          </w:r>
          <w:r>
            <w:rPr>
              <w:rFonts w:cs="Cambria"/>
              <w:color w:val="000000"/>
            </w:rPr>
            <w:fldChar w:fldCharType="separate"/>
          </w:r>
          <w:r w:rsidR="00604A29" w:rsidRPr="00604A29">
            <w:rPr>
              <w:rFonts w:cs="Cambria"/>
              <w:noProof/>
              <w:color w:val="000000"/>
            </w:rPr>
            <w:t>(Craik, Palmer, &amp; Sheldrake, 2017, p. 104)</w:t>
          </w:r>
          <w:r>
            <w:rPr>
              <w:rFonts w:cs="Cambria"/>
              <w:color w:val="000000"/>
            </w:rPr>
            <w:fldChar w:fldCharType="end"/>
          </w:r>
        </w:sdtContent>
      </w:sdt>
      <w:r>
        <w:rPr>
          <w:rFonts w:cs="Cambria"/>
          <w:color w:val="000000"/>
        </w:rPr>
        <w:t xml:space="preserve">. </w:t>
      </w:r>
      <w:r w:rsidR="00FD7F8A">
        <w:rPr>
          <w:rFonts w:cs="Cambria"/>
          <w:color w:val="000000"/>
        </w:rPr>
        <w:t>It</w:t>
      </w:r>
      <w:r>
        <w:rPr>
          <w:rFonts w:cs="Cambria"/>
          <w:color w:val="000000"/>
        </w:rPr>
        <w:t xml:space="preserve"> then increased following </w:t>
      </w:r>
      <w:r>
        <w:rPr>
          <w:rFonts w:cs="Cambria"/>
          <w:color w:val="000000"/>
          <w:szCs w:val="22"/>
        </w:rPr>
        <w:t xml:space="preserve">the 2015 Agricultural Competitiveness White Paper, but this funding was scheduled to end in 2018–19 </w:t>
      </w:r>
      <w:sdt>
        <w:sdtPr>
          <w:rPr>
            <w:rFonts w:cs="Cambria"/>
            <w:color w:val="000000"/>
            <w:szCs w:val="22"/>
          </w:rPr>
          <w:id w:val="-2111652742"/>
          <w:citation/>
        </w:sdtPr>
        <w:sdtEndPr/>
        <w:sdtContent>
          <w:r>
            <w:rPr>
              <w:rFonts w:cs="Cambria"/>
              <w:color w:val="000000"/>
              <w:szCs w:val="22"/>
            </w:rPr>
            <w:fldChar w:fldCharType="begin"/>
          </w:r>
          <w:r>
            <w:rPr>
              <w:rFonts w:cs="Cambria"/>
              <w:color w:val="000000"/>
              <w:szCs w:val="22"/>
            </w:rPr>
            <w:instrText xml:space="preserve">CITATION Cra17 \p 105 \t  \l 3081 </w:instrText>
          </w:r>
          <w:r>
            <w:rPr>
              <w:rFonts w:cs="Cambria"/>
              <w:color w:val="000000"/>
              <w:szCs w:val="22"/>
            </w:rPr>
            <w:fldChar w:fldCharType="separate"/>
          </w:r>
          <w:r w:rsidR="00604A29" w:rsidRPr="00604A29">
            <w:rPr>
              <w:rFonts w:cs="Cambria"/>
              <w:noProof/>
              <w:color w:val="000000"/>
              <w:szCs w:val="22"/>
            </w:rPr>
            <w:t>(Craik, Palmer, &amp; Sheldrake, 2017, p. 105)</w:t>
          </w:r>
          <w:r>
            <w:rPr>
              <w:rFonts w:cs="Cambria"/>
              <w:color w:val="000000"/>
              <w:szCs w:val="22"/>
            </w:rPr>
            <w:fldChar w:fldCharType="end"/>
          </w:r>
        </w:sdtContent>
      </w:sdt>
      <w:r>
        <w:rPr>
          <w:rFonts w:cs="Cambria"/>
          <w:color w:val="000000"/>
          <w:szCs w:val="22"/>
        </w:rPr>
        <w:t xml:space="preserve">. In the White Paper, the Commonwealth committed to spending </w:t>
      </w:r>
      <w:r>
        <w:t>$200 million over four years to improve biosecurity surveillance and analysis in order to better target critical biosecurity risks</w:t>
      </w:r>
      <w:r>
        <w:rPr>
          <w:rFonts w:cs="Cambria"/>
          <w:color w:val="000000"/>
          <w:szCs w:val="22"/>
        </w:rPr>
        <w:t xml:space="preserve"> </w:t>
      </w:r>
      <w:sdt>
        <w:sdtPr>
          <w:rPr>
            <w:rFonts w:cs="Cambria"/>
            <w:color w:val="000000"/>
            <w:szCs w:val="22"/>
          </w:rPr>
          <w:id w:val="1249390574"/>
          <w:citation/>
        </w:sdtPr>
        <w:sdtEndPr/>
        <w:sdtContent>
          <w:r>
            <w:rPr>
              <w:rFonts w:cs="Cambria"/>
              <w:color w:val="000000"/>
              <w:szCs w:val="22"/>
            </w:rPr>
            <w:fldChar w:fldCharType="begin"/>
          </w:r>
          <w:r>
            <w:rPr>
              <w:rFonts w:cs="Cambria"/>
              <w:color w:val="000000"/>
              <w:szCs w:val="22"/>
            </w:rPr>
            <w:instrText xml:space="preserve">CITATION Com15 \p 127 \t  \l 3081 </w:instrText>
          </w:r>
          <w:r>
            <w:rPr>
              <w:rFonts w:cs="Cambria"/>
              <w:color w:val="000000"/>
              <w:szCs w:val="22"/>
            </w:rPr>
            <w:fldChar w:fldCharType="separate"/>
          </w:r>
          <w:r w:rsidR="00604A29" w:rsidRPr="00604A29">
            <w:rPr>
              <w:rFonts w:cs="Cambria"/>
              <w:noProof/>
              <w:color w:val="000000"/>
              <w:szCs w:val="22"/>
            </w:rPr>
            <w:t>(Commonwealth of Australia, 2015, p. 127)</w:t>
          </w:r>
          <w:r>
            <w:rPr>
              <w:rFonts w:cs="Cambria"/>
              <w:color w:val="000000"/>
              <w:szCs w:val="22"/>
            </w:rPr>
            <w:fldChar w:fldCharType="end"/>
          </w:r>
        </w:sdtContent>
      </w:sdt>
      <w:r w:rsidR="003F6460">
        <w:t xml:space="preserve">. </w:t>
      </w:r>
    </w:p>
    <w:p w14:paraId="516C0774" w14:textId="0ACA996A" w:rsidR="00B8321D" w:rsidRDefault="00B8321D" w:rsidP="00B8321D">
      <w:pPr>
        <w:rPr>
          <w:rFonts w:cs="Cambria"/>
          <w:color w:val="000000"/>
        </w:rPr>
      </w:pPr>
      <w:r>
        <w:rPr>
          <w:rFonts w:cs="Cambria"/>
          <w:color w:val="000000"/>
          <w:szCs w:val="22"/>
        </w:rPr>
        <w:t xml:space="preserve">While taxpayer funding has been </w:t>
      </w:r>
      <w:r w:rsidR="003D732A">
        <w:rPr>
          <w:rFonts w:cs="Cambria"/>
          <w:color w:val="000000"/>
          <w:szCs w:val="22"/>
        </w:rPr>
        <w:t>uneven</w:t>
      </w:r>
      <w:r w:rsidR="007F0E9A">
        <w:rPr>
          <w:rFonts w:cs="Cambria"/>
          <w:color w:val="000000"/>
          <w:szCs w:val="22"/>
        </w:rPr>
        <w:t xml:space="preserve"> over the past decade</w:t>
      </w:r>
      <w:r>
        <w:rPr>
          <w:rFonts w:cs="Cambria"/>
          <w:color w:val="000000"/>
          <w:szCs w:val="22"/>
        </w:rPr>
        <w:t xml:space="preserve">, cost recovery has generally been trending upwards, increasing by over 16 per cent in real terms from 2011-12 to 2018-19. </w:t>
      </w:r>
    </w:p>
    <w:p w14:paraId="196C1CFA" w14:textId="77777777" w:rsidR="006E7584" w:rsidRDefault="00B8321D" w:rsidP="00B8321D">
      <w:r>
        <w:t xml:space="preserve">Business and industry groups are strongly supportive of biosecurity objectives and recognise the need for an appropriate funding base to support the continued provision of biosecurity services at Australia’s border. This has consistently been the case over many years and was reiterated in submissions to the Committee. </w:t>
      </w:r>
    </w:p>
    <w:p w14:paraId="3866D105" w14:textId="63A04F67" w:rsidR="00B8321D" w:rsidRDefault="00B8321D" w:rsidP="00B8321D">
      <w:r>
        <w:t xml:space="preserve">There is clear recognition that biosecurity breaches have the potential to threaten the reputation of Australian products and business continuity. </w:t>
      </w:r>
      <w:r w:rsidR="00DD2044">
        <w:t>Breaches</w:t>
      </w:r>
      <w:r>
        <w:t xml:space="preserve"> can also be costly to contain, let alone eradicate, as the example of Red Imported Fire Ants documented earlier demonstrates. </w:t>
      </w:r>
    </w:p>
    <w:p w14:paraId="0CF1786F" w14:textId="1E75ED52" w:rsidR="006E7584" w:rsidRDefault="00B8321D" w:rsidP="00B8321D">
      <w:r>
        <w:t>In addition, many stakeholders, in reflecting their own experiences</w:t>
      </w:r>
      <w:r w:rsidR="006E7584">
        <w:t>,</w:t>
      </w:r>
      <w:r>
        <w:t xml:space="preserve"> consider that the biosecurity function is under-funded; this is seen in submissions to the IABR, the Pegasus R</w:t>
      </w:r>
      <w:r w:rsidR="007B2234">
        <w:t>eport</w:t>
      </w:r>
      <w:r>
        <w:t xml:space="preserve"> and to the Committee. </w:t>
      </w:r>
    </w:p>
    <w:p w14:paraId="0E1721FB" w14:textId="26A5F0CD" w:rsidR="00C77885" w:rsidRDefault="00B8321D" w:rsidP="00B8321D">
      <w:pPr>
        <w:rPr>
          <w:iCs/>
          <w:szCs w:val="22"/>
        </w:rPr>
      </w:pPr>
      <w:r>
        <w:rPr>
          <w:iCs/>
        </w:rPr>
        <w:t>Similarly, the Inspector-General of Biosecurity</w:t>
      </w:r>
      <w:r w:rsidR="00DD2044">
        <w:rPr>
          <w:iCs/>
        </w:rPr>
        <w:t xml:space="preserve"> </w:t>
      </w:r>
      <w:r>
        <w:rPr>
          <w:iCs/>
        </w:rPr>
        <w:t>observed a decrease in frontline inspectors while the volume of incoming products and associated biosecurity risks has increased</w:t>
      </w:r>
      <w:r w:rsidR="00C77885">
        <w:rPr>
          <w:iCs/>
        </w:rPr>
        <w:t>.</w:t>
      </w:r>
    </w:p>
    <w:p w14:paraId="287F6351" w14:textId="1558FD8B" w:rsidR="00C77885" w:rsidRDefault="00C77885" w:rsidP="00C77885">
      <w:pPr>
        <w:pStyle w:val="Quote"/>
      </w:pPr>
      <w:r>
        <w:t>Frontline inspector numbers have fallen by 25 per cent over the past five years, but volumes of incoming sea and air cargo, mail and passengers continue to rise steadily, as do accompanying biosecurity risks.</w:t>
      </w:r>
      <w:r w:rsidR="00DD2044" w:rsidRPr="00DD2044">
        <w:rPr>
          <w:iCs w:val="0"/>
        </w:rPr>
        <w:t xml:space="preserve"> </w:t>
      </w:r>
      <w:sdt>
        <w:sdtPr>
          <w:rPr>
            <w:iCs w:val="0"/>
          </w:rPr>
          <w:id w:val="-1226291710"/>
          <w:citation/>
        </w:sdtPr>
        <w:sdtEndPr/>
        <w:sdtContent>
          <w:r w:rsidR="002E45A3">
            <w:rPr>
              <w:iCs w:val="0"/>
            </w:rPr>
            <w:fldChar w:fldCharType="begin"/>
          </w:r>
          <w:r w:rsidR="002E45A3">
            <w:rPr>
              <w:iCs w:val="0"/>
            </w:rPr>
            <w:instrText xml:space="preserve">CITATION Ins17 \p 20 \t  \l 3081 </w:instrText>
          </w:r>
          <w:r w:rsidR="002E45A3">
            <w:rPr>
              <w:iCs w:val="0"/>
            </w:rPr>
            <w:fldChar w:fldCharType="separate"/>
          </w:r>
          <w:r w:rsidR="002E45A3">
            <w:rPr>
              <w:noProof/>
            </w:rPr>
            <w:t>(Inspector-General of Biosecurity, 2017, p. 20)</w:t>
          </w:r>
          <w:r w:rsidR="002E45A3">
            <w:rPr>
              <w:iCs w:val="0"/>
            </w:rPr>
            <w:fldChar w:fldCharType="end"/>
          </w:r>
        </w:sdtContent>
      </w:sdt>
    </w:p>
    <w:p w14:paraId="47139DF9" w14:textId="6DC35789" w:rsidR="006E7584" w:rsidRDefault="00380841" w:rsidP="00F73581">
      <w:r>
        <w:t xml:space="preserve">Concerns regarding the level of resourcing for biosecurity are not new, with the Senate Standing Committee on Rural and Regional Affairs and Transport References Committee </w:t>
      </w:r>
      <w:sdt>
        <w:sdtPr>
          <w:id w:val="-87237673"/>
          <w:citation/>
        </w:sdtPr>
        <w:sdtEndPr/>
        <w:sdtContent>
          <w:r>
            <w:fldChar w:fldCharType="begin"/>
          </w:r>
          <w:r>
            <w:instrText xml:space="preserve">CITATION Sen12 \p 27 \n  \t  \l 3081 </w:instrText>
          </w:r>
          <w:r>
            <w:fldChar w:fldCharType="separate"/>
          </w:r>
          <w:r w:rsidR="00604A29">
            <w:rPr>
              <w:noProof/>
            </w:rPr>
            <w:t>(2012, p. 27)</w:t>
          </w:r>
          <w:r>
            <w:fldChar w:fldCharType="end"/>
          </w:r>
        </w:sdtContent>
      </w:sdt>
      <w:r>
        <w:t xml:space="preserve"> receiving a number of submissions on a biosecurity inquiry back in 2012 that expressed concern about the ability of the then Department of Agriculture, Fisheries and Forestry to maintain an adequate level of biosecurity</w:t>
      </w:r>
      <w:r w:rsidRPr="00B16966">
        <w:t xml:space="preserve"> </w:t>
      </w:r>
      <w:r>
        <w:t>resourcing</w:t>
      </w:r>
      <w:r w:rsidR="000E15D4">
        <w:t>.</w:t>
      </w:r>
    </w:p>
    <w:p w14:paraId="630D47DB" w14:textId="43169A1C" w:rsidR="0088406D" w:rsidRDefault="00B13982" w:rsidP="00A94D0C">
      <w:pPr>
        <w:pStyle w:val="Heading2"/>
      </w:pPr>
      <w:bookmarkStart w:id="17" w:name="_Toc10031883"/>
      <w:r>
        <w:t>3</w:t>
      </w:r>
      <w:r w:rsidR="00A94D0C">
        <w:t>.</w:t>
      </w:r>
      <w:r w:rsidR="004C702A">
        <w:t>3</w:t>
      </w:r>
      <w:r w:rsidR="00A94D0C">
        <w:tab/>
        <w:t xml:space="preserve">Why is the Biosecurity Imports Levy a </w:t>
      </w:r>
      <w:r w:rsidR="00244AF1">
        <w:t xml:space="preserve">General </w:t>
      </w:r>
      <w:r w:rsidR="00A94D0C">
        <w:t>Tax?</w:t>
      </w:r>
      <w:bookmarkEnd w:id="17"/>
    </w:p>
    <w:p w14:paraId="2332DF9A" w14:textId="3B35423A" w:rsidR="00733966" w:rsidRPr="00733966" w:rsidRDefault="00B13982" w:rsidP="00733966">
      <w:pPr>
        <w:pStyle w:val="Heading3"/>
      </w:pPr>
      <w:bookmarkStart w:id="18" w:name="_Toc10031884"/>
      <w:r>
        <w:t>3</w:t>
      </w:r>
      <w:r w:rsidR="0026429F">
        <w:t>.</w:t>
      </w:r>
      <w:r w:rsidR="004C702A">
        <w:t>3</w:t>
      </w:r>
      <w:r w:rsidR="0026429F">
        <w:t>.1</w:t>
      </w:r>
      <w:r w:rsidR="0026429F">
        <w:tab/>
        <w:t>Cost Recovery Fees</w:t>
      </w:r>
      <w:r w:rsidR="00FA11E0">
        <w:t xml:space="preserve">, </w:t>
      </w:r>
      <w:r w:rsidR="0026429F">
        <w:t>Levies</w:t>
      </w:r>
      <w:r w:rsidR="00FA11E0">
        <w:t xml:space="preserve"> and General Taxation</w:t>
      </w:r>
      <w:bookmarkEnd w:id="18"/>
    </w:p>
    <w:p w14:paraId="02160BA1" w14:textId="77777777" w:rsidR="00380841" w:rsidRDefault="00380841" w:rsidP="00380841">
      <w:r>
        <w:t>The Commonwealth Government provides a diverse range of services, support and benefits to the Australian public to achieve its policy outcomes. These activities are funded from different revenue sources, including general taxation, sales of public assets, government investments, cost recovery and other revenue-raising measures.</w:t>
      </w:r>
    </w:p>
    <w:p w14:paraId="22C8C04F" w14:textId="77777777" w:rsidR="00380841" w:rsidRDefault="00380841" w:rsidP="00380841">
      <w:r>
        <w:t>A generally accepted definition of taxation is:</w:t>
      </w:r>
    </w:p>
    <w:p w14:paraId="577984BA" w14:textId="600EA409" w:rsidR="00BE420E" w:rsidRDefault="00380841" w:rsidP="00380841">
      <w:pPr>
        <w:pStyle w:val="Quote"/>
      </w:pPr>
      <w:r>
        <w:t>A compulsory exaction of money by public authority for public purposes, enforceable by law, and … not a payment for services rendered</w:t>
      </w:r>
      <w:r w:rsidRPr="00B16966">
        <w:t xml:space="preserve"> </w:t>
      </w:r>
      <w:r>
        <w:t>(Matthews v Chicory Marketing Board [1938] 60 CLR 263).</w:t>
      </w:r>
    </w:p>
    <w:p w14:paraId="6BE5C024" w14:textId="66DEB230" w:rsidR="00BE420E" w:rsidRDefault="00380841" w:rsidP="00BE420E">
      <w:r>
        <w:t>When imposing taxation, the Commonwealth must ensure that it complies with section 55 of the Constitution</w:t>
      </w:r>
      <w:r w:rsidR="00BE420E">
        <w:t>:</w:t>
      </w:r>
    </w:p>
    <w:p w14:paraId="6809067C" w14:textId="77777777" w:rsidR="00BE420E" w:rsidRDefault="00BE420E" w:rsidP="00BE420E">
      <w:pPr>
        <w:pStyle w:val="Quote"/>
      </w:pPr>
      <w:r>
        <w:t>Laws imposing taxation shall deal only with the imposition of taxation, and any provision therein dealing with any matter shall be of no effect. Laws imposing taxation, except laws imposing duties of customs or of excise, shall deal with one subject of taxation only; but laws imposing duties of customs shall deal with duties of customs only; and laws imposing duties of excise shall deal with duties of excise only. (section 55)</w:t>
      </w:r>
    </w:p>
    <w:p w14:paraId="3D4AA1FB" w14:textId="2BBD39A1" w:rsidR="00BE420E" w:rsidRDefault="00BE420E" w:rsidP="00BE420E">
      <w:r>
        <w:t xml:space="preserve">If a single Commonwealth Act attempted both to impose a tax and to deal with other matters, then the imposition of the tax would be valid, but the remainder of the Act would not </w:t>
      </w:r>
      <w:sdt>
        <w:sdtPr>
          <w:id w:val="-247650767"/>
          <w:citation/>
        </w:sdtPr>
        <w:sdtEndPr/>
        <w:sdtContent>
          <w:r>
            <w:fldChar w:fldCharType="begin"/>
          </w:r>
          <w:r>
            <w:instrText xml:space="preserve">CITATION Pro01 \p 36 \t  \l 3081 </w:instrText>
          </w:r>
          <w:r>
            <w:fldChar w:fldCharType="separate"/>
          </w:r>
          <w:r w:rsidR="00604A29">
            <w:rPr>
              <w:noProof/>
            </w:rPr>
            <w:t>(Productivity Commission, 2001, p. 36)</w:t>
          </w:r>
          <w:r>
            <w:fldChar w:fldCharType="end"/>
          </w:r>
        </w:sdtContent>
      </w:sdt>
      <w:r w:rsidR="006E7584">
        <w:t>. Thu</w:t>
      </w:r>
      <w:r w:rsidR="00DD2044">
        <w:t>s, i</w:t>
      </w:r>
      <w:r>
        <w:t xml:space="preserve">n order to legislate a new tax, the Commonwealth Parliament is required to </w:t>
      </w:r>
      <w:r w:rsidR="00DD2044">
        <w:t>pass two pieces of legislation –</w:t>
      </w:r>
      <w:r>
        <w:t xml:space="preserve"> one authorising the imposition of the tax and another one authorising ‘other matters’, </w:t>
      </w:r>
      <w:r w:rsidR="006E7584">
        <w:t>typically</w:t>
      </w:r>
      <w:r>
        <w:t xml:space="preserve"> its collection and administration.</w:t>
      </w:r>
    </w:p>
    <w:p w14:paraId="0B455134" w14:textId="06D12FD7" w:rsidR="00277026" w:rsidRDefault="007345A5" w:rsidP="00755721">
      <w:r>
        <w:t xml:space="preserve">Cost recovery involves the Commonwealth Government charging the non-government sector some or all of the efficient costs of a specific government activity </w:t>
      </w:r>
      <w:sdt>
        <w:sdtPr>
          <w:id w:val="-971436394"/>
          <w:citation/>
        </w:sdtPr>
        <w:sdtEndPr/>
        <w:sdtContent>
          <w:r>
            <w:fldChar w:fldCharType="begin"/>
          </w:r>
          <w:r>
            <w:instrText xml:space="preserve">CITATION Dep14 \p 1 \l 3081 </w:instrText>
          </w:r>
          <w:r>
            <w:fldChar w:fldCharType="separate"/>
          </w:r>
          <w:r w:rsidR="00604A29">
            <w:rPr>
              <w:noProof/>
            </w:rPr>
            <w:t>(Department of Finance, 2014, p. 1)</w:t>
          </w:r>
          <w:r>
            <w:fldChar w:fldCharType="end"/>
          </w:r>
        </w:sdtContent>
      </w:sdt>
      <w:r>
        <w:t>. That activity may include the provision of goods, services or regulation, or a combination of them.</w:t>
      </w:r>
    </w:p>
    <w:p w14:paraId="2C763F45" w14:textId="5E40713D" w:rsidR="007345A5" w:rsidRDefault="006E7584" w:rsidP="00755721">
      <w:r>
        <w:t>The characteristics of the</w:t>
      </w:r>
      <w:r w:rsidR="00DD00C3">
        <w:t xml:space="preserve"> government activity determine the type of cost recovery charge used </w:t>
      </w:r>
      <w:sdt>
        <w:sdtPr>
          <w:id w:val="879982641"/>
          <w:citation/>
        </w:sdtPr>
        <w:sdtEndPr/>
        <w:sdtContent>
          <w:r w:rsidR="00DD00C3">
            <w:fldChar w:fldCharType="begin"/>
          </w:r>
          <w:r w:rsidR="00DD00C3">
            <w:instrText xml:space="preserve">CITATION Dep14 \p 2 \t  \l 3081 </w:instrText>
          </w:r>
          <w:r w:rsidR="00DD00C3">
            <w:fldChar w:fldCharType="separate"/>
          </w:r>
          <w:r w:rsidR="00604A29">
            <w:rPr>
              <w:noProof/>
            </w:rPr>
            <w:t>(Department of Finance, 2014, p. 2)</w:t>
          </w:r>
          <w:r w:rsidR="00DD00C3">
            <w:fldChar w:fldCharType="end"/>
          </w:r>
        </w:sdtContent>
      </w:sdt>
      <w:r w:rsidR="00DD00C3">
        <w:t>. There are two types of cost recovery charges:</w:t>
      </w:r>
    </w:p>
    <w:p w14:paraId="0D266AEC" w14:textId="56FBA394" w:rsidR="00CB2361" w:rsidRDefault="00CB2361" w:rsidP="00CB2361">
      <w:pPr>
        <w:pStyle w:val="ListParagraph"/>
        <w:numPr>
          <w:ilvl w:val="0"/>
          <w:numId w:val="6"/>
        </w:numPr>
      </w:pPr>
      <w:r>
        <w:t>cost recovery levies—charges imposed when a good, service or regulation is provided to a group of individuals or organisations (e.g. an industry sector) rather than to a specific individual or organisation. A cost recovery levy is a tax and is imposed via a separate taxation Act. It differs from general taxation as it is ‘earmarked’ to fund activities provided to the group that pays the levy</w:t>
      </w:r>
    </w:p>
    <w:p w14:paraId="68B2E677" w14:textId="56EDC21D" w:rsidR="00DD00C3" w:rsidRDefault="00BE41D1" w:rsidP="00BE41D1">
      <w:pPr>
        <w:pStyle w:val="ListParagraph"/>
        <w:numPr>
          <w:ilvl w:val="0"/>
          <w:numId w:val="6"/>
        </w:numPr>
      </w:pPr>
      <w:r>
        <w:t>cost recovery fees—fees charged when a good, service or regulation (in certain circumstances) is provided directly to a specific individual or organisation</w:t>
      </w:r>
      <w:r w:rsidR="00CB2361">
        <w:t>.</w:t>
      </w:r>
    </w:p>
    <w:p w14:paraId="25E8299A" w14:textId="6A0A89DC" w:rsidR="00CB2361" w:rsidRDefault="00CB2361" w:rsidP="00CB2361">
      <w:r>
        <w:t xml:space="preserve">In relation to a cost recovery levy, the </w:t>
      </w:r>
      <w:r w:rsidRPr="004B6336">
        <w:rPr>
          <w:i/>
        </w:rPr>
        <w:t>Australian Government Cost Recovery Guidelines</w:t>
      </w:r>
      <w:r>
        <w:rPr>
          <w:i/>
        </w:rPr>
        <w:t xml:space="preserve"> </w:t>
      </w:r>
      <w:r w:rsidRPr="0053178D">
        <w:rPr>
          <w:iCs/>
        </w:rPr>
        <w:t>state</w:t>
      </w:r>
      <w:r>
        <w:rPr>
          <w:i/>
        </w:rPr>
        <w:t xml:space="preserve"> </w:t>
      </w:r>
      <w:r w:rsidRPr="0053178D">
        <w:t>that:</w:t>
      </w:r>
    </w:p>
    <w:p w14:paraId="5690C512" w14:textId="13BC7CD1" w:rsidR="00CB2361" w:rsidRDefault="00CB2361" w:rsidP="00CB2361">
      <w:pPr>
        <w:pStyle w:val="Quote"/>
      </w:pPr>
      <w:r>
        <w:t xml:space="preserve">… a cost recovery levy should only recover the costs of the activity provided to a group of individuals or organisations that pay the cost recovery levy. Otherwise, this type of charge could be considered general taxation. </w:t>
      </w:r>
      <w:sdt>
        <w:sdtPr>
          <w:id w:val="-2021539325"/>
          <w:citation/>
        </w:sdtPr>
        <w:sdtEndPr/>
        <w:sdtContent>
          <w:r>
            <w:fldChar w:fldCharType="begin"/>
          </w:r>
          <w:r>
            <w:instrText xml:space="preserve">CITATION Dep14 \p 23 \t  \l 3081 </w:instrText>
          </w:r>
          <w:r>
            <w:fldChar w:fldCharType="separate"/>
          </w:r>
          <w:r w:rsidR="00604A29">
            <w:rPr>
              <w:noProof/>
            </w:rPr>
            <w:t>(Department of Finance, 2014, p. 23)</w:t>
          </w:r>
          <w:r>
            <w:fldChar w:fldCharType="end"/>
          </w:r>
        </w:sdtContent>
      </w:sdt>
    </w:p>
    <w:p w14:paraId="4BF980A9" w14:textId="120D4A9F" w:rsidR="00755721" w:rsidRDefault="00B7582A" w:rsidP="00CB2361">
      <w:r>
        <w:t xml:space="preserve">A fee-for-service must reflect the costs of services provided and that the service must be rendered to, or at the request of, the party paying the account </w:t>
      </w:r>
      <w:sdt>
        <w:sdtPr>
          <w:id w:val="91061000"/>
          <w:citation/>
        </w:sdtPr>
        <w:sdtEndPr/>
        <w:sdtContent>
          <w:r>
            <w:fldChar w:fldCharType="begin"/>
          </w:r>
          <w:r>
            <w:instrText xml:space="preserve">CITATION Pro01 \p 36 \t  \l 3081 </w:instrText>
          </w:r>
          <w:r>
            <w:fldChar w:fldCharType="separate"/>
          </w:r>
          <w:r w:rsidR="00604A29">
            <w:rPr>
              <w:noProof/>
            </w:rPr>
            <w:t>(Productivity Commission, 2001, p. 36)</w:t>
          </w:r>
          <w:r>
            <w:fldChar w:fldCharType="end"/>
          </w:r>
        </w:sdtContent>
      </w:sdt>
      <w:r>
        <w:t xml:space="preserve">. A cost recovery fee-for-service needs to ensure that costs that cannot be reasonably attributed to a specific individual or organisation are not included in the fees imposed, otherwise, there could be a risk that the fees could be considered taxes for constitutional purposes </w:t>
      </w:r>
      <w:sdt>
        <w:sdtPr>
          <w:id w:val="1054743115"/>
          <w:citation/>
        </w:sdtPr>
        <w:sdtEndPr/>
        <w:sdtContent>
          <w:r>
            <w:fldChar w:fldCharType="begin"/>
          </w:r>
          <w:r>
            <w:instrText xml:space="preserve">CITATION Dep14 \p 37n \t  \l 3081 </w:instrText>
          </w:r>
          <w:r>
            <w:fldChar w:fldCharType="separate"/>
          </w:r>
          <w:r w:rsidR="00604A29">
            <w:rPr>
              <w:noProof/>
            </w:rPr>
            <w:t>(Department of Finance, 2014, p. 37n)</w:t>
          </w:r>
          <w:r>
            <w:fldChar w:fldCharType="end"/>
          </w:r>
        </w:sdtContent>
      </w:sdt>
      <w:r>
        <w:t xml:space="preserve">. For example, the former Australian Quarantine Inspection Service received legal advice that, if a program’s revenue exceeded costs by more than 10 per cent, there could be a difficulty in maintaining its status of fee-for-service ‘cost-recovery’ — it could be construed as a tax </w:t>
      </w:r>
      <w:sdt>
        <w:sdtPr>
          <w:id w:val="811056454"/>
          <w:citation/>
        </w:sdtPr>
        <w:sdtEndPr/>
        <w:sdtContent>
          <w:r w:rsidR="00755721">
            <w:fldChar w:fldCharType="begin"/>
          </w:r>
          <w:r w:rsidR="00A84EC3">
            <w:instrText xml:space="preserve">CITATION The00 \p 68 \t  \l 3081 </w:instrText>
          </w:r>
          <w:r w:rsidR="00755721">
            <w:fldChar w:fldCharType="separate"/>
          </w:r>
          <w:r w:rsidR="00604A29">
            <w:rPr>
              <w:noProof/>
            </w:rPr>
            <w:t>(Australian National Audit Office, 2000, p. 68)</w:t>
          </w:r>
          <w:r w:rsidR="00755721">
            <w:fldChar w:fldCharType="end"/>
          </w:r>
        </w:sdtContent>
      </w:sdt>
      <w:r w:rsidR="00755721">
        <w:t>.</w:t>
      </w:r>
    </w:p>
    <w:p w14:paraId="3DE42A7B" w14:textId="2F55BA60" w:rsidR="00BD1BE5" w:rsidRDefault="00B7582A" w:rsidP="00A94D0C">
      <w:r>
        <w:t xml:space="preserve">Overall, cost recovery is the recovery by government of some or all of the costs of a particular activity </w:t>
      </w:r>
      <w:sdt>
        <w:sdtPr>
          <w:id w:val="2141222302"/>
          <w:citation/>
        </w:sdtPr>
        <w:sdtEndPr/>
        <w:sdtContent>
          <w:r>
            <w:fldChar w:fldCharType="begin"/>
          </w:r>
          <w:r>
            <w:instrText xml:space="preserve">CITATION Pro01 \p 1 \t  \l 3081 </w:instrText>
          </w:r>
          <w:r>
            <w:fldChar w:fldCharType="separate"/>
          </w:r>
          <w:r w:rsidR="00604A29">
            <w:rPr>
              <w:noProof/>
            </w:rPr>
            <w:t>(Productivity Commission, 2001, p. 1)</w:t>
          </w:r>
          <w:r>
            <w:fldChar w:fldCharType="end"/>
          </w:r>
        </w:sdtContent>
      </w:sdt>
      <w:r>
        <w:t xml:space="preserve">. </w:t>
      </w:r>
      <w:r w:rsidR="006E7584">
        <w:t>Thus</w:t>
      </w:r>
      <w:r>
        <w:t xml:space="preserve"> cost recovery is different from general taxation which raises revenue to fund a wide range of government activities, with no necessary or direct link between the source of the tax and the expenditure of the revenue raised. As such, general taxation is not a cost recovery charge, as the activities funded through general taxation revenue do not have to relate to the individuals or organisations being charged </w:t>
      </w:r>
      <w:sdt>
        <w:sdtPr>
          <w:id w:val="404420348"/>
          <w:citation/>
        </w:sdtPr>
        <w:sdtEndPr/>
        <w:sdtContent>
          <w:r w:rsidR="004A532C">
            <w:fldChar w:fldCharType="begin"/>
          </w:r>
          <w:r w:rsidR="00CB4EC6">
            <w:instrText xml:space="preserve">CITATION Dep14 \p 65 \t  \l 3081 </w:instrText>
          </w:r>
          <w:r w:rsidR="004A532C">
            <w:fldChar w:fldCharType="separate"/>
          </w:r>
          <w:r w:rsidR="00604A29">
            <w:rPr>
              <w:noProof/>
            </w:rPr>
            <w:t>(Department of Finance, 2014, p. 65)</w:t>
          </w:r>
          <w:r w:rsidR="004A532C">
            <w:fldChar w:fldCharType="end"/>
          </w:r>
        </w:sdtContent>
      </w:sdt>
      <w:r w:rsidR="00526B8D">
        <w:t>.</w:t>
      </w:r>
    </w:p>
    <w:p w14:paraId="3B5C60C7" w14:textId="3C1A3134" w:rsidR="00135054" w:rsidRDefault="00135054" w:rsidP="00A94D0C">
      <w:r>
        <w:t xml:space="preserve">In line with the above discussion, the Committee concludes that the proposed </w:t>
      </w:r>
      <w:r w:rsidR="009A79AB">
        <w:t>B</w:t>
      </w:r>
      <w:r>
        <w:t xml:space="preserve">iosecurity </w:t>
      </w:r>
      <w:r w:rsidR="009A79AB">
        <w:t>Imports L</w:t>
      </w:r>
      <w:r>
        <w:t>evy is a form of taxation, and not a cost recovery charge.</w:t>
      </w:r>
    </w:p>
    <w:p w14:paraId="59BB95F1" w14:textId="7A699D76" w:rsidR="0026429F" w:rsidRDefault="00B13982" w:rsidP="0026429F">
      <w:pPr>
        <w:pStyle w:val="Heading3"/>
      </w:pPr>
      <w:bookmarkStart w:id="19" w:name="_Toc10031885"/>
      <w:r>
        <w:t>3</w:t>
      </w:r>
      <w:r w:rsidR="0026429F">
        <w:t>.</w:t>
      </w:r>
      <w:r w:rsidR="00DA3FF1">
        <w:t>3</w:t>
      </w:r>
      <w:r w:rsidR="0026429F">
        <w:t>.2</w:t>
      </w:r>
      <w:r w:rsidR="0026429F">
        <w:tab/>
      </w:r>
      <w:r w:rsidR="00386B1C">
        <w:t xml:space="preserve">Biosecurity </w:t>
      </w:r>
      <w:r w:rsidR="00135054">
        <w:t>Activities Funded by the</w:t>
      </w:r>
      <w:r w:rsidR="00386B1C">
        <w:t xml:space="preserve"> Levy</w:t>
      </w:r>
      <w:bookmarkEnd w:id="19"/>
      <w:r w:rsidR="00386B1C">
        <w:t xml:space="preserve"> </w:t>
      </w:r>
    </w:p>
    <w:p w14:paraId="5AF6B7E2" w14:textId="3A4D202D" w:rsidR="003B4854" w:rsidRDefault="00002424" w:rsidP="00386B1C">
      <w:r>
        <w:t xml:space="preserve">In a Departmental question and answer sheet on the proposed </w:t>
      </w:r>
      <w:r w:rsidR="00FA4F92">
        <w:t>Biosecurity Imports Levy</w:t>
      </w:r>
      <w:r>
        <w:t xml:space="preserve">, the question </w:t>
      </w:r>
      <w:r w:rsidR="00F97151">
        <w:t>as to where</w:t>
      </w:r>
      <w:r>
        <w:t xml:space="preserve"> the proceeds of the levy would be spent, was addressed in the following terms</w:t>
      </w:r>
      <w:r w:rsidR="001752B5">
        <w:t>:</w:t>
      </w:r>
    </w:p>
    <w:p w14:paraId="65330637" w14:textId="77777777" w:rsidR="00002424" w:rsidRPr="009E2235" w:rsidRDefault="00002424" w:rsidP="00002424">
      <w:pPr>
        <w:pStyle w:val="Quote"/>
      </w:pPr>
      <w:r w:rsidRPr="009E2235">
        <w:t xml:space="preserve">The Levy will support a smarter and more efficient biosecurity system that protects our agricultural production, trade and environment while facilitating trade by: </w:t>
      </w:r>
    </w:p>
    <w:p w14:paraId="71824F1C" w14:textId="77777777" w:rsidR="00002424" w:rsidRPr="009E2235" w:rsidRDefault="00002424" w:rsidP="00002424">
      <w:pPr>
        <w:pStyle w:val="Quote"/>
        <w:numPr>
          <w:ilvl w:val="0"/>
          <w:numId w:val="7"/>
        </w:numPr>
      </w:pPr>
      <w:r w:rsidRPr="009E2235">
        <w:t xml:space="preserve">offsetting costs of biosecurity activities that manage the types of risks created by vessels and containers carrying imported goods entering Australia by sea </w:t>
      </w:r>
    </w:p>
    <w:p w14:paraId="2F21CAED" w14:textId="77777777" w:rsidR="00002424" w:rsidRPr="009E2235" w:rsidRDefault="00002424" w:rsidP="00002424">
      <w:pPr>
        <w:pStyle w:val="Quote"/>
        <w:numPr>
          <w:ilvl w:val="0"/>
          <w:numId w:val="7"/>
        </w:numPr>
      </w:pPr>
      <w:r w:rsidRPr="009E2235">
        <w:t xml:space="preserve">streamlining our regulatory activities at the border to better target high risk goods and reduce regulatory costs for importers of low risk goods </w:t>
      </w:r>
    </w:p>
    <w:p w14:paraId="3E72B359" w14:textId="77777777" w:rsidR="00002424" w:rsidRPr="009E2235" w:rsidRDefault="00002424" w:rsidP="00002424">
      <w:pPr>
        <w:pStyle w:val="Quote"/>
        <w:numPr>
          <w:ilvl w:val="0"/>
          <w:numId w:val="7"/>
        </w:numPr>
      </w:pPr>
      <w:r w:rsidRPr="009E2235">
        <w:t xml:space="preserve">trialling new technologies and smarter border processes to improve our ability to detect biosecurity risks at the border </w:t>
      </w:r>
    </w:p>
    <w:p w14:paraId="51574196" w14:textId="77777777" w:rsidR="00002424" w:rsidRPr="009E2235" w:rsidRDefault="00002424" w:rsidP="00002424">
      <w:pPr>
        <w:pStyle w:val="Quote"/>
        <w:numPr>
          <w:ilvl w:val="0"/>
          <w:numId w:val="7"/>
        </w:numPr>
      </w:pPr>
      <w:r w:rsidRPr="009E2235">
        <w:t xml:space="preserve">strengthening our assurance and verification activities at the border to better identify and target non-compliance with our biosecurity requirements </w:t>
      </w:r>
    </w:p>
    <w:p w14:paraId="1B7BF2AF" w14:textId="77777777" w:rsidR="00002424" w:rsidRPr="009E2235" w:rsidRDefault="00002424" w:rsidP="00002424">
      <w:pPr>
        <w:pStyle w:val="Quote"/>
        <w:numPr>
          <w:ilvl w:val="0"/>
          <w:numId w:val="7"/>
        </w:numPr>
      </w:pPr>
      <w:r w:rsidRPr="009E2235">
        <w:t xml:space="preserve">improving our capability to identify and target high biosecurity risk pathways, such as sea cargo, and </w:t>
      </w:r>
    </w:p>
    <w:p w14:paraId="49D7F35C" w14:textId="64CE1615" w:rsidR="009E2235" w:rsidRPr="009E2235" w:rsidRDefault="00002424" w:rsidP="00002424">
      <w:pPr>
        <w:pStyle w:val="Quote"/>
        <w:numPr>
          <w:ilvl w:val="0"/>
          <w:numId w:val="7"/>
        </w:numPr>
      </w:pPr>
      <w:r w:rsidRPr="009E2235">
        <w:t>increasing investment in the delivery of effective biosecurity services, such as screening passengers and cargo at sea ports, as the volume and complexity of trade into Australia increases</w:t>
      </w:r>
      <w:r w:rsidR="009E2235" w:rsidRPr="009E2235">
        <w:t xml:space="preserve">. </w:t>
      </w:r>
      <w:sdt>
        <w:sdtPr>
          <w:id w:val="1831486007"/>
          <w:citation/>
        </w:sdtPr>
        <w:sdtEndPr/>
        <w:sdtContent>
          <w:r w:rsidR="00673541">
            <w:fldChar w:fldCharType="begin"/>
          </w:r>
          <w:r w:rsidR="00673541">
            <w:instrText xml:space="preserve"> CITATION Dep8a \l 3081 </w:instrText>
          </w:r>
          <w:r w:rsidR="00673541">
            <w:fldChar w:fldCharType="separate"/>
          </w:r>
          <w:r w:rsidR="00604A29">
            <w:rPr>
              <w:noProof/>
            </w:rPr>
            <w:t>(Department of Agriculture and Water Resources, 2018c)</w:t>
          </w:r>
          <w:r w:rsidR="00673541">
            <w:fldChar w:fldCharType="end"/>
          </w:r>
        </w:sdtContent>
      </w:sdt>
    </w:p>
    <w:p w14:paraId="62B6A48C" w14:textId="0F41B98F" w:rsidR="00002424" w:rsidRDefault="00002424" w:rsidP="00002424">
      <w:r>
        <w:t>At an industry presentation in June 2018, the Department observed</w:t>
      </w:r>
      <w:r w:rsidR="00F97151">
        <w:t>,</w:t>
      </w:r>
      <w:r>
        <w:t xml:space="preserve"> in relation to cost recovery for its biosecurity functions</w:t>
      </w:r>
      <w:r w:rsidR="00F97151">
        <w:t>,</w:t>
      </w:r>
      <w:r>
        <w:t xml:space="preserve"> that:</w:t>
      </w:r>
    </w:p>
    <w:p w14:paraId="13D384E0" w14:textId="259674F7" w:rsidR="00002424" w:rsidRDefault="00002424" w:rsidP="00036AFA">
      <w:pPr>
        <w:pStyle w:val="Quote"/>
      </w:pPr>
      <w:r>
        <w:t xml:space="preserve">All current fees and levies being charged to the biosecurity cost recovery arrangement recover the costs of </w:t>
      </w:r>
      <w:r>
        <w:rPr>
          <w:b/>
          <w:bCs/>
        </w:rPr>
        <w:t xml:space="preserve">regulatory activities that can be attributed to an individual or group of individuals </w:t>
      </w:r>
      <w:r w:rsidRPr="004D3FDF">
        <w:rPr>
          <w:bCs/>
        </w:rPr>
        <w:t>(emphasis in the original)</w:t>
      </w:r>
      <w:r>
        <w:rPr>
          <w:b/>
          <w:bCs/>
        </w:rPr>
        <w:t>.</w:t>
      </w:r>
      <w:r w:rsidR="00673541" w:rsidRPr="00673541">
        <w:rPr>
          <w:bCs/>
        </w:rPr>
        <w:t xml:space="preserve"> </w:t>
      </w:r>
      <w:sdt>
        <w:sdtPr>
          <w:rPr>
            <w:bCs/>
          </w:rPr>
          <w:id w:val="21602792"/>
          <w:citation/>
        </w:sdtPr>
        <w:sdtEndPr/>
        <w:sdtContent>
          <w:r w:rsidR="00673541">
            <w:rPr>
              <w:bCs/>
            </w:rPr>
            <w:fldChar w:fldCharType="begin"/>
          </w:r>
          <w:r w:rsidR="00673541">
            <w:rPr>
              <w:bCs/>
            </w:rPr>
            <w:instrText xml:space="preserve">CITATION Dep183 \p 15 \t  \l 3081 </w:instrText>
          </w:r>
          <w:r w:rsidR="00673541">
            <w:rPr>
              <w:bCs/>
            </w:rPr>
            <w:fldChar w:fldCharType="separate"/>
          </w:r>
          <w:r w:rsidR="00604A29">
            <w:rPr>
              <w:noProof/>
            </w:rPr>
            <w:t>(Department of Agriculture and Water Resources, 2018a, p. 15)</w:t>
          </w:r>
          <w:r w:rsidR="00673541">
            <w:rPr>
              <w:bCs/>
            </w:rPr>
            <w:fldChar w:fldCharType="end"/>
          </w:r>
        </w:sdtContent>
      </w:sdt>
    </w:p>
    <w:p w14:paraId="349D3C13" w14:textId="70AE3E15" w:rsidR="00002424" w:rsidRDefault="00002424" w:rsidP="00002424">
      <w:r>
        <w:t xml:space="preserve">It commented in relation to the imposition of the </w:t>
      </w:r>
      <w:r w:rsidR="00FA4F92">
        <w:t>Biosecurity Imports Levy</w:t>
      </w:r>
      <w:r>
        <w:t xml:space="preserve"> that:</w:t>
      </w:r>
    </w:p>
    <w:p w14:paraId="0F166F4F" w14:textId="77777777" w:rsidR="00002424" w:rsidRPr="0078412F" w:rsidRDefault="00002424" w:rsidP="00002424">
      <w:pPr>
        <w:pStyle w:val="Quote"/>
        <w:numPr>
          <w:ilvl w:val="0"/>
          <w:numId w:val="7"/>
        </w:numPr>
      </w:pPr>
      <w:r w:rsidRPr="0078412F">
        <w:t>The Biosecurity Imports Levy is not a cost recovery arrangement</w:t>
      </w:r>
    </w:p>
    <w:p w14:paraId="6AB8EB56" w14:textId="77777777" w:rsidR="00002424" w:rsidRDefault="00002424" w:rsidP="00002424">
      <w:pPr>
        <w:pStyle w:val="Quote"/>
        <w:numPr>
          <w:ilvl w:val="0"/>
          <w:numId w:val="7"/>
        </w:numPr>
      </w:pPr>
      <w:r>
        <w:t>The levy will fund activities that cannot be cost recovered</w:t>
      </w:r>
    </w:p>
    <w:p w14:paraId="43F38FF1" w14:textId="7D601810" w:rsidR="00864AC1" w:rsidRPr="00864AC1" w:rsidRDefault="00002424" w:rsidP="00002424">
      <w:pPr>
        <w:pStyle w:val="Quote"/>
        <w:numPr>
          <w:ilvl w:val="0"/>
          <w:numId w:val="7"/>
        </w:numPr>
      </w:pPr>
      <w:r>
        <w:t>The levy amounts to general taxation, supporting funding for system activity and investment that cannot be cost recovered</w:t>
      </w:r>
      <w:r>
        <w:rPr>
          <w:b/>
          <w:bCs/>
        </w:rPr>
        <w:t xml:space="preserve">. </w:t>
      </w:r>
      <w:sdt>
        <w:sdtPr>
          <w:rPr>
            <w:bCs/>
          </w:rPr>
          <w:id w:val="-1562477835"/>
          <w:citation/>
        </w:sdtPr>
        <w:sdtEndPr/>
        <w:sdtContent>
          <w:r w:rsidR="00673541">
            <w:rPr>
              <w:bCs/>
            </w:rPr>
            <w:fldChar w:fldCharType="begin"/>
          </w:r>
          <w:r w:rsidR="00673541">
            <w:rPr>
              <w:bCs/>
            </w:rPr>
            <w:instrText xml:space="preserve">CITATION Dep183 \p 15 \t  \l 3081 </w:instrText>
          </w:r>
          <w:r w:rsidR="00673541">
            <w:rPr>
              <w:bCs/>
            </w:rPr>
            <w:fldChar w:fldCharType="separate"/>
          </w:r>
          <w:r w:rsidR="00604A29">
            <w:rPr>
              <w:noProof/>
            </w:rPr>
            <w:t>(Department of Agriculture and Water Resources, 2018a, p. 15)</w:t>
          </w:r>
          <w:r w:rsidR="00673541">
            <w:rPr>
              <w:bCs/>
            </w:rPr>
            <w:fldChar w:fldCharType="end"/>
          </w:r>
        </w:sdtContent>
      </w:sdt>
    </w:p>
    <w:p w14:paraId="6F46CE60" w14:textId="77777777" w:rsidR="00CA26B7" w:rsidRDefault="00CA26B7" w:rsidP="00CA26B7">
      <w:pPr>
        <w:rPr>
          <w:rFonts w:eastAsiaTheme="majorEastAsia"/>
        </w:rPr>
      </w:pPr>
      <w:r>
        <w:br w:type="page"/>
      </w:r>
    </w:p>
    <w:p w14:paraId="172610C2" w14:textId="3037FF38" w:rsidR="00C837D8" w:rsidRDefault="00115B12" w:rsidP="000A41BE">
      <w:pPr>
        <w:pStyle w:val="Heading1"/>
      </w:pPr>
      <w:bookmarkStart w:id="20" w:name="_Toc10031886"/>
      <w:r>
        <w:t>4</w:t>
      </w:r>
      <w:r w:rsidR="00EA6D8D">
        <w:t>.</w:t>
      </w:r>
      <w:r w:rsidR="00EA6D8D">
        <w:tab/>
        <w:t>Who Should Pay for Biosecurity Services?</w:t>
      </w:r>
      <w:bookmarkEnd w:id="20"/>
    </w:p>
    <w:p w14:paraId="4E85DF6F" w14:textId="09BB0DC8" w:rsidR="00EA6D8D" w:rsidRDefault="00EA6D8D" w:rsidP="00EA6D8D">
      <w:r>
        <w:t>A first step in determining who should pay for the provision of biosecurity services is to determine the nature of the product or service.</w:t>
      </w:r>
      <w:r w:rsidR="005D5581" w:rsidRPr="005D5581">
        <w:rPr>
          <w:rStyle w:val="FootnoteReference"/>
        </w:rPr>
        <w:t xml:space="preserve"> </w:t>
      </w:r>
    </w:p>
    <w:p w14:paraId="00D97C05" w14:textId="14D620AA" w:rsidR="00EA6D8D" w:rsidRPr="002E1BA5" w:rsidRDefault="00EA6D8D" w:rsidP="00EA6D8D">
      <w:r>
        <w:t xml:space="preserve">Products can generally be categorised as private goods, public goods, </w:t>
      </w:r>
      <w:r w:rsidRPr="002E1BA5">
        <w:t xml:space="preserve">or something in between </w:t>
      </w:r>
      <w:r w:rsidR="00136C15">
        <w:t>(</w:t>
      </w:r>
      <w:r w:rsidRPr="002E1BA5">
        <w:t>such as a club good</w:t>
      </w:r>
      <w:r w:rsidR="00136C15">
        <w:t>)</w:t>
      </w:r>
      <w:r w:rsidRPr="002E1BA5">
        <w:t xml:space="preserve">. Differentiating between </w:t>
      </w:r>
      <w:r w:rsidR="00FD3F3B">
        <w:t>them</w:t>
      </w:r>
      <w:r w:rsidRPr="002E1BA5">
        <w:t xml:space="preserve"> depends on the following characteristics:</w:t>
      </w:r>
    </w:p>
    <w:p w14:paraId="3277855D" w14:textId="4AC6F3CC" w:rsidR="00EA6D8D" w:rsidRDefault="00EA6D8D" w:rsidP="00EA6D8D">
      <w:pPr>
        <w:pStyle w:val="ListParagraph"/>
        <w:numPr>
          <w:ilvl w:val="0"/>
          <w:numId w:val="8"/>
        </w:numPr>
        <w:spacing w:before="0" w:after="200" w:line="276" w:lineRule="auto"/>
      </w:pPr>
      <w:r>
        <w:t>Rivalrous – consumption by one person will diminish the amount that can be consumed by other</w:t>
      </w:r>
      <w:r w:rsidR="00F51764">
        <w:t>s</w:t>
      </w:r>
    </w:p>
    <w:p w14:paraId="5EA250B3" w14:textId="39E1F119" w:rsidR="00FD3F3B" w:rsidRDefault="00FD3F3B" w:rsidP="00EA6D8D">
      <w:pPr>
        <w:pStyle w:val="ListParagraph"/>
        <w:numPr>
          <w:ilvl w:val="0"/>
          <w:numId w:val="8"/>
        </w:numPr>
        <w:spacing w:before="0" w:after="200" w:line="276" w:lineRule="auto"/>
      </w:pPr>
      <w:r>
        <w:t>Excludable – whether it is possible to exclude non-users.</w:t>
      </w:r>
    </w:p>
    <w:p w14:paraId="7D0EFC9B" w14:textId="02B54D6F" w:rsidR="007820D5" w:rsidRPr="00FD3F3B" w:rsidRDefault="00243AA9" w:rsidP="00FD3F3B">
      <w:pPr>
        <w:spacing w:before="0" w:after="160" w:line="259" w:lineRule="auto"/>
      </w:pPr>
      <w:r>
        <w:t xml:space="preserve">These concepts provide some guidance as to the means by which different activities might best be funded. </w:t>
      </w:r>
      <w:r w:rsidR="007820D5">
        <w:t>Private goods, where the benefit</w:t>
      </w:r>
      <w:r w:rsidR="00FD3F3B">
        <w:t>s</w:t>
      </w:r>
      <w:r w:rsidR="007820D5">
        <w:t xml:space="preserve"> are entirely captured by the entities that consume them</w:t>
      </w:r>
      <w:r w:rsidR="002E1DCD">
        <w:t>,</w:t>
      </w:r>
      <w:r w:rsidR="007820D5">
        <w:t xml:space="preserve"> are often </w:t>
      </w:r>
      <w:r w:rsidR="00366B6D">
        <w:t>funded through a direct fee-for-</w:t>
      </w:r>
      <w:r w:rsidR="007820D5">
        <w:t xml:space="preserve">service arrangement. </w:t>
      </w:r>
      <w:r w:rsidR="00D87803" w:rsidRPr="00941F7B">
        <w:t xml:space="preserve">This is consistent with </w:t>
      </w:r>
      <w:r w:rsidR="00D87803">
        <w:t>the Department’s</w:t>
      </w:r>
      <w:r w:rsidR="00D87803" w:rsidRPr="00941F7B">
        <w:t xml:space="preserve"> approach to cost recovery charges in relation to items such as the AQIS processing </w:t>
      </w:r>
      <w:r w:rsidR="00492801">
        <w:t>charge</w:t>
      </w:r>
      <w:r w:rsidR="00D87803" w:rsidRPr="00941F7B">
        <w:t xml:space="preserve">, the </w:t>
      </w:r>
      <w:r w:rsidR="00D87803" w:rsidRPr="00941F7B">
        <w:rPr>
          <w:szCs w:val="22"/>
        </w:rPr>
        <w:t xml:space="preserve">vessel operator charge, as well as various </w:t>
      </w:r>
      <w:r w:rsidR="009A79AB">
        <w:rPr>
          <w:szCs w:val="22"/>
        </w:rPr>
        <w:t xml:space="preserve">other processing and </w:t>
      </w:r>
      <w:r w:rsidR="00D87803" w:rsidRPr="00941F7B">
        <w:rPr>
          <w:szCs w:val="22"/>
        </w:rPr>
        <w:t>inspection charges.</w:t>
      </w:r>
    </w:p>
    <w:p w14:paraId="567E24D5" w14:textId="143AB099" w:rsidR="00D8364D" w:rsidRPr="00941F7B" w:rsidRDefault="00D8364D" w:rsidP="00D8364D">
      <w:r w:rsidRPr="00941F7B">
        <w:t>The Committee</w:t>
      </w:r>
      <w:r w:rsidR="00366B6D">
        <w:t>’s</w:t>
      </w:r>
      <w:r w:rsidRPr="00941F7B">
        <w:t xml:space="preserve"> view </w:t>
      </w:r>
      <w:r w:rsidR="00366B6D" w:rsidRPr="00941F7B">
        <w:t xml:space="preserve">is </w:t>
      </w:r>
      <w:r w:rsidRPr="00941F7B">
        <w:t>that the provision of biosecurity services that cannot be cost recovered lie</w:t>
      </w:r>
      <w:r>
        <w:t>s</w:t>
      </w:r>
      <w:r w:rsidRPr="00941F7B">
        <w:t xml:space="preserve"> somewhere between a pure public good and a selective public good</w:t>
      </w:r>
      <w:r>
        <w:t>,</w:t>
      </w:r>
      <w:r w:rsidRPr="00941F7B">
        <w:t xml:space="preserve"> depending on the nature of the service. This is consistent with the view expressed by the Productivity Commission </w:t>
      </w:r>
      <w:sdt>
        <w:sdtPr>
          <w:id w:val="1057594681"/>
          <w:citation/>
        </w:sdtPr>
        <w:sdtEndPr/>
        <w:sdtContent>
          <w:r w:rsidRPr="00941F7B">
            <w:fldChar w:fldCharType="begin"/>
          </w:r>
          <w:r w:rsidRPr="00941F7B">
            <w:instrText xml:space="preserve">CITATION Pro16 \p 319 \n  \t  \l 3081 </w:instrText>
          </w:r>
          <w:r w:rsidRPr="00941F7B">
            <w:fldChar w:fldCharType="separate"/>
          </w:r>
          <w:r w:rsidR="00604A29">
            <w:rPr>
              <w:noProof/>
            </w:rPr>
            <w:t>(2016, p. 319)</w:t>
          </w:r>
          <w:r w:rsidRPr="00941F7B">
            <w:fldChar w:fldCharType="end"/>
          </w:r>
        </w:sdtContent>
      </w:sdt>
      <w:r w:rsidRPr="00941F7B">
        <w:t>:</w:t>
      </w:r>
    </w:p>
    <w:p w14:paraId="4057E103" w14:textId="77777777" w:rsidR="00D8364D" w:rsidRDefault="00D8364D" w:rsidP="00D8364D">
      <w:pPr>
        <w:pStyle w:val="Quote"/>
      </w:pPr>
      <w:r w:rsidRPr="00941F7B">
        <w:t>Biosecurity has both p</w:t>
      </w:r>
      <w:r>
        <w:t>ublic good properties and spill</w:t>
      </w:r>
      <w:r w:rsidRPr="00941F7B">
        <w:t>over effects (externalities). A pest- and disease-free environment is a public good. If providing such an environment was left to the private sector, this could lead to free-riding on the management efforts of others and result in underinvestment in biosecurity activities. This failure of the market to adequately address pest and disease risks is a major reason for government involvement in biosecurity.</w:t>
      </w:r>
    </w:p>
    <w:p w14:paraId="1C9AF706" w14:textId="77777777" w:rsidR="00C432E9" w:rsidRPr="00C432E9" w:rsidRDefault="00C432E9" w:rsidP="00C432E9">
      <w:pPr>
        <w:pStyle w:val="NormalWeb"/>
        <w:rPr>
          <w:szCs w:val="24"/>
        </w:rPr>
      </w:pPr>
      <w:r w:rsidRPr="00C432E9">
        <w:rPr>
          <w:iCs/>
        </w:rPr>
        <w:t xml:space="preserve">A discussion of these concepts as they apply to the Biosecurity Levy is provided in </w:t>
      </w:r>
      <w:r w:rsidRPr="00201A28">
        <w:rPr>
          <w:b/>
          <w:iCs/>
        </w:rPr>
        <w:t>Appendix 4</w:t>
      </w:r>
      <w:r w:rsidRPr="00C432E9">
        <w:rPr>
          <w:iCs/>
        </w:rPr>
        <w:t>.  </w:t>
      </w:r>
    </w:p>
    <w:p w14:paraId="00036EBC" w14:textId="77777777" w:rsidR="00C432E9" w:rsidRPr="00C432E9" w:rsidRDefault="00C432E9" w:rsidP="00C432E9">
      <w:pPr>
        <w:pStyle w:val="NormalWeb"/>
      </w:pPr>
      <w:r w:rsidRPr="00C432E9">
        <w:rPr>
          <w:iCs/>
        </w:rPr>
        <w:t>Based on these reflections, the Committee is of the view that the biosecurity activities described by the Department as likely to be funded by the proposed Biosecurity Imports Levy appear to represent a mix of public, private and club goods.</w:t>
      </w:r>
    </w:p>
    <w:p w14:paraId="1EBBE134" w14:textId="77777777" w:rsidR="00C432E9" w:rsidRPr="00C432E9" w:rsidRDefault="00C432E9" w:rsidP="00C432E9">
      <w:pPr>
        <w:pStyle w:val="NormalWeb"/>
      </w:pPr>
      <w:r w:rsidRPr="00C432E9">
        <w:rPr>
          <w:iCs/>
        </w:rPr>
        <w:t>It is not clear to the Committee that it is necessarily efficient or equitable to seek to fund all of those activities through a selective levy applied to only some of the parties involved in triggering the need for biosecurity activities.</w:t>
      </w:r>
    </w:p>
    <w:p w14:paraId="28BB3AE2" w14:textId="77777777" w:rsidR="00C432E9" w:rsidRPr="00C432E9" w:rsidRDefault="00C432E9" w:rsidP="00C432E9">
      <w:pPr>
        <w:pStyle w:val="NormalWeb"/>
      </w:pPr>
      <w:r w:rsidRPr="00C432E9">
        <w:rPr>
          <w:iCs/>
        </w:rPr>
        <w:t>However, the Committee does accept that it would be efficient to charge the risk exacerbators or risk creators involved in the import chain for the biosecurity costs associated with their activities. Risk exacerbators are those whose actions create a negative externality or who put a positive externality at risk (The Treasury (New Zealand), 2002, p. 7). Charging risk exacerbators is simply the application of a Pigouvian (or corrective) tax that seeks to charge those creating a negative spillover for the damage they create. It is analogous to the application of the polluter pays principle.</w:t>
      </w:r>
    </w:p>
    <w:p w14:paraId="5B2EC75B" w14:textId="71B54FC9" w:rsidR="00C432E9" w:rsidRPr="00C432E9" w:rsidRDefault="00C432E9" w:rsidP="00C432E9">
      <w:r w:rsidRPr="00C432E9">
        <w:rPr>
          <w:iCs/>
        </w:rPr>
        <w:t xml:space="preserve">Further information is provided in </w:t>
      </w:r>
      <w:r w:rsidRPr="00201A28">
        <w:rPr>
          <w:b/>
          <w:iCs/>
        </w:rPr>
        <w:t>Appendix 4</w:t>
      </w:r>
      <w:r w:rsidR="00201A28">
        <w:rPr>
          <w:iCs/>
        </w:rPr>
        <w:t>.</w:t>
      </w:r>
    </w:p>
    <w:p w14:paraId="7B36BC04" w14:textId="36ED4762" w:rsidR="00704423" w:rsidRPr="00730314" w:rsidRDefault="00115B12" w:rsidP="00730314">
      <w:pPr>
        <w:pStyle w:val="Heading1"/>
      </w:pPr>
      <w:bookmarkStart w:id="21" w:name="_Toc10031887"/>
      <w:r>
        <w:t>5</w:t>
      </w:r>
      <w:r w:rsidR="00730314" w:rsidRPr="00730314">
        <w:t>.</w:t>
      </w:r>
      <w:r w:rsidR="00730314" w:rsidRPr="00730314">
        <w:tab/>
      </w:r>
      <w:r w:rsidR="00417F27">
        <w:t>A Framework for Assessing Options for a Biosecurity Levy</w:t>
      </w:r>
      <w:bookmarkEnd w:id="21"/>
    </w:p>
    <w:p w14:paraId="07896949" w14:textId="4E9CE235" w:rsidR="00730314" w:rsidRPr="00730314" w:rsidRDefault="00115B12" w:rsidP="00730314">
      <w:pPr>
        <w:pStyle w:val="Heading2"/>
      </w:pPr>
      <w:bookmarkStart w:id="22" w:name="_Toc10031888"/>
      <w:r>
        <w:t>5</w:t>
      </w:r>
      <w:r w:rsidR="00730314">
        <w:t>.1</w:t>
      </w:r>
      <w:r w:rsidR="00730314">
        <w:tab/>
        <w:t>Principles of Taxation</w:t>
      </w:r>
      <w:bookmarkEnd w:id="22"/>
    </w:p>
    <w:p w14:paraId="3D263989" w14:textId="35D7AC99" w:rsidR="00545E52" w:rsidRPr="004109D8" w:rsidRDefault="00545E52" w:rsidP="00545E52">
      <w:r w:rsidRPr="004109D8">
        <w:t>Taxation and government charges provide governments with the means to provide goods and services</w:t>
      </w:r>
      <w:r>
        <w:t xml:space="preserve"> and to redistribute income</w:t>
      </w:r>
      <w:r w:rsidRPr="004109D8">
        <w:t xml:space="preserve">. However, most taxes distort production and consumption decisions, causing inefficiencies in the allocation of resources, thereby imposing costs </w:t>
      </w:r>
      <w:r w:rsidR="00134398">
        <w:t>which may exceed</w:t>
      </w:r>
      <w:r w:rsidRPr="004109D8">
        <w:t xml:space="preserve"> the revenue raised. </w:t>
      </w:r>
    </w:p>
    <w:p w14:paraId="67ACFDE2" w14:textId="22AA6F72" w:rsidR="001B11B8" w:rsidRPr="00086D2F" w:rsidRDefault="001B11B8" w:rsidP="001B11B8">
      <w:r w:rsidRPr="00F07327">
        <w:t>The impact of taxes ha</w:t>
      </w:r>
      <w:r>
        <w:t>s</w:t>
      </w:r>
      <w:r w:rsidRPr="00F07327">
        <w:t xml:space="preserve"> prompted </w:t>
      </w:r>
      <w:r w:rsidR="00134398">
        <w:t>analysts</w:t>
      </w:r>
      <w:r w:rsidRPr="00F07327">
        <w:t xml:space="preserve"> to consider principles or criteria for design and assessment of taxation systems</w:t>
      </w:r>
      <w:r w:rsidRPr="00134398">
        <w:t xml:space="preserve">. </w:t>
      </w:r>
      <w:r w:rsidR="00134398">
        <w:t>I</w:t>
      </w:r>
      <w:r w:rsidR="00134398" w:rsidRPr="00134398">
        <w:t>n 1776</w:t>
      </w:r>
      <w:r w:rsidR="00134398">
        <w:t>, the celebrated</w:t>
      </w:r>
      <w:r w:rsidR="00134398" w:rsidRPr="00134398">
        <w:t xml:space="preserve"> </w:t>
      </w:r>
      <w:r w:rsidR="00134398">
        <w:t xml:space="preserve">economist/social philosopher </w:t>
      </w:r>
      <w:r w:rsidRPr="00134398">
        <w:t>Adam Smith</w:t>
      </w:r>
      <w:r w:rsidR="00134398">
        <w:t>, via a reprinted paper</w:t>
      </w:r>
      <w:r w:rsidRPr="00134398">
        <w:t xml:space="preserve"> </w:t>
      </w:r>
      <w:sdt>
        <w:sdtPr>
          <w:id w:val="78729499"/>
          <w:citation/>
        </w:sdtPr>
        <w:sdtEndPr/>
        <w:sdtContent>
          <w:r w:rsidRPr="00134398">
            <w:fldChar w:fldCharType="begin"/>
          </w:r>
          <w:r w:rsidRPr="00134398">
            <w:instrText xml:space="preserve">CITATION Smi61 \p 639-641 \n  \t  \l 5129 </w:instrText>
          </w:r>
          <w:r w:rsidRPr="00134398">
            <w:fldChar w:fldCharType="separate"/>
          </w:r>
          <w:r w:rsidR="00604A29" w:rsidRPr="00604A29">
            <w:rPr>
              <w:noProof/>
            </w:rPr>
            <w:t>(2007, pp. 639-641)</w:t>
          </w:r>
          <w:r w:rsidRPr="00134398">
            <w:fldChar w:fldCharType="end"/>
          </w:r>
        </w:sdtContent>
      </w:sdt>
      <w:r w:rsidR="00134398">
        <w:t>,</w:t>
      </w:r>
      <w:r w:rsidRPr="00134398">
        <w:t xml:space="preserve"> proposed four maxims of taxation which could be characterised as</w:t>
      </w:r>
      <w:r w:rsidR="00134398">
        <w:t>:</w:t>
      </w:r>
      <w:r w:rsidRPr="00134398">
        <w:t xml:space="preserve"> equity, certainty, convenience of payment and being economic of collection (or economic</w:t>
      </w:r>
      <w:r w:rsidR="00134398">
        <w:t>ally</w:t>
      </w:r>
      <w:r w:rsidRPr="00134398">
        <w:t xml:space="preserve"> </w:t>
      </w:r>
      <w:r w:rsidR="00134398">
        <w:t>efficient</w:t>
      </w:r>
      <w:r w:rsidRPr="00134398">
        <w:t>). Since then, economic and political analysts have refined these</w:t>
      </w:r>
      <w:r w:rsidR="00134398" w:rsidRPr="00134398">
        <w:t xml:space="preserve"> principles</w:t>
      </w:r>
      <w:r w:rsidRPr="00134398">
        <w:t xml:space="preserve"> to </w:t>
      </w:r>
      <w:r w:rsidR="00134398">
        <w:t>the point</w:t>
      </w:r>
      <w:r w:rsidRPr="00134398">
        <w:t xml:space="preserve"> that </w:t>
      </w:r>
      <w:r w:rsidR="00134398">
        <w:t xml:space="preserve">they </w:t>
      </w:r>
      <w:r w:rsidRPr="00134398">
        <w:t xml:space="preserve">have become widely accepted. </w:t>
      </w:r>
    </w:p>
    <w:p w14:paraId="28958FA0" w14:textId="413735D9" w:rsidR="00545E52" w:rsidRPr="00F07327" w:rsidRDefault="00A91A26" w:rsidP="00545E52">
      <w:r>
        <w:t>In an Australian context</w:t>
      </w:r>
      <w:r w:rsidR="00F06C17">
        <w:t>, t</w:t>
      </w:r>
      <w:r w:rsidR="00545E52">
        <w:t xml:space="preserve">he </w:t>
      </w:r>
      <w:r w:rsidR="00F06C17">
        <w:t>report</w:t>
      </w:r>
      <w:r w:rsidR="00545E52">
        <w:t xml:space="preserve"> entitled </w:t>
      </w:r>
      <w:r w:rsidR="00545E52" w:rsidRPr="009A0606">
        <w:rPr>
          <w:i/>
        </w:rPr>
        <w:t>Australia’s Future Tax System: Report to the Treasurer</w:t>
      </w:r>
      <w:r w:rsidR="00545E52">
        <w:rPr>
          <w:i/>
        </w:rPr>
        <w:t xml:space="preserve"> </w:t>
      </w:r>
      <w:sdt>
        <w:sdtPr>
          <w:id w:val="1619249599"/>
          <w:citation/>
        </w:sdtPr>
        <w:sdtEndPr/>
        <w:sdtContent>
          <w:r w:rsidR="00545E52">
            <w:fldChar w:fldCharType="begin"/>
          </w:r>
          <w:r w:rsidR="00545E52">
            <w:instrText xml:space="preserve">CITATION Hen0a \p 17 \t  \l 3081 </w:instrText>
          </w:r>
          <w:r w:rsidR="00545E52">
            <w:fldChar w:fldCharType="separate"/>
          </w:r>
          <w:r w:rsidR="00604A29">
            <w:rPr>
              <w:noProof/>
            </w:rPr>
            <w:t>(Henry, Harmer, Piggott, Ridout, &amp; Smith, 2009, p. 17)</w:t>
          </w:r>
          <w:r w:rsidR="00545E52">
            <w:fldChar w:fldCharType="end"/>
          </w:r>
        </w:sdtContent>
      </w:sdt>
      <w:r w:rsidR="00545E52" w:rsidRPr="0096170B">
        <w:rPr>
          <w:i/>
        </w:rPr>
        <w:t xml:space="preserve">, </w:t>
      </w:r>
      <w:r w:rsidR="00545E52">
        <w:t xml:space="preserve">more commonly known as the Henry Tax Review, outlined </w:t>
      </w:r>
      <w:r w:rsidR="00545E52" w:rsidRPr="00F07327">
        <w:t xml:space="preserve">the following </w:t>
      </w:r>
      <w:r w:rsidR="001533CA">
        <w:t xml:space="preserve">tax </w:t>
      </w:r>
      <w:r w:rsidR="00545E52" w:rsidRPr="00F07327">
        <w:t xml:space="preserve">design principles: </w:t>
      </w:r>
    </w:p>
    <w:p w14:paraId="0CB3A553" w14:textId="141204D2" w:rsidR="00545E52" w:rsidRPr="00F07327" w:rsidRDefault="00545E52" w:rsidP="00545E52">
      <w:pPr>
        <w:pStyle w:val="ListParagraph"/>
        <w:numPr>
          <w:ilvl w:val="0"/>
          <w:numId w:val="11"/>
        </w:numPr>
        <w:spacing w:before="0" w:after="160" w:line="259" w:lineRule="auto"/>
        <w:jc w:val="both"/>
      </w:pPr>
      <w:r>
        <w:t>E</w:t>
      </w:r>
      <w:r w:rsidRPr="00F07327">
        <w:t>quity</w:t>
      </w:r>
      <w:r w:rsidR="001222E8">
        <w:t xml:space="preserve"> (fairness)</w:t>
      </w:r>
    </w:p>
    <w:p w14:paraId="62DA1D78" w14:textId="77777777" w:rsidR="00545E52" w:rsidRPr="00F07327" w:rsidRDefault="00545E52" w:rsidP="00545E52">
      <w:pPr>
        <w:pStyle w:val="ListParagraph"/>
        <w:numPr>
          <w:ilvl w:val="0"/>
          <w:numId w:val="11"/>
        </w:numPr>
        <w:spacing w:before="0" w:after="160" w:line="259" w:lineRule="auto"/>
        <w:jc w:val="both"/>
      </w:pPr>
      <w:r>
        <w:t>Efficiency</w:t>
      </w:r>
    </w:p>
    <w:p w14:paraId="64A966E6" w14:textId="77777777" w:rsidR="00545E52" w:rsidRPr="00F07327" w:rsidRDefault="00545E52" w:rsidP="00545E52">
      <w:pPr>
        <w:pStyle w:val="ListParagraph"/>
        <w:numPr>
          <w:ilvl w:val="0"/>
          <w:numId w:val="11"/>
        </w:numPr>
        <w:spacing w:before="0" w:after="160" w:line="259" w:lineRule="auto"/>
        <w:jc w:val="both"/>
      </w:pPr>
      <w:r>
        <w:t>S</w:t>
      </w:r>
      <w:r w:rsidRPr="00F07327">
        <w:t>implicity</w:t>
      </w:r>
    </w:p>
    <w:p w14:paraId="51DD6B62" w14:textId="77777777" w:rsidR="00545E52" w:rsidRPr="00F07327" w:rsidRDefault="00545E52" w:rsidP="00545E52">
      <w:pPr>
        <w:pStyle w:val="ListParagraph"/>
        <w:numPr>
          <w:ilvl w:val="0"/>
          <w:numId w:val="11"/>
        </w:numPr>
        <w:spacing w:before="0" w:after="160" w:line="259" w:lineRule="auto"/>
        <w:jc w:val="both"/>
      </w:pPr>
      <w:r>
        <w:t>S</w:t>
      </w:r>
      <w:r w:rsidRPr="00F07327">
        <w:t>ustainability</w:t>
      </w:r>
    </w:p>
    <w:p w14:paraId="366D62AC" w14:textId="77777777" w:rsidR="00545E52" w:rsidRPr="00F07327" w:rsidRDefault="00545E52" w:rsidP="00545E52">
      <w:pPr>
        <w:pStyle w:val="ListParagraph"/>
        <w:numPr>
          <w:ilvl w:val="0"/>
          <w:numId w:val="11"/>
        </w:numPr>
        <w:spacing w:before="0" w:after="160" w:line="259" w:lineRule="auto"/>
        <w:jc w:val="both"/>
      </w:pPr>
      <w:r>
        <w:t>P</w:t>
      </w:r>
      <w:r w:rsidRPr="00F07327">
        <w:t>olicy consistency</w:t>
      </w:r>
      <w:r>
        <w:t xml:space="preserve">. </w:t>
      </w:r>
    </w:p>
    <w:p w14:paraId="4DF82104" w14:textId="736EAE57" w:rsidR="00545E52" w:rsidRPr="00353DA0" w:rsidRDefault="0000607C" w:rsidP="00D53710">
      <w:r>
        <w:t xml:space="preserve">The terms “equity” and “fairness” are often used synonymously in tax literature </w:t>
      </w:r>
      <w:sdt>
        <w:sdtPr>
          <w:id w:val="-1454786968"/>
          <w:citation/>
        </w:sdtPr>
        <w:sdtEndPr/>
        <w:sdtContent>
          <w:r w:rsidR="00D53710">
            <w:fldChar w:fldCharType="begin"/>
          </w:r>
          <w:r w:rsidR="00D53710">
            <w:instrText xml:space="preserve"> CITATION Woo89 \l 3081 </w:instrText>
          </w:r>
          <w:r w:rsidR="00D53710">
            <w:fldChar w:fldCharType="separate"/>
          </w:r>
          <w:r w:rsidR="00604A29">
            <w:rPr>
              <w:noProof/>
            </w:rPr>
            <w:t>(Woolery, 1989)</w:t>
          </w:r>
          <w:r w:rsidR="00D53710">
            <w:fldChar w:fldCharType="end"/>
          </w:r>
        </w:sdtContent>
      </w:sdt>
      <w:r>
        <w:t>.</w:t>
      </w:r>
      <w:r w:rsidR="00D53710">
        <w:t xml:space="preserve"> </w:t>
      </w:r>
      <w:r w:rsidR="00545E52">
        <w:t>E</w:t>
      </w:r>
      <w:r w:rsidR="00545E52" w:rsidRPr="00353DA0">
        <w:t xml:space="preserve">quity </w:t>
      </w:r>
      <w:r w:rsidR="00492801">
        <w:t>has</w:t>
      </w:r>
      <w:r w:rsidR="00545E52" w:rsidRPr="00353DA0">
        <w:t xml:space="preserve"> two dimensions:</w:t>
      </w:r>
    </w:p>
    <w:p w14:paraId="596EEC7D" w14:textId="0378F3F7" w:rsidR="00DE0640" w:rsidRPr="00F06C17" w:rsidRDefault="00545E52" w:rsidP="00054E1C">
      <w:pPr>
        <w:pStyle w:val="ListParagraph"/>
        <w:numPr>
          <w:ilvl w:val="0"/>
          <w:numId w:val="12"/>
        </w:numPr>
        <w:spacing w:before="0" w:after="160" w:line="259" w:lineRule="auto"/>
      </w:pPr>
      <w:r w:rsidRPr="00F06C17">
        <w:t>Horizontal</w:t>
      </w:r>
      <w:r w:rsidR="001533CA">
        <w:t xml:space="preserve"> </w:t>
      </w:r>
      <w:r w:rsidRPr="00F06C17">
        <w:t xml:space="preserve">– </w:t>
      </w:r>
      <w:r w:rsidR="007751ED" w:rsidRPr="00F06C17">
        <w:t>refers to people in similar circumstances being treated in a similar way</w:t>
      </w:r>
      <w:r w:rsidR="001C719C" w:rsidRPr="00F06C17">
        <w:t xml:space="preserve"> </w:t>
      </w:r>
      <w:sdt>
        <w:sdtPr>
          <w:id w:val="1343587852"/>
          <w:citation/>
        </w:sdtPr>
        <w:sdtEndPr/>
        <w:sdtContent>
          <w:r w:rsidR="00924779" w:rsidRPr="00F06C17">
            <w:fldChar w:fldCharType="begin"/>
          </w:r>
          <w:r w:rsidR="00924779" w:rsidRPr="00F06C17">
            <w:instrText xml:space="preserve">CITATION Hen0a \p 173 \t  \l 3081 </w:instrText>
          </w:r>
          <w:r w:rsidR="00924779" w:rsidRPr="00F06C17">
            <w:fldChar w:fldCharType="separate"/>
          </w:r>
          <w:r w:rsidR="00604A29">
            <w:rPr>
              <w:noProof/>
            </w:rPr>
            <w:t>(Henry, Harmer, Piggott, Ridout, &amp; Smith, 2009, p. 173)</w:t>
          </w:r>
          <w:r w:rsidR="00924779" w:rsidRPr="00F06C17">
            <w:fldChar w:fldCharType="end"/>
          </w:r>
        </w:sdtContent>
      </w:sdt>
      <w:r w:rsidR="00F06C17">
        <w:t>, or</w:t>
      </w:r>
      <w:r w:rsidR="007329FC" w:rsidRPr="00F06C17">
        <w:t xml:space="preserve"> </w:t>
      </w:r>
      <w:sdt>
        <w:sdtPr>
          <w:id w:val="827026364"/>
          <w:citation/>
        </w:sdtPr>
        <w:sdtEndPr/>
        <w:sdtContent>
          <w:r w:rsidR="006E00B1" w:rsidRPr="00F06C17">
            <w:fldChar w:fldCharType="begin"/>
          </w:r>
          <w:r w:rsidR="006E00B1" w:rsidRPr="00F06C17">
            <w:instrText xml:space="preserve">CITATION Atk80 \p 353 \t  \l 3081 </w:instrText>
          </w:r>
          <w:r w:rsidR="006E00B1" w:rsidRPr="00F06C17">
            <w:fldChar w:fldCharType="separate"/>
          </w:r>
          <w:r w:rsidR="00604A29">
            <w:rPr>
              <w:noProof/>
            </w:rPr>
            <w:t>(Atkinson &amp; Stiglitz, 1980, p. 353)</w:t>
          </w:r>
          <w:r w:rsidR="006E00B1" w:rsidRPr="00F06C17">
            <w:fldChar w:fldCharType="end"/>
          </w:r>
        </w:sdtContent>
      </w:sdt>
    </w:p>
    <w:p w14:paraId="7F4E1875" w14:textId="6285D40A" w:rsidR="000544FE" w:rsidRPr="00F06C17" w:rsidRDefault="00545E52" w:rsidP="000544FE">
      <w:pPr>
        <w:pStyle w:val="ListParagraph"/>
        <w:numPr>
          <w:ilvl w:val="0"/>
          <w:numId w:val="12"/>
        </w:numPr>
        <w:spacing w:before="0" w:after="160" w:line="259" w:lineRule="auto"/>
      </w:pPr>
      <w:r w:rsidRPr="00F06C17">
        <w:t>Vertical</w:t>
      </w:r>
      <w:r w:rsidR="001533CA">
        <w:t xml:space="preserve"> </w:t>
      </w:r>
      <w:r w:rsidRPr="00F06C17">
        <w:t xml:space="preserve">– </w:t>
      </w:r>
      <w:r w:rsidR="00A91A26">
        <w:t>refers to pe</w:t>
      </w:r>
      <w:r w:rsidR="00F06C17">
        <w:t>ople</w:t>
      </w:r>
      <w:r w:rsidR="000544FE" w:rsidRPr="00F06C17">
        <w:t xml:space="preserve"> with greater economic capacity </w:t>
      </w:r>
      <w:r w:rsidR="00F06C17">
        <w:t>being asked to shoulder</w:t>
      </w:r>
      <w:r w:rsidR="000544FE" w:rsidRPr="00F06C17">
        <w:t xml:space="preserve"> a higher tax burden </w:t>
      </w:r>
      <w:sdt>
        <w:sdtPr>
          <w:id w:val="354000133"/>
          <w:citation/>
        </w:sdtPr>
        <w:sdtEndPr/>
        <w:sdtContent>
          <w:r w:rsidR="006A20FD" w:rsidRPr="00F06C17">
            <w:fldChar w:fldCharType="begin"/>
          </w:r>
          <w:r w:rsidR="00234581" w:rsidRPr="00F06C17">
            <w:instrText xml:space="preserve">CITATION Hen0a \p 177 \t  \l 3081 </w:instrText>
          </w:r>
          <w:r w:rsidR="006A20FD" w:rsidRPr="00F06C17">
            <w:fldChar w:fldCharType="separate"/>
          </w:r>
          <w:r w:rsidR="00604A29">
            <w:rPr>
              <w:noProof/>
            </w:rPr>
            <w:t>(Henry, Harmer, Piggott, Ridout, &amp; Smith, 2009, p. 177)</w:t>
          </w:r>
          <w:r w:rsidR="006A20FD" w:rsidRPr="00F06C17">
            <w:fldChar w:fldCharType="end"/>
          </w:r>
        </w:sdtContent>
      </w:sdt>
      <w:r w:rsidR="00234581" w:rsidRPr="00F06C17">
        <w:t>.</w:t>
      </w:r>
      <w:r w:rsidR="007660E1" w:rsidRPr="00F06C17">
        <w:t xml:space="preserve"> </w:t>
      </w:r>
    </w:p>
    <w:p w14:paraId="006481D4" w14:textId="21DDBE7E" w:rsidR="00545E52" w:rsidRDefault="00545E52" w:rsidP="00545E52">
      <w:pPr>
        <w:jc w:val="both"/>
      </w:pPr>
      <w:r>
        <w:t xml:space="preserve">Allocative efficiency </w:t>
      </w:r>
      <w:r w:rsidR="00F06C17">
        <w:t>occurs when</w:t>
      </w:r>
      <w:r>
        <w:t xml:space="preserve"> resources used to produce a set of goods and services are allocated to their highest valued uses </w:t>
      </w:r>
      <w:sdt>
        <w:sdtPr>
          <w:id w:val="19634970"/>
          <w:citation/>
        </w:sdtPr>
        <w:sdtEndPr/>
        <w:sdtContent>
          <w:r>
            <w:fldChar w:fldCharType="begin"/>
          </w:r>
          <w:r>
            <w:rPr>
              <w:lang w:val="en-US"/>
            </w:rPr>
            <w:instrText xml:space="preserve"> CITATION Hil93 \p 4 \l 1033  </w:instrText>
          </w:r>
          <w:r>
            <w:fldChar w:fldCharType="separate"/>
          </w:r>
          <w:r w:rsidR="00604A29">
            <w:rPr>
              <w:noProof/>
              <w:lang w:val="en-US"/>
            </w:rPr>
            <w:t>(Hilmer, Rayner, &amp; Taperell, 1993, p. 4)</w:t>
          </w:r>
          <w:r>
            <w:fldChar w:fldCharType="end"/>
          </w:r>
        </w:sdtContent>
      </w:sdt>
      <w:r>
        <w:t xml:space="preserve">. </w:t>
      </w:r>
      <w:r w:rsidR="001533CA">
        <w:t>This is important</w:t>
      </w:r>
      <w:r w:rsidRPr="00F060F0">
        <w:t xml:space="preserve"> because resource misallocation lead</w:t>
      </w:r>
      <w:r w:rsidR="00F06C17">
        <w:t>s</w:t>
      </w:r>
      <w:r w:rsidRPr="00F060F0">
        <w:t xml:space="preserve"> to reduced income growth for society at the aggregate level. </w:t>
      </w:r>
    </w:p>
    <w:p w14:paraId="2AD53F77" w14:textId="360F1FC6" w:rsidR="00545E52" w:rsidRDefault="00545E52" w:rsidP="00545E52">
      <w:r w:rsidRPr="00F060F0">
        <w:t xml:space="preserve">Taxes </w:t>
      </w:r>
      <w:r w:rsidR="001533CA">
        <w:t>inevitably</w:t>
      </w:r>
      <w:r w:rsidRPr="00F060F0">
        <w:t xml:space="preserve"> distort consumption because they change relative prices within the economy. The excess burden of taxation </w:t>
      </w:r>
      <w:r>
        <w:t>(or deadweight loss)</w:t>
      </w:r>
      <w:r w:rsidR="00A91A26">
        <w:t>, as</w:t>
      </w:r>
      <w:r>
        <w:t xml:space="preserve"> </w:t>
      </w:r>
      <w:r w:rsidRPr="00F060F0">
        <w:t>taxpayers make substitutions to ameliorate the impact of a tax</w:t>
      </w:r>
      <w:r w:rsidR="00A91A26">
        <w:t>,</w:t>
      </w:r>
      <w:r w:rsidRPr="00F060F0">
        <w:t xml:space="preserve"> </w:t>
      </w:r>
      <w:r w:rsidRPr="004109D8">
        <w:t>represents lost value to consumers and producers</w:t>
      </w:r>
      <w:r w:rsidR="00F06C17">
        <w:t>,</w:t>
      </w:r>
      <w:r w:rsidRPr="004109D8">
        <w:t xml:space="preserve"> not </w:t>
      </w:r>
      <w:r>
        <w:t xml:space="preserve">captured by an increase in government revenue. </w:t>
      </w:r>
    </w:p>
    <w:p w14:paraId="51F07A78" w14:textId="0BD82E57" w:rsidR="00545E52" w:rsidRDefault="00545E52" w:rsidP="00545E52">
      <w:pPr>
        <w:jc w:val="both"/>
      </w:pPr>
      <w:r>
        <w:t xml:space="preserve">Simplicity requires the tax system to be easy to understand and </w:t>
      </w:r>
      <w:r w:rsidR="00954F7B">
        <w:t>straightforward</w:t>
      </w:r>
      <w:r>
        <w:t xml:space="preserve"> to comply with </w:t>
      </w:r>
      <w:sdt>
        <w:sdtPr>
          <w:id w:val="-1996564365"/>
          <w:citation/>
        </w:sdtPr>
        <w:sdtEndPr/>
        <w:sdtContent>
          <w:r>
            <w:fldChar w:fldCharType="begin"/>
          </w:r>
          <w:r>
            <w:instrText xml:space="preserve">CITATION Hen0a \p 17 \t  \l 3081 </w:instrText>
          </w:r>
          <w:r>
            <w:fldChar w:fldCharType="separate"/>
          </w:r>
          <w:r w:rsidR="00604A29">
            <w:rPr>
              <w:noProof/>
            </w:rPr>
            <w:t>(Henry, Harmer, Piggott, Ridout, &amp; Smith, 2009, p. 17)</w:t>
          </w:r>
          <w:r>
            <w:fldChar w:fldCharType="end"/>
          </w:r>
        </w:sdtContent>
      </w:sdt>
      <w:r>
        <w:t xml:space="preserve">. </w:t>
      </w:r>
    </w:p>
    <w:p w14:paraId="11972557" w14:textId="502CF4AF" w:rsidR="00545E52" w:rsidRDefault="00954F7B" w:rsidP="00545E52">
      <w:r>
        <w:t>Sustainability</w:t>
      </w:r>
      <w:r w:rsidR="00545E52" w:rsidRPr="00F07327">
        <w:t xml:space="preserve"> </w:t>
      </w:r>
      <w:r w:rsidR="00545E52" w:rsidRPr="00F07327">
        <w:rPr>
          <w:rFonts w:eastAsia="Malgun Gothic"/>
        </w:rPr>
        <w:t>reflects the basic purpose of taxation and government charges, which is to provide resources for government programs and to redistribute income</w:t>
      </w:r>
      <w:r w:rsidR="00545E52" w:rsidRPr="00F07327">
        <w:t xml:space="preserve">. Sustainability also </w:t>
      </w:r>
      <w:r>
        <w:t>requires</w:t>
      </w:r>
      <w:r w:rsidR="00545E52" w:rsidRPr="00F07327">
        <w:t xml:space="preserve"> that the structural features be durabl</w:t>
      </w:r>
      <w:r w:rsidR="00A91A26">
        <w:t>e in a changing policy context</w:t>
      </w:r>
      <w:r w:rsidR="005D5581">
        <w:t xml:space="preserve"> </w:t>
      </w:r>
      <w:sdt>
        <w:sdtPr>
          <w:id w:val="4382286"/>
          <w:citation/>
        </w:sdtPr>
        <w:sdtEndPr/>
        <w:sdtContent>
          <w:r w:rsidR="00545E52" w:rsidRPr="00F07327">
            <w:fldChar w:fldCharType="begin"/>
          </w:r>
          <w:r w:rsidR="00545E52">
            <w:instrText xml:space="preserve">CITATION Hen0a \p 17 \t  \l 5129 </w:instrText>
          </w:r>
          <w:r w:rsidR="00545E52" w:rsidRPr="00F07327">
            <w:fldChar w:fldCharType="separate"/>
          </w:r>
          <w:r w:rsidR="00604A29" w:rsidRPr="00604A29">
            <w:rPr>
              <w:noProof/>
            </w:rPr>
            <w:t>(Henry, Harmer, Piggott, Ridout, &amp; Smith, 2009, p. 17)</w:t>
          </w:r>
          <w:r w:rsidR="00545E52" w:rsidRPr="00F07327">
            <w:fldChar w:fldCharType="end"/>
          </w:r>
        </w:sdtContent>
      </w:sdt>
      <w:r w:rsidR="00545E52" w:rsidRPr="00F07327">
        <w:t>.</w:t>
      </w:r>
    </w:p>
    <w:p w14:paraId="6E80229D" w14:textId="74C8BEFE" w:rsidR="00545E52" w:rsidRDefault="00545E52" w:rsidP="00545E52">
      <w:r>
        <w:t xml:space="preserve">The fifth principle, policy consistency, refers to tax policy being internally consistent, with the adoption of rules in one part of the tax </w:t>
      </w:r>
      <w:r w:rsidR="00673541">
        <w:t xml:space="preserve">system </w:t>
      </w:r>
      <w:r>
        <w:t xml:space="preserve">not contradicting rules in another part </w:t>
      </w:r>
      <w:sdt>
        <w:sdtPr>
          <w:id w:val="1687049"/>
          <w:citation/>
        </w:sdtPr>
        <w:sdtEndPr/>
        <w:sdtContent>
          <w:r>
            <w:fldChar w:fldCharType="begin"/>
          </w:r>
          <w:r>
            <w:instrText xml:space="preserve">CITATION Hen0a \p 17 \t  \l 5129 </w:instrText>
          </w:r>
          <w:r>
            <w:fldChar w:fldCharType="separate"/>
          </w:r>
          <w:r w:rsidR="00604A29" w:rsidRPr="00604A29">
            <w:rPr>
              <w:noProof/>
            </w:rPr>
            <w:t>(Henry, Harmer, Piggott, Ridout, &amp; Smith, 2009, p. 17)</w:t>
          </w:r>
          <w:r>
            <w:rPr>
              <w:noProof/>
            </w:rPr>
            <w:fldChar w:fldCharType="end"/>
          </w:r>
        </w:sdtContent>
      </w:sdt>
      <w:r>
        <w:t>.</w:t>
      </w:r>
    </w:p>
    <w:p w14:paraId="44BCE116" w14:textId="0B701AFD" w:rsidR="00545E52" w:rsidRDefault="00545E52" w:rsidP="00545E52">
      <w:r>
        <w:t xml:space="preserve">The Henry Tax Review </w:t>
      </w:r>
      <w:r w:rsidR="001533CA">
        <w:t>proceeded from the premise</w:t>
      </w:r>
      <w:r>
        <w:t xml:space="preserve"> that raising revenue from taxes should be broadly based and avoid as much as possible distorting individuals’ choices</w:t>
      </w:r>
      <w:r w:rsidR="00954F7B">
        <w:t>. The</w:t>
      </w:r>
      <w:r>
        <w:t xml:space="preserve"> exception </w:t>
      </w:r>
      <w:r w:rsidR="00954F7B">
        <w:t>to this rule are</w:t>
      </w:r>
      <w:r>
        <w:t xml:space="preserve"> taxes </w:t>
      </w:r>
      <w:r w:rsidR="00954F7B">
        <w:t>explicitly</w:t>
      </w:r>
      <w:r>
        <w:t xml:space="preserve"> targeted towards correcting market failures (e</w:t>
      </w:r>
      <w:r w:rsidR="00C10998">
        <w:t>.</w:t>
      </w:r>
      <w:r>
        <w:t>g</w:t>
      </w:r>
      <w:r w:rsidR="00C10998">
        <w:t>.</w:t>
      </w:r>
      <w:r>
        <w:t xml:space="preserve"> environmental costs). In relation to those exceptions, the Henry Tax Review observed:</w:t>
      </w:r>
    </w:p>
    <w:p w14:paraId="1D13F32B" w14:textId="6DC4D86B" w:rsidR="00545E52" w:rsidRDefault="00545E52" w:rsidP="00545E52">
      <w:pPr>
        <w:pStyle w:val="Quote"/>
      </w:pPr>
      <w:r>
        <w:t xml:space="preserve">Other taxes should be maintained only if they efficiently address social or economic costs – such as taxes on tobacco, alcohol, gambling and environmental costs, and efficient road user taxes or charges. </w:t>
      </w:r>
      <w:sdt>
        <w:sdtPr>
          <w:id w:val="-1794283931"/>
          <w:citation/>
        </w:sdtPr>
        <w:sdtEndPr/>
        <w:sdtContent>
          <w:r>
            <w:fldChar w:fldCharType="begin"/>
          </w:r>
          <w:r>
            <w:instrText xml:space="preserve">CITATION Hen0a \p xviii \t  \l 3081 </w:instrText>
          </w:r>
          <w:r>
            <w:fldChar w:fldCharType="separate"/>
          </w:r>
          <w:r w:rsidR="00604A29">
            <w:rPr>
              <w:noProof/>
            </w:rPr>
            <w:t>(Henry, Harmer, Piggott, Ridout, &amp; Smith, 2009, p. xviii)</w:t>
          </w:r>
          <w:r>
            <w:fldChar w:fldCharType="end"/>
          </w:r>
        </w:sdtContent>
      </w:sdt>
    </w:p>
    <w:p w14:paraId="6C157343" w14:textId="6CB9D765" w:rsidR="005D14D2" w:rsidRDefault="00C7761D" w:rsidP="00B72182">
      <w:r w:rsidRPr="00954F7B">
        <w:t xml:space="preserve">In particular, the Henry Tax Review </w:t>
      </w:r>
      <w:r w:rsidR="00261A5F" w:rsidRPr="00954F7B">
        <w:t xml:space="preserve">highlighted the need for specific taxes </w:t>
      </w:r>
      <w:r w:rsidR="00287A5D" w:rsidRPr="00954F7B">
        <w:t>to improve market or social outcomes by addressing spillover costs</w:t>
      </w:r>
      <w:r w:rsidR="0024137F" w:rsidRPr="00954F7B">
        <w:t xml:space="preserve"> </w:t>
      </w:r>
      <w:sdt>
        <w:sdtPr>
          <w:id w:val="2095889218"/>
          <w:citation/>
        </w:sdtPr>
        <w:sdtEndPr/>
        <w:sdtContent>
          <w:r w:rsidR="0024137F" w:rsidRPr="00954F7B">
            <w:fldChar w:fldCharType="begin"/>
          </w:r>
          <w:r w:rsidR="00154993" w:rsidRPr="00954F7B">
            <w:instrText xml:space="preserve">CITATION Hen0a \p 53 \t  \l 3081 </w:instrText>
          </w:r>
          <w:r w:rsidR="0024137F" w:rsidRPr="00954F7B">
            <w:fldChar w:fldCharType="separate"/>
          </w:r>
          <w:r w:rsidR="00604A29">
            <w:rPr>
              <w:noProof/>
            </w:rPr>
            <w:t>(Henry, Harmer, Piggott, Ridout, &amp; Smith, 2009, p. 53)</w:t>
          </w:r>
          <w:r w:rsidR="0024137F" w:rsidRPr="00954F7B">
            <w:fldChar w:fldCharType="end"/>
          </w:r>
        </w:sdtContent>
      </w:sdt>
      <w:r w:rsidR="008D6B05" w:rsidRPr="00954F7B">
        <w:t>.</w:t>
      </w:r>
      <w:r w:rsidR="00154993" w:rsidRPr="00954F7B">
        <w:t xml:space="preserve"> </w:t>
      </w:r>
    </w:p>
    <w:p w14:paraId="58C69E3B" w14:textId="5CD22134" w:rsidR="00E95C66" w:rsidRDefault="00115B12" w:rsidP="00E95C66">
      <w:pPr>
        <w:pStyle w:val="Heading2"/>
      </w:pPr>
      <w:bookmarkStart w:id="23" w:name="_Toc10031889"/>
      <w:r>
        <w:t>5</w:t>
      </w:r>
      <w:r w:rsidR="00E95C66" w:rsidRPr="00954F7B">
        <w:t>.</w:t>
      </w:r>
      <w:r w:rsidR="00A62E4B" w:rsidRPr="00954F7B">
        <w:t>2</w:t>
      </w:r>
      <w:r w:rsidR="00E95C66" w:rsidRPr="00954F7B">
        <w:tab/>
      </w:r>
      <w:r w:rsidR="00A62E4B" w:rsidRPr="00954F7B">
        <w:t>Ch</w:t>
      </w:r>
      <w:r w:rsidR="00E95C66" w:rsidRPr="00954F7B">
        <w:t>arg</w:t>
      </w:r>
      <w:r w:rsidR="00957956" w:rsidRPr="00954F7B">
        <w:t>ing</w:t>
      </w:r>
      <w:r w:rsidR="00E95C66" w:rsidRPr="00954F7B">
        <w:t xml:space="preserve"> Risk </w:t>
      </w:r>
      <w:r w:rsidR="004D5AC0">
        <w:t xml:space="preserve">Creators and </w:t>
      </w:r>
      <w:r w:rsidR="00E95C66" w:rsidRPr="00954F7B">
        <w:t>Exacerbators</w:t>
      </w:r>
      <w:bookmarkEnd w:id="23"/>
    </w:p>
    <w:p w14:paraId="7229BE56" w14:textId="3D7F6AD3" w:rsidR="00C93DB8" w:rsidRDefault="00C93DB8" w:rsidP="00C93DB8">
      <w:r>
        <w:t xml:space="preserve">The Committee accepts there is merit in risk </w:t>
      </w:r>
      <w:r w:rsidR="004D5AC0">
        <w:t xml:space="preserve">creators and </w:t>
      </w:r>
      <w:r>
        <w:t>exacerbators pay</w:t>
      </w:r>
      <w:r w:rsidR="00DA24BF">
        <w:t>ing</w:t>
      </w:r>
      <w:r>
        <w:t xml:space="preserve"> for biosecurity services </w:t>
      </w:r>
      <w:r w:rsidR="00954F7B">
        <w:t>which</w:t>
      </w:r>
      <w:r>
        <w:t xml:space="preserve"> mitigate the effects of the risks created or exacerbated by </w:t>
      </w:r>
      <w:r w:rsidR="006C2D2E">
        <w:t>them</w:t>
      </w:r>
      <w:r>
        <w:t xml:space="preserve">. This </w:t>
      </w:r>
      <w:r w:rsidR="00954F7B">
        <w:t>aligns</w:t>
      </w:r>
      <w:r>
        <w:t xml:space="preserve"> w</w:t>
      </w:r>
      <w:r w:rsidR="00954F7B">
        <w:t>ith the sentiment expressed by the G</w:t>
      </w:r>
      <w:r>
        <w:t>overnment</w:t>
      </w:r>
      <w:r w:rsidR="00954F7B">
        <w:t xml:space="preserve"> in proposing the levy</w:t>
      </w:r>
      <w:r>
        <w:t xml:space="preserve"> and the overwhelming majority of submissions received by the Committee.</w:t>
      </w:r>
    </w:p>
    <w:p w14:paraId="4AE09888" w14:textId="59E56E1C" w:rsidR="00CB4328" w:rsidRDefault="00954F7B" w:rsidP="00CB4328">
      <w:r>
        <w:t>T</w:t>
      </w:r>
      <w:r w:rsidR="00CB4328">
        <w:t xml:space="preserve">he Committee has taken account of the </w:t>
      </w:r>
      <w:r w:rsidR="006E1366">
        <w:t xml:space="preserve">then </w:t>
      </w:r>
      <w:r w:rsidR="00CB4328">
        <w:t>Minister</w:t>
      </w:r>
      <w:r>
        <w:t>’s</w:t>
      </w:r>
      <w:r w:rsidR="00CB4328">
        <w:t xml:space="preserve"> public statements regarding the intended purpose of the levy</w:t>
      </w:r>
      <w:r>
        <w:t>, which also form part of</w:t>
      </w:r>
      <w:r w:rsidR="00CB4328">
        <w:t xml:space="preserve"> </w:t>
      </w:r>
      <w:r>
        <w:t xml:space="preserve">the Committee’s </w:t>
      </w:r>
      <w:r w:rsidR="00CB4328">
        <w:t xml:space="preserve">terms of reference. </w:t>
      </w:r>
      <w:r w:rsidR="0001779A">
        <w:t>For example,</w:t>
      </w:r>
      <w:r w:rsidR="00CB4328">
        <w:t xml:space="preserve"> the </w:t>
      </w:r>
      <w:r w:rsidR="006E1366">
        <w:t xml:space="preserve">then </w:t>
      </w:r>
      <w:r w:rsidR="00CB4328">
        <w:t xml:space="preserve">Minister </w:t>
      </w:r>
      <w:r w:rsidR="0001779A">
        <w:t>said</w:t>
      </w:r>
      <w:r w:rsidR="00CB4328">
        <w:t>:</w:t>
      </w:r>
    </w:p>
    <w:p w14:paraId="2548830F" w14:textId="0142E4AD" w:rsidR="00CB4328" w:rsidRDefault="00CB4328" w:rsidP="00CB4328">
      <w:pPr>
        <w:pStyle w:val="Quote"/>
      </w:pPr>
      <w:r>
        <w:rPr>
          <w:shd w:val="clear" w:color="auto" w:fill="FFFFFF"/>
        </w:rPr>
        <w:t>Those creating biosecurity risk should contribute fairly to addressing that risk, remembering pests and diseases arrive on the hulls and decks of ships and not just in the imported product itself.</w:t>
      </w:r>
      <w:r w:rsidR="00673541">
        <w:rPr>
          <w:shd w:val="clear" w:color="auto" w:fill="FFFFFF"/>
        </w:rPr>
        <w:t xml:space="preserve"> </w:t>
      </w:r>
      <w:sdt>
        <w:sdtPr>
          <w:rPr>
            <w:shd w:val="clear" w:color="auto" w:fill="FFFFFF"/>
          </w:rPr>
          <w:id w:val="-696691046"/>
          <w:citation/>
        </w:sdtPr>
        <w:sdtEndPr/>
        <w:sdtContent>
          <w:r w:rsidR="00673541">
            <w:rPr>
              <w:shd w:val="clear" w:color="auto" w:fill="FFFFFF"/>
            </w:rPr>
            <w:fldChar w:fldCharType="begin"/>
          </w:r>
          <w:r w:rsidR="00673541">
            <w:rPr>
              <w:shd w:val="clear" w:color="auto" w:fill="FFFFFF"/>
            </w:rPr>
            <w:instrText xml:space="preserve">CITATION Lit9a \t  \l 3081 </w:instrText>
          </w:r>
          <w:r w:rsidR="00673541">
            <w:rPr>
              <w:shd w:val="clear" w:color="auto" w:fill="FFFFFF"/>
            </w:rPr>
            <w:fldChar w:fldCharType="separate"/>
          </w:r>
          <w:r w:rsidR="00604A29" w:rsidRPr="00604A29">
            <w:rPr>
              <w:noProof/>
              <w:shd w:val="clear" w:color="auto" w:fill="FFFFFF"/>
            </w:rPr>
            <w:t>(Littleproud, 2019a)</w:t>
          </w:r>
          <w:r w:rsidR="00673541">
            <w:rPr>
              <w:shd w:val="clear" w:color="auto" w:fill="FFFFFF"/>
            </w:rPr>
            <w:fldChar w:fldCharType="end"/>
          </w:r>
        </w:sdtContent>
      </w:sdt>
      <w:r>
        <w:rPr>
          <w:shd w:val="clear" w:color="auto" w:fill="FFFFFF"/>
        </w:rPr>
        <w:t> </w:t>
      </w:r>
    </w:p>
    <w:p w14:paraId="69D8A546" w14:textId="77777777" w:rsidR="00CB4328" w:rsidRDefault="00CB4328" w:rsidP="00CB4328">
      <w:r>
        <w:t>The terms of reference direct the Committee to have regard to:</w:t>
      </w:r>
    </w:p>
    <w:p w14:paraId="37494B91" w14:textId="5C31F3D2" w:rsidR="00CB4328" w:rsidRPr="008030A9" w:rsidRDefault="00CB4328" w:rsidP="00CB4328">
      <w:pPr>
        <w:pStyle w:val="Quote"/>
      </w:pPr>
      <w:r w:rsidRPr="008030A9">
        <w:t>processes of importing that might raise biosecurity risks</w:t>
      </w:r>
      <w:r w:rsidR="00DA24BF">
        <w:t>.</w:t>
      </w:r>
    </w:p>
    <w:p w14:paraId="11E4CB0D" w14:textId="097A10CF" w:rsidR="00CB4328" w:rsidRDefault="00DA24BF" w:rsidP="00CB4328">
      <w:r>
        <w:t>Similar</w:t>
      </w:r>
      <w:r w:rsidR="00CB4328">
        <w:t xml:space="preserve"> comment</w:t>
      </w:r>
      <w:r w:rsidR="00954F7B">
        <w:t xml:space="preserve">s </w:t>
      </w:r>
      <w:r>
        <w:t xml:space="preserve">have been </w:t>
      </w:r>
      <w:r w:rsidR="00954F7B">
        <w:t>made</w:t>
      </w:r>
      <w:r w:rsidR="00CB4328">
        <w:t xml:space="preserve"> by </w:t>
      </w:r>
      <w:r>
        <w:t>the Department</w:t>
      </w:r>
      <w:r w:rsidR="00CB4328">
        <w:t>:</w:t>
      </w:r>
    </w:p>
    <w:p w14:paraId="114E6F3E" w14:textId="0F9E7040" w:rsidR="00CB4328" w:rsidRDefault="00CB4328" w:rsidP="00CB4328">
      <w:pPr>
        <w:pStyle w:val="Quote"/>
      </w:pPr>
      <w:r>
        <w:t xml:space="preserve">The Levy targets the risks associated with a key pathway for the transmission of harmful pests and diseases into Australia - vessels and containers carrying imported goods into Australia by sea. </w:t>
      </w:r>
      <w:sdt>
        <w:sdtPr>
          <w:id w:val="922139284"/>
          <w:citation/>
        </w:sdtPr>
        <w:sdtEndPr/>
        <w:sdtContent>
          <w:r>
            <w:fldChar w:fldCharType="begin"/>
          </w:r>
          <w:r>
            <w:instrText xml:space="preserve"> CITATION Dep8a \l 3081 </w:instrText>
          </w:r>
          <w:r>
            <w:fldChar w:fldCharType="separate"/>
          </w:r>
          <w:r w:rsidR="00604A29">
            <w:rPr>
              <w:noProof/>
            </w:rPr>
            <w:t>(Department of Agriculture and Water Resources, 2018c)</w:t>
          </w:r>
          <w:r>
            <w:fldChar w:fldCharType="end"/>
          </w:r>
        </w:sdtContent>
      </w:sdt>
    </w:p>
    <w:p w14:paraId="090E55E0" w14:textId="244EBF23" w:rsidR="00CB4328" w:rsidRDefault="00CB4328" w:rsidP="00CB4328">
      <w:pPr>
        <w:pStyle w:val="Quote"/>
      </w:pPr>
      <w:r w:rsidRPr="007E7B5C">
        <w:t>The rationale underpinning the levy specifies that all movements of vessels, containers and goods are a potential source of biosecurity risk.</w:t>
      </w:r>
      <w:r>
        <w:t xml:space="preserve"> </w:t>
      </w:r>
      <w:sdt>
        <w:sdtPr>
          <w:id w:val="-970356088"/>
          <w:citation/>
        </w:sdtPr>
        <w:sdtEndPr/>
        <w:sdtContent>
          <w:r>
            <w:fldChar w:fldCharType="begin"/>
          </w:r>
          <w:r w:rsidR="00551AC5">
            <w:instrText xml:space="preserve">CITATION Dep9a \l 3081 </w:instrText>
          </w:r>
          <w:r>
            <w:fldChar w:fldCharType="separate"/>
          </w:r>
          <w:r w:rsidR="00604A29">
            <w:rPr>
              <w:noProof/>
            </w:rPr>
            <w:t>(Department of Agriculture and Water Resources, 2019a)</w:t>
          </w:r>
          <w:r>
            <w:fldChar w:fldCharType="end"/>
          </w:r>
        </w:sdtContent>
      </w:sdt>
    </w:p>
    <w:p w14:paraId="6FDD0E31" w14:textId="5B5FC785" w:rsidR="00645DCB" w:rsidRPr="004D5AC0" w:rsidRDefault="00EB7D43" w:rsidP="00645DCB">
      <w:pPr>
        <w:rPr>
          <w:rFonts w:ascii="Calibri" w:eastAsia="Calibri" w:hAnsi="Calibri" w:cs="Calibri"/>
        </w:rPr>
      </w:pPr>
      <w:r w:rsidRPr="004D5AC0">
        <w:t xml:space="preserve">Submissions received by the Committee were </w:t>
      </w:r>
      <w:r w:rsidR="001769FE">
        <w:t xml:space="preserve">generally supportive </w:t>
      </w:r>
      <w:r w:rsidR="00E2572A" w:rsidRPr="004D5AC0">
        <w:t>o</w:t>
      </w:r>
      <w:r w:rsidR="001769FE">
        <w:t>f</w:t>
      </w:r>
      <w:r w:rsidR="00E2572A" w:rsidRPr="004D5AC0">
        <w:t xml:space="preserve"> an approach of imposing </w:t>
      </w:r>
      <w:r w:rsidR="00AA3079" w:rsidRPr="004D5AC0">
        <w:t xml:space="preserve">a </w:t>
      </w:r>
      <w:r w:rsidR="00E2572A" w:rsidRPr="004D5AC0">
        <w:t xml:space="preserve">levy on risk exacerbators. </w:t>
      </w:r>
      <w:r w:rsidR="00645DCB" w:rsidRPr="004D5AC0">
        <w:t xml:space="preserve">According to a submission received from </w:t>
      </w:r>
      <w:r w:rsidR="00645DCB" w:rsidRPr="004D5AC0">
        <w:rPr>
          <w:rFonts w:ascii="Calibri" w:eastAsia="Calibri" w:hAnsi="Calibri" w:cs="Calibri"/>
        </w:rPr>
        <w:t>a significant number of Australian horticultural industries:</w:t>
      </w:r>
    </w:p>
    <w:p w14:paraId="0E76725A" w14:textId="15DA8A8C" w:rsidR="00645DCB" w:rsidRPr="004D5AC0" w:rsidRDefault="00645DCB" w:rsidP="00645DCB">
      <w:pPr>
        <w:pStyle w:val="Quote"/>
      </w:pPr>
      <w:r w:rsidRPr="004D5AC0">
        <w:rPr>
          <w:rStyle w:val="QuoteChar"/>
          <w:i/>
          <w:iCs/>
        </w:rPr>
        <w:t>We strongly support the introduction of such a levy, which targets biosecurity risk creators and will fund improvements to strengthen the national biosecurity system for the benefit of all Australians</w:t>
      </w:r>
      <w:r w:rsidRPr="004D5AC0">
        <w:t xml:space="preserve">. </w:t>
      </w:r>
      <w:sdt>
        <w:sdtPr>
          <w:id w:val="1298345498"/>
          <w:citation/>
        </w:sdtPr>
        <w:sdtEndPr/>
        <w:sdtContent>
          <w:r w:rsidRPr="004D5AC0">
            <w:fldChar w:fldCharType="begin"/>
          </w:r>
          <w:r w:rsidRPr="004D5AC0">
            <w:instrText xml:space="preserve">CITATION Hor19 \l 3081 </w:instrText>
          </w:r>
          <w:r w:rsidRPr="004D5AC0">
            <w:fldChar w:fldCharType="separate"/>
          </w:r>
          <w:r w:rsidR="00604A29">
            <w:rPr>
              <w:noProof/>
            </w:rPr>
            <w:t>(Almond Board of Australia, Australian Walnut Industry Association, AUSVEG, Berries Australia, Cherry Growers Australia, Chestnuts Australia, ..., Voice of Horticulture, 2019)</w:t>
          </w:r>
          <w:r w:rsidRPr="004D5AC0">
            <w:fldChar w:fldCharType="end"/>
          </w:r>
        </w:sdtContent>
      </w:sdt>
    </w:p>
    <w:p w14:paraId="710DA69B" w14:textId="6A474FD0" w:rsidR="00645DCB" w:rsidRPr="004D5AC0" w:rsidRDefault="00645DCB" w:rsidP="00645DCB">
      <w:r w:rsidRPr="004D5AC0">
        <w:t xml:space="preserve">According to the Invasive Species Council </w:t>
      </w:r>
      <w:sdt>
        <w:sdtPr>
          <w:id w:val="-1775541731"/>
          <w:citation/>
        </w:sdtPr>
        <w:sdtEndPr/>
        <w:sdtContent>
          <w:r w:rsidRPr="004D5AC0">
            <w:fldChar w:fldCharType="begin"/>
          </w:r>
          <w:r w:rsidRPr="004D5AC0">
            <w:instrText xml:space="preserve">CITATION Inv19 \p 1 \t  \l 3081 </w:instrText>
          </w:r>
          <w:r w:rsidRPr="004D5AC0">
            <w:fldChar w:fldCharType="separate"/>
          </w:r>
          <w:r w:rsidR="00604A29">
            <w:rPr>
              <w:noProof/>
            </w:rPr>
            <w:t>(Invasive Species Council, 2019, p. 1)</w:t>
          </w:r>
          <w:r w:rsidRPr="004D5AC0">
            <w:fldChar w:fldCharType="end"/>
          </w:r>
        </w:sdtContent>
      </w:sdt>
      <w:r w:rsidRPr="004D5AC0">
        <w:t>:</w:t>
      </w:r>
    </w:p>
    <w:p w14:paraId="33BD8630" w14:textId="39C379B3" w:rsidR="00645DCB" w:rsidRPr="004D5AC0" w:rsidRDefault="00645DCB" w:rsidP="00645DCB">
      <w:pPr>
        <w:pStyle w:val="Quote"/>
      </w:pPr>
      <w:r w:rsidRPr="004D5AC0">
        <w:t>Given the regular incursions into Australia of exotic species that harm the natural environment (e</w:t>
      </w:r>
      <w:r w:rsidR="00DF7856">
        <w:t>.</w:t>
      </w:r>
      <w:r w:rsidRPr="004D5AC0">
        <w:t>g. myrtle rust, red fire ants, yellow crazy ants) – signifying the biosecurity system needs strengthening – it is appropriate and consistent with biosecurity principles that more revenue should be raised from risk creators.</w:t>
      </w:r>
    </w:p>
    <w:p w14:paraId="08D1BF46" w14:textId="38B7B5FB" w:rsidR="00645DCB" w:rsidRPr="004D5AC0" w:rsidRDefault="00645DCB" w:rsidP="00645DCB">
      <w:r w:rsidRPr="004D5AC0">
        <w:t xml:space="preserve">According to the National Farmers’ Federation </w:t>
      </w:r>
      <w:sdt>
        <w:sdtPr>
          <w:id w:val="-1936819817"/>
          <w:citation/>
        </w:sdtPr>
        <w:sdtEndPr/>
        <w:sdtContent>
          <w:r w:rsidRPr="004D5AC0">
            <w:fldChar w:fldCharType="begin"/>
          </w:r>
          <w:r w:rsidRPr="004D5AC0">
            <w:instrText xml:space="preserve">CITATION Nat19 \p 1 \n  \t  \l 3081 </w:instrText>
          </w:r>
          <w:r w:rsidRPr="004D5AC0">
            <w:fldChar w:fldCharType="separate"/>
          </w:r>
          <w:r w:rsidR="00604A29">
            <w:rPr>
              <w:noProof/>
            </w:rPr>
            <w:t>(2019, p. 1)</w:t>
          </w:r>
          <w:r w:rsidRPr="004D5AC0">
            <w:fldChar w:fldCharType="end"/>
          </w:r>
        </w:sdtContent>
      </w:sdt>
      <w:r w:rsidRPr="004D5AC0">
        <w:t>:</w:t>
      </w:r>
    </w:p>
    <w:p w14:paraId="71A3A01E" w14:textId="77777777" w:rsidR="00645DCB" w:rsidRPr="004D5AC0" w:rsidRDefault="00645DCB" w:rsidP="00645DCB">
      <w:pPr>
        <w:pStyle w:val="Quote"/>
      </w:pPr>
      <w:r w:rsidRPr="004D5AC0">
        <w:t>The NFF strongly supports the introduction of such a levy, which targets biosecurity risk creators and will fund improvements to strengthen the national biosecurity system for the benefit of all Australians.</w:t>
      </w:r>
    </w:p>
    <w:p w14:paraId="2D4287E0" w14:textId="35872A01" w:rsidR="00645DCB" w:rsidRPr="004D5AC0" w:rsidRDefault="00645DCB" w:rsidP="00645DCB">
      <w:r w:rsidRPr="004D5AC0">
        <w:t>According to Blue</w:t>
      </w:r>
      <w:r w:rsidR="001F2D73">
        <w:t>S</w:t>
      </w:r>
      <w:r w:rsidRPr="004D5AC0">
        <w:t xml:space="preserve">cope Steel </w:t>
      </w:r>
      <w:sdt>
        <w:sdtPr>
          <w:id w:val="1216395150"/>
          <w:citation/>
        </w:sdtPr>
        <w:sdtEndPr/>
        <w:sdtContent>
          <w:r w:rsidRPr="004D5AC0">
            <w:fldChar w:fldCharType="begin"/>
          </w:r>
          <w:r w:rsidR="00C03CD3">
            <w:instrText xml:space="preserve">CITATION Blu19 \p 1 \n  \t  \l 3081 </w:instrText>
          </w:r>
          <w:r w:rsidRPr="004D5AC0">
            <w:fldChar w:fldCharType="separate"/>
          </w:r>
          <w:r w:rsidR="00C03CD3">
            <w:rPr>
              <w:noProof/>
            </w:rPr>
            <w:t>(2019, p. 1)</w:t>
          </w:r>
          <w:r w:rsidRPr="004D5AC0">
            <w:fldChar w:fldCharType="end"/>
          </w:r>
        </w:sdtContent>
      </w:sdt>
      <w:r w:rsidRPr="004D5AC0">
        <w:t>:</w:t>
      </w:r>
    </w:p>
    <w:p w14:paraId="6C636248" w14:textId="77777777" w:rsidR="00645DCB" w:rsidRDefault="00645DCB" w:rsidP="00645DCB">
      <w:pPr>
        <w:pStyle w:val="Quote"/>
      </w:pPr>
      <w:r w:rsidRPr="004D5AC0">
        <w:t>BlueScope strongly believes that any biosecurity levy should be linked to the level of biosecurity risk and that the levy should be fit for purpose.</w:t>
      </w:r>
    </w:p>
    <w:p w14:paraId="06011645" w14:textId="2AE37D96" w:rsidR="00CB4328" w:rsidRDefault="00954F7B" w:rsidP="00CB4328">
      <w:r>
        <w:t>However, t</w:t>
      </w:r>
      <w:r w:rsidR="00CB4328">
        <w:t xml:space="preserve">he requirement that the levy should be borne by risk creators and exacerbators </w:t>
      </w:r>
      <w:r w:rsidR="00CE223F">
        <w:t>does constrain</w:t>
      </w:r>
      <w:r w:rsidR="00CB4328">
        <w:t xml:space="preserve"> the options that </w:t>
      </w:r>
      <w:r>
        <w:t xml:space="preserve">the Committee </w:t>
      </w:r>
      <w:r w:rsidR="00CB4328">
        <w:t>can develop</w:t>
      </w:r>
      <w:r>
        <w:t>. It</w:t>
      </w:r>
      <w:r w:rsidR="00CB4328">
        <w:t xml:space="preserve"> requires the Committee </w:t>
      </w:r>
      <w:r w:rsidR="00CE223F">
        <w:t xml:space="preserve">to </w:t>
      </w:r>
      <w:r w:rsidR="00CB4328">
        <w:t xml:space="preserve">consider in some detail the risk attached to the importation of goods </w:t>
      </w:r>
      <w:r w:rsidR="00CE223F">
        <w:t>and the vessels by which they are</w:t>
      </w:r>
      <w:r w:rsidR="00CB4328">
        <w:t xml:space="preserve"> transport</w:t>
      </w:r>
      <w:r w:rsidR="00CE223F">
        <w:t>ed</w:t>
      </w:r>
      <w:r w:rsidR="00CB4328">
        <w:t>.</w:t>
      </w:r>
      <w:r w:rsidR="00DA24BF">
        <w:t xml:space="preserve"> This matter is considered later in the report.</w:t>
      </w:r>
    </w:p>
    <w:p w14:paraId="5406CE34" w14:textId="45C515D0" w:rsidR="004B3B06" w:rsidRDefault="006D3C05" w:rsidP="006D3C05">
      <w:pPr>
        <w:pStyle w:val="Heading2"/>
      </w:pPr>
      <w:bookmarkStart w:id="24" w:name="_Toc10031890"/>
      <w:r w:rsidRPr="004D5AC0">
        <w:t>5.3</w:t>
      </w:r>
      <w:r w:rsidRPr="004D5AC0">
        <w:tab/>
        <w:t>Application of Funds</w:t>
      </w:r>
      <w:bookmarkEnd w:id="24"/>
    </w:p>
    <w:p w14:paraId="3E3ED7A9" w14:textId="17C05DE4" w:rsidR="000C61A5" w:rsidRDefault="00AF19FA" w:rsidP="00CB4328">
      <w:r>
        <w:t xml:space="preserve">Numerous submissions to the Committee expressed concern that </w:t>
      </w:r>
      <w:r w:rsidR="00AF23B2">
        <w:t xml:space="preserve">revenue generated through the imposition of a levy </w:t>
      </w:r>
      <w:r w:rsidR="00011E54">
        <w:t xml:space="preserve">as a general tax </w:t>
      </w:r>
      <w:r w:rsidR="00B4601A">
        <w:t xml:space="preserve">would </w:t>
      </w:r>
      <w:r w:rsidR="0069166D">
        <w:t xml:space="preserve">go into the </w:t>
      </w:r>
      <w:r w:rsidR="00011E54">
        <w:t>Consolidated Revenue Fund, with</w:t>
      </w:r>
      <w:r w:rsidR="00D54D0E">
        <w:t>out any</w:t>
      </w:r>
      <w:r w:rsidR="00011E54">
        <w:t xml:space="preserve"> guarantee </w:t>
      </w:r>
      <w:r w:rsidR="00D54D0E">
        <w:t>that additional</w:t>
      </w:r>
      <w:r w:rsidR="00011E54">
        <w:t xml:space="preserve"> </w:t>
      </w:r>
      <w:r w:rsidR="0049022F">
        <w:t>revenue</w:t>
      </w:r>
      <w:r w:rsidR="00DA24BF">
        <w:t>, let alone the full revenue raised from the levy,</w:t>
      </w:r>
      <w:r w:rsidR="00011E54">
        <w:t xml:space="preserve"> </w:t>
      </w:r>
      <w:r w:rsidR="000C61A5">
        <w:t>would</w:t>
      </w:r>
      <w:r w:rsidR="00B4601A">
        <w:t xml:space="preserve"> be directed </w:t>
      </w:r>
      <w:r w:rsidR="0049022F">
        <w:t xml:space="preserve">back </w:t>
      </w:r>
      <w:r w:rsidR="00B4601A">
        <w:t>towards the provision of biosecurity services</w:t>
      </w:r>
      <w:r w:rsidR="000C61A5">
        <w:t>.</w:t>
      </w:r>
      <w:r w:rsidR="0049022F">
        <w:t xml:space="preserve"> </w:t>
      </w:r>
      <w:r w:rsidR="009050F0" w:rsidRPr="009050F0">
        <w:t xml:space="preserve">According to a submission received from </w:t>
      </w:r>
      <w:r w:rsidR="009050F0" w:rsidRPr="009050F0">
        <w:rPr>
          <w:rFonts w:ascii="Calibri" w:eastAsia="Calibri" w:hAnsi="Calibri" w:cs="Calibri"/>
        </w:rPr>
        <w:t>a significant number of Australian horticultural industries:</w:t>
      </w:r>
    </w:p>
    <w:p w14:paraId="52A613B2" w14:textId="44E69F5B" w:rsidR="00AF19FA" w:rsidRDefault="001C7926" w:rsidP="001C7926">
      <w:pPr>
        <w:pStyle w:val="Quote"/>
      </w:pPr>
      <w:r w:rsidRPr="06BBB9BE">
        <w:t>We believe it is critical that the full quantum of funds raised through the levy is invested back into the biosecurity system and does not disappear into consolidated revenue.</w:t>
      </w:r>
      <w:r>
        <w:t xml:space="preserve"> </w:t>
      </w:r>
      <w:sdt>
        <w:sdtPr>
          <w:id w:val="1509491905"/>
          <w:citation/>
        </w:sdtPr>
        <w:sdtEndPr/>
        <w:sdtContent>
          <w:r>
            <w:fldChar w:fldCharType="begin"/>
          </w:r>
          <w:r>
            <w:instrText xml:space="preserve"> CITATION Hor19 \l 3081 </w:instrText>
          </w:r>
          <w:r>
            <w:fldChar w:fldCharType="separate"/>
          </w:r>
          <w:r w:rsidR="00604A29">
            <w:rPr>
              <w:noProof/>
            </w:rPr>
            <w:t>(Almond Board of Australia, Australian Walnut Industry Association, AUSVEG, Berries Australia, Cherry Growers Australia, Chestnuts Australia, ..., Voice of Horticulture, 2019)</w:t>
          </w:r>
          <w:r>
            <w:fldChar w:fldCharType="end"/>
          </w:r>
        </w:sdtContent>
      </w:sdt>
    </w:p>
    <w:p w14:paraId="06C57D45" w14:textId="7826C9C6" w:rsidR="00AF19FA" w:rsidRDefault="00865012" w:rsidP="00CB4328">
      <w:r>
        <w:t xml:space="preserve">In a similar vein, the National Farmers’ Federation </w:t>
      </w:r>
      <w:sdt>
        <w:sdtPr>
          <w:id w:val="1253623592"/>
          <w:citation/>
        </w:sdtPr>
        <w:sdtEndPr/>
        <w:sdtContent>
          <w:r>
            <w:fldChar w:fldCharType="begin"/>
          </w:r>
          <w:r w:rsidR="00830C5C">
            <w:instrText xml:space="preserve">CITATION Nat19 \p 1 \n  \t  \l 3081 </w:instrText>
          </w:r>
          <w:r>
            <w:fldChar w:fldCharType="separate"/>
          </w:r>
          <w:r w:rsidR="00604A29">
            <w:rPr>
              <w:noProof/>
            </w:rPr>
            <w:t>(2019, p. 1)</w:t>
          </w:r>
          <w:r>
            <w:fldChar w:fldCharType="end"/>
          </w:r>
        </w:sdtContent>
      </w:sdt>
      <w:r>
        <w:t xml:space="preserve"> commented:</w:t>
      </w:r>
    </w:p>
    <w:p w14:paraId="19A9B093" w14:textId="101E44E8" w:rsidR="00865012" w:rsidRDefault="000D38C0" w:rsidP="000D38C0">
      <w:pPr>
        <w:pStyle w:val="Quote"/>
      </w:pPr>
      <w:r>
        <w:t xml:space="preserve">… </w:t>
      </w:r>
      <w:r w:rsidRPr="000D38C0">
        <w:t xml:space="preserve">we would like to make the important point that it is critical the full quantum of </w:t>
      </w:r>
      <w:r w:rsidR="004D5AC0">
        <w:t>funds raised through the levy be</w:t>
      </w:r>
      <w:r w:rsidRPr="000D38C0">
        <w:t xml:space="preserve"> invested back into </w:t>
      </w:r>
      <w:r w:rsidR="004D5AC0">
        <w:t>the biosecurity system, and do</w:t>
      </w:r>
      <w:r w:rsidR="00DA24BF">
        <w:t>es</w:t>
      </w:r>
      <w:r w:rsidRPr="000D38C0">
        <w:t xml:space="preserve"> not disappear into consolidated revenue.</w:t>
      </w:r>
    </w:p>
    <w:p w14:paraId="0C7D5E3B" w14:textId="32E6F4AC" w:rsidR="00976F19" w:rsidRDefault="00976F19" w:rsidP="00976F19">
      <w:r>
        <w:t xml:space="preserve">According to </w:t>
      </w:r>
      <w:r w:rsidR="00DA24BF" w:rsidRPr="0007505D">
        <w:t>the</w:t>
      </w:r>
      <w:r w:rsidRPr="0007505D">
        <w:t xml:space="preserve"> Chamber of Minerals and Energy of Western Australia</w:t>
      </w:r>
      <w:r>
        <w:t xml:space="preserve"> (CME) </w:t>
      </w:r>
      <w:sdt>
        <w:sdtPr>
          <w:id w:val="-882093419"/>
          <w:citation/>
        </w:sdtPr>
        <w:sdtEndPr/>
        <w:sdtContent>
          <w:r>
            <w:fldChar w:fldCharType="begin"/>
          </w:r>
          <w:r>
            <w:instrText xml:space="preserve">CITATION The19 \n  \t  \l 3081 </w:instrText>
          </w:r>
          <w:r>
            <w:fldChar w:fldCharType="separate"/>
          </w:r>
          <w:r w:rsidR="00604A29">
            <w:rPr>
              <w:noProof/>
            </w:rPr>
            <w:t>(2019)</w:t>
          </w:r>
          <w:r>
            <w:fldChar w:fldCharType="end"/>
          </w:r>
        </w:sdtContent>
      </w:sdt>
      <w:r>
        <w:t>:</w:t>
      </w:r>
    </w:p>
    <w:p w14:paraId="4094A9B7" w14:textId="04762032" w:rsidR="00976F19" w:rsidRPr="0007505D" w:rsidRDefault="00976F19" w:rsidP="00976F19">
      <w:pPr>
        <w:pStyle w:val="Quote"/>
      </w:pPr>
      <w:r>
        <w:t xml:space="preserve">CME agrees with the concerns raised during the consultation process regarding appropriation of the levy funds raised. Without hypothecating the levy funds, it is not possible to ascertain if the levy will fund additional biosecurity services or is simply designed to accrue </w:t>
      </w:r>
      <w:r w:rsidR="001769FE">
        <w:t xml:space="preserve">to </w:t>
      </w:r>
      <w:r>
        <w:t>consolidated revenue. CME does not welcome cross subsidisation of unrelated or underperforming regulatory services.</w:t>
      </w:r>
    </w:p>
    <w:p w14:paraId="223FB8BC" w14:textId="0ADE9840" w:rsidR="00976F19" w:rsidRDefault="00976F19" w:rsidP="00976F19">
      <w:r>
        <w:t xml:space="preserve">According to Cruise Lines International Association </w:t>
      </w:r>
      <w:sdt>
        <w:sdtPr>
          <w:id w:val="1249308353"/>
          <w:citation/>
        </w:sdtPr>
        <w:sdtEndPr/>
        <w:sdtContent>
          <w:r>
            <w:fldChar w:fldCharType="begin"/>
          </w:r>
          <w:r>
            <w:instrText xml:space="preserve">CITATION Cru19 \n  \t  \l 3081 </w:instrText>
          </w:r>
          <w:r>
            <w:fldChar w:fldCharType="separate"/>
          </w:r>
          <w:r w:rsidR="00604A29">
            <w:rPr>
              <w:noProof/>
            </w:rPr>
            <w:t>(2019)</w:t>
          </w:r>
          <w:r>
            <w:fldChar w:fldCharType="end"/>
          </w:r>
        </w:sdtContent>
      </w:sdt>
      <w:r>
        <w:t xml:space="preserve">: </w:t>
      </w:r>
    </w:p>
    <w:p w14:paraId="019EC351" w14:textId="00C16C90" w:rsidR="00976F19" w:rsidRDefault="001769FE" w:rsidP="00976F19">
      <w:pPr>
        <w:pStyle w:val="Quote"/>
      </w:pPr>
      <w:r>
        <w:t>…</w:t>
      </w:r>
      <w:r w:rsidR="00976F19">
        <w:t xml:space="preserve"> we understand the Levy will operate as a general tax that will not be hypothecated and is not based on cost recovery principles. Presentations by </w:t>
      </w:r>
      <w:r w:rsidR="00DF7856">
        <w:t>[the Department]</w:t>
      </w:r>
      <w:r w:rsidR="00976F19">
        <w:t xml:space="preserve"> to industry stakeholders in January and February 2019 indicate that Levy revenue will contribute to a range of initiatives not solely related to shipping, including the upgrading of the Department’s IT systems and the Indigenous Biosecurity Rangers Program.</w:t>
      </w:r>
    </w:p>
    <w:p w14:paraId="195FC58F" w14:textId="6FFBB316" w:rsidR="00175765" w:rsidRDefault="00175765" w:rsidP="00175765">
      <w:r>
        <w:t xml:space="preserve">The Committee considers it is vital for the legitimacy of the levy, and consistent with the concept of shared responsibility for biosecurity, that the Government demonstrates its good faith by providing a clear relationship between the revenue raised and the application of funds to biosecurity activities. The Committee discusses measures to help ensure this outcome in Section 5.5 below. </w:t>
      </w:r>
    </w:p>
    <w:p w14:paraId="536A1486" w14:textId="14A4080D" w:rsidR="00175765" w:rsidRDefault="00175765" w:rsidP="00175765">
      <w:pPr>
        <w:pStyle w:val="Heading2"/>
      </w:pPr>
      <w:bookmarkStart w:id="25" w:name="_Toc10031891"/>
      <w:r>
        <w:t>5.4</w:t>
      </w:r>
      <w:r w:rsidRPr="004D5AC0">
        <w:tab/>
      </w:r>
      <w:r>
        <w:t>Passenger Movement Charge</w:t>
      </w:r>
      <w:bookmarkEnd w:id="25"/>
    </w:p>
    <w:p w14:paraId="27A233A5" w14:textId="5AD3F682" w:rsidR="00175765" w:rsidRDefault="00175765" w:rsidP="00175765">
      <w:r>
        <w:rPr>
          <w:noProof/>
          <w:lang w:eastAsia="en-AU"/>
        </w:rPr>
        <mc:AlternateContent>
          <mc:Choice Requires="wps">
            <w:drawing>
              <wp:anchor distT="45720" distB="45720" distL="114300" distR="114300" simplePos="0" relativeHeight="251691008" behindDoc="0" locked="0" layoutInCell="1" allowOverlap="1" wp14:anchorId="282513C0" wp14:editId="17075AE1">
                <wp:simplePos x="0" y="0"/>
                <wp:positionH relativeFrom="column">
                  <wp:posOffset>29785</wp:posOffset>
                </wp:positionH>
                <wp:positionV relativeFrom="page">
                  <wp:posOffset>2588318</wp:posOffset>
                </wp:positionV>
                <wp:extent cx="5679440" cy="6906895"/>
                <wp:effectExtent l="0" t="0" r="16510" b="27305"/>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440" cy="690689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DD9A49D" w14:textId="77777777" w:rsidR="004163D1" w:rsidRPr="00E53DF9" w:rsidRDefault="004163D1" w:rsidP="00175765">
                            <w:r w:rsidRPr="00E53DF9">
                              <w:t xml:space="preserve">The Passenger Movement Charge (PMC) is a charge, now $60, levied per passenger on departing Australia and is payable by all passengers (sea and air). According to the second reading speech for the </w:t>
                            </w:r>
                            <w:r w:rsidRPr="00E53DF9">
                              <w:rPr>
                                <w:i/>
                              </w:rPr>
                              <w:t>Passenger Movement Charge Amendment Bill, 1995</w:t>
                            </w:r>
                            <w:r w:rsidRPr="00E53DF9">
                              <w:t>:</w:t>
                            </w:r>
                          </w:p>
                          <w:p w14:paraId="218D13E6" w14:textId="77777777" w:rsidR="004163D1" w:rsidRPr="00E53DF9" w:rsidRDefault="004163D1" w:rsidP="00175765">
                            <w:pPr>
                              <w:pStyle w:val="Quote"/>
                            </w:pPr>
                            <w:r w:rsidRPr="00E53DF9">
                              <w:t xml:space="preserve">This Bill, together with the Passenger Movement Charge Collection Amendment Bill 1995 completes the package of legislative measures introduced last year following the Government's 1994 Budget initiative to replace the existing $25 departure tax with a $27 passenger movement charge to fully offset the cost of customs, immigration and quarantine processing at Australia's borders and the cost of issuing short-term visitor visas. </w:t>
                            </w:r>
                            <w:sdt>
                              <w:sdtPr>
                                <w:id w:val="-450939675"/>
                                <w:citation/>
                              </w:sdtPr>
                              <w:sdtEndPr/>
                              <w:sdtContent>
                                <w:r w:rsidRPr="00E53DF9">
                                  <w:fldChar w:fldCharType="begin"/>
                                </w:r>
                                <w:r w:rsidRPr="00E53DF9">
                                  <w:instrText xml:space="preserve">CITATION Hou95 \p 1609 \t  \l 3081 </w:instrText>
                                </w:r>
                                <w:r w:rsidRPr="00E53DF9">
                                  <w:fldChar w:fldCharType="separate"/>
                                </w:r>
                                <w:r>
                                  <w:rPr>
                                    <w:noProof/>
                                  </w:rPr>
                                  <w:t>(House of Representatives, 1995, p. 1609)</w:t>
                                </w:r>
                                <w:r w:rsidRPr="00E53DF9">
                                  <w:fldChar w:fldCharType="end"/>
                                </w:r>
                              </w:sdtContent>
                            </w:sdt>
                          </w:p>
                          <w:p w14:paraId="3C411195" w14:textId="77777777" w:rsidR="004163D1" w:rsidRPr="00E53DF9" w:rsidRDefault="004163D1" w:rsidP="00175765">
                            <w:r w:rsidRPr="00E53DF9">
                              <w:t xml:space="preserve">While the rationale for the introduction of PMC was as a cost recovery measure, in law the PMC was a tax </w:t>
                            </w:r>
                            <w:sdt>
                              <w:sdtPr>
                                <w:id w:val="2113161977"/>
                                <w:citation/>
                              </w:sdtPr>
                              <w:sdtEndPr/>
                              <w:sdtContent>
                                <w:r w:rsidRPr="00E53DF9">
                                  <w:fldChar w:fldCharType="begin"/>
                                </w:r>
                                <w:r w:rsidRPr="00E53DF9">
                                  <w:instrText xml:space="preserve"> CITATION Aus96 \l 3081 </w:instrText>
                                </w:r>
                                <w:r w:rsidRPr="00E53DF9">
                                  <w:fldChar w:fldCharType="separate"/>
                                </w:r>
                                <w:r>
                                  <w:rPr>
                                    <w:noProof/>
                                  </w:rPr>
                                  <w:t>(Australian National Audit Office, 1996)</w:t>
                                </w:r>
                                <w:r w:rsidRPr="00E53DF9">
                                  <w:fldChar w:fldCharType="end"/>
                                </w:r>
                              </w:sdtContent>
                            </w:sdt>
                            <w:r w:rsidRPr="00E53DF9">
                              <w:t xml:space="preserve">. However, with the 1998–99 Budget decision to increase the PMC from $27 to $30 per passenger, the Australian National Audit Office </w:t>
                            </w:r>
                            <w:sdt>
                              <w:sdtPr>
                                <w:id w:val="-1948075897"/>
                                <w:citation/>
                              </w:sdtPr>
                              <w:sdtEndPr/>
                              <w:sdtContent>
                                <w:r w:rsidRPr="00E53DF9">
                                  <w:fldChar w:fldCharType="begin"/>
                                </w:r>
                                <w:r w:rsidRPr="00E53DF9">
                                  <w:instrText xml:space="preserve">CITATION Aus00 \p 31 \n  \t  \l 3081 </w:instrText>
                                </w:r>
                                <w:r w:rsidRPr="00E53DF9">
                                  <w:fldChar w:fldCharType="separate"/>
                                </w:r>
                                <w:r>
                                  <w:rPr>
                                    <w:noProof/>
                                  </w:rPr>
                                  <w:t>(2000, p. 31)</w:t>
                                </w:r>
                                <w:r w:rsidRPr="00E53DF9">
                                  <w:fldChar w:fldCharType="end"/>
                                </w:r>
                              </w:sdtContent>
                            </w:sdt>
                            <w:r w:rsidRPr="00E53DF9">
                              <w:t xml:space="preserve"> found that a policy shift had apparently taken place and the PMC was now being applied partly as a general revenue raising source. In turn, the Australian National Audit Office </w:t>
                            </w:r>
                            <w:sdt>
                              <w:sdtPr>
                                <w:id w:val="1787611520"/>
                                <w:citation/>
                              </w:sdtPr>
                              <w:sdtEndPr/>
                              <w:sdtContent>
                                <w:r w:rsidRPr="00E53DF9">
                                  <w:fldChar w:fldCharType="begin"/>
                                </w:r>
                                <w:r w:rsidRPr="00E53DF9">
                                  <w:instrText xml:space="preserve">CITATION Aus00 \p 31 \n  \t  \l 3081 </w:instrText>
                                </w:r>
                                <w:r w:rsidRPr="00E53DF9">
                                  <w:fldChar w:fldCharType="separate"/>
                                </w:r>
                                <w:r>
                                  <w:rPr>
                                    <w:noProof/>
                                  </w:rPr>
                                  <w:t>(2000, p. 31)</w:t>
                                </w:r>
                                <w:r w:rsidRPr="00E53DF9">
                                  <w:fldChar w:fldCharType="end"/>
                                </w:r>
                              </w:sdtContent>
                            </w:sdt>
                            <w:r w:rsidRPr="00E53DF9">
                              <w:t xml:space="preserve"> concluded:</w:t>
                            </w:r>
                          </w:p>
                          <w:p w14:paraId="274C4F5B" w14:textId="77777777" w:rsidR="004163D1" w:rsidRPr="00E53DF9" w:rsidRDefault="004163D1" w:rsidP="00175765">
                            <w:pPr>
                              <w:pStyle w:val="Quote"/>
                            </w:pPr>
                            <w:r w:rsidRPr="00E53DF9">
                              <w:t>As a consequence, the PMC is no longer solely linked to cost recovery of Customs, Immigration and Quarantine services.</w:t>
                            </w:r>
                          </w:p>
                          <w:p w14:paraId="358D21D0" w14:textId="77777777" w:rsidR="004163D1" w:rsidRPr="00E53DF9" w:rsidRDefault="004163D1" w:rsidP="00175765">
                            <w:r w:rsidRPr="00E53DF9">
                              <w:t xml:space="preserve">In the 2001-02 Budget, the PMC was increased from $30 to $38, effective from 1 July 2001. According to the second reading speech for the </w:t>
                            </w:r>
                            <w:r w:rsidRPr="00E53DF9">
                              <w:rPr>
                                <w:i/>
                              </w:rPr>
                              <w:t>Passenger Movement Charge Amendment Bill, 2001</w:t>
                            </w:r>
                            <w:r w:rsidRPr="00E53DF9">
                              <w:t>:</w:t>
                            </w:r>
                          </w:p>
                          <w:p w14:paraId="0256F48B" w14:textId="77777777" w:rsidR="004163D1" w:rsidRPr="00E53DF9" w:rsidRDefault="004163D1" w:rsidP="00175765">
                            <w:pPr>
                              <w:pStyle w:val="Quote"/>
                            </w:pPr>
                            <w:r w:rsidRPr="00E53DF9">
                              <w:t xml:space="preserve">The increase was announced by the Treasurer in the 2001-02 Budget and will fund increased passenger processing costs as part of Australia’s response to the threat of the introduction of foot and mouth disease. </w:t>
                            </w:r>
                            <w:sdt>
                              <w:sdtPr>
                                <w:id w:val="-1734530664"/>
                                <w:citation/>
                              </w:sdtPr>
                              <w:sdtEndPr/>
                              <w:sdtContent>
                                <w:r w:rsidRPr="00E53DF9">
                                  <w:fldChar w:fldCharType="begin"/>
                                </w:r>
                                <w:r w:rsidRPr="00E53DF9">
                                  <w:instrText xml:space="preserve">CITATION Hou01 \p 26977 \t  \l 3081 </w:instrText>
                                </w:r>
                                <w:r w:rsidRPr="00E53DF9">
                                  <w:fldChar w:fldCharType="separate"/>
                                </w:r>
                                <w:r>
                                  <w:rPr>
                                    <w:noProof/>
                                  </w:rPr>
                                  <w:t>(House of Representatives, 2001, p. 26977)</w:t>
                                </w:r>
                                <w:r w:rsidRPr="00E53DF9">
                                  <w:fldChar w:fldCharType="end"/>
                                </w:r>
                              </w:sdtContent>
                            </w:sdt>
                          </w:p>
                          <w:p w14:paraId="5CF03303" w14:textId="77777777" w:rsidR="004163D1" w:rsidRPr="00E53DF9" w:rsidRDefault="004163D1" w:rsidP="00175765">
                            <w:r w:rsidRPr="00E53DF9">
                              <w:t xml:space="preserve">This increase in the PMC was to offset the increased cost of inspecting passengers, mail and cargo at Australia’s international airports </w:t>
                            </w:r>
                            <w:sdt>
                              <w:sdtPr>
                                <w:id w:val="153344503"/>
                                <w:citation/>
                              </w:sdtPr>
                              <w:sdtEndPr/>
                              <w:sdtContent>
                                <w:r w:rsidRPr="00E53DF9">
                                  <w:fldChar w:fldCharType="begin"/>
                                </w:r>
                                <w:r w:rsidRPr="00E53DF9">
                                  <w:instrText xml:space="preserve">CITATION Com01 \p 7 \t  \l 3081 </w:instrText>
                                </w:r>
                                <w:r w:rsidRPr="00E53DF9">
                                  <w:fldChar w:fldCharType="separate"/>
                                </w:r>
                                <w:r>
                                  <w:rPr>
                                    <w:noProof/>
                                  </w:rPr>
                                  <w:t>(Commonwealth of Australia, 2001, p. 7)</w:t>
                                </w:r>
                                <w:r w:rsidRPr="00E53DF9">
                                  <w:fldChar w:fldCharType="end"/>
                                </w:r>
                              </w:sdtContent>
                            </w:sdt>
                            <w:r w:rsidRPr="00E53DF9">
                              <w:t>.</w:t>
                            </w:r>
                          </w:p>
                          <w:p w14:paraId="6E4E45FA" w14:textId="77777777" w:rsidR="004163D1" w:rsidRPr="00E53DF9" w:rsidRDefault="004163D1" w:rsidP="00175765">
                            <w:r w:rsidRPr="00E53DF9">
                              <w:t>The IABR observed:</w:t>
                            </w:r>
                          </w:p>
                          <w:p w14:paraId="4BDF785D" w14:textId="176E8AC2" w:rsidR="004163D1" w:rsidRDefault="004163D1" w:rsidP="00175765">
                            <w:pPr>
                              <w:pStyle w:val="Quote"/>
                            </w:pPr>
                            <w:r w:rsidRPr="00E53DF9">
                              <w:t xml:space="preserve">While it is true that biosecurity activities were used to justify some past increases (part of the $2 increase in 1995 and the $8 increase in 2001), the fact is that the PMC is now considered a general tax and funds are not hypothecated to the Australian Government agriculture department for its biosecurity functions. </w:t>
                            </w:r>
                            <w:sdt>
                              <w:sdtPr>
                                <w:id w:val="1255246355"/>
                                <w:citation/>
                              </w:sdtPr>
                              <w:sdtEndPr/>
                              <w:sdtContent>
                                <w:r w:rsidRPr="00E53DF9">
                                  <w:fldChar w:fldCharType="begin"/>
                                </w:r>
                                <w:r w:rsidRPr="00E53DF9">
                                  <w:instrText xml:space="preserve">CITATION Cra17 \p 22 \t  \l 3081 </w:instrText>
                                </w:r>
                                <w:r w:rsidRPr="00E53DF9">
                                  <w:fldChar w:fldCharType="separate"/>
                                </w:r>
                                <w:r>
                                  <w:rPr>
                                    <w:noProof/>
                                  </w:rPr>
                                  <w:t>(Craik, Palmer, &amp; Sheldrake, 2017, p. 22)</w:t>
                                </w:r>
                                <w:r w:rsidRPr="00E53DF9">
                                  <w:fldChar w:fldCharType="end"/>
                                </w:r>
                              </w:sdtContent>
                            </w:sdt>
                          </w:p>
                          <w:p w14:paraId="5CC1477B" w14:textId="3DDE8A26" w:rsidR="004163D1" w:rsidRDefault="004163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2513C0" id="_x0000_s1030" type="#_x0000_t202" style="position:absolute;margin-left:2.35pt;margin-top:203.8pt;width:447.2pt;height:543.8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" fillcolor="#ffd555 [2167]" strokecolor="#ffc000 [3207]" strokeweight=".5pt">
                <v:fill color2="#ffcc31 [2615]" rotate="t" colors="0 #ffdd9c;.5 #ffd78e;1 #ffd479" focus="100%" type="gradient">
                  <o:fill v:ext="view" type="gradientUnscaled"/>
                </v:fill>
                <v:textbox>
                  <w:txbxContent>
                    <w:p w14:paraId="7DD9A49D" w14:textId="77777777" w:rsidR="004163D1" w:rsidRPr="00E53DF9" w:rsidRDefault="004163D1" w:rsidP="00175765">
                      <w:r w:rsidRPr="00E53DF9">
                        <w:t xml:space="preserve">The Passenger Movement Charge (PMC) is a charge, now $60, levied per passenger on departing Australia and is payable by all passengers (sea and air). According to the second reading speech for the </w:t>
                      </w:r>
                      <w:r w:rsidRPr="00E53DF9">
                        <w:rPr>
                          <w:i/>
                        </w:rPr>
                        <w:t>Passenger Movement Charge Amendment Bill, 1995</w:t>
                      </w:r>
                      <w:r w:rsidRPr="00E53DF9">
                        <w:t>:</w:t>
                      </w:r>
                    </w:p>
                    <w:p w14:paraId="218D13E6" w14:textId="77777777" w:rsidR="004163D1" w:rsidRPr="00E53DF9" w:rsidRDefault="004163D1" w:rsidP="00175765">
                      <w:pPr>
                        <w:pStyle w:val="Quote"/>
                      </w:pPr>
                      <w:r w:rsidRPr="00E53DF9">
                        <w:t xml:space="preserve">This Bill, together with the Passenger Movement Charge Collection Amendment Bill 1995 completes the package of legislative measures introduced last year following the Government's 1994 Budget initiative to replace the existing $25 departure tax with a $27 passenger movement charge to fully offset the cost of customs, immigration and quarantine processing at Australia's borders and the cost of issuing short-term visitor visas. </w:t>
                      </w:r>
                      <w:sdt>
                        <w:sdtPr>
                          <w:id w:val="-450939675"/>
                          <w:citation/>
                        </w:sdtPr>
                        <w:sdtContent>
                          <w:r w:rsidRPr="00E53DF9">
                            <w:fldChar w:fldCharType="begin"/>
                          </w:r>
                          <w:r w:rsidRPr="00E53DF9">
                            <w:instrText xml:space="preserve">CITATION Hou95 \p 1609 \t  \l 3081 </w:instrText>
                          </w:r>
                          <w:r w:rsidRPr="00E53DF9">
                            <w:fldChar w:fldCharType="separate"/>
                          </w:r>
                          <w:r>
                            <w:rPr>
                              <w:noProof/>
                            </w:rPr>
                            <w:t>(House of Representatives, 1995, p. 1609)</w:t>
                          </w:r>
                          <w:r w:rsidRPr="00E53DF9">
                            <w:fldChar w:fldCharType="end"/>
                          </w:r>
                        </w:sdtContent>
                      </w:sdt>
                    </w:p>
                    <w:p w14:paraId="3C411195" w14:textId="77777777" w:rsidR="004163D1" w:rsidRPr="00E53DF9" w:rsidRDefault="004163D1" w:rsidP="00175765">
                      <w:r w:rsidRPr="00E53DF9">
                        <w:t xml:space="preserve">While the rationale for the introduction of PMC was as a cost recovery measure, in law the PMC was a tax </w:t>
                      </w:r>
                      <w:sdt>
                        <w:sdtPr>
                          <w:id w:val="2113161977"/>
                          <w:citation/>
                        </w:sdtPr>
                        <w:sdtContent>
                          <w:r w:rsidRPr="00E53DF9">
                            <w:fldChar w:fldCharType="begin"/>
                          </w:r>
                          <w:r w:rsidRPr="00E53DF9">
                            <w:instrText xml:space="preserve"> CITATION Aus96 \l 3081 </w:instrText>
                          </w:r>
                          <w:r w:rsidRPr="00E53DF9">
                            <w:fldChar w:fldCharType="separate"/>
                          </w:r>
                          <w:r>
                            <w:rPr>
                              <w:noProof/>
                            </w:rPr>
                            <w:t>(Australian National Audit Office, 1996)</w:t>
                          </w:r>
                          <w:r w:rsidRPr="00E53DF9">
                            <w:fldChar w:fldCharType="end"/>
                          </w:r>
                        </w:sdtContent>
                      </w:sdt>
                      <w:r w:rsidRPr="00E53DF9">
                        <w:t xml:space="preserve">. However, with the 1998–99 Budget decision to increase the PMC from $27 to $30 per passenger, the Australian National Audit Office </w:t>
                      </w:r>
                      <w:sdt>
                        <w:sdtPr>
                          <w:id w:val="-1948075897"/>
                          <w:citation/>
                        </w:sdtPr>
                        <w:sdtContent>
                          <w:r w:rsidRPr="00E53DF9">
                            <w:fldChar w:fldCharType="begin"/>
                          </w:r>
                          <w:r w:rsidRPr="00E53DF9">
                            <w:instrText xml:space="preserve">CITATION Aus00 \p 31 \n  \t  \l 3081 </w:instrText>
                          </w:r>
                          <w:r w:rsidRPr="00E53DF9">
                            <w:fldChar w:fldCharType="separate"/>
                          </w:r>
                          <w:r>
                            <w:rPr>
                              <w:noProof/>
                            </w:rPr>
                            <w:t>(2000, p. 31)</w:t>
                          </w:r>
                          <w:r w:rsidRPr="00E53DF9">
                            <w:fldChar w:fldCharType="end"/>
                          </w:r>
                        </w:sdtContent>
                      </w:sdt>
                      <w:r w:rsidRPr="00E53DF9">
                        <w:t xml:space="preserve"> found that a policy shift had apparently taken place and the PMC was now being applied partly as a general revenue raising source. In turn, the Australian National Audit Office </w:t>
                      </w:r>
                      <w:sdt>
                        <w:sdtPr>
                          <w:id w:val="1787611520"/>
                          <w:citation/>
                        </w:sdtPr>
                        <w:sdtContent>
                          <w:r w:rsidRPr="00E53DF9">
                            <w:fldChar w:fldCharType="begin"/>
                          </w:r>
                          <w:r w:rsidRPr="00E53DF9">
                            <w:instrText xml:space="preserve">CITATION Aus00 \p 31 \n  \t  \l 3081 </w:instrText>
                          </w:r>
                          <w:r w:rsidRPr="00E53DF9">
                            <w:fldChar w:fldCharType="separate"/>
                          </w:r>
                          <w:r>
                            <w:rPr>
                              <w:noProof/>
                            </w:rPr>
                            <w:t>(2000, p. 31)</w:t>
                          </w:r>
                          <w:r w:rsidRPr="00E53DF9">
                            <w:fldChar w:fldCharType="end"/>
                          </w:r>
                        </w:sdtContent>
                      </w:sdt>
                      <w:r w:rsidRPr="00E53DF9">
                        <w:t xml:space="preserve"> concluded:</w:t>
                      </w:r>
                    </w:p>
                    <w:p w14:paraId="274C4F5B" w14:textId="77777777" w:rsidR="004163D1" w:rsidRPr="00E53DF9" w:rsidRDefault="004163D1" w:rsidP="00175765">
                      <w:pPr>
                        <w:pStyle w:val="Quote"/>
                      </w:pPr>
                      <w:r w:rsidRPr="00E53DF9">
                        <w:t>As a consequence, the PMC is no longer solely linked to cost recovery of Customs, Immigration and Quarantine services.</w:t>
                      </w:r>
                    </w:p>
                    <w:p w14:paraId="358D21D0" w14:textId="77777777" w:rsidR="004163D1" w:rsidRPr="00E53DF9" w:rsidRDefault="004163D1" w:rsidP="00175765">
                      <w:r w:rsidRPr="00E53DF9">
                        <w:t xml:space="preserve">In the 2001-02 Budget, the PMC was increased from $30 to $38, effective from 1 July 2001. According to the second reading speech for the </w:t>
                      </w:r>
                      <w:r w:rsidRPr="00E53DF9">
                        <w:rPr>
                          <w:i/>
                        </w:rPr>
                        <w:t>Passenger Movement Charge Amendment Bill, 2001</w:t>
                      </w:r>
                      <w:r w:rsidRPr="00E53DF9">
                        <w:t>:</w:t>
                      </w:r>
                    </w:p>
                    <w:p w14:paraId="0256F48B" w14:textId="77777777" w:rsidR="004163D1" w:rsidRPr="00E53DF9" w:rsidRDefault="004163D1" w:rsidP="00175765">
                      <w:pPr>
                        <w:pStyle w:val="Quote"/>
                      </w:pPr>
                      <w:r w:rsidRPr="00E53DF9">
                        <w:t xml:space="preserve">The increase was announced by the Treasurer in the 2001-02 Budget and will fund increased passenger processing costs as part of Australia’s response to the threat of the introduction of foot and mouth disease. </w:t>
                      </w:r>
                      <w:sdt>
                        <w:sdtPr>
                          <w:id w:val="-1734530664"/>
                          <w:citation/>
                        </w:sdtPr>
                        <w:sdtContent>
                          <w:r w:rsidRPr="00E53DF9">
                            <w:fldChar w:fldCharType="begin"/>
                          </w:r>
                          <w:r w:rsidRPr="00E53DF9">
                            <w:instrText xml:space="preserve">CITATION Hou01 \p 26977 \t  \l 3081 </w:instrText>
                          </w:r>
                          <w:r w:rsidRPr="00E53DF9">
                            <w:fldChar w:fldCharType="separate"/>
                          </w:r>
                          <w:r>
                            <w:rPr>
                              <w:noProof/>
                            </w:rPr>
                            <w:t>(House of Representatives, 2001, p. 26977)</w:t>
                          </w:r>
                          <w:r w:rsidRPr="00E53DF9">
                            <w:fldChar w:fldCharType="end"/>
                          </w:r>
                        </w:sdtContent>
                      </w:sdt>
                    </w:p>
                    <w:p w14:paraId="5CF03303" w14:textId="77777777" w:rsidR="004163D1" w:rsidRPr="00E53DF9" w:rsidRDefault="004163D1" w:rsidP="00175765">
                      <w:r w:rsidRPr="00E53DF9">
                        <w:t xml:space="preserve">This increase in the PMC was to offset the increased cost of inspecting passengers, mail and cargo at Australia’s international airports </w:t>
                      </w:r>
                      <w:sdt>
                        <w:sdtPr>
                          <w:id w:val="153344503"/>
                          <w:citation/>
                        </w:sdtPr>
                        <w:sdtContent>
                          <w:r w:rsidRPr="00E53DF9">
                            <w:fldChar w:fldCharType="begin"/>
                          </w:r>
                          <w:r w:rsidRPr="00E53DF9">
                            <w:instrText xml:space="preserve">CITATION Com01 \p 7 \t  \l 3081 </w:instrText>
                          </w:r>
                          <w:r w:rsidRPr="00E53DF9">
                            <w:fldChar w:fldCharType="separate"/>
                          </w:r>
                          <w:r>
                            <w:rPr>
                              <w:noProof/>
                            </w:rPr>
                            <w:t>(Commonwealth of Australia, 2001, p. 7)</w:t>
                          </w:r>
                          <w:r w:rsidRPr="00E53DF9">
                            <w:fldChar w:fldCharType="end"/>
                          </w:r>
                        </w:sdtContent>
                      </w:sdt>
                      <w:r w:rsidRPr="00E53DF9">
                        <w:t>.</w:t>
                      </w:r>
                    </w:p>
                    <w:p w14:paraId="6E4E45FA" w14:textId="77777777" w:rsidR="004163D1" w:rsidRPr="00E53DF9" w:rsidRDefault="004163D1" w:rsidP="00175765">
                      <w:r w:rsidRPr="00E53DF9">
                        <w:t>The IABR observed:</w:t>
                      </w:r>
                    </w:p>
                    <w:p w14:paraId="4BDF785D" w14:textId="176E8AC2" w:rsidR="004163D1" w:rsidRDefault="004163D1" w:rsidP="00175765">
                      <w:pPr>
                        <w:pStyle w:val="Quote"/>
                      </w:pPr>
                      <w:r w:rsidRPr="00E53DF9">
                        <w:t xml:space="preserve">While it is true that biosecurity activities were used to justify some past increases (part of the $2 increase in 1995 and the $8 increase in 2001), the fact is that the PMC is now considered a general tax and funds are not hypothecated to the Australian Government agriculture department for its biosecurity functions. </w:t>
                      </w:r>
                      <w:sdt>
                        <w:sdtPr>
                          <w:id w:val="1255246355"/>
                          <w:citation/>
                        </w:sdtPr>
                        <w:sdtContent>
                          <w:r w:rsidRPr="00E53DF9">
                            <w:fldChar w:fldCharType="begin"/>
                          </w:r>
                          <w:r w:rsidRPr="00E53DF9">
                            <w:instrText xml:space="preserve">CITATION Cra17 \p 22 \t  \l 3081 </w:instrText>
                          </w:r>
                          <w:r w:rsidRPr="00E53DF9">
                            <w:fldChar w:fldCharType="separate"/>
                          </w:r>
                          <w:r>
                            <w:rPr>
                              <w:noProof/>
                            </w:rPr>
                            <w:t>(Craik, Palmer, &amp; Sheldrake, 2017, p. 22)</w:t>
                          </w:r>
                          <w:r w:rsidRPr="00E53DF9">
                            <w:fldChar w:fldCharType="end"/>
                          </w:r>
                        </w:sdtContent>
                      </w:sdt>
                    </w:p>
                    <w:p w14:paraId="5CC1477B" w14:textId="3DDE8A26" w:rsidR="004163D1" w:rsidRDefault="004163D1"/>
                  </w:txbxContent>
                </v:textbox>
                <w10:wrap type="topAndBottom" anchory="page"/>
              </v:shape>
            </w:pict>
          </mc:Fallback>
        </mc:AlternateContent>
      </w:r>
      <w:r>
        <w:t>Several submissions pointed to the experience with the Passenger Movement Charge (PMC)</w:t>
      </w:r>
      <w:r w:rsidRPr="007138BE">
        <w:t xml:space="preserve"> </w:t>
      </w:r>
      <w:r>
        <w:t xml:space="preserve">(see </w:t>
      </w:r>
      <w:r w:rsidRPr="00DA24BF">
        <w:rPr>
          <w:b/>
        </w:rPr>
        <w:t>Box</w:t>
      </w:r>
      <w:r>
        <w:t>) as underscoring concerns over whether revenue raised from a biosecurity levy will be directed towards provision of biosecurity services.</w:t>
      </w:r>
    </w:p>
    <w:p w14:paraId="334CB371" w14:textId="101A7966" w:rsidR="00175765" w:rsidRDefault="00175765">
      <w:pPr>
        <w:spacing w:before="0" w:after="160" w:line="259" w:lineRule="auto"/>
      </w:pPr>
      <w:r>
        <w:br w:type="page"/>
      </w:r>
    </w:p>
    <w:p w14:paraId="3E479701" w14:textId="2E92FACD" w:rsidR="00E53DF9" w:rsidRDefault="00175765" w:rsidP="0008231C">
      <w:r>
        <w:rPr>
          <w:noProof/>
          <w:lang w:eastAsia="en-AU"/>
        </w:rPr>
        <mc:AlternateContent>
          <mc:Choice Requires="wps">
            <w:drawing>
              <wp:anchor distT="45720" distB="45720" distL="114300" distR="114300" simplePos="0" relativeHeight="251693056" behindDoc="0" locked="0" layoutInCell="1" allowOverlap="1" wp14:anchorId="63AC224A" wp14:editId="33AA6C97">
                <wp:simplePos x="0" y="0"/>
                <wp:positionH relativeFrom="margin">
                  <wp:align>left</wp:align>
                </wp:positionH>
                <wp:positionV relativeFrom="page">
                  <wp:posOffset>1097280</wp:posOffset>
                </wp:positionV>
                <wp:extent cx="5801995" cy="937260"/>
                <wp:effectExtent l="0" t="0" r="27305" b="152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93726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278A417" w14:textId="06CE0208" w:rsidR="004163D1" w:rsidRDefault="004163D1">
                            <w:r w:rsidRPr="00E53DF9">
                              <w:t>Subsequent increases in the PMC were from $38 to $47 in 2008 for national aviation security measures, from $47 to $55 in 2012 for an Asian marketing fund and a regional tourism development grant, and from $55 to $60 in 2017 for changes to the working holiday maker arrangements. At its present level, the PMC is one of the highest such charges in 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AC224A" id="_x0000_s1031" type="#_x0000_t202" style="position:absolute;margin-left:0;margin-top:86.4pt;width:456.85pt;height:73.8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" fillcolor="#ffd555 [2167]" strokecolor="#ffc000 [3207]" strokeweight=".5pt">
                <v:fill color2="#ffcc31 [2615]" rotate="t" colors="0 #ffdd9c;.5 #ffd78e;1 #ffd479" focus="100%" type="gradient">
                  <o:fill v:ext="view" type="gradientUnscaled"/>
                </v:fill>
                <v:textbox>
                  <w:txbxContent>
                    <w:p w14:paraId="1278A417" w14:textId="06CE0208" w:rsidR="004163D1" w:rsidRDefault="004163D1">
                      <w:r w:rsidRPr="00E53DF9">
                        <w:t>Subsequent increases in the PMC were from $38 to $47 in 2008 for national aviation security measures, from $47 to $55 in 2012 for an Asian marketing fund and a regional tourism development grant, and from $55 to $60 in 2017 for changes to the working holiday maker arrangements. At its present level, the PMC is one of the highest such charges in the world.</w:t>
                      </w:r>
                    </w:p>
                  </w:txbxContent>
                </v:textbox>
                <w10:wrap type="square" anchorx="margin" anchory="page"/>
              </v:shape>
            </w:pict>
          </mc:Fallback>
        </mc:AlternateContent>
      </w:r>
      <w:r w:rsidR="00E53DF9">
        <w:t xml:space="preserve">For example, according to Carnival Australia </w:t>
      </w:r>
      <w:sdt>
        <w:sdtPr>
          <w:id w:val="-1884554546"/>
          <w:citation/>
        </w:sdtPr>
        <w:sdtEndPr/>
        <w:sdtContent>
          <w:r w:rsidR="00E53DF9">
            <w:fldChar w:fldCharType="begin"/>
          </w:r>
          <w:r w:rsidR="00E53DF9">
            <w:instrText xml:space="preserve"> CITATION Car19 \l 3081 </w:instrText>
          </w:r>
          <w:r w:rsidR="00E53DF9">
            <w:fldChar w:fldCharType="separate"/>
          </w:r>
          <w:r w:rsidR="00604A29">
            <w:rPr>
              <w:noProof/>
            </w:rPr>
            <w:t>(Carnival Australia, 2019)</w:t>
          </w:r>
          <w:r w:rsidR="00E53DF9">
            <w:fldChar w:fldCharType="end"/>
          </w:r>
        </w:sdtContent>
      </w:sdt>
      <w:r w:rsidR="00E53DF9">
        <w:t>:</w:t>
      </w:r>
    </w:p>
    <w:p w14:paraId="5B78E504" w14:textId="77777777" w:rsidR="00E53DF9" w:rsidRDefault="00E53DF9" w:rsidP="00E53DF9">
      <w:pPr>
        <w:pStyle w:val="Quote"/>
      </w:pPr>
      <w:r>
        <w:t>There is significant concern that the Levy, in its current form, could become similar to the PMC in that its purpose is to merely be an additional stream of consolidated revenue rather than a specific revenue targeted to minimising the biosecurity risks to this country.</w:t>
      </w:r>
    </w:p>
    <w:p w14:paraId="47F6BA9F" w14:textId="381DC1D5" w:rsidR="00E53DF9" w:rsidRDefault="00E53DF9" w:rsidP="00E53DF9">
      <w:r>
        <w:t xml:space="preserve">The Australian Chamber of Commerce and Industry </w:t>
      </w:r>
      <w:sdt>
        <w:sdtPr>
          <w:id w:val="365573491"/>
          <w:citation/>
        </w:sdtPr>
        <w:sdtEndPr/>
        <w:sdtContent>
          <w:r>
            <w:fldChar w:fldCharType="begin"/>
          </w:r>
          <w:r>
            <w:instrText xml:space="preserve">CITATION Aus191 \p 4 \n  \t  \l 3081 </w:instrText>
          </w:r>
          <w:r>
            <w:fldChar w:fldCharType="separate"/>
          </w:r>
          <w:r w:rsidR="00604A29">
            <w:rPr>
              <w:noProof/>
            </w:rPr>
            <w:t>(2019, p. 4)</w:t>
          </w:r>
          <w:r>
            <w:fldChar w:fldCharType="end"/>
          </w:r>
        </w:sdtContent>
      </w:sdt>
      <w:r>
        <w:t xml:space="preserve"> expressed concern that revenue raised for biosecurity purposes through previous increases in the Passenger Movement Charge have now been appropriated for other purposes with the original rationale long since forgotten:</w:t>
      </w:r>
    </w:p>
    <w:p w14:paraId="08C00E91" w14:textId="56B32E2D" w:rsidR="00E53DF9" w:rsidRDefault="00E53DF9" w:rsidP="00E53DF9">
      <w:pPr>
        <w:pStyle w:val="Quote"/>
      </w:pPr>
      <w:r>
        <w:t xml:space="preserve">We … note that biosecurity activities were used to justify past increases in the PMC (biosecurity being an element of the $2 increase to PMC in 1995 and again an $8 increase in 2001). Accordingly, although the PMC goes to general revenue, we argue that a substantial amount is already being collected through the PMC to cover biosecurity activities. These funds should be deployed toward the biosecurity task before any additional levy is applied to the tourism sector. </w:t>
      </w:r>
    </w:p>
    <w:p w14:paraId="549CCF42" w14:textId="716DCB02" w:rsidR="00D13B87" w:rsidRPr="00DB7406" w:rsidRDefault="00040921" w:rsidP="00DB7406">
      <w:r>
        <w:t>This sentiment was echoed by</w:t>
      </w:r>
      <w:r w:rsidR="00DB7406">
        <w:t xml:space="preserve"> the </w:t>
      </w:r>
      <w:r w:rsidR="00893129">
        <w:t>Tourism and</w:t>
      </w:r>
      <w:r w:rsidR="00DB7406" w:rsidRPr="00DB7406">
        <w:t xml:space="preserve"> Transport Forum Australia</w:t>
      </w:r>
      <w:r w:rsidR="00DB7406">
        <w:t xml:space="preserve"> </w:t>
      </w:r>
      <w:sdt>
        <w:sdtPr>
          <w:id w:val="576094010"/>
          <w:citation/>
        </w:sdtPr>
        <w:sdtEndPr/>
        <w:sdtContent>
          <w:r w:rsidR="00DB7406">
            <w:fldChar w:fldCharType="begin"/>
          </w:r>
          <w:r w:rsidR="00DB7406">
            <w:instrText xml:space="preserve">CITATION Tou19 \n  \t  \l 3081 </w:instrText>
          </w:r>
          <w:r w:rsidR="00DB7406">
            <w:fldChar w:fldCharType="separate"/>
          </w:r>
          <w:r w:rsidR="00604A29">
            <w:rPr>
              <w:noProof/>
            </w:rPr>
            <w:t>(2019)</w:t>
          </w:r>
          <w:r w:rsidR="00DB7406">
            <w:fldChar w:fldCharType="end"/>
          </w:r>
        </w:sdtContent>
      </w:sdt>
      <w:r w:rsidR="00235EE7">
        <w:t>:</w:t>
      </w:r>
    </w:p>
    <w:p w14:paraId="733085E6" w14:textId="21CAC9BC" w:rsidR="00DA6CF8" w:rsidRPr="00DA6CF8" w:rsidRDefault="00DA6CF8" w:rsidP="00B9778B">
      <w:pPr>
        <w:pStyle w:val="Quote"/>
      </w:pPr>
      <w:r w:rsidRPr="00DA6CF8">
        <w:t xml:space="preserve">Our sector is concerned about the proposal to extend the Levy to the operations of cruise vessels. Cruise passengers are already subject to the Passenger Movement Charge (PMC), a tax that returns $1.2 billion annually to the Government and was introduced to cover passenger border processing costs including biosecurity management. </w:t>
      </w:r>
    </w:p>
    <w:p w14:paraId="278DC7C9" w14:textId="10C02B62" w:rsidR="00DA6CF8" w:rsidRPr="00C10998" w:rsidRDefault="00DA6CF8" w:rsidP="00B9778B">
      <w:pPr>
        <w:pStyle w:val="Quote"/>
      </w:pPr>
      <w:r w:rsidRPr="00DA6CF8">
        <w:t>This tourist tax more than covers spending by the Department of Agriculture and Water Resources on biosecurity management, which was a maximum of $374</w:t>
      </w:r>
      <w:r w:rsidR="0008231C">
        <w:t> </w:t>
      </w:r>
      <w:r w:rsidRPr="00DA6CF8">
        <w:t>million in 2017/18.</w:t>
      </w:r>
    </w:p>
    <w:p w14:paraId="75EA450E" w14:textId="0039E14E" w:rsidR="00D13B87" w:rsidRDefault="00DA6CF8" w:rsidP="00B9778B">
      <w:pPr>
        <w:pStyle w:val="Quote"/>
        <w:rPr>
          <w:bCs/>
        </w:rPr>
      </w:pPr>
      <w:r w:rsidRPr="00DA6CF8">
        <w:t xml:space="preserve">This considerable over-collection of revenue from passengers means any additional spending or investment required by the Department for biosecurity management should be apportioned from the current taxation envelope. </w:t>
      </w:r>
      <w:r w:rsidRPr="00DA6CF8">
        <w:rPr>
          <w:b/>
          <w:bCs/>
        </w:rPr>
        <w:t>Extending the Biosecurity Imports Levy to cruising would equate to taxing cruise passengers twice for the one border biosecurity management process.</w:t>
      </w:r>
      <w:r w:rsidR="00371153">
        <w:rPr>
          <w:b/>
          <w:bCs/>
        </w:rPr>
        <w:t xml:space="preserve"> </w:t>
      </w:r>
      <w:r w:rsidR="00371153" w:rsidRPr="004D3FDF">
        <w:rPr>
          <w:bCs/>
        </w:rPr>
        <w:t>(emphasis in the original)</w:t>
      </w:r>
    </w:p>
    <w:p w14:paraId="4153B1A3" w14:textId="01BB37D0" w:rsidR="00893129" w:rsidRDefault="007138BE" w:rsidP="00FA2BBA">
      <w:r>
        <w:t>Several</w:t>
      </w:r>
      <w:r w:rsidR="00893129">
        <w:t xml:space="preserve"> other submissions </w:t>
      </w:r>
      <w:r>
        <w:t>did propose</w:t>
      </w:r>
      <w:r w:rsidR="00893129">
        <w:t xml:space="preserve"> that the levy should be extended to include passengers (</w:t>
      </w:r>
      <w:r w:rsidR="00893129">
        <w:rPr>
          <w:i/>
        </w:rPr>
        <w:t>inter alia</w:t>
      </w:r>
      <w:r w:rsidR="00040921">
        <w:t>)</w:t>
      </w:r>
      <w:r>
        <w:t xml:space="preserve"> via an increase in the Passenger Movement Charge</w:t>
      </w:r>
      <w:r w:rsidR="00CC7CB8">
        <w:t>. The argument was one</w:t>
      </w:r>
      <w:r>
        <w:t xml:space="preserve"> of </w:t>
      </w:r>
      <w:r w:rsidR="00040921">
        <w:t xml:space="preserve">perceived </w:t>
      </w:r>
      <w:r>
        <w:t xml:space="preserve">overall equity, </w:t>
      </w:r>
      <w:r w:rsidR="00893129">
        <w:t xml:space="preserve">on the basis that </w:t>
      </w:r>
      <w:r w:rsidR="00CC7CB8">
        <w:t>arriving passengers</w:t>
      </w:r>
      <w:r w:rsidR="00893129">
        <w:t xml:space="preserve"> are a potential source of biosecurity risk. It is possible, in the Committee’s opinion, that th</w:t>
      </w:r>
      <w:r w:rsidR="00CC7CB8">
        <w:t>e</w:t>
      </w:r>
      <w:r w:rsidR="00893129">
        <w:t xml:space="preserve"> groups</w:t>
      </w:r>
      <w:r w:rsidR="00CC7CB8">
        <w:t xml:space="preserve"> proposing this extension</w:t>
      </w:r>
      <w:r w:rsidR="00893129">
        <w:t xml:space="preserve"> are not aware of the Passenger Movement Charge history as documented above.</w:t>
      </w:r>
      <w:r>
        <w:t xml:space="preserve"> </w:t>
      </w:r>
    </w:p>
    <w:p w14:paraId="564AE790" w14:textId="63A4F9C5" w:rsidR="00CC7CB8" w:rsidRDefault="007138BE" w:rsidP="00FA2BBA">
      <w:r>
        <w:t xml:space="preserve">In addition, the Passenger Movement Charge is currently subject to a moratorium (in terms of changes to its rate) until at least </w:t>
      </w:r>
      <w:r w:rsidR="00AA489E">
        <w:t xml:space="preserve">1 </w:t>
      </w:r>
      <w:r>
        <w:t xml:space="preserve">July 2022. </w:t>
      </w:r>
    </w:p>
    <w:p w14:paraId="6A660C1F" w14:textId="23993071" w:rsidR="007138BE" w:rsidRDefault="007138BE" w:rsidP="00FA2BBA">
      <w:r>
        <w:t xml:space="preserve">The Committee’s </w:t>
      </w:r>
      <w:r w:rsidR="00A36F80">
        <w:t>recommendation</w:t>
      </w:r>
      <w:r>
        <w:t xml:space="preserve"> is for the</w:t>
      </w:r>
      <w:r w:rsidR="007B7A11">
        <w:t xml:space="preserve"> more-</w:t>
      </w:r>
      <w:r w:rsidR="00282A0F">
        <w:t>than</w:t>
      </w:r>
      <w:r w:rsidR="007B7A11">
        <w:t>-</w:t>
      </w:r>
      <w:r w:rsidR="00282A0F">
        <w:t>$8</w:t>
      </w:r>
      <w:r>
        <w:t xml:space="preserve"> component of the Passenger Movement Charge originally just</w:t>
      </w:r>
      <w:r w:rsidR="007B7A11">
        <w:t xml:space="preserve">ified for biosecurity purposes </w:t>
      </w:r>
      <w:r>
        <w:t xml:space="preserve">to be </w:t>
      </w:r>
      <w:r w:rsidR="001769FE">
        <w:t>appropriated</w:t>
      </w:r>
      <w:r w:rsidR="00CC7CB8">
        <w:t xml:space="preserve"> anew</w:t>
      </w:r>
      <w:r>
        <w:t xml:space="preserve"> for biosecurity purposes. </w:t>
      </w:r>
      <w:r w:rsidR="007B7A11">
        <w:t xml:space="preserve">The revenue involved amounts to approximately $200 million per annum at current passenger numbers. Noting the quotes provided in the </w:t>
      </w:r>
      <w:r w:rsidR="007B7A11" w:rsidRPr="007B7A11">
        <w:rPr>
          <w:b/>
        </w:rPr>
        <w:t>Box</w:t>
      </w:r>
      <w:r w:rsidR="007B7A11">
        <w:t xml:space="preserve"> above, t</w:t>
      </w:r>
      <w:r>
        <w:t>he Committee is unaware that any Government has explicitly removed the b</w:t>
      </w:r>
      <w:r w:rsidR="001769FE">
        <w:t>iosecurity justification for this</w:t>
      </w:r>
      <w:r w:rsidR="007B7A11">
        <w:t xml:space="preserve"> </w:t>
      </w:r>
      <w:r w:rsidR="00282A0F">
        <w:t>component</w:t>
      </w:r>
      <w:r>
        <w:t xml:space="preserve"> (even if, for example, the foot and mouth </w:t>
      </w:r>
      <w:r w:rsidR="00CC7CB8">
        <w:t>threat</w:t>
      </w:r>
      <w:r>
        <w:t xml:space="preserve"> which gave rise to </w:t>
      </w:r>
      <w:r w:rsidR="007B7A11">
        <w:t>the</w:t>
      </w:r>
      <w:r>
        <w:t xml:space="preserve"> </w:t>
      </w:r>
      <w:r w:rsidR="00CC7CB8">
        <w:t xml:space="preserve">2001 </w:t>
      </w:r>
      <w:r w:rsidR="007B7A11">
        <w:t xml:space="preserve">increase </w:t>
      </w:r>
      <w:r w:rsidR="00CC7CB8">
        <w:t>may have</w:t>
      </w:r>
      <w:r w:rsidR="007B7A11">
        <w:t xml:space="preserve"> since</w:t>
      </w:r>
      <w:r w:rsidR="00CC7CB8">
        <w:t xml:space="preserve"> abated).</w:t>
      </w:r>
    </w:p>
    <w:p w14:paraId="6BF08171" w14:textId="6DCA933C" w:rsidR="00CC7CB8" w:rsidRDefault="00CC7CB8" w:rsidP="00CC7CB8">
      <w:pPr>
        <w:pStyle w:val="Heading2"/>
      </w:pPr>
      <w:bookmarkStart w:id="26" w:name="_Toc10031892"/>
      <w:r>
        <w:t>5.5</w:t>
      </w:r>
      <w:r w:rsidRPr="004D5AC0">
        <w:tab/>
      </w:r>
      <w:r w:rsidR="00FA11C0">
        <w:t>Ensuring</w:t>
      </w:r>
      <w:r>
        <w:t xml:space="preserve"> Levy</w:t>
      </w:r>
      <w:r w:rsidRPr="004D5AC0">
        <w:t xml:space="preserve"> </w:t>
      </w:r>
      <w:r w:rsidR="00FA11C0">
        <w:t>Revenue is Appropriated for Biosecurity Purposes</w:t>
      </w:r>
      <w:bookmarkEnd w:id="26"/>
    </w:p>
    <w:p w14:paraId="7B202143" w14:textId="3722FCF4" w:rsidR="00251110" w:rsidRDefault="00314F36" w:rsidP="00FA2BBA">
      <w:r>
        <w:t>The Committee recognises any biosecurity</w:t>
      </w:r>
      <w:r w:rsidR="00CC7CB8">
        <w:t xml:space="preserve"> imports</w:t>
      </w:r>
      <w:r>
        <w:t xml:space="preserve"> levy</w:t>
      </w:r>
      <w:r w:rsidR="00CA0BFB">
        <w:t xml:space="preserve"> revenue</w:t>
      </w:r>
      <w:r>
        <w:t xml:space="preserve"> is unlikely to be hypothecated</w:t>
      </w:r>
      <w:r w:rsidR="00CC7CB8">
        <w:t>,</w:t>
      </w:r>
      <w:r>
        <w:t xml:space="preserve"> given </w:t>
      </w:r>
      <w:r w:rsidR="00950683">
        <w:t xml:space="preserve">the reluctance of </w:t>
      </w:r>
      <w:r w:rsidR="00CA73B3">
        <w:t xml:space="preserve">governments to limit future budget flexibility by hypothecating </w:t>
      </w:r>
      <w:r w:rsidR="005C7940">
        <w:t xml:space="preserve">tax revenues. </w:t>
      </w:r>
    </w:p>
    <w:p w14:paraId="3F36F926" w14:textId="403A4738" w:rsidR="00FA2BBA" w:rsidRDefault="00FA2BBA" w:rsidP="00FA2BBA">
      <w:r>
        <w:t>In its report</w:t>
      </w:r>
      <w:r w:rsidR="00251110">
        <w:t xml:space="preserve"> on the </w:t>
      </w:r>
      <w:r w:rsidR="00ED0AB6">
        <w:t>levy</w:t>
      </w:r>
      <w:r>
        <w:t>, Pegasus found:</w:t>
      </w:r>
    </w:p>
    <w:p w14:paraId="3B0104D7" w14:textId="3E2530E7" w:rsidR="00FA2BBA" w:rsidRDefault="00FA2BBA" w:rsidP="00FA2BBA">
      <w:pPr>
        <w:pStyle w:val="Quote"/>
      </w:pPr>
      <w:r>
        <w:t xml:space="preserve">Stakeholders are calling for … much greater transparency and accountability for the revenue to be raised from the </w:t>
      </w:r>
      <w:r w:rsidR="00CA0BFB">
        <w:t>levy</w:t>
      </w:r>
      <w:r>
        <w:t xml:space="preserve"> and how the additional funding will be spent. </w:t>
      </w:r>
      <w:sdt>
        <w:sdtPr>
          <w:id w:val="-56559802"/>
          <w:citation/>
        </w:sdtPr>
        <w:sdtEndPr/>
        <w:sdtContent>
          <w:r>
            <w:fldChar w:fldCharType="begin"/>
          </w:r>
          <w:r>
            <w:instrText xml:space="preserve">CITATION Fis19 \p 16 \t  \l 3081 </w:instrText>
          </w:r>
          <w:r>
            <w:fldChar w:fldCharType="separate"/>
          </w:r>
          <w:r w:rsidR="00604A29">
            <w:rPr>
              <w:noProof/>
            </w:rPr>
            <w:t>(Fisher &amp; Davey, 2019, p. 16)</w:t>
          </w:r>
          <w:r>
            <w:fldChar w:fldCharType="end"/>
          </w:r>
        </w:sdtContent>
      </w:sdt>
    </w:p>
    <w:p w14:paraId="7E7A91C4" w14:textId="46E41274" w:rsidR="00FA2BBA" w:rsidRDefault="008909B5" w:rsidP="00CB4328">
      <w:r>
        <w:t>O</w:t>
      </w:r>
      <w:r w:rsidR="00271FC4">
        <w:t xml:space="preserve">ne way of alleviating industry concerns </w:t>
      </w:r>
      <w:r w:rsidR="00CC7CB8">
        <w:t>would</w:t>
      </w:r>
      <w:r w:rsidR="00271FC4">
        <w:t xml:space="preserve"> be to introduce additional measures to provide </w:t>
      </w:r>
      <w:r w:rsidR="00CC7CB8">
        <w:t>levy payers</w:t>
      </w:r>
      <w:r w:rsidR="00271FC4">
        <w:t xml:space="preserve"> with </w:t>
      </w:r>
      <w:r>
        <w:t xml:space="preserve">an </w:t>
      </w:r>
      <w:r w:rsidR="00271FC4">
        <w:t xml:space="preserve">assurance that revenue generated will be </w:t>
      </w:r>
      <w:r>
        <w:t>appropriated to</w:t>
      </w:r>
      <w:r w:rsidR="00271FC4">
        <w:t xml:space="preserve"> its intended biosecurity purpose.</w:t>
      </w:r>
    </w:p>
    <w:p w14:paraId="0D6CDBAC" w14:textId="290A33FC" w:rsidR="00CC7CB8" w:rsidRDefault="008909B5" w:rsidP="00E75151">
      <w:r>
        <w:t>T</w:t>
      </w:r>
      <w:r w:rsidR="00CC7CB8">
        <w:t xml:space="preserve">he Committee </w:t>
      </w:r>
      <w:r>
        <w:t xml:space="preserve">therefore </w:t>
      </w:r>
      <w:r w:rsidR="00CC7CB8">
        <w:t>recommends</w:t>
      </w:r>
      <w:r w:rsidR="00E75151">
        <w:t xml:space="preserve"> </w:t>
      </w:r>
      <w:r w:rsidR="00E75151">
        <w:rPr>
          <w:rFonts w:ascii="Calibri" w:hAnsi="Calibri" w:cs="Calibri"/>
        </w:rPr>
        <w:t xml:space="preserve">the appointment of </w:t>
      </w:r>
      <w:r w:rsidR="00E75151">
        <w:t>a high-level, expertise-based Biosecurity Advisory Council that w</w:t>
      </w:r>
      <w:r w:rsidR="0013796F">
        <w:t>ould</w:t>
      </w:r>
      <w:r w:rsidR="00E75151">
        <w:t xml:space="preserve"> enhance the shared responsibility principle and provide more scope for private sector interests to </w:t>
      </w:r>
      <w:r>
        <w:t>contribute constructively to</w:t>
      </w:r>
      <w:r w:rsidR="00E75151">
        <w:t xml:space="preserve"> important biosecurity decisions, including funding and consideration of relative biosecurity risk.</w:t>
      </w:r>
      <w:r w:rsidR="00DC08EE">
        <w:t xml:space="preserve"> </w:t>
      </w:r>
    </w:p>
    <w:p w14:paraId="1E397FDA" w14:textId="2433FBED" w:rsidR="00E75151" w:rsidRDefault="00DC08EE" w:rsidP="00E75151">
      <w:r>
        <w:t xml:space="preserve">The establishment of a Biosecurity Advisory Council was </w:t>
      </w:r>
      <w:r w:rsidR="00465380">
        <w:t xml:space="preserve">originally </w:t>
      </w:r>
      <w:r>
        <w:t>recommended by the Beale Report:</w:t>
      </w:r>
    </w:p>
    <w:p w14:paraId="73400C37" w14:textId="60D508F9" w:rsidR="00903D35" w:rsidRDefault="00961D82" w:rsidP="00903D35">
      <w:pPr>
        <w:pStyle w:val="Quote"/>
      </w:pPr>
      <w:r>
        <w:t>The Panel recommends that a new Biosecurity Advisory Council be established as an advisory body to the Minister for Agriculture</w:t>
      </w:r>
      <w:r w:rsidR="00030823">
        <w:t xml:space="preserve"> … </w:t>
      </w:r>
      <w:r w:rsidR="00903D35">
        <w:t>The Biosecurity Advisory Council should have an independent chair appointed by the Minister in consultation with the states. Other members of the Council should also be appointed by the Minister for terms that are staggered to ensure continuity.</w:t>
      </w:r>
    </w:p>
    <w:p w14:paraId="63DD7EB1" w14:textId="2C8ED657" w:rsidR="00DC08EE" w:rsidRDefault="00903D35" w:rsidP="00903D35">
      <w:pPr>
        <w:pStyle w:val="Quote"/>
      </w:pPr>
      <w:r>
        <w:t>The Council should consist of skills-based members drawn from the Commonwealth and state governments, business (through Animal Health Australia and Plant Health Australia), academics and non-government organisations. Membership should be non-representative, consisting of individuals with substantial knowledge or experience across a range of disciplines, including agricultural, environmental and health science, risk assessment, business management and operational aspects of biosecurity.</w:t>
      </w:r>
      <w:r w:rsidR="00C6266A">
        <w:t xml:space="preserve"> </w:t>
      </w:r>
      <w:sdt>
        <w:sdtPr>
          <w:id w:val="2037300335"/>
          <w:citation/>
        </w:sdtPr>
        <w:sdtEndPr/>
        <w:sdtContent>
          <w:r w:rsidR="000750D5">
            <w:fldChar w:fldCharType="begin"/>
          </w:r>
          <w:r w:rsidR="000750D5">
            <w:instrText xml:space="preserve">CITATION Bea08 \p 76 \t  \l 3081 </w:instrText>
          </w:r>
          <w:r w:rsidR="000750D5">
            <w:fldChar w:fldCharType="separate"/>
          </w:r>
          <w:r w:rsidR="00604A29">
            <w:rPr>
              <w:noProof/>
            </w:rPr>
            <w:t>(Beale, Fairbrother, Inglis, &amp; Trebeck, 2008, p. 76)</w:t>
          </w:r>
          <w:r w:rsidR="000750D5">
            <w:fldChar w:fldCharType="end"/>
          </w:r>
        </w:sdtContent>
      </w:sdt>
    </w:p>
    <w:p w14:paraId="07790E79" w14:textId="6AFA3506" w:rsidR="008909B5" w:rsidRDefault="008909B5" w:rsidP="00046B70">
      <w:r>
        <w:t>The Beale Report’s recommendation was accepted in principle by the Government at the time, but not implemented.</w:t>
      </w:r>
    </w:p>
    <w:p w14:paraId="4C3C6D36" w14:textId="74684A31" w:rsidR="0070226A" w:rsidRPr="00FA11C0" w:rsidRDefault="00FA11C0" w:rsidP="00046B70">
      <w:r>
        <w:t xml:space="preserve">The Committee proposed the Biosecurity Advisory Council in its discussion paper. </w:t>
      </w:r>
      <w:r w:rsidR="00AB1DBB">
        <w:t xml:space="preserve">There was generally strong support amongst submissions </w:t>
      </w:r>
      <w:r>
        <w:t>in response</w:t>
      </w:r>
      <w:r w:rsidR="00AB1DBB">
        <w:t xml:space="preserve">. </w:t>
      </w:r>
      <w:r w:rsidR="00D76675">
        <w:t xml:space="preserve">According to the </w:t>
      </w:r>
      <w:r w:rsidR="00046B70" w:rsidRPr="00046B70">
        <w:rPr>
          <w:rFonts w:ascii="Calibri" w:hAnsi="Calibri" w:cs="Calibri"/>
          <w:color w:val="000000"/>
          <w:szCs w:val="22"/>
        </w:rPr>
        <w:t>Tasmanian Farmers and Graziers Association</w:t>
      </w:r>
      <w:r w:rsidR="00046B70">
        <w:rPr>
          <w:rFonts w:ascii="Calibri" w:hAnsi="Calibri" w:cs="Calibri"/>
          <w:color w:val="000000"/>
          <w:szCs w:val="22"/>
        </w:rPr>
        <w:t xml:space="preserve"> </w:t>
      </w:r>
      <w:sdt>
        <w:sdtPr>
          <w:rPr>
            <w:rFonts w:ascii="Calibri" w:hAnsi="Calibri" w:cs="Calibri"/>
            <w:color w:val="000000"/>
            <w:szCs w:val="22"/>
          </w:rPr>
          <w:id w:val="-1163001307"/>
          <w:citation/>
        </w:sdtPr>
        <w:sdtEndPr/>
        <w:sdtContent>
          <w:r w:rsidR="00046B70">
            <w:rPr>
              <w:rFonts w:ascii="Calibri" w:hAnsi="Calibri" w:cs="Calibri"/>
              <w:color w:val="000000"/>
              <w:szCs w:val="22"/>
            </w:rPr>
            <w:fldChar w:fldCharType="begin"/>
          </w:r>
          <w:r w:rsidR="00046B70">
            <w:rPr>
              <w:rFonts w:ascii="Calibri" w:hAnsi="Calibri" w:cs="Calibri"/>
              <w:color w:val="000000"/>
              <w:szCs w:val="22"/>
            </w:rPr>
            <w:instrText xml:space="preserve">CITATION Tas19 \n  \t  \l 3081 </w:instrText>
          </w:r>
          <w:r w:rsidR="00046B70">
            <w:rPr>
              <w:rFonts w:ascii="Calibri" w:hAnsi="Calibri" w:cs="Calibri"/>
              <w:color w:val="000000"/>
              <w:szCs w:val="22"/>
            </w:rPr>
            <w:fldChar w:fldCharType="separate"/>
          </w:r>
          <w:r w:rsidR="00604A29" w:rsidRPr="00604A29">
            <w:rPr>
              <w:rFonts w:ascii="Calibri" w:hAnsi="Calibri" w:cs="Calibri"/>
              <w:noProof/>
              <w:color w:val="000000"/>
              <w:szCs w:val="22"/>
            </w:rPr>
            <w:t>(2019)</w:t>
          </w:r>
          <w:r w:rsidR="00046B70">
            <w:rPr>
              <w:rFonts w:ascii="Calibri" w:hAnsi="Calibri" w:cs="Calibri"/>
              <w:color w:val="000000"/>
              <w:szCs w:val="22"/>
            </w:rPr>
            <w:fldChar w:fldCharType="end"/>
          </w:r>
        </w:sdtContent>
      </w:sdt>
      <w:r w:rsidR="00046B70">
        <w:rPr>
          <w:rFonts w:ascii="Calibri" w:hAnsi="Calibri" w:cs="Calibri"/>
          <w:color w:val="000000"/>
          <w:szCs w:val="22"/>
        </w:rPr>
        <w:t>:</w:t>
      </w:r>
    </w:p>
    <w:p w14:paraId="06CC47C3" w14:textId="1A52950F" w:rsidR="00046B70" w:rsidRDefault="00DE45B0" w:rsidP="00DE45B0">
      <w:pPr>
        <w:pStyle w:val="Quote"/>
      </w:pPr>
      <w:r w:rsidRPr="00DE45B0">
        <w:t>An expertise-based Biosecurity Advisory Council will be very beneficial in making decisions about biosecurity funding, relative to biosecurity risk.</w:t>
      </w:r>
    </w:p>
    <w:p w14:paraId="5A89C3BB" w14:textId="3E8D2E97" w:rsidR="0070226A" w:rsidRDefault="008604FF" w:rsidP="00E75151">
      <w:r>
        <w:t xml:space="preserve">According to the </w:t>
      </w:r>
      <w:r w:rsidR="00AB7284">
        <w:t xml:space="preserve">Cement Industry Federation </w:t>
      </w:r>
      <w:sdt>
        <w:sdtPr>
          <w:id w:val="-1647350920"/>
          <w:citation/>
        </w:sdtPr>
        <w:sdtEndPr/>
        <w:sdtContent>
          <w:r w:rsidR="00AB7284">
            <w:fldChar w:fldCharType="begin"/>
          </w:r>
          <w:r w:rsidR="00CC25D0">
            <w:instrText xml:space="preserve">CITATION Cem19 \p 8 \n  \t  \l 3081 </w:instrText>
          </w:r>
          <w:r w:rsidR="00AB7284">
            <w:fldChar w:fldCharType="separate"/>
          </w:r>
          <w:r w:rsidR="00604A29">
            <w:rPr>
              <w:noProof/>
            </w:rPr>
            <w:t>(2019, p. 8)</w:t>
          </w:r>
          <w:r w:rsidR="00AB7284">
            <w:fldChar w:fldCharType="end"/>
          </w:r>
        </w:sdtContent>
      </w:sdt>
      <w:r w:rsidR="00AB7284">
        <w:t>:</w:t>
      </w:r>
    </w:p>
    <w:p w14:paraId="1937AFDC" w14:textId="36107F67" w:rsidR="00AB7284" w:rsidRDefault="00AB7284" w:rsidP="00CC25D0">
      <w:pPr>
        <w:pStyle w:val="Quote"/>
      </w:pPr>
      <w:r>
        <w:t>A Biosecurity Advisory Council is a worthy proposition for future consideration once the base case to create a new levy has been established.</w:t>
      </w:r>
      <w:r w:rsidR="00AA489E" w:rsidRPr="00AA489E">
        <w:t xml:space="preserve"> </w:t>
      </w:r>
      <w:r w:rsidR="00AA489E">
        <w:t>The Cement Industry Federation has a preference for an independent body that reports directly to the Minister for Agriculture.</w:t>
      </w:r>
    </w:p>
    <w:p w14:paraId="562F8E35" w14:textId="090A5676" w:rsidR="0070226A" w:rsidRDefault="00CC25D0" w:rsidP="00E75151">
      <w:r>
        <w:t>According to Glencore</w:t>
      </w:r>
      <w:r w:rsidR="00E3599E">
        <w:t xml:space="preserve"> </w:t>
      </w:r>
      <w:sdt>
        <w:sdtPr>
          <w:id w:val="957065010"/>
          <w:citation/>
        </w:sdtPr>
        <w:sdtEndPr/>
        <w:sdtContent>
          <w:r w:rsidR="009579B1">
            <w:fldChar w:fldCharType="begin"/>
          </w:r>
          <w:r w:rsidR="009579B1">
            <w:instrText xml:space="preserve">CITATION Gle19 \p 5 \n  \t  \l 3081 </w:instrText>
          </w:r>
          <w:r w:rsidR="009579B1">
            <w:fldChar w:fldCharType="separate"/>
          </w:r>
          <w:r w:rsidR="00604A29">
            <w:rPr>
              <w:noProof/>
            </w:rPr>
            <w:t>(2019, p. 5)</w:t>
          </w:r>
          <w:r w:rsidR="009579B1">
            <w:fldChar w:fldCharType="end"/>
          </w:r>
        </w:sdtContent>
      </w:sdt>
      <w:r>
        <w:t>:</w:t>
      </w:r>
    </w:p>
    <w:p w14:paraId="45BEE04E" w14:textId="6D2A3337" w:rsidR="00E3599E" w:rsidRPr="00E3599E" w:rsidRDefault="00E3599E" w:rsidP="00E3599E">
      <w:pPr>
        <w:pStyle w:val="Quote"/>
      </w:pPr>
      <w:r>
        <w:t xml:space="preserve">… </w:t>
      </w:r>
      <w:r w:rsidRPr="00E3599E">
        <w:t xml:space="preserve">a Biosecurity Advisory Council that includes industry representation would be of benefit to ensure that the private sector's interests are represented. Industry representation should include shipping lines, brokers and importers. </w:t>
      </w:r>
    </w:p>
    <w:p w14:paraId="4441514F" w14:textId="003814AA" w:rsidR="00CC25D0" w:rsidRDefault="006F17D0" w:rsidP="00E75151">
      <w:r>
        <w:t xml:space="preserve">The establishment of a Biosecurity Advisory Council would also provide a </w:t>
      </w:r>
      <w:r w:rsidR="00EE3A2F">
        <w:t>positive</w:t>
      </w:r>
      <w:r w:rsidR="003D56A3">
        <w:t xml:space="preserve"> demonstration that </w:t>
      </w:r>
      <w:r w:rsidR="00EE3A2F">
        <w:t>biosecurity is genuinely a shared responsibility.</w:t>
      </w:r>
      <w:r w:rsidR="00EC141A">
        <w:t xml:space="preserve"> In this regard the </w:t>
      </w:r>
      <w:r w:rsidR="00EC141A" w:rsidRPr="008E5EB7">
        <w:t>Customs Brokers and Forwarders Council of Australia</w:t>
      </w:r>
      <w:r w:rsidR="00EC141A">
        <w:t xml:space="preserve"> </w:t>
      </w:r>
      <w:sdt>
        <w:sdtPr>
          <w:id w:val="1257242099"/>
          <w:citation/>
        </w:sdtPr>
        <w:sdtEndPr/>
        <w:sdtContent>
          <w:r w:rsidR="00EC141A">
            <w:fldChar w:fldCharType="begin"/>
          </w:r>
          <w:r w:rsidR="00310698">
            <w:instrText xml:space="preserve">CITATION Cus191 \p 8 \n  \t  \l 3081 </w:instrText>
          </w:r>
          <w:r w:rsidR="00EC141A">
            <w:fldChar w:fldCharType="separate"/>
          </w:r>
          <w:r w:rsidR="00604A29">
            <w:rPr>
              <w:noProof/>
            </w:rPr>
            <w:t>(2019, p. 8)</w:t>
          </w:r>
          <w:r w:rsidR="00EC141A">
            <w:fldChar w:fldCharType="end"/>
          </w:r>
        </w:sdtContent>
      </w:sdt>
      <w:r w:rsidR="00EC141A">
        <w:t xml:space="preserve"> commented:</w:t>
      </w:r>
    </w:p>
    <w:p w14:paraId="7090076F" w14:textId="1BD11B79" w:rsidR="00EC141A" w:rsidRDefault="00BB6503" w:rsidP="00BB6503">
      <w:pPr>
        <w:pStyle w:val="Quote"/>
      </w:pPr>
      <w:r w:rsidRPr="00BB6503">
        <w:t>The CBFCA believes the appointment of a high-level, expertise-based Biosecurity Advisory Council should provide much-needed transparency on how funds are deployed, and most important of all, it would provide a vehicle for constructive industry engagement on expenditure programs and priorities, and risk assessment, consistent with the “shared responsibility” principle.</w:t>
      </w:r>
    </w:p>
    <w:p w14:paraId="71527686" w14:textId="1CA8CEAF" w:rsidR="00934538" w:rsidRDefault="008909B5" w:rsidP="00CB4328">
      <w:r>
        <w:t>A fur</w:t>
      </w:r>
      <w:r w:rsidR="00B00899">
        <w:t xml:space="preserve">ther </w:t>
      </w:r>
      <w:r w:rsidR="007E6B2B">
        <w:t>accountability and transparency measure would be for the D</w:t>
      </w:r>
      <w:r w:rsidR="00FA11C0">
        <w:t>epartment to produce an annual B</w:t>
      </w:r>
      <w:r w:rsidR="007E6B2B">
        <w:t>udge</w:t>
      </w:r>
      <w:r w:rsidR="00F04D5B">
        <w:t>t</w:t>
      </w:r>
      <w:r w:rsidR="00FA11C0">
        <w:t>-</w:t>
      </w:r>
      <w:r w:rsidR="007E6B2B">
        <w:t xml:space="preserve">related paper on biosecurity </w:t>
      </w:r>
      <w:r w:rsidR="00013A8B">
        <w:t xml:space="preserve">as suggested by the Pegasus </w:t>
      </w:r>
      <w:r w:rsidR="0008231C">
        <w:t>R</w:t>
      </w:r>
      <w:r w:rsidR="00013A8B">
        <w:t>eport:</w:t>
      </w:r>
    </w:p>
    <w:p w14:paraId="20AF3A94" w14:textId="008FC7DE" w:rsidR="00013A8B" w:rsidRDefault="00540F2A" w:rsidP="00540F2A">
      <w:pPr>
        <w:pStyle w:val="Quote"/>
      </w:pPr>
      <w:r>
        <w:t xml:space="preserve">In order to reassure stakeholders that any additional revenue collected through a biosecurity tax in the future will be allocated to border biosecurity compliance and enforcement, and provide a measure of accountability for industry stakeholders, the government could produce an annual Biosecurity Budget Statement as a Budget Related Paper. The existing annual </w:t>
      </w:r>
      <w:r w:rsidR="0008231C">
        <w:t xml:space="preserve">[Department] </w:t>
      </w:r>
      <w:r>
        <w:t xml:space="preserve">Portfolio Budget Statement is somewhat opaque and difficult to follow, especially for those not familiar with Commonwealth Government budgeting and accounting practices. The Biosecurity Budget Statement could provide a full reconciliation of funding sources and expenses for </w:t>
      </w:r>
      <w:r w:rsidR="0008231C">
        <w:t>[Department]</w:t>
      </w:r>
      <w:r>
        <w:t xml:space="preserve"> Biosecurity. It could outline current biosecurity priorities as well as provide more meaningful indicators on the quality of service provided such as turnaround times on biosecurity inspections. </w:t>
      </w:r>
      <w:sdt>
        <w:sdtPr>
          <w:id w:val="-1580672838"/>
          <w:citation/>
        </w:sdtPr>
        <w:sdtEndPr/>
        <w:sdtContent>
          <w:r>
            <w:fldChar w:fldCharType="begin"/>
          </w:r>
          <w:r w:rsidR="00B61817">
            <w:instrText xml:space="preserve">CITATION Fis19 \p 18 \t  \l 3081 </w:instrText>
          </w:r>
          <w:r>
            <w:fldChar w:fldCharType="separate"/>
          </w:r>
          <w:r w:rsidR="00604A29">
            <w:rPr>
              <w:noProof/>
            </w:rPr>
            <w:t>(Fisher &amp; Davey, 2019, p. 18)</w:t>
          </w:r>
          <w:r>
            <w:fldChar w:fldCharType="end"/>
          </w:r>
        </w:sdtContent>
      </w:sdt>
    </w:p>
    <w:p w14:paraId="65B978B2" w14:textId="56143AED" w:rsidR="00B87816" w:rsidRDefault="00F04D5B" w:rsidP="00B87816">
      <w:r>
        <w:t>The proposal f</w:t>
      </w:r>
      <w:r w:rsidR="00FA11C0">
        <w:t>or the production of an annual Budget-</w:t>
      </w:r>
      <w:r>
        <w:t xml:space="preserve">related paper on biosecurity </w:t>
      </w:r>
      <w:r w:rsidR="00FA11C0">
        <w:t xml:space="preserve">was </w:t>
      </w:r>
      <w:r>
        <w:t xml:space="preserve">also </w:t>
      </w:r>
      <w:r w:rsidR="008909B5">
        <w:t>described</w:t>
      </w:r>
      <w:r w:rsidR="00FA11C0">
        <w:t xml:space="preserve"> in the Committee’s discussion paper. It </w:t>
      </w:r>
      <w:r>
        <w:t xml:space="preserve">received strong support from submissions. </w:t>
      </w:r>
      <w:r w:rsidR="006E0A9F">
        <w:t xml:space="preserve">According to </w:t>
      </w:r>
      <w:r w:rsidR="008909B5" w:rsidRPr="0007505D">
        <w:t>the</w:t>
      </w:r>
      <w:r w:rsidR="006E0A9F" w:rsidRPr="0007505D">
        <w:t xml:space="preserve"> Chamber of Minerals and Energy of Western Australia</w:t>
      </w:r>
      <w:r w:rsidR="006E0A9F">
        <w:t xml:space="preserve"> </w:t>
      </w:r>
      <w:sdt>
        <w:sdtPr>
          <w:id w:val="2145540372"/>
          <w:citation/>
        </w:sdtPr>
        <w:sdtEndPr/>
        <w:sdtContent>
          <w:r w:rsidR="006E0A9F">
            <w:fldChar w:fldCharType="begin"/>
          </w:r>
          <w:r w:rsidR="006E0A9F">
            <w:instrText xml:space="preserve">CITATION The19 \n  \t  \l 3081 </w:instrText>
          </w:r>
          <w:r w:rsidR="006E0A9F">
            <w:fldChar w:fldCharType="separate"/>
          </w:r>
          <w:r w:rsidR="00604A29">
            <w:rPr>
              <w:noProof/>
            </w:rPr>
            <w:t>(2019)</w:t>
          </w:r>
          <w:r w:rsidR="006E0A9F">
            <w:fldChar w:fldCharType="end"/>
          </w:r>
        </w:sdtContent>
      </w:sdt>
      <w:r w:rsidR="006E0A9F">
        <w:t>:</w:t>
      </w:r>
    </w:p>
    <w:p w14:paraId="40D52A7F" w14:textId="3004BAEA" w:rsidR="006E0A9F" w:rsidRDefault="00A813CD" w:rsidP="00A813CD">
      <w:pPr>
        <w:pStyle w:val="Quote"/>
      </w:pPr>
      <w:r>
        <w:t>If the levy funds cannot be hypothecated, an annual budget report will provide transparency to show the meaningful use of the funds.</w:t>
      </w:r>
    </w:p>
    <w:p w14:paraId="4C9E95BC" w14:textId="1A8CA694" w:rsidR="006E0A9F" w:rsidRDefault="008909B5" w:rsidP="00B87816">
      <w:r>
        <w:t>Similarly,</w:t>
      </w:r>
      <w:r w:rsidR="00CA56A1">
        <w:t xml:space="preserve"> the National Farmers’ Federation </w:t>
      </w:r>
      <w:sdt>
        <w:sdtPr>
          <w:id w:val="-7134276"/>
          <w:citation/>
        </w:sdtPr>
        <w:sdtEndPr/>
        <w:sdtContent>
          <w:r w:rsidR="00CA56A1">
            <w:fldChar w:fldCharType="begin"/>
          </w:r>
          <w:r w:rsidR="00983844">
            <w:instrText xml:space="preserve">CITATION Nat19 \p 2-3 \n  \t  \l 3081 </w:instrText>
          </w:r>
          <w:r w:rsidR="00CA56A1">
            <w:fldChar w:fldCharType="separate"/>
          </w:r>
          <w:r w:rsidR="00604A29">
            <w:rPr>
              <w:noProof/>
            </w:rPr>
            <w:t>(2019, pp. 2-3)</w:t>
          </w:r>
          <w:r w:rsidR="00CA56A1">
            <w:fldChar w:fldCharType="end"/>
          </w:r>
        </w:sdtContent>
      </w:sdt>
      <w:r>
        <w:t xml:space="preserve"> said</w:t>
      </w:r>
      <w:r w:rsidR="00CA56A1">
        <w:t>:</w:t>
      </w:r>
    </w:p>
    <w:p w14:paraId="7851E6D6" w14:textId="50345407" w:rsidR="00983844" w:rsidRDefault="00983844" w:rsidP="00C834D8">
      <w:pPr>
        <w:pStyle w:val="Quote"/>
      </w:pPr>
      <w:r>
        <w:t xml:space="preserve">An Australian Government commitment to produce an annual Biosecurity Budget-related Paper with a full reconciliation of funding sources and expenses would be very much welcomed by the NFF and its members. As well as providing much-needed transparency and accountability, such a measure would send a strong signal to industry and the community about the national </w:t>
      </w:r>
      <w:r w:rsidR="00C834D8">
        <w:t>importance of biosecurity, and the government’s commitment to working with industry to deliver a world-class biosecurity system by identifying priorities and addressing gaps.</w:t>
      </w:r>
    </w:p>
    <w:p w14:paraId="02888297" w14:textId="0E78DD76" w:rsidR="008F6FC9" w:rsidRPr="008F6FC9" w:rsidRDefault="008F6FC9" w:rsidP="00BD287A">
      <w:r>
        <w:t>On this basis, the Committee further recommends that the Department should produce an annual Budget-related paper which would provide a full reconciliation of biosecurity-related revenue and expenditure and thereby assist in clarifying how funds are collected and appropriated, and where they are spent</w:t>
      </w:r>
      <w:r w:rsidR="00BA25B6">
        <w:t>.</w:t>
      </w:r>
    </w:p>
    <w:p w14:paraId="5C4F00B6" w14:textId="77777777" w:rsidR="0008231C" w:rsidRDefault="0008231C">
      <w:pPr>
        <w:spacing w:before="0" w:after="160" w:line="259" w:lineRule="auto"/>
        <w:rPr>
          <w:rFonts w:asciiTheme="majorHAnsi" w:eastAsiaTheme="majorEastAsia" w:hAnsiTheme="majorHAnsi" w:cstheme="majorBidi"/>
          <w:color w:val="2F5496" w:themeColor="accent1" w:themeShade="BF"/>
          <w:sz w:val="32"/>
          <w:szCs w:val="32"/>
        </w:rPr>
      </w:pPr>
      <w:r>
        <w:br w:type="page"/>
      </w:r>
    </w:p>
    <w:p w14:paraId="1F9ECEB5" w14:textId="26F33BEF" w:rsidR="00EA56CB" w:rsidRDefault="00C512F4" w:rsidP="00EA56CB">
      <w:pPr>
        <w:pStyle w:val="Heading1"/>
      </w:pPr>
      <w:bookmarkStart w:id="27" w:name="_Toc10031893"/>
      <w:r>
        <w:t>6</w:t>
      </w:r>
      <w:r w:rsidR="00EA56CB" w:rsidRPr="00CE223F">
        <w:t>.</w:t>
      </w:r>
      <w:r w:rsidR="00EA56CB" w:rsidRPr="00CE223F">
        <w:tab/>
        <w:t>Collection Mechanism</w:t>
      </w:r>
      <w:bookmarkEnd w:id="27"/>
    </w:p>
    <w:p w14:paraId="581968E0" w14:textId="01066887" w:rsidR="003D43DA" w:rsidRDefault="00C512F4" w:rsidP="006A71A2">
      <w:pPr>
        <w:pStyle w:val="Heading2"/>
      </w:pPr>
      <w:bookmarkStart w:id="28" w:name="_Toc10031894"/>
      <w:r w:rsidRPr="00FA11C0">
        <w:t>6</w:t>
      </w:r>
      <w:r w:rsidR="003D43DA" w:rsidRPr="00FA11C0">
        <w:t>.1</w:t>
      </w:r>
      <w:r w:rsidR="003D43DA" w:rsidRPr="00FA11C0">
        <w:tab/>
      </w:r>
      <w:r w:rsidR="00956FAA" w:rsidRPr="00FA11C0">
        <w:t xml:space="preserve">Proposed Collection Mechanisms for </w:t>
      </w:r>
      <w:r w:rsidR="00D504A1" w:rsidRPr="00FA11C0">
        <w:t xml:space="preserve">a </w:t>
      </w:r>
      <w:r w:rsidR="006A71A2" w:rsidRPr="00FA11C0">
        <w:t>Biosecurity Levy</w:t>
      </w:r>
      <w:bookmarkEnd w:id="28"/>
    </w:p>
    <w:p w14:paraId="320C9677" w14:textId="77777777" w:rsidR="00F636E1" w:rsidRPr="00D173AB" w:rsidRDefault="00F636E1" w:rsidP="00F636E1">
      <w:r w:rsidRPr="00D173AB">
        <w:t>There are three main categories of sea freight:</w:t>
      </w:r>
    </w:p>
    <w:p w14:paraId="27F52B46" w14:textId="2621F91C" w:rsidR="00F636E1" w:rsidRPr="00D173AB" w:rsidRDefault="00F636E1" w:rsidP="00F636E1">
      <w:pPr>
        <w:pStyle w:val="ListParagraph"/>
        <w:numPr>
          <w:ilvl w:val="0"/>
          <w:numId w:val="14"/>
        </w:numPr>
        <w:spacing w:before="0" w:after="160" w:line="259" w:lineRule="auto"/>
      </w:pPr>
      <w:r w:rsidRPr="00D173AB">
        <w:t>Containers</w:t>
      </w:r>
      <w:r>
        <w:t>,</w:t>
      </w:r>
      <w:r w:rsidRPr="00D173AB">
        <w:t xml:space="preserve"> which are standardised boxes usually 8 feet wide, often 8 feet 6 inches high and mostly twenty foot or forty feet long, usually filled with cargo </w:t>
      </w:r>
      <w:sdt>
        <w:sdtPr>
          <w:id w:val="-69744477"/>
          <w:citation/>
        </w:sdtPr>
        <w:sdtEndPr/>
        <w:sdtContent>
          <w:r w:rsidRPr="00D173AB">
            <w:fldChar w:fldCharType="begin"/>
          </w:r>
          <w:r w:rsidRPr="00D173AB">
            <w:instrText xml:space="preserve">CITATION Sto09 \p 65 \t  \l 3081 </w:instrText>
          </w:r>
          <w:r w:rsidRPr="00D173AB">
            <w:fldChar w:fldCharType="separate"/>
          </w:r>
          <w:r w:rsidR="00604A29">
            <w:rPr>
              <w:noProof/>
            </w:rPr>
            <w:t>(Stopford, 2009, p. 65)</w:t>
          </w:r>
          <w:r w:rsidRPr="00D173AB">
            <w:fldChar w:fldCharType="end"/>
          </w:r>
        </w:sdtContent>
      </w:sdt>
    </w:p>
    <w:p w14:paraId="0389E052" w14:textId="005E6B23" w:rsidR="00F636E1" w:rsidRPr="00D173AB" w:rsidRDefault="00F636E1" w:rsidP="00F636E1">
      <w:pPr>
        <w:pStyle w:val="ListParagraph"/>
        <w:numPr>
          <w:ilvl w:val="0"/>
          <w:numId w:val="14"/>
        </w:numPr>
        <w:spacing w:before="0" w:after="160" w:line="259" w:lineRule="auto"/>
      </w:pPr>
      <w:r w:rsidRPr="00D173AB">
        <w:t xml:space="preserve">Bulk refers to either dry or liquid products transported unpackaged in large quantities </w:t>
      </w:r>
      <w:sdt>
        <w:sdtPr>
          <w:id w:val="-1548670008"/>
          <w:citation/>
        </w:sdtPr>
        <w:sdtEndPr/>
        <w:sdtContent>
          <w:r w:rsidRPr="00D173AB">
            <w:fldChar w:fldCharType="begin"/>
          </w:r>
          <w:r w:rsidRPr="00D173AB">
            <w:instrText xml:space="preserve"> CITATION Pec17 \l 3081 </w:instrText>
          </w:r>
          <w:r w:rsidRPr="00D173AB">
            <w:fldChar w:fldCharType="separate"/>
          </w:r>
          <w:r w:rsidR="00604A29">
            <w:rPr>
              <w:noProof/>
            </w:rPr>
            <w:t>(Pecci, 2017)</w:t>
          </w:r>
          <w:r w:rsidRPr="00D173AB">
            <w:fldChar w:fldCharType="end"/>
          </w:r>
        </w:sdtContent>
      </w:sdt>
    </w:p>
    <w:p w14:paraId="5B6F4CA1" w14:textId="1808FACB" w:rsidR="00F636E1" w:rsidRPr="00D173AB" w:rsidRDefault="00F636E1" w:rsidP="00F636E1">
      <w:pPr>
        <w:pStyle w:val="ListParagraph"/>
        <w:numPr>
          <w:ilvl w:val="0"/>
          <w:numId w:val="14"/>
        </w:numPr>
        <w:spacing w:before="0" w:after="160" w:line="259" w:lineRule="auto"/>
      </w:pPr>
      <w:r w:rsidRPr="00D173AB">
        <w:t xml:space="preserve">Break bulk refers to cargoes that are carried in unitised form such as palletised, bagged, strapped, bundled, drummed or crated and non-unitised cargoes such as motor vehicles and steel </w:t>
      </w:r>
      <w:sdt>
        <w:sdtPr>
          <w:id w:val="1116877694"/>
          <w:citation/>
        </w:sdtPr>
        <w:sdtEndPr/>
        <w:sdtContent>
          <w:r w:rsidRPr="00D173AB">
            <w:fldChar w:fldCharType="begin"/>
          </w:r>
          <w:r w:rsidRPr="00D173AB">
            <w:instrText xml:space="preserve"> CITATION Man15 \l 3081 </w:instrText>
          </w:r>
          <w:r w:rsidRPr="00D173AB">
            <w:fldChar w:fldCharType="separate"/>
          </w:r>
          <w:r w:rsidR="00604A29">
            <w:rPr>
              <w:noProof/>
            </w:rPr>
            <w:t>(Manaadiar, 2015)</w:t>
          </w:r>
          <w:r w:rsidRPr="00D173AB">
            <w:fldChar w:fldCharType="end"/>
          </w:r>
        </w:sdtContent>
      </w:sdt>
      <w:r w:rsidRPr="00D173AB">
        <w:t>.</w:t>
      </w:r>
    </w:p>
    <w:p w14:paraId="1E22A47A" w14:textId="62499723" w:rsidR="00F636E1" w:rsidRDefault="00F636E1" w:rsidP="007C3037">
      <w:r w:rsidRPr="00D173AB">
        <w:t>Aircraft containers</w:t>
      </w:r>
      <w:r>
        <w:t>,</w:t>
      </w:r>
      <w:r w:rsidRPr="00D173AB">
        <w:t xml:space="preserve"> known as Unit Load Devices </w:t>
      </w:r>
      <w:sdt>
        <w:sdtPr>
          <w:id w:val="-1248030425"/>
          <w:citation/>
        </w:sdtPr>
        <w:sdtEndPr/>
        <w:sdtContent>
          <w:r w:rsidRPr="00D173AB">
            <w:fldChar w:fldCharType="begin"/>
          </w:r>
          <w:r w:rsidRPr="00D173AB">
            <w:instrText xml:space="preserve"> CITATION Cla13 \l 3081 </w:instrText>
          </w:r>
          <w:r w:rsidRPr="00D173AB">
            <w:fldChar w:fldCharType="separate"/>
          </w:r>
          <w:r w:rsidR="00604A29">
            <w:rPr>
              <w:noProof/>
            </w:rPr>
            <w:t>(Clark Global Logistics, 2013)</w:t>
          </w:r>
          <w:r w:rsidRPr="00D173AB">
            <w:fldChar w:fldCharType="end"/>
          </w:r>
        </w:sdtContent>
      </w:sdt>
      <w:r>
        <w:t xml:space="preserve">, </w:t>
      </w:r>
      <w:r w:rsidRPr="00D173AB">
        <w:t xml:space="preserve">come in two forms: pallets and containers. </w:t>
      </w:r>
      <w:r>
        <w:t>P</w:t>
      </w:r>
      <w:r w:rsidRPr="00D173AB">
        <w:t xml:space="preserve">allets are rugged sheets of aluminium with rims designed to lock onto cargo net lugs. </w:t>
      </w:r>
      <w:r>
        <w:t>C</w:t>
      </w:r>
      <w:r w:rsidRPr="00D173AB">
        <w:t>ontainers, also known as cans and pods, are closed containers made of aluminium or combination of aluminium (frame) and Lexan (walls), which, depending on the nature of the goods to be transported, may have built-in refrigeration units.</w:t>
      </w:r>
    </w:p>
    <w:p w14:paraId="40503156" w14:textId="5340CD43" w:rsidR="00CE1BA2" w:rsidRDefault="00E85675" w:rsidP="007C3037">
      <w:r>
        <w:t>The Department</w:t>
      </w:r>
      <w:r w:rsidR="00CE1BA2">
        <w:t xml:space="preserve"> </w:t>
      </w:r>
      <w:r w:rsidR="00FA11C0">
        <w:t>intended</w:t>
      </w:r>
      <w:r w:rsidR="00CE1BA2">
        <w:t xml:space="preserve"> </w:t>
      </w:r>
      <w:r w:rsidR="00FA11C0">
        <w:t>that</w:t>
      </w:r>
      <w:r w:rsidR="00CE1BA2">
        <w:t xml:space="preserve"> the </w:t>
      </w:r>
      <w:r>
        <w:t>levy</w:t>
      </w:r>
      <w:r w:rsidR="00CE1BA2">
        <w:t xml:space="preserve"> be collected </w:t>
      </w:r>
      <w:r>
        <w:t>via</w:t>
      </w:r>
      <w:r w:rsidR="00CE1BA2">
        <w:t xml:space="preserve"> a new mechanism</w:t>
      </w:r>
      <w:r w:rsidR="00C76872">
        <w:t xml:space="preserve"> – one </w:t>
      </w:r>
      <w:r w:rsidR="00CE1BA2">
        <w:t>developed by firms involved at the point of imposition.</w:t>
      </w:r>
      <w:r w:rsidR="004A52DE">
        <w:t xml:space="preserve"> </w:t>
      </w:r>
      <w:r w:rsidR="008A7A2B">
        <w:t>In its report, Pegasus found:</w:t>
      </w:r>
    </w:p>
    <w:p w14:paraId="7DE2465E" w14:textId="2D5FE339" w:rsidR="008A7A2B" w:rsidRDefault="008A7A2B" w:rsidP="008A7A2B">
      <w:pPr>
        <w:pStyle w:val="Quote"/>
      </w:pPr>
      <w:r>
        <w:t xml:space="preserve">Stakeholders expressed concern that not only would they be expected to incur the impost of the </w:t>
      </w:r>
      <w:r w:rsidR="00E85675">
        <w:t>levy</w:t>
      </w:r>
      <w:r>
        <w:t xml:space="preserve"> itself, but that government was expecting them to also incur the cost associated with establishing the collection mechanism. Stakeholders considered this doubling up of the burden associated with the impost of the </w:t>
      </w:r>
      <w:r w:rsidR="00E85675">
        <w:t>levy</w:t>
      </w:r>
      <w:r>
        <w:t xml:space="preserve"> to be unreasonable, given the availability of other, lower cost collection mechanisms commonly employed to collect similar taxes. </w:t>
      </w:r>
      <w:sdt>
        <w:sdtPr>
          <w:id w:val="-107746897"/>
          <w:citation/>
        </w:sdtPr>
        <w:sdtEndPr/>
        <w:sdtContent>
          <w:r>
            <w:fldChar w:fldCharType="begin"/>
          </w:r>
          <w:r w:rsidR="00E50D5B">
            <w:instrText xml:space="preserve">CITATION Fis19 \p 14 \t  \l 3081 </w:instrText>
          </w:r>
          <w:r>
            <w:fldChar w:fldCharType="separate"/>
          </w:r>
          <w:r w:rsidR="00604A29">
            <w:rPr>
              <w:noProof/>
            </w:rPr>
            <w:t>(Fisher &amp; Davey, 2019, p. 14)</w:t>
          </w:r>
          <w:r>
            <w:fldChar w:fldCharType="end"/>
          </w:r>
        </w:sdtContent>
      </w:sdt>
    </w:p>
    <w:p w14:paraId="1BDB62E2" w14:textId="6D334728" w:rsidR="007C3037" w:rsidRDefault="00270D18" w:rsidP="007C3037">
      <w:r>
        <w:t xml:space="preserve">The 2018-19 Budget Papers indicated that the </w:t>
      </w:r>
      <w:r w:rsidR="004A28ED">
        <w:t>levy</w:t>
      </w:r>
      <w:r>
        <w:t xml:space="preserve"> would be collected from ‘port operators’</w:t>
      </w:r>
      <w:r w:rsidR="003F0803">
        <w:t xml:space="preserve"> </w:t>
      </w:r>
      <w:sdt>
        <w:sdtPr>
          <w:id w:val="2139448592"/>
          <w:citation/>
        </w:sdtPr>
        <w:sdtEndPr/>
        <w:sdtContent>
          <w:r w:rsidR="003F0803">
            <w:fldChar w:fldCharType="begin"/>
          </w:r>
          <w:r w:rsidR="004B5475">
            <w:instrText xml:space="preserve">CITATION The18 \p 7 \t  \l 3081 </w:instrText>
          </w:r>
          <w:r w:rsidR="003F0803">
            <w:fldChar w:fldCharType="separate"/>
          </w:r>
          <w:r w:rsidR="00604A29">
            <w:rPr>
              <w:noProof/>
            </w:rPr>
            <w:t>(Commonwealth of Australia, 2018, p. 7)</w:t>
          </w:r>
          <w:r w:rsidR="003F0803">
            <w:fldChar w:fldCharType="end"/>
          </w:r>
        </w:sdtContent>
      </w:sdt>
      <w:r>
        <w:t xml:space="preserve">, </w:t>
      </w:r>
      <w:r w:rsidR="004A28ED">
        <w:t>i</w:t>
      </w:r>
      <w:r w:rsidR="002F0EDF">
        <w:t>.</w:t>
      </w:r>
      <w:r w:rsidR="004A28ED">
        <w:t>e</w:t>
      </w:r>
      <w:r w:rsidR="002F0EDF">
        <w:t>.</w:t>
      </w:r>
      <w:r>
        <w:t xml:space="preserve"> port terminal operators</w:t>
      </w:r>
      <w:r w:rsidR="004A28ED">
        <w:t xml:space="preserve"> or </w:t>
      </w:r>
      <w:r w:rsidR="007C3037">
        <w:t xml:space="preserve">stevedores. </w:t>
      </w:r>
    </w:p>
    <w:p w14:paraId="53B5F178" w14:textId="5CF1D467" w:rsidR="004A28ED" w:rsidRDefault="005D0E7B" w:rsidP="006A71A2">
      <w:r>
        <w:t xml:space="preserve">Later, </w:t>
      </w:r>
      <w:r w:rsidR="004A28ED">
        <w:t>the Department</w:t>
      </w:r>
      <w:r>
        <w:t xml:space="preserve"> </w:t>
      </w:r>
      <w:sdt>
        <w:sdtPr>
          <w:id w:val="2063368913"/>
          <w:citation/>
        </w:sdtPr>
        <w:sdtEndPr/>
        <w:sdtContent>
          <w:r>
            <w:fldChar w:fldCharType="begin"/>
          </w:r>
          <w:r>
            <w:instrText xml:space="preserve">CITATION Dep2 \n  \t  \l 3081 </w:instrText>
          </w:r>
          <w:r>
            <w:fldChar w:fldCharType="separate"/>
          </w:r>
          <w:r w:rsidR="00604A29">
            <w:rPr>
              <w:noProof/>
            </w:rPr>
            <w:t>(2018b)</w:t>
          </w:r>
          <w:r>
            <w:fldChar w:fldCharType="end"/>
          </w:r>
        </w:sdtContent>
      </w:sdt>
      <w:r w:rsidRPr="00FF2FE6">
        <w:t xml:space="preserve"> suggested that shipping lines might be an appropriate point of imposition because they have access to a suitable charging structur</w:t>
      </w:r>
      <w:r w:rsidR="004A28ED">
        <w:t>e</w:t>
      </w:r>
      <w:r w:rsidRPr="00FF2FE6">
        <w:t xml:space="preserve"> and a reporting tool that would minimise new administrative requirements for vessel masters or their agents.</w:t>
      </w:r>
      <w:r w:rsidR="00A6367D">
        <w:t xml:space="preserve"> </w:t>
      </w:r>
      <w:r w:rsidR="00535809">
        <w:t xml:space="preserve">It is also understood that </w:t>
      </w:r>
      <w:r w:rsidR="004A28ED">
        <w:t xml:space="preserve">the Department </w:t>
      </w:r>
      <w:r w:rsidR="00A6367D">
        <w:t>canvassed</w:t>
      </w:r>
      <w:r w:rsidR="00535809">
        <w:t xml:space="preserve"> </w:t>
      </w:r>
      <w:r w:rsidR="00A6367D">
        <w:t xml:space="preserve">the possibility of imposing the levy on port authorities </w:t>
      </w:r>
      <w:sdt>
        <w:sdtPr>
          <w:id w:val="2096593460"/>
          <w:citation/>
        </w:sdtPr>
        <w:sdtEndPr/>
        <w:sdtContent>
          <w:r w:rsidR="00A6367D">
            <w:fldChar w:fldCharType="begin"/>
          </w:r>
          <w:r w:rsidR="00A6367D">
            <w:instrText xml:space="preserve">CITATION Fis19 \p 12 \t  \l 3081 </w:instrText>
          </w:r>
          <w:r w:rsidR="00A6367D">
            <w:fldChar w:fldCharType="separate"/>
          </w:r>
          <w:r w:rsidR="00604A29">
            <w:rPr>
              <w:noProof/>
            </w:rPr>
            <w:t>(Fisher &amp; Davey, 2019, p. 12)</w:t>
          </w:r>
          <w:r w:rsidR="00A6367D">
            <w:fldChar w:fldCharType="end"/>
          </w:r>
        </w:sdtContent>
      </w:sdt>
      <w:r w:rsidR="00A6367D">
        <w:t>.</w:t>
      </w:r>
      <w:r w:rsidR="00901505">
        <w:t xml:space="preserve"> </w:t>
      </w:r>
    </w:p>
    <w:p w14:paraId="50D6097E" w14:textId="5AB7C5B0" w:rsidR="00956FAA" w:rsidRDefault="006411C6" w:rsidP="006A71A2">
      <w:r>
        <w:t xml:space="preserve">In submissions to the Committee, no one supported the collection of a levy through either stevedores </w:t>
      </w:r>
      <w:r w:rsidR="00581288">
        <w:t>or port authorities</w:t>
      </w:r>
      <w:r w:rsidR="00F83AE5">
        <w:t>;</w:t>
      </w:r>
      <w:r w:rsidR="00581288">
        <w:t xml:space="preserve"> </w:t>
      </w:r>
      <w:r w:rsidR="004A28ED">
        <w:t xml:space="preserve">one </w:t>
      </w:r>
      <w:r w:rsidR="006D215C">
        <w:t xml:space="preserve">submission </w:t>
      </w:r>
      <w:r w:rsidR="00581288">
        <w:t xml:space="preserve">supported </w:t>
      </w:r>
      <w:r>
        <w:t xml:space="preserve">collection through </w:t>
      </w:r>
      <w:r w:rsidR="0003389C">
        <w:t>vessel masters or their agents</w:t>
      </w:r>
      <w:r w:rsidR="002F0EDF">
        <w:t xml:space="preserve"> </w:t>
      </w:r>
      <w:sdt>
        <w:sdtPr>
          <w:id w:val="81810438"/>
          <w:citation/>
        </w:sdtPr>
        <w:sdtEndPr/>
        <w:sdtContent>
          <w:r w:rsidR="002F0EDF">
            <w:fldChar w:fldCharType="begin"/>
          </w:r>
          <w:r w:rsidR="002F0EDF">
            <w:instrText xml:space="preserve"> CITATION Gas19 \l 3081 </w:instrText>
          </w:r>
          <w:r w:rsidR="002F0EDF">
            <w:fldChar w:fldCharType="separate"/>
          </w:r>
          <w:r w:rsidR="002F0EDF">
            <w:rPr>
              <w:noProof/>
            </w:rPr>
            <w:t>(Gas Energy Australia, 2019)</w:t>
          </w:r>
          <w:r w:rsidR="002F0EDF">
            <w:fldChar w:fldCharType="end"/>
          </w:r>
        </w:sdtContent>
      </w:sdt>
      <w:r w:rsidR="002F0EDF">
        <w:t>.</w:t>
      </w:r>
    </w:p>
    <w:p w14:paraId="5004316F" w14:textId="680759FA" w:rsidR="00B47605" w:rsidRDefault="00EE3741" w:rsidP="006A71A2">
      <w:r>
        <w:t>A widespread view</w:t>
      </w:r>
      <w:r w:rsidR="009908A7">
        <w:t xml:space="preserve"> noted by Pegasus</w:t>
      </w:r>
      <w:r>
        <w:t xml:space="preserve"> was that the levy</w:t>
      </w:r>
      <w:r w:rsidR="00084982">
        <w:t xml:space="preserve"> should be collected directly from the importer through the </w:t>
      </w:r>
      <w:r w:rsidR="001769FE">
        <w:t>Full Import Declaration (</w:t>
      </w:r>
      <w:r w:rsidR="00084982">
        <w:t>FID</w:t>
      </w:r>
      <w:r w:rsidR="001769FE">
        <w:t>)</w:t>
      </w:r>
      <w:r w:rsidR="009908A7">
        <w:t>:</w:t>
      </w:r>
    </w:p>
    <w:p w14:paraId="32DFC568" w14:textId="1B27CA20" w:rsidR="00260AD7" w:rsidRDefault="00260AD7" w:rsidP="00260AD7">
      <w:pPr>
        <w:pStyle w:val="Quote"/>
      </w:pPr>
      <w:r>
        <w:t xml:space="preserve">There is a developing consensus amongst the industry representatives that have been consulted that if a levy on imports is to be introduced, the point of imposition should be as close as possible to the cargo owners/importers who have created the demand for the import. This would mean that the economic incidence (who ultimately bears the burden) and the legal incidence (who pays the bill to the Australian Government) would be as close as possible, thereby minimising the scope for cost multipliers as costs are </w:t>
      </w:r>
      <w:r w:rsidR="0022572C">
        <w:t>passed through the supply chain</w:t>
      </w:r>
      <w:r>
        <w:t xml:space="preserve">. </w:t>
      </w:r>
      <w:sdt>
        <w:sdtPr>
          <w:id w:val="2109086780"/>
          <w:citation/>
        </w:sdtPr>
        <w:sdtEndPr/>
        <w:sdtContent>
          <w:r>
            <w:fldChar w:fldCharType="begin"/>
          </w:r>
          <w:r>
            <w:instrText xml:space="preserve">CITATION Fis19 \p 13 \t  \l 3081 </w:instrText>
          </w:r>
          <w:r>
            <w:fldChar w:fldCharType="separate"/>
          </w:r>
          <w:r w:rsidR="00604A29">
            <w:rPr>
              <w:noProof/>
            </w:rPr>
            <w:t>(Fisher &amp; Davey, 2019, p. 13)</w:t>
          </w:r>
          <w:r>
            <w:fldChar w:fldCharType="end"/>
          </w:r>
        </w:sdtContent>
      </w:sdt>
    </w:p>
    <w:p w14:paraId="0417F0E6" w14:textId="5B8AE988" w:rsidR="004752BA" w:rsidRDefault="00A615B3" w:rsidP="00335B63">
      <w:r>
        <w:t>Similarly, t</w:t>
      </w:r>
      <w:r w:rsidR="00864491">
        <w:t xml:space="preserve">he </w:t>
      </w:r>
      <w:r w:rsidR="0022572C">
        <w:t xml:space="preserve">overwhelming </w:t>
      </w:r>
      <w:r w:rsidR="00864491">
        <w:t>majority of submission</w:t>
      </w:r>
      <w:r w:rsidR="0022572C">
        <w:t>s</w:t>
      </w:r>
      <w:r w:rsidR="00864491">
        <w:t xml:space="preserve"> </w:t>
      </w:r>
      <w:r w:rsidR="0022572C">
        <w:t xml:space="preserve">to the Committee </w:t>
      </w:r>
      <w:r w:rsidR="00845D8F">
        <w:t>expressed a preference for the FID</w:t>
      </w:r>
      <w:r w:rsidR="004712A9">
        <w:t xml:space="preserve">, largely </w:t>
      </w:r>
      <w:r>
        <w:t>because</w:t>
      </w:r>
      <w:r w:rsidR="004712A9">
        <w:t xml:space="preserve"> it </w:t>
      </w:r>
      <w:r w:rsidR="007B36CF">
        <w:t xml:space="preserve">was an existing collection mechanism, and </w:t>
      </w:r>
      <w:r w:rsidR="004712A9">
        <w:t xml:space="preserve">would minimise additional costs </w:t>
      </w:r>
      <w:r w:rsidR="00AB571F">
        <w:t>arising f</w:t>
      </w:r>
      <w:r w:rsidR="004712A9">
        <w:t>rom other parts of the supply chain ‘clipping the coupon</w:t>
      </w:r>
      <w:r w:rsidR="00AB571F">
        <w:t>’ on the way through.</w:t>
      </w:r>
      <w:r w:rsidR="0048254F">
        <w:t xml:space="preserve"> </w:t>
      </w:r>
      <w:r w:rsidR="007035AE">
        <w:t xml:space="preserve">For example, </w:t>
      </w:r>
      <w:r w:rsidR="004752BA">
        <w:t>Blue</w:t>
      </w:r>
      <w:r w:rsidR="001F2D73">
        <w:t>S</w:t>
      </w:r>
      <w:r w:rsidR="004752BA">
        <w:t xml:space="preserve">cope </w:t>
      </w:r>
      <w:r w:rsidR="000815A6">
        <w:t xml:space="preserve">Steel </w:t>
      </w:r>
      <w:sdt>
        <w:sdtPr>
          <w:id w:val="695427424"/>
          <w:citation/>
        </w:sdtPr>
        <w:sdtEndPr/>
        <w:sdtContent>
          <w:r w:rsidR="000815A6">
            <w:fldChar w:fldCharType="begin"/>
          </w:r>
          <w:r w:rsidR="00C03CD3">
            <w:instrText xml:space="preserve">CITATION Blu19 \p 5 \n  \t  \l 3081 </w:instrText>
          </w:r>
          <w:r w:rsidR="000815A6">
            <w:fldChar w:fldCharType="separate"/>
          </w:r>
          <w:r w:rsidR="00C03CD3">
            <w:rPr>
              <w:noProof/>
            </w:rPr>
            <w:t>(2019, p. 5)</w:t>
          </w:r>
          <w:r w:rsidR="000815A6">
            <w:fldChar w:fldCharType="end"/>
          </w:r>
        </w:sdtContent>
      </w:sdt>
      <w:r w:rsidR="004752BA">
        <w:t xml:space="preserve"> commented:</w:t>
      </w:r>
    </w:p>
    <w:p w14:paraId="1BEA170F" w14:textId="77B181C8" w:rsidR="004752BA" w:rsidRDefault="006011B5" w:rsidP="006011B5">
      <w:pPr>
        <w:pStyle w:val="Quote"/>
      </w:pPr>
      <w:r>
        <w:t>We note the FID’s advantage as an existing collection system that would require minimal change to make it fit-for-purpose, with the levy being imposed directly on importers with minimised cascading effects and no additional management, administration or third party auditing requirements.</w:t>
      </w:r>
    </w:p>
    <w:p w14:paraId="396F2EFE" w14:textId="1CE19BDE" w:rsidR="00264640" w:rsidRDefault="00264640" w:rsidP="00335B63">
      <w:r>
        <w:t xml:space="preserve">According to Llew Russell </w:t>
      </w:r>
      <w:sdt>
        <w:sdtPr>
          <w:id w:val="-34285447"/>
          <w:citation/>
        </w:sdtPr>
        <w:sdtEndPr/>
        <w:sdtContent>
          <w:r>
            <w:fldChar w:fldCharType="begin"/>
          </w:r>
          <w:r w:rsidR="004F016B">
            <w:instrText xml:space="preserve">CITATION Rus19 \p 9 \n  \t  \l 3081 </w:instrText>
          </w:r>
          <w:r>
            <w:fldChar w:fldCharType="separate"/>
          </w:r>
          <w:r w:rsidR="00604A29">
            <w:rPr>
              <w:noProof/>
            </w:rPr>
            <w:t>(2019, p. 9)</w:t>
          </w:r>
          <w:r>
            <w:fldChar w:fldCharType="end"/>
          </w:r>
        </w:sdtContent>
      </w:sdt>
      <w:r>
        <w:t>, a former Chief Executive Officer of Shipping Australia:</w:t>
      </w:r>
    </w:p>
    <w:p w14:paraId="11CB7AA1" w14:textId="1277FD3B" w:rsidR="00264640" w:rsidRDefault="004F016B" w:rsidP="004F016B">
      <w:pPr>
        <w:pStyle w:val="Quote"/>
      </w:pPr>
      <w:r>
        <w:t xml:space="preserve">There is a strong case for the use of the FID especially if software adjustment could be made to provide </w:t>
      </w:r>
      <w:r w:rsidR="001769FE">
        <w:t>all the data required</w:t>
      </w:r>
      <w:r>
        <w:t>.</w:t>
      </w:r>
    </w:p>
    <w:p w14:paraId="680D5EE0" w14:textId="41BB723D" w:rsidR="00A36F80" w:rsidRPr="00CA7477" w:rsidRDefault="00A36F80" w:rsidP="00A36F80">
      <w:pPr>
        <w:rPr>
          <w:rFonts w:ascii="Calibri" w:hAnsi="Calibri" w:cs="Calibri"/>
          <w:color w:val="000000"/>
          <w:szCs w:val="22"/>
        </w:rPr>
      </w:pPr>
      <w:r w:rsidRPr="00CA7477">
        <w:t>A FID is i</w:t>
      </w:r>
      <w:r w:rsidRPr="00CA7477">
        <w:rPr>
          <w:rFonts w:ascii="Calibri" w:hAnsi="Calibri" w:cs="Calibri"/>
          <w:color w:val="000000"/>
          <w:szCs w:val="22"/>
        </w:rPr>
        <w:t xml:space="preserve">nformation required by the Commonwealth to process imported goods with a value exceeding $1,000 </w:t>
      </w:r>
      <w:sdt>
        <w:sdtPr>
          <w:rPr>
            <w:rFonts w:ascii="Calibri" w:hAnsi="Calibri" w:cs="Calibri"/>
            <w:color w:val="000000"/>
            <w:szCs w:val="22"/>
          </w:rPr>
          <w:id w:val="846592539"/>
          <w:citation/>
        </w:sdtPr>
        <w:sdtEndPr/>
        <w:sdtContent>
          <w:r w:rsidRPr="00CA7477">
            <w:rPr>
              <w:rFonts w:ascii="Calibri" w:hAnsi="Calibri" w:cs="Calibri"/>
              <w:color w:val="000000"/>
              <w:szCs w:val="22"/>
            </w:rPr>
            <w:fldChar w:fldCharType="begin"/>
          </w:r>
          <w:r w:rsidRPr="00CA7477">
            <w:rPr>
              <w:rFonts w:ascii="Calibri" w:hAnsi="Calibri" w:cs="Calibri"/>
              <w:color w:val="000000"/>
              <w:szCs w:val="22"/>
            </w:rPr>
            <w:instrText xml:space="preserve">CITATION Dep17 \p 7 \t  \l 3081 </w:instrText>
          </w:r>
          <w:r w:rsidRPr="00CA7477">
            <w:rPr>
              <w:rFonts w:ascii="Calibri" w:hAnsi="Calibri" w:cs="Calibri"/>
              <w:color w:val="000000"/>
              <w:szCs w:val="22"/>
            </w:rPr>
            <w:fldChar w:fldCharType="separate"/>
          </w:r>
          <w:r w:rsidR="00604A29" w:rsidRPr="00604A29">
            <w:rPr>
              <w:rFonts w:ascii="Calibri" w:hAnsi="Calibri" w:cs="Calibri"/>
              <w:noProof/>
              <w:color w:val="000000"/>
              <w:szCs w:val="22"/>
            </w:rPr>
            <w:t>(Department of Agriculture and Water Resources, 2017, p. 7)</w:t>
          </w:r>
          <w:r w:rsidRPr="00CA7477">
            <w:rPr>
              <w:rFonts w:ascii="Calibri" w:hAnsi="Calibri" w:cs="Calibri"/>
              <w:color w:val="000000"/>
              <w:szCs w:val="22"/>
            </w:rPr>
            <w:fldChar w:fldCharType="end"/>
          </w:r>
        </w:sdtContent>
      </w:sdt>
      <w:r w:rsidRPr="00CA7477">
        <w:rPr>
          <w:rFonts w:ascii="Calibri" w:hAnsi="Calibri" w:cs="Calibri"/>
          <w:color w:val="000000"/>
          <w:szCs w:val="22"/>
        </w:rPr>
        <w:t xml:space="preserve">. </w:t>
      </w:r>
      <w:r w:rsidRPr="00CA7477">
        <w:rPr>
          <w:szCs w:val="22"/>
        </w:rPr>
        <w:t xml:space="preserve">Where a FID for a consignment is lodged, a biosecurity processing charge is applied </w:t>
      </w:r>
      <w:sdt>
        <w:sdtPr>
          <w:rPr>
            <w:szCs w:val="22"/>
          </w:rPr>
          <w:id w:val="1070543636"/>
          <w:citation/>
        </w:sdtPr>
        <w:sdtEndPr/>
        <w:sdtContent>
          <w:r w:rsidRPr="00CA7477">
            <w:rPr>
              <w:szCs w:val="22"/>
            </w:rPr>
            <w:fldChar w:fldCharType="begin"/>
          </w:r>
          <w:r w:rsidRPr="00CA7477">
            <w:rPr>
              <w:szCs w:val="22"/>
            </w:rPr>
            <w:instrText xml:space="preserve">CITATION Dep17 \p 20 \t  \l 3081 </w:instrText>
          </w:r>
          <w:r w:rsidRPr="00CA7477">
            <w:rPr>
              <w:szCs w:val="22"/>
            </w:rPr>
            <w:fldChar w:fldCharType="separate"/>
          </w:r>
          <w:r w:rsidR="00604A29" w:rsidRPr="00604A29">
            <w:rPr>
              <w:noProof/>
              <w:szCs w:val="22"/>
            </w:rPr>
            <w:t>(Department of Agriculture and Water Resources, 2017, p. 20)</w:t>
          </w:r>
          <w:r w:rsidRPr="00CA7477">
            <w:rPr>
              <w:szCs w:val="22"/>
            </w:rPr>
            <w:fldChar w:fldCharType="end"/>
          </w:r>
        </w:sdtContent>
      </w:sdt>
      <w:r w:rsidRPr="00CA7477">
        <w:rPr>
          <w:szCs w:val="22"/>
        </w:rPr>
        <w:t xml:space="preserve"> – the so-called </w:t>
      </w:r>
      <w:r>
        <w:rPr>
          <w:szCs w:val="22"/>
        </w:rPr>
        <w:t>‘</w:t>
      </w:r>
      <w:r w:rsidRPr="00CA7477">
        <w:rPr>
          <w:szCs w:val="22"/>
        </w:rPr>
        <w:t>AQIS processing charge</w:t>
      </w:r>
      <w:r>
        <w:rPr>
          <w:szCs w:val="22"/>
        </w:rPr>
        <w:t>’ (an anachronistic name given that the Australian Quarantine and Inspection Service as an organisation no longer exists)</w:t>
      </w:r>
      <w:r w:rsidRPr="00CA7477">
        <w:rPr>
          <w:szCs w:val="22"/>
        </w:rPr>
        <w:t xml:space="preserve">. </w:t>
      </w:r>
      <w:r>
        <w:rPr>
          <w:szCs w:val="22"/>
        </w:rPr>
        <w:t>T</w:t>
      </w:r>
      <w:r w:rsidRPr="00CA7477">
        <w:rPr>
          <w:szCs w:val="22"/>
        </w:rPr>
        <w:t>he AQIS processing charge is currently $42</w:t>
      </w:r>
      <w:r>
        <w:rPr>
          <w:szCs w:val="22"/>
        </w:rPr>
        <w:t xml:space="preserve"> per sea FID</w:t>
      </w:r>
      <w:r w:rsidRPr="00CA7477">
        <w:rPr>
          <w:szCs w:val="22"/>
        </w:rPr>
        <w:t xml:space="preserve"> and $33</w:t>
      </w:r>
      <w:r>
        <w:rPr>
          <w:szCs w:val="22"/>
        </w:rPr>
        <w:t xml:space="preserve"> per air FID</w:t>
      </w:r>
      <w:r w:rsidRPr="00CA7477">
        <w:rPr>
          <w:szCs w:val="22"/>
        </w:rPr>
        <w:t>. T</w:t>
      </w:r>
      <w:r w:rsidRPr="00CA7477">
        <w:rPr>
          <w:rFonts w:ascii="Calibri" w:hAnsi="Calibri" w:cs="Calibri"/>
          <w:color w:val="000000"/>
          <w:szCs w:val="22"/>
        </w:rPr>
        <w:t xml:space="preserve">he AQIS processing charge funds the biosecurity systems costs of importing cargo and packaging </w:t>
      </w:r>
      <w:sdt>
        <w:sdtPr>
          <w:rPr>
            <w:rFonts w:ascii="Calibri" w:hAnsi="Calibri" w:cs="Calibri"/>
            <w:color w:val="000000"/>
            <w:szCs w:val="22"/>
          </w:rPr>
          <w:id w:val="-776859428"/>
          <w:citation/>
        </w:sdtPr>
        <w:sdtEndPr/>
        <w:sdtContent>
          <w:r w:rsidRPr="00CA7477">
            <w:rPr>
              <w:rFonts w:ascii="Calibri" w:hAnsi="Calibri" w:cs="Calibri"/>
              <w:color w:val="000000"/>
              <w:szCs w:val="22"/>
            </w:rPr>
            <w:fldChar w:fldCharType="begin"/>
          </w:r>
          <w:r w:rsidRPr="00CA7477">
            <w:rPr>
              <w:rFonts w:ascii="Calibri" w:hAnsi="Calibri" w:cs="Calibri"/>
              <w:color w:val="000000"/>
              <w:szCs w:val="22"/>
            </w:rPr>
            <w:instrText xml:space="preserve">CITATION Dep15 \p 6 \t  \l 3081 </w:instrText>
          </w:r>
          <w:r w:rsidRPr="00CA7477">
            <w:rPr>
              <w:rFonts w:ascii="Calibri" w:hAnsi="Calibri" w:cs="Calibri"/>
              <w:color w:val="000000"/>
              <w:szCs w:val="22"/>
            </w:rPr>
            <w:fldChar w:fldCharType="separate"/>
          </w:r>
          <w:r w:rsidR="00604A29" w:rsidRPr="00604A29">
            <w:rPr>
              <w:rFonts w:ascii="Calibri" w:hAnsi="Calibri" w:cs="Calibri"/>
              <w:noProof/>
              <w:color w:val="000000"/>
              <w:szCs w:val="22"/>
            </w:rPr>
            <w:t>(Department of Agriculture and Water Resources, 2015, p. 6)</w:t>
          </w:r>
          <w:r w:rsidRPr="00CA7477">
            <w:rPr>
              <w:rFonts w:ascii="Calibri" w:hAnsi="Calibri" w:cs="Calibri"/>
              <w:color w:val="000000"/>
              <w:szCs w:val="22"/>
            </w:rPr>
            <w:fldChar w:fldCharType="end"/>
          </w:r>
        </w:sdtContent>
      </w:sdt>
      <w:r w:rsidRPr="00CA7477">
        <w:rPr>
          <w:rFonts w:ascii="Calibri" w:hAnsi="Calibri" w:cs="Calibri"/>
          <w:color w:val="000000"/>
          <w:szCs w:val="22"/>
        </w:rPr>
        <w:t>.</w:t>
      </w:r>
    </w:p>
    <w:p w14:paraId="5195C3CF" w14:textId="1206995A" w:rsidR="00A36F80" w:rsidRDefault="00A36F80" w:rsidP="00A36F80">
      <w:r w:rsidRPr="00CA7477">
        <w:rPr>
          <w:szCs w:val="22"/>
        </w:rPr>
        <w:t xml:space="preserve">The AQIS processing charge is applied when an entry is lodged in </w:t>
      </w:r>
      <w:r w:rsidRPr="00CA7477">
        <w:rPr>
          <w:rFonts w:cs="Cambria"/>
          <w:color w:val="000000"/>
          <w:szCs w:val="22"/>
        </w:rPr>
        <w:t>the Integrated Cargo System (ICS)</w:t>
      </w:r>
      <w:r>
        <w:rPr>
          <w:rFonts w:cs="Cambria"/>
          <w:color w:val="000000"/>
          <w:szCs w:val="22"/>
        </w:rPr>
        <w:t xml:space="preserve"> </w:t>
      </w:r>
      <w:r w:rsidRPr="00CA7477">
        <w:rPr>
          <w:rFonts w:cs="Cambria"/>
          <w:color w:val="000000"/>
          <w:szCs w:val="22"/>
        </w:rPr>
        <w:t>—</w:t>
      </w:r>
      <w:r>
        <w:rPr>
          <w:rFonts w:cs="Cambria"/>
          <w:color w:val="000000"/>
          <w:szCs w:val="22"/>
        </w:rPr>
        <w:t xml:space="preserve"> </w:t>
      </w:r>
      <w:r w:rsidRPr="00CA7477">
        <w:rPr>
          <w:rFonts w:cs="Cambria"/>
          <w:color w:val="000000"/>
          <w:szCs w:val="22"/>
        </w:rPr>
        <w:t xml:space="preserve">a database managed by Australian Border Force within the Department of Home Affairs. The ICS is currently the only method of reporting the movement of goods, including the shipment type, across Australia’s borders </w:t>
      </w:r>
      <w:sdt>
        <w:sdtPr>
          <w:rPr>
            <w:rFonts w:cs="Cambria"/>
            <w:color w:val="000000"/>
            <w:szCs w:val="22"/>
          </w:rPr>
          <w:id w:val="361104886"/>
          <w:citation/>
        </w:sdtPr>
        <w:sdtEndPr/>
        <w:sdtContent>
          <w:r w:rsidRPr="00CA7477">
            <w:rPr>
              <w:rFonts w:cs="Cambria"/>
              <w:color w:val="000000"/>
              <w:szCs w:val="22"/>
            </w:rPr>
            <w:fldChar w:fldCharType="begin"/>
          </w:r>
          <w:r w:rsidRPr="00CA7477">
            <w:rPr>
              <w:rFonts w:cs="Cambria"/>
              <w:color w:val="000000"/>
              <w:szCs w:val="22"/>
            </w:rPr>
            <w:instrText xml:space="preserve">CITATION Ins18 \p 26 \t  \l 3081 </w:instrText>
          </w:r>
          <w:r w:rsidRPr="00CA7477">
            <w:rPr>
              <w:rFonts w:cs="Cambria"/>
              <w:color w:val="000000"/>
              <w:szCs w:val="22"/>
            </w:rPr>
            <w:fldChar w:fldCharType="separate"/>
          </w:r>
          <w:r w:rsidR="00604A29" w:rsidRPr="00604A29">
            <w:rPr>
              <w:rFonts w:cs="Cambria"/>
              <w:noProof/>
              <w:color w:val="000000"/>
              <w:szCs w:val="22"/>
            </w:rPr>
            <w:t>(Inspector-General of Biosecurity, 2018, p. 26)</w:t>
          </w:r>
          <w:r w:rsidRPr="00CA7477">
            <w:rPr>
              <w:rFonts w:cs="Cambria"/>
              <w:color w:val="000000"/>
              <w:szCs w:val="22"/>
            </w:rPr>
            <w:fldChar w:fldCharType="end"/>
          </w:r>
        </w:sdtContent>
      </w:sdt>
      <w:r w:rsidRPr="00CA7477">
        <w:rPr>
          <w:rFonts w:cs="Cambria"/>
          <w:color w:val="000000"/>
          <w:szCs w:val="22"/>
        </w:rPr>
        <w:t xml:space="preserve">. </w:t>
      </w:r>
      <w:r w:rsidRPr="00CA7477">
        <w:t xml:space="preserve">Through the ICS, Home Affairs collects information on whether a FID </w:t>
      </w:r>
      <w:r>
        <w:t>involves</w:t>
      </w:r>
      <w:r w:rsidRPr="00CA7477">
        <w:t xml:space="preserve"> air </w:t>
      </w:r>
      <w:r>
        <w:t>or</w:t>
      </w:r>
      <w:r w:rsidRPr="00CA7477">
        <w:t xml:space="preserve"> sea cargo, as well as whether the value of the FI</w:t>
      </w:r>
      <w:r>
        <w:t>D is under $10,000 or $10,000 and</w:t>
      </w:r>
      <w:r w:rsidRPr="00CA7477">
        <w:t xml:space="preserve"> over.</w:t>
      </w:r>
    </w:p>
    <w:p w14:paraId="5C78EEE7" w14:textId="562DB6BA" w:rsidR="002B09E7" w:rsidRDefault="002C1F7B" w:rsidP="00335B63">
      <w:r>
        <w:t xml:space="preserve">The </w:t>
      </w:r>
      <w:r w:rsidR="00A36F80">
        <w:t>ICS</w:t>
      </w:r>
      <w:r>
        <w:t xml:space="preserve"> has a </w:t>
      </w:r>
      <w:r w:rsidR="0022572C">
        <w:t xml:space="preserve">number of </w:t>
      </w:r>
      <w:r w:rsidR="00A36F80">
        <w:t xml:space="preserve">other </w:t>
      </w:r>
      <w:r w:rsidR="0022572C">
        <w:t>external applications</w:t>
      </w:r>
      <w:r>
        <w:t xml:space="preserve">. </w:t>
      </w:r>
      <w:r w:rsidR="00EE14C6">
        <w:t xml:space="preserve">The FID is </w:t>
      </w:r>
      <w:r w:rsidR="00A36F80">
        <w:t xml:space="preserve">also </w:t>
      </w:r>
      <w:r w:rsidR="0069052B">
        <w:t xml:space="preserve">used to collect </w:t>
      </w:r>
      <w:r w:rsidR="008F1F34">
        <w:t xml:space="preserve">the </w:t>
      </w:r>
      <w:r w:rsidR="00AC0B10">
        <w:rPr>
          <w:rFonts w:ascii="CIDFont+F6" w:hAnsi="CIDFont+F6" w:cs="CIDFont+F6"/>
          <w:szCs w:val="22"/>
        </w:rPr>
        <w:t>c</w:t>
      </w:r>
      <w:r w:rsidR="002B09E7">
        <w:rPr>
          <w:rFonts w:ascii="CIDFont+F6" w:hAnsi="CIDFont+F6" w:cs="CIDFont+F6"/>
          <w:szCs w:val="22"/>
        </w:rPr>
        <w:t xml:space="preserve">ustoms’ </w:t>
      </w:r>
      <w:r w:rsidR="00AC0B10">
        <w:rPr>
          <w:rFonts w:ascii="CIDFont+F6" w:hAnsi="CIDFont+F6" w:cs="CIDFont+F6"/>
          <w:szCs w:val="22"/>
        </w:rPr>
        <w:t>d</w:t>
      </w:r>
      <w:r w:rsidR="002B09E7">
        <w:rPr>
          <w:rFonts w:ascii="CIDFont+F6" w:hAnsi="CIDFont+F6" w:cs="CIDFont+F6"/>
          <w:szCs w:val="22"/>
        </w:rPr>
        <w:t xml:space="preserve">eclaration </w:t>
      </w:r>
      <w:r w:rsidR="00AC0B10">
        <w:rPr>
          <w:rFonts w:ascii="CIDFont+F6" w:hAnsi="CIDFont+F6" w:cs="CIDFont+F6"/>
          <w:szCs w:val="22"/>
        </w:rPr>
        <w:t>p</w:t>
      </w:r>
      <w:r w:rsidR="002B09E7">
        <w:rPr>
          <w:rFonts w:ascii="CIDFont+F6" w:hAnsi="CIDFont+F6" w:cs="CIDFont+F6"/>
          <w:szCs w:val="22"/>
        </w:rPr>
        <w:t xml:space="preserve">rocessing </w:t>
      </w:r>
      <w:r w:rsidR="00AC0B10">
        <w:rPr>
          <w:rFonts w:ascii="CIDFont+F6" w:hAnsi="CIDFont+F6" w:cs="CIDFont+F6"/>
          <w:szCs w:val="22"/>
        </w:rPr>
        <w:t>c</w:t>
      </w:r>
      <w:r w:rsidR="002B09E7">
        <w:rPr>
          <w:rFonts w:ascii="CIDFont+F6" w:hAnsi="CIDFont+F6" w:cs="CIDFont+F6"/>
          <w:szCs w:val="22"/>
        </w:rPr>
        <w:t>harge</w:t>
      </w:r>
      <w:r w:rsidR="00CA5B1E">
        <w:rPr>
          <w:rFonts w:ascii="CIDFont+F6" w:hAnsi="CIDFont+F6" w:cs="CIDFont+F6"/>
          <w:szCs w:val="22"/>
        </w:rPr>
        <w:t>, dumping duty and countervailing duty</w:t>
      </w:r>
      <w:r w:rsidR="00335B63">
        <w:rPr>
          <w:rFonts w:ascii="CIDFont+F6" w:hAnsi="CIDFont+F6" w:cs="CIDFont+F6"/>
          <w:szCs w:val="22"/>
        </w:rPr>
        <w:t xml:space="preserve"> </w:t>
      </w:r>
      <w:r w:rsidR="00AC0B10">
        <w:rPr>
          <w:rFonts w:ascii="CIDFont+F6" w:hAnsi="CIDFont+F6" w:cs="CIDFont+F6"/>
          <w:szCs w:val="22"/>
        </w:rPr>
        <w:t xml:space="preserve">on behalf of </w:t>
      </w:r>
      <w:r w:rsidR="0022572C">
        <w:rPr>
          <w:rFonts w:ascii="CIDFont+F6" w:hAnsi="CIDFont+F6" w:cs="CIDFont+F6"/>
          <w:szCs w:val="22"/>
        </w:rPr>
        <w:t>Home Affairs</w:t>
      </w:r>
      <w:r w:rsidR="002B09E7">
        <w:rPr>
          <w:rFonts w:ascii="CIDFont+F6" w:hAnsi="CIDFont+F6" w:cs="CIDFont+F6"/>
          <w:szCs w:val="22"/>
        </w:rPr>
        <w:t xml:space="preserve">, </w:t>
      </w:r>
      <w:r w:rsidR="00CC6699">
        <w:rPr>
          <w:rFonts w:ascii="CIDFont+F6" w:hAnsi="CIDFont+F6" w:cs="CIDFont+F6"/>
          <w:szCs w:val="22"/>
        </w:rPr>
        <w:t>and</w:t>
      </w:r>
      <w:r w:rsidR="00335B63">
        <w:rPr>
          <w:rFonts w:ascii="CIDFont+F6" w:hAnsi="CIDFont+F6" w:cs="CIDFont+F6"/>
          <w:szCs w:val="22"/>
        </w:rPr>
        <w:t xml:space="preserve"> </w:t>
      </w:r>
      <w:r w:rsidR="006D3D0A">
        <w:rPr>
          <w:rFonts w:ascii="CIDFont+F6" w:hAnsi="CIDFont+F6" w:cs="CIDFont+F6"/>
          <w:szCs w:val="22"/>
        </w:rPr>
        <w:t>e</w:t>
      </w:r>
      <w:r w:rsidR="00504AF9">
        <w:rPr>
          <w:rFonts w:ascii="CIDFont+F6" w:hAnsi="CIDFont+F6" w:cs="CIDFont+F6"/>
          <w:szCs w:val="22"/>
        </w:rPr>
        <w:t>x</w:t>
      </w:r>
      <w:r w:rsidR="00335B63">
        <w:rPr>
          <w:rFonts w:ascii="CIDFont+F6" w:hAnsi="CIDFont+F6" w:cs="CIDFont+F6"/>
          <w:szCs w:val="22"/>
        </w:rPr>
        <w:t xml:space="preserve">cise </w:t>
      </w:r>
      <w:r w:rsidR="00504AF9">
        <w:rPr>
          <w:rFonts w:ascii="CIDFont+F6" w:hAnsi="CIDFont+F6" w:cs="CIDFont+F6"/>
          <w:szCs w:val="22"/>
        </w:rPr>
        <w:t>e</w:t>
      </w:r>
      <w:r w:rsidR="00335B63">
        <w:rPr>
          <w:rFonts w:ascii="CIDFont+F6" w:hAnsi="CIDFont+F6" w:cs="CIDFont+F6"/>
          <w:szCs w:val="22"/>
        </w:rPr>
        <w:t xml:space="preserve">quivalent </w:t>
      </w:r>
      <w:r w:rsidR="00CA5B1E">
        <w:rPr>
          <w:rFonts w:ascii="CIDFont+F6" w:hAnsi="CIDFont+F6" w:cs="CIDFont+F6"/>
          <w:szCs w:val="22"/>
        </w:rPr>
        <w:t>customs duty</w:t>
      </w:r>
      <w:r w:rsidR="00335B63">
        <w:rPr>
          <w:rFonts w:ascii="CIDFont+F6" w:hAnsi="CIDFont+F6" w:cs="CIDFont+F6"/>
          <w:szCs w:val="22"/>
        </w:rPr>
        <w:t xml:space="preserve">, </w:t>
      </w:r>
      <w:r w:rsidR="00907DA6">
        <w:rPr>
          <w:rFonts w:ascii="CIDFont+F6" w:hAnsi="CIDFont+F6" w:cs="CIDFont+F6"/>
          <w:szCs w:val="22"/>
        </w:rPr>
        <w:t>g</w:t>
      </w:r>
      <w:r w:rsidR="00335B63">
        <w:rPr>
          <w:rFonts w:ascii="CIDFont+F6" w:hAnsi="CIDFont+F6" w:cs="CIDFont+F6"/>
          <w:szCs w:val="22"/>
        </w:rPr>
        <w:t xml:space="preserve">oods </w:t>
      </w:r>
      <w:r w:rsidR="00907DA6">
        <w:rPr>
          <w:rFonts w:ascii="CIDFont+F6" w:hAnsi="CIDFont+F6" w:cs="CIDFont+F6"/>
          <w:szCs w:val="22"/>
        </w:rPr>
        <w:t>and se</w:t>
      </w:r>
      <w:r w:rsidR="00335B63">
        <w:rPr>
          <w:rFonts w:ascii="CIDFont+F6" w:hAnsi="CIDFont+F6" w:cs="CIDFont+F6"/>
          <w:szCs w:val="22"/>
        </w:rPr>
        <w:t xml:space="preserve">rvices </w:t>
      </w:r>
      <w:r w:rsidR="00907DA6">
        <w:rPr>
          <w:rFonts w:ascii="CIDFont+F6" w:hAnsi="CIDFont+F6" w:cs="CIDFont+F6"/>
          <w:szCs w:val="22"/>
        </w:rPr>
        <w:t>t</w:t>
      </w:r>
      <w:r w:rsidR="00335B63">
        <w:rPr>
          <w:rFonts w:ascii="CIDFont+F6" w:hAnsi="CIDFont+F6" w:cs="CIDFont+F6"/>
          <w:szCs w:val="22"/>
        </w:rPr>
        <w:t xml:space="preserve">ax, </w:t>
      </w:r>
      <w:r w:rsidR="00907DA6">
        <w:rPr>
          <w:rFonts w:ascii="CIDFont+F6" w:hAnsi="CIDFont+F6" w:cs="CIDFont+F6"/>
          <w:szCs w:val="22"/>
        </w:rPr>
        <w:t>l</w:t>
      </w:r>
      <w:r w:rsidR="00335B63">
        <w:rPr>
          <w:rFonts w:ascii="CIDFont+F6" w:hAnsi="CIDFont+F6" w:cs="CIDFont+F6"/>
          <w:szCs w:val="22"/>
        </w:rPr>
        <w:t xml:space="preserve">uxury </w:t>
      </w:r>
      <w:r w:rsidR="00907DA6">
        <w:rPr>
          <w:rFonts w:ascii="CIDFont+F6" w:hAnsi="CIDFont+F6" w:cs="CIDFont+F6"/>
          <w:szCs w:val="22"/>
        </w:rPr>
        <w:t>c</w:t>
      </w:r>
      <w:r w:rsidR="00335B63">
        <w:rPr>
          <w:rFonts w:ascii="CIDFont+F6" w:hAnsi="CIDFont+F6" w:cs="CIDFont+F6"/>
          <w:szCs w:val="22"/>
        </w:rPr>
        <w:t xml:space="preserve">ar </w:t>
      </w:r>
      <w:r w:rsidR="00907DA6">
        <w:rPr>
          <w:rFonts w:ascii="CIDFont+F6" w:hAnsi="CIDFont+F6" w:cs="CIDFont+F6"/>
          <w:szCs w:val="22"/>
        </w:rPr>
        <w:t>t</w:t>
      </w:r>
      <w:r w:rsidR="00335B63">
        <w:rPr>
          <w:rFonts w:ascii="CIDFont+F6" w:hAnsi="CIDFont+F6" w:cs="CIDFont+F6"/>
          <w:szCs w:val="22"/>
        </w:rPr>
        <w:t xml:space="preserve">ax and </w:t>
      </w:r>
      <w:r w:rsidR="00907DA6">
        <w:rPr>
          <w:rFonts w:ascii="CIDFont+F6" w:hAnsi="CIDFont+F6" w:cs="CIDFont+F6"/>
          <w:szCs w:val="22"/>
        </w:rPr>
        <w:t>w</w:t>
      </w:r>
      <w:r w:rsidR="00335B63">
        <w:rPr>
          <w:rFonts w:ascii="CIDFont+F6" w:hAnsi="CIDFont+F6" w:cs="CIDFont+F6"/>
          <w:szCs w:val="22"/>
        </w:rPr>
        <w:t xml:space="preserve">ine </w:t>
      </w:r>
      <w:r w:rsidR="00907DA6">
        <w:rPr>
          <w:rFonts w:ascii="CIDFont+F6" w:hAnsi="CIDFont+F6" w:cs="CIDFont+F6"/>
          <w:szCs w:val="22"/>
        </w:rPr>
        <w:t>e</w:t>
      </w:r>
      <w:r w:rsidR="00335B63">
        <w:rPr>
          <w:rFonts w:ascii="CIDFont+F6" w:hAnsi="CIDFont+F6" w:cs="CIDFont+F6"/>
          <w:szCs w:val="22"/>
        </w:rPr>
        <w:t xml:space="preserve">qualisation </w:t>
      </w:r>
      <w:r w:rsidR="00907DA6">
        <w:rPr>
          <w:rFonts w:ascii="CIDFont+F6" w:hAnsi="CIDFont+F6" w:cs="CIDFont+F6"/>
          <w:szCs w:val="22"/>
        </w:rPr>
        <w:t>t</w:t>
      </w:r>
      <w:r w:rsidR="00335B63">
        <w:rPr>
          <w:rFonts w:ascii="CIDFont+F6" w:hAnsi="CIDFont+F6" w:cs="CIDFont+F6"/>
          <w:szCs w:val="22"/>
        </w:rPr>
        <w:t>ax</w:t>
      </w:r>
      <w:r w:rsidR="00F1561D" w:rsidRPr="00F1561D">
        <w:rPr>
          <w:rFonts w:ascii="CIDFont+F6" w:hAnsi="CIDFont+F6" w:cs="CIDFont+F6"/>
          <w:szCs w:val="22"/>
        </w:rPr>
        <w:t xml:space="preserve"> </w:t>
      </w:r>
      <w:r w:rsidR="00F1561D">
        <w:rPr>
          <w:rFonts w:ascii="CIDFont+F6" w:hAnsi="CIDFont+F6" w:cs="CIDFont+F6"/>
          <w:szCs w:val="22"/>
        </w:rPr>
        <w:t xml:space="preserve">on behalf of the </w:t>
      </w:r>
      <w:r w:rsidR="00F1561D">
        <w:t>Australian Taxation Office</w:t>
      </w:r>
      <w:r w:rsidR="00335B63">
        <w:rPr>
          <w:rFonts w:ascii="CIDFont+F6" w:hAnsi="CIDFont+F6" w:cs="CIDFont+F6"/>
          <w:szCs w:val="22"/>
        </w:rPr>
        <w:t>.</w:t>
      </w:r>
    </w:p>
    <w:p w14:paraId="7F4C5027" w14:textId="2794768B" w:rsidR="00BB35D7" w:rsidRDefault="00ED7C3C" w:rsidP="00BB35D7">
      <w:pPr>
        <w:tabs>
          <w:tab w:val="left" w:pos="1935"/>
        </w:tabs>
      </w:pPr>
      <w:r>
        <w:t xml:space="preserve">However, </w:t>
      </w:r>
      <w:r w:rsidR="0022572C">
        <w:t xml:space="preserve">the Department </w:t>
      </w:r>
      <w:sdt>
        <w:sdtPr>
          <w:id w:val="-1277481758"/>
          <w:citation/>
        </w:sdtPr>
        <w:sdtEndPr/>
        <w:sdtContent>
          <w:r w:rsidR="00BB35D7">
            <w:fldChar w:fldCharType="begin"/>
          </w:r>
          <w:r w:rsidR="00BB35D7">
            <w:instrText xml:space="preserve">CITATION Dep8a \n  \t  \l 3081 </w:instrText>
          </w:r>
          <w:r w:rsidR="00BB35D7">
            <w:fldChar w:fldCharType="separate"/>
          </w:r>
          <w:r w:rsidR="00604A29">
            <w:rPr>
              <w:noProof/>
            </w:rPr>
            <w:t>(2018c)</w:t>
          </w:r>
          <w:r w:rsidR="00BB35D7">
            <w:fldChar w:fldCharType="end"/>
          </w:r>
        </w:sdtContent>
      </w:sdt>
      <w:r w:rsidR="00BB35D7">
        <w:t xml:space="preserve"> </w:t>
      </w:r>
      <w:r w:rsidR="00F1561D">
        <w:t>did not support</w:t>
      </w:r>
      <w:r w:rsidR="00BB35D7">
        <w:t xml:space="preserve"> the </w:t>
      </w:r>
      <w:r w:rsidR="00CA5B1E">
        <w:t>Biosecurity Imports Levy</w:t>
      </w:r>
      <w:r w:rsidR="00BB35D7">
        <w:t xml:space="preserve"> be</w:t>
      </w:r>
      <w:r w:rsidR="0022572C">
        <w:t>ing</w:t>
      </w:r>
      <w:r w:rsidR="00BB35D7">
        <w:t xml:space="preserve"> collected through the FID</w:t>
      </w:r>
      <w:r w:rsidR="003F5AB7">
        <w:t>, highlighting shortcomings including</w:t>
      </w:r>
      <w:r w:rsidR="00BB35D7">
        <w:t>:</w:t>
      </w:r>
    </w:p>
    <w:p w14:paraId="2DABDD0F" w14:textId="1D6D9715" w:rsidR="00BB35D7" w:rsidRDefault="0022572C" w:rsidP="00BB35D7">
      <w:pPr>
        <w:pStyle w:val="ListParagraph"/>
        <w:numPr>
          <w:ilvl w:val="0"/>
          <w:numId w:val="16"/>
        </w:numPr>
        <w:autoSpaceDE w:val="0"/>
        <w:autoSpaceDN w:val="0"/>
        <w:adjustRightInd w:val="0"/>
        <w:spacing w:before="0" w:after="0"/>
        <w:rPr>
          <w:rFonts w:ascii="Calibri" w:hAnsi="Calibri" w:cs="Calibri"/>
        </w:rPr>
      </w:pPr>
      <w:r>
        <w:rPr>
          <w:rFonts w:ascii="Calibri" w:hAnsi="Calibri" w:cs="Calibri"/>
        </w:rPr>
        <w:t xml:space="preserve">It </w:t>
      </w:r>
      <w:r w:rsidR="00BB35D7" w:rsidRPr="00B05853">
        <w:rPr>
          <w:rFonts w:ascii="Calibri" w:hAnsi="Calibri" w:cs="Calibri"/>
        </w:rPr>
        <w:t>does not allow for charging of empty containers</w:t>
      </w:r>
    </w:p>
    <w:p w14:paraId="354C49B6" w14:textId="5C3C8BDD" w:rsidR="00BB35D7" w:rsidRPr="00B842FB" w:rsidRDefault="0022572C" w:rsidP="00BB35D7">
      <w:pPr>
        <w:pStyle w:val="ListParagraph"/>
        <w:numPr>
          <w:ilvl w:val="0"/>
          <w:numId w:val="16"/>
        </w:numPr>
        <w:autoSpaceDE w:val="0"/>
        <w:autoSpaceDN w:val="0"/>
        <w:adjustRightInd w:val="0"/>
        <w:spacing w:before="0" w:after="160"/>
        <w:rPr>
          <w:rFonts w:ascii="Calibri" w:hAnsi="Calibri" w:cs="Calibri"/>
        </w:rPr>
      </w:pPr>
      <w:r>
        <w:t xml:space="preserve">It </w:t>
      </w:r>
      <w:r w:rsidR="00BB35D7" w:rsidRPr="00B842FB">
        <w:t xml:space="preserve">would require extensive changes </w:t>
      </w:r>
      <w:r w:rsidR="00BB35D7">
        <w:t xml:space="preserve">to the </w:t>
      </w:r>
      <w:r>
        <w:t xml:space="preserve">Integrated Cargo System </w:t>
      </w:r>
      <w:r w:rsidR="00BB35D7" w:rsidRPr="00B842FB">
        <w:t xml:space="preserve">to alter the basis for charging, which would be unlikely to be completed in time for commencement on 1 July 2019. </w:t>
      </w:r>
    </w:p>
    <w:p w14:paraId="3D2E9D20" w14:textId="2F333342" w:rsidR="0022572C" w:rsidRDefault="008C1F4F" w:rsidP="006A71A2">
      <w:r>
        <w:t xml:space="preserve">The importation of empty </w:t>
      </w:r>
      <w:r w:rsidR="009A6854">
        <w:t xml:space="preserve">sea </w:t>
      </w:r>
      <w:r>
        <w:t xml:space="preserve">containers represents only around 7 per cent of total container imports </w:t>
      </w:r>
      <w:sdt>
        <w:sdtPr>
          <w:rPr>
            <w:noProof/>
          </w:rPr>
          <w:id w:val="332113795"/>
          <w:citation/>
        </w:sdtPr>
        <w:sdtEndPr/>
        <w:sdtContent>
          <w:r>
            <w:rPr>
              <w:noProof/>
            </w:rPr>
            <w:fldChar w:fldCharType="begin"/>
          </w:r>
          <w:r>
            <w:rPr>
              <w:noProof/>
            </w:rPr>
            <w:instrText xml:space="preserve">CITATION Bur18 \p 16 \t  \l 3081 </w:instrText>
          </w:r>
          <w:r>
            <w:rPr>
              <w:noProof/>
            </w:rPr>
            <w:fldChar w:fldCharType="separate"/>
          </w:r>
          <w:r w:rsidR="00604A29">
            <w:rPr>
              <w:noProof/>
            </w:rPr>
            <w:t>(Bureau of Infrastructure, Transport and Regional Economics, 2018a, p. 16)</w:t>
          </w:r>
          <w:r>
            <w:rPr>
              <w:noProof/>
            </w:rPr>
            <w:fldChar w:fldCharType="end"/>
          </w:r>
        </w:sdtContent>
      </w:sdt>
      <w:r w:rsidR="009A6854">
        <w:rPr>
          <w:noProof/>
        </w:rPr>
        <w:t>.</w:t>
      </w:r>
      <w:r w:rsidR="00F1561D">
        <w:rPr>
          <w:noProof/>
        </w:rPr>
        <w:t xml:space="preserve"> </w:t>
      </w:r>
      <w:r w:rsidR="009A6854">
        <w:rPr>
          <w:noProof/>
        </w:rPr>
        <w:t>Therefore</w:t>
      </w:r>
      <w:r>
        <w:t xml:space="preserve"> the loss of revenue from not capturing empty containers</w:t>
      </w:r>
      <w:r w:rsidR="009A6854">
        <w:t xml:space="preserve"> (or an offsetting incr</w:t>
      </w:r>
      <w:r w:rsidR="00A36F80">
        <w:t>ease in the FID charge on cargo-</w:t>
      </w:r>
      <w:r w:rsidR="009A6854">
        <w:t>carrying containers or FIDs)</w:t>
      </w:r>
      <w:r>
        <w:t xml:space="preserve"> would </w:t>
      </w:r>
      <w:r w:rsidR="008104F5">
        <w:t>be</w:t>
      </w:r>
      <w:r>
        <w:t xml:space="preserve"> small.</w:t>
      </w:r>
      <w:r w:rsidR="00EF7CCE">
        <w:t xml:space="preserve"> </w:t>
      </w:r>
      <w:r w:rsidR="00F1561D">
        <w:t xml:space="preserve">The Committee considers that this shortcoming </w:t>
      </w:r>
      <w:r w:rsidR="009A6854">
        <w:t>is not material</w:t>
      </w:r>
      <w:r w:rsidR="00F1561D">
        <w:t>.</w:t>
      </w:r>
    </w:p>
    <w:p w14:paraId="049D401B" w14:textId="2A680DAB" w:rsidR="00B550F2" w:rsidRDefault="004E5346" w:rsidP="006A71A2">
      <w:r>
        <w:t xml:space="preserve">While not having expert information on which to substantiate a definitive view, </w:t>
      </w:r>
      <w:r w:rsidR="009A6854">
        <w:t>i</w:t>
      </w:r>
      <w:r w:rsidR="0022572C">
        <w:t>n the Committee’s opinion, c</w:t>
      </w:r>
      <w:r w:rsidR="00815EC7">
        <w:t xml:space="preserve">oncerns relating to </w:t>
      </w:r>
      <w:r w:rsidR="005B4433">
        <w:t xml:space="preserve">the length of time required to perform </w:t>
      </w:r>
      <w:r w:rsidR="00815EC7">
        <w:t xml:space="preserve">IT upgrades </w:t>
      </w:r>
      <w:r w:rsidR="00EF7CCE">
        <w:t xml:space="preserve">and alterations to the </w:t>
      </w:r>
      <w:r w:rsidR="0022572C">
        <w:t>Integrated Cargo System are</w:t>
      </w:r>
      <w:r w:rsidR="00EF7CCE">
        <w:t xml:space="preserve"> </w:t>
      </w:r>
      <w:r w:rsidR="00B04ACD">
        <w:t xml:space="preserve">not a </w:t>
      </w:r>
      <w:r w:rsidR="0077697D">
        <w:t xml:space="preserve">sufficient reason to preclude </w:t>
      </w:r>
      <w:r w:rsidR="009A6854">
        <w:t>the use of the FID</w:t>
      </w:r>
      <w:r w:rsidR="00F1561D">
        <w:t>, especially if Department of Home Affairs</w:t>
      </w:r>
      <w:r w:rsidR="009A6854">
        <w:t>’</w:t>
      </w:r>
      <w:r w:rsidR="00F1561D">
        <w:t xml:space="preserve"> staff were given a Ministerial directive of appropriate </w:t>
      </w:r>
      <w:r w:rsidR="009A6854">
        <w:t>importance</w:t>
      </w:r>
      <w:r w:rsidR="00560E43">
        <w:t xml:space="preserve"> and priority</w:t>
      </w:r>
      <w:r w:rsidR="000D0AF2">
        <w:t>.</w:t>
      </w:r>
      <w:r w:rsidR="00B550F2" w:rsidRPr="00B550F2">
        <w:t xml:space="preserve"> </w:t>
      </w:r>
    </w:p>
    <w:p w14:paraId="139AB54C" w14:textId="40A8A28A" w:rsidR="002A5271" w:rsidRDefault="00B550F2" w:rsidP="006A71A2">
      <w:r>
        <w:t>Having interacted with relevant staff in the Department of Home Affairs, the Committee considers that necessary IT upgrades should be manageable, especially given that a FID levy previously existed prior to 2015. They would certainly be less onerous than the imposition on the private sector of the task of building a new collection mechanism from scratch.</w:t>
      </w:r>
    </w:p>
    <w:p w14:paraId="0F228FA6" w14:textId="280A95A1" w:rsidR="00391CC9" w:rsidRDefault="00391CC9" w:rsidP="006A71A2">
      <w:r>
        <w:t xml:space="preserve">Information was provided to the Committee by the Department of Home Affairs about the number and disposition of FIDs – this information is reproduced in </w:t>
      </w:r>
      <w:r w:rsidRPr="00391CC9">
        <w:rPr>
          <w:b/>
        </w:rPr>
        <w:t>Table 4</w:t>
      </w:r>
      <w:r>
        <w:t>.</w:t>
      </w:r>
    </w:p>
    <w:p w14:paraId="5044E7F9" w14:textId="1598B5A9" w:rsidR="009A08B7" w:rsidRPr="009A08B7" w:rsidRDefault="009A08B7" w:rsidP="009A08B7">
      <w:pPr>
        <w:pStyle w:val="Caption"/>
        <w:spacing w:after="0"/>
        <w:rPr>
          <w:b/>
        </w:rPr>
      </w:pPr>
      <w:bookmarkStart w:id="29" w:name="_Toc10031675"/>
      <w:r>
        <w:t xml:space="preserve">Table </w:t>
      </w:r>
      <w:r w:rsidR="00A47451">
        <w:rPr>
          <w:noProof/>
        </w:rPr>
        <w:fldChar w:fldCharType="begin"/>
      </w:r>
      <w:r w:rsidR="00A47451">
        <w:rPr>
          <w:noProof/>
        </w:rPr>
        <w:instrText xml:space="preserve"> SEQ Table \* ARABIC </w:instrText>
      </w:r>
      <w:r w:rsidR="00A47451">
        <w:rPr>
          <w:noProof/>
        </w:rPr>
        <w:fldChar w:fldCharType="separate"/>
      </w:r>
      <w:r w:rsidR="00BD638C">
        <w:rPr>
          <w:noProof/>
        </w:rPr>
        <w:t>4</w:t>
      </w:r>
      <w:r w:rsidR="00A47451">
        <w:rPr>
          <w:noProof/>
        </w:rPr>
        <w:fldChar w:fldCharType="end"/>
      </w:r>
      <w:r>
        <w:t xml:space="preserve">: </w:t>
      </w:r>
      <w:r w:rsidRPr="009A08B7">
        <w:t>Numbers of Full Import Declarations, 2018</w:t>
      </w:r>
      <w:bookmarkEnd w:id="29"/>
    </w:p>
    <w:tbl>
      <w:tblPr>
        <w:tblStyle w:val="GridTable5Dark-Accent3"/>
        <w:tblW w:w="0" w:type="auto"/>
        <w:tblLook w:val="04A0" w:firstRow="1" w:lastRow="0" w:firstColumn="1" w:lastColumn="0" w:noHBand="0" w:noVBand="1"/>
      </w:tblPr>
      <w:tblGrid>
        <w:gridCol w:w="1422"/>
        <w:gridCol w:w="1374"/>
        <w:gridCol w:w="1375"/>
        <w:gridCol w:w="1375"/>
        <w:gridCol w:w="1375"/>
      </w:tblGrid>
      <w:tr w:rsidR="00391CC9" w:rsidRPr="008149CC" w14:paraId="1E9B5456" w14:textId="77777777" w:rsidTr="008164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dxa"/>
          </w:tcPr>
          <w:p w14:paraId="1FF3E6A4" w14:textId="77777777" w:rsidR="00391CC9" w:rsidRPr="008149CC" w:rsidRDefault="00391CC9" w:rsidP="00E53DF9">
            <w:pPr>
              <w:pStyle w:val="ListParagraph"/>
              <w:autoSpaceDE w:val="0"/>
              <w:autoSpaceDN w:val="0"/>
              <w:adjustRightInd w:val="0"/>
              <w:ind w:left="0"/>
              <w:rPr>
                <w:rFonts w:cs="Cambria"/>
                <w:b w:val="0"/>
                <w:color w:val="000000"/>
                <w:sz w:val="21"/>
                <w:szCs w:val="21"/>
              </w:rPr>
            </w:pPr>
            <w:r w:rsidRPr="008149CC">
              <w:rPr>
                <w:rFonts w:cs="Cambria"/>
                <w:b w:val="0"/>
                <w:color w:val="000000"/>
                <w:sz w:val="21"/>
                <w:szCs w:val="21"/>
              </w:rPr>
              <w:t>Arrival mode</w:t>
            </w:r>
          </w:p>
        </w:tc>
        <w:tc>
          <w:tcPr>
            <w:tcW w:w="1374" w:type="dxa"/>
          </w:tcPr>
          <w:p w14:paraId="6AE3F785" w14:textId="11A59891" w:rsidR="00391CC9" w:rsidRPr="00C0447D" w:rsidRDefault="009A08B7" w:rsidP="00C0447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mbria"/>
                <w:b w:val="0"/>
                <w:color w:val="000000"/>
                <w:sz w:val="21"/>
                <w:szCs w:val="21"/>
              </w:rPr>
            </w:pPr>
            <w:r>
              <w:rPr>
                <w:rFonts w:cs="Cambria"/>
                <w:b w:val="0"/>
                <w:color w:val="000000"/>
                <w:sz w:val="21"/>
                <w:szCs w:val="21"/>
              </w:rPr>
              <w:t>Value</w:t>
            </w:r>
          </w:p>
        </w:tc>
        <w:tc>
          <w:tcPr>
            <w:tcW w:w="1375" w:type="dxa"/>
          </w:tcPr>
          <w:p w14:paraId="469B9045" w14:textId="678382B8" w:rsidR="00391CC9" w:rsidRPr="008149CC" w:rsidRDefault="00391CC9" w:rsidP="00E53DF9">
            <w:pPr>
              <w:pStyle w:val="ListParagraph"/>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cs="Cambria"/>
                <w:b w:val="0"/>
                <w:color w:val="000000"/>
                <w:sz w:val="21"/>
                <w:szCs w:val="21"/>
              </w:rPr>
            </w:pPr>
          </w:p>
        </w:tc>
        <w:tc>
          <w:tcPr>
            <w:tcW w:w="1375" w:type="dxa"/>
          </w:tcPr>
          <w:p w14:paraId="58FA70B8" w14:textId="36033CD1" w:rsidR="00391CC9" w:rsidRPr="008149CC" w:rsidRDefault="00C0447D" w:rsidP="00E53DF9">
            <w:pPr>
              <w:pStyle w:val="ListParagraph"/>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cs="Cambria"/>
                <w:b w:val="0"/>
                <w:color w:val="000000"/>
                <w:sz w:val="21"/>
                <w:szCs w:val="21"/>
              </w:rPr>
            </w:pPr>
            <w:r>
              <w:rPr>
                <w:rFonts w:cs="Cambria"/>
                <w:b w:val="0"/>
                <w:color w:val="000000"/>
                <w:sz w:val="21"/>
                <w:szCs w:val="21"/>
              </w:rPr>
              <w:t>Sub total</w:t>
            </w:r>
          </w:p>
        </w:tc>
        <w:tc>
          <w:tcPr>
            <w:tcW w:w="1375" w:type="dxa"/>
          </w:tcPr>
          <w:p w14:paraId="1AC331E4" w14:textId="161526E8" w:rsidR="00391CC9" w:rsidRPr="008149CC" w:rsidRDefault="00C0447D" w:rsidP="00E53DF9">
            <w:pPr>
              <w:pStyle w:val="ListParagraph"/>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cs="Cambria"/>
                <w:b w:val="0"/>
                <w:color w:val="000000"/>
                <w:sz w:val="21"/>
                <w:szCs w:val="21"/>
              </w:rPr>
            </w:pPr>
            <w:r>
              <w:rPr>
                <w:rFonts w:cs="Cambria"/>
                <w:b w:val="0"/>
                <w:color w:val="000000"/>
                <w:sz w:val="21"/>
                <w:szCs w:val="21"/>
              </w:rPr>
              <w:t>Total</w:t>
            </w:r>
          </w:p>
        </w:tc>
      </w:tr>
      <w:tr w:rsidR="00C0447D" w14:paraId="722B48AA" w14:textId="77777777" w:rsidTr="00816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dxa"/>
          </w:tcPr>
          <w:p w14:paraId="47FF2C67" w14:textId="56DE276B" w:rsidR="00C0447D" w:rsidRPr="008149CC" w:rsidRDefault="00C0447D" w:rsidP="00C0447D">
            <w:pPr>
              <w:pStyle w:val="ListParagraph"/>
              <w:autoSpaceDE w:val="0"/>
              <w:autoSpaceDN w:val="0"/>
              <w:adjustRightInd w:val="0"/>
              <w:ind w:left="0"/>
              <w:rPr>
                <w:rFonts w:cs="Cambria"/>
                <w:b w:val="0"/>
                <w:color w:val="000000"/>
                <w:sz w:val="21"/>
                <w:szCs w:val="21"/>
              </w:rPr>
            </w:pPr>
            <w:r>
              <w:rPr>
                <w:rFonts w:cs="Cambria"/>
                <w:b w:val="0"/>
                <w:color w:val="000000"/>
                <w:sz w:val="21"/>
                <w:szCs w:val="21"/>
              </w:rPr>
              <w:t>Sea</w:t>
            </w:r>
          </w:p>
        </w:tc>
        <w:tc>
          <w:tcPr>
            <w:tcW w:w="1374" w:type="dxa"/>
          </w:tcPr>
          <w:p w14:paraId="235737FF" w14:textId="1B484F5A" w:rsidR="00C0447D" w:rsidRDefault="00C0447D" w:rsidP="00C0447D">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Cambria"/>
                <w:color w:val="000000"/>
                <w:sz w:val="21"/>
                <w:szCs w:val="21"/>
              </w:rPr>
            </w:pPr>
            <w:r>
              <w:rPr>
                <w:rFonts w:cs="Cambria"/>
                <w:b/>
                <w:color w:val="000000"/>
                <w:sz w:val="21"/>
                <w:szCs w:val="21"/>
              </w:rPr>
              <w:t>&gt;</w:t>
            </w:r>
            <w:r w:rsidRPr="00C0447D">
              <w:rPr>
                <w:rFonts w:cs="Cambria"/>
                <w:b/>
                <w:color w:val="000000"/>
                <w:sz w:val="21"/>
                <w:szCs w:val="21"/>
              </w:rPr>
              <w:t>$10000</w:t>
            </w:r>
          </w:p>
        </w:tc>
        <w:tc>
          <w:tcPr>
            <w:tcW w:w="1375" w:type="dxa"/>
          </w:tcPr>
          <w:p w14:paraId="640BFD8A" w14:textId="3B6DF79B" w:rsidR="00C0447D" w:rsidRDefault="00C0447D" w:rsidP="00C0447D">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Cambria"/>
                <w:color w:val="000000"/>
                <w:sz w:val="21"/>
                <w:szCs w:val="21"/>
              </w:rPr>
            </w:pPr>
            <w:r>
              <w:rPr>
                <w:rFonts w:cs="Cambria"/>
                <w:color w:val="000000"/>
                <w:sz w:val="21"/>
                <w:szCs w:val="21"/>
              </w:rPr>
              <w:t>1.51 million</w:t>
            </w:r>
          </w:p>
        </w:tc>
        <w:tc>
          <w:tcPr>
            <w:tcW w:w="1375" w:type="dxa"/>
          </w:tcPr>
          <w:p w14:paraId="3B0A710C" w14:textId="50966DE8" w:rsidR="00C0447D" w:rsidRDefault="00C0447D" w:rsidP="00C0447D">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Cambria"/>
                <w:color w:val="000000"/>
                <w:sz w:val="21"/>
                <w:szCs w:val="21"/>
              </w:rPr>
            </w:pPr>
          </w:p>
        </w:tc>
        <w:tc>
          <w:tcPr>
            <w:tcW w:w="1375" w:type="dxa"/>
          </w:tcPr>
          <w:p w14:paraId="1A9FB201" w14:textId="2B9A47CA" w:rsidR="00C0447D" w:rsidRDefault="00C0447D" w:rsidP="00C0447D">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Cambria"/>
                <w:color w:val="000000"/>
                <w:sz w:val="21"/>
                <w:szCs w:val="21"/>
              </w:rPr>
            </w:pPr>
          </w:p>
        </w:tc>
      </w:tr>
      <w:tr w:rsidR="00391CC9" w14:paraId="64DD0126" w14:textId="77777777" w:rsidTr="008164F0">
        <w:tc>
          <w:tcPr>
            <w:cnfStyle w:val="001000000000" w:firstRow="0" w:lastRow="0" w:firstColumn="1" w:lastColumn="0" w:oddVBand="0" w:evenVBand="0" w:oddHBand="0" w:evenHBand="0" w:firstRowFirstColumn="0" w:firstRowLastColumn="0" w:lastRowFirstColumn="0" w:lastRowLastColumn="0"/>
            <w:tcW w:w="1422" w:type="dxa"/>
          </w:tcPr>
          <w:p w14:paraId="018F906E" w14:textId="239B0E89" w:rsidR="00391CC9" w:rsidRPr="008149CC" w:rsidRDefault="00391CC9" w:rsidP="00E53DF9">
            <w:pPr>
              <w:pStyle w:val="ListParagraph"/>
              <w:autoSpaceDE w:val="0"/>
              <w:autoSpaceDN w:val="0"/>
              <w:adjustRightInd w:val="0"/>
              <w:ind w:left="0"/>
              <w:rPr>
                <w:rFonts w:cs="Cambria"/>
                <w:b w:val="0"/>
                <w:color w:val="000000"/>
                <w:sz w:val="21"/>
                <w:szCs w:val="21"/>
              </w:rPr>
            </w:pPr>
          </w:p>
        </w:tc>
        <w:tc>
          <w:tcPr>
            <w:tcW w:w="1374" w:type="dxa"/>
          </w:tcPr>
          <w:p w14:paraId="7BA48A5F" w14:textId="64480FEE" w:rsidR="00391CC9" w:rsidRDefault="00C0447D" w:rsidP="00E53DF9">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Cambria"/>
                <w:color w:val="000000"/>
                <w:sz w:val="21"/>
                <w:szCs w:val="21"/>
              </w:rPr>
            </w:pPr>
            <w:r>
              <w:rPr>
                <w:rFonts w:cs="Cambria"/>
                <w:b/>
                <w:color w:val="000000"/>
                <w:sz w:val="21"/>
                <w:szCs w:val="21"/>
              </w:rPr>
              <w:t>&lt;$10000</w:t>
            </w:r>
          </w:p>
        </w:tc>
        <w:tc>
          <w:tcPr>
            <w:tcW w:w="1375" w:type="dxa"/>
          </w:tcPr>
          <w:p w14:paraId="725D6A7A" w14:textId="5741B80D" w:rsidR="00391CC9" w:rsidRDefault="00C0447D" w:rsidP="00E53DF9">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Cambria"/>
                <w:color w:val="000000"/>
                <w:sz w:val="21"/>
                <w:szCs w:val="21"/>
              </w:rPr>
            </w:pPr>
            <w:r>
              <w:rPr>
                <w:rFonts w:cs="Cambria"/>
                <w:color w:val="000000"/>
                <w:sz w:val="21"/>
                <w:szCs w:val="21"/>
              </w:rPr>
              <w:t>0.28 million</w:t>
            </w:r>
          </w:p>
        </w:tc>
        <w:tc>
          <w:tcPr>
            <w:tcW w:w="1375" w:type="dxa"/>
          </w:tcPr>
          <w:p w14:paraId="04CABB64" w14:textId="17EDC005" w:rsidR="00391CC9" w:rsidRDefault="00C0447D" w:rsidP="00C0447D">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Cambria"/>
                <w:color w:val="000000"/>
                <w:sz w:val="21"/>
                <w:szCs w:val="21"/>
              </w:rPr>
            </w:pPr>
            <w:r>
              <w:rPr>
                <w:rFonts w:cs="Cambria"/>
                <w:color w:val="000000"/>
                <w:sz w:val="21"/>
                <w:szCs w:val="21"/>
              </w:rPr>
              <w:t>1.79 million</w:t>
            </w:r>
          </w:p>
        </w:tc>
        <w:tc>
          <w:tcPr>
            <w:tcW w:w="1375" w:type="dxa"/>
          </w:tcPr>
          <w:p w14:paraId="7083A28C" w14:textId="58C0E6C7" w:rsidR="00391CC9" w:rsidRDefault="00391CC9" w:rsidP="00E53DF9">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Cambria"/>
                <w:color w:val="000000"/>
                <w:sz w:val="21"/>
                <w:szCs w:val="21"/>
              </w:rPr>
            </w:pPr>
          </w:p>
        </w:tc>
      </w:tr>
      <w:tr w:rsidR="00C0447D" w14:paraId="10F51F09" w14:textId="77777777" w:rsidTr="00816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dxa"/>
          </w:tcPr>
          <w:p w14:paraId="0D81EFC4" w14:textId="49823B92" w:rsidR="00C0447D" w:rsidRPr="008149CC" w:rsidRDefault="00C0447D" w:rsidP="00C0447D">
            <w:pPr>
              <w:pStyle w:val="ListParagraph"/>
              <w:autoSpaceDE w:val="0"/>
              <w:autoSpaceDN w:val="0"/>
              <w:adjustRightInd w:val="0"/>
              <w:ind w:left="0"/>
              <w:rPr>
                <w:rFonts w:cs="Cambria"/>
                <w:b w:val="0"/>
                <w:color w:val="000000"/>
                <w:sz w:val="21"/>
                <w:szCs w:val="21"/>
              </w:rPr>
            </w:pPr>
            <w:r>
              <w:rPr>
                <w:rFonts w:cs="Cambria"/>
                <w:b w:val="0"/>
                <w:color w:val="000000"/>
                <w:sz w:val="21"/>
                <w:szCs w:val="21"/>
              </w:rPr>
              <w:t>Air</w:t>
            </w:r>
          </w:p>
        </w:tc>
        <w:tc>
          <w:tcPr>
            <w:tcW w:w="1374" w:type="dxa"/>
          </w:tcPr>
          <w:p w14:paraId="4CD7E754" w14:textId="3EB40038" w:rsidR="00C0447D" w:rsidRDefault="00C0447D" w:rsidP="00C0447D">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Cambria"/>
                <w:color w:val="000000"/>
                <w:sz w:val="21"/>
                <w:szCs w:val="21"/>
              </w:rPr>
            </w:pPr>
            <w:r>
              <w:rPr>
                <w:rFonts w:cs="Cambria"/>
                <w:b/>
                <w:color w:val="000000"/>
                <w:sz w:val="21"/>
                <w:szCs w:val="21"/>
              </w:rPr>
              <w:t>&gt;</w:t>
            </w:r>
            <w:r w:rsidRPr="00C0447D">
              <w:rPr>
                <w:rFonts w:cs="Cambria"/>
                <w:b/>
                <w:color w:val="000000"/>
                <w:sz w:val="21"/>
                <w:szCs w:val="21"/>
              </w:rPr>
              <w:t>$10000</w:t>
            </w:r>
          </w:p>
        </w:tc>
        <w:tc>
          <w:tcPr>
            <w:tcW w:w="1375" w:type="dxa"/>
          </w:tcPr>
          <w:p w14:paraId="11D2530A" w14:textId="7030A602" w:rsidR="00C0447D" w:rsidRDefault="00C0447D" w:rsidP="00C0447D">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Cambria"/>
                <w:color w:val="000000"/>
                <w:sz w:val="21"/>
                <w:szCs w:val="21"/>
              </w:rPr>
            </w:pPr>
            <w:r>
              <w:rPr>
                <w:rFonts w:cs="Cambria"/>
                <w:color w:val="000000"/>
                <w:sz w:val="21"/>
                <w:szCs w:val="21"/>
              </w:rPr>
              <w:t>0.64 million</w:t>
            </w:r>
          </w:p>
        </w:tc>
        <w:tc>
          <w:tcPr>
            <w:tcW w:w="1375" w:type="dxa"/>
          </w:tcPr>
          <w:p w14:paraId="4CC87216" w14:textId="6D938D08" w:rsidR="00C0447D" w:rsidRDefault="00C0447D" w:rsidP="00C0447D">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Cambria"/>
                <w:color w:val="000000"/>
                <w:sz w:val="21"/>
                <w:szCs w:val="21"/>
              </w:rPr>
            </w:pPr>
          </w:p>
        </w:tc>
        <w:tc>
          <w:tcPr>
            <w:tcW w:w="1375" w:type="dxa"/>
          </w:tcPr>
          <w:p w14:paraId="40CD8C76" w14:textId="7B623B54" w:rsidR="00C0447D" w:rsidRDefault="00C0447D" w:rsidP="00C0447D">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Cambria"/>
                <w:color w:val="000000"/>
                <w:sz w:val="21"/>
                <w:szCs w:val="21"/>
              </w:rPr>
            </w:pPr>
          </w:p>
        </w:tc>
      </w:tr>
      <w:tr w:rsidR="00391CC9" w14:paraId="7EBAD060" w14:textId="77777777" w:rsidTr="008164F0">
        <w:tc>
          <w:tcPr>
            <w:cnfStyle w:val="001000000000" w:firstRow="0" w:lastRow="0" w:firstColumn="1" w:lastColumn="0" w:oddVBand="0" w:evenVBand="0" w:oddHBand="0" w:evenHBand="0" w:firstRowFirstColumn="0" w:firstRowLastColumn="0" w:lastRowFirstColumn="0" w:lastRowLastColumn="0"/>
            <w:tcW w:w="1422" w:type="dxa"/>
          </w:tcPr>
          <w:p w14:paraId="26B459A3" w14:textId="5A64C918" w:rsidR="00391CC9" w:rsidRPr="008149CC" w:rsidRDefault="00391CC9" w:rsidP="00E53DF9">
            <w:pPr>
              <w:pStyle w:val="ListParagraph"/>
              <w:autoSpaceDE w:val="0"/>
              <w:autoSpaceDN w:val="0"/>
              <w:adjustRightInd w:val="0"/>
              <w:ind w:left="0"/>
              <w:rPr>
                <w:rFonts w:cs="Cambria"/>
                <w:b w:val="0"/>
                <w:color w:val="000000"/>
                <w:sz w:val="21"/>
                <w:szCs w:val="21"/>
              </w:rPr>
            </w:pPr>
          </w:p>
        </w:tc>
        <w:tc>
          <w:tcPr>
            <w:tcW w:w="1374" w:type="dxa"/>
          </w:tcPr>
          <w:p w14:paraId="6FDF92FC" w14:textId="5418E70D" w:rsidR="00391CC9" w:rsidRDefault="00C0447D" w:rsidP="00E53DF9">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Cambria"/>
                <w:color w:val="000000"/>
                <w:sz w:val="21"/>
                <w:szCs w:val="21"/>
              </w:rPr>
            </w:pPr>
            <w:r>
              <w:rPr>
                <w:rFonts w:cs="Cambria"/>
                <w:b/>
                <w:color w:val="000000"/>
                <w:sz w:val="21"/>
                <w:szCs w:val="21"/>
              </w:rPr>
              <w:t>&lt;$10000</w:t>
            </w:r>
          </w:p>
        </w:tc>
        <w:tc>
          <w:tcPr>
            <w:tcW w:w="1375" w:type="dxa"/>
          </w:tcPr>
          <w:p w14:paraId="6F16C667" w14:textId="42EDCF8E" w:rsidR="00391CC9" w:rsidRDefault="00C0447D" w:rsidP="00C0447D">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Cambria"/>
                <w:color w:val="000000"/>
                <w:sz w:val="21"/>
                <w:szCs w:val="21"/>
              </w:rPr>
            </w:pPr>
            <w:r>
              <w:rPr>
                <w:rFonts w:cs="Cambria"/>
                <w:color w:val="000000"/>
                <w:sz w:val="21"/>
                <w:szCs w:val="21"/>
              </w:rPr>
              <w:t>1.60 million</w:t>
            </w:r>
          </w:p>
        </w:tc>
        <w:tc>
          <w:tcPr>
            <w:tcW w:w="1375" w:type="dxa"/>
          </w:tcPr>
          <w:p w14:paraId="57C65D2B" w14:textId="022A4B60" w:rsidR="00391CC9" w:rsidRDefault="00C0447D" w:rsidP="00E53DF9">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Cambria"/>
                <w:color w:val="000000"/>
                <w:sz w:val="21"/>
                <w:szCs w:val="21"/>
              </w:rPr>
            </w:pPr>
            <w:r>
              <w:rPr>
                <w:rFonts w:cs="Cambria"/>
                <w:color w:val="000000"/>
                <w:sz w:val="21"/>
                <w:szCs w:val="21"/>
              </w:rPr>
              <w:t>2.24 million</w:t>
            </w:r>
          </w:p>
        </w:tc>
        <w:tc>
          <w:tcPr>
            <w:tcW w:w="1375" w:type="dxa"/>
          </w:tcPr>
          <w:p w14:paraId="6FF12F48" w14:textId="28A3E9F9" w:rsidR="00391CC9" w:rsidRDefault="00C0447D" w:rsidP="00E53DF9">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Cambria"/>
                <w:color w:val="000000"/>
                <w:sz w:val="21"/>
                <w:szCs w:val="21"/>
              </w:rPr>
            </w:pPr>
            <w:r>
              <w:rPr>
                <w:rFonts w:cs="Cambria"/>
                <w:color w:val="000000"/>
                <w:sz w:val="21"/>
                <w:szCs w:val="21"/>
              </w:rPr>
              <w:t>4.03 million</w:t>
            </w:r>
          </w:p>
        </w:tc>
      </w:tr>
    </w:tbl>
    <w:p w14:paraId="1FCE99BF" w14:textId="1283959F" w:rsidR="009A08B7" w:rsidRPr="008E4CC4" w:rsidRDefault="009A08B7" w:rsidP="009A08B7">
      <w:pPr>
        <w:spacing w:before="0"/>
        <w:rPr>
          <w:sz w:val="18"/>
          <w:szCs w:val="18"/>
        </w:rPr>
      </w:pPr>
      <w:r w:rsidRPr="008E4CC4">
        <w:rPr>
          <w:sz w:val="18"/>
          <w:szCs w:val="18"/>
        </w:rPr>
        <w:t>Source: Department of Home Affairs</w:t>
      </w:r>
      <w:r w:rsidR="007035AE">
        <w:rPr>
          <w:sz w:val="18"/>
          <w:szCs w:val="18"/>
        </w:rPr>
        <w:t>, information provided to the Committee</w:t>
      </w:r>
      <w:r w:rsidR="008E4CC4" w:rsidRPr="008E4CC4">
        <w:rPr>
          <w:sz w:val="18"/>
          <w:szCs w:val="18"/>
        </w:rPr>
        <w:t>.</w:t>
      </w:r>
    </w:p>
    <w:p w14:paraId="33C8E670" w14:textId="1A18ACA1" w:rsidR="00560E43" w:rsidRDefault="00560E43" w:rsidP="00637D2D">
      <w:r>
        <w:t xml:space="preserve">As can be seen, there are slightly more air FIDs than sea FIDs. Most sea FIDs (which cover containerised, break bulk and bulk cargo) are valued at </w:t>
      </w:r>
      <w:r w:rsidR="00CA5B1E">
        <w:t>or</w:t>
      </w:r>
      <w:r w:rsidR="00B25B85">
        <w:t xml:space="preserve"> </w:t>
      </w:r>
      <w:r>
        <w:t>more than $10</w:t>
      </w:r>
      <w:r w:rsidR="00CA5B1E">
        <w:t>,</w:t>
      </w:r>
      <w:r>
        <w:t>000, while most air FIDs are valued at less than $10</w:t>
      </w:r>
      <w:r w:rsidR="00B25B85">
        <w:t>,</w:t>
      </w:r>
      <w:r>
        <w:t>000.</w:t>
      </w:r>
    </w:p>
    <w:p w14:paraId="6D9A18CA" w14:textId="7F33F367" w:rsidR="00C0447D" w:rsidRDefault="00C0447D" w:rsidP="00637D2D">
      <w:r>
        <w:t>Air (or sea) cargo valued at less than $1</w:t>
      </w:r>
      <w:r w:rsidR="00B25B85">
        <w:t>,</w:t>
      </w:r>
      <w:r>
        <w:t>000 is not covered by the FID system, but i</w:t>
      </w:r>
      <w:r w:rsidR="00560E43">
        <w:t>n</w:t>
      </w:r>
      <w:r>
        <w:t>s</w:t>
      </w:r>
      <w:r w:rsidR="00560E43">
        <w:t>tead</w:t>
      </w:r>
      <w:r>
        <w:t xml:space="preserve"> declared through </w:t>
      </w:r>
      <w:r>
        <w:rPr>
          <w:rFonts w:ascii="Calibri" w:hAnsi="Calibri" w:cs="Calibri"/>
        </w:rPr>
        <w:t xml:space="preserve">the </w:t>
      </w:r>
      <w:r w:rsidR="00560E43">
        <w:t>Integrated Cargo System</w:t>
      </w:r>
      <w:r>
        <w:rPr>
          <w:rFonts w:ascii="Calibri" w:hAnsi="Calibri" w:cs="Calibri"/>
        </w:rPr>
        <w:t xml:space="preserve"> on a Self-Assessed Clearance declaration. These declarations are not required for the goods that arrive by international mail. </w:t>
      </w:r>
      <w:r w:rsidR="00560E43">
        <w:rPr>
          <w:rFonts w:ascii="Calibri" w:hAnsi="Calibri" w:cs="Calibri"/>
        </w:rPr>
        <w:t xml:space="preserve">The Department has comprehensive processes for inspecting and clearing such cargo. </w:t>
      </w:r>
      <w:r w:rsidR="00B25B85">
        <w:rPr>
          <w:rFonts w:ascii="Calibri" w:hAnsi="Calibri" w:cs="Calibri"/>
        </w:rPr>
        <w:t xml:space="preserve">These matters </w:t>
      </w:r>
      <w:r w:rsidR="00560E43">
        <w:rPr>
          <w:rFonts w:ascii="Calibri" w:hAnsi="Calibri" w:cs="Calibri"/>
        </w:rPr>
        <w:t xml:space="preserve">fall </w:t>
      </w:r>
      <w:r w:rsidR="007E20BF">
        <w:rPr>
          <w:rFonts w:ascii="Calibri" w:hAnsi="Calibri" w:cs="Calibri"/>
        </w:rPr>
        <w:t>outside</w:t>
      </w:r>
      <w:r w:rsidR="00560E43">
        <w:rPr>
          <w:rFonts w:ascii="Calibri" w:hAnsi="Calibri" w:cs="Calibri"/>
        </w:rPr>
        <w:t xml:space="preserve"> the scope of the Committee.</w:t>
      </w:r>
    </w:p>
    <w:p w14:paraId="68C1CB17" w14:textId="69DE3844" w:rsidR="00780C20" w:rsidRPr="00780C20" w:rsidRDefault="00560E43" w:rsidP="00637D2D">
      <w:pPr>
        <w:rPr>
          <w:shd w:val="clear" w:color="auto" w:fill="FFFFFF"/>
        </w:rPr>
      </w:pPr>
      <w:r>
        <w:t>I</w:t>
      </w:r>
      <w:r w:rsidRPr="00780C20">
        <w:t>n November 2018</w:t>
      </w:r>
      <w:r>
        <w:t>,</w:t>
      </w:r>
      <w:r w:rsidRPr="00780C20">
        <w:t xml:space="preserve"> </w:t>
      </w:r>
      <w:r w:rsidR="008104F5">
        <w:t>the Department</w:t>
      </w:r>
      <w:r w:rsidR="00637D2D" w:rsidRPr="00780C20">
        <w:t xml:space="preserve"> </w:t>
      </w:r>
      <w:sdt>
        <w:sdtPr>
          <w:id w:val="-1071585896"/>
          <w:citation/>
        </w:sdtPr>
        <w:sdtEndPr/>
        <w:sdtContent>
          <w:r w:rsidR="00637D2D" w:rsidRPr="00780C20">
            <w:fldChar w:fldCharType="begin"/>
          </w:r>
          <w:r w:rsidR="00637D2D" w:rsidRPr="00780C20">
            <w:instrText xml:space="preserve">CITATION Dep2 \n  \t  \l 3081 </w:instrText>
          </w:r>
          <w:r w:rsidR="00637D2D" w:rsidRPr="00780C20">
            <w:fldChar w:fldCharType="separate"/>
          </w:r>
          <w:r w:rsidR="00604A29">
            <w:rPr>
              <w:noProof/>
            </w:rPr>
            <w:t>(2018b)</w:t>
          </w:r>
          <w:r w:rsidR="00637D2D" w:rsidRPr="00780C20">
            <w:fldChar w:fldCharType="end"/>
          </w:r>
        </w:sdtContent>
      </w:sdt>
      <w:r w:rsidR="00637D2D" w:rsidRPr="00780C20">
        <w:t xml:space="preserve"> suggested</w:t>
      </w:r>
      <w:r w:rsidRPr="00560E43">
        <w:t xml:space="preserve"> </w:t>
      </w:r>
      <w:r>
        <w:t>as an alternative collection mechanism</w:t>
      </w:r>
      <w:r w:rsidR="00637D2D" w:rsidRPr="00780C20">
        <w:t xml:space="preserve"> that the Maritime Arrivals Reporting System (MARS) could be used</w:t>
      </w:r>
      <w:r w:rsidR="00B25B85">
        <w:t xml:space="preserve"> for the collection of the levy</w:t>
      </w:r>
      <w:r w:rsidR="00637D2D" w:rsidRPr="00780C20">
        <w:t xml:space="preserve">. </w:t>
      </w:r>
      <w:r w:rsidR="00637D2D" w:rsidRPr="00780C20">
        <w:rPr>
          <w:shd w:val="clear" w:color="auto" w:fill="FFFFFF"/>
        </w:rPr>
        <w:t xml:space="preserve">MARS is an online web portal used by </w:t>
      </w:r>
      <w:r w:rsidR="00637D2D" w:rsidRPr="00780C20">
        <w:rPr>
          <w:rStyle w:val="Strong"/>
          <w:rFonts w:ascii="Calibri" w:hAnsi="Calibri" w:cs="Calibri"/>
          <w:b w:val="0"/>
          <w:sz w:val="21"/>
          <w:szCs w:val="21"/>
          <w:shd w:val="clear" w:color="auto" w:fill="FFFFFF"/>
        </w:rPr>
        <w:t>commercial</w:t>
      </w:r>
      <w:r w:rsidR="00637D2D" w:rsidRPr="00780C20">
        <w:rPr>
          <w:b/>
          <w:shd w:val="clear" w:color="auto" w:fill="FFFFFF"/>
        </w:rPr>
        <w:t xml:space="preserve"> </w:t>
      </w:r>
      <w:r w:rsidR="00637D2D" w:rsidRPr="00780C20">
        <w:rPr>
          <w:shd w:val="clear" w:color="auto" w:fill="FFFFFF"/>
        </w:rPr>
        <w:t xml:space="preserve">vessel masters and shipping agents to submit pre-arrival documents required of all international vessels seeking Australian biosecurity clearance </w:t>
      </w:r>
      <w:sdt>
        <w:sdtPr>
          <w:rPr>
            <w:shd w:val="clear" w:color="auto" w:fill="FFFFFF"/>
          </w:rPr>
          <w:id w:val="1117024330"/>
          <w:citation/>
        </w:sdtPr>
        <w:sdtEndPr/>
        <w:sdtContent>
          <w:r w:rsidR="00637D2D" w:rsidRPr="00780C20">
            <w:rPr>
              <w:shd w:val="clear" w:color="auto" w:fill="FFFFFF"/>
            </w:rPr>
            <w:fldChar w:fldCharType="begin"/>
          </w:r>
          <w:r w:rsidR="00637D2D" w:rsidRPr="00780C20">
            <w:rPr>
              <w:shd w:val="clear" w:color="auto" w:fill="FFFFFF"/>
            </w:rPr>
            <w:instrText xml:space="preserve"> CITATION Dep8d \l 3081 </w:instrText>
          </w:r>
          <w:r w:rsidR="00637D2D" w:rsidRPr="00780C20">
            <w:rPr>
              <w:shd w:val="clear" w:color="auto" w:fill="FFFFFF"/>
            </w:rPr>
            <w:fldChar w:fldCharType="separate"/>
          </w:r>
          <w:r w:rsidR="00604A29" w:rsidRPr="00604A29">
            <w:rPr>
              <w:noProof/>
              <w:shd w:val="clear" w:color="auto" w:fill="FFFFFF"/>
            </w:rPr>
            <w:t>(Department of Agriculture and Water Resources, 2018d)</w:t>
          </w:r>
          <w:r w:rsidR="00637D2D" w:rsidRPr="00780C20">
            <w:rPr>
              <w:shd w:val="clear" w:color="auto" w:fill="FFFFFF"/>
            </w:rPr>
            <w:fldChar w:fldCharType="end"/>
          </w:r>
        </w:sdtContent>
      </w:sdt>
      <w:r w:rsidR="00637D2D" w:rsidRPr="00780C20">
        <w:rPr>
          <w:shd w:val="clear" w:color="auto" w:fill="FFFFFF"/>
        </w:rPr>
        <w:t xml:space="preserve">. </w:t>
      </w:r>
    </w:p>
    <w:p w14:paraId="733E692E" w14:textId="33E9BB4C" w:rsidR="009908A7" w:rsidRDefault="008104F5" w:rsidP="00637D2D">
      <w:r>
        <w:t>T</w:t>
      </w:r>
      <w:r w:rsidR="00637D2D" w:rsidRPr="00446B04">
        <w:t>he shipping agent/</w:t>
      </w:r>
      <w:r w:rsidR="00F00B2D">
        <w:t xml:space="preserve">commercial </w:t>
      </w:r>
      <w:r w:rsidR="00637D2D" w:rsidRPr="00446B04">
        <w:t xml:space="preserve">vessel </w:t>
      </w:r>
      <w:r w:rsidR="00F00B2D">
        <w:t xml:space="preserve">master </w:t>
      </w:r>
      <w:r w:rsidR="00637D2D" w:rsidRPr="00446B04">
        <w:t>report</w:t>
      </w:r>
      <w:r>
        <w:t>s</w:t>
      </w:r>
      <w:r w:rsidR="00637D2D" w:rsidRPr="00446B04">
        <w:t xml:space="preserve"> arrival</w:t>
      </w:r>
      <w:r>
        <w:t>s</w:t>
      </w:r>
      <w:r w:rsidR="00637D2D" w:rsidRPr="00446B04">
        <w:t xml:space="preserve"> and </w:t>
      </w:r>
      <w:r>
        <w:t>is</w:t>
      </w:r>
      <w:r w:rsidR="00637D2D" w:rsidRPr="00446B04">
        <w:t xml:space="preserve"> given clearance to enter Australian waters and berth</w:t>
      </w:r>
      <w:r w:rsidRPr="008104F5">
        <w:t xml:space="preserve"> </w:t>
      </w:r>
      <w:r>
        <w:t xml:space="preserve">via </w:t>
      </w:r>
      <w:r w:rsidRPr="00446B04">
        <w:t>MARS</w:t>
      </w:r>
      <w:r>
        <w:t>. However, MARS</w:t>
      </w:r>
      <w:r w:rsidR="00637D2D" w:rsidRPr="00446B04">
        <w:t xml:space="preserve"> does not relate</w:t>
      </w:r>
      <w:r>
        <w:t xml:space="preserve"> to,</w:t>
      </w:r>
      <w:r w:rsidR="00637D2D" w:rsidRPr="00446B04">
        <w:t xml:space="preserve"> or interface with</w:t>
      </w:r>
      <w:r>
        <w:t>,</w:t>
      </w:r>
      <w:r w:rsidR="00637D2D" w:rsidRPr="00446B04">
        <w:t xml:space="preserve"> cargo</w:t>
      </w:r>
      <w:r>
        <w:t>; as noted previously,</w:t>
      </w:r>
      <w:r w:rsidR="00637D2D" w:rsidRPr="00446B04">
        <w:t xml:space="preserve"> the importer or </w:t>
      </w:r>
      <w:r>
        <w:t>its</w:t>
      </w:r>
      <w:r w:rsidR="00637D2D" w:rsidRPr="00446B04">
        <w:t xml:space="preserve"> customs broker reports via the FID. In s</w:t>
      </w:r>
      <w:r w:rsidR="00C51F56">
        <w:t>ome carriage contracts the ship</w:t>
      </w:r>
      <w:r w:rsidR="00637D2D" w:rsidRPr="00446B04">
        <w:t>owner has no interaction with the cargo interest whatsoever. As such, MARS is primarily a reporting tool for vessel arrivals</w:t>
      </w:r>
      <w:r>
        <w:t>;</w:t>
      </w:r>
      <w:r w:rsidR="00637D2D" w:rsidRPr="00446B04">
        <w:t xml:space="preserve"> </w:t>
      </w:r>
      <w:r>
        <w:t>it</w:t>
      </w:r>
      <w:r w:rsidR="00637D2D" w:rsidRPr="00446B04">
        <w:t xml:space="preserve"> lacks the necessary structure to impose </w:t>
      </w:r>
      <w:r w:rsidR="00683F26">
        <w:t>a levy on incoming cargoes</w:t>
      </w:r>
      <w:r w:rsidR="00637D2D" w:rsidRPr="00446B04">
        <w:t xml:space="preserve">. </w:t>
      </w:r>
    </w:p>
    <w:p w14:paraId="5F5ABCD1" w14:textId="2806995C" w:rsidR="00637D2D" w:rsidRDefault="00BD0BC9" w:rsidP="00637D2D">
      <w:pPr>
        <w:rPr>
          <w:szCs w:val="22"/>
        </w:rPr>
      </w:pPr>
      <w:r>
        <w:t xml:space="preserve">However, MARS does generate invoices for the </w:t>
      </w:r>
      <w:r w:rsidR="008104F5">
        <w:rPr>
          <w:szCs w:val="22"/>
        </w:rPr>
        <w:t>biosecurity-</w:t>
      </w:r>
      <w:r>
        <w:rPr>
          <w:szCs w:val="22"/>
        </w:rPr>
        <w:t>related vessel operator charge</w:t>
      </w:r>
      <w:r w:rsidR="009908A7">
        <w:rPr>
          <w:szCs w:val="22"/>
        </w:rPr>
        <w:t xml:space="preserve"> ($920 per vessel over 25 metres in length, and $100 for vessels less than 25 metres)</w:t>
      </w:r>
      <w:r w:rsidR="008104F5">
        <w:rPr>
          <w:szCs w:val="22"/>
        </w:rPr>
        <w:t>, and submissions were made to the Committee that this could be used to derive additional revenue from vessels, and in a more equitable manner than a gross vessel tonnage charge</w:t>
      </w:r>
      <w:r>
        <w:rPr>
          <w:szCs w:val="22"/>
        </w:rPr>
        <w:t>.</w:t>
      </w:r>
      <w:r w:rsidR="00C51F56">
        <w:rPr>
          <w:szCs w:val="22"/>
        </w:rPr>
        <w:t xml:space="preserve"> </w:t>
      </w:r>
    </w:p>
    <w:p w14:paraId="20361E6A" w14:textId="335D6C82" w:rsidR="00DF0D94" w:rsidRDefault="00DF0D94" w:rsidP="00637D2D">
      <w:pPr>
        <w:rPr>
          <w:szCs w:val="22"/>
        </w:rPr>
      </w:pPr>
      <w:r>
        <w:rPr>
          <w:szCs w:val="22"/>
        </w:rPr>
        <w:t>The Committee supports the imposition of a levy on cargo through the FID, and</w:t>
      </w:r>
      <w:r w:rsidR="00990AF9">
        <w:rPr>
          <w:szCs w:val="22"/>
        </w:rPr>
        <w:t>, if deemed appropriate,</w:t>
      </w:r>
      <w:r>
        <w:rPr>
          <w:szCs w:val="22"/>
        </w:rPr>
        <w:t xml:space="preserve"> the imposition of a levy on vessels through MARS.</w:t>
      </w:r>
    </w:p>
    <w:p w14:paraId="492839FB" w14:textId="7011AA1E" w:rsidR="007B36CF" w:rsidRDefault="007B36CF" w:rsidP="007B36CF">
      <w:pPr>
        <w:pStyle w:val="Heading2"/>
      </w:pPr>
      <w:bookmarkStart w:id="30" w:name="_Toc10031895"/>
      <w:r w:rsidRPr="00FA11C0">
        <w:t>6</w:t>
      </w:r>
      <w:r>
        <w:t>.2</w:t>
      </w:r>
      <w:r w:rsidRPr="00FA11C0">
        <w:tab/>
      </w:r>
      <w:r>
        <w:t>Alternative Suggestions to Raise</w:t>
      </w:r>
      <w:r w:rsidRPr="00FA11C0">
        <w:t xml:space="preserve"> Levy</w:t>
      </w:r>
      <w:r>
        <w:t xml:space="preserve"> Revenue</w:t>
      </w:r>
      <w:bookmarkEnd w:id="30"/>
    </w:p>
    <w:p w14:paraId="6AD330B6" w14:textId="0E2539E7" w:rsidR="00D242BD" w:rsidRDefault="00D242BD" w:rsidP="00637D2D">
      <w:pPr>
        <w:rPr>
          <w:shd w:val="clear" w:color="auto" w:fill="FFFFFF"/>
        </w:rPr>
      </w:pPr>
      <w:r>
        <w:rPr>
          <w:shd w:val="clear" w:color="auto" w:fill="FFFFFF"/>
        </w:rPr>
        <w:t xml:space="preserve">During its </w:t>
      </w:r>
      <w:r>
        <w:t xml:space="preserve">stakeholder consultations, Pegasus </w:t>
      </w:r>
      <w:r w:rsidR="00261C55">
        <w:t xml:space="preserve">found some </w:t>
      </w:r>
      <w:r w:rsidR="009066CD">
        <w:t>support for</w:t>
      </w:r>
      <w:r>
        <w:t xml:space="preserve"> a small increase in the </w:t>
      </w:r>
      <w:r w:rsidR="00D678BE">
        <w:t xml:space="preserve">fuel excise </w:t>
      </w:r>
      <w:r w:rsidR="009066CD">
        <w:t>(</w:t>
      </w:r>
      <w:r w:rsidR="00D678BE">
        <w:t xml:space="preserve">and </w:t>
      </w:r>
      <w:r>
        <w:t>excise equivalent customs duty applying to petroleum products</w:t>
      </w:r>
      <w:r w:rsidR="009066CD">
        <w:t>)</w:t>
      </w:r>
      <w:r>
        <w:t xml:space="preserve"> </w:t>
      </w:r>
      <w:r w:rsidR="009066CD">
        <w:t>in</w:t>
      </w:r>
      <w:r>
        <w:t xml:space="preserve"> </w:t>
      </w:r>
      <w:r w:rsidR="009066CD">
        <w:t>preference</w:t>
      </w:r>
      <w:r w:rsidR="00D678BE">
        <w:t xml:space="preserve"> to </w:t>
      </w:r>
      <w:r>
        <w:t>a new collection mechanism</w:t>
      </w:r>
      <w:r w:rsidR="00EF4C23">
        <w:t xml:space="preserve"> </w:t>
      </w:r>
      <w:sdt>
        <w:sdtPr>
          <w:id w:val="-312806466"/>
          <w:citation/>
        </w:sdtPr>
        <w:sdtEndPr/>
        <w:sdtContent>
          <w:r w:rsidR="00EF4C23">
            <w:fldChar w:fldCharType="begin"/>
          </w:r>
          <w:r w:rsidR="00EF4C23">
            <w:instrText xml:space="preserve">CITATION Fis19 \p 15 \t  \l 3081 </w:instrText>
          </w:r>
          <w:r w:rsidR="00EF4C23">
            <w:fldChar w:fldCharType="separate"/>
          </w:r>
          <w:r w:rsidR="00604A29">
            <w:rPr>
              <w:noProof/>
            </w:rPr>
            <w:t>(Fisher &amp; Davey, 2019, p. 15)</w:t>
          </w:r>
          <w:r w:rsidR="00EF4C23">
            <w:fldChar w:fldCharType="end"/>
          </w:r>
        </w:sdtContent>
      </w:sdt>
      <w:r>
        <w:t>.</w:t>
      </w:r>
      <w:r w:rsidR="00CB61D3">
        <w:t xml:space="preserve"> </w:t>
      </w:r>
      <w:r w:rsidR="00C51F56">
        <w:t>Similarly</w:t>
      </w:r>
      <w:r w:rsidR="009066CD">
        <w:t xml:space="preserve">, </w:t>
      </w:r>
      <w:r w:rsidR="00552FF0">
        <w:rPr>
          <w:shd w:val="clear" w:color="auto" w:fill="FFFFFF"/>
        </w:rPr>
        <w:t xml:space="preserve">Fertilizer Australia </w:t>
      </w:r>
      <w:sdt>
        <w:sdtPr>
          <w:rPr>
            <w:shd w:val="clear" w:color="auto" w:fill="FFFFFF"/>
          </w:rPr>
          <w:id w:val="-771009500"/>
          <w:citation/>
        </w:sdtPr>
        <w:sdtEndPr/>
        <w:sdtContent>
          <w:r w:rsidR="00FC626F">
            <w:rPr>
              <w:shd w:val="clear" w:color="auto" w:fill="FFFFFF"/>
            </w:rPr>
            <w:fldChar w:fldCharType="begin"/>
          </w:r>
          <w:r w:rsidR="00FC626F">
            <w:rPr>
              <w:shd w:val="clear" w:color="auto" w:fill="FFFFFF"/>
            </w:rPr>
            <w:instrText xml:space="preserve">CITATION Fer19 \n  \t  \l 3081 </w:instrText>
          </w:r>
          <w:r w:rsidR="00FC626F">
            <w:rPr>
              <w:shd w:val="clear" w:color="auto" w:fill="FFFFFF"/>
            </w:rPr>
            <w:fldChar w:fldCharType="separate"/>
          </w:r>
          <w:r w:rsidR="00604A29" w:rsidRPr="00604A29">
            <w:rPr>
              <w:noProof/>
              <w:shd w:val="clear" w:color="auto" w:fill="FFFFFF"/>
            </w:rPr>
            <w:t>(2019)</w:t>
          </w:r>
          <w:r w:rsidR="00FC626F">
            <w:rPr>
              <w:shd w:val="clear" w:color="auto" w:fill="FFFFFF"/>
            </w:rPr>
            <w:fldChar w:fldCharType="end"/>
          </w:r>
        </w:sdtContent>
      </w:sdt>
      <w:r w:rsidR="00552FF0">
        <w:rPr>
          <w:shd w:val="clear" w:color="auto" w:fill="FFFFFF"/>
        </w:rPr>
        <w:t xml:space="preserve"> suggested </w:t>
      </w:r>
      <w:r w:rsidR="009066CD">
        <w:rPr>
          <w:shd w:val="clear" w:color="auto" w:fill="FFFFFF"/>
        </w:rPr>
        <w:t xml:space="preserve">to the Committee that </w:t>
      </w:r>
      <w:r w:rsidR="00552FF0">
        <w:rPr>
          <w:shd w:val="clear" w:color="auto" w:fill="FFFFFF"/>
        </w:rPr>
        <w:t xml:space="preserve">the entire revenue for the </w:t>
      </w:r>
      <w:r w:rsidR="009066CD">
        <w:rPr>
          <w:shd w:val="clear" w:color="auto" w:fill="FFFFFF"/>
        </w:rPr>
        <w:t>levy</w:t>
      </w:r>
      <w:r w:rsidR="00552FF0">
        <w:rPr>
          <w:shd w:val="clear" w:color="auto" w:fill="FFFFFF"/>
        </w:rPr>
        <w:t xml:space="preserve"> could be collected through a small increase in fuel excise </w:t>
      </w:r>
      <w:r w:rsidR="009066CD">
        <w:rPr>
          <w:shd w:val="clear" w:color="auto" w:fill="FFFFFF"/>
        </w:rPr>
        <w:t>(which the Committee has calculated at approximately 0.7 cents per litre on petrol – not extending to diesel)</w:t>
      </w:r>
      <w:r w:rsidR="00552FF0">
        <w:rPr>
          <w:shd w:val="clear" w:color="auto" w:fill="FFFFFF"/>
        </w:rPr>
        <w:t>.</w:t>
      </w:r>
    </w:p>
    <w:p w14:paraId="2A2C67DC" w14:textId="2DBE3B09" w:rsidR="00160130" w:rsidRDefault="004C7514" w:rsidP="00637D2D">
      <w:r>
        <w:rPr>
          <w:shd w:val="clear" w:color="auto" w:fill="FFFFFF"/>
        </w:rPr>
        <w:t xml:space="preserve">The Australian Chamber of Commerce and Industry </w:t>
      </w:r>
      <w:sdt>
        <w:sdtPr>
          <w:rPr>
            <w:shd w:val="clear" w:color="auto" w:fill="FFFFFF"/>
          </w:rPr>
          <w:id w:val="-1454472211"/>
          <w:citation/>
        </w:sdtPr>
        <w:sdtEndPr/>
        <w:sdtContent>
          <w:r>
            <w:rPr>
              <w:shd w:val="clear" w:color="auto" w:fill="FFFFFF"/>
            </w:rPr>
            <w:fldChar w:fldCharType="begin"/>
          </w:r>
          <w:r>
            <w:rPr>
              <w:shd w:val="clear" w:color="auto" w:fill="FFFFFF"/>
            </w:rPr>
            <w:instrText xml:space="preserve">CITATION Aus191 \n  \t  \l 3081 </w:instrText>
          </w:r>
          <w:r>
            <w:rPr>
              <w:shd w:val="clear" w:color="auto" w:fill="FFFFFF"/>
            </w:rPr>
            <w:fldChar w:fldCharType="separate"/>
          </w:r>
          <w:r w:rsidR="00604A29" w:rsidRPr="00604A29">
            <w:rPr>
              <w:noProof/>
              <w:shd w:val="clear" w:color="auto" w:fill="FFFFFF"/>
            </w:rPr>
            <w:t>(2019)</w:t>
          </w:r>
          <w:r>
            <w:rPr>
              <w:shd w:val="clear" w:color="auto" w:fill="FFFFFF"/>
            </w:rPr>
            <w:fldChar w:fldCharType="end"/>
          </w:r>
        </w:sdtContent>
      </w:sdt>
      <w:r>
        <w:rPr>
          <w:shd w:val="clear" w:color="auto" w:fill="FFFFFF"/>
        </w:rPr>
        <w:t xml:space="preserve"> recommended </w:t>
      </w:r>
      <w:r w:rsidRPr="004C7514">
        <w:t xml:space="preserve">using the Business Activity Statement </w:t>
      </w:r>
      <w:r w:rsidR="006A2472">
        <w:t xml:space="preserve">(BAS) </w:t>
      </w:r>
      <w:r w:rsidRPr="004C7514">
        <w:t xml:space="preserve">system to collect </w:t>
      </w:r>
      <w:r w:rsidR="009066CD">
        <w:t xml:space="preserve">the </w:t>
      </w:r>
      <w:r w:rsidR="00C62F7E">
        <w:t xml:space="preserve">biosecurity </w:t>
      </w:r>
      <w:r w:rsidR="009066CD">
        <w:t xml:space="preserve">levy, consistent with its </w:t>
      </w:r>
      <w:r w:rsidR="00FF24E1">
        <w:t>general policy</w:t>
      </w:r>
      <w:r w:rsidR="009066CD">
        <w:t xml:space="preserve"> view</w:t>
      </w:r>
      <w:r w:rsidR="006A2472">
        <w:t xml:space="preserve"> that the BAS should be used to consolidate existing, more piece-meal, charges.</w:t>
      </w:r>
    </w:p>
    <w:p w14:paraId="22DBD6CD" w14:textId="77777777" w:rsidR="007035AE" w:rsidRDefault="00FF24E1" w:rsidP="00FF24E1">
      <w:r>
        <w:t xml:space="preserve">While noting the simplicity argument for raising levy revenue via a fuel excise, and the consolidation argument for more widely using the BAS </w:t>
      </w:r>
      <w:r w:rsidR="000121F6">
        <w:t xml:space="preserve">system </w:t>
      </w:r>
      <w:r>
        <w:t xml:space="preserve">for collection, the Committee does not support either proposal. </w:t>
      </w:r>
    </w:p>
    <w:p w14:paraId="4690E5FA" w14:textId="1DE96291" w:rsidR="007035AE" w:rsidRDefault="00FF24E1" w:rsidP="00FF24E1">
      <w:r>
        <w:t>Fuel excise would impose the levy</w:t>
      </w:r>
      <w:r w:rsidR="004E5346">
        <w:t xml:space="preserve"> on</w:t>
      </w:r>
      <w:r>
        <w:t xml:space="preserve"> a very broad cross-section of the community, </w:t>
      </w:r>
      <w:r w:rsidR="00903FB3">
        <w:t xml:space="preserve">plus </w:t>
      </w:r>
      <w:r w:rsidR="00C0133D">
        <w:t xml:space="preserve">it is simple and also arguably </w:t>
      </w:r>
      <w:r w:rsidR="00903FB3">
        <w:t>would minimise</w:t>
      </w:r>
      <w:r w:rsidR="00C0133D">
        <w:t xml:space="preserve"> the inefficiency usually associated with taxes. Petrol is generally seen as being price inelastic</w:t>
      </w:r>
      <w:r w:rsidR="00903FB3">
        <w:t xml:space="preserve"> (that is, demand is relatively insensitive to price changes)</w:t>
      </w:r>
      <w:r w:rsidR="00C0133D">
        <w:t xml:space="preserve"> which makes it an ideal candidate for the application of Ramsey taxation, first articulated by English economist Frank Ramsey </w:t>
      </w:r>
      <w:sdt>
        <w:sdtPr>
          <w:id w:val="349759322"/>
          <w:citation/>
        </w:sdtPr>
        <w:sdtEndPr/>
        <w:sdtContent>
          <w:r w:rsidR="00C0133D">
            <w:fldChar w:fldCharType="begin"/>
          </w:r>
          <w:r w:rsidR="00C0133D">
            <w:instrText xml:space="preserve">CITATION Ram27 \n  \t  \l 3081 </w:instrText>
          </w:r>
          <w:r w:rsidR="00C0133D">
            <w:fldChar w:fldCharType="separate"/>
          </w:r>
          <w:r w:rsidR="00C0133D">
            <w:rPr>
              <w:noProof/>
            </w:rPr>
            <w:t>(1927)</w:t>
          </w:r>
          <w:r w:rsidR="00C0133D">
            <w:fldChar w:fldCharType="end"/>
          </w:r>
        </w:sdtContent>
      </w:sdt>
      <w:r w:rsidR="00C0133D">
        <w:t xml:space="preserve">. However, a drawback (from a sustainability viewpoint) is that demand for petrol is </w:t>
      </w:r>
      <w:r w:rsidR="00903FB3">
        <w:t>now showing signs of</w:t>
      </w:r>
      <w:r w:rsidR="00C0133D">
        <w:t xml:space="preserve"> decline</w:t>
      </w:r>
      <w:r w:rsidR="00903FB3">
        <w:t>,</w:t>
      </w:r>
      <w:r w:rsidR="00C0133D">
        <w:t xml:space="preserve"> </w:t>
      </w:r>
      <w:r w:rsidR="00903FB3">
        <w:t>so</w:t>
      </w:r>
      <w:r w:rsidR="00C0133D">
        <w:t xml:space="preserve"> increased petrol taxes </w:t>
      </w:r>
      <w:r w:rsidR="00903FB3">
        <w:t>risk being</w:t>
      </w:r>
      <w:r w:rsidR="00C0133D">
        <w:t xml:space="preserve"> a diminishing </w:t>
      </w:r>
      <w:r w:rsidR="00903FB3">
        <w:t>revenue stream</w:t>
      </w:r>
      <w:r w:rsidR="00C0133D">
        <w:t xml:space="preserve">. More importantly from the Committee’s standpoint, fuel tax has no relation to biosecurity risk, to which the Committee is required to have regard. </w:t>
      </w:r>
    </w:p>
    <w:p w14:paraId="1D413661" w14:textId="3FD381CF" w:rsidR="00FF24E1" w:rsidRDefault="00FF24E1" w:rsidP="00FF24E1">
      <w:r>
        <w:t xml:space="preserve">A more comprehensive use of the BAS system requires a much broader public </w:t>
      </w:r>
      <w:r w:rsidR="00B25B85">
        <w:t xml:space="preserve">policy </w:t>
      </w:r>
      <w:r>
        <w:t xml:space="preserve">debate before it could be contemplated with any confidence, </w:t>
      </w:r>
      <w:r w:rsidR="000D6C01">
        <w:t>rather than</w:t>
      </w:r>
      <w:r>
        <w:t xml:space="preserve"> in respect of a biosecurity levy alone.</w:t>
      </w:r>
    </w:p>
    <w:p w14:paraId="220DDAEC" w14:textId="08944BD5" w:rsidR="00B25B85" w:rsidRDefault="00B25B85">
      <w:pPr>
        <w:spacing w:before="0" w:after="160" w:line="259" w:lineRule="auto"/>
      </w:pPr>
      <w:r>
        <w:br w:type="page"/>
      </w:r>
    </w:p>
    <w:p w14:paraId="73A1B32D" w14:textId="79D1F232" w:rsidR="00E95C66" w:rsidRDefault="00C512F4" w:rsidP="002E2CFD">
      <w:pPr>
        <w:pStyle w:val="Heading1"/>
      </w:pPr>
      <w:bookmarkStart w:id="31" w:name="_Toc10031896"/>
      <w:r>
        <w:t>7</w:t>
      </w:r>
      <w:r w:rsidR="002E2CFD" w:rsidRPr="005D4BE3">
        <w:t>.</w:t>
      </w:r>
      <w:r w:rsidR="00E95C66" w:rsidRPr="005D4BE3">
        <w:tab/>
      </w:r>
      <w:r w:rsidR="00957956" w:rsidRPr="005D4BE3">
        <w:t>Determining the Level of Risk</w:t>
      </w:r>
      <w:bookmarkEnd w:id="31"/>
    </w:p>
    <w:p w14:paraId="02E88A51" w14:textId="3F9B8D4B" w:rsidR="00903CE6" w:rsidRPr="00903CE6" w:rsidRDefault="00C512F4" w:rsidP="00903CE6">
      <w:pPr>
        <w:pStyle w:val="Heading2"/>
      </w:pPr>
      <w:bookmarkStart w:id="32" w:name="_Toc10031897"/>
      <w:r>
        <w:t>7</w:t>
      </w:r>
      <w:r w:rsidR="00903CE6">
        <w:t>.1</w:t>
      </w:r>
      <w:r w:rsidR="00903CE6">
        <w:tab/>
        <w:t>Pathway Risk Assessments</w:t>
      </w:r>
      <w:bookmarkEnd w:id="32"/>
    </w:p>
    <w:p w14:paraId="30213D66" w14:textId="0E7D015A" w:rsidR="00EE638A" w:rsidRDefault="0015613A" w:rsidP="00EE638A">
      <w:r>
        <w:t>The logical</w:t>
      </w:r>
      <w:r w:rsidR="00EE638A">
        <w:t xml:space="preserve"> approach to determining biosecurity risk</w:t>
      </w:r>
      <w:r w:rsidR="006D4C4C">
        <w:t>,</w:t>
      </w:r>
      <w:r w:rsidR="00EE638A">
        <w:t xml:space="preserve"> related to import activities</w:t>
      </w:r>
      <w:r w:rsidR="006D4C4C">
        <w:t>,</w:t>
      </w:r>
      <w:r w:rsidR="00EE638A">
        <w:t xml:space="preserve"> </w:t>
      </w:r>
      <w:r>
        <w:t xml:space="preserve">is to assess </w:t>
      </w:r>
      <w:r w:rsidR="00EE638A">
        <w:t xml:space="preserve">import pathways and vectors. </w:t>
      </w:r>
    </w:p>
    <w:p w14:paraId="601C6377" w14:textId="3E86AA77" w:rsidR="006D4154" w:rsidRDefault="003375A6" w:rsidP="00924DEA">
      <w:r>
        <w:t>Pathways describe the processes that result in the introduction of alien species from one location to another</w:t>
      </w:r>
      <w:r w:rsidR="000A35C4">
        <w:t xml:space="preserve"> </w:t>
      </w:r>
      <w:sdt>
        <w:sdtPr>
          <w:id w:val="-1721587804"/>
          <w:citation/>
        </w:sdtPr>
        <w:sdtEndPr/>
        <w:sdtContent>
          <w:r w:rsidR="00583193">
            <w:fldChar w:fldCharType="begin"/>
          </w:r>
          <w:r w:rsidR="00632823">
            <w:instrText xml:space="preserve">CITATION Hul08 \p 403 \t  \l 3081 </w:instrText>
          </w:r>
          <w:r w:rsidR="00583193">
            <w:fldChar w:fldCharType="separate"/>
          </w:r>
          <w:r w:rsidR="00604A29">
            <w:rPr>
              <w:noProof/>
            </w:rPr>
            <w:t>(Hulme, et al., 2008, p. 403)</w:t>
          </w:r>
          <w:r w:rsidR="00583193">
            <w:fldChar w:fldCharType="end"/>
          </w:r>
        </w:sdtContent>
      </w:sdt>
      <w:r>
        <w:t>.</w:t>
      </w:r>
      <w:r w:rsidR="00957956">
        <w:t xml:space="preserve"> </w:t>
      </w:r>
      <w:r w:rsidR="006D4154">
        <w:t xml:space="preserve">Alien species may, as a direct or indirect result of human activity, arrive and enter into a new region through three broad mechanisms: the importation of a commodity, the arrival of a transport vector, and/or natural spread from a neighbouring region where it is itself alien </w:t>
      </w:r>
      <w:sdt>
        <w:sdtPr>
          <w:id w:val="1557194086"/>
          <w:citation/>
        </w:sdtPr>
        <w:sdtEndPr/>
        <w:sdtContent>
          <w:r w:rsidR="00834546">
            <w:fldChar w:fldCharType="begin"/>
          </w:r>
          <w:r w:rsidR="00AE43E2">
            <w:instrText xml:space="preserve">CITATION Hul08 \p 404 \t  \l 3081 </w:instrText>
          </w:r>
          <w:r w:rsidR="00834546">
            <w:fldChar w:fldCharType="separate"/>
          </w:r>
          <w:r w:rsidR="00604A29">
            <w:rPr>
              <w:noProof/>
            </w:rPr>
            <w:t>(Hulme, et al., 2008, p. 404)</w:t>
          </w:r>
          <w:r w:rsidR="00834546">
            <w:fldChar w:fldCharType="end"/>
          </w:r>
        </w:sdtContent>
      </w:sdt>
      <w:r w:rsidR="006D4154">
        <w:t>.</w:t>
      </w:r>
      <w:r w:rsidR="00AE43E2">
        <w:t xml:space="preserve"> </w:t>
      </w:r>
    </w:p>
    <w:p w14:paraId="53C0970D" w14:textId="55E83E5D" w:rsidR="005B633F" w:rsidRDefault="005B633F" w:rsidP="005B633F">
      <w:pPr>
        <w:rPr>
          <w:szCs w:val="22"/>
        </w:rPr>
      </w:pPr>
      <w:r w:rsidRPr="000629D5">
        <w:t xml:space="preserve">Trade in commodities may </w:t>
      </w:r>
      <w:r>
        <w:t xml:space="preserve">lead </w:t>
      </w:r>
      <w:r w:rsidRPr="000629D5">
        <w:t>directly or indirectly</w:t>
      </w:r>
      <w:r>
        <w:t xml:space="preserve"> </w:t>
      </w:r>
      <w:r w:rsidRPr="000629D5">
        <w:t>to the introduction of alien species from one region to</w:t>
      </w:r>
      <w:r>
        <w:t xml:space="preserve"> </w:t>
      </w:r>
      <w:r w:rsidRPr="000629D5">
        <w:t>another</w:t>
      </w:r>
      <w:r>
        <w:t xml:space="preserve"> </w:t>
      </w:r>
      <w:sdt>
        <w:sdtPr>
          <w:id w:val="-2005280500"/>
          <w:citation/>
        </w:sdtPr>
        <w:sdtEndPr/>
        <w:sdtContent>
          <w:r>
            <w:fldChar w:fldCharType="begin"/>
          </w:r>
          <w:r>
            <w:instrText xml:space="preserve">CITATION Hul08 \p 403 \t  \l 3081 </w:instrText>
          </w:r>
          <w:r>
            <w:fldChar w:fldCharType="separate"/>
          </w:r>
          <w:r w:rsidR="00604A29">
            <w:rPr>
              <w:noProof/>
            </w:rPr>
            <w:t>(Hulme, et al., 2008, p. 403)</w:t>
          </w:r>
          <w:r>
            <w:fldChar w:fldCharType="end"/>
          </w:r>
        </w:sdtContent>
      </w:sdt>
      <w:r w:rsidRPr="000629D5">
        <w:t xml:space="preserve">. </w:t>
      </w:r>
      <w:r>
        <w:t xml:space="preserve">Many traded commodities may be contaminated with unwanted alien organisms including pathogens on live plants, parasites in domestic livestock, weed seeds in grain shipments, insect pests on timber and any number of species in imported soil </w:t>
      </w:r>
      <w:sdt>
        <w:sdtPr>
          <w:id w:val="220874869"/>
          <w:citation/>
        </w:sdtPr>
        <w:sdtEndPr/>
        <w:sdtContent>
          <w:r>
            <w:fldChar w:fldCharType="begin"/>
          </w:r>
          <w:r>
            <w:instrText xml:space="preserve">CITATION Hul15 \p 1420 \t  \l 3081 </w:instrText>
          </w:r>
          <w:r>
            <w:fldChar w:fldCharType="separate"/>
          </w:r>
          <w:r w:rsidR="00604A29">
            <w:rPr>
              <w:noProof/>
            </w:rPr>
            <w:t>(Hulme, 2015, p. 1420)</w:t>
          </w:r>
          <w:r>
            <w:fldChar w:fldCharType="end"/>
          </w:r>
        </w:sdtContent>
      </w:sdt>
      <w:r>
        <w:t xml:space="preserve">. Contaminants can also include </w:t>
      </w:r>
      <w:r>
        <w:rPr>
          <w:rFonts w:cs="Cambria"/>
          <w:color w:val="000000"/>
          <w:szCs w:val="22"/>
        </w:rPr>
        <w:t xml:space="preserve">food residues, faeces or animal remains </w:t>
      </w:r>
      <w:sdt>
        <w:sdtPr>
          <w:rPr>
            <w:rFonts w:cs="Cambria"/>
            <w:color w:val="000000"/>
            <w:szCs w:val="22"/>
          </w:rPr>
          <w:id w:val="-34511549"/>
          <w:citation/>
        </w:sdtPr>
        <w:sdtEndPr/>
        <w:sdtContent>
          <w:r>
            <w:rPr>
              <w:rFonts w:cs="Cambria"/>
              <w:color w:val="000000"/>
              <w:szCs w:val="22"/>
            </w:rPr>
            <w:fldChar w:fldCharType="begin"/>
          </w:r>
          <w:r>
            <w:rPr>
              <w:rFonts w:cs="Cambria"/>
              <w:color w:val="000000"/>
              <w:szCs w:val="22"/>
            </w:rPr>
            <w:instrText xml:space="preserve">CITATION Ins18 \p 21 \t  \l 3081 </w:instrText>
          </w:r>
          <w:r>
            <w:rPr>
              <w:rFonts w:cs="Cambria"/>
              <w:color w:val="000000"/>
              <w:szCs w:val="22"/>
            </w:rPr>
            <w:fldChar w:fldCharType="separate"/>
          </w:r>
          <w:r w:rsidR="00604A29" w:rsidRPr="00604A29">
            <w:rPr>
              <w:rFonts w:cs="Cambria"/>
              <w:noProof/>
              <w:color w:val="000000"/>
              <w:szCs w:val="22"/>
            </w:rPr>
            <w:t>(Inspector-General of Biosecurity, 2018, p. 21)</w:t>
          </w:r>
          <w:r>
            <w:rPr>
              <w:rFonts w:cs="Cambria"/>
              <w:color w:val="000000"/>
              <w:szCs w:val="22"/>
            </w:rPr>
            <w:fldChar w:fldCharType="end"/>
          </w:r>
        </w:sdtContent>
      </w:sdt>
      <w:r>
        <w:rPr>
          <w:rFonts w:cs="Cambria"/>
          <w:color w:val="000000"/>
          <w:szCs w:val="22"/>
        </w:rPr>
        <w:t xml:space="preserve">. </w:t>
      </w:r>
      <w:r>
        <w:t xml:space="preserve">While the commodity is introduced intentionally, the contaminant is introduced unintentionally </w:t>
      </w:r>
      <w:sdt>
        <w:sdtPr>
          <w:id w:val="111412264"/>
          <w:citation/>
        </w:sdtPr>
        <w:sdtEndPr/>
        <w:sdtContent>
          <w:r>
            <w:fldChar w:fldCharType="begin"/>
          </w:r>
          <w:r>
            <w:instrText xml:space="preserve">CITATION Hul08 \p 405 \t  \l 3081 </w:instrText>
          </w:r>
          <w:r>
            <w:fldChar w:fldCharType="separate"/>
          </w:r>
          <w:r w:rsidR="00604A29">
            <w:rPr>
              <w:noProof/>
            </w:rPr>
            <w:t>(Hulme, et al., 2008, p. 405)</w:t>
          </w:r>
          <w:r>
            <w:fldChar w:fldCharType="end"/>
          </w:r>
        </w:sdtContent>
      </w:sdt>
      <w:r>
        <w:t xml:space="preserve">. </w:t>
      </w:r>
    </w:p>
    <w:p w14:paraId="1E6FB1E7" w14:textId="1D462FDB" w:rsidR="005B633F" w:rsidRDefault="005B633F" w:rsidP="005B633F">
      <w:r w:rsidRPr="003765C8">
        <w:t>The arrival and entry of alien species can be associated</w:t>
      </w:r>
      <w:r>
        <w:t xml:space="preserve"> </w:t>
      </w:r>
      <w:r w:rsidRPr="003765C8">
        <w:t>directly with human transport via one or more vectors (e.g.</w:t>
      </w:r>
      <w:r>
        <w:t xml:space="preserve"> </w:t>
      </w:r>
      <w:r w:rsidRPr="003765C8">
        <w:t>ship</w:t>
      </w:r>
      <w:r>
        <w:t xml:space="preserve"> and</w:t>
      </w:r>
      <w:r w:rsidRPr="003765C8">
        <w:t xml:space="preserve"> aircraft) but be independent of a</w:t>
      </w:r>
      <w:r>
        <w:t xml:space="preserve"> </w:t>
      </w:r>
      <w:r w:rsidRPr="003765C8">
        <w:t>specific commodity</w:t>
      </w:r>
      <w:r>
        <w:t xml:space="preserve"> </w:t>
      </w:r>
      <w:sdt>
        <w:sdtPr>
          <w:id w:val="-1344865691"/>
          <w:citation/>
        </w:sdtPr>
        <w:sdtEndPr/>
        <w:sdtContent>
          <w:r>
            <w:fldChar w:fldCharType="begin"/>
          </w:r>
          <w:r>
            <w:instrText xml:space="preserve"> CITATION Hul08 \l 3081 </w:instrText>
          </w:r>
          <w:r>
            <w:fldChar w:fldCharType="separate"/>
          </w:r>
          <w:r w:rsidR="00604A29">
            <w:rPr>
              <w:noProof/>
            </w:rPr>
            <w:t>(Hulme, et al., 2008)</w:t>
          </w:r>
          <w:r>
            <w:fldChar w:fldCharType="end"/>
          </w:r>
        </w:sdtContent>
      </w:sdt>
      <w:r w:rsidRPr="003765C8">
        <w:t>.</w:t>
      </w:r>
      <w:r>
        <w:t xml:space="preserve"> </w:t>
      </w:r>
      <w:r w:rsidRPr="00F25638">
        <w:t>Such introductions are class</w:t>
      </w:r>
      <w:r>
        <w:t>ifie</w:t>
      </w:r>
      <w:r w:rsidRPr="00F25638">
        <w:t>d as stowaways</w:t>
      </w:r>
      <w:r>
        <w:t xml:space="preserve"> as they </w:t>
      </w:r>
      <w:r w:rsidRPr="00F25638">
        <w:t xml:space="preserve">hide in a ship or </w:t>
      </w:r>
      <w:r>
        <w:t>aircraft</w:t>
      </w:r>
      <w:r w:rsidRPr="00F25638">
        <w:t xml:space="preserve"> in order to</w:t>
      </w:r>
      <w:r>
        <w:t xml:space="preserve"> </w:t>
      </w:r>
      <w:r w:rsidRPr="00F25638">
        <w:t>travel</w:t>
      </w:r>
      <w:r>
        <w:t xml:space="preserve">. Stowaways include organisms that foul the hulls of ships, are transported as seeds or resting stages in soil attached to vehicles and in ballast water, as well as in shipping containers, cargo and airfreight </w:t>
      </w:r>
      <w:sdt>
        <w:sdtPr>
          <w:id w:val="1522675234"/>
          <w:citation/>
        </w:sdtPr>
        <w:sdtEndPr/>
        <w:sdtContent>
          <w:r>
            <w:fldChar w:fldCharType="begin"/>
          </w:r>
          <w:r>
            <w:instrText xml:space="preserve">CITATION Hul08 \p 405-406 \t  \l 3081 </w:instrText>
          </w:r>
          <w:r>
            <w:fldChar w:fldCharType="separate"/>
          </w:r>
          <w:r w:rsidR="00604A29">
            <w:rPr>
              <w:noProof/>
            </w:rPr>
            <w:t>(Hulme, et al., 2008, pp. 405-406)</w:t>
          </w:r>
          <w:r>
            <w:fldChar w:fldCharType="end"/>
          </w:r>
        </w:sdtContent>
      </w:sdt>
      <w:r>
        <w:t xml:space="preserve">. In contrast to contaminants of commodities, the stowaway pathway is defined more by the tempo and mode of transport, rather than any specific attributes of a commodity </w:t>
      </w:r>
      <w:sdt>
        <w:sdtPr>
          <w:id w:val="500084029"/>
          <w:citation/>
        </w:sdtPr>
        <w:sdtEndPr/>
        <w:sdtContent>
          <w:r>
            <w:fldChar w:fldCharType="begin"/>
          </w:r>
          <w:r>
            <w:instrText xml:space="preserve">CITATION Hul08 \p 406 \t  \l 3081 </w:instrText>
          </w:r>
          <w:r>
            <w:fldChar w:fldCharType="separate"/>
          </w:r>
          <w:r w:rsidR="00604A29">
            <w:rPr>
              <w:noProof/>
            </w:rPr>
            <w:t>(Hulme, et al., 2008, p. 406)</w:t>
          </w:r>
          <w:r>
            <w:fldChar w:fldCharType="end"/>
          </w:r>
        </w:sdtContent>
      </w:sdt>
      <w:r>
        <w:t>.</w:t>
      </w:r>
    </w:p>
    <w:p w14:paraId="3E08BF23" w14:textId="60E2799A" w:rsidR="005B633F" w:rsidRDefault="005B633F" w:rsidP="005B633F">
      <w:pPr>
        <w:rPr>
          <w:szCs w:val="22"/>
        </w:rPr>
      </w:pPr>
      <w:r w:rsidRPr="00E25A64">
        <w:rPr>
          <w:szCs w:val="22"/>
        </w:rPr>
        <w:t xml:space="preserve">Risk assessment is the technical process of evaluating biological or other scientific and economic evidence to determine the level of invasion risk associated with a species or pathway </w:t>
      </w:r>
      <w:sdt>
        <w:sdtPr>
          <w:rPr>
            <w:szCs w:val="22"/>
          </w:rPr>
          <w:id w:val="1553578879"/>
          <w:citation/>
        </w:sdtPr>
        <w:sdtEndPr/>
        <w:sdtContent>
          <w:r w:rsidRPr="00E25A64">
            <w:rPr>
              <w:szCs w:val="22"/>
            </w:rPr>
            <w:fldChar w:fldCharType="begin"/>
          </w:r>
          <w:r w:rsidRPr="00E25A64">
            <w:rPr>
              <w:szCs w:val="22"/>
            </w:rPr>
            <w:instrText xml:space="preserve">CITATION Shi10 \p 76 \t  \l 3081 </w:instrText>
          </w:r>
          <w:r w:rsidRPr="00E25A64">
            <w:rPr>
              <w:szCs w:val="22"/>
            </w:rPr>
            <w:fldChar w:fldCharType="separate"/>
          </w:r>
          <w:r w:rsidR="00604A29" w:rsidRPr="00604A29">
            <w:rPr>
              <w:noProof/>
              <w:szCs w:val="22"/>
            </w:rPr>
            <w:t>(Shine, et al., 2010, p. 76)</w:t>
          </w:r>
          <w:r w:rsidRPr="00E25A64">
            <w:rPr>
              <w:szCs w:val="22"/>
            </w:rPr>
            <w:fldChar w:fldCharType="end"/>
          </w:r>
        </w:sdtContent>
      </w:sdt>
      <w:r w:rsidRPr="00E25A64">
        <w:rPr>
          <w:szCs w:val="22"/>
        </w:rPr>
        <w:t xml:space="preserve">. It builds on information collected for a target alien species, group of species and/or a specific pathway. </w:t>
      </w:r>
      <w:r>
        <w:rPr>
          <w:szCs w:val="22"/>
        </w:rPr>
        <w:t>Risk assessment</w:t>
      </w:r>
      <w:r w:rsidRPr="00E25A64">
        <w:rPr>
          <w:szCs w:val="22"/>
        </w:rPr>
        <w:t xml:space="preserve"> provides an objective basis to inform risk management (evaluation and selection of options to reduce the risk of </w:t>
      </w:r>
      <w:r>
        <w:rPr>
          <w:szCs w:val="22"/>
        </w:rPr>
        <w:t>invasive alien species</w:t>
      </w:r>
      <w:r w:rsidRPr="00E25A64">
        <w:rPr>
          <w:szCs w:val="22"/>
        </w:rPr>
        <w:t xml:space="preserve"> introduction and spread) and risk communication.</w:t>
      </w:r>
    </w:p>
    <w:p w14:paraId="709981D8" w14:textId="2458DEB3" w:rsidR="005B633F" w:rsidRDefault="005B633F" w:rsidP="005B633F">
      <w:r>
        <w:rPr>
          <w:rFonts w:eastAsia="Lato-Regular"/>
        </w:rPr>
        <w:t>Risk assessments underpin alien invasive species policies in many ways</w:t>
      </w:r>
      <w:r w:rsidR="00F968FE">
        <w:rPr>
          <w:rFonts w:eastAsia="Lato-Regular"/>
        </w:rPr>
        <w:t>,</w:t>
      </w:r>
      <w:r>
        <w:rPr>
          <w:rFonts w:eastAsia="Lato-Regular"/>
        </w:rPr>
        <w:t xml:space="preserve"> such as informing legislation, providing justification for restrictions in trade or consumer activities</w:t>
      </w:r>
      <w:r w:rsidR="00F968FE">
        <w:rPr>
          <w:rFonts w:eastAsia="Lato-Regular"/>
        </w:rPr>
        <w:t>, and prioritis</w:t>
      </w:r>
      <w:r>
        <w:rPr>
          <w:rFonts w:eastAsia="Lato-Regular"/>
        </w:rPr>
        <w:t xml:space="preserve">ing surveillance and rapid response </w:t>
      </w:r>
      <w:sdt>
        <w:sdtPr>
          <w:rPr>
            <w:rFonts w:eastAsia="Lato-Regular"/>
          </w:rPr>
          <w:id w:val="1738511593"/>
          <w:citation/>
        </w:sdtPr>
        <w:sdtEndPr/>
        <w:sdtContent>
          <w:r>
            <w:rPr>
              <w:rFonts w:eastAsia="Lato-Regular"/>
            </w:rPr>
            <w:fldChar w:fldCharType="begin"/>
          </w:r>
          <w:r>
            <w:rPr>
              <w:rFonts w:eastAsia="Lato-Regular"/>
            </w:rPr>
            <w:instrText xml:space="preserve">CITATION Roy18 \p 526 \t  \l 3081 </w:instrText>
          </w:r>
          <w:r>
            <w:rPr>
              <w:rFonts w:eastAsia="Lato-Regular"/>
            </w:rPr>
            <w:fldChar w:fldCharType="separate"/>
          </w:r>
          <w:r w:rsidR="00604A29" w:rsidRPr="00604A29">
            <w:rPr>
              <w:rFonts w:eastAsia="Lato-Regular"/>
              <w:noProof/>
            </w:rPr>
            <w:t>(Roy, et al., 2018, p. 526)</w:t>
          </w:r>
          <w:r>
            <w:rPr>
              <w:rFonts w:eastAsia="Lato-Regular"/>
            </w:rPr>
            <w:fldChar w:fldCharType="end"/>
          </w:r>
        </w:sdtContent>
      </w:sdt>
      <w:r>
        <w:rPr>
          <w:rFonts w:eastAsia="Lato-Regular"/>
        </w:rPr>
        <w:t xml:space="preserve">. </w:t>
      </w:r>
      <w:r>
        <w:t xml:space="preserve">Increasing transport networks and demand for commodities have led to pathway risk assessments becoming the frontline in the prevention of biological invasions </w:t>
      </w:r>
      <w:sdt>
        <w:sdtPr>
          <w:id w:val="384455825"/>
          <w:citation/>
        </w:sdtPr>
        <w:sdtEndPr/>
        <w:sdtContent>
          <w:r>
            <w:fldChar w:fldCharType="begin"/>
          </w:r>
          <w:r>
            <w:instrText xml:space="preserve">CITATION Hul09 \p 10 \t  \l 3081 </w:instrText>
          </w:r>
          <w:r>
            <w:fldChar w:fldCharType="separate"/>
          </w:r>
          <w:r w:rsidR="00604A29">
            <w:rPr>
              <w:noProof/>
            </w:rPr>
            <w:t>(Hulme, 2009, p. 10)</w:t>
          </w:r>
          <w:r>
            <w:fldChar w:fldCharType="end"/>
          </w:r>
        </w:sdtContent>
      </w:sdt>
      <w:r>
        <w:t>.</w:t>
      </w:r>
    </w:p>
    <w:p w14:paraId="7FD05C5F" w14:textId="1A17E376" w:rsidR="00EF52EA" w:rsidRDefault="00EF52EA" w:rsidP="005B633F">
      <w:r>
        <w:t>The Committee recognised from the start of its deliberations the central importance of having robust, science-based biosecurity risk assessments</w:t>
      </w:r>
      <w:r w:rsidR="00E3012C">
        <w:t xml:space="preserve"> </w:t>
      </w:r>
      <w:r w:rsidR="00587ACB">
        <w:t>across pathways and vectors</w:t>
      </w:r>
      <w:r>
        <w:t xml:space="preserve"> in order to inform and underpin its recommendations for the design of a levy.</w:t>
      </w:r>
    </w:p>
    <w:p w14:paraId="7A51D2F4" w14:textId="2E58AC24" w:rsidR="00F968FE" w:rsidRDefault="00C512F4" w:rsidP="00092FFA">
      <w:pPr>
        <w:pStyle w:val="Heading2"/>
      </w:pPr>
      <w:bookmarkStart w:id="33" w:name="_Toc10031898"/>
      <w:r w:rsidRPr="0015613A">
        <w:t>7.2</w:t>
      </w:r>
      <w:r w:rsidRPr="0015613A">
        <w:tab/>
      </w:r>
      <w:r w:rsidR="00EF52EA">
        <w:t>Available Information on Risk</w:t>
      </w:r>
      <w:bookmarkEnd w:id="33"/>
    </w:p>
    <w:p w14:paraId="1F9F12AA" w14:textId="48C08212" w:rsidR="00B858F3" w:rsidRDefault="00B858F3" w:rsidP="00B858F3">
      <w:r>
        <w:t xml:space="preserve">The Department is responsible for the integrity of Australia’s biosecurity border security. </w:t>
      </w:r>
      <w:r w:rsidR="0015613A">
        <w:t>T</w:t>
      </w:r>
      <w:r>
        <w:t xml:space="preserve">he Department undertakes a range of activities that seek to minimise the threat of pests and diseases </w:t>
      </w:r>
      <w:r w:rsidRPr="00F6160A">
        <w:t>along the biosecurity continuum</w:t>
      </w:r>
      <w:r>
        <w:t xml:space="preserve"> </w:t>
      </w:r>
      <w:r w:rsidRPr="00F6160A">
        <w:t>—</w:t>
      </w:r>
      <w:r>
        <w:t xml:space="preserve"> pre-border</w:t>
      </w:r>
      <w:r w:rsidRPr="00F6160A">
        <w:t xml:space="preserve">, at the border and </w:t>
      </w:r>
      <w:r>
        <w:t>post-border</w:t>
      </w:r>
      <w:r w:rsidRPr="00F6160A">
        <w:t xml:space="preserve"> (within Australia)</w:t>
      </w:r>
      <w:r>
        <w:t xml:space="preserve"> </w:t>
      </w:r>
      <w:sdt>
        <w:sdtPr>
          <w:id w:val="1840655174"/>
          <w:citation/>
        </w:sdtPr>
        <w:sdtEndPr/>
        <w:sdtContent>
          <w:r>
            <w:fldChar w:fldCharType="begin"/>
          </w:r>
          <w:r>
            <w:instrText xml:space="preserve">CITATION Ins19 \p 15 \t  \l 3081 </w:instrText>
          </w:r>
          <w:r>
            <w:fldChar w:fldCharType="separate"/>
          </w:r>
          <w:r w:rsidR="00604A29">
            <w:rPr>
              <w:noProof/>
            </w:rPr>
            <w:t>(Inspector-General of Biosecurity, 2019, p. 15)</w:t>
          </w:r>
          <w:r>
            <w:fldChar w:fldCharType="end"/>
          </w:r>
        </w:sdtContent>
      </w:sdt>
      <w:r>
        <w:t>. Included in its pre-border (or offshore) activities are import risk assessments.</w:t>
      </w:r>
    </w:p>
    <w:p w14:paraId="3379D6FE" w14:textId="79108E89" w:rsidR="00B858F3" w:rsidRDefault="00B858F3" w:rsidP="00B858F3">
      <w:pPr>
        <w:rPr>
          <w:rFonts w:cs="Cambria"/>
          <w:color w:val="000000"/>
          <w:szCs w:val="22"/>
        </w:rPr>
      </w:pPr>
      <w:r>
        <w:rPr>
          <w:rFonts w:cs="Cambria"/>
          <w:color w:val="000000"/>
          <w:szCs w:val="22"/>
        </w:rPr>
        <w:t xml:space="preserve">The Committee has reviewed </w:t>
      </w:r>
      <w:r>
        <w:t xml:space="preserve">a large number of reports and data related to biosecurity risk. It notes that the Department </w:t>
      </w:r>
      <w:r>
        <w:rPr>
          <w:rFonts w:cs="Cambria"/>
          <w:color w:val="000000"/>
          <w:szCs w:val="22"/>
        </w:rPr>
        <w:t xml:space="preserve">and the Inspector-General of Biosecurity have been able to </w:t>
      </w:r>
      <w:r w:rsidR="00EF52EA">
        <w:rPr>
          <w:rFonts w:cs="Cambria"/>
          <w:color w:val="000000"/>
          <w:szCs w:val="22"/>
        </w:rPr>
        <w:t>determine</w:t>
      </w:r>
      <w:r>
        <w:rPr>
          <w:rFonts w:cs="Cambria"/>
          <w:color w:val="000000"/>
          <w:szCs w:val="22"/>
        </w:rPr>
        <w:t xml:space="preserve"> the biosecurity risks associated with various pathways into Australia. </w:t>
      </w:r>
      <w:r w:rsidR="009D4EAE">
        <w:rPr>
          <w:rFonts w:cs="Cambria"/>
          <w:color w:val="000000"/>
          <w:szCs w:val="22"/>
        </w:rPr>
        <w:t xml:space="preserve">A valuable contribution was provided by the Inspector-General of Biosecurity’s Hitchhiker report (2018). </w:t>
      </w:r>
      <w:r>
        <w:rPr>
          <w:rFonts w:cs="Cambria"/>
          <w:color w:val="000000"/>
          <w:szCs w:val="22"/>
        </w:rPr>
        <w:t xml:space="preserve">Among recent findings and conclusions </w:t>
      </w:r>
      <w:r w:rsidR="00587ACB">
        <w:rPr>
          <w:rFonts w:cs="Cambria"/>
          <w:color w:val="000000"/>
          <w:szCs w:val="22"/>
        </w:rPr>
        <w:t xml:space="preserve">from the Inspector-General’s report and elsewhere </w:t>
      </w:r>
      <w:r>
        <w:rPr>
          <w:rFonts w:cs="Cambria"/>
          <w:color w:val="000000"/>
          <w:szCs w:val="22"/>
        </w:rPr>
        <w:t>are the following:</w:t>
      </w:r>
    </w:p>
    <w:p w14:paraId="6439A470" w14:textId="06D27E97" w:rsidR="00B858F3" w:rsidRDefault="00B858F3" w:rsidP="00B858F3">
      <w:pPr>
        <w:pStyle w:val="Quote"/>
      </w:pPr>
      <w:r>
        <w:t xml:space="preserve">Between 2014 and 2017, 11.3 million containers were imported into Australia. Of those, 10.7 per cent (1.2 million) were inspected in some way and 1.9 per cent (22,260) were found to be contaminated. </w:t>
      </w:r>
      <w:sdt>
        <w:sdtPr>
          <w:id w:val="1673536010"/>
          <w:citation/>
        </w:sdtPr>
        <w:sdtEndPr/>
        <w:sdtContent>
          <w:r>
            <w:fldChar w:fldCharType="begin"/>
          </w:r>
          <w:r>
            <w:instrText xml:space="preserve">CITATION Ins18 \p 8 \t  \l 3081 </w:instrText>
          </w:r>
          <w:r>
            <w:fldChar w:fldCharType="separate"/>
          </w:r>
          <w:r w:rsidR="00604A29">
            <w:rPr>
              <w:noProof/>
            </w:rPr>
            <w:t>(Inspector-General of Biosecurity, 2018, p. 8)</w:t>
          </w:r>
          <w:r>
            <w:fldChar w:fldCharType="end"/>
          </w:r>
        </w:sdtContent>
      </w:sdt>
    </w:p>
    <w:p w14:paraId="1266588C" w14:textId="152A8BEB" w:rsidR="00B858F3" w:rsidRDefault="00B858F3" w:rsidP="00B858F3">
      <w:pPr>
        <w:pStyle w:val="Quote"/>
      </w:pPr>
      <w:r>
        <w:t xml:space="preserve">Hitchhikers and/or contaminants are frequently found in used cars and farm machinery. Even new cars and tractors may be heavily contaminated with seeds that have blown and stuck onto them before export to Australia. </w:t>
      </w:r>
      <w:sdt>
        <w:sdtPr>
          <w:id w:val="-1225832655"/>
          <w:citation/>
        </w:sdtPr>
        <w:sdtEndPr/>
        <w:sdtContent>
          <w:r>
            <w:fldChar w:fldCharType="begin"/>
          </w:r>
          <w:r>
            <w:instrText xml:space="preserve">CITATION Ins18 \p 10 \t  \l 3081 </w:instrText>
          </w:r>
          <w:r>
            <w:fldChar w:fldCharType="separate"/>
          </w:r>
          <w:r w:rsidR="00604A29">
            <w:rPr>
              <w:noProof/>
            </w:rPr>
            <w:t>(Inspector-General of Biosecurity, 2018, p. 10)</w:t>
          </w:r>
          <w:r>
            <w:fldChar w:fldCharType="end"/>
          </w:r>
        </w:sdtContent>
      </w:sdt>
    </w:p>
    <w:p w14:paraId="7B5FAFFF" w14:textId="071DAE4C" w:rsidR="00B858F3" w:rsidRDefault="00B858F3" w:rsidP="00B858F3">
      <w:pPr>
        <w:pStyle w:val="Quote"/>
      </w:pPr>
      <w:r>
        <w:t xml:space="preserve">Between 2011–12 and 2016–17, 60,855 break-bulk cargo consignments arrived in Australia. Of these, 30 per cent were identified as having a biosecurity risk, 25 per cent were cleaned and 0.5 per cent were fumigated with methyl bromide. </w:t>
      </w:r>
      <w:sdt>
        <w:sdtPr>
          <w:id w:val="951819562"/>
          <w:citation/>
        </w:sdtPr>
        <w:sdtEndPr/>
        <w:sdtContent>
          <w:r>
            <w:fldChar w:fldCharType="begin"/>
          </w:r>
          <w:r>
            <w:instrText xml:space="preserve">CITATION Ins18 \p 10 \t  \l 3081 </w:instrText>
          </w:r>
          <w:r>
            <w:fldChar w:fldCharType="separate"/>
          </w:r>
          <w:r w:rsidR="00604A29">
            <w:rPr>
              <w:noProof/>
            </w:rPr>
            <w:t>(Inspector-General of Biosecurity, 2018, p. 10)</w:t>
          </w:r>
          <w:r>
            <w:fldChar w:fldCharType="end"/>
          </w:r>
        </w:sdtContent>
      </w:sdt>
    </w:p>
    <w:p w14:paraId="20EFD23C" w14:textId="4EA5F1C2" w:rsidR="00B858F3" w:rsidRPr="00896DDD" w:rsidRDefault="00B858F3" w:rsidP="00B858F3">
      <w:pPr>
        <w:pStyle w:val="Quote"/>
      </w:pPr>
      <w:r>
        <w:t xml:space="preserve">Bulk cargo carriers make up about 40 per cent of vessels in the international shipping sector. During 2017, 11,986 bulk carriers arrived in Australia, accounting for over 70 per cent of all vessel arrivals. Most of these carried commodities such as coal or iron ore, so there was essentially zero biosecurity risk of hitchhikers or contaminants inside their holds. Other shipments included plant-based stock feeds, grains, or fertilisers. There was a moderate to high risk that these could bring in hitchhiker pests or contaminants. </w:t>
      </w:r>
      <w:sdt>
        <w:sdtPr>
          <w:id w:val="-214734807"/>
          <w:citation/>
        </w:sdtPr>
        <w:sdtEndPr/>
        <w:sdtContent>
          <w:r>
            <w:fldChar w:fldCharType="begin"/>
          </w:r>
          <w:r>
            <w:instrText xml:space="preserve">CITATION Ins18 \p 58 \t  \l 3081 </w:instrText>
          </w:r>
          <w:r>
            <w:fldChar w:fldCharType="separate"/>
          </w:r>
          <w:r w:rsidR="00604A29">
            <w:rPr>
              <w:noProof/>
            </w:rPr>
            <w:t>(Inspector-General of Biosecurity, 2018, p. 58)</w:t>
          </w:r>
          <w:r>
            <w:fldChar w:fldCharType="end"/>
          </w:r>
        </w:sdtContent>
      </w:sdt>
    </w:p>
    <w:p w14:paraId="2B61005F" w14:textId="67E302DF" w:rsidR="00B858F3" w:rsidRDefault="00B858F3" w:rsidP="00B858F3">
      <w:pPr>
        <w:pStyle w:val="Quote"/>
      </w:pPr>
      <w:r>
        <w:t xml:space="preserve">Aircraft and air cargo pose relatively low biosecurity risks from hitchhikers and contaminants, although insects, especially mosquitoes, and occasionally other animals can hitchhike in passenger cabins or air cargo containers or holds. </w:t>
      </w:r>
      <w:sdt>
        <w:sdtPr>
          <w:id w:val="-71829640"/>
          <w:citation/>
        </w:sdtPr>
        <w:sdtEndPr/>
        <w:sdtContent>
          <w:r>
            <w:fldChar w:fldCharType="begin"/>
          </w:r>
          <w:r>
            <w:instrText xml:space="preserve">CITATION Ins18 \p 61 \t  \l 3081 </w:instrText>
          </w:r>
          <w:r>
            <w:fldChar w:fldCharType="separate"/>
          </w:r>
          <w:r w:rsidR="00604A29">
            <w:rPr>
              <w:noProof/>
            </w:rPr>
            <w:t>(Inspector-General of Biosecurity, 2018, p. 61)</w:t>
          </w:r>
          <w:r>
            <w:fldChar w:fldCharType="end"/>
          </w:r>
        </w:sdtContent>
      </w:sdt>
    </w:p>
    <w:p w14:paraId="4357F54F" w14:textId="478DC2D6" w:rsidR="00B858F3" w:rsidRDefault="00B858F3" w:rsidP="00B858F3">
      <w:pPr>
        <w:pStyle w:val="Quote"/>
      </w:pPr>
      <w:r>
        <w:t xml:space="preserve">Biofouling on vessels is recognised as a major pathway for the introduction of non-indigenous marine organisms into Australian territory. If managed ineffectively, this pathway poses an unacceptable biosecurity risk to Australia’s environment, economy, social and cultural values from the entry, establishment and spread of marine pests and associated diseases. </w:t>
      </w:r>
      <w:sdt>
        <w:sdtPr>
          <w:id w:val="1323472807"/>
          <w:citation/>
        </w:sdtPr>
        <w:sdtEndPr/>
        <w:sdtContent>
          <w:r>
            <w:fldChar w:fldCharType="begin"/>
          </w:r>
          <w:r>
            <w:instrText xml:space="preserve"> CITATION Dep191 \l 3081 </w:instrText>
          </w:r>
          <w:r>
            <w:fldChar w:fldCharType="separate"/>
          </w:r>
          <w:r w:rsidR="00604A29">
            <w:rPr>
              <w:noProof/>
            </w:rPr>
            <w:t>(Department of Agriculture and Water Resources, 2019)</w:t>
          </w:r>
          <w:r>
            <w:fldChar w:fldCharType="end"/>
          </w:r>
        </w:sdtContent>
      </w:sdt>
    </w:p>
    <w:p w14:paraId="7A2BC240" w14:textId="0075D928" w:rsidR="00EF52EA" w:rsidRDefault="0015613A" w:rsidP="009A08B7">
      <w:r w:rsidRPr="0015613A">
        <w:t>In a 2014 submission, the Department</w:t>
      </w:r>
      <w:r w:rsidR="00857B53">
        <w:t>s</w:t>
      </w:r>
      <w:r w:rsidR="00147DE9">
        <w:t xml:space="preserve"> of Agriculture and the Environment</w:t>
      </w:r>
      <w:r w:rsidR="00857B53">
        <w:t xml:space="preserve"> </w:t>
      </w:r>
      <w:sdt>
        <w:sdtPr>
          <w:id w:val="1239062014"/>
          <w:citation/>
        </w:sdtPr>
        <w:sdtEndPr/>
        <w:sdtContent>
          <w:r w:rsidR="00857B53">
            <w:fldChar w:fldCharType="begin"/>
          </w:r>
          <w:r w:rsidR="00857B53">
            <w:instrText xml:space="preserve">CITATION Dep142 \p 40 \n  \t  \l 3081 </w:instrText>
          </w:r>
          <w:r w:rsidR="00857B53">
            <w:fldChar w:fldCharType="separate"/>
          </w:r>
          <w:r w:rsidR="00604A29">
            <w:rPr>
              <w:noProof/>
            </w:rPr>
            <w:t>(2014, p. 40)</w:t>
          </w:r>
          <w:r w:rsidR="00857B53">
            <w:fldChar w:fldCharType="end"/>
          </w:r>
        </w:sdtContent>
      </w:sdt>
      <w:r w:rsidRPr="0015613A">
        <w:t xml:space="preserve"> provide</w:t>
      </w:r>
      <w:r w:rsidR="00147DE9">
        <w:t>d</w:t>
      </w:r>
      <w:r w:rsidRPr="0015613A">
        <w:t xml:space="preserve"> data on identifications of exotic pests and diseases, reproduced in </w:t>
      </w:r>
      <w:r w:rsidR="00147DE9" w:rsidRPr="00F46F24">
        <w:rPr>
          <w:b/>
        </w:rPr>
        <w:t>T</w:t>
      </w:r>
      <w:r w:rsidRPr="00F46F24">
        <w:rPr>
          <w:b/>
        </w:rPr>
        <w:t xml:space="preserve">able </w:t>
      </w:r>
      <w:r w:rsidR="00391CC9">
        <w:rPr>
          <w:b/>
        </w:rPr>
        <w:t>5</w:t>
      </w:r>
      <w:r w:rsidRPr="0015613A">
        <w:t xml:space="preserve">. </w:t>
      </w:r>
      <w:r w:rsidR="00EF52EA">
        <w:t>The data show that in the most recent years, Departmental identification of pests and diseases were nearly double for arrivals by air than by sea.</w:t>
      </w:r>
    </w:p>
    <w:p w14:paraId="43BE295D" w14:textId="273762B0" w:rsidR="0015613A" w:rsidRDefault="0015613A" w:rsidP="009A08B7">
      <w:r w:rsidRPr="0015613A">
        <w:t xml:space="preserve">An accompanying table </w:t>
      </w:r>
      <w:r w:rsidR="00EF52EA">
        <w:t xml:space="preserve">in the submission </w:t>
      </w:r>
      <w:r w:rsidRPr="0015613A">
        <w:t>indicated that detections via vessel hulls, for example, are very low, typically less than 10 per year. Most detections are animals (including insects). The Department</w:t>
      </w:r>
      <w:r w:rsidR="00147DE9">
        <w:t>s</w:t>
      </w:r>
      <w:r w:rsidRPr="0015613A">
        <w:t xml:space="preserve"> noted that in the 2013-14 year, 261,000 items were seized from 17.7 million arriving passengers, and 24,000 mail items were seized from a total of 186 million such items. </w:t>
      </w:r>
      <w:r w:rsidR="00EF52EA">
        <w:t xml:space="preserve">Seizures indicate goods being </w:t>
      </w:r>
      <w:r w:rsidR="00587ACB">
        <w:t>brought</w:t>
      </w:r>
      <w:r w:rsidR="00EF52EA">
        <w:t xml:space="preserve"> illegally into the country, but do not always result in the detection of exotic pests or diseases.</w:t>
      </w:r>
    </w:p>
    <w:p w14:paraId="30A0B529" w14:textId="5C33BE81" w:rsidR="009A08B7" w:rsidRPr="009A08B7" w:rsidRDefault="009A08B7" w:rsidP="00C87558">
      <w:pPr>
        <w:pStyle w:val="Caption"/>
        <w:spacing w:after="0"/>
        <w:rPr>
          <w:rFonts w:cs="Cambria"/>
          <w:color w:val="000000"/>
          <w:sz w:val="21"/>
          <w:szCs w:val="21"/>
        </w:rPr>
      </w:pPr>
      <w:bookmarkStart w:id="34" w:name="_Toc10031676"/>
      <w:r>
        <w:t xml:space="preserve">Table </w:t>
      </w:r>
      <w:r w:rsidR="00A47451">
        <w:rPr>
          <w:noProof/>
        </w:rPr>
        <w:fldChar w:fldCharType="begin"/>
      </w:r>
      <w:r w:rsidR="00A47451">
        <w:rPr>
          <w:noProof/>
        </w:rPr>
        <w:instrText xml:space="preserve"> SEQ Table \* ARABIC </w:instrText>
      </w:r>
      <w:r w:rsidR="00A47451">
        <w:rPr>
          <w:noProof/>
        </w:rPr>
        <w:fldChar w:fldCharType="separate"/>
      </w:r>
      <w:r w:rsidR="00BD638C">
        <w:rPr>
          <w:noProof/>
        </w:rPr>
        <w:t>5</w:t>
      </w:r>
      <w:r w:rsidR="00A47451">
        <w:rPr>
          <w:noProof/>
        </w:rPr>
        <w:fldChar w:fldCharType="end"/>
      </w:r>
      <w:r>
        <w:t xml:space="preserve">: </w:t>
      </w:r>
      <w:r w:rsidRPr="009A08B7">
        <w:rPr>
          <w:color w:val="1F3864" w:themeColor="accent1" w:themeShade="80"/>
        </w:rPr>
        <w:t>Departmental Identification of Exotic Pests and Diseases, 2009-2013</w:t>
      </w:r>
      <w:bookmarkEnd w:id="34"/>
    </w:p>
    <w:tbl>
      <w:tblPr>
        <w:tblStyle w:val="GridTable5Dark-Accent5"/>
        <w:tblW w:w="0" w:type="auto"/>
        <w:tblLook w:val="04A0" w:firstRow="1" w:lastRow="0" w:firstColumn="1" w:lastColumn="0" w:noHBand="0" w:noVBand="1"/>
      </w:tblPr>
      <w:tblGrid>
        <w:gridCol w:w="1422"/>
        <w:gridCol w:w="1374"/>
        <w:gridCol w:w="1375"/>
        <w:gridCol w:w="1375"/>
        <w:gridCol w:w="1375"/>
        <w:gridCol w:w="1375"/>
      </w:tblGrid>
      <w:tr w:rsidR="0015613A" w:rsidRPr="008149CC" w14:paraId="6BAE35AF" w14:textId="77777777" w:rsidTr="00857B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dxa"/>
          </w:tcPr>
          <w:p w14:paraId="1893E9F2" w14:textId="77777777" w:rsidR="0015613A" w:rsidRPr="008149CC" w:rsidRDefault="0015613A" w:rsidP="003E6FB2">
            <w:pPr>
              <w:pStyle w:val="ListParagraph"/>
              <w:autoSpaceDE w:val="0"/>
              <w:autoSpaceDN w:val="0"/>
              <w:adjustRightInd w:val="0"/>
              <w:ind w:left="0"/>
              <w:rPr>
                <w:rFonts w:cs="Cambria"/>
                <w:b w:val="0"/>
                <w:color w:val="000000"/>
                <w:sz w:val="21"/>
                <w:szCs w:val="21"/>
              </w:rPr>
            </w:pPr>
            <w:r w:rsidRPr="008149CC">
              <w:rPr>
                <w:rFonts w:cs="Cambria"/>
                <w:b w:val="0"/>
                <w:color w:val="000000"/>
                <w:sz w:val="21"/>
                <w:szCs w:val="21"/>
              </w:rPr>
              <w:t>Arrival mode</w:t>
            </w:r>
          </w:p>
        </w:tc>
        <w:tc>
          <w:tcPr>
            <w:tcW w:w="1374" w:type="dxa"/>
          </w:tcPr>
          <w:p w14:paraId="7D82B975" w14:textId="77777777" w:rsidR="0015613A" w:rsidRPr="008149CC" w:rsidRDefault="0015613A" w:rsidP="003E6FB2">
            <w:pPr>
              <w:pStyle w:val="ListParagraph"/>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cs="Cambria"/>
                <w:b w:val="0"/>
                <w:color w:val="000000"/>
                <w:sz w:val="21"/>
                <w:szCs w:val="21"/>
              </w:rPr>
            </w:pPr>
            <w:r w:rsidRPr="008149CC">
              <w:rPr>
                <w:rFonts w:cs="Cambria"/>
                <w:b w:val="0"/>
                <w:color w:val="000000"/>
                <w:sz w:val="21"/>
                <w:szCs w:val="21"/>
              </w:rPr>
              <w:t>2009</w:t>
            </w:r>
          </w:p>
        </w:tc>
        <w:tc>
          <w:tcPr>
            <w:tcW w:w="1375" w:type="dxa"/>
          </w:tcPr>
          <w:p w14:paraId="1B11C7D3" w14:textId="77777777" w:rsidR="0015613A" w:rsidRPr="008149CC" w:rsidRDefault="0015613A" w:rsidP="003E6FB2">
            <w:pPr>
              <w:pStyle w:val="ListParagraph"/>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cs="Cambria"/>
                <w:b w:val="0"/>
                <w:color w:val="000000"/>
                <w:sz w:val="21"/>
                <w:szCs w:val="21"/>
              </w:rPr>
            </w:pPr>
            <w:r w:rsidRPr="008149CC">
              <w:rPr>
                <w:rFonts w:cs="Cambria"/>
                <w:b w:val="0"/>
                <w:color w:val="000000"/>
                <w:sz w:val="21"/>
                <w:szCs w:val="21"/>
              </w:rPr>
              <w:t>2010</w:t>
            </w:r>
          </w:p>
        </w:tc>
        <w:tc>
          <w:tcPr>
            <w:tcW w:w="1375" w:type="dxa"/>
          </w:tcPr>
          <w:p w14:paraId="142BA91F" w14:textId="77777777" w:rsidR="0015613A" w:rsidRPr="008149CC" w:rsidRDefault="0015613A" w:rsidP="003E6FB2">
            <w:pPr>
              <w:pStyle w:val="ListParagraph"/>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cs="Cambria"/>
                <w:b w:val="0"/>
                <w:color w:val="000000"/>
                <w:sz w:val="21"/>
                <w:szCs w:val="21"/>
              </w:rPr>
            </w:pPr>
            <w:r w:rsidRPr="008149CC">
              <w:rPr>
                <w:rFonts w:cs="Cambria"/>
                <w:b w:val="0"/>
                <w:color w:val="000000"/>
                <w:sz w:val="21"/>
                <w:szCs w:val="21"/>
              </w:rPr>
              <w:t>2011</w:t>
            </w:r>
          </w:p>
        </w:tc>
        <w:tc>
          <w:tcPr>
            <w:tcW w:w="1375" w:type="dxa"/>
          </w:tcPr>
          <w:p w14:paraId="6A03B7F7" w14:textId="77777777" w:rsidR="0015613A" w:rsidRPr="008149CC" w:rsidRDefault="0015613A" w:rsidP="003E6FB2">
            <w:pPr>
              <w:pStyle w:val="ListParagraph"/>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cs="Cambria"/>
                <w:b w:val="0"/>
                <w:color w:val="000000"/>
                <w:sz w:val="21"/>
                <w:szCs w:val="21"/>
              </w:rPr>
            </w:pPr>
            <w:r w:rsidRPr="008149CC">
              <w:rPr>
                <w:rFonts w:cs="Cambria"/>
                <w:b w:val="0"/>
                <w:color w:val="000000"/>
                <w:sz w:val="21"/>
                <w:szCs w:val="21"/>
              </w:rPr>
              <w:t>2012</w:t>
            </w:r>
          </w:p>
        </w:tc>
        <w:tc>
          <w:tcPr>
            <w:tcW w:w="1375" w:type="dxa"/>
          </w:tcPr>
          <w:p w14:paraId="2BB5774B" w14:textId="77777777" w:rsidR="0015613A" w:rsidRPr="008149CC" w:rsidRDefault="0015613A" w:rsidP="003E6FB2">
            <w:pPr>
              <w:pStyle w:val="ListParagraph"/>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cs="Cambria"/>
                <w:b w:val="0"/>
                <w:color w:val="000000"/>
                <w:sz w:val="21"/>
                <w:szCs w:val="21"/>
              </w:rPr>
            </w:pPr>
            <w:r w:rsidRPr="008149CC">
              <w:rPr>
                <w:rFonts w:cs="Cambria"/>
                <w:b w:val="0"/>
                <w:color w:val="000000"/>
                <w:sz w:val="21"/>
                <w:szCs w:val="21"/>
              </w:rPr>
              <w:t>2013</w:t>
            </w:r>
          </w:p>
        </w:tc>
      </w:tr>
      <w:tr w:rsidR="0015613A" w14:paraId="28A1FE8F" w14:textId="77777777" w:rsidTr="00857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dxa"/>
          </w:tcPr>
          <w:p w14:paraId="154E78AE" w14:textId="77777777" w:rsidR="0015613A" w:rsidRPr="008149CC" w:rsidRDefault="0015613A" w:rsidP="003E6FB2">
            <w:pPr>
              <w:pStyle w:val="ListParagraph"/>
              <w:autoSpaceDE w:val="0"/>
              <w:autoSpaceDN w:val="0"/>
              <w:adjustRightInd w:val="0"/>
              <w:ind w:left="0"/>
              <w:rPr>
                <w:rFonts w:cs="Cambria"/>
                <w:b w:val="0"/>
                <w:color w:val="000000"/>
                <w:sz w:val="21"/>
                <w:szCs w:val="21"/>
              </w:rPr>
            </w:pPr>
            <w:r w:rsidRPr="008149CC">
              <w:rPr>
                <w:rFonts w:cs="Cambria"/>
                <w:b w:val="0"/>
                <w:color w:val="000000"/>
                <w:sz w:val="21"/>
                <w:szCs w:val="21"/>
              </w:rPr>
              <w:t>Air</w:t>
            </w:r>
          </w:p>
        </w:tc>
        <w:tc>
          <w:tcPr>
            <w:tcW w:w="1374" w:type="dxa"/>
          </w:tcPr>
          <w:p w14:paraId="7E7879A8" w14:textId="77777777" w:rsidR="0015613A" w:rsidRDefault="0015613A" w:rsidP="003E6FB2">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Cambria"/>
                <w:color w:val="000000"/>
                <w:sz w:val="21"/>
                <w:szCs w:val="21"/>
              </w:rPr>
            </w:pPr>
            <w:r>
              <w:rPr>
                <w:rFonts w:cs="Cambria"/>
                <w:color w:val="000000"/>
                <w:sz w:val="21"/>
                <w:szCs w:val="21"/>
              </w:rPr>
              <w:t>8,859</w:t>
            </w:r>
          </w:p>
        </w:tc>
        <w:tc>
          <w:tcPr>
            <w:tcW w:w="1375" w:type="dxa"/>
          </w:tcPr>
          <w:p w14:paraId="6EE0290D" w14:textId="77777777" w:rsidR="0015613A" w:rsidRDefault="0015613A" w:rsidP="003E6FB2">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Cambria"/>
                <w:color w:val="000000"/>
                <w:sz w:val="21"/>
                <w:szCs w:val="21"/>
              </w:rPr>
            </w:pPr>
            <w:r>
              <w:rPr>
                <w:rFonts w:cs="Cambria"/>
                <w:color w:val="000000"/>
                <w:sz w:val="21"/>
                <w:szCs w:val="21"/>
              </w:rPr>
              <w:t>10,475</w:t>
            </w:r>
          </w:p>
        </w:tc>
        <w:tc>
          <w:tcPr>
            <w:tcW w:w="1375" w:type="dxa"/>
          </w:tcPr>
          <w:p w14:paraId="2893BDDA" w14:textId="77777777" w:rsidR="0015613A" w:rsidRDefault="0015613A" w:rsidP="003E6FB2">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Cambria"/>
                <w:color w:val="000000"/>
                <w:sz w:val="21"/>
                <w:szCs w:val="21"/>
              </w:rPr>
            </w:pPr>
            <w:r>
              <w:rPr>
                <w:rFonts w:cs="Cambria"/>
                <w:color w:val="000000"/>
                <w:sz w:val="21"/>
                <w:szCs w:val="21"/>
              </w:rPr>
              <w:t>11,215</w:t>
            </w:r>
          </w:p>
        </w:tc>
        <w:tc>
          <w:tcPr>
            <w:tcW w:w="1375" w:type="dxa"/>
          </w:tcPr>
          <w:p w14:paraId="46E71DDA" w14:textId="77777777" w:rsidR="0015613A" w:rsidRDefault="0015613A" w:rsidP="003E6FB2">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Cambria"/>
                <w:color w:val="000000"/>
                <w:sz w:val="21"/>
                <w:szCs w:val="21"/>
              </w:rPr>
            </w:pPr>
            <w:r>
              <w:rPr>
                <w:rFonts w:cs="Cambria"/>
                <w:color w:val="000000"/>
                <w:sz w:val="21"/>
                <w:szCs w:val="21"/>
              </w:rPr>
              <w:t>10,198</w:t>
            </w:r>
          </w:p>
        </w:tc>
        <w:tc>
          <w:tcPr>
            <w:tcW w:w="1375" w:type="dxa"/>
          </w:tcPr>
          <w:p w14:paraId="2B70FCE1" w14:textId="77777777" w:rsidR="0015613A" w:rsidRDefault="0015613A" w:rsidP="003E6FB2">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Cambria"/>
                <w:color w:val="000000"/>
                <w:sz w:val="21"/>
                <w:szCs w:val="21"/>
              </w:rPr>
            </w:pPr>
            <w:r>
              <w:rPr>
                <w:rFonts w:cs="Cambria"/>
                <w:color w:val="000000"/>
                <w:sz w:val="21"/>
                <w:szCs w:val="21"/>
              </w:rPr>
              <w:t>11,321</w:t>
            </w:r>
          </w:p>
        </w:tc>
      </w:tr>
      <w:tr w:rsidR="0015613A" w14:paraId="5103A062" w14:textId="77777777" w:rsidTr="00857B53">
        <w:tc>
          <w:tcPr>
            <w:cnfStyle w:val="001000000000" w:firstRow="0" w:lastRow="0" w:firstColumn="1" w:lastColumn="0" w:oddVBand="0" w:evenVBand="0" w:oddHBand="0" w:evenHBand="0" w:firstRowFirstColumn="0" w:firstRowLastColumn="0" w:lastRowFirstColumn="0" w:lastRowLastColumn="0"/>
            <w:tcW w:w="1422" w:type="dxa"/>
          </w:tcPr>
          <w:p w14:paraId="69AF7DFA" w14:textId="77777777" w:rsidR="0015613A" w:rsidRPr="008149CC" w:rsidRDefault="0015613A" w:rsidP="003E6FB2">
            <w:pPr>
              <w:pStyle w:val="ListParagraph"/>
              <w:autoSpaceDE w:val="0"/>
              <w:autoSpaceDN w:val="0"/>
              <w:adjustRightInd w:val="0"/>
              <w:ind w:left="0"/>
              <w:rPr>
                <w:rFonts w:cs="Cambria"/>
                <w:b w:val="0"/>
                <w:color w:val="000000"/>
                <w:sz w:val="21"/>
                <w:szCs w:val="21"/>
              </w:rPr>
            </w:pPr>
            <w:r w:rsidRPr="008149CC">
              <w:rPr>
                <w:rFonts w:cs="Cambria"/>
                <w:b w:val="0"/>
                <w:color w:val="000000"/>
                <w:sz w:val="21"/>
                <w:szCs w:val="21"/>
              </w:rPr>
              <w:t>Mail</w:t>
            </w:r>
          </w:p>
        </w:tc>
        <w:tc>
          <w:tcPr>
            <w:tcW w:w="1374" w:type="dxa"/>
          </w:tcPr>
          <w:p w14:paraId="0C80CB59" w14:textId="77777777" w:rsidR="0015613A" w:rsidRDefault="0015613A" w:rsidP="003E6FB2">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Cambria"/>
                <w:color w:val="000000"/>
                <w:sz w:val="21"/>
                <w:szCs w:val="21"/>
              </w:rPr>
            </w:pPr>
            <w:r>
              <w:rPr>
                <w:rFonts w:cs="Cambria"/>
                <w:color w:val="000000"/>
                <w:sz w:val="21"/>
                <w:szCs w:val="21"/>
              </w:rPr>
              <w:t>533</w:t>
            </w:r>
          </w:p>
        </w:tc>
        <w:tc>
          <w:tcPr>
            <w:tcW w:w="1375" w:type="dxa"/>
          </w:tcPr>
          <w:p w14:paraId="4405BB8C" w14:textId="77777777" w:rsidR="0015613A" w:rsidRDefault="0015613A" w:rsidP="003E6FB2">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Cambria"/>
                <w:color w:val="000000"/>
                <w:sz w:val="21"/>
                <w:szCs w:val="21"/>
              </w:rPr>
            </w:pPr>
            <w:r>
              <w:rPr>
                <w:rFonts w:cs="Cambria"/>
                <w:color w:val="000000"/>
                <w:sz w:val="21"/>
                <w:szCs w:val="21"/>
              </w:rPr>
              <w:t>775</w:t>
            </w:r>
          </w:p>
        </w:tc>
        <w:tc>
          <w:tcPr>
            <w:tcW w:w="1375" w:type="dxa"/>
          </w:tcPr>
          <w:p w14:paraId="2AF8B5C3" w14:textId="77777777" w:rsidR="0015613A" w:rsidRDefault="0015613A" w:rsidP="003E6FB2">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Cambria"/>
                <w:color w:val="000000"/>
                <w:sz w:val="21"/>
                <w:szCs w:val="21"/>
              </w:rPr>
            </w:pPr>
            <w:r>
              <w:rPr>
                <w:rFonts w:cs="Cambria"/>
                <w:color w:val="000000"/>
                <w:sz w:val="21"/>
                <w:szCs w:val="21"/>
              </w:rPr>
              <w:t>636</w:t>
            </w:r>
          </w:p>
        </w:tc>
        <w:tc>
          <w:tcPr>
            <w:tcW w:w="1375" w:type="dxa"/>
          </w:tcPr>
          <w:p w14:paraId="2261D3C2" w14:textId="77777777" w:rsidR="0015613A" w:rsidRDefault="0015613A" w:rsidP="003E6FB2">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Cambria"/>
                <w:color w:val="000000"/>
                <w:sz w:val="21"/>
                <w:szCs w:val="21"/>
              </w:rPr>
            </w:pPr>
            <w:r>
              <w:rPr>
                <w:rFonts w:cs="Cambria"/>
                <w:color w:val="000000"/>
                <w:sz w:val="21"/>
                <w:szCs w:val="21"/>
              </w:rPr>
              <w:t>558</w:t>
            </w:r>
          </w:p>
        </w:tc>
        <w:tc>
          <w:tcPr>
            <w:tcW w:w="1375" w:type="dxa"/>
          </w:tcPr>
          <w:p w14:paraId="1E056BC1" w14:textId="77777777" w:rsidR="0015613A" w:rsidRDefault="0015613A" w:rsidP="003E6FB2">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Cambria"/>
                <w:color w:val="000000"/>
                <w:sz w:val="21"/>
                <w:szCs w:val="21"/>
              </w:rPr>
            </w:pPr>
            <w:r>
              <w:rPr>
                <w:rFonts w:cs="Cambria"/>
                <w:color w:val="000000"/>
                <w:sz w:val="21"/>
                <w:szCs w:val="21"/>
              </w:rPr>
              <w:t>750</w:t>
            </w:r>
          </w:p>
        </w:tc>
      </w:tr>
      <w:tr w:rsidR="0015613A" w14:paraId="4A67CD1D" w14:textId="77777777" w:rsidTr="00857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dxa"/>
          </w:tcPr>
          <w:p w14:paraId="132C9E34" w14:textId="77777777" w:rsidR="0015613A" w:rsidRPr="008149CC" w:rsidRDefault="0015613A" w:rsidP="003E6FB2">
            <w:pPr>
              <w:pStyle w:val="ListParagraph"/>
              <w:autoSpaceDE w:val="0"/>
              <w:autoSpaceDN w:val="0"/>
              <w:adjustRightInd w:val="0"/>
              <w:ind w:left="0"/>
              <w:rPr>
                <w:rFonts w:cs="Cambria"/>
                <w:b w:val="0"/>
                <w:color w:val="000000"/>
                <w:sz w:val="21"/>
                <w:szCs w:val="21"/>
              </w:rPr>
            </w:pPr>
            <w:r w:rsidRPr="008149CC">
              <w:rPr>
                <w:rFonts w:cs="Cambria"/>
                <w:b w:val="0"/>
                <w:color w:val="000000"/>
                <w:sz w:val="21"/>
                <w:szCs w:val="21"/>
              </w:rPr>
              <w:t>Sea</w:t>
            </w:r>
          </w:p>
        </w:tc>
        <w:tc>
          <w:tcPr>
            <w:tcW w:w="1374" w:type="dxa"/>
          </w:tcPr>
          <w:p w14:paraId="31BDF91F" w14:textId="77777777" w:rsidR="0015613A" w:rsidRDefault="0015613A" w:rsidP="003E6FB2">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Cambria"/>
                <w:color w:val="000000"/>
                <w:sz w:val="21"/>
                <w:szCs w:val="21"/>
              </w:rPr>
            </w:pPr>
            <w:r>
              <w:rPr>
                <w:rFonts w:cs="Cambria"/>
                <w:color w:val="000000"/>
                <w:sz w:val="21"/>
                <w:szCs w:val="21"/>
              </w:rPr>
              <w:t>7,455</w:t>
            </w:r>
          </w:p>
        </w:tc>
        <w:tc>
          <w:tcPr>
            <w:tcW w:w="1375" w:type="dxa"/>
          </w:tcPr>
          <w:p w14:paraId="600AF7FF" w14:textId="77777777" w:rsidR="0015613A" w:rsidRDefault="0015613A" w:rsidP="003E6FB2">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Cambria"/>
                <w:color w:val="000000"/>
                <w:sz w:val="21"/>
                <w:szCs w:val="21"/>
              </w:rPr>
            </w:pPr>
            <w:r>
              <w:rPr>
                <w:rFonts w:cs="Cambria"/>
                <w:color w:val="000000"/>
                <w:sz w:val="21"/>
                <w:szCs w:val="21"/>
              </w:rPr>
              <w:t>7,317</w:t>
            </w:r>
          </w:p>
        </w:tc>
        <w:tc>
          <w:tcPr>
            <w:tcW w:w="1375" w:type="dxa"/>
          </w:tcPr>
          <w:p w14:paraId="1FD8D465" w14:textId="77777777" w:rsidR="0015613A" w:rsidRDefault="0015613A" w:rsidP="003E6FB2">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Cambria"/>
                <w:color w:val="000000"/>
                <w:sz w:val="21"/>
                <w:szCs w:val="21"/>
              </w:rPr>
            </w:pPr>
            <w:r>
              <w:rPr>
                <w:rFonts w:cs="Cambria"/>
                <w:color w:val="000000"/>
                <w:sz w:val="21"/>
                <w:szCs w:val="21"/>
              </w:rPr>
              <w:t>6,313</w:t>
            </w:r>
          </w:p>
        </w:tc>
        <w:tc>
          <w:tcPr>
            <w:tcW w:w="1375" w:type="dxa"/>
          </w:tcPr>
          <w:p w14:paraId="5C58E99A" w14:textId="77777777" w:rsidR="0015613A" w:rsidRDefault="0015613A" w:rsidP="003E6FB2">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Cambria"/>
                <w:color w:val="000000"/>
                <w:sz w:val="21"/>
                <w:szCs w:val="21"/>
              </w:rPr>
            </w:pPr>
            <w:r>
              <w:rPr>
                <w:rFonts w:cs="Cambria"/>
                <w:color w:val="000000"/>
                <w:sz w:val="21"/>
                <w:szCs w:val="21"/>
              </w:rPr>
              <w:t>5,272</w:t>
            </w:r>
          </w:p>
        </w:tc>
        <w:tc>
          <w:tcPr>
            <w:tcW w:w="1375" w:type="dxa"/>
          </w:tcPr>
          <w:p w14:paraId="5A069AA7" w14:textId="77777777" w:rsidR="0015613A" w:rsidRDefault="0015613A" w:rsidP="003E6FB2">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Cambria"/>
                <w:color w:val="000000"/>
                <w:sz w:val="21"/>
                <w:szCs w:val="21"/>
              </w:rPr>
            </w:pPr>
            <w:r>
              <w:rPr>
                <w:rFonts w:cs="Cambria"/>
                <w:color w:val="000000"/>
                <w:sz w:val="21"/>
                <w:szCs w:val="21"/>
              </w:rPr>
              <w:t>6,169</w:t>
            </w:r>
          </w:p>
        </w:tc>
      </w:tr>
      <w:tr w:rsidR="0015613A" w14:paraId="7501ED9B" w14:textId="77777777" w:rsidTr="00857B53">
        <w:tc>
          <w:tcPr>
            <w:cnfStyle w:val="001000000000" w:firstRow="0" w:lastRow="0" w:firstColumn="1" w:lastColumn="0" w:oddVBand="0" w:evenVBand="0" w:oddHBand="0" w:evenHBand="0" w:firstRowFirstColumn="0" w:firstRowLastColumn="0" w:lastRowFirstColumn="0" w:lastRowLastColumn="0"/>
            <w:tcW w:w="1422" w:type="dxa"/>
          </w:tcPr>
          <w:p w14:paraId="0B34A037" w14:textId="77777777" w:rsidR="0015613A" w:rsidRPr="008149CC" w:rsidRDefault="0015613A" w:rsidP="003E6FB2">
            <w:pPr>
              <w:pStyle w:val="ListParagraph"/>
              <w:autoSpaceDE w:val="0"/>
              <w:autoSpaceDN w:val="0"/>
              <w:adjustRightInd w:val="0"/>
              <w:ind w:left="0"/>
              <w:rPr>
                <w:rFonts w:cs="Cambria"/>
                <w:b w:val="0"/>
                <w:color w:val="000000"/>
                <w:sz w:val="21"/>
                <w:szCs w:val="21"/>
              </w:rPr>
            </w:pPr>
            <w:r w:rsidRPr="008149CC">
              <w:rPr>
                <w:rFonts w:cs="Cambria"/>
                <w:b w:val="0"/>
                <w:color w:val="000000"/>
                <w:sz w:val="21"/>
                <w:szCs w:val="21"/>
              </w:rPr>
              <w:t>Unknown</w:t>
            </w:r>
          </w:p>
        </w:tc>
        <w:tc>
          <w:tcPr>
            <w:tcW w:w="1374" w:type="dxa"/>
          </w:tcPr>
          <w:p w14:paraId="7CF306D0" w14:textId="77777777" w:rsidR="0015613A" w:rsidRDefault="0015613A" w:rsidP="003E6FB2">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Cambria"/>
                <w:color w:val="000000"/>
                <w:sz w:val="21"/>
                <w:szCs w:val="21"/>
              </w:rPr>
            </w:pPr>
            <w:r>
              <w:rPr>
                <w:rFonts w:cs="Cambria"/>
                <w:color w:val="000000"/>
                <w:sz w:val="21"/>
                <w:szCs w:val="21"/>
              </w:rPr>
              <w:t>69</w:t>
            </w:r>
          </w:p>
        </w:tc>
        <w:tc>
          <w:tcPr>
            <w:tcW w:w="1375" w:type="dxa"/>
          </w:tcPr>
          <w:p w14:paraId="1259598B" w14:textId="77777777" w:rsidR="0015613A" w:rsidRDefault="0015613A" w:rsidP="003E6FB2">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Cambria"/>
                <w:color w:val="000000"/>
                <w:sz w:val="21"/>
                <w:szCs w:val="21"/>
              </w:rPr>
            </w:pPr>
            <w:r>
              <w:rPr>
                <w:rFonts w:cs="Cambria"/>
                <w:color w:val="000000"/>
                <w:sz w:val="21"/>
                <w:szCs w:val="21"/>
              </w:rPr>
              <w:t>165</w:t>
            </w:r>
          </w:p>
        </w:tc>
        <w:tc>
          <w:tcPr>
            <w:tcW w:w="1375" w:type="dxa"/>
          </w:tcPr>
          <w:p w14:paraId="08CCE644" w14:textId="77777777" w:rsidR="0015613A" w:rsidRDefault="0015613A" w:rsidP="003E6FB2">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Cambria"/>
                <w:color w:val="000000"/>
                <w:sz w:val="21"/>
                <w:szCs w:val="21"/>
              </w:rPr>
            </w:pPr>
            <w:r>
              <w:rPr>
                <w:rFonts w:cs="Cambria"/>
                <w:color w:val="000000"/>
                <w:sz w:val="21"/>
                <w:szCs w:val="21"/>
              </w:rPr>
              <w:t>132</w:t>
            </w:r>
          </w:p>
        </w:tc>
        <w:tc>
          <w:tcPr>
            <w:tcW w:w="1375" w:type="dxa"/>
          </w:tcPr>
          <w:p w14:paraId="37AA7E18" w14:textId="77777777" w:rsidR="0015613A" w:rsidRDefault="0015613A" w:rsidP="003E6FB2">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Cambria"/>
                <w:color w:val="000000"/>
                <w:sz w:val="21"/>
                <w:szCs w:val="21"/>
              </w:rPr>
            </w:pPr>
            <w:r>
              <w:rPr>
                <w:rFonts w:cs="Cambria"/>
                <w:color w:val="000000"/>
                <w:sz w:val="21"/>
                <w:szCs w:val="21"/>
              </w:rPr>
              <w:t>102</w:t>
            </w:r>
          </w:p>
        </w:tc>
        <w:tc>
          <w:tcPr>
            <w:tcW w:w="1375" w:type="dxa"/>
          </w:tcPr>
          <w:p w14:paraId="22B42BD2" w14:textId="77777777" w:rsidR="0015613A" w:rsidRDefault="0015613A" w:rsidP="003E6FB2">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Cambria"/>
                <w:color w:val="000000"/>
                <w:sz w:val="21"/>
                <w:szCs w:val="21"/>
              </w:rPr>
            </w:pPr>
            <w:r>
              <w:rPr>
                <w:rFonts w:cs="Cambria"/>
                <w:color w:val="000000"/>
                <w:sz w:val="21"/>
                <w:szCs w:val="21"/>
              </w:rPr>
              <w:t>126</w:t>
            </w:r>
          </w:p>
        </w:tc>
      </w:tr>
      <w:tr w:rsidR="0015613A" w14:paraId="6D2607C7" w14:textId="77777777" w:rsidTr="00857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dxa"/>
          </w:tcPr>
          <w:p w14:paraId="660536BD" w14:textId="77777777" w:rsidR="0015613A" w:rsidRPr="008149CC" w:rsidRDefault="0015613A" w:rsidP="003E6FB2">
            <w:pPr>
              <w:pStyle w:val="ListParagraph"/>
              <w:autoSpaceDE w:val="0"/>
              <w:autoSpaceDN w:val="0"/>
              <w:adjustRightInd w:val="0"/>
              <w:ind w:left="0"/>
              <w:rPr>
                <w:rFonts w:cs="Cambria"/>
                <w:b w:val="0"/>
                <w:color w:val="000000"/>
                <w:sz w:val="21"/>
                <w:szCs w:val="21"/>
              </w:rPr>
            </w:pPr>
            <w:r w:rsidRPr="008149CC">
              <w:rPr>
                <w:rFonts w:cs="Cambria"/>
                <w:b w:val="0"/>
                <w:color w:val="000000"/>
                <w:sz w:val="21"/>
                <w:szCs w:val="21"/>
              </w:rPr>
              <w:t>Total</w:t>
            </w:r>
          </w:p>
        </w:tc>
        <w:tc>
          <w:tcPr>
            <w:tcW w:w="1374" w:type="dxa"/>
          </w:tcPr>
          <w:p w14:paraId="7111CBFF" w14:textId="77777777" w:rsidR="0015613A" w:rsidRDefault="0015613A" w:rsidP="003E6FB2">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Cambria"/>
                <w:color w:val="000000"/>
                <w:sz w:val="21"/>
                <w:szCs w:val="21"/>
              </w:rPr>
            </w:pPr>
            <w:r>
              <w:rPr>
                <w:rFonts w:cs="Cambria"/>
                <w:color w:val="000000"/>
                <w:sz w:val="21"/>
                <w:szCs w:val="21"/>
              </w:rPr>
              <w:t>16,916</w:t>
            </w:r>
          </w:p>
        </w:tc>
        <w:tc>
          <w:tcPr>
            <w:tcW w:w="1375" w:type="dxa"/>
          </w:tcPr>
          <w:p w14:paraId="52CBDF96" w14:textId="77777777" w:rsidR="0015613A" w:rsidRDefault="0015613A" w:rsidP="003E6FB2">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Cambria"/>
                <w:color w:val="000000"/>
                <w:sz w:val="21"/>
                <w:szCs w:val="21"/>
              </w:rPr>
            </w:pPr>
            <w:r>
              <w:rPr>
                <w:rFonts w:cs="Cambria"/>
                <w:color w:val="000000"/>
                <w:sz w:val="21"/>
                <w:szCs w:val="21"/>
              </w:rPr>
              <w:t>18,732</w:t>
            </w:r>
          </w:p>
        </w:tc>
        <w:tc>
          <w:tcPr>
            <w:tcW w:w="1375" w:type="dxa"/>
          </w:tcPr>
          <w:p w14:paraId="724D5156" w14:textId="77777777" w:rsidR="0015613A" w:rsidRDefault="0015613A" w:rsidP="003E6FB2">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Cambria"/>
                <w:color w:val="000000"/>
                <w:sz w:val="21"/>
                <w:szCs w:val="21"/>
              </w:rPr>
            </w:pPr>
            <w:r>
              <w:rPr>
                <w:rFonts w:cs="Cambria"/>
                <w:color w:val="000000"/>
                <w:sz w:val="21"/>
                <w:szCs w:val="21"/>
              </w:rPr>
              <w:t>18,296</w:t>
            </w:r>
          </w:p>
        </w:tc>
        <w:tc>
          <w:tcPr>
            <w:tcW w:w="1375" w:type="dxa"/>
          </w:tcPr>
          <w:p w14:paraId="1B3633E6" w14:textId="77777777" w:rsidR="0015613A" w:rsidRDefault="0015613A" w:rsidP="003E6FB2">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Cambria"/>
                <w:color w:val="000000"/>
                <w:sz w:val="21"/>
                <w:szCs w:val="21"/>
              </w:rPr>
            </w:pPr>
            <w:r>
              <w:rPr>
                <w:rFonts w:cs="Cambria"/>
                <w:color w:val="000000"/>
                <w:sz w:val="21"/>
                <w:szCs w:val="21"/>
              </w:rPr>
              <w:t>16,130</w:t>
            </w:r>
          </w:p>
        </w:tc>
        <w:tc>
          <w:tcPr>
            <w:tcW w:w="1375" w:type="dxa"/>
          </w:tcPr>
          <w:p w14:paraId="0971C883" w14:textId="77777777" w:rsidR="0015613A" w:rsidRDefault="0015613A" w:rsidP="003E6FB2">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Cambria"/>
                <w:color w:val="000000"/>
                <w:sz w:val="21"/>
                <w:szCs w:val="21"/>
              </w:rPr>
            </w:pPr>
            <w:r>
              <w:rPr>
                <w:rFonts w:cs="Cambria"/>
                <w:color w:val="000000"/>
                <w:sz w:val="21"/>
                <w:szCs w:val="21"/>
              </w:rPr>
              <w:t>18,393</w:t>
            </w:r>
          </w:p>
        </w:tc>
      </w:tr>
    </w:tbl>
    <w:p w14:paraId="6705545A" w14:textId="1A8CD968" w:rsidR="0015613A" w:rsidRPr="008149CC" w:rsidRDefault="0015613A" w:rsidP="00D43DE5">
      <w:pPr>
        <w:pStyle w:val="ListParagraph"/>
        <w:autoSpaceDE w:val="0"/>
        <w:autoSpaceDN w:val="0"/>
        <w:adjustRightInd w:val="0"/>
        <w:spacing w:before="0" w:after="0"/>
        <w:ind w:left="0"/>
        <w:rPr>
          <w:rFonts w:cs="Cambria"/>
          <w:color w:val="000000"/>
          <w:sz w:val="18"/>
          <w:szCs w:val="18"/>
        </w:rPr>
      </w:pPr>
      <w:r>
        <w:rPr>
          <w:rFonts w:cs="Cambria"/>
          <w:color w:val="000000"/>
          <w:sz w:val="18"/>
          <w:szCs w:val="18"/>
        </w:rPr>
        <w:t xml:space="preserve">Source: </w:t>
      </w:r>
      <w:r w:rsidR="00D43DE5" w:rsidRPr="004809C8">
        <w:rPr>
          <w:sz w:val="18"/>
          <w:szCs w:val="18"/>
        </w:rPr>
        <w:t xml:space="preserve">Department of Agriculture and Department of Environment </w:t>
      </w:r>
      <w:sdt>
        <w:sdtPr>
          <w:rPr>
            <w:sz w:val="18"/>
            <w:szCs w:val="18"/>
          </w:rPr>
          <w:id w:val="1499466716"/>
          <w:citation/>
        </w:sdtPr>
        <w:sdtEndPr/>
        <w:sdtContent>
          <w:r w:rsidR="00D43DE5">
            <w:rPr>
              <w:sz w:val="18"/>
              <w:szCs w:val="18"/>
            </w:rPr>
            <w:fldChar w:fldCharType="begin"/>
          </w:r>
          <w:r w:rsidR="00D43DE5">
            <w:rPr>
              <w:sz w:val="18"/>
              <w:szCs w:val="18"/>
            </w:rPr>
            <w:instrText xml:space="preserve">CITATION Dep142 \p 40 \n  \t  \l 3081 </w:instrText>
          </w:r>
          <w:r w:rsidR="00D43DE5">
            <w:rPr>
              <w:sz w:val="18"/>
              <w:szCs w:val="18"/>
            </w:rPr>
            <w:fldChar w:fldCharType="separate"/>
          </w:r>
          <w:r w:rsidR="00604A29" w:rsidRPr="00604A29">
            <w:rPr>
              <w:noProof/>
              <w:sz w:val="18"/>
              <w:szCs w:val="18"/>
            </w:rPr>
            <w:t>(2014, p. 40)</w:t>
          </w:r>
          <w:r w:rsidR="00D43DE5">
            <w:rPr>
              <w:sz w:val="18"/>
              <w:szCs w:val="18"/>
            </w:rPr>
            <w:fldChar w:fldCharType="end"/>
          </w:r>
        </w:sdtContent>
      </w:sdt>
      <w:r w:rsidR="00D43DE5">
        <w:rPr>
          <w:sz w:val="18"/>
          <w:szCs w:val="18"/>
        </w:rPr>
        <w:t>.</w:t>
      </w:r>
    </w:p>
    <w:p w14:paraId="195A888B" w14:textId="5CD78A7A" w:rsidR="00125D0B" w:rsidRDefault="00E90430" w:rsidP="00C87558">
      <w:r w:rsidRPr="00E90430">
        <w:t>The Inspector-General of Biosecurity has been conducting further analysis on</w:t>
      </w:r>
      <w:r>
        <w:t xml:space="preserve"> interceptions, both generally and in regard to the Brown Marmorated Stink Bug. These reports were scheduled for release in April but this has been prevented by the caretaker</w:t>
      </w:r>
      <w:r w:rsidR="00125D0B">
        <w:t xml:space="preserve"> convention during the </w:t>
      </w:r>
      <w:r w:rsidR="00857B53">
        <w:t>f</w:t>
      </w:r>
      <w:r w:rsidR="00125D0B">
        <w:t>ederal election so the Committee has not been able to review them.</w:t>
      </w:r>
    </w:p>
    <w:p w14:paraId="1610B84E" w14:textId="47320630" w:rsidR="00EF52EA" w:rsidRDefault="009D4EAE" w:rsidP="00125D0B">
      <w:pPr>
        <w:pStyle w:val="Heading2"/>
      </w:pPr>
      <w:bookmarkStart w:id="35" w:name="_Toc10031899"/>
      <w:r>
        <w:t>7.3</w:t>
      </w:r>
      <w:r>
        <w:tab/>
      </w:r>
      <w:r w:rsidR="00125D0B">
        <w:t>Applying a Levy</w:t>
      </w:r>
      <w:r w:rsidR="00CA204C">
        <w:t xml:space="preserve"> to Cargo Imports</w:t>
      </w:r>
      <w:bookmarkEnd w:id="35"/>
    </w:p>
    <w:p w14:paraId="79AEB171" w14:textId="2D216D4D" w:rsidR="00125D0B" w:rsidRDefault="0058454E" w:rsidP="00076383">
      <w:r w:rsidRPr="00195678">
        <w:t>The Committee accepts the view expressed by government that biosecurity funding</w:t>
      </w:r>
      <w:r w:rsidR="00125D0B">
        <w:t xml:space="preserve"> </w:t>
      </w:r>
      <w:r w:rsidR="001C1C85">
        <w:t xml:space="preserve">raised </w:t>
      </w:r>
      <w:r w:rsidR="00E3012C">
        <w:t>from</w:t>
      </w:r>
      <w:r w:rsidR="00125D0B">
        <w:t xml:space="preserve"> the private sector</w:t>
      </w:r>
      <w:r w:rsidRPr="00195678">
        <w:t xml:space="preserve"> should </w:t>
      </w:r>
      <w:r w:rsidR="00125D0B">
        <w:t>relate</w:t>
      </w:r>
      <w:r w:rsidRPr="00195678">
        <w:t xml:space="preserve"> to the level of risk created or exacerbated by </w:t>
      </w:r>
      <w:r w:rsidR="00125D0B">
        <w:t xml:space="preserve">its </w:t>
      </w:r>
      <w:r w:rsidRPr="00195678">
        <w:t>different activities.</w:t>
      </w:r>
      <w:r w:rsidR="00125D0B">
        <w:t xml:space="preserve"> </w:t>
      </w:r>
      <w:r w:rsidR="003E51E2">
        <w:t xml:space="preserve">In the course of its deliberations, the Committee </w:t>
      </w:r>
      <w:r w:rsidR="0017278D">
        <w:t>has considered</w:t>
      </w:r>
      <w:r w:rsidR="003E51E2">
        <w:t xml:space="preserve"> a number of options for imposing a levy. </w:t>
      </w:r>
    </w:p>
    <w:p w14:paraId="14E20BA2" w14:textId="23AABBC3" w:rsidR="00E3012C" w:rsidRDefault="00076383" w:rsidP="00076383">
      <w:r>
        <w:t xml:space="preserve">In principle, the Committee accepts the </w:t>
      </w:r>
      <w:r w:rsidR="00125D0B">
        <w:t>application of</w:t>
      </w:r>
      <w:r>
        <w:t xml:space="preserve"> a levy on the impor</w:t>
      </w:r>
      <w:r w:rsidR="00E44BF7">
        <w:t>tation of containers as there are</w:t>
      </w:r>
      <w:r>
        <w:t xml:space="preserve"> clearly biosecurity risks associated with them. </w:t>
      </w:r>
    </w:p>
    <w:p w14:paraId="783ADBE0" w14:textId="02E6E4DA" w:rsidR="00125D0B" w:rsidRDefault="00E3012C" w:rsidP="00076383">
      <w:r>
        <w:t>This includes containerised air cargo, which formed part of the IABR recommendations, but was not included in the Government’s original Budget proposal. A number of submissions to the Committee recommended that, on equity grounds and for biosecurity risk consistency, the levy should cover air cargo, via the FID. The Committee agrees.</w:t>
      </w:r>
    </w:p>
    <w:p w14:paraId="7DD86080" w14:textId="7BAAF6CE" w:rsidR="00076383" w:rsidRDefault="00076383" w:rsidP="00076383">
      <w:r>
        <w:t>Also, the Committee accepts the need for a levy on break bulk imports as there is biosecurity risk associated with the importation of break bulk items</w:t>
      </w:r>
      <w:r w:rsidR="005D5581">
        <w:t xml:space="preserve"> (such as motor vehicles and machinery)</w:t>
      </w:r>
      <w:r w:rsidR="00125D0B">
        <w:t>, notwithstanding increasing efforts to minimise such risks via offshore treatments</w:t>
      </w:r>
      <w:r w:rsidR="00631872">
        <w:t xml:space="preserve"> and protocols</w:t>
      </w:r>
      <w:r>
        <w:t>.</w:t>
      </w:r>
    </w:p>
    <w:p w14:paraId="3886F98F" w14:textId="3CB4951E" w:rsidR="00CA204C" w:rsidRDefault="0058454E" w:rsidP="00076383">
      <w:r>
        <w:t xml:space="preserve">The </w:t>
      </w:r>
      <w:r w:rsidR="00094171">
        <w:t xml:space="preserve">Committee has </w:t>
      </w:r>
      <w:r w:rsidRPr="00195678">
        <w:t xml:space="preserve">doubts about </w:t>
      </w:r>
      <w:r w:rsidR="00094171">
        <w:t>a levy on inorganic</w:t>
      </w:r>
      <w:r w:rsidR="00A67640">
        <w:t>, inert or liquid</w:t>
      </w:r>
      <w:r w:rsidR="00094171">
        <w:t xml:space="preserve"> bulk commodity imports</w:t>
      </w:r>
      <w:r w:rsidR="00E65D16">
        <w:t>.</w:t>
      </w:r>
      <w:r w:rsidR="00A5698F">
        <w:t xml:space="preserve"> </w:t>
      </w:r>
      <w:r w:rsidR="00E44BF7">
        <w:t>Both</w:t>
      </w:r>
      <w:r w:rsidR="00076383">
        <w:t xml:space="preserve"> </w:t>
      </w:r>
      <w:r w:rsidR="00A67640">
        <w:t>the original B</w:t>
      </w:r>
      <w:r w:rsidR="00E44BF7">
        <w:t>udget proposal and</w:t>
      </w:r>
      <w:r w:rsidR="00641A90">
        <w:t xml:space="preserve"> the Department’s revised November 2018 </w:t>
      </w:r>
      <w:r w:rsidR="00D629D0">
        <w:t>position</w:t>
      </w:r>
      <w:r w:rsidR="00076383">
        <w:t xml:space="preserve"> would have </w:t>
      </w:r>
      <w:r w:rsidR="00CA204C">
        <w:t xml:space="preserve">imposed </w:t>
      </w:r>
      <w:r w:rsidR="00076383">
        <w:t xml:space="preserve">a disproportionate </w:t>
      </w:r>
      <w:r w:rsidR="00CA204C">
        <w:t>burden</w:t>
      </w:r>
      <w:r w:rsidR="00076383">
        <w:t xml:space="preserve"> on bulk commodity impor</w:t>
      </w:r>
      <w:r w:rsidR="00E44BF7">
        <w:t>ts (such as petroleum products</w:t>
      </w:r>
      <w:r w:rsidR="00076383">
        <w:t>, ce</w:t>
      </w:r>
      <w:r w:rsidR="00E44BF7">
        <w:t xml:space="preserve">ment/clinker, caustic products, </w:t>
      </w:r>
      <w:r w:rsidR="00076383">
        <w:t>etc)</w:t>
      </w:r>
      <w:r w:rsidR="00A67640">
        <w:t xml:space="preserve"> for which the biosecurity risk is very low to negligible. </w:t>
      </w:r>
    </w:p>
    <w:p w14:paraId="6CD30784" w14:textId="7F66F53A" w:rsidR="00076383" w:rsidRDefault="00A67640" w:rsidP="00076383">
      <w:r>
        <w:t>In addition</w:t>
      </w:r>
      <w:r w:rsidR="00DF0D94">
        <w:t>,</w:t>
      </w:r>
      <w:r>
        <w:t xml:space="preserve"> </w:t>
      </w:r>
      <w:r w:rsidR="00CA204C">
        <w:t>some of</w:t>
      </w:r>
      <w:r w:rsidR="00076383">
        <w:t xml:space="preserve"> </w:t>
      </w:r>
      <w:r>
        <w:t xml:space="preserve">these </w:t>
      </w:r>
      <w:r w:rsidR="00CA204C">
        <w:t>bulk commodity imports have a</w:t>
      </w:r>
      <w:r w:rsidR="00076383">
        <w:t xml:space="preserve"> low value</w:t>
      </w:r>
      <w:r w:rsidR="00CA204C">
        <w:t xml:space="preserve"> relative to their mass</w:t>
      </w:r>
      <w:r w:rsidR="00076383">
        <w:t xml:space="preserve">, </w:t>
      </w:r>
      <w:r w:rsidR="00CA204C">
        <w:t xml:space="preserve">so </w:t>
      </w:r>
      <w:r w:rsidR="002B30AB">
        <w:t>these</w:t>
      </w:r>
      <w:r w:rsidR="00CA204C">
        <w:t xml:space="preserve"> levy</w:t>
      </w:r>
      <w:r w:rsidR="002B30AB">
        <w:t xml:space="preserve"> options</w:t>
      </w:r>
      <w:r w:rsidR="00076383">
        <w:t xml:space="preserve"> could represent a significant proportion of the margin generated on each shipment</w:t>
      </w:r>
      <w:r>
        <w:t xml:space="preserve"> and thus impair the competitive position of subsequent manufacturing processes based on them</w:t>
      </w:r>
      <w:r w:rsidR="00076383">
        <w:t>.</w:t>
      </w:r>
    </w:p>
    <w:p w14:paraId="76D43867" w14:textId="50747087" w:rsidR="00076383" w:rsidRDefault="00A67640" w:rsidP="00076383">
      <w:r>
        <w:t>The original B</w:t>
      </w:r>
      <w:r w:rsidR="002B30AB">
        <w:t xml:space="preserve">udget </w:t>
      </w:r>
      <w:r w:rsidR="00903FB3">
        <w:t xml:space="preserve">levy </w:t>
      </w:r>
      <w:r w:rsidR="002B30AB">
        <w:t xml:space="preserve">proposal </w:t>
      </w:r>
      <w:r w:rsidR="00076383">
        <w:t xml:space="preserve">would </w:t>
      </w:r>
      <w:r>
        <w:t xml:space="preserve">have </w:t>
      </w:r>
      <w:r w:rsidR="00CA204C">
        <w:t>implied</w:t>
      </w:r>
      <w:r w:rsidR="00076383">
        <w:t xml:space="preserve"> approximately $50 million per annum on imports of crude oil and refined petroleum products</w:t>
      </w:r>
      <w:r w:rsidR="00903FB3">
        <w:t>, or roughly half the total levy revenue stream</w:t>
      </w:r>
      <w:r w:rsidR="00076383">
        <w:t xml:space="preserve"> </w:t>
      </w:r>
      <w:sdt>
        <w:sdtPr>
          <w:id w:val="-589079620"/>
          <w:citation/>
        </w:sdtPr>
        <w:sdtEndPr/>
        <w:sdtContent>
          <w:r w:rsidR="00076383">
            <w:fldChar w:fldCharType="begin"/>
          </w:r>
          <w:r w:rsidR="00076383">
            <w:instrText xml:space="preserve">CITATION Fis19 \p 6 \t  \l 3081 </w:instrText>
          </w:r>
          <w:r w:rsidR="00076383">
            <w:fldChar w:fldCharType="separate"/>
          </w:r>
          <w:r w:rsidR="00604A29">
            <w:rPr>
              <w:noProof/>
            </w:rPr>
            <w:t>(Fisher &amp; Davey, 2019, p. 6)</w:t>
          </w:r>
          <w:r w:rsidR="00076383">
            <w:fldChar w:fldCharType="end"/>
          </w:r>
        </w:sdtContent>
      </w:sdt>
      <w:r w:rsidR="00076383">
        <w:t xml:space="preserve">. The downstream petroleum industry argues that cargo tonnage </w:t>
      </w:r>
      <w:r w:rsidR="00CA204C">
        <w:t>is</w:t>
      </w:r>
      <w:r w:rsidR="00076383">
        <w:t xml:space="preserve"> a poor proxy for the amount of biosecurity risk presented by petroleum products </w:t>
      </w:r>
      <w:sdt>
        <w:sdtPr>
          <w:id w:val="524755999"/>
          <w:citation/>
        </w:sdtPr>
        <w:sdtEndPr/>
        <w:sdtContent>
          <w:r w:rsidR="00076383">
            <w:fldChar w:fldCharType="begin"/>
          </w:r>
          <w:r w:rsidR="00076383">
            <w:instrText xml:space="preserve">CITATION Fis19 \p 6 \t  \l 3081 </w:instrText>
          </w:r>
          <w:r w:rsidR="00076383">
            <w:fldChar w:fldCharType="separate"/>
          </w:r>
          <w:r w:rsidR="00604A29">
            <w:rPr>
              <w:noProof/>
            </w:rPr>
            <w:t>(Fisher &amp; Davey, 2019, p. 6)</w:t>
          </w:r>
          <w:r w:rsidR="00076383">
            <w:fldChar w:fldCharType="end"/>
          </w:r>
        </w:sdtContent>
      </w:sdt>
      <w:r w:rsidR="00076383">
        <w:t>; the Committee has been presented with no evidence to the contrary.</w:t>
      </w:r>
    </w:p>
    <w:p w14:paraId="4684C586" w14:textId="656BD49A" w:rsidR="00076383" w:rsidRDefault="00076383" w:rsidP="00076383">
      <w:pPr>
        <w:tabs>
          <w:tab w:val="left" w:pos="5963"/>
        </w:tabs>
      </w:pPr>
      <w:r>
        <w:t xml:space="preserve">Similar concerns have been expressed to the Committee by the cement and fertiliser industries. According to the Cement Industry Federation (CIF) </w:t>
      </w:r>
      <w:sdt>
        <w:sdtPr>
          <w:id w:val="1889136672"/>
          <w:citation/>
        </w:sdtPr>
        <w:sdtEndPr/>
        <w:sdtContent>
          <w:r>
            <w:fldChar w:fldCharType="begin"/>
          </w:r>
          <w:r>
            <w:instrText xml:space="preserve">CITATION Cem19 \p 5 \n  \t  \l 3081 </w:instrText>
          </w:r>
          <w:r>
            <w:fldChar w:fldCharType="separate"/>
          </w:r>
          <w:r w:rsidR="00604A29">
            <w:rPr>
              <w:noProof/>
            </w:rPr>
            <w:t>(2019, p. 5)</w:t>
          </w:r>
          <w:r>
            <w:fldChar w:fldCharType="end"/>
          </w:r>
        </w:sdtContent>
      </w:sdt>
      <w:r>
        <w:t>:</w:t>
      </w:r>
    </w:p>
    <w:p w14:paraId="6E9A7421" w14:textId="77777777" w:rsidR="00076383" w:rsidRDefault="00076383" w:rsidP="00076383">
      <w:pPr>
        <w:pStyle w:val="Quote"/>
      </w:pPr>
      <w:r>
        <w:t>It is important to note that cementitious materials are extremely unlikely to pose a biosecurity risk due to the caustic makeup of the product and the related loading conditions of cement clinker remove any opportunity for the material to act as a biosecurity carrier of exotic pests and diseases. As a result, the CIF has not been able to find a reported cementitious biosecurity incursion in Australia or overseas.</w:t>
      </w:r>
    </w:p>
    <w:p w14:paraId="3665F6A6" w14:textId="361BE4B3" w:rsidR="00076383" w:rsidRDefault="00076383" w:rsidP="00076383">
      <w:pPr>
        <w:tabs>
          <w:tab w:val="left" w:pos="5963"/>
        </w:tabs>
      </w:pPr>
      <w:r>
        <w:t xml:space="preserve">According to Fertilizer Australia </w:t>
      </w:r>
      <w:sdt>
        <w:sdtPr>
          <w:id w:val="-834304136"/>
          <w:citation/>
        </w:sdtPr>
        <w:sdtEndPr/>
        <w:sdtContent>
          <w:r>
            <w:fldChar w:fldCharType="begin"/>
          </w:r>
          <w:r>
            <w:instrText xml:space="preserve">CITATION Fer19 \n  \t  \l 3081 </w:instrText>
          </w:r>
          <w:r>
            <w:fldChar w:fldCharType="separate"/>
          </w:r>
          <w:r w:rsidR="00604A29">
            <w:rPr>
              <w:noProof/>
            </w:rPr>
            <w:t>(2019)</w:t>
          </w:r>
          <w:r>
            <w:fldChar w:fldCharType="end"/>
          </w:r>
        </w:sdtContent>
      </w:sdt>
      <w:r>
        <w:t>:</w:t>
      </w:r>
    </w:p>
    <w:p w14:paraId="00B3FE13" w14:textId="77777777" w:rsidR="00076383" w:rsidRDefault="00076383" w:rsidP="00076383">
      <w:pPr>
        <w:pStyle w:val="Quote"/>
      </w:pPr>
      <w:r>
        <w:t>… many bulk commodities only pose the existing risk of hitchhiker incursions. Furthermore, fertilizer, cement and fuel pose a lower risk due to the desiccating nature of the cargo. A risk based assessment would demonstrate that these pose no increased risk...</w:t>
      </w:r>
    </w:p>
    <w:p w14:paraId="1426C21F" w14:textId="64E4B76C" w:rsidR="00076383" w:rsidRDefault="00076383" w:rsidP="00076383">
      <w:r>
        <w:t xml:space="preserve">Manufacturing Australia </w:t>
      </w:r>
      <w:sdt>
        <w:sdtPr>
          <w:id w:val="935564628"/>
          <w:citation/>
        </w:sdtPr>
        <w:sdtEndPr/>
        <w:sdtContent>
          <w:r>
            <w:fldChar w:fldCharType="begin"/>
          </w:r>
          <w:r>
            <w:instrText xml:space="preserve">CITATION Man19 \p 2 \n  \t  \l 3081 </w:instrText>
          </w:r>
          <w:r>
            <w:fldChar w:fldCharType="separate"/>
          </w:r>
          <w:r w:rsidR="00604A29">
            <w:rPr>
              <w:noProof/>
            </w:rPr>
            <w:t>(2019, p. 2)</w:t>
          </w:r>
          <w:r>
            <w:fldChar w:fldCharType="end"/>
          </w:r>
        </w:sdtContent>
      </w:sdt>
      <w:r>
        <w:t xml:space="preserve"> expressed concern that the imposition of a levy on bulk import tonnage would put domestic manufacturers at a competitive disadvantage </w:t>
      </w:r>
      <w:r w:rsidR="00CA204C">
        <w:t>relative to</w:t>
      </w:r>
      <w:r>
        <w:t xml:space="preserve"> imports of finished products arriving in containers:</w:t>
      </w:r>
    </w:p>
    <w:p w14:paraId="2DF1E0FA" w14:textId="77777777" w:rsidR="00076383" w:rsidRDefault="00076383" w:rsidP="00076383">
      <w:pPr>
        <w:pStyle w:val="Quote"/>
      </w:pPr>
      <w:r>
        <w:t>The imports are typically low value, low margin, products. Any volume based tax on bulk cargoes therefore results in a tax that is disproportionate to the value of the cargo. Under any such levy, bulk cargoes are taxed at a much higher percentage of value compared to a per-container charge such as that proposed for containerised imports. This discourages domestic manufacturing and encourages imports of finished goods.</w:t>
      </w:r>
    </w:p>
    <w:p w14:paraId="37475FA5" w14:textId="69D68C55" w:rsidR="00076383" w:rsidRDefault="00076383" w:rsidP="00076383">
      <w:r>
        <w:t xml:space="preserve">The fundamental problem with </w:t>
      </w:r>
      <w:r w:rsidR="00CA204C">
        <w:t>the original B</w:t>
      </w:r>
      <w:r w:rsidR="00CE5FF2">
        <w:t xml:space="preserve">udget proposal and the Department’s November 2018 </w:t>
      </w:r>
      <w:r w:rsidR="00D629D0">
        <w:t>position</w:t>
      </w:r>
      <w:r w:rsidR="00CE5FF2">
        <w:t xml:space="preserve"> </w:t>
      </w:r>
      <w:r>
        <w:t xml:space="preserve">is </w:t>
      </w:r>
      <w:r w:rsidR="00CA204C">
        <w:t>the</w:t>
      </w:r>
      <w:r>
        <w:t xml:space="preserve"> </w:t>
      </w:r>
      <w:r w:rsidR="00CA204C">
        <w:t>mismatch</w:t>
      </w:r>
      <w:r>
        <w:t xml:space="preserve"> between the source of the revenue and the biosecurity risk, violating the principles of horizontal and vertical equity.</w:t>
      </w:r>
    </w:p>
    <w:p w14:paraId="22D48BA3" w14:textId="40310708" w:rsidR="00147BD2" w:rsidRDefault="00A67640" w:rsidP="007F7C8B">
      <w:pPr>
        <w:rPr>
          <w:noProof/>
        </w:rPr>
      </w:pPr>
      <w:r>
        <w:t>Some bulk commodity imports</w:t>
      </w:r>
      <w:r w:rsidR="00CA204C">
        <w:t xml:space="preserve"> of an organic nature (</w:t>
      </w:r>
      <w:r w:rsidR="008015B5">
        <w:t>e.g.</w:t>
      </w:r>
      <w:r w:rsidR="00076383" w:rsidRPr="002B7C04">
        <w:t xml:space="preserve"> feed grain</w:t>
      </w:r>
      <w:r>
        <w:t xml:space="preserve"> which may</w:t>
      </w:r>
      <w:r w:rsidR="00CA204C">
        <w:t xml:space="preserve"> occasionally</w:t>
      </w:r>
      <w:r>
        <w:t xml:space="preserve"> be imported in a drought year</w:t>
      </w:r>
      <w:r w:rsidR="00076383" w:rsidRPr="002B7C04">
        <w:t>) may warrant the imposition of a levy</w:t>
      </w:r>
      <w:r w:rsidR="005D7BC9" w:rsidRPr="002B7C04">
        <w:t xml:space="preserve"> as the level of biosecurity risk they p</w:t>
      </w:r>
      <w:r w:rsidR="00E44BF7">
        <w:t>ose appears</w:t>
      </w:r>
      <w:r w:rsidR="005D7BC9" w:rsidRPr="002B7C04">
        <w:t xml:space="preserve"> much greater.</w:t>
      </w:r>
      <w:r w:rsidR="008B0366" w:rsidRPr="002B7C04">
        <w:t xml:space="preserve"> </w:t>
      </w:r>
      <w:r w:rsidR="007F7C8B" w:rsidRPr="002B7C04">
        <w:t>For</w:t>
      </w:r>
      <w:r w:rsidR="007F7C8B">
        <w:t xml:space="preserve"> example</w:t>
      </w:r>
      <w:r w:rsidR="00FE3741">
        <w:t>,</w:t>
      </w:r>
      <w:r w:rsidR="007F7C8B">
        <w:t xml:space="preserve"> a</w:t>
      </w:r>
      <w:r w:rsidR="00147BD2">
        <w:t xml:space="preserve"> </w:t>
      </w:r>
      <w:r w:rsidR="007F7C8B">
        <w:t>common</w:t>
      </w:r>
      <w:r w:rsidR="00147BD2">
        <w:t xml:space="preserve"> contaminant</w:t>
      </w:r>
      <w:r w:rsidR="007F7C8B">
        <w:t xml:space="preserve"> </w:t>
      </w:r>
      <w:r w:rsidR="00147BD2">
        <w:t>pathway is weed seed transported with international grain</w:t>
      </w:r>
      <w:r w:rsidR="007F7C8B">
        <w:t xml:space="preserve"> </w:t>
      </w:r>
      <w:r w:rsidR="00147BD2">
        <w:t>shipments and introduced into the wider environment</w:t>
      </w:r>
      <w:r w:rsidR="007F7C8B">
        <w:t xml:space="preserve"> </w:t>
      </w:r>
      <w:r w:rsidR="00147BD2">
        <w:t>through agricultural activities</w:t>
      </w:r>
      <w:r w:rsidR="00211859">
        <w:t xml:space="preserve"> </w:t>
      </w:r>
      <w:r w:rsidR="00FE3741" w:rsidRPr="0015770F">
        <w:t>(</w:t>
      </w:r>
      <w:r w:rsidR="00AA3F85" w:rsidRPr="0015770F">
        <w:t>Hulme, 2005</w:t>
      </w:r>
      <w:r w:rsidR="0098583E">
        <w:t>,</w:t>
      </w:r>
      <w:r w:rsidR="00AA3F85">
        <w:t xml:space="preserve"> as cited in </w:t>
      </w:r>
      <w:r w:rsidR="00AA3F85">
        <w:rPr>
          <w:noProof/>
        </w:rPr>
        <w:t xml:space="preserve">Hulme, et al., 2008, p. </w:t>
      </w:r>
      <w:r w:rsidR="00211859">
        <w:rPr>
          <w:noProof/>
        </w:rPr>
        <w:t>405</w:t>
      </w:r>
      <w:r w:rsidR="00AA3F85">
        <w:rPr>
          <w:noProof/>
        </w:rPr>
        <w:t>)</w:t>
      </w:r>
      <w:r w:rsidR="00211859">
        <w:rPr>
          <w:noProof/>
        </w:rPr>
        <w:t>.</w:t>
      </w:r>
      <w:r w:rsidR="0015770F">
        <w:rPr>
          <w:noProof/>
        </w:rPr>
        <w:t xml:space="preserve"> </w:t>
      </w:r>
    </w:p>
    <w:p w14:paraId="33E7950D" w14:textId="10693959" w:rsidR="00AC7AC1" w:rsidRDefault="00AC7AC1" w:rsidP="007F7C8B">
      <w:pPr>
        <w:rPr>
          <w:noProof/>
        </w:rPr>
      </w:pPr>
      <w:r>
        <w:rPr>
          <w:szCs w:val="48"/>
        </w:rPr>
        <w:t>Overall, the Committee supports the imposition of a levy on the importation of containers (both sea and air), break bulk items, and certain bulk items of an organic nature, which represent creators or exacerbators of biosecurity risk.</w:t>
      </w:r>
      <w:r w:rsidR="00A72C30">
        <w:rPr>
          <w:szCs w:val="48"/>
        </w:rPr>
        <w:t xml:space="preserve"> As previously discussed, t</w:t>
      </w:r>
      <w:r w:rsidR="00A72C30">
        <w:rPr>
          <w:szCs w:val="22"/>
        </w:rPr>
        <w:t>he Committee supports the imposition of a levy on cargo through the FID.</w:t>
      </w:r>
    </w:p>
    <w:p w14:paraId="4EC99EB2" w14:textId="44176AF2" w:rsidR="002E3D67" w:rsidRDefault="002E3D67" w:rsidP="002E3D67">
      <w:pPr>
        <w:pStyle w:val="Heading2"/>
      </w:pPr>
      <w:bookmarkStart w:id="36" w:name="_Toc10031900"/>
      <w:r>
        <w:t>7.4</w:t>
      </w:r>
      <w:r>
        <w:tab/>
      </w:r>
      <w:r w:rsidR="009476E5">
        <w:t>Risks Associated with</w:t>
      </w:r>
      <w:r>
        <w:t xml:space="preserve"> Vessels</w:t>
      </w:r>
      <w:bookmarkEnd w:id="36"/>
      <w:r>
        <w:t xml:space="preserve"> </w:t>
      </w:r>
    </w:p>
    <w:p w14:paraId="5C358B0C" w14:textId="71AD103B" w:rsidR="002F5482" w:rsidRDefault="002F5482" w:rsidP="002F5482">
      <w:r>
        <w:t>The IABR recognised</w:t>
      </w:r>
      <w:r w:rsidR="00164A8B">
        <w:t xml:space="preserve"> that</w:t>
      </w:r>
      <w:r>
        <w:t xml:space="preserve"> “vessels themselves also create biosecurity risks” </w:t>
      </w:r>
      <w:sdt>
        <w:sdtPr>
          <w:id w:val="-521467704"/>
          <w:citation/>
        </w:sdtPr>
        <w:sdtEndPr/>
        <w:sdtContent>
          <w:r>
            <w:fldChar w:fldCharType="begin"/>
          </w:r>
          <w:r>
            <w:instrText xml:space="preserve">CITATION Cra17 \p 121 \t  \l 3081 </w:instrText>
          </w:r>
          <w:r>
            <w:fldChar w:fldCharType="separate"/>
          </w:r>
          <w:r w:rsidR="00604A29">
            <w:rPr>
              <w:noProof/>
            </w:rPr>
            <w:t>(Craik, Palmer, &amp; Sheldrake, 2017, p. 121)</w:t>
          </w:r>
          <w:r>
            <w:fldChar w:fldCharType="end"/>
          </w:r>
        </w:sdtContent>
      </w:sdt>
      <w:r>
        <w:t xml:space="preserve">. </w:t>
      </w:r>
      <w:r w:rsidR="002E3D67">
        <w:t>On the face of it, this implies that a levy should</w:t>
      </w:r>
      <w:r w:rsidRPr="00FA7E43">
        <w:t xml:space="preserve"> apply </w:t>
      </w:r>
      <w:r>
        <w:t xml:space="preserve">to </w:t>
      </w:r>
      <w:r w:rsidRPr="00FA7E43">
        <w:t xml:space="preserve">vessels if </w:t>
      </w:r>
      <w:r w:rsidR="00164A8B">
        <w:t>the</w:t>
      </w:r>
      <w:r w:rsidRPr="00FA7E43">
        <w:t xml:space="preserve"> risk associated with their arrival</w:t>
      </w:r>
      <w:r>
        <w:t xml:space="preserve"> at the border</w:t>
      </w:r>
      <w:r w:rsidR="00164A8B">
        <w:t xml:space="preserve"> can be quantified</w:t>
      </w:r>
      <w:r w:rsidRPr="00FA7E43">
        <w:t>.</w:t>
      </w:r>
      <w:r>
        <w:t xml:space="preserve"> </w:t>
      </w:r>
    </w:p>
    <w:p w14:paraId="6F5A5E71" w14:textId="6D53082A" w:rsidR="00C6140B" w:rsidRDefault="00382855" w:rsidP="002F5482">
      <w:r>
        <w:t>T</w:t>
      </w:r>
      <w:r w:rsidR="002F5482">
        <w:t xml:space="preserve">he Committee </w:t>
      </w:r>
      <w:r>
        <w:t xml:space="preserve">has </w:t>
      </w:r>
      <w:r w:rsidR="002F5482">
        <w:t xml:space="preserve">not received convincing evidence as to the merits of imposing a levy based on gross </w:t>
      </w:r>
      <w:r w:rsidR="00E44BF7">
        <w:t xml:space="preserve">vessel </w:t>
      </w:r>
      <w:r w:rsidR="002F5482">
        <w:t>tonnage</w:t>
      </w:r>
      <w:r w:rsidR="00C6140B">
        <w:t>, as proposed by the Department in November 2018</w:t>
      </w:r>
      <w:r w:rsidR="002F5482">
        <w:t xml:space="preserve">. </w:t>
      </w:r>
    </w:p>
    <w:p w14:paraId="2E45CAE0" w14:textId="6772CE13" w:rsidR="00C6140B" w:rsidRDefault="00382855" w:rsidP="002F5482">
      <w:r>
        <w:t>It is less concerned</w:t>
      </w:r>
      <w:r w:rsidR="00164A8B">
        <w:t xml:space="preserve"> in principle</w:t>
      </w:r>
      <w:r>
        <w:t xml:space="preserve"> with the fact that a </w:t>
      </w:r>
      <w:r w:rsidR="00E44BF7">
        <w:t>levy</w:t>
      </w:r>
      <w:r>
        <w:t xml:space="preserve"> on vessels would </w:t>
      </w:r>
      <w:r w:rsidR="002E3D67">
        <w:t>extend to</w:t>
      </w:r>
      <w:r>
        <w:t xml:space="preserve"> vessels arriving in ballast to load export cargo</w:t>
      </w:r>
      <w:r w:rsidR="00903FB3">
        <w:t>: if vessels comprise biosecurity risk, this would include vessels arriving in order to load and carry exports</w:t>
      </w:r>
      <w:r>
        <w:t xml:space="preserve">. </w:t>
      </w:r>
    </w:p>
    <w:p w14:paraId="47839293" w14:textId="4684C306" w:rsidR="00382855" w:rsidRDefault="00382855" w:rsidP="002F5482">
      <w:r>
        <w:t xml:space="preserve">However, it notes that cruise shipping vessels – which generally have a high gross tonnage and make </w:t>
      </w:r>
      <w:r w:rsidR="002E3D67">
        <w:t>multiple</w:t>
      </w:r>
      <w:r>
        <w:t xml:space="preserve"> arrival calls</w:t>
      </w:r>
      <w:r w:rsidRPr="005D5BFB">
        <w:rPr>
          <w:rStyle w:val="FootnoteReference"/>
        </w:rPr>
        <w:t xml:space="preserve"> </w:t>
      </w:r>
      <w:r>
        <w:t>during a</w:t>
      </w:r>
      <w:r w:rsidR="002E3D67">
        <w:t>ny</w:t>
      </w:r>
      <w:r>
        <w:t xml:space="preserve"> 12 month period – would be disproportionately affected by such an impost. </w:t>
      </w:r>
    </w:p>
    <w:p w14:paraId="6048D9C5" w14:textId="713C0C7F" w:rsidR="001C1C85" w:rsidRDefault="00382855" w:rsidP="002F5482">
      <w:r>
        <w:t>C</w:t>
      </w:r>
      <w:r w:rsidR="002F5482">
        <w:t>oncerns</w:t>
      </w:r>
      <w:r>
        <w:t xml:space="preserve"> regarding a levy imposed on vessels</w:t>
      </w:r>
      <w:r w:rsidR="002F5482">
        <w:t xml:space="preserve"> were reflected in a number of submissions received by the Committee. </w:t>
      </w:r>
      <w:r w:rsidR="001C1C85">
        <w:t>According to Shipping Australia Ltd</w:t>
      </w:r>
      <w:r w:rsidR="006054A8">
        <w:t>, in an email to the Committee</w:t>
      </w:r>
      <w:r w:rsidR="001C1C85">
        <w:t>:</w:t>
      </w:r>
    </w:p>
    <w:p w14:paraId="0C5E4751" w14:textId="22188800" w:rsidR="001C1C85" w:rsidRDefault="001C1C85" w:rsidP="001C1C85">
      <w:pPr>
        <w:pStyle w:val="Quote"/>
      </w:pPr>
      <w:r>
        <w:t xml:space="preserve">… the ship already pays an arrival fee and directly covers the cost of managing its own risks via ballast water treatment systems and managing hull fouling. Also, the only reason a ship arrives is to carry cargo, thus the risk creator is the cargo interest. </w:t>
      </w:r>
    </w:p>
    <w:p w14:paraId="0D24304B" w14:textId="65D736CD" w:rsidR="002F5482" w:rsidRDefault="002F5482" w:rsidP="002F5482">
      <w:r>
        <w:t xml:space="preserve">According to the </w:t>
      </w:r>
      <w:r w:rsidRPr="008E381B">
        <w:rPr>
          <w:rFonts w:cstheme="minorHAnsi"/>
        </w:rPr>
        <w:t>Australia</w:t>
      </w:r>
      <w:r>
        <w:rPr>
          <w:rFonts w:cstheme="minorHAnsi"/>
        </w:rPr>
        <w:t>n</w:t>
      </w:r>
      <w:r w:rsidRPr="008E381B">
        <w:rPr>
          <w:rFonts w:cstheme="minorHAnsi"/>
        </w:rPr>
        <w:t xml:space="preserve"> Aluminium</w:t>
      </w:r>
      <w:r>
        <w:rPr>
          <w:rFonts w:cstheme="minorHAnsi"/>
        </w:rPr>
        <w:t xml:space="preserve"> Council</w:t>
      </w:r>
      <w:r>
        <w:t xml:space="preserve"> </w:t>
      </w:r>
      <w:sdt>
        <w:sdtPr>
          <w:id w:val="585660065"/>
          <w:citation/>
        </w:sdtPr>
        <w:sdtEndPr/>
        <w:sdtContent>
          <w:r>
            <w:fldChar w:fldCharType="begin"/>
          </w:r>
          <w:r>
            <w:instrText xml:space="preserve">CITATION Sub19 \n  \t  \l 3081 </w:instrText>
          </w:r>
          <w:r>
            <w:fldChar w:fldCharType="separate"/>
          </w:r>
          <w:r w:rsidR="00604A29">
            <w:rPr>
              <w:noProof/>
            </w:rPr>
            <w:t>(2019)</w:t>
          </w:r>
          <w:r>
            <w:fldChar w:fldCharType="end"/>
          </w:r>
        </w:sdtContent>
      </w:sdt>
      <w:r>
        <w:t>:</w:t>
      </w:r>
    </w:p>
    <w:p w14:paraId="405D540F" w14:textId="77777777" w:rsidR="002F5482" w:rsidRDefault="002F5482" w:rsidP="002F5482">
      <w:pPr>
        <w:pStyle w:val="Quote"/>
      </w:pPr>
      <w:r>
        <w:t>… an incoming vessel should face at most a modest charge in proportion to the modest risk posed by vessels (ballast water, hulls, kitchens, etc.)</w:t>
      </w:r>
    </w:p>
    <w:p w14:paraId="576EA0BC" w14:textId="38A0CC50" w:rsidR="002F5482" w:rsidRDefault="002F5482" w:rsidP="002F5482">
      <w:r>
        <w:t xml:space="preserve">According to Llew Russell </w:t>
      </w:r>
      <w:sdt>
        <w:sdtPr>
          <w:id w:val="1422536324"/>
          <w:citation/>
        </w:sdtPr>
        <w:sdtEndPr/>
        <w:sdtContent>
          <w:r>
            <w:fldChar w:fldCharType="begin"/>
          </w:r>
          <w:r>
            <w:instrText xml:space="preserve">CITATION Rus19 \p 7 \n  \t  \l 3081 </w:instrText>
          </w:r>
          <w:r>
            <w:fldChar w:fldCharType="separate"/>
          </w:r>
          <w:r w:rsidR="00604A29">
            <w:rPr>
              <w:noProof/>
            </w:rPr>
            <w:t>(2019, p. 7)</w:t>
          </w:r>
          <w:r>
            <w:fldChar w:fldCharType="end"/>
          </w:r>
        </w:sdtContent>
      </w:sdt>
      <w:r>
        <w:t>, a former Chief Executive Officer of Shipping Australia:</w:t>
      </w:r>
    </w:p>
    <w:p w14:paraId="4A192B9B" w14:textId="77777777" w:rsidR="002F5482" w:rsidRDefault="002F5482" w:rsidP="002F5482">
      <w:pPr>
        <w:pStyle w:val="Quote"/>
      </w:pPr>
      <w:r>
        <w:t>I do not agree that there should be a vessel tonnage levy over and above the existing levy, because biosecurity risk is not related to vessel size. Factors such as the speed and type of vessel, port of loading and climate zones traversed, and cargo carried are all much more relevant in assessing biosecurity risk. There is also the very real likelihood of cascading effects in terms of collecting any such levy.</w:t>
      </w:r>
    </w:p>
    <w:p w14:paraId="42AAB4F2" w14:textId="67F66AC7" w:rsidR="002F5482" w:rsidRDefault="002F5482" w:rsidP="002F5482">
      <w:r>
        <w:t xml:space="preserve">Similarly, Glencore </w:t>
      </w:r>
      <w:sdt>
        <w:sdtPr>
          <w:id w:val="-1125923908"/>
          <w:citation/>
        </w:sdtPr>
        <w:sdtEndPr/>
        <w:sdtContent>
          <w:r>
            <w:fldChar w:fldCharType="begin"/>
          </w:r>
          <w:r>
            <w:instrText xml:space="preserve">CITATION Gle19 \p 6 \n  \t  \l 3081 </w:instrText>
          </w:r>
          <w:r>
            <w:fldChar w:fldCharType="separate"/>
          </w:r>
          <w:r w:rsidR="00604A29">
            <w:rPr>
              <w:noProof/>
            </w:rPr>
            <w:t>(2019, p. 6)</w:t>
          </w:r>
          <w:r>
            <w:fldChar w:fldCharType="end"/>
          </w:r>
        </w:sdtContent>
      </w:sdt>
      <w:r>
        <w:t xml:space="preserve"> observed:</w:t>
      </w:r>
    </w:p>
    <w:p w14:paraId="29EC8760" w14:textId="77777777" w:rsidR="002F5482" w:rsidRPr="00913B4B" w:rsidRDefault="002F5482" w:rsidP="002F5482">
      <w:pPr>
        <w:pStyle w:val="Quote"/>
      </w:pPr>
      <w:r w:rsidRPr="00913B4B">
        <w:t xml:space="preserve">Vessel tonnage levy does not relate to whether there is a likelihood of a threat or not. A vessel can be full e.g. fertiliser and not have any biosecurity risks and on the other hand, it can be empty and have a threat in the hull or in the vessel. </w:t>
      </w:r>
    </w:p>
    <w:p w14:paraId="72123115" w14:textId="2CE16A6B" w:rsidR="002F5482" w:rsidRDefault="002F5482" w:rsidP="002F5482">
      <w:r>
        <w:t xml:space="preserve">Roughly 18,000 vessels arrive in Australia annually, according to analysis conducted by the Committee. Over 70 per cent of cargo ships visiting Australia are bulk carriers, predominantly to transport Australian bulk commodity exports – such as iron ore, coal and grain – to overseas customers. </w:t>
      </w:r>
      <w:r w:rsidR="00C6140B">
        <w:t>There are a wide range of other vessel types, from container ships, Roll-on Roll-off vessels, specialised vessels for chemicals, petroleum or gaseous products and vehicles, to break-bulk ships, tankers and livestock carriers.</w:t>
      </w:r>
    </w:p>
    <w:p w14:paraId="4BE9B239" w14:textId="0935521A" w:rsidR="002E3D67" w:rsidRDefault="002E3D67" w:rsidP="002F5482">
      <w:r>
        <w:t>A number of vessel arrivals comprise private yachts. Several submissions to the Committee argued that private yachts entail potential biosecurity risks and therefore should be subject to a levy. However, from the sketchy data available to the Committe</w:t>
      </w:r>
      <w:r w:rsidR="006054A8">
        <w:t>e, the number of such vessels appears to be</w:t>
      </w:r>
      <w:r>
        <w:t xml:space="preserve"> relatively low and so the revenue likely to be collected from them would</w:t>
      </w:r>
      <w:r w:rsidR="006054A8">
        <w:t>,</w:t>
      </w:r>
      <w:r>
        <w:t xml:space="preserve"> </w:t>
      </w:r>
      <w:r w:rsidR="008015B5">
        <w:t>as a consequence</w:t>
      </w:r>
      <w:r w:rsidR="006054A8">
        <w:t>,</w:t>
      </w:r>
      <w:r w:rsidR="008015B5">
        <w:t xml:space="preserve"> </w:t>
      </w:r>
      <w:r>
        <w:t>also be low.</w:t>
      </w:r>
      <w:r w:rsidR="00C6140B">
        <w:t xml:space="preserve"> Dealing with their biosecurity risk status would better be done via cost recovery charges</w:t>
      </w:r>
      <w:r w:rsidR="00E44BF7">
        <w:t xml:space="preserve"> of the type already operating</w:t>
      </w:r>
      <w:r w:rsidR="006054A8">
        <w:t>, even though there can be a challenge when such vessels arrive at non-mainstream, and potentially quite remote, ports where inspection staff may not be present</w:t>
      </w:r>
      <w:r w:rsidR="00C6140B">
        <w:t>.</w:t>
      </w:r>
    </w:p>
    <w:p w14:paraId="3EF1F036" w14:textId="37DCFC09" w:rsidR="002F5482" w:rsidRDefault="002F5482" w:rsidP="002F5482">
      <w:pPr>
        <w:rPr>
          <w:shd w:val="clear" w:color="auto" w:fill="FFFFFF"/>
        </w:rPr>
      </w:pPr>
      <w:r>
        <w:t xml:space="preserve">Ship owners and operators incur costs arising from the installation of ballast water treatment systems pursuant to </w:t>
      </w:r>
      <w:r w:rsidRPr="00E96F84">
        <w:t>the International Maritime Organization</w:t>
      </w:r>
      <w:r>
        <w:t>’s International Convention for the Control and Management of Ships' Ballast Water and Sediments (Ballast Water Convention) in September 2017. Also i</w:t>
      </w:r>
      <w:r>
        <w:rPr>
          <w:shd w:val="clear" w:color="auto" w:fill="FFFFFF"/>
        </w:rPr>
        <w:t xml:space="preserve">ncluded in the vessel operator charge is $110 which subsidises the management of domestic ballast water, even though very few vessels transfer ballast water domestically </w:t>
      </w:r>
      <w:sdt>
        <w:sdtPr>
          <w:rPr>
            <w:shd w:val="clear" w:color="auto" w:fill="FFFFFF"/>
          </w:rPr>
          <w:id w:val="1605455474"/>
          <w:citation/>
        </w:sdtPr>
        <w:sdtEndPr/>
        <w:sdtContent>
          <w:r>
            <w:rPr>
              <w:shd w:val="clear" w:color="auto" w:fill="FFFFFF"/>
            </w:rPr>
            <w:fldChar w:fldCharType="begin"/>
          </w:r>
          <w:r>
            <w:rPr>
              <w:shd w:val="clear" w:color="auto" w:fill="FFFFFF"/>
            </w:rPr>
            <w:instrText xml:space="preserve"> CITATION Shi19 \l 3081 </w:instrText>
          </w:r>
          <w:r>
            <w:rPr>
              <w:shd w:val="clear" w:color="auto" w:fill="FFFFFF"/>
            </w:rPr>
            <w:fldChar w:fldCharType="separate"/>
          </w:r>
          <w:r w:rsidR="00604A29" w:rsidRPr="00604A29">
            <w:rPr>
              <w:noProof/>
              <w:shd w:val="clear" w:color="auto" w:fill="FFFFFF"/>
            </w:rPr>
            <w:t>(Shipping Australia, 2019)</w:t>
          </w:r>
          <w:r>
            <w:rPr>
              <w:shd w:val="clear" w:color="auto" w:fill="FFFFFF"/>
            </w:rPr>
            <w:fldChar w:fldCharType="end"/>
          </w:r>
        </w:sdtContent>
      </w:sdt>
      <w:r>
        <w:rPr>
          <w:shd w:val="clear" w:color="auto" w:fill="FFFFFF"/>
        </w:rPr>
        <w:t>.</w:t>
      </w:r>
    </w:p>
    <w:p w14:paraId="59AE09DE" w14:textId="554D3AC7" w:rsidR="002F5482" w:rsidRDefault="002F5482" w:rsidP="002F5482">
      <w:r>
        <w:t xml:space="preserve">The Department </w:t>
      </w:r>
      <w:sdt>
        <w:sdtPr>
          <w:id w:val="-866451872"/>
          <w:citation/>
        </w:sdtPr>
        <w:sdtEndPr/>
        <w:sdtContent>
          <w:r>
            <w:fldChar w:fldCharType="begin"/>
          </w:r>
          <w:r>
            <w:instrText xml:space="preserve">CITATION Dep191 \n  \t  \l 3081 </w:instrText>
          </w:r>
          <w:r>
            <w:fldChar w:fldCharType="separate"/>
          </w:r>
          <w:r w:rsidR="00604A29">
            <w:rPr>
              <w:noProof/>
            </w:rPr>
            <w:t>(2019)</w:t>
          </w:r>
          <w:r>
            <w:fldChar w:fldCharType="end"/>
          </w:r>
        </w:sdtContent>
      </w:sdt>
      <w:r>
        <w:t xml:space="preserve"> released a consultation regulation impact statement in April 2019 </w:t>
      </w:r>
      <w:r>
        <w:rPr>
          <w:szCs w:val="22"/>
        </w:rPr>
        <w:t xml:space="preserve">to address biosecurity risks associated with biological growth (biofouling) on vessels arriving into Australian territory. Under the preferred policy option put forward by the Department </w:t>
      </w:r>
      <w:sdt>
        <w:sdtPr>
          <w:rPr>
            <w:szCs w:val="22"/>
          </w:rPr>
          <w:id w:val="617497655"/>
          <w:citation/>
        </w:sdtPr>
        <w:sdtEndPr/>
        <w:sdtContent>
          <w:r>
            <w:rPr>
              <w:szCs w:val="22"/>
            </w:rPr>
            <w:fldChar w:fldCharType="begin"/>
          </w:r>
          <w:r>
            <w:rPr>
              <w:szCs w:val="22"/>
            </w:rPr>
            <w:instrText xml:space="preserve">CITATION Dep191 \p vi \n  \t  \l 3081 </w:instrText>
          </w:r>
          <w:r>
            <w:rPr>
              <w:szCs w:val="22"/>
            </w:rPr>
            <w:fldChar w:fldCharType="separate"/>
          </w:r>
          <w:r w:rsidR="00604A29" w:rsidRPr="00604A29">
            <w:rPr>
              <w:noProof/>
              <w:szCs w:val="22"/>
            </w:rPr>
            <w:t>(2019, p. vi)</w:t>
          </w:r>
          <w:r>
            <w:rPr>
              <w:szCs w:val="22"/>
            </w:rPr>
            <w:fldChar w:fldCharType="end"/>
          </w:r>
        </w:sdtContent>
      </w:sdt>
      <w:r>
        <w:rPr>
          <w:szCs w:val="22"/>
        </w:rPr>
        <w:t xml:space="preserve">, </w:t>
      </w:r>
      <w:r w:rsidRPr="00E96F84">
        <w:t xml:space="preserve">vessels </w:t>
      </w:r>
      <w:r>
        <w:t xml:space="preserve">will be required </w:t>
      </w:r>
      <w:r w:rsidRPr="00E96F84">
        <w:t>to implement effective</w:t>
      </w:r>
      <w:r>
        <w:t>,</w:t>
      </w:r>
      <w:r w:rsidRPr="00E96F84">
        <w:t xml:space="preserve"> vessel-specific biofouling management practices consistent with the direction set by the International Maritime Organization</w:t>
      </w:r>
      <w:r>
        <w:t xml:space="preserve">. </w:t>
      </w:r>
    </w:p>
    <w:p w14:paraId="0550773B" w14:textId="77777777" w:rsidR="00C00057" w:rsidRDefault="00C6140B" w:rsidP="00452A59">
      <w:r>
        <w:t>I</w:t>
      </w:r>
      <w:r w:rsidR="00452A59">
        <w:t>f a biosecurity levy were to be imposed</w:t>
      </w:r>
      <w:r w:rsidRPr="00C6140B">
        <w:t xml:space="preserve"> </w:t>
      </w:r>
      <w:r>
        <w:t>on vessels</w:t>
      </w:r>
      <w:r w:rsidR="00452A59">
        <w:t>, it should be through the MARS</w:t>
      </w:r>
      <w:r w:rsidR="00C00057">
        <w:t>, given that vessels generally transact with the biosecurity agency through the MARS and not the FID</w:t>
      </w:r>
      <w:r w:rsidR="00452A59">
        <w:t>.</w:t>
      </w:r>
      <w:r>
        <w:t xml:space="preserve"> </w:t>
      </w:r>
    </w:p>
    <w:p w14:paraId="1E784669" w14:textId="009369FD" w:rsidR="00C6140B" w:rsidRDefault="00452A59" w:rsidP="00452A59">
      <w:r>
        <w:t xml:space="preserve">However, in practice the Committee is not attracted to a levy on the arrival of a shipping vessel. </w:t>
      </w:r>
    </w:p>
    <w:p w14:paraId="3D63B97F" w14:textId="0235A7B8" w:rsidR="00912441" w:rsidRDefault="00C00057" w:rsidP="00452A59">
      <w:pPr>
        <w:rPr>
          <w:noProof/>
          <w:szCs w:val="22"/>
        </w:rPr>
      </w:pPr>
      <w:r>
        <w:t xml:space="preserve">First, as noted in section 6.1, vessels already pay </w:t>
      </w:r>
      <w:r>
        <w:rPr>
          <w:szCs w:val="22"/>
        </w:rPr>
        <w:t>a biosecurity-related (cost recovery) vessel operator charge on arrival</w:t>
      </w:r>
      <w:r w:rsidR="00912441">
        <w:rPr>
          <w:szCs w:val="22"/>
        </w:rPr>
        <w:t xml:space="preserve">. This charge is </w:t>
      </w:r>
      <w:r>
        <w:t>$920 for vessels over 25 metres and $100 for vessels under 25 metres</w:t>
      </w:r>
      <w:r w:rsidR="000A19A8">
        <w:t>. It</w:t>
      </w:r>
      <w:r w:rsidR="000A19A8">
        <w:rPr>
          <w:szCs w:val="22"/>
        </w:rPr>
        <w:t xml:space="preserve"> recovers the cost of activities that support the management of biosecurity risks </w:t>
      </w:r>
      <w:sdt>
        <w:sdtPr>
          <w:rPr>
            <w:szCs w:val="22"/>
          </w:rPr>
          <w:id w:val="-1452703730"/>
          <w:citation/>
        </w:sdtPr>
        <w:sdtEndPr/>
        <w:sdtContent>
          <w:r w:rsidR="000A19A8">
            <w:rPr>
              <w:szCs w:val="22"/>
            </w:rPr>
            <w:fldChar w:fldCharType="begin"/>
          </w:r>
          <w:r w:rsidR="000A19A8">
            <w:rPr>
              <w:szCs w:val="22"/>
            </w:rPr>
            <w:instrText xml:space="preserve">CITATION Dep17 \p 32 \t  \l 3081 </w:instrText>
          </w:r>
          <w:r w:rsidR="000A19A8">
            <w:rPr>
              <w:szCs w:val="22"/>
            </w:rPr>
            <w:fldChar w:fldCharType="separate"/>
          </w:r>
          <w:r w:rsidR="00604A29" w:rsidRPr="00604A29">
            <w:rPr>
              <w:noProof/>
              <w:szCs w:val="22"/>
            </w:rPr>
            <w:t>(Department of Agriculture and Water Resources, 2017, p. 32)</w:t>
          </w:r>
          <w:r w:rsidR="000A19A8">
            <w:rPr>
              <w:szCs w:val="22"/>
            </w:rPr>
            <w:fldChar w:fldCharType="end"/>
          </w:r>
        </w:sdtContent>
      </w:sdt>
      <w:r w:rsidR="000A19A8">
        <w:rPr>
          <w:noProof/>
          <w:szCs w:val="22"/>
        </w:rPr>
        <w:t xml:space="preserve">. In addition, </w:t>
      </w:r>
      <w:r w:rsidR="000A19A8">
        <w:t>in-office and out-of-offic</w:t>
      </w:r>
      <w:r w:rsidR="00E44BF7">
        <w:t>e fees apply to the various fee-</w:t>
      </w:r>
      <w:r w:rsidR="000A19A8">
        <w:t>bearing activities provided to individual clients associated with vessel entries and inspections, such as assessment of documents in relation to a pre-arrival report and ballast water assessment and are ti</w:t>
      </w:r>
      <w:r w:rsidR="00912441">
        <w:t>me-based charge</w:t>
      </w:r>
      <w:r w:rsidR="000A19A8">
        <w:t>s</w:t>
      </w:r>
      <w:r w:rsidR="00912441">
        <w:t xml:space="preserve"> for involvement of biosecurity staff</w:t>
      </w:r>
      <w:r w:rsidR="000A19A8">
        <w:t>.</w:t>
      </w:r>
    </w:p>
    <w:p w14:paraId="0C51933F" w14:textId="340AB607" w:rsidR="00452A59" w:rsidRPr="00C00057" w:rsidRDefault="00C00057" w:rsidP="00452A59">
      <w:r>
        <w:rPr>
          <w:noProof/>
          <w:szCs w:val="22"/>
        </w:rPr>
        <w:t>Th</w:t>
      </w:r>
      <w:r w:rsidR="000A19A8">
        <w:rPr>
          <w:noProof/>
          <w:szCs w:val="22"/>
        </w:rPr>
        <w:t>ese</w:t>
      </w:r>
      <w:r>
        <w:rPr>
          <w:noProof/>
          <w:szCs w:val="22"/>
        </w:rPr>
        <w:t xml:space="preserve"> charge</w:t>
      </w:r>
      <w:r w:rsidR="000A19A8">
        <w:rPr>
          <w:noProof/>
          <w:szCs w:val="22"/>
        </w:rPr>
        <w:t>s</w:t>
      </w:r>
      <w:r>
        <w:rPr>
          <w:noProof/>
          <w:szCs w:val="22"/>
        </w:rPr>
        <w:t xml:space="preserve"> </w:t>
      </w:r>
      <w:r w:rsidR="000A19A8">
        <w:rPr>
          <w:noProof/>
          <w:szCs w:val="22"/>
        </w:rPr>
        <w:t>are</w:t>
      </w:r>
      <w:r>
        <w:rPr>
          <w:noProof/>
          <w:szCs w:val="22"/>
        </w:rPr>
        <w:t xml:space="preserve"> applied through </w:t>
      </w:r>
      <w:r>
        <w:t>the MARS</w:t>
      </w:r>
      <w:r>
        <w:rPr>
          <w:szCs w:val="22"/>
        </w:rPr>
        <w:t xml:space="preserve">. Adding a (non-cost recovery) levy </w:t>
      </w:r>
      <w:r w:rsidR="00912441">
        <w:rPr>
          <w:szCs w:val="22"/>
        </w:rPr>
        <w:t>c</w:t>
      </w:r>
      <w:r>
        <w:rPr>
          <w:szCs w:val="22"/>
        </w:rPr>
        <w:t xml:space="preserve">ould </w:t>
      </w:r>
      <w:r w:rsidR="00912441">
        <w:rPr>
          <w:szCs w:val="22"/>
        </w:rPr>
        <w:t>pose</w:t>
      </w:r>
      <w:r>
        <w:rPr>
          <w:szCs w:val="22"/>
        </w:rPr>
        <w:t xml:space="preserve"> </w:t>
      </w:r>
      <w:r w:rsidR="000A19A8">
        <w:rPr>
          <w:szCs w:val="22"/>
        </w:rPr>
        <w:t>legal</w:t>
      </w:r>
      <w:r>
        <w:rPr>
          <w:szCs w:val="22"/>
        </w:rPr>
        <w:t xml:space="preserve"> issues, although </w:t>
      </w:r>
      <w:r w:rsidR="000A19A8">
        <w:rPr>
          <w:szCs w:val="22"/>
        </w:rPr>
        <w:t>they may not prove to be insurmountable</w:t>
      </w:r>
      <w:r w:rsidR="00452A59">
        <w:rPr>
          <w:szCs w:val="22"/>
        </w:rPr>
        <w:t>.</w:t>
      </w:r>
      <w:r w:rsidR="00452A59" w:rsidRPr="00C962D5">
        <w:t xml:space="preserve"> </w:t>
      </w:r>
      <w:r w:rsidR="00452A59">
        <w:t xml:space="preserve">Any additional unrecovered biosecurity costs relating to vessels could </w:t>
      </w:r>
      <w:r w:rsidR="00E44BF7">
        <w:t xml:space="preserve">and should </w:t>
      </w:r>
      <w:r w:rsidR="00452A59">
        <w:t>be met by increasing the existing charge</w:t>
      </w:r>
      <w:r w:rsidR="000A19A8">
        <w:t>s</w:t>
      </w:r>
      <w:r w:rsidR="00912441">
        <w:t>.</w:t>
      </w:r>
      <w:r>
        <w:t xml:space="preserve"> </w:t>
      </w:r>
      <w:r w:rsidR="00912441">
        <w:t>T</w:t>
      </w:r>
      <w:r>
        <w:t xml:space="preserve">here was support among potential payers of a vessel levy for this approach, </w:t>
      </w:r>
      <w:r w:rsidR="00912441">
        <w:t>especially</w:t>
      </w:r>
      <w:r>
        <w:t xml:space="preserve"> in preference to a gross </w:t>
      </w:r>
      <w:r w:rsidR="00E44BF7">
        <w:t xml:space="preserve">vessel </w:t>
      </w:r>
      <w:r>
        <w:t>tonnage levy</w:t>
      </w:r>
      <w:r w:rsidR="00452A59">
        <w:t>.</w:t>
      </w:r>
    </w:p>
    <w:p w14:paraId="308A7EA0" w14:textId="173F7E97" w:rsidR="00452A59" w:rsidRDefault="00E44BF7" w:rsidP="00452A59">
      <w:pPr>
        <w:tabs>
          <w:tab w:val="left" w:pos="1935"/>
        </w:tabs>
      </w:pPr>
      <w:r>
        <w:t>Second, the Committee agrees with concerns</w:t>
      </w:r>
      <w:r w:rsidR="00452A59">
        <w:t xml:space="preserve"> that any additional impost on vessels could cascade through the supply chain. The Pegasus </w:t>
      </w:r>
      <w:r w:rsidR="0016665E">
        <w:t>R</w:t>
      </w:r>
      <w:r w:rsidR="00452A59">
        <w:t xml:space="preserve">eport noted stakeholder concerns that shipping </w:t>
      </w:r>
      <w:r w:rsidR="00912441">
        <w:t>company</w:t>
      </w:r>
      <w:r w:rsidR="00452A59">
        <w:t xml:space="preserve"> pricing structures are not always transparent, and as such they could attempt to pass through more than just the levy and a reasonable administration fee </w:t>
      </w:r>
      <w:sdt>
        <w:sdtPr>
          <w:id w:val="692959364"/>
          <w:citation/>
        </w:sdtPr>
        <w:sdtEndPr/>
        <w:sdtContent>
          <w:r w:rsidR="00452A59">
            <w:fldChar w:fldCharType="begin"/>
          </w:r>
          <w:r w:rsidR="00452A59">
            <w:instrText xml:space="preserve">CITATION Fis19 \p 11-12 \t  \l 3081 </w:instrText>
          </w:r>
          <w:r w:rsidR="00452A59">
            <w:fldChar w:fldCharType="separate"/>
          </w:r>
          <w:r w:rsidR="00604A29">
            <w:rPr>
              <w:noProof/>
            </w:rPr>
            <w:t>(Fisher &amp; Davey, 2019, pp. 11-12)</w:t>
          </w:r>
          <w:r w:rsidR="00452A59">
            <w:fldChar w:fldCharType="end"/>
          </w:r>
        </w:sdtContent>
      </w:sdt>
      <w:r w:rsidR="00452A59">
        <w:t xml:space="preserve">. In this regard, the Australian Competition and Consumer Commission </w:t>
      </w:r>
      <w:sdt>
        <w:sdtPr>
          <w:id w:val="-966197138"/>
          <w:citation/>
        </w:sdtPr>
        <w:sdtEndPr/>
        <w:sdtContent>
          <w:r w:rsidR="00452A59">
            <w:fldChar w:fldCharType="begin"/>
          </w:r>
          <w:r w:rsidR="00452A59">
            <w:instrText xml:space="preserve">CITATION Aus185 \p 24n \n  \t  \l 3081 </w:instrText>
          </w:r>
          <w:r w:rsidR="00452A59">
            <w:fldChar w:fldCharType="separate"/>
          </w:r>
          <w:r w:rsidR="00604A29">
            <w:rPr>
              <w:noProof/>
            </w:rPr>
            <w:t>(2018, p. 24n)</w:t>
          </w:r>
          <w:r w:rsidR="00452A59">
            <w:fldChar w:fldCharType="end"/>
          </w:r>
        </w:sdtContent>
      </w:sdt>
      <w:r w:rsidR="00452A59">
        <w:t xml:space="preserve"> has previously warned, in relation to the terminal handling charges levied by shipping lines:</w:t>
      </w:r>
    </w:p>
    <w:p w14:paraId="43902120" w14:textId="7F36C159" w:rsidR="00452A59" w:rsidRDefault="00452A59" w:rsidP="00912441">
      <w:pPr>
        <w:ind w:left="720"/>
        <w:rPr>
          <w:i/>
          <w:color w:val="0070C0"/>
        </w:rPr>
      </w:pPr>
      <w:r w:rsidRPr="00912441">
        <w:rPr>
          <w:i/>
          <w:color w:val="0070C0"/>
        </w:rPr>
        <w:t>Terminal handling charges (THCs) are ancillary charges collected by shipping lines from cargo owners to recover the cost of paying the stevedores for the loading or unloading of containers and other port-related costs incurred at the port of origin or destination. We understand that there is no consistent manner in which shipping lines calculate THCs and we have observed very large variances in THCs charged by different shipping lines calling at similar ports and similar stevedores.</w:t>
      </w:r>
    </w:p>
    <w:p w14:paraId="72A46332" w14:textId="2567727E" w:rsidR="00AC7AC1" w:rsidRPr="00912441" w:rsidRDefault="00AC7AC1" w:rsidP="00BD287A">
      <w:r>
        <w:t xml:space="preserve">On balance, a new levy should not be applied to the arrival of shipping vessels, given that vessels already pay a biosecurity-related (cost recovery) vessel operator charge (plus associated in-office and out-of-office fees) </w:t>
      </w:r>
      <w:r>
        <w:rPr>
          <w:noProof/>
        </w:rPr>
        <w:t xml:space="preserve">through </w:t>
      </w:r>
      <w:r>
        <w:t xml:space="preserve">the </w:t>
      </w:r>
      <w:r w:rsidRPr="00780C20">
        <w:t>Maritime Arrivals Reporting System</w:t>
      </w:r>
      <w:r>
        <w:t>.</w:t>
      </w:r>
      <w:r w:rsidRPr="004705AD">
        <w:t xml:space="preserve"> </w:t>
      </w:r>
      <w:r>
        <w:t>Any additional unrecovered biosecurity costs relating to vessels should be met by increasing the existing charge</w:t>
      </w:r>
      <w:r w:rsidR="00A72C30">
        <w:t xml:space="preserve">. </w:t>
      </w:r>
    </w:p>
    <w:p w14:paraId="147893E9" w14:textId="41207181" w:rsidR="009476E5" w:rsidRDefault="009476E5" w:rsidP="009476E5">
      <w:pPr>
        <w:pStyle w:val="Heading2"/>
      </w:pPr>
      <w:bookmarkStart w:id="37" w:name="_Toc10031901"/>
      <w:r>
        <w:t>7.5</w:t>
      </w:r>
      <w:r>
        <w:tab/>
        <w:t>A Risk of Moral Hazard</w:t>
      </w:r>
      <w:bookmarkEnd w:id="37"/>
    </w:p>
    <w:p w14:paraId="1042DE91" w14:textId="733EA63F" w:rsidR="00A560EA" w:rsidRDefault="00A560EA" w:rsidP="00A560EA">
      <w:r>
        <w:t xml:space="preserve">The Committee has </w:t>
      </w:r>
      <w:r w:rsidR="0091778B">
        <w:t xml:space="preserve">examined </w:t>
      </w:r>
      <w:r w:rsidR="00B06A04">
        <w:t xml:space="preserve">several </w:t>
      </w:r>
      <w:r w:rsidR="0091778B">
        <w:t xml:space="preserve">options to </w:t>
      </w:r>
      <w:r>
        <w:t xml:space="preserve">impose a </w:t>
      </w:r>
      <w:r w:rsidR="009476E5">
        <w:t>levy</w:t>
      </w:r>
      <w:r>
        <w:t xml:space="preserve"> on each individual FID</w:t>
      </w:r>
      <w:r w:rsidR="00C421AA">
        <w:t>, both sea FIDs and air FIDs</w:t>
      </w:r>
      <w:r>
        <w:t>.</w:t>
      </w:r>
      <w:r w:rsidR="0091778B">
        <w:t xml:space="preserve"> </w:t>
      </w:r>
      <w:r w:rsidR="00B06A04">
        <w:t>These</w:t>
      </w:r>
      <w:r w:rsidR="0091778B">
        <w:t xml:space="preserve"> options </w:t>
      </w:r>
      <w:r>
        <w:t>have a number of advantages. First, the</w:t>
      </w:r>
      <w:r w:rsidR="00B06A04">
        <w:t xml:space="preserve">y </w:t>
      </w:r>
      <w:r>
        <w:t>are relatively simple</w:t>
      </w:r>
      <w:r w:rsidR="00B06A04">
        <w:t xml:space="preserve"> and involve an existing collection mechanism</w:t>
      </w:r>
      <w:r w:rsidR="00C421AA">
        <w:t>, the software of which can be readily amended for the purpose</w:t>
      </w:r>
      <w:r>
        <w:t>. Second, they</w:t>
      </w:r>
      <w:r w:rsidR="00B06A04">
        <w:t xml:space="preserve"> are consistent with the second-</w:t>
      </w:r>
      <w:r>
        <w:t>best proposal put forward by the IABR:</w:t>
      </w:r>
    </w:p>
    <w:p w14:paraId="70610F0E" w14:textId="0B68BBCA" w:rsidR="00A560EA" w:rsidRDefault="00A560EA" w:rsidP="00A560EA">
      <w:pPr>
        <w:pStyle w:val="Quote"/>
      </w:pPr>
      <w:r>
        <w:t xml:space="preserve">If a container levy (sea and air) is considered unacceptable, given a levy was removed in the 2015 cost recovery review, an alternative would be to supplement the charge on Full Import Declarations (FIDs) with a levy to collect a similar amount to the proposed container charge. </w:t>
      </w:r>
      <w:sdt>
        <w:sdtPr>
          <w:id w:val="1598209848"/>
          <w:citation/>
        </w:sdtPr>
        <w:sdtEndPr/>
        <w:sdtContent>
          <w:r>
            <w:fldChar w:fldCharType="begin"/>
          </w:r>
          <w:r>
            <w:instrText xml:space="preserve">CITATION Cra17 \p 121 \t  \l 3081 </w:instrText>
          </w:r>
          <w:r>
            <w:fldChar w:fldCharType="separate"/>
          </w:r>
          <w:r w:rsidR="00604A29">
            <w:rPr>
              <w:noProof/>
            </w:rPr>
            <w:t>(Craik, Palmer, &amp; Sheldrake, 2017, p. 121)</w:t>
          </w:r>
          <w:r>
            <w:fldChar w:fldCharType="end"/>
          </w:r>
        </w:sdtContent>
      </w:sdt>
    </w:p>
    <w:p w14:paraId="123889B7" w14:textId="11F01F35" w:rsidR="005A11C8" w:rsidRDefault="00A560EA" w:rsidP="00A560EA">
      <w:r>
        <w:t xml:space="preserve">While </w:t>
      </w:r>
      <w:r w:rsidR="002C5CD8">
        <w:t xml:space="preserve">such options </w:t>
      </w:r>
      <w:r>
        <w:t>seek to impose a levy on all incoming carg</w:t>
      </w:r>
      <w:r w:rsidR="00C421AA">
        <w:t xml:space="preserve">o, </w:t>
      </w:r>
      <w:r w:rsidR="009476E5">
        <w:t>a</w:t>
      </w:r>
      <w:r w:rsidR="00C421AA">
        <w:t xml:space="preserve"> drawback is that, unless highly disaggregated (which in turn would add significant complexity),</w:t>
      </w:r>
      <w:r w:rsidR="00AB0D7D">
        <w:t xml:space="preserve"> </w:t>
      </w:r>
      <w:r>
        <w:t>they take no account of risk</w:t>
      </w:r>
      <w:r w:rsidR="009476E5">
        <w:t xml:space="preserve"> between different containerised cargoes</w:t>
      </w:r>
      <w:r w:rsidR="004E5346">
        <w:t>, for example</w:t>
      </w:r>
      <w:r>
        <w:t xml:space="preserve">. </w:t>
      </w:r>
      <w:r w:rsidR="00C421AA">
        <w:t>Implicitly</w:t>
      </w:r>
      <w:r>
        <w:t xml:space="preserve">, </w:t>
      </w:r>
      <w:r w:rsidR="00C421AA">
        <w:t>a flat rate levy</w:t>
      </w:r>
      <w:r>
        <w:t xml:space="preserve"> </w:t>
      </w:r>
      <w:r w:rsidR="00C421AA">
        <w:t xml:space="preserve">would </w:t>
      </w:r>
      <w:r>
        <w:t xml:space="preserve">treat all FIDs as posing </w:t>
      </w:r>
      <w:r w:rsidR="00E44BF7">
        <w:t>the same</w:t>
      </w:r>
      <w:r>
        <w:t xml:space="preserve"> </w:t>
      </w:r>
      <w:r w:rsidR="005A11C8">
        <w:t xml:space="preserve">level of </w:t>
      </w:r>
      <w:r>
        <w:t>biosecurity risk</w:t>
      </w:r>
      <w:r w:rsidR="005A11C8">
        <w:t>.</w:t>
      </w:r>
    </w:p>
    <w:p w14:paraId="3F530A14" w14:textId="002897AE" w:rsidR="00A560EA" w:rsidRDefault="00C421AA" w:rsidP="00A560EA">
      <w:r>
        <w:t xml:space="preserve">A </w:t>
      </w:r>
      <w:r w:rsidR="009476E5">
        <w:t>corollary</w:t>
      </w:r>
      <w:r w:rsidR="00A560EA">
        <w:t xml:space="preserve"> </w:t>
      </w:r>
      <w:r w:rsidR="009476E5">
        <w:t>could be</w:t>
      </w:r>
      <w:r>
        <w:t xml:space="preserve"> they</w:t>
      </w:r>
      <w:r w:rsidR="00A560EA">
        <w:t xml:space="preserve"> </w:t>
      </w:r>
      <w:r w:rsidR="009476E5">
        <w:t xml:space="preserve">may </w:t>
      </w:r>
      <w:r w:rsidR="00A560EA">
        <w:t>create perverse incentives</w:t>
      </w:r>
      <w:r w:rsidR="00A560EA" w:rsidRPr="00195678">
        <w:t>.</w:t>
      </w:r>
      <w:r w:rsidR="00A560EA">
        <w:t xml:space="preserve"> This arises from moral hazard</w:t>
      </w:r>
      <w:r>
        <w:t>, which</w:t>
      </w:r>
      <w:r w:rsidR="00A560EA">
        <w:t xml:space="preserve"> Paul Krugman </w:t>
      </w:r>
      <w:sdt>
        <w:sdtPr>
          <w:id w:val="1488476"/>
          <w:citation/>
        </w:sdtPr>
        <w:sdtEndPr/>
        <w:sdtContent>
          <w:r w:rsidR="002C278C">
            <w:fldChar w:fldCharType="begin"/>
          </w:r>
          <w:r w:rsidR="002C278C">
            <w:instrText xml:space="preserve">CITATION Kru09 \p 63 \n  \t  \l 5129 </w:instrText>
          </w:r>
          <w:r w:rsidR="002C278C">
            <w:fldChar w:fldCharType="separate"/>
          </w:r>
          <w:r w:rsidR="002C278C" w:rsidRPr="007C71D6">
            <w:rPr>
              <w:noProof/>
            </w:rPr>
            <w:t>(2009, p. 63)</w:t>
          </w:r>
          <w:r w:rsidR="002C278C">
            <w:rPr>
              <w:noProof/>
            </w:rPr>
            <w:fldChar w:fldCharType="end"/>
          </w:r>
        </w:sdtContent>
      </w:sdt>
      <w:r w:rsidR="00A560EA">
        <w:t xml:space="preserve"> has described “as any situation in which one person makes the decision about how much risk to take, while someone else bears the cost if things go badly.”</w:t>
      </w:r>
    </w:p>
    <w:p w14:paraId="5745F323" w14:textId="641243AE" w:rsidR="00F5708E" w:rsidRDefault="00A560EA" w:rsidP="00A560EA">
      <w:r>
        <w:t>Moral hazard implies a disposition on the part of individuals or organisations</w:t>
      </w:r>
      <w:r w:rsidR="00C421AA">
        <w:t xml:space="preserve"> to engage in riskier behaviour</w:t>
      </w:r>
      <w:r>
        <w:t xml:space="preserve"> than they otherwise would, because of a tacit assumption that someone else will bear the costs and consequences if the incurred risk turns out badly</w:t>
      </w:r>
      <w:r w:rsidR="00E968F0">
        <w:t xml:space="preserve"> </w:t>
      </w:r>
      <w:sdt>
        <w:sdtPr>
          <w:id w:val="1488479"/>
          <w:citation/>
        </w:sdtPr>
        <w:sdtEndPr/>
        <w:sdtContent>
          <w:r w:rsidR="00E968F0">
            <w:fldChar w:fldCharType="begin"/>
          </w:r>
          <w:r w:rsidR="00E968F0">
            <w:instrText xml:space="preserve"> CITATION Wol99 \p 60 \l 5129  </w:instrText>
          </w:r>
          <w:r w:rsidR="00E968F0">
            <w:fldChar w:fldCharType="separate"/>
          </w:r>
          <w:r w:rsidR="00E968F0">
            <w:rPr>
              <w:noProof/>
            </w:rPr>
            <w:t>(Wolf, 1999, p. 60)</w:t>
          </w:r>
          <w:r w:rsidR="00E968F0">
            <w:rPr>
              <w:noProof/>
            </w:rPr>
            <w:fldChar w:fldCharType="end"/>
          </w:r>
        </w:sdtContent>
      </w:sdt>
      <w:r w:rsidR="00E968F0">
        <w:t>.</w:t>
      </w:r>
      <w:r>
        <w:t xml:space="preserve"> Failure to target a levy on the basis of biosecurity risk presented will create an environment conducive to moral hazard</w:t>
      </w:r>
      <w:r w:rsidR="00E968F0">
        <w:t xml:space="preserve"> </w:t>
      </w:r>
      <w:sdt>
        <w:sdtPr>
          <w:id w:val="1488480"/>
          <w:citation/>
        </w:sdtPr>
        <w:sdtEndPr/>
        <w:sdtContent>
          <w:r w:rsidR="00E968F0">
            <w:fldChar w:fldCharType="begin"/>
          </w:r>
          <w:r w:rsidR="00E968F0">
            <w:instrText xml:space="preserve"> CITATION Dow09 \p 143 \l 5129  </w:instrText>
          </w:r>
          <w:r w:rsidR="00E968F0">
            <w:fldChar w:fldCharType="separate"/>
          </w:r>
          <w:r w:rsidR="00E968F0">
            <w:rPr>
              <w:noProof/>
            </w:rPr>
            <w:t>(Dowd, 2009, p. 143)</w:t>
          </w:r>
          <w:r w:rsidR="00E968F0">
            <w:rPr>
              <w:noProof/>
            </w:rPr>
            <w:fldChar w:fldCharType="end"/>
          </w:r>
        </w:sdtContent>
      </w:sdt>
      <w:r w:rsidR="00E968F0">
        <w:t>.</w:t>
      </w:r>
    </w:p>
    <w:p w14:paraId="34AE9372" w14:textId="3450647F" w:rsidR="0070638B" w:rsidRDefault="00897416" w:rsidP="00A560EA">
      <w:r w:rsidRPr="00897416">
        <w:t>The Chamber of Minerals and Energy of Western Australia</w:t>
      </w:r>
      <w:r w:rsidR="004C2080">
        <w:t xml:space="preserve"> </w:t>
      </w:r>
      <w:sdt>
        <w:sdtPr>
          <w:id w:val="329798091"/>
          <w:citation/>
        </w:sdtPr>
        <w:sdtEndPr/>
        <w:sdtContent>
          <w:r w:rsidR="00762328">
            <w:fldChar w:fldCharType="begin"/>
          </w:r>
          <w:r w:rsidR="00762328">
            <w:instrText xml:space="preserve">CITATION The19 \n  \t  \l 3081 </w:instrText>
          </w:r>
          <w:r w:rsidR="00762328">
            <w:fldChar w:fldCharType="separate"/>
          </w:r>
          <w:r w:rsidR="00604A29">
            <w:rPr>
              <w:noProof/>
            </w:rPr>
            <w:t>(2019)</w:t>
          </w:r>
          <w:r w:rsidR="00762328">
            <w:fldChar w:fldCharType="end"/>
          </w:r>
        </w:sdtContent>
      </w:sdt>
      <w:r>
        <w:t xml:space="preserve"> </w:t>
      </w:r>
      <w:r w:rsidR="00B66B00">
        <w:t>has</w:t>
      </w:r>
      <w:r w:rsidR="00F5708E">
        <w:t xml:space="preserve"> </w:t>
      </w:r>
      <w:r w:rsidR="00C722F4">
        <w:t xml:space="preserve">warned that the absence of a link between biosecurity risk and the imposition of a levy will not incentivise </w:t>
      </w:r>
      <w:r w:rsidR="004C2080">
        <w:t>parties to improve their biosecurity risk management</w:t>
      </w:r>
      <w:r w:rsidR="00531697">
        <w:t xml:space="preserve"> practices</w:t>
      </w:r>
      <w:r w:rsidR="004C2080">
        <w:t>:</w:t>
      </w:r>
    </w:p>
    <w:p w14:paraId="3F7EB818" w14:textId="1510970B" w:rsidR="00F42D17" w:rsidRDefault="00CE09BE" w:rsidP="007035AE">
      <w:pPr>
        <w:pStyle w:val="Quote"/>
      </w:pPr>
      <w:r>
        <w:t>Imposing an industry wide levy without nexus to the risk creators, bearers or beneficiaries of biosecurity encourages behaviour that is compliance focused. It fails to provide a price signal to incentivise best practice quality assurance in supply chain management and regulatory stewardship. With federal research and development taxation reforms currently in limbo, such a levy could discourage investment in cooperative biosecurity research programs and continuous improvement initiatives.</w:t>
      </w:r>
    </w:p>
    <w:p w14:paraId="16C86263" w14:textId="66ECC906" w:rsidR="00C1580E" w:rsidRDefault="00C512F4" w:rsidP="00765CD0">
      <w:pPr>
        <w:pStyle w:val="Heading2"/>
      </w:pPr>
      <w:bookmarkStart w:id="38" w:name="_Toc10031902"/>
      <w:r w:rsidRPr="007D6E0F">
        <w:t>7</w:t>
      </w:r>
      <w:r w:rsidR="00765CD0" w:rsidRPr="007D6E0F">
        <w:t>.</w:t>
      </w:r>
      <w:r w:rsidR="00912441">
        <w:t>6</w:t>
      </w:r>
      <w:r w:rsidR="00765CD0" w:rsidRPr="007D6E0F">
        <w:tab/>
      </w:r>
      <w:r w:rsidR="00953F18" w:rsidRPr="007D6E0F">
        <w:t>Access to</w:t>
      </w:r>
      <w:r w:rsidR="003E0667" w:rsidRPr="007D6E0F">
        <w:t xml:space="preserve"> </w:t>
      </w:r>
      <w:r w:rsidR="00765CD0" w:rsidRPr="007D6E0F">
        <w:t>Data</w:t>
      </w:r>
      <w:r w:rsidR="008B4FEA" w:rsidRPr="007D6E0F">
        <w:t xml:space="preserve"> on Risk</w:t>
      </w:r>
      <w:bookmarkEnd w:id="38"/>
    </w:p>
    <w:p w14:paraId="77D01086" w14:textId="2364A6DC" w:rsidR="000E12E1" w:rsidRDefault="000E12E1" w:rsidP="000E12E1">
      <w:r>
        <w:t>The Committee notes that Clause 14 of the Intergovernmental Agreement on Biosecurity requires:</w:t>
      </w:r>
    </w:p>
    <w:p w14:paraId="560ACFBB" w14:textId="0AF263C1" w:rsidR="000E12E1" w:rsidRDefault="000E12E1" w:rsidP="000E12E1">
      <w:pPr>
        <w:pStyle w:val="Quote"/>
      </w:pPr>
      <w:r>
        <w:t>Biosecurity investment (to) prioritise the allocation of resources to the areas of greatest return, in terms of risk mitigation and return on investment.</w:t>
      </w:r>
    </w:p>
    <w:p w14:paraId="78D3D431" w14:textId="420247DE" w:rsidR="00323F93" w:rsidRDefault="00323F93" w:rsidP="00323F93">
      <w:r>
        <w:t xml:space="preserve">The Committee </w:t>
      </w:r>
      <w:r w:rsidR="00A5388B">
        <w:t>requested</w:t>
      </w:r>
      <w:r w:rsidR="00C9321D" w:rsidRPr="00C9321D">
        <w:t xml:space="preserve"> </w:t>
      </w:r>
      <w:r>
        <w:t>authoritative, science-based advice</w:t>
      </w:r>
      <w:r w:rsidR="009462B3" w:rsidRPr="009462B3">
        <w:t xml:space="preserve"> </w:t>
      </w:r>
      <w:r w:rsidR="009462B3">
        <w:t>from the Department</w:t>
      </w:r>
      <w:r>
        <w:t xml:space="preserve"> to identify the quantum and relative biosecurity risk generated by the various import pathways</w:t>
      </w:r>
      <w:r w:rsidR="00C9321D">
        <w:t>.</w:t>
      </w:r>
      <w:r>
        <w:t xml:space="preserve"> </w:t>
      </w:r>
      <w:r w:rsidR="00C9321D">
        <w:t>It</w:t>
      </w:r>
      <w:r>
        <w:t xml:space="preserve"> was advised verbally that the information did not exist. Subsequently, the Committee wrote to the </w:t>
      </w:r>
      <w:r w:rsidR="006E1366">
        <w:t xml:space="preserve">then </w:t>
      </w:r>
      <w:r>
        <w:t xml:space="preserve">Minister (see </w:t>
      </w:r>
      <w:r w:rsidRPr="00201A28">
        <w:rPr>
          <w:b/>
        </w:rPr>
        <w:t xml:space="preserve">Appendix </w:t>
      </w:r>
      <w:r w:rsidR="00822E8B" w:rsidRPr="00201A28">
        <w:rPr>
          <w:b/>
        </w:rPr>
        <w:t>3</w:t>
      </w:r>
      <w:r>
        <w:t>)</w:t>
      </w:r>
      <w:r w:rsidR="00C9321D">
        <w:t xml:space="preserve">. It received some helpful material regarding the biosecurity continuum (such as </w:t>
      </w:r>
      <w:r w:rsidR="00C9321D">
        <w:rPr>
          <w:color w:val="000000"/>
        </w:rPr>
        <w:t>numbers of passengers, aircraft, ships, FIDs, Self-Assessed Clearances and mail items, and the risk reduction efforts achieved at various points along the continuum leading to a residual risk estimate)</w:t>
      </w:r>
      <w:r w:rsidR="00C9321D">
        <w:t xml:space="preserve">, but </w:t>
      </w:r>
      <w:r w:rsidR="00A5388B">
        <w:t xml:space="preserve">this does not provide a sufficient </w:t>
      </w:r>
      <w:r w:rsidR="00C9321D">
        <w:t>answer to the Committee’s central question</w:t>
      </w:r>
      <w:r>
        <w:t>.</w:t>
      </w:r>
    </w:p>
    <w:p w14:paraId="4F2BB51C" w14:textId="06CBD1D5" w:rsidR="00A5388B" w:rsidRDefault="00C9321D" w:rsidP="00323F93">
      <w:pPr>
        <w:rPr>
          <w:color w:val="000000"/>
        </w:rPr>
      </w:pPr>
      <w:r>
        <w:t xml:space="preserve">The Committee also </w:t>
      </w:r>
      <w:r w:rsidR="00A5388B">
        <w:t>inquired whether</w:t>
      </w:r>
      <w:r>
        <w:t xml:space="preserve"> information</w:t>
      </w:r>
      <w:r w:rsidR="00A5388B">
        <w:t xml:space="preserve"> exists</w:t>
      </w:r>
      <w:r>
        <w:t xml:space="preserve"> from the Department’s </w:t>
      </w:r>
      <w:r>
        <w:rPr>
          <w:color w:val="000000"/>
        </w:rPr>
        <w:t>Risk Return Resource Allocation Model</w:t>
      </w:r>
      <w:r w:rsidR="00A5388B">
        <w:rPr>
          <w:color w:val="000000"/>
        </w:rPr>
        <w:t>,</w:t>
      </w:r>
      <w:r>
        <w:rPr>
          <w:color w:val="000000"/>
        </w:rPr>
        <w:t xml:space="preserve"> which is </w:t>
      </w:r>
      <w:r w:rsidR="009462B3">
        <w:rPr>
          <w:color w:val="000000"/>
        </w:rPr>
        <w:t>“</w:t>
      </w:r>
      <w:r>
        <w:rPr>
          <w:color w:val="000000"/>
        </w:rPr>
        <w:t>designed to inform high level, whole of system policy decisions</w:t>
      </w:r>
      <w:r w:rsidR="009462B3">
        <w:rPr>
          <w:color w:val="000000"/>
        </w:rPr>
        <w:t>”</w:t>
      </w:r>
      <w:r w:rsidR="00A5388B">
        <w:rPr>
          <w:color w:val="000000"/>
        </w:rPr>
        <w:t xml:space="preserve"> – </w:t>
      </w:r>
      <w:r w:rsidR="000E12E1">
        <w:rPr>
          <w:color w:val="000000"/>
        </w:rPr>
        <w:t xml:space="preserve">analysis which, </w:t>
      </w:r>
      <w:r w:rsidR="00A5388B">
        <w:rPr>
          <w:color w:val="000000"/>
        </w:rPr>
        <w:t xml:space="preserve">on the face of it, </w:t>
      </w:r>
      <w:r w:rsidR="000E12E1">
        <w:rPr>
          <w:color w:val="000000"/>
        </w:rPr>
        <w:t xml:space="preserve">is </w:t>
      </w:r>
      <w:r w:rsidR="00A5388B">
        <w:rPr>
          <w:color w:val="000000"/>
        </w:rPr>
        <w:t>quite relevant to the Committee’s task</w:t>
      </w:r>
      <w:r>
        <w:rPr>
          <w:color w:val="000000"/>
        </w:rPr>
        <w:t xml:space="preserve">. </w:t>
      </w:r>
      <w:r w:rsidR="00A5388B">
        <w:rPr>
          <w:color w:val="000000"/>
        </w:rPr>
        <w:t>Unfortunately</w:t>
      </w:r>
      <w:r>
        <w:rPr>
          <w:color w:val="000000"/>
        </w:rPr>
        <w:t>, there appears to be no specific quantitative information</w:t>
      </w:r>
      <w:r w:rsidR="000E12E1">
        <w:rPr>
          <w:color w:val="000000"/>
        </w:rPr>
        <w:t xml:space="preserve"> available</w:t>
      </w:r>
      <w:r w:rsidR="003F1949">
        <w:rPr>
          <w:color w:val="000000"/>
        </w:rPr>
        <w:t xml:space="preserve"> from this model</w:t>
      </w:r>
      <w:r>
        <w:rPr>
          <w:color w:val="000000"/>
        </w:rPr>
        <w:t xml:space="preserve"> which can assist the Committee</w:t>
      </w:r>
      <w:r w:rsidR="008C3FCF">
        <w:rPr>
          <w:color w:val="000000"/>
        </w:rPr>
        <w:t xml:space="preserve">. </w:t>
      </w:r>
    </w:p>
    <w:p w14:paraId="641CDA97" w14:textId="4C775ED4" w:rsidR="00C9321D" w:rsidRDefault="00A5388B" w:rsidP="00323F93">
      <w:pPr>
        <w:rPr>
          <w:color w:val="000000"/>
        </w:rPr>
      </w:pPr>
      <w:r>
        <w:rPr>
          <w:color w:val="000000"/>
        </w:rPr>
        <w:t>In addition</w:t>
      </w:r>
      <w:r w:rsidR="008C3FCF">
        <w:rPr>
          <w:color w:val="000000"/>
        </w:rPr>
        <w:t>, the Committee contacted the Centre of Excellence for Biosecurity Risk Analysis</w:t>
      </w:r>
      <w:r>
        <w:rPr>
          <w:color w:val="000000"/>
        </w:rPr>
        <w:t>, which has been funded</w:t>
      </w:r>
      <w:r w:rsidR="001420D2">
        <w:rPr>
          <w:color w:val="000000"/>
        </w:rPr>
        <w:t xml:space="preserve"> in part</w:t>
      </w:r>
      <w:r>
        <w:rPr>
          <w:color w:val="000000"/>
        </w:rPr>
        <w:t xml:space="preserve"> by the Department to assist it with</w:t>
      </w:r>
      <w:r w:rsidR="001420D2">
        <w:rPr>
          <w:color w:val="000000"/>
        </w:rPr>
        <w:t xml:space="preserve"> more sophisticated and quantitative analysis on biosecurity risk issues. The Centre of Excellence also does not have readily to hand a system-wide matrix on biosecurity ris</w:t>
      </w:r>
      <w:r w:rsidR="000E12E1">
        <w:rPr>
          <w:color w:val="000000"/>
        </w:rPr>
        <w:t>k</w:t>
      </w:r>
      <w:r w:rsidR="001420D2">
        <w:rPr>
          <w:color w:val="000000"/>
        </w:rPr>
        <w:t>, but considers that the work required to generate it should not be unduly difficult.</w:t>
      </w:r>
    </w:p>
    <w:p w14:paraId="6AFA15BF" w14:textId="555FDC12" w:rsidR="001420D2" w:rsidRDefault="001420D2" w:rsidP="00323F93">
      <w:pPr>
        <w:rPr>
          <w:color w:val="000000"/>
        </w:rPr>
      </w:pPr>
      <w:r>
        <w:rPr>
          <w:color w:val="000000"/>
        </w:rPr>
        <w:t xml:space="preserve">Finally, the Committee </w:t>
      </w:r>
      <w:r w:rsidR="00F46F24">
        <w:rPr>
          <w:color w:val="000000"/>
        </w:rPr>
        <w:t>met</w:t>
      </w:r>
      <w:r>
        <w:rPr>
          <w:color w:val="000000"/>
        </w:rPr>
        <w:t xml:space="preserve"> with the Inspector-General of Biosecurity who drew attention to recent reports completed by her office. Several of </w:t>
      </w:r>
      <w:r w:rsidR="003F1949">
        <w:rPr>
          <w:color w:val="000000"/>
        </w:rPr>
        <w:t>these</w:t>
      </w:r>
      <w:r>
        <w:rPr>
          <w:color w:val="000000"/>
        </w:rPr>
        <w:t xml:space="preserve"> reports, including the hitchhiker report</w:t>
      </w:r>
      <w:r w:rsidR="003F1949">
        <w:rPr>
          <w:color w:val="000000"/>
        </w:rPr>
        <w:t xml:space="preserve"> (Inspector-General of Biosecurity, 2018)</w:t>
      </w:r>
      <w:r>
        <w:rPr>
          <w:color w:val="000000"/>
        </w:rPr>
        <w:t>, contain assessments that are helpful to the Committee, but not in answering the overall question that has exercised the Committee.</w:t>
      </w:r>
    </w:p>
    <w:p w14:paraId="4A61C04B" w14:textId="055B05CB" w:rsidR="00A5388B" w:rsidRDefault="009462B3" w:rsidP="00323F93">
      <w:r>
        <w:t>Regrettably</w:t>
      </w:r>
      <w:r w:rsidR="00346577">
        <w:t xml:space="preserve"> therefore</w:t>
      </w:r>
      <w:r w:rsidR="001420D2">
        <w:t>, w</w:t>
      </w:r>
      <w:r w:rsidR="00A5388B">
        <w:t xml:space="preserve">hile helpful as a general guide, </w:t>
      </w:r>
      <w:r w:rsidR="007C7FAF">
        <w:t>none of</w:t>
      </w:r>
      <w:r w:rsidR="001420D2">
        <w:t xml:space="preserve"> t</w:t>
      </w:r>
      <w:r w:rsidR="00A5388B">
        <w:t>he information available from public sources provide</w:t>
      </w:r>
      <w:r w:rsidR="007C7FAF">
        <w:t>s</w:t>
      </w:r>
      <w:r w:rsidR="00A5388B">
        <w:t xml:space="preserve"> a robust basis on which </w:t>
      </w:r>
      <w:r w:rsidR="003F1949">
        <w:t xml:space="preserve">the Committee </w:t>
      </w:r>
      <w:r w:rsidR="00A5388B">
        <w:t>can base definitive recommendations regarding the share of the levy that should be borne by different import pathways and vectors.</w:t>
      </w:r>
      <w:r>
        <w:t xml:space="preserve"> Such information as is available tends to be partial, incomplete and often anecdotal. There is also some conflicting</w:t>
      </w:r>
      <w:r w:rsidR="006E0F3C">
        <w:t xml:space="preserve"> information</w:t>
      </w:r>
      <w:r>
        <w:t>, for example, regarding the level of risk associated with air freight.</w:t>
      </w:r>
    </w:p>
    <w:p w14:paraId="1BC1CE47" w14:textId="01483391" w:rsidR="00A548A8" w:rsidRDefault="009462B3" w:rsidP="00BA4379">
      <w:r>
        <w:t>The Committee’s conclusion</w:t>
      </w:r>
      <w:r w:rsidR="000E12E1">
        <w:t xml:space="preserve"> </w:t>
      </w:r>
      <w:r w:rsidR="00F46F24">
        <w:t xml:space="preserve">is </w:t>
      </w:r>
      <w:r w:rsidR="000E12E1">
        <w:t>important given the intention of the levy to raise approximately $100</w:t>
      </w:r>
      <w:r w:rsidR="00DF0D94">
        <w:t> </w:t>
      </w:r>
      <w:r w:rsidR="000E12E1">
        <w:t xml:space="preserve">million per annum against a risk-related assessment. The Committee </w:t>
      </w:r>
      <w:r w:rsidR="00AB59F3">
        <w:t>was not in a position to independently commission the work required to produce the data required to complete its task.</w:t>
      </w:r>
      <w:r w:rsidR="000E12E1">
        <w:t xml:space="preserve"> Given this, it is </w:t>
      </w:r>
      <w:r w:rsidR="00D05120">
        <w:t>not possible</w:t>
      </w:r>
      <w:r w:rsidR="000E12E1">
        <w:t xml:space="preserve"> for the Committee to recommend the allocation of a levy across cargoes and vessels, when the scientific basis of doing </w:t>
      </w:r>
      <w:r w:rsidR="00AB59F3">
        <w:t>s</w:t>
      </w:r>
      <w:r w:rsidR="000E12E1">
        <w:t>o does not appear to exist</w:t>
      </w:r>
      <w:r w:rsidR="00426F88">
        <w:t>.</w:t>
      </w:r>
      <w:r w:rsidR="000E12E1">
        <w:t xml:space="preserve"> The </w:t>
      </w:r>
      <w:r w:rsidR="002F5482">
        <w:t>corollary</w:t>
      </w:r>
      <w:r w:rsidR="000E12E1">
        <w:t xml:space="preserve"> of this conclusion is </w:t>
      </w:r>
      <w:r w:rsidR="007C7FAF">
        <w:t>discussed</w:t>
      </w:r>
      <w:r w:rsidR="000E12E1">
        <w:t xml:space="preserve"> </w:t>
      </w:r>
      <w:r w:rsidR="00F46F24">
        <w:t xml:space="preserve">in section </w:t>
      </w:r>
      <w:r w:rsidR="00A371F2">
        <w:t>9</w:t>
      </w:r>
      <w:r w:rsidR="000E12E1">
        <w:t>.</w:t>
      </w:r>
    </w:p>
    <w:p w14:paraId="5764C804" w14:textId="77777777" w:rsidR="00A548A8" w:rsidRDefault="00A548A8">
      <w:pPr>
        <w:spacing w:before="0" w:after="160" w:line="259" w:lineRule="auto"/>
      </w:pPr>
      <w:r>
        <w:br w:type="page"/>
      </w:r>
    </w:p>
    <w:p w14:paraId="2B0BDB7F" w14:textId="5923C16C" w:rsidR="0098583E" w:rsidRDefault="0098583E" w:rsidP="0098583E">
      <w:pPr>
        <w:pStyle w:val="Heading1"/>
      </w:pPr>
      <w:bookmarkStart w:id="39" w:name="_Toc10031903"/>
      <w:r>
        <w:t>8</w:t>
      </w:r>
      <w:r w:rsidRPr="00A87446">
        <w:t>.</w:t>
      </w:r>
      <w:r w:rsidRPr="00A87446">
        <w:tab/>
      </w:r>
      <w:r>
        <w:t>Other Matters</w:t>
      </w:r>
      <w:bookmarkEnd w:id="39"/>
    </w:p>
    <w:p w14:paraId="00F0672A" w14:textId="23623D1C" w:rsidR="0098583E" w:rsidRPr="00D044D0" w:rsidRDefault="0098583E" w:rsidP="0098583E">
      <w:pPr>
        <w:pStyle w:val="Heading2"/>
      </w:pPr>
      <w:bookmarkStart w:id="40" w:name="_Toc10031904"/>
      <w:r>
        <w:t>8.1</w:t>
      </w:r>
      <w:r>
        <w:tab/>
        <w:t>Private Sector Investments in Biosecurity Enhancement</w:t>
      </w:r>
      <w:bookmarkEnd w:id="40"/>
    </w:p>
    <w:p w14:paraId="5AAD5BAF" w14:textId="7FEE7065" w:rsidR="00346577" w:rsidRDefault="0098583E" w:rsidP="0098583E">
      <w:pPr>
        <w:rPr>
          <w:lang w:eastAsia="ja-JP"/>
        </w:rPr>
      </w:pPr>
      <w:r>
        <w:t xml:space="preserve">The IABR </w:t>
      </w:r>
      <w:r w:rsidR="00346577">
        <w:t>noted that “the</w:t>
      </w:r>
      <w:r w:rsidR="00346577" w:rsidRPr="00346577">
        <w:rPr>
          <w:lang w:eastAsia="ja-JP"/>
        </w:rPr>
        <w:t xml:space="preserve"> </w:t>
      </w:r>
      <w:r w:rsidR="00346577">
        <w:rPr>
          <w:lang w:eastAsia="ja-JP"/>
        </w:rPr>
        <w:t>total financial contribution by industry to the national biosecurity system is unknown”</w:t>
      </w:r>
      <w:sdt>
        <w:sdtPr>
          <w:rPr>
            <w:lang w:eastAsia="ja-JP"/>
          </w:rPr>
          <w:id w:val="-2045976345"/>
          <w:citation/>
        </w:sdtPr>
        <w:sdtEndPr/>
        <w:sdtContent>
          <w:r w:rsidR="00DF0D94">
            <w:rPr>
              <w:lang w:eastAsia="ja-JP"/>
            </w:rPr>
            <w:fldChar w:fldCharType="begin"/>
          </w:r>
          <w:r w:rsidR="00DF0D94">
            <w:rPr>
              <w:lang w:eastAsia="ja-JP"/>
            </w:rPr>
            <w:instrText xml:space="preserve">CITATION Cra17 \p 108 \t  \l 3081 </w:instrText>
          </w:r>
          <w:r w:rsidR="00DF0D94">
            <w:rPr>
              <w:lang w:eastAsia="ja-JP"/>
            </w:rPr>
            <w:fldChar w:fldCharType="separate"/>
          </w:r>
          <w:r w:rsidR="00DF0D94">
            <w:rPr>
              <w:noProof/>
              <w:lang w:eastAsia="ja-JP"/>
            </w:rPr>
            <w:t xml:space="preserve"> (Craik, Palmer, &amp; Sheldrake, 2017, p. 108)</w:t>
          </w:r>
          <w:r w:rsidR="00DF0D94">
            <w:rPr>
              <w:lang w:eastAsia="ja-JP"/>
            </w:rPr>
            <w:fldChar w:fldCharType="end"/>
          </w:r>
        </w:sdtContent>
      </w:sdt>
      <w:r w:rsidR="00346577">
        <w:rPr>
          <w:lang w:eastAsia="ja-JP"/>
        </w:rPr>
        <w:t>. While some industries conduct their own monitoring and surveillance activities (</w:t>
      </w:r>
      <w:r w:rsidR="00003412">
        <w:rPr>
          <w:lang w:eastAsia="ja-JP"/>
        </w:rPr>
        <w:t>e.g.</w:t>
      </w:r>
      <w:r w:rsidR="00346577">
        <w:rPr>
          <w:lang w:eastAsia="ja-JP"/>
        </w:rPr>
        <w:t xml:space="preserve"> 136 programs in the grains and horticulture industries alone), and there are substantial contributions by industry to the activities managed by Animal Health Australia and Plant Health Australia, the full extent has not been documented. </w:t>
      </w:r>
    </w:p>
    <w:p w14:paraId="21B26970" w14:textId="1B17E974" w:rsidR="0098583E" w:rsidRDefault="00346577" w:rsidP="0098583E">
      <w:pPr>
        <w:rPr>
          <w:lang w:eastAsia="ja-JP"/>
        </w:rPr>
      </w:pPr>
      <w:r>
        <w:rPr>
          <w:lang w:eastAsia="ja-JP"/>
        </w:rPr>
        <w:t xml:space="preserve">The IABR concluded that the private sector should undertake its own investment stocktake, which </w:t>
      </w:r>
      <w:r>
        <w:rPr>
          <w:i/>
          <w:lang w:eastAsia="ja-JP"/>
        </w:rPr>
        <w:t>inter alia</w:t>
      </w:r>
      <w:r>
        <w:rPr>
          <w:lang w:eastAsia="ja-JP"/>
        </w:rPr>
        <w:t xml:space="preserve">, would </w:t>
      </w:r>
      <w:r w:rsidR="006C5A37">
        <w:rPr>
          <w:lang w:eastAsia="ja-JP"/>
        </w:rPr>
        <w:t>assist industry</w:t>
      </w:r>
      <w:r>
        <w:rPr>
          <w:lang w:eastAsia="ja-JP"/>
        </w:rPr>
        <w:t xml:space="preserve"> claims for a greater role in decision making</w:t>
      </w:r>
      <w:r w:rsidR="006C5A37">
        <w:rPr>
          <w:lang w:eastAsia="ja-JP"/>
        </w:rPr>
        <w:t xml:space="preserve"> </w:t>
      </w:r>
      <w:sdt>
        <w:sdtPr>
          <w:rPr>
            <w:lang w:eastAsia="ja-JP"/>
          </w:rPr>
          <w:id w:val="1304968255"/>
          <w:citation/>
        </w:sdtPr>
        <w:sdtEndPr/>
        <w:sdtContent>
          <w:r w:rsidR="00DF0D94">
            <w:rPr>
              <w:lang w:eastAsia="ja-JP"/>
            </w:rPr>
            <w:fldChar w:fldCharType="begin"/>
          </w:r>
          <w:r w:rsidR="00DF0D94">
            <w:rPr>
              <w:lang w:eastAsia="ja-JP"/>
            </w:rPr>
            <w:instrText xml:space="preserve">CITATION Cra17 \p 128 \t  \l 3081 </w:instrText>
          </w:r>
          <w:r w:rsidR="00DF0D94">
            <w:rPr>
              <w:lang w:eastAsia="ja-JP"/>
            </w:rPr>
            <w:fldChar w:fldCharType="separate"/>
          </w:r>
          <w:r w:rsidR="00DF0D94">
            <w:rPr>
              <w:noProof/>
              <w:lang w:eastAsia="ja-JP"/>
            </w:rPr>
            <w:t>(Craik, Palmer, &amp; Sheldrake, 2017, p. 128)</w:t>
          </w:r>
          <w:r w:rsidR="00DF0D94">
            <w:rPr>
              <w:lang w:eastAsia="ja-JP"/>
            </w:rPr>
            <w:fldChar w:fldCharType="end"/>
          </w:r>
        </w:sdtContent>
      </w:sdt>
      <w:r>
        <w:rPr>
          <w:lang w:eastAsia="ja-JP"/>
        </w:rPr>
        <w:t>.</w:t>
      </w:r>
      <w:r w:rsidR="006C5A37">
        <w:rPr>
          <w:lang w:eastAsia="ja-JP"/>
        </w:rPr>
        <w:t xml:space="preserve"> The Committee sought information as to whether there had been any action following this 2017 recommendation but could find no evidence</w:t>
      </w:r>
      <w:r w:rsidR="00BC46C7">
        <w:rPr>
          <w:lang w:eastAsia="ja-JP"/>
        </w:rPr>
        <w:t xml:space="preserve"> for it</w:t>
      </w:r>
      <w:r w:rsidR="006C5A37">
        <w:rPr>
          <w:lang w:eastAsia="ja-JP"/>
        </w:rPr>
        <w:t>.</w:t>
      </w:r>
    </w:p>
    <w:p w14:paraId="090E3EE3" w14:textId="7D804F94" w:rsidR="006C5A37" w:rsidRDefault="006C5A37" w:rsidP="0098583E">
      <w:pPr>
        <w:rPr>
          <w:lang w:eastAsia="ja-JP"/>
        </w:rPr>
      </w:pPr>
      <w:r>
        <w:rPr>
          <w:lang w:eastAsia="ja-JP"/>
        </w:rPr>
        <w:t>Therefore</w:t>
      </w:r>
      <w:r w:rsidR="005A7E09">
        <w:rPr>
          <w:lang w:eastAsia="ja-JP"/>
        </w:rPr>
        <w:t>,</w:t>
      </w:r>
      <w:r w:rsidR="00BC46C7">
        <w:rPr>
          <w:lang w:eastAsia="ja-JP"/>
        </w:rPr>
        <w:t xml:space="preserve"> the Committee</w:t>
      </w:r>
      <w:r>
        <w:rPr>
          <w:lang w:eastAsia="ja-JP"/>
        </w:rPr>
        <w:t xml:space="preserve"> requested information from submissions, or in follow up discussions, which </w:t>
      </w:r>
      <w:r w:rsidR="00BC46C7">
        <w:rPr>
          <w:lang w:eastAsia="ja-JP"/>
        </w:rPr>
        <w:t>might</w:t>
      </w:r>
      <w:r>
        <w:rPr>
          <w:lang w:eastAsia="ja-JP"/>
        </w:rPr>
        <w:t xml:space="preserve"> shed light on private sector investments in biosecurity not presently captured by official data, such as cost recovered charges. </w:t>
      </w:r>
      <w:r w:rsidRPr="006C5A37">
        <w:rPr>
          <w:b/>
          <w:lang w:eastAsia="ja-JP"/>
        </w:rPr>
        <w:t>Appendix 5</w:t>
      </w:r>
      <w:r>
        <w:rPr>
          <w:lang w:eastAsia="ja-JP"/>
        </w:rPr>
        <w:t xml:space="preserve"> contains information that has been provided to the Committee by a range of companies and industry sectors, including</w:t>
      </w:r>
      <w:r w:rsidR="005A7E09">
        <w:rPr>
          <w:lang w:eastAsia="ja-JP"/>
        </w:rPr>
        <w:t>,</w:t>
      </w:r>
      <w:r>
        <w:rPr>
          <w:lang w:eastAsia="ja-JP"/>
        </w:rPr>
        <w:t xml:space="preserve"> but </w:t>
      </w:r>
      <w:r w:rsidR="005A7E09">
        <w:rPr>
          <w:lang w:eastAsia="ja-JP"/>
        </w:rPr>
        <w:t xml:space="preserve">also </w:t>
      </w:r>
      <w:r>
        <w:rPr>
          <w:lang w:eastAsia="ja-JP"/>
        </w:rPr>
        <w:t>well beyond</w:t>
      </w:r>
      <w:r w:rsidR="005A7E09">
        <w:rPr>
          <w:lang w:eastAsia="ja-JP"/>
        </w:rPr>
        <w:t>,</w:t>
      </w:r>
      <w:r>
        <w:rPr>
          <w:lang w:eastAsia="ja-JP"/>
        </w:rPr>
        <w:t xml:space="preserve"> the agricultural sector.</w:t>
      </w:r>
    </w:p>
    <w:p w14:paraId="5A5C2DA6" w14:textId="463814D4" w:rsidR="00615A4B" w:rsidRDefault="00615A4B" w:rsidP="0098583E">
      <w:pPr>
        <w:rPr>
          <w:lang w:eastAsia="ja-JP"/>
        </w:rPr>
      </w:pPr>
      <w:r>
        <w:rPr>
          <w:lang w:eastAsia="ja-JP"/>
        </w:rPr>
        <w:t>Of course</w:t>
      </w:r>
      <w:r w:rsidR="005A7E09">
        <w:rPr>
          <w:lang w:eastAsia="ja-JP"/>
        </w:rPr>
        <w:t>,</w:t>
      </w:r>
      <w:r>
        <w:rPr>
          <w:lang w:eastAsia="ja-JP"/>
        </w:rPr>
        <w:t xml:space="preserve"> much of this investment is made for sound commercial reasons, such as reducing the risks and/or costs of subsequent import inspection (including, in a worst case, rejection of cargo and diversion of a vessel for re-treatment), enhancing export accreditation or extending market access. However, it indicates, even if in an anecdotal way, that most private sector businesses and industries involved with trade, take their</w:t>
      </w:r>
      <w:r w:rsidR="005A7E09">
        <w:rPr>
          <w:lang w:eastAsia="ja-JP"/>
        </w:rPr>
        <w:t xml:space="preserve"> biosecurity</w:t>
      </w:r>
      <w:r>
        <w:rPr>
          <w:lang w:eastAsia="ja-JP"/>
        </w:rPr>
        <w:t xml:space="preserve"> responsibilities seriously, in a way that is probably under-appreciated in the wider community and </w:t>
      </w:r>
      <w:r w:rsidR="005A7E09">
        <w:rPr>
          <w:lang w:eastAsia="ja-JP"/>
        </w:rPr>
        <w:t xml:space="preserve">in the </w:t>
      </w:r>
      <w:r w:rsidR="00DF0D94">
        <w:rPr>
          <w:lang w:eastAsia="ja-JP"/>
        </w:rPr>
        <w:t xml:space="preserve">public </w:t>
      </w:r>
      <w:r>
        <w:rPr>
          <w:lang w:eastAsia="ja-JP"/>
        </w:rPr>
        <w:t>policy debate.</w:t>
      </w:r>
    </w:p>
    <w:p w14:paraId="16FBAFF4" w14:textId="78549F54" w:rsidR="00615A4B" w:rsidRPr="00D044D0" w:rsidRDefault="00615A4B" w:rsidP="00615A4B">
      <w:pPr>
        <w:pStyle w:val="Heading2"/>
      </w:pPr>
      <w:bookmarkStart w:id="41" w:name="_Toc10031905"/>
      <w:r>
        <w:t>8.2</w:t>
      </w:r>
      <w:r>
        <w:tab/>
        <w:t>Military Equipment</w:t>
      </w:r>
      <w:bookmarkEnd w:id="41"/>
    </w:p>
    <w:p w14:paraId="71C027C4" w14:textId="084AE389" w:rsidR="00A371F2" w:rsidRPr="00A371F2" w:rsidRDefault="00A371F2" w:rsidP="00A371F2">
      <w:pPr>
        <w:pStyle w:val="Default"/>
        <w:rPr>
          <w:rFonts w:asciiTheme="minorHAnsi" w:hAnsiTheme="minorHAnsi"/>
          <w:sz w:val="22"/>
          <w:szCs w:val="22"/>
        </w:rPr>
      </w:pPr>
      <w:r w:rsidRPr="00A371F2">
        <w:rPr>
          <w:rFonts w:asciiTheme="minorHAnsi" w:hAnsiTheme="minorHAnsi"/>
          <w:sz w:val="22"/>
          <w:szCs w:val="22"/>
        </w:rPr>
        <w:t>The Committee’s terms of reference state that the levy is not to apply to military equipment. Some parties with whom the Committee consulted queried why the exemption applies, given there are obvious pest and disease biosecurity risks associated with the arrival of military equipment in Australia. New equipment, equipment being returned from combat</w:t>
      </w:r>
      <w:r>
        <w:rPr>
          <w:rFonts w:asciiTheme="minorHAnsi" w:hAnsiTheme="minorHAnsi"/>
          <w:sz w:val="22"/>
          <w:szCs w:val="22"/>
        </w:rPr>
        <w:t xml:space="preserve"> or peace keeping</w:t>
      </w:r>
      <w:r w:rsidRPr="00A371F2">
        <w:rPr>
          <w:rFonts w:asciiTheme="minorHAnsi" w:hAnsiTheme="minorHAnsi"/>
          <w:sz w:val="22"/>
          <w:szCs w:val="22"/>
        </w:rPr>
        <w:t xml:space="preserve"> </w:t>
      </w:r>
      <w:r w:rsidR="00BC46C7">
        <w:rPr>
          <w:rFonts w:asciiTheme="minorHAnsi" w:hAnsiTheme="minorHAnsi"/>
          <w:sz w:val="22"/>
          <w:szCs w:val="22"/>
        </w:rPr>
        <w:t>zones</w:t>
      </w:r>
      <w:r w:rsidRPr="00A371F2">
        <w:rPr>
          <w:rFonts w:asciiTheme="minorHAnsi" w:hAnsiTheme="minorHAnsi"/>
          <w:sz w:val="22"/>
          <w:szCs w:val="22"/>
        </w:rPr>
        <w:t>, or equipment belonging to third countries coming to Australia for use in training exercises</w:t>
      </w:r>
      <w:r w:rsidR="00BC46C7">
        <w:rPr>
          <w:rFonts w:asciiTheme="minorHAnsi" w:hAnsiTheme="minorHAnsi"/>
          <w:sz w:val="22"/>
          <w:szCs w:val="22"/>
        </w:rPr>
        <w:t>,</w:t>
      </w:r>
      <w:r w:rsidRPr="00A371F2">
        <w:rPr>
          <w:rFonts w:asciiTheme="minorHAnsi" w:hAnsiTheme="minorHAnsi"/>
          <w:sz w:val="22"/>
          <w:szCs w:val="22"/>
        </w:rPr>
        <w:t xml:space="preserve"> are all examples.</w:t>
      </w:r>
    </w:p>
    <w:p w14:paraId="07561FC7" w14:textId="62D612B5" w:rsidR="00A371F2" w:rsidRPr="00A371F2" w:rsidRDefault="00A371F2" w:rsidP="00BD5E25">
      <w:r w:rsidRPr="00A371F2">
        <w:t xml:space="preserve">For example, the National Farmers Federation </w:t>
      </w:r>
      <w:sdt>
        <w:sdtPr>
          <w:id w:val="-351571634"/>
          <w:citation/>
        </w:sdtPr>
        <w:sdtEndPr/>
        <w:sdtContent>
          <w:r w:rsidR="00BD5E25">
            <w:fldChar w:fldCharType="begin"/>
          </w:r>
          <w:r w:rsidR="00BD5E25">
            <w:instrText xml:space="preserve">CITATION Nat19 \p 5 \n  \t  \l 3081 </w:instrText>
          </w:r>
          <w:r w:rsidR="00BD5E25">
            <w:fldChar w:fldCharType="separate"/>
          </w:r>
          <w:r w:rsidR="00604A29">
            <w:rPr>
              <w:noProof/>
            </w:rPr>
            <w:t>(2019, p. 5)</w:t>
          </w:r>
          <w:r w:rsidR="00BD5E25">
            <w:fldChar w:fldCharType="end"/>
          </w:r>
        </w:sdtContent>
      </w:sdt>
      <w:r w:rsidRPr="00A371F2">
        <w:t xml:space="preserve"> stated that:</w:t>
      </w:r>
    </w:p>
    <w:p w14:paraId="0E0DBB49" w14:textId="0083044D" w:rsidR="00A371F2" w:rsidRPr="00BD5E25" w:rsidRDefault="00A371F2" w:rsidP="00BD5E25">
      <w:pPr>
        <w:pStyle w:val="Quote"/>
      </w:pPr>
      <w:r w:rsidRPr="00BD5E25">
        <w:t xml:space="preserve">Incursions of a number of exotic weeds in the Shoalwater Bay Training Area in Central Queensland have been linked to Singaporean army activity in the area, for example: Chromolaena odorata (Siam weed) found in 2013; and the following weeds found in 2011: Indigofera vohemarensis; Asystasia gangetica ssp. Micrantha (Chinese violet); and Sida ciliaris (Bracted fanpetals). </w:t>
      </w:r>
    </w:p>
    <w:p w14:paraId="3FD69684" w14:textId="6B277741" w:rsidR="00A371F2" w:rsidRPr="00A371F2" w:rsidRDefault="00A371F2" w:rsidP="00A371F2">
      <w:pPr>
        <w:pStyle w:val="Quote"/>
      </w:pPr>
      <w:r w:rsidRPr="00A371F2">
        <w:t>The NFF seeks assurances that incoming military cargo is subject to the same</w:t>
      </w:r>
      <w:r w:rsidR="00BD5E25">
        <w:t xml:space="preserve"> …</w:t>
      </w:r>
      <w:r w:rsidRPr="00A371F2">
        <w:t xml:space="preserve"> biosecurity protocols and risk assessments as any other imports.</w:t>
      </w:r>
    </w:p>
    <w:p w14:paraId="4602AAF3" w14:textId="5CE84ADA" w:rsidR="00A371F2" w:rsidRPr="00A371F2" w:rsidRDefault="00A371F2" w:rsidP="00BD5E25">
      <w:r w:rsidRPr="00A371F2">
        <w:t>The Department advised the Committee that as the Commonwealth cannot impose a tax on itself, goods brought by the Department of Defence will not attract the levy. More broadly, A</w:t>
      </w:r>
      <w:r w:rsidRPr="00A371F2">
        <w:rPr>
          <w:lang w:eastAsia="ja-JP"/>
        </w:rPr>
        <w:t xml:space="preserve">ustralia maintains </w:t>
      </w:r>
      <w:r w:rsidR="00BC46C7">
        <w:rPr>
          <w:lang w:eastAsia="ja-JP"/>
        </w:rPr>
        <w:t>“</w:t>
      </w:r>
      <w:r w:rsidRPr="00A371F2">
        <w:rPr>
          <w:lang w:eastAsia="ja-JP"/>
        </w:rPr>
        <w:t>status of forces</w:t>
      </w:r>
      <w:r w:rsidR="00BC46C7">
        <w:rPr>
          <w:lang w:eastAsia="ja-JP"/>
        </w:rPr>
        <w:t>”</w:t>
      </w:r>
      <w:r w:rsidRPr="00A371F2">
        <w:rPr>
          <w:lang w:eastAsia="ja-JP"/>
        </w:rPr>
        <w:t xml:space="preserve"> agreements with a number of countries, </w:t>
      </w:r>
      <w:r w:rsidR="00BC46C7">
        <w:t>which handle</w:t>
      </w:r>
      <w:r w:rsidRPr="00A371F2">
        <w:t xml:space="preserve"> issues arising from the presence of a visiting force in another country’s territory. All </w:t>
      </w:r>
      <w:r w:rsidRPr="00A371F2">
        <w:rPr>
          <w:lang w:eastAsia="ja-JP"/>
        </w:rPr>
        <w:t>status of forces agreements to which Australia is a party</w:t>
      </w:r>
      <w:r w:rsidRPr="00A371F2">
        <w:t xml:space="preserve"> include an article stating that goods imported into Australia by the visiting force for the use of that visiting force shall be free of all duties and taxes. </w:t>
      </w:r>
    </w:p>
    <w:p w14:paraId="6F650C1C" w14:textId="77777777" w:rsidR="00A371F2" w:rsidRPr="00A371F2" w:rsidRDefault="00A371F2" w:rsidP="00BD5E25">
      <w:r w:rsidRPr="00A371F2">
        <w:rPr>
          <w:color w:val="000000"/>
        </w:rPr>
        <w:t xml:space="preserve">The Department manages biosecurity risks posed by returning Australian and visiting foreign forces in a manner consistent with the </w:t>
      </w:r>
      <w:r w:rsidRPr="00A371F2">
        <w:t xml:space="preserve">requirements imposed on commercial operators, and does so in conjunction with the Department of Defence. </w:t>
      </w:r>
    </w:p>
    <w:p w14:paraId="128E743A" w14:textId="27262D9A" w:rsidR="00A371F2" w:rsidRPr="00A371F2" w:rsidRDefault="00A371F2" w:rsidP="00BD5E25">
      <w:r w:rsidRPr="00A371F2">
        <w:t>In 2018, the Inspector-General of Biosecurity</w:t>
      </w:r>
      <w:r w:rsidR="00BD5E25">
        <w:t xml:space="preserve"> </w:t>
      </w:r>
      <w:sdt>
        <w:sdtPr>
          <w:id w:val="-23254012"/>
          <w:citation/>
        </w:sdtPr>
        <w:sdtEndPr/>
        <w:sdtContent>
          <w:r w:rsidR="00BD5E25">
            <w:fldChar w:fldCharType="begin"/>
          </w:r>
          <w:r w:rsidR="00BD5E25">
            <w:instrText xml:space="preserve">CITATION Ins8a \n  \t  \l 3081 </w:instrText>
          </w:r>
          <w:r w:rsidR="00BD5E25">
            <w:fldChar w:fldCharType="separate"/>
          </w:r>
          <w:r w:rsidR="00604A29">
            <w:rPr>
              <w:noProof/>
            </w:rPr>
            <w:t>(2018a)</w:t>
          </w:r>
          <w:r w:rsidR="00BD5E25">
            <w:fldChar w:fldCharType="end"/>
          </w:r>
        </w:sdtContent>
      </w:sdt>
      <w:r w:rsidRPr="00A371F2">
        <w:t xml:space="preserve"> published a report on </w:t>
      </w:r>
      <w:r w:rsidR="00BD5E25">
        <w:t>m</w:t>
      </w:r>
      <w:r w:rsidRPr="00A371F2">
        <w:t xml:space="preserve">ilitary </w:t>
      </w:r>
      <w:r w:rsidR="00BD5E25">
        <w:t>b</w:t>
      </w:r>
      <w:r w:rsidRPr="00A371F2">
        <w:t xml:space="preserve">iosecurity </w:t>
      </w:r>
      <w:r w:rsidR="00BD5E25">
        <w:t>r</w:t>
      </w:r>
      <w:r w:rsidRPr="00A371F2">
        <w:t xml:space="preserve">isk </w:t>
      </w:r>
      <w:r w:rsidR="00BD5E25">
        <w:t>m</w:t>
      </w:r>
      <w:r w:rsidRPr="00A371F2">
        <w:t>anagement i</w:t>
      </w:r>
      <w:r w:rsidR="00BD5E25">
        <w:t>n Australia</w:t>
      </w:r>
      <w:r w:rsidRPr="00A371F2">
        <w:t>. It noted that:</w:t>
      </w:r>
    </w:p>
    <w:p w14:paraId="7E0D97D4" w14:textId="598A7AEE" w:rsidR="00A371F2" w:rsidRPr="00A371F2" w:rsidRDefault="00A371F2" w:rsidP="00A371F2">
      <w:pPr>
        <w:ind w:left="720"/>
        <w:rPr>
          <w:i/>
          <w:color w:val="0070C0"/>
        </w:rPr>
      </w:pPr>
      <w:r w:rsidRPr="00A371F2">
        <w:rPr>
          <w:i/>
          <w:color w:val="0070C0"/>
        </w:rPr>
        <w:t>Military aircraft, vessels, vehicles, equipment and personnel kits provide pathways into Australia for exotic pests and diseases and present special biosecurity risks. Military equipment and conveyances operate in many different international environments and frequently land or arrive in Australia at non-first points of entry. Equipment and conveyances can be specialised and complex, making them difficult to inspect. High security is also often necessary during inspection… Agriculture and Defence use biosecurity policies and training manuals (including cleaning manuals and instructional material for special military inspections) to ensure that biosecurity risks are managed, and roles and responsibilities are clear and understood.</w:t>
      </w:r>
      <w:r w:rsidR="00BD5E25">
        <w:rPr>
          <w:i/>
          <w:color w:val="0070C0"/>
        </w:rPr>
        <w:t xml:space="preserve"> </w:t>
      </w:r>
      <w:sdt>
        <w:sdtPr>
          <w:rPr>
            <w:i/>
            <w:color w:val="0070C0"/>
          </w:rPr>
          <w:id w:val="1418603578"/>
          <w:citation/>
        </w:sdtPr>
        <w:sdtEndPr/>
        <w:sdtContent>
          <w:r w:rsidR="00BD5E25">
            <w:rPr>
              <w:i/>
              <w:color w:val="0070C0"/>
            </w:rPr>
            <w:fldChar w:fldCharType="begin"/>
          </w:r>
          <w:r w:rsidR="00BD5E25">
            <w:rPr>
              <w:i/>
              <w:color w:val="0070C0"/>
            </w:rPr>
            <w:instrText xml:space="preserve">CITATION Ins8a \p 5 \t  \l 3081 </w:instrText>
          </w:r>
          <w:r w:rsidR="00BD5E25">
            <w:rPr>
              <w:i/>
              <w:color w:val="0070C0"/>
            </w:rPr>
            <w:fldChar w:fldCharType="separate"/>
          </w:r>
          <w:r w:rsidR="00604A29" w:rsidRPr="00604A29">
            <w:rPr>
              <w:noProof/>
              <w:color w:val="0070C0"/>
            </w:rPr>
            <w:t>(Inspector-General of Biosecurity, 2018a, p. 5)</w:t>
          </w:r>
          <w:r w:rsidR="00BD5E25">
            <w:rPr>
              <w:i/>
              <w:color w:val="0070C0"/>
            </w:rPr>
            <w:fldChar w:fldCharType="end"/>
          </w:r>
        </w:sdtContent>
      </w:sdt>
    </w:p>
    <w:p w14:paraId="6A869A25" w14:textId="2D59B995" w:rsidR="00A371F2" w:rsidRPr="00A371F2" w:rsidRDefault="00A371F2" w:rsidP="00A371F2">
      <w:pPr>
        <w:ind w:left="720"/>
      </w:pPr>
      <w:r w:rsidRPr="00A371F2">
        <w:rPr>
          <w:i/>
          <w:color w:val="0070C0"/>
        </w:rPr>
        <w:t>Agriculture regularly attends planning conferences ahead of major Defence exercises and delivers presentations to raise awareness of Australian biosecurity requirements. It also trains select US defence force and US Department of Agriculture staff in Australia’s biosecurity inspection requirements and accredits them as ‘Agriculture-approved inspectors.</w:t>
      </w:r>
      <w:r w:rsidR="00BD5E25">
        <w:rPr>
          <w:i/>
          <w:color w:val="0070C0"/>
        </w:rPr>
        <w:t xml:space="preserve"> </w:t>
      </w:r>
      <w:sdt>
        <w:sdtPr>
          <w:rPr>
            <w:i/>
            <w:color w:val="0070C0"/>
          </w:rPr>
          <w:id w:val="1766034271"/>
          <w:citation/>
        </w:sdtPr>
        <w:sdtEndPr/>
        <w:sdtContent>
          <w:r w:rsidR="00BC072F">
            <w:rPr>
              <w:i/>
              <w:color w:val="0070C0"/>
            </w:rPr>
            <w:fldChar w:fldCharType="begin"/>
          </w:r>
          <w:r w:rsidR="00BC072F">
            <w:rPr>
              <w:i/>
              <w:color w:val="0070C0"/>
            </w:rPr>
            <w:instrText xml:space="preserve">CITATION Ins8a \p 6 \t  \l 3081 </w:instrText>
          </w:r>
          <w:r w:rsidR="00BC072F">
            <w:rPr>
              <w:i/>
              <w:color w:val="0070C0"/>
            </w:rPr>
            <w:fldChar w:fldCharType="separate"/>
          </w:r>
          <w:r w:rsidR="00604A29" w:rsidRPr="00604A29">
            <w:rPr>
              <w:noProof/>
              <w:color w:val="0070C0"/>
            </w:rPr>
            <w:t>(Inspector-General of Biosecurity, 2018a, p. 6)</w:t>
          </w:r>
          <w:r w:rsidR="00BC072F">
            <w:rPr>
              <w:i/>
              <w:color w:val="0070C0"/>
            </w:rPr>
            <w:fldChar w:fldCharType="end"/>
          </w:r>
        </w:sdtContent>
      </w:sdt>
    </w:p>
    <w:p w14:paraId="48D480A4" w14:textId="77777777" w:rsidR="00A371F2" w:rsidRPr="00A371F2" w:rsidRDefault="00A371F2" w:rsidP="00BD5E25">
      <w:r w:rsidRPr="00A371F2">
        <w:t>The report concluded that:</w:t>
      </w:r>
    </w:p>
    <w:p w14:paraId="1B57EF71" w14:textId="4E7F7A61" w:rsidR="00A371F2" w:rsidRPr="00A371F2" w:rsidRDefault="00A371F2" w:rsidP="00A371F2">
      <w:pPr>
        <w:ind w:left="720"/>
        <w:rPr>
          <w:i/>
          <w:color w:val="0070C0"/>
        </w:rPr>
      </w:pPr>
      <w:r w:rsidRPr="00A371F2">
        <w:rPr>
          <w:i/>
          <w:color w:val="0070C0"/>
        </w:rPr>
        <w:t>Agriculture and Defence are cooperating well to manage the biosecurity risks of Australian and foreign military movements into Australia. Biosecurity risk management measures are well planned and well implemented.</w:t>
      </w:r>
      <w:r w:rsidR="00BC072F">
        <w:rPr>
          <w:i/>
          <w:color w:val="0070C0"/>
        </w:rPr>
        <w:t xml:space="preserve"> </w:t>
      </w:r>
      <w:sdt>
        <w:sdtPr>
          <w:rPr>
            <w:i/>
            <w:color w:val="0070C0"/>
          </w:rPr>
          <w:id w:val="2102521677"/>
          <w:citation/>
        </w:sdtPr>
        <w:sdtEndPr/>
        <w:sdtContent>
          <w:r w:rsidR="00BC072F">
            <w:rPr>
              <w:i/>
              <w:color w:val="0070C0"/>
            </w:rPr>
            <w:fldChar w:fldCharType="begin"/>
          </w:r>
          <w:r w:rsidR="00BC072F">
            <w:rPr>
              <w:i/>
              <w:color w:val="0070C0"/>
            </w:rPr>
            <w:instrText xml:space="preserve">CITATION Ins8a \p 7 \t  \l 3081 </w:instrText>
          </w:r>
          <w:r w:rsidR="00BC072F">
            <w:rPr>
              <w:i/>
              <w:color w:val="0070C0"/>
            </w:rPr>
            <w:fldChar w:fldCharType="separate"/>
          </w:r>
          <w:r w:rsidR="00604A29" w:rsidRPr="00604A29">
            <w:rPr>
              <w:noProof/>
              <w:color w:val="0070C0"/>
            </w:rPr>
            <w:t>(Inspector-General of Biosecurity, 2018a, p. 7)</w:t>
          </w:r>
          <w:r w:rsidR="00BC072F">
            <w:rPr>
              <w:i/>
              <w:color w:val="0070C0"/>
            </w:rPr>
            <w:fldChar w:fldCharType="end"/>
          </w:r>
        </w:sdtContent>
      </w:sdt>
    </w:p>
    <w:p w14:paraId="5C500EB1" w14:textId="4C07B5D8" w:rsidR="00615A4B" w:rsidRDefault="00A371F2" w:rsidP="00BD5E25">
      <w:r w:rsidRPr="00A371F2">
        <w:t>Five recommendations were made to improve existing procedures. All were agreed to by the Department.</w:t>
      </w:r>
    </w:p>
    <w:p w14:paraId="5ED7F6E9" w14:textId="65136C62" w:rsidR="00F7337F" w:rsidRDefault="00FE2487" w:rsidP="00BC46C7">
      <w:pPr>
        <w:spacing w:before="0" w:after="160" w:line="259" w:lineRule="auto"/>
      </w:pPr>
      <w:r>
        <w:rPr>
          <w:szCs w:val="22"/>
        </w:rPr>
        <w:t xml:space="preserve"> </w:t>
      </w:r>
      <w:r w:rsidR="00F7337F">
        <w:br w:type="page"/>
      </w:r>
    </w:p>
    <w:p w14:paraId="0208FEED" w14:textId="114A36E2" w:rsidR="00286C16" w:rsidRDefault="00615A4B" w:rsidP="00286C16">
      <w:pPr>
        <w:pStyle w:val="Heading1"/>
      </w:pPr>
      <w:bookmarkStart w:id="42" w:name="_Toc10031906"/>
      <w:r>
        <w:t>9</w:t>
      </w:r>
      <w:r w:rsidR="00286C16" w:rsidRPr="00A87446">
        <w:t>.</w:t>
      </w:r>
      <w:r w:rsidR="00286C16" w:rsidRPr="00A87446">
        <w:tab/>
      </w:r>
      <w:r w:rsidR="00F85F4E">
        <w:t xml:space="preserve">The </w:t>
      </w:r>
      <w:r w:rsidR="00CD39B9">
        <w:t xml:space="preserve">Committee’s </w:t>
      </w:r>
      <w:r w:rsidR="00286C16" w:rsidRPr="00A87446">
        <w:t>Assessment</w:t>
      </w:r>
      <w:bookmarkEnd w:id="42"/>
    </w:p>
    <w:p w14:paraId="57530617" w14:textId="49EEFB85" w:rsidR="00D044D0" w:rsidRPr="00D044D0" w:rsidRDefault="00615A4B" w:rsidP="00D044D0">
      <w:pPr>
        <w:pStyle w:val="Heading2"/>
      </w:pPr>
      <w:bookmarkStart w:id="43" w:name="_Toc10031907"/>
      <w:r>
        <w:t>9</w:t>
      </w:r>
      <w:r w:rsidR="00D044D0">
        <w:t>.1</w:t>
      </w:r>
      <w:r w:rsidR="00D044D0">
        <w:tab/>
      </w:r>
      <w:r w:rsidR="00DD49AE">
        <w:t>Assessment o</w:t>
      </w:r>
      <w:r w:rsidR="00C27B7C">
        <w:t xml:space="preserve">f the </w:t>
      </w:r>
      <w:r w:rsidR="00DD49AE">
        <w:t>Biosecurity Levy</w:t>
      </w:r>
      <w:bookmarkEnd w:id="43"/>
    </w:p>
    <w:p w14:paraId="2741B53A" w14:textId="15EB07AB" w:rsidR="00196818" w:rsidRDefault="00FB154A" w:rsidP="00452460">
      <w:r>
        <w:t>The</w:t>
      </w:r>
      <w:r w:rsidR="003D3229">
        <w:t xml:space="preserve"> Committee’s </w:t>
      </w:r>
      <w:r>
        <w:t xml:space="preserve">clear </w:t>
      </w:r>
      <w:r w:rsidR="003D3229">
        <w:t>view</w:t>
      </w:r>
      <w:r w:rsidR="00F85F4E">
        <w:t xml:space="preserve"> is that</w:t>
      </w:r>
      <w:r w:rsidR="003D3229">
        <w:t xml:space="preserve"> risk </w:t>
      </w:r>
      <w:r w:rsidR="00AE1B84">
        <w:t xml:space="preserve">creators and </w:t>
      </w:r>
      <w:r w:rsidR="003D3229">
        <w:t>exacerbators should pay for</w:t>
      </w:r>
      <w:r w:rsidR="00164A8B">
        <w:t xml:space="preserve"> the non-</w:t>
      </w:r>
      <w:r w:rsidR="00003412">
        <w:t xml:space="preserve">pure </w:t>
      </w:r>
      <w:r w:rsidR="00164A8B">
        <w:t>public good components of</w:t>
      </w:r>
      <w:r w:rsidR="003D3229">
        <w:t xml:space="preserve"> biosecurity services</w:t>
      </w:r>
      <w:r w:rsidR="00F46F24">
        <w:t xml:space="preserve"> that relate to border and pre-border activities</w:t>
      </w:r>
      <w:r w:rsidR="003D3229">
        <w:t xml:space="preserve">. Further, the Committee also considers that the point of imposition and collection should be as close as possible to the actual risk </w:t>
      </w:r>
      <w:r w:rsidR="00AE1B84">
        <w:t xml:space="preserve">creators and </w:t>
      </w:r>
      <w:r w:rsidR="003D3229">
        <w:t xml:space="preserve">exacerbators. </w:t>
      </w:r>
    </w:p>
    <w:p w14:paraId="5A903308" w14:textId="34D8A28A" w:rsidR="00452460" w:rsidRDefault="00776ABB" w:rsidP="00452460">
      <w:r>
        <w:t>On this basis, t</w:t>
      </w:r>
      <w:r w:rsidR="00452460">
        <w:t>he Committee support</w:t>
      </w:r>
      <w:r w:rsidR="00196818">
        <w:t>s</w:t>
      </w:r>
      <w:r w:rsidR="00452460">
        <w:t xml:space="preserve"> the imposition of a levy</w:t>
      </w:r>
      <w:r w:rsidR="00F85F4E">
        <w:t xml:space="preserve"> </w:t>
      </w:r>
      <w:r w:rsidR="00452460">
        <w:t>on the importation of containers (</w:t>
      </w:r>
      <w:r w:rsidR="00452460" w:rsidRPr="00164A8B">
        <w:t>both sea and air)</w:t>
      </w:r>
      <w:r w:rsidR="00452460">
        <w:t>, break</w:t>
      </w:r>
      <w:r w:rsidR="007C7FAF" w:rsidRPr="007C7FAF">
        <w:t xml:space="preserve"> </w:t>
      </w:r>
      <w:r w:rsidR="007C7FAF">
        <w:t>bulk</w:t>
      </w:r>
      <w:r w:rsidR="00452460">
        <w:t xml:space="preserve"> items, </w:t>
      </w:r>
      <w:r w:rsidR="00F85F4E">
        <w:t xml:space="preserve">and </w:t>
      </w:r>
      <w:r w:rsidR="00452460">
        <w:t xml:space="preserve">certain </w:t>
      </w:r>
      <w:r w:rsidR="00F85F4E">
        <w:t>bulk items of an organic nature</w:t>
      </w:r>
      <w:r w:rsidR="00452460">
        <w:t>.</w:t>
      </w:r>
    </w:p>
    <w:p w14:paraId="6E078CBE" w14:textId="2C05EFD8" w:rsidR="00A45C3A" w:rsidRDefault="003D3229" w:rsidP="00266A24">
      <w:r>
        <w:t xml:space="preserve">To the extent that </w:t>
      </w:r>
      <w:r w:rsidRPr="00017FE2">
        <w:t>cargo owners/importers</w:t>
      </w:r>
      <w:r>
        <w:t xml:space="preserve"> are risk </w:t>
      </w:r>
      <w:r w:rsidR="00AE1B84">
        <w:t xml:space="preserve">creators or </w:t>
      </w:r>
      <w:r>
        <w:t>exacerbators, a biosecurity levy should be imposed directly upon them and the appropriate collection mechanism is the FID. This is consistent with existing government policy in relation to the collection of other fees, levies, taxes and duties imposed o</w:t>
      </w:r>
      <w:r w:rsidR="00266A24">
        <w:t>n incoming cargo to Australia.</w:t>
      </w:r>
    </w:p>
    <w:p w14:paraId="5F051E78" w14:textId="7FA4804C" w:rsidR="00266A24" w:rsidRDefault="00266A24" w:rsidP="00266A24">
      <w:r>
        <w:t xml:space="preserve">As discussed in section 7.4, the Committee is not persuaded that an additional levy </w:t>
      </w:r>
      <w:r w:rsidR="006C69D0">
        <w:t xml:space="preserve">should </w:t>
      </w:r>
      <w:r>
        <w:t>be applied to vessels (through the MARS)</w:t>
      </w:r>
      <w:r w:rsidR="00AE1B84">
        <w:t>.</w:t>
      </w:r>
      <w:r>
        <w:t xml:space="preserve"> </w:t>
      </w:r>
      <w:r w:rsidR="00AE1B84">
        <w:t>I</w:t>
      </w:r>
      <w:r>
        <w:t>f there are remaining unrecovered costs on vessels, increasing the existing vessel operator charge</w:t>
      </w:r>
      <w:r w:rsidR="00604A29">
        <w:t xml:space="preserve"> </w:t>
      </w:r>
      <w:r w:rsidR="00AE1B84">
        <w:t>(</w:t>
      </w:r>
      <w:r w:rsidR="00604A29">
        <w:t xml:space="preserve">and </w:t>
      </w:r>
      <w:r w:rsidR="00AE1B84">
        <w:t xml:space="preserve">associated </w:t>
      </w:r>
      <w:r w:rsidR="00604A29">
        <w:t>in-office and out-of-office fees</w:t>
      </w:r>
      <w:r w:rsidR="00AE1B84">
        <w:t>)</w:t>
      </w:r>
      <w:r>
        <w:t xml:space="preserve"> is the appropriate </w:t>
      </w:r>
      <w:r w:rsidR="006C69D0">
        <w:t>response</w:t>
      </w:r>
      <w:r>
        <w:t>.</w:t>
      </w:r>
    </w:p>
    <w:p w14:paraId="6B3BECAD" w14:textId="40D9757A" w:rsidR="002926A9" w:rsidRDefault="007638BE" w:rsidP="00471456">
      <w:r>
        <w:t xml:space="preserve">The central challenge </w:t>
      </w:r>
      <w:r w:rsidR="0016340A">
        <w:t xml:space="preserve">of the Committee </w:t>
      </w:r>
      <w:r>
        <w:t xml:space="preserve">has been how to apportion the </w:t>
      </w:r>
      <w:r w:rsidR="00C6638B">
        <w:t xml:space="preserve">biosecurity </w:t>
      </w:r>
      <w:r>
        <w:t>levy across different import pathways in line with biosecurity risk, and hence</w:t>
      </w:r>
      <w:r w:rsidRPr="004C5129">
        <w:t xml:space="preserve"> </w:t>
      </w:r>
      <w:r>
        <w:t xml:space="preserve">fairness (or equity) to levy payers, as </w:t>
      </w:r>
      <w:r w:rsidR="002926A9">
        <w:t>required by its</w:t>
      </w:r>
      <w:r w:rsidR="00AE1B84">
        <w:t xml:space="preserve"> terms of r</w:t>
      </w:r>
      <w:r>
        <w:t>eference.</w:t>
      </w:r>
      <w:r w:rsidR="0016340A">
        <w:t xml:space="preserve"> </w:t>
      </w:r>
    </w:p>
    <w:p w14:paraId="5E898CFD" w14:textId="37D89F89" w:rsidR="00FB154A" w:rsidRPr="00AA5FD5" w:rsidRDefault="00FB154A" w:rsidP="00FB154A">
      <w:r w:rsidRPr="00AA5FD5">
        <w:t>The Committee invested considerable effort in developing and assess</w:t>
      </w:r>
      <w:r w:rsidR="00024D24">
        <w:t>ing</w:t>
      </w:r>
      <w:r w:rsidRPr="00AA5FD5">
        <w:t xml:space="preserve"> a range of potential levy designs that which would generate the desired revenue target. </w:t>
      </w:r>
    </w:p>
    <w:p w14:paraId="4E5D2E8A" w14:textId="77777777" w:rsidR="004B1310" w:rsidRDefault="004B1310" w:rsidP="004B1310">
      <w:pPr>
        <w:rPr>
          <w:szCs w:val="22"/>
        </w:rPr>
      </w:pPr>
      <w:r>
        <w:t>This work is summarised in Appendix 6 and several of the options considered by the Committee are described. While some of them are clearly rejected, others merit further consideration once the biosecurity risk data is available.</w:t>
      </w:r>
    </w:p>
    <w:p w14:paraId="430F1615" w14:textId="77777777" w:rsidR="00FB154A" w:rsidRPr="00AA5FD5" w:rsidRDefault="00FB154A" w:rsidP="00FB154A">
      <w:r w:rsidRPr="00AA5FD5">
        <w:t>While some of these options were clearly better than others, when assessed against the principles that the levy was to be biosecurity risk related and against generally accepted taxation principles, they all suffer from the absence of any clear and demonstrable basis on which to assess the appropriateness of the relative contributions to biosecurity risk generated through different import pathways.</w:t>
      </w:r>
    </w:p>
    <w:p w14:paraId="34CEF5E7" w14:textId="77777777" w:rsidR="00FB154A" w:rsidRPr="00AA5FD5" w:rsidRDefault="00FB154A" w:rsidP="00FB154A">
      <w:r w:rsidRPr="00AA5FD5">
        <w:t xml:space="preserve">None of the options were considered likely to generate sufficient confidence from industry to generate a </w:t>
      </w:r>
      <w:r>
        <w:t xml:space="preserve">sustainable </w:t>
      </w:r>
      <w:r w:rsidRPr="00AA5FD5">
        <w:t>funding basis for the biosecurity function, and the Committee was therefore reluctant to advocate any of these options as the basis for a risk</w:t>
      </w:r>
      <w:r>
        <w:t>-</w:t>
      </w:r>
      <w:r w:rsidRPr="00AA5FD5">
        <w:t>based biosecurity levy.</w:t>
      </w:r>
    </w:p>
    <w:p w14:paraId="02BC6355" w14:textId="7491EAE2" w:rsidR="00FB154A" w:rsidRDefault="00FB154A" w:rsidP="00FB154A">
      <w:r w:rsidRPr="00AA5FD5">
        <w:t>The Committee sought advice from the responsible authorities on the source of biosecurity risks to inform its work on several occasions but was frustrated by their inability to provide robust, science-based data on the relative risks attached to the import vectors and pathways. Until the work to produce this information is undertaken, the Committee consider</w:t>
      </w:r>
      <w:r>
        <w:t>s</w:t>
      </w:r>
      <w:r w:rsidRPr="00AA5FD5">
        <w:t xml:space="preserve"> that there </w:t>
      </w:r>
      <w:r>
        <w:t xml:space="preserve">is </w:t>
      </w:r>
      <w:r w:rsidRPr="00AA5FD5">
        <w:t>no solid foundation for the selection of a preferred option.</w:t>
      </w:r>
    </w:p>
    <w:p w14:paraId="103B6124" w14:textId="4CC5637B" w:rsidR="00FB154A" w:rsidRPr="00F04050" w:rsidRDefault="00FB154A" w:rsidP="00FB154A">
      <w:r w:rsidRPr="00F04050">
        <w:t xml:space="preserve">The </w:t>
      </w:r>
      <w:r>
        <w:t xml:space="preserve">Committee is disappointed that the government was not able to provide this data, noting separate advice to the Committee from the </w:t>
      </w:r>
      <w:r w:rsidRPr="00F04050">
        <w:t>Centre for Excellence in Biosecurity Risk Analysis that this information should not be unduly difficult to generate</w:t>
      </w:r>
      <w:r>
        <w:t>.</w:t>
      </w:r>
    </w:p>
    <w:p w14:paraId="717C96CB" w14:textId="510A4A77" w:rsidR="0012515F" w:rsidRDefault="00FB154A" w:rsidP="00FB154A">
      <w:r>
        <w:t xml:space="preserve">The </w:t>
      </w:r>
      <w:r w:rsidRPr="00AA5FD5">
        <w:t xml:space="preserve">Committee is confident that it could quickly </w:t>
      </w:r>
      <w:r>
        <w:t xml:space="preserve">finalise </w:t>
      </w:r>
      <w:r w:rsidRPr="00AA5FD5">
        <w:t>and recommend a preferred levy design</w:t>
      </w:r>
      <w:r>
        <w:t xml:space="preserve"> if that information were to be made available</w:t>
      </w:r>
      <w:r w:rsidRPr="00AA5FD5">
        <w:t>.</w:t>
      </w:r>
    </w:p>
    <w:p w14:paraId="1691A07C" w14:textId="2BCC6A0F" w:rsidR="006C69D0" w:rsidRDefault="006C69D0" w:rsidP="00471456">
      <w:r>
        <w:t xml:space="preserve">Given the Committee’s conundrum, it also considered recommending an </w:t>
      </w:r>
      <w:r w:rsidRPr="00B041E2">
        <w:rPr>
          <w:i/>
        </w:rPr>
        <w:t>imperfect interim design</w:t>
      </w:r>
      <w:r>
        <w:t>, which would allow the timetable to be met. This might apply for a 12 months period, and be associated with a legislative sunset provision. During this period, additional analysis could be conducted to provide the necessary matrix of biosecurity risks across vectors and pathways.</w:t>
      </w:r>
    </w:p>
    <w:p w14:paraId="5C0D85DC" w14:textId="5E185368" w:rsidR="006C69D0" w:rsidRDefault="006C69D0" w:rsidP="00471456">
      <w:r>
        <w:t xml:space="preserve">However, the Committee concluded that even that option was undesirable, given the risk that it might become a permanent solution, and the impetus to </w:t>
      </w:r>
      <w:r w:rsidR="00AE1B84">
        <w:t>research</w:t>
      </w:r>
      <w:r>
        <w:t xml:space="preserve"> the required biosecurity risk profile might be lost.</w:t>
      </w:r>
    </w:p>
    <w:p w14:paraId="05409590" w14:textId="209B8A4A" w:rsidR="003D063A" w:rsidRDefault="00266A24" w:rsidP="00F33538">
      <w:r>
        <w:t xml:space="preserve">The Committee has </w:t>
      </w:r>
      <w:r w:rsidR="006C69D0">
        <w:t xml:space="preserve">therefore </w:t>
      </w:r>
      <w:r>
        <w:t>come to the view that</w:t>
      </w:r>
      <w:r w:rsidR="00BD04C0">
        <w:t xml:space="preserve">, in the absence of authoritative, science-based advice to identify the quantum and relative biosecurity risk generated by the various import pathways, </w:t>
      </w:r>
      <w:r>
        <w:t>it</w:t>
      </w:r>
      <w:r w:rsidR="00BD04C0">
        <w:t xml:space="preserve"> is unable to determine an appropriate level for a biosecurity levy to apply to such items. </w:t>
      </w:r>
      <w:r>
        <w:t>Without</w:t>
      </w:r>
      <w:r w:rsidR="00323F93">
        <w:t xml:space="preserve"> such information, the robust basis on which </w:t>
      </w:r>
      <w:r>
        <w:t>a levy</w:t>
      </w:r>
      <w:r w:rsidR="00323F93">
        <w:t xml:space="preserve"> could </w:t>
      </w:r>
      <w:r>
        <w:t xml:space="preserve">be </w:t>
      </w:r>
      <w:r w:rsidR="00323F93">
        <w:t>base</w:t>
      </w:r>
      <w:r>
        <w:t>d, leading to</w:t>
      </w:r>
      <w:r w:rsidR="00323F93">
        <w:t xml:space="preserve"> a definitive recommendation that would enjoy wide </w:t>
      </w:r>
      <w:r w:rsidR="00A81FA2">
        <w:t>private sector</w:t>
      </w:r>
      <w:r w:rsidR="00323F93">
        <w:t xml:space="preserve"> support</w:t>
      </w:r>
      <w:r>
        <w:t>, does not exist</w:t>
      </w:r>
      <w:r w:rsidR="00323F93">
        <w:t>.</w:t>
      </w:r>
    </w:p>
    <w:p w14:paraId="15BAEF05" w14:textId="71FF0238" w:rsidR="00364F96" w:rsidRDefault="00266A24" w:rsidP="00DD49AE">
      <w:pPr>
        <w:pStyle w:val="Heading2"/>
      </w:pPr>
      <w:bookmarkStart w:id="44" w:name="_Toc10031908"/>
      <w:r>
        <w:t>9</w:t>
      </w:r>
      <w:r w:rsidR="00DD49AE">
        <w:t>.2</w:t>
      </w:r>
      <w:r w:rsidR="00DD49AE">
        <w:tab/>
      </w:r>
      <w:r w:rsidR="002926A9">
        <w:t>A Way</w:t>
      </w:r>
      <w:r w:rsidR="00DD49AE">
        <w:t xml:space="preserve"> Forward</w:t>
      </w:r>
      <w:bookmarkEnd w:id="44"/>
    </w:p>
    <w:p w14:paraId="58682F99" w14:textId="315B665B" w:rsidR="00393130" w:rsidRDefault="002926A9" w:rsidP="00393130">
      <w:r>
        <w:t>Given</w:t>
      </w:r>
      <w:r w:rsidR="00D85DC7">
        <w:t xml:space="preserve"> the Committee</w:t>
      </w:r>
      <w:r>
        <w:t>’s conclusion, it</w:t>
      </w:r>
      <w:r w:rsidR="00D85DC7">
        <w:t xml:space="preserve"> recommends that the Department, </w:t>
      </w:r>
      <w:r w:rsidR="0076171B">
        <w:t xml:space="preserve">the </w:t>
      </w:r>
      <w:r w:rsidR="0076171B">
        <w:rPr>
          <w:iCs/>
        </w:rPr>
        <w:t xml:space="preserve">Inspector-General of Biosecurity and/or </w:t>
      </w:r>
      <w:r w:rsidR="00B8299B">
        <w:rPr>
          <w:iCs/>
        </w:rPr>
        <w:t xml:space="preserve">the </w:t>
      </w:r>
      <w:r w:rsidR="00393130">
        <w:t xml:space="preserve">Centre of Excellence for Biosecurity Risk Analysis </w:t>
      </w:r>
      <w:r w:rsidR="00B8299B">
        <w:t xml:space="preserve">undertake work </w:t>
      </w:r>
      <w:r w:rsidR="00F23591">
        <w:t xml:space="preserve">to establish the quantum and relative biosecurity risk generated by the various import pathways </w:t>
      </w:r>
      <w:r w:rsidR="00B8299B">
        <w:t>as a matter of urgency.</w:t>
      </w:r>
      <w:r w:rsidR="00266A24">
        <w:t xml:space="preserve"> The Committee considers that with an appropriate </w:t>
      </w:r>
      <w:r w:rsidR="009C0F73">
        <w:t>directive</w:t>
      </w:r>
      <w:r w:rsidR="00266A24">
        <w:t xml:space="preserve"> of urgency from the </w:t>
      </w:r>
      <w:r w:rsidR="006E1366">
        <w:t xml:space="preserve">new </w:t>
      </w:r>
      <w:r w:rsidR="00266A24">
        <w:t>Minister</w:t>
      </w:r>
      <w:r w:rsidR="006E1366">
        <w:t xml:space="preserve"> for Agriculture</w:t>
      </w:r>
      <w:r w:rsidR="00266A24">
        <w:t xml:space="preserve">, this work should be able to be completed within three months or so. The Committee would be open to </w:t>
      </w:r>
      <w:r w:rsidR="009C0F73">
        <w:t xml:space="preserve">then </w:t>
      </w:r>
      <w:r w:rsidR="00266A24">
        <w:t>being re-convened in order to complete its task</w:t>
      </w:r>
      <w:r w:rsidR="009C0F73">
        <w:t xml:space="preserve"> i</w:t>
      </w:r>
      <w:r w:rsidR="007C7FAF">
        <w:t>f this would assist the process</w:t>
      </w:r>
      <w:r w:rsidR="00266A24">
        <w:t>.</w:t>
      </w:r>
      <w:r w:rsidR="007C7FAF">
        <w:t xml:space="preserve"> </w:t>
      </w:r>
    </w:p>
    <w:p w14:paraId="1E9A2C9E" w14:textId="3100A006" w:rsidR="006B49AE" w:rsidRDefault="00466E8C" w:rsidP="00393130">
      <w:pPr>
        <w:rPr>
          <w:szCs w:val="48"/>
        </w:rPr>
      </w:pPr>
      <w:r>
        <w:rPr>
          <w:szCs w:val="48"/>
        </w:rPr>
        <w:t xml:space="preserve">The </w:t>
      </w:r>
      <w:r w:rsidR="002926A9">
        <w:rPr>
          <w:szCs w:val="48"/>
        </w:rPr>
        <w:t>likely</w:t>
      </w:r>
      <w:r w:rsidR="005D40A2">
        <w:rPr>
          <w:szCs w:val="48"/>
        </w:rPr>
        <w:t xml:space="preserve"> impact on </w:t>
      </w:r>
      <w:r w:rsidR="002926A9">
        <w:rPr>
          <w:szCs w:val="48"/>
        </w:rPr>
        <w:t xml:space="preserve">various sectors of </w:t>
      </w:r>
      <w:r w:rsidR="009C0F73">
        <w:rPr>
          <w:szCs w:val="48"/>
        </w:rPr>
        <w:t>industry from</w:t>
      </w:r>
      <w:r w:rsidR="005D40A2">
        <w:rPr>
          <w:szCs w:val="48"/>
        </w:rPr>
        <w:t xml:space="preserve"> the </w:t>
      </w:r>
      <w:r>
        <w:rPr>
          <w:szCs w:val="48"/>
        </w:rPr>
        <w:t>design of a</w:t>
      </w:r>
      <w:r w:rsidR="005D40A2">
        <w:rPr>
          <w:szCs w:val="48"/>
        </w:rPr>
        <w:t>ny</w:t>
      </w:r>
      <w:r>
        <w:rPr>
          <w:szCs w:val="48"/>
        </w:rPr>
        <w:t xml:space="preserve"> future biosecurity levy should also be subject to a </w:t>
      </w:r>
      <w:r w:rsidR="002926A9">
        <w:rPr>
          <w:szCs w:val="48"/>
        </w:rPr>
        <w:t>Regulation Impact S</w:t>
      </w:r>
      <w:r w:rsidR="00A8315C">
        <w:rPr>
          <w:szCs w:val="48"/>
        </w:rPr>
        <w:t>tatement</w:t>
      </w:r>
      <w:r w:rsidR="007B7171">
        <w:rPr>
          <w:szCs w:val="48"/>
        </w:rPr>
        <w:t xml:space="preserve">. </w:t>
      </w:r>
      <w:r w:rsidR="004A64F3">
        <w:rPr>
          <w:szCs w:val="48"/>
        </w:rPr>
        <w:t xml:space="preserve">While </w:t>
      </w:r>
      <w:r w:rsidR="00295E27">
        <w:rPr>
          <w:szCs w:val="48"/>
        </w:rPr>
        <w:t xml:space="preserve">a </w:t>
      </w:r>
      <w:r w:rsidR="002926A9">
        <w:rPr>
          <w:szCs w:val="48"/>
        </w:rPr>
        <w:t xml:space="preserve">Regulation Impact Statement </w:t>
      </w:r>
      <w:r w:rsidR="00295E27">
        <w:rPr>
          <w:szCs w:val="48"/>
        </w:rPr>
        <w:t xml:space="preserve">is required </w:t>
      </w:r>
      <w:r w:rsidR="0076101A">
        <w:t>for all Cabinet submissions</w:t>
      </w:r>
      <w:r w:rsidR="002926A9">
        <w:t>,</w:t>
      </w:r>
      <w:r w:rsidR="0076101A">
        <w:t xml:space="preserve"> </w:t>
      </w:r>
      <w:r w:rsidR="0088324D">
        <w:rPr>
          <w:szCs w:val="48"/>
        </w:rPr>
        <w:t xml:space="preserve">this was not </w:t>
      </w:r>
      <w:r w:rsidR="002926A9">
        <w:rPr>
          <w:szCs w:val="48"/>
        </w:rPr>
        <w:t>undertaken prior to the announcement of</w:t>
      </w:r>
      <w:r w:rsidR="0088324D">
        <w:rPr>
          <w:szCs w:val="48"/>
        </w:rPr>
        <w:t xml:space="preserve"> the </w:t>
      </w:r>
      <w:r w:rsidR="00FA4F92">
        <w:rPr>
          <w:szCs w:val="48"/>
        </w:rPr>
        <w:t>Biosecurity Imports Levy</w:t>
      </w:r>
      <w:r w:rsidR="0088324D">
        <w:rPr>
          <w:szCs w:val="48"/>
        </w:rPr>
        <w:t xml:space="preserve">. </w:t>
      </w:r>
    </w:p>
    <w:p w14:paraId="635ACD65" w14:textId="718684B7" w:rsidR="00AE1B84" w:rsidRDefault="00DD18C4" w:rsidP="00393130">
      <w:pPr>
        <w:rPr>
          <w:szCs w:val="48"/>
        </w:rPr>
      </w:pPr>
      <w:r>
        <w:rPr>
          <w:szCs w:val="48"/>
        </w:rPr>
        <w:t xml:space="preserve">The Committee understands </w:t>
      </w:r>
      <w:r w:rsidR="00F46F24">
        <w:rPr>
          <w:szCs w:val="48"/>
        </w:rPr>
        <w:t xml:space="preserve">that </w:t>
      </w:r>
      <w:r>
        <w:rPr>
          <w:szCs w:val="48"/>
        </w:rPr>
        <w:t xml:space="preserve">the Department was granted an exemption </w:t>
      </w:r>
      <w:r w:rsidR="003B307D">
        <w:rPr>
          <w:szCs w:val="48"/>
        </w:rPr>
        <w:t xml:space="preserve">by the Office of Best Practice Regulation </w:t>
      </w:r>
      <w:r>
        <w:rPr>
          <w:szCs w:val="48"/>
        </w:rPr>
        <w:t xml:space="preserve">from the requirement to prepare a </w:t>
      </w:r>
      <w:r w:rsidR="002926A9">
        <w:rPr>
          <w:szCs w:val="48"/>
        </w:rPr>
        <w:t>Regulation Impact Statement</w:t>
      </w:r>
      <w:r w:rsidR="00AE1B84">
        <w:rPr>
          <w:szCs w:val="48"/>
        </w:rPr>
        <w:t>,</w:t>
      </w:r>
      <w:r>
        <w:rPr>
          <w:szCs w:val="48"/>
        </w:rPr>
        <w:t xml:space="preserve"> </w:t>
      </w:r>
      <w:r w:rsidR="009C0F73">
        <w:rPr>
          <w:szCs w:val="48"/>
        </w:rPr>
        <w:t>having</w:t>
      </w:r>
      <w:r w:rsidR="00F46F24">
        <w:rPr>
          <w:szCs w:val="48"/>
        </w:rPr>
        <w:t xml:space="preserve"> </w:t>
      </w:r>
      <w:r w:rsidR="00884846">
        <w:rPr>
          <w:szCs w:val="48"/>
        </w:rPr>
        <w:t>certified</w:t>
      </w:r>
      <w:r>
        <w:rPr>
          <w:szCs w:val="48"/>
        </w:rPr>
        <w:t xml:space="preserve"> that the IABR </w:t>
      </w:r>
      <w:r w:rsidR="002926A9">
        <w:rPr>
          <w:szCs w:val="48"/>
        </w:rPr>
        <w:t>could be regarded</w:t>
      </w:r>
      <w:r>
        <w:rPr>
          <w:szCs w:val="48"/>
        </w:rPr>
        <w:t xml:space="preserve"> as </w:t>
      </w:r>
      <w:r w:rsidR="00884846" w:rsidRPr="00884846">
        <w:rPr>
          <w:rFonts w:cs="Arial"/>
          <w:color w:val="000000"/>
          <w:szCs w:val="22"/>
          <w:lang w:eastAsia="en-AU"/>
        </w:rPr>
        <w:t xml:space="preserve">an independent review </w:t>
      </w:r>
      <w:r w:rsidR="009C0F73">
        <w:rPr>
          <w:rFonts w:cs="Arial"/>
          <w:color w:val="000000"/>
          <w:szCs w:val="22"/>
          <w:lang w:eastAsia="en-AU"/>
        </w:rPr>
        <w:t>which met</w:t>
      </w:r>
      <w:r w:rsidR="00884846" w:rsidRPr="00884846">
        <w:rPr>
          <w:rFonts w:cs="Arial"/>
          <w:color w:val="000000"/>
          <w:szCs w:val="22"/>
          <w:lang w:eastAsia="en-AU"/>
        </w:rPr>
        <w:t xml:space="preserve"> the</w:t>
      </w:r>
      <w:r w:rsidR="009C0F73" w:rsidRPr="009C0F73">
        <w:rPr>
          <w:szCs w:val="48"/>
        </w:rPr>
        <w:t xml:space="preserve"> </w:t>
      </w:r>
      <w:r w:rsidR="009C0F73">
        <w:rPr>
          <w:szCs w:val="48"/>
        </w:rPr>
        <w:t>Regulation Impact Statement</w:t>
      </w:r>
      <w:r w:rsidR="00884846" w:rsidRPr="00884846">
        <w:rPr>
          <w:rFonts w:cs="Arial"/>
          <w:color w:val="000000"/>
          <w:szCs w:val="22"/>
          <w:lang w:eastAsia="en-AU"/>
        </w:rPr>
        <w:t xml:space="preserve"> </w:t>
      </w:r>
      <w:r w:rsidR="005B0F72">
        <w:rPr>
          <w:rFonts w:cs="Arial"/>
          <w:color w:val="000000"/>
          <w:szCs w:val="22"/>
          <w:lang w:eastAsia="en-AU"/>
        </w:rPr>
        <w:t>requirement</w:t>
      </w:r>
      <w:r w:rsidR="00884846" w:rsidRPr="00884846">
        <w:rPr>
          <w:rFonts w:cs="Arial"/>
          <w:color w:val="000000"/>
          <w:szCs w:val="22"/>
          <w:lang w:eastAsia="en-AU"/>
        </w:rPr>
        <w:t>s</w:t>
      </w:r>
      <w:r>
        <w:rPr>
          <w:szCs w:val="48"/>
        </w:rPr>
        <w:t>.</w:t>
      </w:r>
      <w:r w:rsidR="00D45F21">
        <w:rPr>
          <w:szCs w:val="48"/>
        </w:rPr>
        <w:t xml:space="preserve"> </w:t>
      </w:r>
    </w:p>
    <w:p w14:paraId="37D4A76E" w14:textId="3FCA1E65" w:rsidR="00F10C51" w:rsidRDefault="002926A9" w:rsidP="00141B34">
      <w:pPr>
        <w:rPr>
          <w:szCs w:val="48"/>
        </w:rPr>
      </w:pPr>
      <w:r>
        <w:rPr>
          <w:szCs w:val="48"/>
        </w:rPr>
        <w:t>However, t</w:t>
      </w:r>
      <w:r w:rsidR="00A1420B">
        <w:rPr>
          <w:szCs w:val="48"/>
        </w:rPr>
        <w:t xml:space="preserve">he IABR did not consider </w:t>
      </w:r>
      <w:r w:rsidR="00F46F24">
        <w:rPr>
          <w:szCs w:val="48"/>
        </w:rPr>
        <w:t xml:space="preserve">wider </w:t>
      </w:r>
      <w:r w:rsidR="00604A29">
        <w:rPr>
          <w:szCs w:val="48"/>
        </w:rPr>
        <w:t>economic impacts</w:t>
      </w:r>
      <w:r w:rsidR="00A1420B">
        <w:rPr>
          <w:szCs w:val="48"/>
        </w:rPr>
        <w:t xml:space="preserve"> </w:t>
      </w:r>
      <w:r w:rsidR="00282615">
        <w:rPr>
          <w:szCs w:val="48"/>
        </w:rPr>
        <w:t xml:space="preserve">on </w:t>
      </w:r>
      <w:r>
        <w:rPr>
          <w:szCs w:val="48"/>
        </w:rPr>
        <w:t>the private sector</w:t>
      </w:r>
      <w:r w:rsidR="00282615">
        <w:rPr>
          <w:szCs w:val="48"/>
        </w:rPr>
        <w:t xml:space="preserve"> </w:t>
      </w:r>
      <w:r w:rsidR="00A1420B">
        <w:rPr>
          <w:szCs w:val="48"/>
        </w:rPr>
        <w:t xml:space="preserve">arising from the imposition of </w:t>
      </w:r>
      <w:r w:rsidR="00096FA7">
        <w:rPr>
          <w:szCs w:val="48"/>
        </w:rPr>
        <w:t>a levy in any depth</w:t>
      </w:r>
      <w:r w:rsidR="007C7FAF">
        <w:rPr>
          <w:szCs w:val="48"/>
        </w:rPr>
        <w:t>.</w:t>
      </w:r>
      <w:r>
        <w:rPr>
          <w:szCs w:val="48"/>
        </w:rPr>
        <w:t xml:space="preserve"> </w:t>
      </w:r>
      <w:r w:rsidR="007C7FAF">
        <w:rPr>
          <w:szCs w:val="48"/>
        </w:rPr>
        <w:t>In addition, given that the final levy design is likely to differ from that proposed in the IABR, the Committee considers that completion of a Regulation Impact Statement on the levy would be prudent</w:t>
      </w:r>
      <w:r w:rsidR="00A07864">
        <w:rPr>
          <w:szCs w:val="48"/>
        </w:rPr>
        <w:t>.</w:t>
      </w:r>
      <w:r w:rsidR="007D5EA0">
        <w:rPr>
          <w:szCs w:val="48"/>
        </w:rPr>
        <w:t xml:space="preserve"> </w:t>
      </w:r>
      <w:r w:rsidR="009C0F73">
        <w:rPr>
          <w:szCs w:val="48"/>
        </w:rPr>
        <w:t>Promptly handled, the conduct of a Regulation Impact Statement should not lead to a lengthy implementation delay.</w:t>
      </w:r>
    </w:p>
    <w:p w14:paraId="47FCDD83" w14:textId="77777777" w:rsidR="00F10C51" w:rsidRDefault="00F10C51">
      <w:pPr>
        <w:spacing w:before="0" w:after="160" w:line="259" w:lineRule="auto"/>
        <w:rPr>
          <w:szCs w:val="48"/>
        </w:rPr>
      </w:pPr>
      <w:r>
        <w:rPr>
          <w:szCs w:val="48"/>
        </w:rPr>
        <w:br w:type="page"/>
      </w:r>
    </w:p>
    <w:p w14:paraId="3D54AE6A" w14:textId="0836EAAD" w:rsidR="00141B34" w:rsidRDefault="00F10C51" w:rsidP="00141B34">
      <w:pPr>
        <w:pStyle w:val="Heading2"/>
      </w:pPr>
      <w:bookmarkStart w:id="45" w:name="_Toc10031909"/>
      <w:r>
        <w:t>10</w:t>
      </w:r>
      <w:r w:rsidR="00141B34">
        <w:tab/>
        <w:t>Recommendations</w:t>
      </w:r>
      <w:bookmarkEnd w:id="45"/>
    </w:p>
    <w:p w14:paraId="66DE52FC" w14:textId="33B8F0C9" w:rsidR="009C0F73" w:rsidRDefault="009C0F73" w:rsidP="00393130">
      <w:pPr>
        <w:rPr>
          <w:szCs w:val="48"/>
        </w:rPr>
      </w:pPr>
      <w:r>
        <w:rPr>
          <w:szCs w:val="48"/>
        </w:rPr>
        <w:t>The Committee recommends:</w:t>
      </w:r>
    </w:p>
    <w:p w14:paraId="5432134C" w14:textId="77777777" w:rsidR="0036316B" w:rsidRPr="003156A5" w:rsidRDefault="003156A5" w:rsidP="0036316B">
      <w:pPr>
        <w:pStyle w:val="ListParagraph"/>
        <w:numPr>
          <w:ilvl w:val="0"/>
          <w:numId w:val="36"/>
        </w:numPr>
        <w:rPr>
          <w:szCs w:val="48"/>
        </w:rPr>
      </w:pPr>
      <w:r w:rsidRPr="00A91F51">
        <w:rPr>
          <w:szCs w:val="48"/>
        </w:rPr>
        <w:t>The Committee supports the imposition of a levy on the importation of containers (both sea and air)</w:t>
      </w:r>
      <w:r>
        <w:rPr>
          <w:szCs w:val="48"/>
        </w:rPr>
        <w:t xml:space="preserve"> and</w:t>
      </w:r>
      <w:r w:rsidRPr="00A91F51">
        <w:rPr>
          <w:szCs w:val="48"/>
        </w:rPr>
        <w:t xml:space="preserve"> break bulk items which represent creators or exacerbators of biosecurity risk</w:t>
      </w:r>
      <w:r>
        <w:rPr>
          <w:szCs w:val="48"/>
        </w:rPr>
        <w:t>. Further,</w:t>
      </w:r>
      <w:r w:rsidRPr="00A91F51">
        <w:rPr>
          <w:szCs w:val="48"/>
        </w:rPr>
        <w:t xml:space="preserve"> </w:t>
      </w:r>
      <w:r>
        <w:t>there may also be a case for the application of a levy for bulk cargo, especially organic bulk cargo.</w:t>
      </w:r>
      <w:r>
        <w:rPr>
          <w:szCs w:val="48"/>
        </w:rPr>
        <w:t xml:space="preserve"> </w:t>
      </w:r>
      <w:r w:rsidR="002F2885" w:rsidRPr="002F2885">
        <w:t>The quantum of each levy component to be determined dependent on risk, fairness and competitive impact.</w:t>
      </w:r>
      <w:r w:rsidR="0036316B">
        <w:t xml:space="preserve"> (Potential levy options are canvassed in Appendix 6.)</w:t>
      </w:r>
    </w:p>
    <w:p w14:paraId="06C3EEA9" w14:textId="77777777" w:rsidR="00BE02DF" w:rsidRDefault="00BE02DF" w:rsidP="0036316B">
      <w:pPr>
        <w:pStyle w:val="ListParagraph"/>
        <w:numPr>
          <w:ilvl w:val="0"/>
          <w:numId w:val="36"/>
        </w:numPr>
        <w:rPr>
          <w:szCs w:val="48"/>
        </w:rPr>
      </w:pPr>
      <w:r>
        <w:rPr>
          <w:szCs w:val="48"/>
        </w:rPr>
        <w:t>The levy should be applied via the existing Full Import Declaration, with the Department of Home Affairs being tasked with making the necessary software adjustments promptly.</w:t>
      </w:r>
    </w:p>
    <w:p w14:paraId="25A76C17" w14:textId="0800947D" w:rsidR="00BE02DF" w:rsidRPr="004A693C" w:rsidRDefault="008A6F60" w:rsidP="0036316B">
      <w:pPr>
        <w:pStyle w:val="ListParagraph"/>
        <w:numPr>
          <w:ilvl w:val="0"/>
          <w:numId w:val="36"/>
        </w:numPr>
        <w:rPr>
          <w:szCs w:val="48"/>
        </w:rPr>
      </w:pPr>
      <w:r>
        <w:rPr>
          <w:szCs w:val="48"/>
        </w:rPr>
        <w:t>T</w:t>
      </w:r>
      <w:r w:rsidR="00BE02DF">
        <w:t xml:space="preserve">he Department, the </w:t>
      </w:r>
      <w:r w:rsidR="00BE02DF">
        <w:rPr>
          <w:iCs/>
        </w:rPr>
        <w:t xml:space="preserve">Inspector-General of Biosecurity and/or the </w:t>
      </w:r>
      <w:r w:rsidR="00BE02DF">
        <w:t xml:space="preserve">Centre of Excellence for Biosecurity Risk Analysis should </w:t>
      </w:r>
      <w:r>
        <w:t xml:space="preserve">as a matter of urgency </w:t>
      </w:r>
      <w:r w:rsidR="00BE02DF">
        <w:t xml:space="preserve">undertake </w:t>
      </w:r>
      <w:r>
        <w:rPr>
          <w:szCs w:val="48"/>
        </w:rPr>
        <w:t>a robust, science-based assessment of biosecurity risk across the various vectors and pathways that is sufficiently detailed to enable values to be attached to the levy components identified in this report</w:t>
      </w:r>
      <w:r w:rsidR="00BE02DF">
        <w:t>.</w:t>
      </w:r>
    </w:p>
    <w:p w14:paraId="22EA65A8" w14:textId="4E358507" w:rsidR="00BE02DF" w:rsidRPr="00123329" w:rsidRDefault="00BE02DF" w:rsidP="0036316B">
      <w:pPr>
        <w:pStyle w:val="ListParagraph"/>
        <w:numPr>
          <w:ilvl w:val="0"/>
          <w:numId w:val="36"/>
        </w:numPr>
        <w:rPr>
          <w:szCs w:val="48"/>
        </w:rPr>
      </w:pPr>
      <w:r>
        <w:rPr>
          <w:szCs w:val="48"/>
        </w:rPr>
        <w:t>The finalised design of the levy should be subject t</w:t>
      </w:r>
      <w:r w:rsidR="008A6F60">
        <w:rPr>
          <w:szCs w:val="48"/>
        </w:rPr>
        <w:t>o a Regulation Impact Statement</w:t>
      </w:r>
      <w:r>
        <w:t>.</w:t>
      </w:r>
    </w:p>
    <w:p w14:paraId="6907B689" w14:textId="77777777" w:rsidR="00BE02DF" w:rsidRPr="00123329" w:rsidRDefault="00BE02DF" w:rsidP="0036316B">
      <w:pPr>
        <w:pStyle w:val="ListParagraph"/>
        <w:numPr>
          <w:ilvl w:val="0"/>
          <w:numId w:val="36"/>
        </w:numPr>
        <w:rPr>
          <w:szCs w:val="48"/>
        </w:rPr>
      </w:pPr>
      <w:r>
        <w:t>Rather than the levy being extended to passengers (once the current moratorium expires in July 2022), the component of the Passenger Movement Charge originally justified for biosecurity purposes (more than $8 per passenger) should be appropriated anew for biosecurity purposes.</w:t>
      </w:r>
    </w:p>
    <w:p w14:paraId="67F28719" w14:textId="3C072C83" w:rsidR="00BE02DF" w:rsidRPr="00123329" w:rsidRDefault="00BE02DF" w:rsidP="0036316B">
      <w:pPr>
        <w:pStyle w:val="ListParagraph"/>
        <w:numPr>
          <w:ilvl w:val="0"/>
          <w:numId w:val="36"/>
        </w:numPr>
        <w:rPr>
          <w:szCs w:val="48"/>
        </w:rPr>
      </w:pPr>
      <w:r>
        <w:t xml:space="preserve">A </w:t>
      </w:r>
      <w:r w:rsidR="00141B34">
        <w:t xml:space="preserve">new </w:t>
      </w:r>
      <w:r>
        <w:t>levy should not be applied to the arrival of shipping vessels, given that vessels already pay a biosecurity-related (cost recovery) vessel operator charge</w:t>
      </w:r>
      <w:r w:rsidR="00604A29">
        <w:t xml:space="preserve"> </w:t>
      </w:r>
      <w:r w:rsidR="00141B34">
        <w:t xml:space="preserve">(plus associated </w:t>
      </w:r>
      <w:r w:rsidR="00604A29">
        <w:t>in-office and out-of-office fees</w:t>
      </w:r>
      <w:r w:rsidR="00141B34">
        <w:t>)</w:t>
      </w:r>
      <w:r>
        <w:t xml:space="preserve"> </w:t>
      </w:r>
      <w:r>
        <w:rPr>
          <w:noProof/>
        </w:rPr>
        <w:t xml:space="preserve">through </w:t>
      </w:r>
      <w:r>
        <w:t xml:space="preserve">the </w:t>
      </w:r>
      <w:r w:rsidRPr="00780C20">
        <w:t>Maritime Arrivals Reporting System</w:t>
      </w:r>
      <w:r>
        <w:t>.</w:t>
      </w:r>
      <w:r w:rsidRPr="004705AD">
        <w:t xml:space="preserve"> </w:t>
      </w:r>
      <w:r>
        <w:t>Any additional unrecovered biosecu</w:t>
      </w:r>
      <w:r w:rsidR="007C7FAF">
        <w:t>rity costs relating to vessels sh</w:t>
      </w:r>
      <w:r>
        <w:t>ould be met by increasing the existing charge.</w:t>
      </w:r>
    </w:p>
    <w:p w14:paraId="5E35C869" w14:textId="77777777" w:rsidR="00BE02DF" w:rsidRPr="00F634CF" w:rsidRDefault="00BE02DF" w:rsidP="0036316B">
      <w:pPr>
        <w:pStyle w:val="ListParagraph"/>
        <w:numPr>
          <w:ilvl w:val="0"/>
          <w:numId w:val="36"/>
        </w:numPr>
        <w:rPr>
          <w:szCs w:val="48"/>
        </w:rPr>
      </w:pPr>
      <w:r>
        <w:t>A high-level, expertise-based Biosecurity Advisory Council should be appointed to enhance the shared responsibility principle of biosecurity, provide more scope for private sector interests to contribute constructively to important biosecurity decisions, including funding and consideration of relative biosecurity risk, and ensure that levy proceeds are appropriated for additional biosecurity activities.</w:t>
      </w:r>
    </w:p>
    <w:p w14:paraId="5056476D" w14:textId="77777777" w:rsidR="00BE02DF" w:rsidRPr="004A693C" w:rsidRDefault="00BE02DF" w:rsidP="0036316B">
      <w:pPr>
        <w:pStyle w:val="ListParagraph"/>
        <w:numPr>
          <w:ilvl w:val="0"/>
          <w:numId w:val="36"/>
        </w:numPr>
        <w:rPr>
          <w:szCs w:val="48"/>
        </w:rPr>
      </w:pPr>
      <w:r>
        <w:t>The Department should produce an annual Budget-related paper which would provide a full reconciliation of biosecurity-related revenue and expenditure and thereby assist in clarifying how funds are collected and appropriated, and where they are spent.</w:t>
      </w:r>
    </w:p>
    <w:p w14:paraId="34E4E333" w14:textId="41836E31" w:rsidR="00F634CF" w:rsidRPr="009C0F73" w:rsidRDefault="00F634CF" w:rsidP="004D7510">
      <w:pPr>
        <w:pStyle w:val="ListParagraph"/>
        <w:rPr>
          <w:szCs w:val="48"/>
        </w:rPr>
      </w:pPr>
    </w:p>
    <w:p w14:paraId="7A228CC6" w14:textId="77777777" w:rsidR="009C0F73" w:rsidRDefault="009C0F73" w:rsidP="00393130">
      <w:pPr>
        <w:rPr>
          <w:szCs w:val="48"/>
        </w:rPr>
      </w:pPr>
    </w:p>
    <w:p w14:paraId="4FD7D92B" w14:textId="77777777" w:rsidR="00A11CE8" w:rsidRDefault="00A11CE8" w:rsidP="00A11CE8">
      <w:pPr>
        <w:tabs>
          <w:tab w:val="left" w:pos="5370"/>
        </w:tabs>
        <w:spacing w:before="0" w:after="160" w:line="259" w:lineRule="auto"/>
      </w:pPr>
    </w:p>
    <w:p w14:paraId="2F320219" w14:textId="39B42AB9" w:rsidR="000F2BA8" w:rsidRDefault="000F2BA8" w:rsidP="00A11CE8">
      <w:pPr>
        <w:tabs>
          <w:tab w:val="left" w:pos="5370"/>
        </w:tabs>
        <w:spacing w:before="0" w:after="160" w:line="259" w:lineRule="auto"/>
      </w:pPr>
      <w:r w:rsidRPr="00A11CE8">
        <w:br w:type="page"/>
      </w:r>
      <w:r w:rsidR="00A11CE8">
        <w:tab/>
      </w:r>
    </w:p>
    <w:bookmarkStart w:id="46" w:name="_Toc10031910" w:displacedByCustomXml="next"/>
    <w:sdt>
      <w:sdtPr>
        <w:rPr>
          <w:rFonts w:asciiTheme="minorHAnsi" w:eastAsia="Times New Roman" w:hAnsiTheme="minorHAnsi" w:cs="Times New Roman"/>
          <w:color w:val="auto"/>
          <w:sz w:val="22"/>
          <w:szCs w:val="24"/>
        </w:rPr>
        <w:id w:val="1599607635"/>
        <w:docPartObj>
          <w:docPartGallery w:val="Bibliographies"/>
          <w:docPartUnique/>
        </w:docPartObj>
      </w:sdtPr>
      <w:sdtEndPr/>
      <w:sdtContent>
        <w:p w14:paraId="164A17CE" w14:textId="47D774E7" w:rsidR="00545E52" w:rsidRDefault="00545E52">
          <w:pPr>
            <w:pStyle w:val="Heading1"/>
          </w:pPr>
          <w:r>
            <w:t>References</w:t>
          </w:r>
          <w:bookmarkEnd w:id="46"/>
        </w:p>
        <w:sdt>
          <w:sdtPr>
            <w:id w:val="-573587230"/>
            <w:bibliography/>
          </w:sdtPr>
          <w:sdtEndPr/>
          <w:sdtContent>
            <w:p w14:paraId="57D5A2B5" w14:textId="77777777" w:rsidR="00C03CD3" w:rsidRDefault="00545E52" w:rsidP="00C03CD3">
              <w:pPr>
                <w:pStyle w:val="Bibliography"/>
                <w:ind w:left="720" w:hanging="720"/>
                <w:rPr>
                  <w:noProof/>
                  <w:sz w:val="24"/>
                </w:rPr>
              </w:pPr>
              <w:r>
                <w:fldChar w:fldCharType="begin"/>
              </w:r>
              <w:r>
                <w:instrText xml:space="preserve"> BIBLIOGRAPHY </w:instrText>
              </w:r>
              <w:r>
                <w:fldChar w:fldCharType="separate"/>
              </w:r>
              <w:r w:rsidR="00C03CD3">
                <w:rPr>
                  <w:noProof/>
                </w:rPr>
                <w:t xml:space="preserve">Almond Board of Australia, Australian Walnut Industry Association, AUSVEG, Berries Australia, Cherry Growers Australia, Chestnuts Australia, ..., Voice of Horticulture. (2019). </w:t>
              </w:r>
              <w:r w:rsidR="00C03CD3">
                <w:rPr>
                  <w:i/>
                  <w:iCs/>
                  <w:noProof/>
                </w:rPr>
                <w:t>Submission in Response to the Biosecurity Imports Levy discussion paper.</w:t>
              </w:r>
              <w:r w:rsidR="00C03CD3">
                <w:rPr>
                  <w:noProof/>
                </w:rPr>
                <w:t xml:space="preserve"> </w:t>
              </w:r>
            </w:p>
            <w:p w14:paraId="39CFD46C" w14:textId="77777777" w:rsidR="00C03CD3" w:rsidRDefault="00C03CD3" w:rsidP="00C03CD3">
              <w:pPr>
                <w:pStyle w:val="Bibliography"/>
                <w:ind w:left="720" w:hanging="720"/>
                <w:rPr>
                  <w:noProof/>
                </w:rPr>
              </w:pPr>
              <w:r>
                <w:rPr>
                  <w:noProof/>
                </w:rPr>
                <w:t xml:space="preserve">Anderson, G. M., Shughart II, W. F., &amp; Tollison, R. D. (2004). The Economic Theory of Clubs. In C. K. Rowley, &amp; F. Schnieder, </w:t>
              </w:r>
              <w:r>
                <w:rPr>
                  <w:i/>
                  <w:iCs/>
                  <w:noProof/>
                </w:rPr>
                <w:t>The Encyclopedia of Public Choice</w:t>
              </w:r>
              <w:r>
                <w:rPr>
                  <w:noProof/>
                </w:rPr>
                <w:t xml:space="preserve"> (pp. 175-180). New York: Kluwer Academic Publishers.</w:t>
              </w:r>
            </w:p>
            <w:p w14:paraId="7514F578" w14:textId="77777777" w:rsidR="00C03CD3" w:rsidRDefault="00C03CD3" w:rsidP="00C03CD3">
              <w:pPr>
                <w:pStyle w:val="Bibliography"/>
                <w:ind w:left="720" w:hanging="720"/>
                <w:rPr>
                  <w:noProof/>
                </w:rPr>
              </w:pPr>
              <w:r>
                <w:rPr>
                  <w:noProof/>
                </w:rPr>
                <w:t xml:space="preserve">Atkinson, A. B., &amp; Stiglitz, J. E. (1980). </w:t>
              </w:r>
              <w:r>
                <w:rPr>
                  <w:i/>
                  <w:iCs/>
                  <w:noProof/>
                </w:rPr>
                <w:t>Lectures on Public Economics.</w:t>
              </w:r>
              <w:r>
                <w:rPr>
                  <w:noProof/>
                </w:rPr>
                <w:t xml:space="preserve"> New York: McGraw-Hill.</w:t>
              </w:r>
            </w:p>
            <w:p w14:paraId="4019EC50" w14:textId="77777777" w:rsidR="00C03CD3" w:rsidRDefault="00C03CD3" w:rsidP="00C03CD3">
              <w:pPr>
                <w:pStyle w:val="Bibliography"/>
                <w:ind w:left="720" w:hanging="720"/>
                <w:rPr>
                  <w:noProof/>
                </w:rPr>
              </w:pPr>
              <w:r>
                <w:rPr>
                  <w:noProof/>
                </w:rPr>
                <w:t xml:space="preserve">Australian Aluminium Council. (2019). </w:t>
              </w:r>
              <w:r>
                <w:rPr>
                  <w:i/>
                  <w:iCs/>
                  <w:noProof/>
                </w:rPr>
                <w:t>Submission on the Biosecurity Levy Steering Committee’s Discussion Paper.</w:t>
              </w:r>
              <w:r>
                <w:rPr>
                  <w:noProof/>
                </w:rPr>
                <w:t xml:space="preserve"> Canberra.</w:t>
              </w:r>
            </w:p>
            <w:p w14:paraId="3D8B8C4F" w14:textId="77777777" w:rsidR="00C03CD3" w:rsidRDefault="00C03CD3" w:rsidP="00C03CD3">
              <w:pPr>
                <w:pStyle w:val="Bibliography"/>
                <w:ind w:left="720" w:hanging="720"/>
                <w:rPr>
                  <w:noProof/>
                </w:rPr>
              </w:pPr>
              <w:r>
                <w:rPr>
                  <w:noProof/>
                </w:rPr>
                <w:t xml:space="preserve">Australian Chamber of Commerce and Industry. (2019). </w:t>
              </w:r>
              <w:r>
                <w:rPr>
                  <w:i/>
                  <w:iCs/>
                  <w:noProof/>
                </w:rPr>
                <w:t>Submission: Proposed Biosecurity Levy - Submission to the Biosecurity Levy Steering Committee.</w:t>
              </w:r>
              <w:r>
                <w:rPr>
                  <w:noProof/>
                </w:rPr>
                <w:t xml:space="preserve"> Canberra.</w:t>
              </w:r>
            </w:p>
            <w:p w14:paraId="2D9284F9" w14:textId="77777777" w:rsidR="00C03CD3" w:rsidRDefault="00C03CD3" w:rsidP="00C03CD3">
              <w:pPr>
                <w:pStyle w:val="Bibliography"/>
                <w:ind w:left="720" w:hanging="720"/>
                <w:rPr>
                  <w:noProof/>
                </w:rPr>
              </w:pPr>
              <w:r>
                <w:rPr>
                  <w:noProof/>
                </w:rPr>
                <w:t xml:space="preserve">Australian Competition and Consumer Commission. (2018). </w:t>
              </w:r>
              <w:r>
                <w:rPr>
                  <w:i/>
                  <w:iCs/>
                  <w:noProof/>
                </w:rPr>
                <w:t>Container stevedoring monitoring report 2017-18.</w:t>
              </w:r>
              <w:r>
                <w:rPr>
                  <w:noProof/>
                </w:rPr>
                <w:t xml:space="preserve"> Canberra.</w:t>
              </w:r>
            </w:p>
            <w:p w14:paraId="690408DD" w14:textId="77777777" w:rsidR="00C03CD3" w:rsidRDefault="00C03CD3" w:rsidP="00C03CD3">
              <w:pPr>
                <w:pStyle w:val="Bibliography"/>
                <w:ind w:left="720" w:hanging="720"/>
                <w:rPr>
                  <w:noProof/>
                </w:rPr>
              </w:pPr>
              <w:r>
                <w:rPr>
                  <w:noProof/>
                </w:rPr>
                <w:t xml:space="preserve">Australian National Audit Office. (1996). </w:t>
              </w:r>
              <w:r>
                <w:rPr>
                  <w:i/>
                  <w:iCs/>
                  <w:noProof/>
                </w:rPr>
                <w:t>Passenger Movement Charge: Australian Customs Services - Performance Audit.</w:t>
              </w:r>
              <w:r>
                <w:rPr>
                  <w:noProof/>
                </w:rPr>
                <w:t xml:space="preserve"> Audit Report No. 1 1996-97, Canberra.</w:t>
              </w:r>
            </w:p>
            <w:p w14:paraId="5AD50044" w14:textId="77777777" w:rsidR="00C03CD3" w:rsidRDefault="00C03CD3" w:rsidP="00C03CD3">
              <w:pPr>
                <w:pStyle w:val="Bibliography"/>
                <w:ind w:left="720" w:hanging="720"/>
                <w:rPr>
                  <w:noProof/>
                </w:rPr>
              </w:pPr>
              <w:r>
                <w:rPr>
                  <w:noProof/>
                </w:rPr>
                <w:t xml:space="preserve">Australian National Audit Office. (2000). </w:t>
              </w:r>
              <w:r>
                <w:rPr>
                  <w:i/>
                  <w:iCs/>
                  <w:noProof/>
                </w:rPr>
                <w:t>AQIS Cost-Recovery Systems.</w:t>
              </w:r>
              <w:r>
                <w:rPr>
                  <w:noProof/>
                </w:rPr>
                <w:t xml:space="preserve"> The Auditor-General Audit Report No.10 2000–2001 Performance Audit, Canberra.</w:t>
              </w:r>
            </w:p>
            <w:p w14:paraId="387825D1" w14:textId="77777777" w:rsidR="00C03CD3" w:rsidRDefault="00C03CD3" w:rsidP="00C03CD3">
              <w:pPr>
                <w:pStyle w:val="Bibliography"/>
                <w:ind w:left="720" w:hanging="720"/>
                <w:rPr>
                  <w:noProof/>
                </w:rPr>
              </w:pPr>
              <w:r>
                <w:rPr>
                  <w:noProof/>
                </w:rPr>
                <w:t xml:space="preserve">Australian National Audit Office. (2000). </w:t>
              </w:r>
              <w:r>
                <w:rPr>
                  <w:i/>
                  <w:iCs/>
                  <w:noProof/>
                </w:rPr>
                <w:t>Passenger Movement Charge - Follow-up Audit: Australian Customs Service.</w:t>
              </w:r>
              <w:r>
                <w:rPr>
                  <w:noProof/>
                </w:rPr>
                <w:t xml:space="preserve"> The Auditor-General Audit Report No.12 2000–2001 Performance Audit, Canberra.</w:t>
              </w:r>
            </w:p>
            <w:p w14:paraId="744F9917" w14:textId="77777777" w:rsidR="00C03CD3" w:rsidRDefault="00C03CD3" w:rsidP="00C03CD3">
              <w:pPr>
                <w:pStyle w:val="Bibliography"/>
                <w:ind w:left="720" w:hanging="720"/>
                <w:rPr>
                  <w:noProof/>
                </w:rPr>
              </w:pPr>
              <w:r>
                <w:rPr>
                  <w:noProof/>
                </w:rPr>
                <w:t xml:space="preserve">Australian National Audit Office. (2017). </w:t>
              </w:r>
              <w:r>
                <w:rPr>
                  <w:i/>
                  <w:iCs/>
                  <w:noProof/>
                </w:rPr>
                <w:t>Implementation of the Biosecurity Legislative Framework - ANAO Report No.34 2016–17 Performance Audit.</w:t>
              </w:r>
              <w:r>
                <w:rPr>
                  <w:noProof/>
                </w:rPr>
                <w:t xml:space="preserve"> The Auditor-General ANAO Report No.34 2016–17 Performance Audit, Canberra.</w:t>
              </w:r>
            </w:p>
            <w:p w14:paraId="2CB10337" w14:textId="77777777" w:rsidR="00C03CD3" w:rsidRDefault="00C03CD3" w:rsidP="00C03CD3">
              <w:pPr>
                <w:pStyle w:val="Bibliography"/>
                <w:ind w:left="720" w:hanging="720"/>
                <w:rPr>
                  <w:noProof/>
                </w:rPr>
              </w:pPr>
              <w:r>
                <w:rPr>
                  <w:noProof/>
                </w:rPr>
                <w:t xml:space="preserve">Australian Pork. (2019). </w:t>
              </w:r>
              <w:r>
                <w:rPr>
                  <w:i/>
                  <w:iCs/>
                  <w:noProof/>
                </w:rPr>
                <w:t>Submission on Biosecurity Levy Steering Committee Discussion Paper.</w:t>
              </w:r>
              <w:r>
                <w:rPr>
                  <w:noProof/>
                </w:rPr>
                <w:t xml:space="preserve"> Canberra.</w:t>
              </w:r>
            </w:p>
            <w:p w14:paraId="1DD51233" w14:textId="77777777" w:rsidR="00C03CD3" w:rsidRDefault="00C03CD3" w:rsidP="00C03CD3">
              <w:pPr>
                <w:pStyle w:val="Bibliography"/>
                <w:ind w:left="720" w:hanging="720"/>
                <w:rPr>
                  <w:noProof/>
                </w:rPr>
              </w:pPr>
              <w:r>
                <w:rPr>
                  <w:noProof/>
                </w:rPr>
                <w:t xml:space="preserve">Beale, R., Fairbrother, J., Inglis, A., &amp; Trebeck, D. (2008). </w:t>
              </w:r>
              <w:r>
                <w:rPr>
                  <w:i/>
                  <w:iCs/>
                  <w:noProof/>
                </w:rPr>
                <w:t>One Biosecurity: A Working Partnership: The Independent Review of Australia’s Quarantine and Biosecurity Arrangements.</w:t>
              </w:r>
              <w:r>
                <w:rPr>
                  <w:noProof/>
                </w:rPr>
                <w:t xml:space="preserve"> Canberra: Commonwealth of Australia.</w:t>
              </w:r>
            </w:p>
            <w:p w14:paraId="1227F15E" w14:textId="77777777" w:rsidR="00C03CD3" w:rsidRDefault="00C03CD3" w:rsidP="00C03CD3">
              <w:pPr>
                <w:pStyle w:val="Bibliography"/>
                <w:ind w:left="720" w:hanging="720"/>
                <w:rPr>
                  <w:noProof/>
                </w:rPr>
              </w:pPr>
              <w:r>
                <w:rPr>
                  <w:noProof/>
                </w:rPr>
                <w:t xml:space="preserve">BlueScope Steel. (2019). </w:t>
              </w:r>
              <w:r>
                <w:rPr>
                  <w:i/>
                  <w:iCs/>
                  <w:noProof/>
                </w:rPr>
                <w:t>Submission on the Biosecurity Imports Levy Industry Steering Committee’s Discussion Paper.</w:t>
              </w:r>
              <w:r>
                <w:rPr>
                  <w:noProof/>
                </w:rPr>
                <w:t xml:space="preserve"> Melbourne.</w:t>
              </w:r>
            </w:p>
            <w:p w14:paraId="21635787" w14:textId="77777777" w:rsidR="00C03CD3" w:rsidRDefault="00C03CD3" w:rsidP="00C03CD3">
              <w:pPr>
                <w:pStyle w:val="Bibliography"/>
                <w:ind w:left="720" w:hanging="720"/>
                <w:rPr>
                  <w:noProof/>
                </w:rPr>
              </w:pPr>
              <w:r>
                <w:rPr>
                  <w:noProof/>
                </w:rPr>
                <w:t xml:space="preserve">Breunig, R. F., &amp; Gisz, C. (2009). An Exploration of Australian Petrol Demand: Unobservable Habits, Irreversibility and Some Updated Estimates. </w:t>
              </w:r>
              <w:r>
                <w:rPr>
                  <w:i/>
                  <w:iCs/>
                  <w:noProof/>
                </w:rPr>
                <w:t>Economic Record, 85</w:t>
              </w:r>
              <w:r>
                <w:rPr>
                  <w:noProof/>
                </w:rPr>
                <w:t>(268), 73-91.</w:t>
              </w:r>
            </w:p>
            <w:p w14:paraId="7B21883E" w14:textId="77777777" w:rsidR="00C03CD3" w:rsidRDefault="00C03CD3" w:rsidP="00C03CD3">
              <w:pPr>
                <w:pStyle w:val="Bibliography"/>
                <w:ind w:left="720" w:hanging="720"/>
                <w:rPr>
                  <w:noProof/>
                </w:rPr>
              </w:pPr>
              <w:r>
                <w:rPr>
                  <w:noProof/>
                </w:rPr>
                <w:t xml:space="preserve">Bruno, P. (2018, September 3). </w:t>
              </w:r>
              <w:r>
                <w:rPr>
                  <w:i/>
                  <w:iCs/>
                  <w:noProof/>
                </w:rPr>
                <w:t>What is a Ship's Gross Tonnage?</w:t>
              </w:r>
              <w:r>
                <w:rPr>
                  <w:noProof/>
                </w:rPr>
                <w:t xml:space="preserve"> Retrieved from ThoughtCo: https://www.thoughtco.com/what-is-gross-tonnage-2292983</w:t>
              </w:r>
            </w:p>
            <w:p w14:paraId="5074A730" w14:textId="77777777" w:rsidR="00C03CD3" w:rsidRDefault="00C03CD3" w:rsidP="00C03CD3">
              <w:pPr>
                <w:pStyle w:val="Bibliography"/>
                <w:ind w:left="720" w:hanging="720"/>
                <w:rPr>
                  <w:noProof/>
                </w:rPr>
              </w:pPr>
              <w:r>
                <w:rPr>
                  <w:noProof/>
                </w:rPr>
                <w:t xml:space="preserve">Buchanan, J. M. (1966). Externality in Tax Response. </w:t>
              </w:r>
              <w:r>
                <w:rPr>
                  <w:i/>
                  <w:iCs/>
                  <w:noProof/>
                </w:rPr>
                <w:t>Southern Economic Journal, 33</w:t>
              </w:r>
              <w:r>
                <w:rPr>
                  <w:noProof/>
                </w:rPr>
                <w:t>, 35-42.</w:t>
              </w:r>
            </w:p>
            <w:p w14:paraId="263EAF3C" w14:textId="77777777" w:rsidR="00C03CD3" w:rsidRDefault="00C03CD3" w:rsidP="00C03CD3">
              <w:pPr>
                <w:pStyle w:val="Bibliography"/>
                <w:ind w:left="720" w:hanging="720"/>
                <w:rPr>
                  <w:noProof/>
                </w:rPr>
              </w:pPr>
              <w:r>
                <w:rPr>
                  <w:noProof/>
                </w:rPr>
                <w:t xml:space="preserve">Buetre, B., Wicks, S., Kruger, H., Millist, N., Yainshet, A., &amp; Symes, M. ( 2013). </w:t>
              </w:r>
              <w:r>
                <w:rPr>
                  <w:i/>
                  <w:iCs/>
                  <w:noProof/>
                </w:rPr>
                <w:t>Consequences of a foot-and-mouth disease outbreak.</w:t>
              </w:r>
              <w:r>
                <w:rPr>
                  <w:noProof/>
                </w:rPr>
                <w:t xml:space="preserve"> Canberra: Australian Bureau of Agricultural and Resource Economics and Sciences.</w:t>
              </w:r>
            </w:p>
            <w:p w14:paraId="4DD55F9F" w14:textId="77777777" w:rsidR="00C03CD3" w:rsidRDefault="00C03CD3" w:rsidP="00C03CD3">
              <w:pPr>
                <w:pStyle w:val="Bibliography"/>
                <w:ind w:left="720" w:hanging="720"/>
                <w:rPr>
                  <w:noProof/>
                </w:rPr>
              </w:pPr>
              <w:r>
                <w:rPr>
                  <w:noProof/>
                </w:rPr>
                <w:t xml:space="preserve">Bureau of Infrastructure, Transport and Regional Economics. (2012). </w:t>
              </w:r>
              <w:r>
                <w:rPr>
                  <w:i/>
                  <w:iCs/>
                  <w:noProof/>
                </w:rPr>
                <w:t>Air passenger movements through capital and non-capital city airports to 2030-31.</w:t>
              </w:r>
              <w:r>
                <w:rPr>
                  <w:noProof/>
                </w:rPr>
                <w:t xml:space="preserve"> Canberra: Department of Infrastructure and Transport.</w:t>
              </w:r>
            </w:p>
            <w:p w14:paraId="0DC233E7" w14:textId="77777777" w:rsidR="00C03CD3" w:rsidRDefault="00C03CD3" w:rsidP="00C03CD3">
              <w:pPr>
                <w:pStyle w:val="Bibliography"/>
                <w:ind w:left="720" w:hanging="720"/>
                <w:rPr>
                  <w:noProof/>
                </w:rPr>
              </w:pPr>
              <w:r>
                <w:rPr>
                  <w:noProof/>
                </w:rPr>
                <w:t xml:space="preserve">Bureau of Infrastructure, Transport and Regional Economics. (2014). </w:t>
              </w:r>
              <w:r>
                <w:rPr>
                  <w:i/>
                  <w:iCs/>
                  <w:noProof/>
                </w:rPr>
                <w:t>Containerised and non-containerised trade through Australian ports to 2032–33.</w:t>
              </w:r>
              <w:r>
                <w:rPr>
                  <w:noProof/>
                </w:rPr>
                <w:t xml:space="preserve"> Canberra: Department of Infrastructure and Transport.</w:t>
              </w:r>
            </w:p>
            <w:p w14:paraId="6E4DCFED" w14:textId="77777777" w:rsidR="00C03CD3" w:rsidRDefault="00C03CD3" w:rsidP="00C03CD3">
              <w:pPr>
                <w:pStyle w:val="Bibliography"/>
                <w:ind w:left="720" w:hanging="720"/>
                <w:rPr>
                  <w:noProof/>
                </w:rPr>
              </w:pPr>
              <w:r>
                <w:rPr>
                  <w:noProof/>
                </w:rPr>
                <w:t xml:space="preserve">Bureau of Infrastructure, Transport and Regional Economics. (2018a). </w:t>
              </w:r>
              <w:r>
                <w:rPr>
                  <w:i/>
                  <w:iCs/>
                  <w:noProof/>
                </w:rPr>
                <w:t>Waterline 62.</w:t>
              </w:r>
              <w:r>
                <w:rPr>
                  <w:noProof/>
                </w:rPr>
                <w:t xml:space="preserve"> Canberra: Bureau of Infrastructure, Transport and Regional Economics.</w:t>
              </w:r>
            </w:p>
            <w:p w14:paraId="3A2E9AFA" w14:textId="77777777" w:rsidR="00C03CD3" w:rsidRDefault="00C03CD3" w:rsidP="00C03CD3">
              <w:pPr>
                <w:pStyle w:val="Bibliography"/>
                <w:ind w:left="720" w:hanging="720"/>
                <w:rPr>
                  <w:noProof/>
                </w:rPr>
              </w:pPr>
              <w:r>
                <w:rPr>
                  <w:noProof/>
                </w:rPr>
                <w:t xml:space="preserve">Carnival Australia. (2019). </w:t>
              </w:r>
              <w:r>
                <w:rPr>
                  <w:i/>
                  <w:iCs/>
                  <w:noProof/>
                </w:rPr>
                <w:t>Submission to the Biosecurity Levy Steering Committee.</w:t>
              </w:r>
              <w:r>
                <w:rPr>
                  <w:noProof/>
                </w:rPr>
                <w:t xml:space="preserve"> Sydney.</w:t>
              </w:r>
            </w:p>
            <w:p w14:paraId="28FC479B" w14:textId="77777777" w:rsidR="00C03CD3" w:rsidRDefault="00C03CD3" w:rsidP="00C03CD3">
              <w:pPr>
                <w:pStyle w:val="Bibliography"/>
                <w:ind w:left="720" w:hanging="720"/>
                <w:rPr>
                  <w:noProof/>
                </w:rPr>
              </w:pPr>
              <w:r>
                <w:rPr>
                  <w:noProof/>
                </w:rPr>
                <w:t xml:space="preserve">Cement Industry Federation. (2019). </w:t>
              </w:r>
              <w:r>
                <w:rPr>
                  <w:i/>
                  <w:iCs/>
                  <w:noProof/>
                </w:rPr>
                <w:t>Cement Industry Federation Submission to the Biosecurity Levy Steering Committee.</w:t>
              </w:r>
              <w:r>
                <w:rPr>
                  <w:noProof/>
                </w:rPr>
                <w:t xml:space="preserve"> Canberra.</w:t>
              </w:r>
            </w:p>
            <w:p w14:paraId="7153D687" w14:textId="77777777" w:rsidR="00C03CD3" w:rsidRDefault="00C03CD3" w:rsidP="00C03CD3">
              <w:pPr>
                <w:pStyle w:val="Bibliography"/>
                <w:ind w:left="720" w:hanging="720"/>
                <w:rPr>
                  <w:noProof/>
                </w:rPr>
              </w:pPr>
              <w:r>
                <w:rPr>
                  <w:noProof/>
                </w:rPr>
                <w:t xml:space="preserve">Clark Global Logistics. (2013). </w:t>
              </w:r>
              <w:r>
                <w:rPr>
                  <w:i/>
                  <w:iCs/>
                  <w:noProof/>
                </w:rPr>
                <w:t>Air Freight Unit Load Devices.</w:t>
              </w:r>
              <w:r>
                <w:rPr>
                  <w:noProof/>
                </w:rPr>
                <w:t xml:space="preserve"> Melbourne.</w:t>
              </w:r>
            </w:p>
            <w:p w14:paraId="3859F55A" w14:textId="77777777" w:rsidR="00C03CD3" w:rsidRDefault="00C03CD3" w:rsidP="00C03CD3">
              <w:pPr>
                <w:pStyle w:val="Bibliography"/>
                <w:ind w:left="720" w:hanging="720"/>
                <w:rPr>
                  <w:noProof/>
                </w:rPr>
              </w:pPr>
              <w:r>
                <w:rPr>
                  <w:noProof/>
                </w:rPr>
                <w:t xml:space="preserve">Cnossen, S. (2010). Excise Taxation in Australia. </w:t>
              </w:r>
              <w:r>
                <w:rPr>
                  <w:i/>
                  <w:iCs/>
                  <w:noProof/>
                </w:rPr>
                <w:t>Melbourne Institute – Australia’s Future Tax and Transfer Policy Conference: Proceedings of a Conference</w:t>
              </w:r>
              <w:r>
                <w:rPr>
                  <w:noProof/>
                </w:rPr>
                <w:t xml:space="preserve"> (pp. 236-256). Melbourne: Melbourne Institute of Applied Economic and Social Research.</w:t>
              </w:r>
            </w:p>
            <w:p w14:paraId="6E263E5B" w14:textId="77777777" w:rsidR="00C03CD3" w:rsidRDefault="00C03CD3" w:rsidP="00C03CD3">
              <w:pPr>
                <w:pStyle w:val="Bibliography"/>
                <w:ind w:left="720" w:hanging="720"/>
                <w:rPr>
                  <w:noProof/>
                </w:rPr>
              </w:pPr>
              <w:r>
                <w:rPr>
                  <w:noProof/>
                </w:rPr>
                <w:t xml:space="preserve">Commonwealth of Australia. (2001). </w:t>
              </w:r>
              <w:r>
                <w:rPr>
                  <w:i/>
                  <w:iCs/>
                  <w:noProof/>
                </w:rPr>
                <w:t>2001-02 Budget Paper No. 2: Budget Measures 2001-02.</w:t>
              </w:r>
              <w:r>
                <w:rPr>
                  <w:noProof/>
                </w:rPr>
                <w:t xml:space="preserve"> Canberra.</w:t>
              </w:r>
            </w:p>
            <w:p w14:paraId="4C331FE5" w14:textId="77777777" w:rsidR="00C03CD3" w:rsidRDefault="00C03CD3" w:rsidP="00C03CD3">
              <w:pPr>
                <w:pStyle w:val="Bibliography"/>
                <w:ind w:left="720" w:hanging="720"/>
                <w:rPr>
                  <w:noProof/>
                </w:rPr>
              </w:pPr>
              <w:r>
                <w:rPr>
                  <w:noProof/>
                </w:rPr>
                <w:t xml:space="preserve">Commonwealth of Australia. (2015). </w:t>
              </w:r>
              <w:r>
                <w:rPr>
                  <w:i/>
                  <w:iCs/>
                  <w:noProof/>
                </w:rPr>
                <w:t>Agricultural Competitiveness White Paper.</w:t>
              </w:r>
              <w:r>
                <w:rPr>
                  <w:noProof/>
                </w:rPr>
                <w:t xml:space="preserve"> Canberra.</w:t>
              </w:r>
            </w:p>
            <w:p w14:paraId="605B7153" w14:textId="77777777" w:rsidR="00C03CD3" w:rsidRDefault="00C03CD3" w:rsidP="00C03CD3">
              <w:pPr>
                <w:pStyle w:val="Bibliography"/>
                <w:ind w:left="720" w:hanging="720"/>
                <w:rPr>
                  <w:noProof/>
                </w:rPr>
              </w:pPr>
              <w:r>
                <w:rPr>
                  <w:noProof/>
                </w:rPr>
                <w:t xml:space="preserve">Commonwealth of Australia. (2018). </w:t>
              </w:r>
              <w:r>
                <w:rPr>
                  <w:i/>
                  <w:iCs/>
                  <w:noProof/>
                </w:rPr>
                <w:t>Budget 2018-19: Budget Measures Budget Paper No. 2 2018-19.</w:t>
              </w:r>
              <w:r>
                <w:rPr>
                  <w:noProof/>
                </w:rPr>
                <w:t xml:space="preserve"> Canberra: The Treasury.</w:t>
              </w:r>
            </w:p>
            <w:p w14:paraId="2F1774E4" w14:textId="77777777" w:rsidR="00C03CD3" w:rsidRDefault="00C03CD3" w:rsidP="00C03CD3">
              <w:pPr>
                <w:pStyle w:val="Bibliography"/>
                <w:ind w:left="720" w:hanging="720"/>
                <w:rPr>
                  <w:noProof/>
                </w:rPr>
              </w:pPr>
              <w:r>
                <w:rPr>
                  <w:noProof/>
                </w:rPr>
                <w:t xml:space="preserve">Commonwealth of Australia. (2019). </w:t>
              </w:r>
              <w:r>
                <w:rPr>
                  <w:i/>
                  <w:iCs/>
                  <w:noProof/>
                </w:rPr>
                <w:t>Budget 2019-20: Budget Measures Budget Paper No. 2 2019-20.</w:t>
              </w:r>
              <w:r>
                <w:rPr>
                  <w:noProof/>
                </w:rPr>
                <w:t xml:space="preserve"> Canberra.</w:t>
              </w:r>
            </w:p>
            <w:p w14:paraId="31EC0C58" w14:textId="77777777" w:rsidR="00C03CD3" w:rsidRDefault="00C03CD3" w:rsidP="00C03CD3">
              <w:pPr>
                <w:pStyle w:val="Bibliography"/>
                <w:ind w:left="720" w:hanging="720"/>
                <w:rPr>
                  <w:noProof/>
                </w:rPr>
              </w:pPr>
              <w:r>
                <w:rPr>
                  <w:noProof/>
                </w:rPr>
                <w:t xml:space="preserve">Commonwealth of Australia. (2019a). </w:t>
              </w:r>
              <w:r>
                <w:rPr>
                  <w:i/>
                  <w:iCs/>
                  <w:noProof/>
                </w:rPr>
                <w:t>Budget 2019-20: Agency Resourcing Budget Paper No. 4 2019-20.</w:t>
              </w:r>
              <w:r>
                <w:rPr>
                  <w:noProof/>
                </w:rPr>
                <w:t xml:space="preserve"> Canberra.</w:t>
              </w:r>
            </w:p>
            <w:p w14:paraId="47A26AAE" w14:textId="77777777" w:rsidR="00C03CD3" w:rsidRDefault="00C03CD3" w:rsidP="00C03CD3">
              <w:pPr>
                <w:pStyle w:val="Bibliography"/>
                <w:ind w:left="720" w:hanging="720"/>
                <w:rPr>
                  <w:noProof/>
                </w:rPr>
              </w:pPr>
              <w:r>
                <w:rPr>
                  <w:noProof/>
                </w:rPr>
                <w:t xml:space="preserve">Council of Australian Governments. (2019). </w:t>
              </w:r>
              <w:r>
                <w:rPr>
                  <w:i/>
                  <w:iCs/>
                  <w:noProof/>
                </w:rPr>
                <w:t>Intergovernmental Agreement on Biosecurity.</w:t>
              </w:r>
              <w:r>
                <w:rPr>
                  <w:noProof/>
                </w:rPr>
                <w:t xml:space="preserve"> Canberra.</w:t>
              </w:r>
            </w:p>
            <w:p w14:paraId="3CE35F77" w14:textId="77777777" w:rsidR="00C03CD3" w:rsidRDefault="00C03CD3" w:rsidP="00C03CD3">
              <w:pPr>
                <w:pStyle w:val="Bibliography"/>
                <w:ind w:left="720" w:hanging="720"/>
                <w:rPr>
                  <w:noProof/>
                </w:rPr>
              </w:pPr>
              <w:r>
                <w:rPr>
                  <w:noProof/>
                </w:rPr>
                <w:t xml:space="preserve">Craik, W., Palmer, D., &amp; Sheldrake, R. (2017). </w:t>
              </w:r>
              <w:r>
                <w:rPr>
                  <w:i/>
                  <w:iCs/>
                  <w:noProof/>
                </w:rPr>
                <w:t>Priorities for Australia’s biosecurity system, An independent review of the capacity of the national biosecurity system and its underpinning Intergovernmental Agreement.</w:t>
              </w:r>
              <w:r>
                <w:rPr>
                  <w:noProof/>
                </w:rPr>
                <w:t xml:space="preserve"> Canberra: Department of Agriculture and Water Resources.</w:t>
              </w:r>
            </w:p>
            <w:p w14:paraId="79D2324B" w14:textId="77777777" w:rsidR="00C03CD3" w:rsidRDefault="00C03CD3" w:rsidP="00C03CD3">
              <w:pPr>
                <w:pStyle w:val="Bibliography"/>
                <w:ind w:left="720" w:hanging="720"/>
                <w:rPr>
                  <w:noProof/>
                </w:rPr>
              </w:pPr>
              <w:r>
                <w:rPr>
                  <w:noProof/>
                </w:rPr>
                <w:t xml:space="preserve">Cruise Lines International Association. (2019). </w:t>
              </w:r>
              <w:r>
                <w:rPr>
                  <w:i/>
                  <w:iCs/>
                  <w:noProof/>
                </w:rPr>
                <w:t>Submission on the Proposed Biosecurity Imports Levy.</w:t>
              </w:r>
              <w:r>
                <w:rPr>
                  <w:noProof/>
                </w:rPr>
                <w:t xml:space="preserve"> Sydney.</w:t>
              </w:r>
            </w:p>
            <w:p w14:paraId="0FE04DD4" w14:textId="77777777" w:rsidR="00C03CD3" w:rsidRDefault="00C03CD3" w:rsidP="00C03CD3">
              <w:pPr>
                <w:pStyle w:val="Bibliography"/>
                <w:ind w:left="720" w:hanging="720"/>
                <w:rPr>
                  <w:noProof/>
                </w:rPr>
              </w:pPr>
              <w:r>
                <w:rPr>
                  <w:noProof/>
                </w:rPr>
                <w:t xml:space="preserve">Customs Brokers and Forwarders Council of Australia. (2019). </w:t>
              </w:r>
              <w:r>
                <w:rPr>
                  <w:i/>
                  <w:iCs/>
                  <w:noProof/>
                </w:rPr>
                <w:t>Commentary: Biosecurity Import Levy Steering Committee, Discussion Paper.</w:t>
              </w:r>
              <w:r>
                <w:rPr>
                  <w:noProof/>
                </w:rPr>
                <w:t xml:space="preserve"> Sydney.</w:t>
              </w:r>
            </w:p>
            <w:p w14:paraId="2B1664C1" w14:textId="77777777" w:rsidR="00C03CD3" w:rsidRDefault="00C03CD3" w:rsidP="00C03CD3">
              <w:pPr>
                <w:pStyle w:val="Bibliography"/>
                <w:ind w:left="720" w:hanging="720"/>
                <w:rPr>
                  <w:noProof/>
                </w:rPr>
              </w:pPr>
              <w:r>
                <w:rPr>
                  <w:noProof/>
                </w:rPr>
                <w:t xml:space="preserve">Dantiki, S. (2005). Organizing for Peace: Collective Action Problems and Humanitarian Intervention. </w:t>
              </w:r>
              <w:r>
                <w:rPr>
                  <w:i/>
                  <w:iCs/>
                  <w:noProof/>
                </w:rPr>
                <w:t>Journal of Military and Strategic Studies, 7</w:t>
              </w:r>
              <w:r>
                <w:rPr>
                  <w:noProof/>
                </w:rPr>
                <w:t>(3).</w:t>
              </w:r>
            </w:p>
            <w:p w14:paraId="1524166F" w14:textId="77777777" w:rsidR="00C03CD3" w:rsidRDefault="00C03CD3" w:rsidP="00C03CD3">
              <w:pPr>
                <w:pStyle w:val="Bibliography"/>
                <w:ind w:left="720" w:hanging="720"/>
                <w:rPr>
                  <w:noProof/>
                </w:rPr>
              </w:pPr>
              <w:r>
                <w:rPr>
                  <w:noProof/>
                </w:rPr>
                <w:t xml:space="preserve">Department of Agriculture and Department of Environment. (2014). </w:t>
              </w:r>
              <w:r>
                <w:rPr>
                  <w:i/>
                  <w:iCs/>
                  <w:noProof/>
                </w:rPr>
                <w:t>Submission to Standing Committee on Environment and Communications References Committee Inquiry into Environmental Biosecurity.</w:t>
              </w:r>
              <w:r>
                <w:rPr>
                  <w:noProof/>
                </w:rPr>
                <w:t xml:space="preserve"> Canberra.</w:t>
              </w:r>
            </w:p>
            <w:p w14:paraId="247D5D65" w14:textId="77777777" w:rsidR="00C03CD3" w:rsidRDefault="00C03CD3" w:rsidP="00C03CD3">
              <w:pPr>
                <w:pStyle w:val="Bibliography"/>
                <w:ind w:left="720" w:hanging="720"/>
                <w:rPr>
                  <w:noProof/>
                </w:rPr>
              </w:pPr>
              <w:r>
                <w:rPr>
                  <w:noProof/>
                </w:rPr>
                <w:t xml:space="preserve">Department of Agriculture and Water Resources. (2015). </w:t>
              </w:r>
              <w:r>
                <w:rPr>
                  <w:i/>
                  <w:iCs/>
                  <w:noProof/>
                </w:rPr>
                <w:t>Cost Recovery Implementation Statement, Biosecurity 2015–16.</w:t>
              </w:r>
              <w:r>
                <w:rPr>
                  <w:noProof/>
                </w:rPr>
                <w:t xml:space="preserve"> Canberra.</w:t>
              </w:r>
            </w:p>
            <w:p w14:paraId="7874A096" w14:textId="77777777" w:rsidR="00C03CD3" w:rsidRDefault="00C03CD3" w:rsidP="00C03CD3">
              <w:pPr>
                <w:pStyle w:val="Bibliography"/>
                <w:ind w:left="720" w:hanging="720"/>
                <w:rPr>
                  <w:noProof/>
                </w:rPr>
              </w:pPr>
              <w:r>
                <w:rPr>
                  <w:noProof/>
                </w:rPr>
                <w:t xml:space="preserve">Department of Agriculture and Water Resources. (2017). </w:t>
              </w:r>
              <w:r>
                <w:rPr>
                  <w:i/>
                  <w:iCs/>
                  <w:noProof/>
                </w:rPr>
                <w:t>Departmental Charging Guidelines.</w:t>
              </w:r>
              <w:r>
                <w:rPr>
                  <w:noProof/>
                </w:rPr>
                <w:t xml:space="preserve"> Canberra.</w:t>
              </w:r>
            </w:p>
            <w:p w14:paraId="2D41A3D6" w14:textId="77777777" w:rsidR="00C03CD3" w:rsidRDefault="00C03CD3" w:rsidP="00C03CD3">
              <w:pPr>
                <w:pStyle w:val="Bibliography"/>
                <w:ind w:left="720" w:hanging="720"/>
                <w:rPr>
                  <w:noProof/>
                </w:rPr>
              </w:pPr>
              <w:r>
                <w:rPr>
                  <w:noProof/>
                </w:rPr>
                <w:t xml:space="preserve">Department of Agriculture and Water Resources. (2018a). </w:t>
              </w:r>
              <w:r>
                <w:rPr>
                  <w:i/>
                  <w:iCs/>
                  <w:noProof/>
                </w:rPr>
                <w:t>Biosecurity Imports Levy Industry Presentation June 2018.</w:t>
              </w:r>
              <w:r>
                <w:rPr>
                  <w:noProof/>
                </w:rPr>
                <w:t xml:space="preserve"> Canberra.</w:t>
              </w:r>
            </w:p>
            <w:p w14:paraId="4A3720A2" w14:textId="77777777" w:rsidR="00C03CD3" w:rsidRDefault="00C03CD3" w:rsidP="00C03CD3">
              <w:pPr>
                <w:pStyle w:val="Bibliography"/>
                <w:ind w:left="720" w:hanging="720"/>
                <w:rPr>
                  <w:noProof/>
                </w:rPr>
              </w:pPr>
              <w:r>
                <w:rPr>
                  <w:noProof/>
                </w:rPr>
                <w:t xml:space="preserve">Department of Agriculture and Water Resources. (2018b). </w:t>
              </w:r>
              <w:r>
                <w:rPr>
                  <w:i/>
                  <w:iCs/>
                  <w:noProof/>
                </w:rPr>
                <w:t>Biosecurity Imports Levy: Industry Workshop 28 November 2018.</w:t>
              </w:r>
              <w:r>
                <w:rPr>
                  <w:noProof/>
                </w:rPr>
                <w:t xml:space="preserve"> Canberra.</w:t>
              </w:r>
            </w:p>
            <w:p w14:paraId="52AAF3B4" w14:textId="77777777" w:rsidR="00C03CD3" w:rsidRDefault="00C03CD3" w:rsidP="00C03CD3">
              <w:pPr>
                <w:pStyle w:val="Bibliography"/>
                <w:ind w:left="720" w:hanging="720"/>
                <w:rPr>
                  <w:noProof/>
                </w:rPr>
              </w:pPr>
              <w:r>
                <w:rPr>
                  <w:noProof/>
                </w:rPr>
                <w:t xml:space="preserve">Department of Agriculture and Water Resources. (2018c). </w:t>
              </w:r>
              <w:r>
                <w:rPr>
                  <w:i/>
                  <w:iCs/>
                  <w:noProof/>
                </w:rPr>
                <w:t>Biosecurity Imports Levy – Questions and answers.</w:t>
              </w:r>
              <w:r>
                <w:rPr>
                  <w:noProof/>
                </w:rPr>
                <w:t xml:space="preserve"> Canberra.</w:t>
              </w:r>
            </w:p>
            <w:p w14:paraId="03542B3E" w14:textId="77777777" w:rsidR="00C03CD3" w:rsidRDefault="00C03CD3" w:rsidP="00C03CD3">
              <w:pPr>
                <w:pStyle w:val="Bibliography"/>
                <w:ind w:left="720" w:hanging="720"/>
                <w:rPr>
                  <w:noProof/>
                </w:rPr>
              </w:pPr>
              <w:r>
                <w:rPr>
                  <w:noProof/>
                </w:rPr>
                <w:t xml:space="preserve">Department of Agriculture and Water Resources. (2018d, December 6). </w:t>
              </w:r>
              <w:r>
                <w:rPr>
                  <w:i/>
                  <w:iCs/>
                  <w:noProof/>
                </w:rPr>
                <w:t>Maritime Arrivals Reporting System (MARS).</w:t>
              </w:r>
              <w:r>
                <w:rPr>
                  <w:noProof/>
                </w:rPr>
                <w:t xml:space="preserve"> Retrieved from Department of Agriculture and Water Resources: http://www.agriculture.gov.au/biosecurity/avm/vessels/mars#what-is-mars</w:t>
              </w:r>
            </w:p>
            <w:p w14:paraId="4F0B9DBF" w14:textId="77777777" w:rsidR="00C03CD3" w:rsidRDefault="00C03CD3" w:rsidP="00C03CD3">
              <w:pPr>
                <w:pStyle w:val="Bibliography"/>
                <w:ind w:left="720" w:hanging="720"/>
                <w:rPr>
                  <w:noProof/>
                </w:rPr>
              </w:pPr>
              <w:r>
                <w:rPr>
                  <w:noProof/>
                </w:rPr>
                <w:t xml:space="preserve">Department of Agriculture and Water Resources. (2019). </w:t>
              </w:r>
              <w:r>
                <w:rPr>
                  <w:i/>
                  <w:iCs/>
                  <w:noProof/>
                </w:rPr>
                <w:t>Australian biofouling management requirements for international vessel arrivals: Consultation Regulation Impact Statement.</w:t>
              </w:r>
              <w:r>
                <w:rPr>
                  <w:noProof/>
                </w:rPr>
                <w:t xml:space="preserve"> Canberra.</w:t>
              </w:r>
            </w:p>
            <w:p w14:paraId="0BAF9962" w14:textId="77777777" w:rsidR="00C03CD3" w:rsidRDefault="00C03CD3" w:rsidP="00C03CD3">
              <w:pPr>
                <w:pStyle w:val="Bibliography"/>
                <w:ind w:left="720" w:hanging="720"/>
                <w:rPr>
                  <w:noProof/>
                </w:rPr>
              </w:pPr>
              <w:r>
                <w:rPr>
                  <w:noProof/>
                </w:rPr>
                <w:t xml:space="preserve">Department of Agriculture and Water Resources. (2019a). </w:t>
              </w:r>
              <w:r>
                <w:rPr>
                  <w:i/>
                  <w:iCs/>
                  <w:noProof/>
                </w:rPr>
                <w:t>Biosecurity Imports Levy Stakeholder Meeting 10 January 2019.</w:t>
              </w:r>
              <w:r>
                <w:rPr>
                  <w:noProof/>
                </w:rPr>
                <w:t xml:space="preserve"> Canberra.</w:t>
              </w:r>
            </w:p>
            <w:p w14:paraId="6A9C0BC8" w14:textId="77777777" w:rsidR="00C03CD3" w:rsidRDefault="00C03CD3" w:rsidP="00C03CD3">
              <w:pPr>
                <w:pStyle w:val="Bibliography"/>
                <w:ind w:left="720" w:hanging="720"/>
                <w:rPr>
                  <w:noProof/>
                </w:rPr>
              </w:pPr>
              <w:r>
                <w:rPr>
                  <w:noProof/>
                </w:rPr>
                <w:t xml:space="preserve">Department of Agriculture and Water Resources. (2019b). </w:t>
              </w:r>
              <w:r>
                <w:rPr>
                  <w:i/>
                  <w:iCs/>
                  <w:noProof/>
                </w:rPr>
                <w:t>Biosecurity Imports Levy: Stakeholder Meeting 4 February 2019.</w:t>
              </w:r>
              <w:r>
                <w:rPr>
                  <w:noProof/>
                </w:rPr>
                <w:t xml:space="preserve"> Canberra.</w:t>
              </w:r>
            </w:p>
            <w:p w14:paraId="7F7CE6EC" w14:textId="77777777" w:rsidR="00C03CD3" w:rsidRDefault="00C03CD3" w:rsidP="00C03CD3">
              <w:pPr>
                <w:pStyle w:val="Bibliography"/>
                <w:ind w:left="720" w:hanging="720"/>
                <w:rPr>
                  <w:noProof/>
                </w:rPr>
              </w:pPr>
              <w:r>
                <w:rPr>
                  <w:noProof/>
                </w:rPr>
                <w:t xml:space="preserve">Department of Agriculture and Water Resources. (2019c). </w:t>
              </w:r>
              <w:r>
                <w:rPr>
                  <w:i/>
                  <w:iCs/>
                  <w:noProof/>
                </w:rPr>
                <w:t>Brown marmorated stink bug.</w:t>
              </w:r>
              <w:r>
                <w:rPr>
                  <w:noProof/>
                </w:rPr>
                <w:t xml:space="preserve"> Retrieved from National Pest and Disease Outlbreaks: https://www.outbreak.gov.au/current-responses-to-outbreaks/brown-marmorated-stink-bug</w:t>
              </w:r>
            </w:p>
            <w:p w14:paraId="75B3E1D2" w14:textId="77777777" w:rsidR="00C03CD3" w:rsidRDefault="00C03CD3" w:rsidP="00C03CD3">
              <w:pPr>
                <w:pStyle w:val="Bibliography"/>
                <w:ind w:left="720" w:hanging="720"/>
                <w:rPr>
                  <w:noProof/>
                </w:rPr>
              </w:pPr>
              <w:r>
                <w:rPr>
                  <w:noProof/>
                </w:rPr>
                <w:t xml:space="preserve">Department of Finance. (2014). </w:t>
              </w:r>
              <w:r>
                <w:rPr>
                  <w:i/>
                  <w:iCs/>
                  <w:noProof/>
                </w:rPr>
                <w:t>Australian Government Cost Recovery Guidelines: Resource Management Guide No. 304 - July 2014 – Third edition.</w:t>
              </w:r>
              <w:r>
                <w:rPr>
                  <w:noProof/>
                </w:rPr>
                <w:t xml:space="preserve"> Canberra.</w:t>
              </w:r>
            </w:p>
            <w:p w14:paraId="10EB1952" w14:textId="77777777" w:rsidR="00C03CD3" w:rsidRDefault="00C03CD3" w:rsidP="00C03CD3">
              <w:pPr>
                <w:pStyle w:val="Bibliography"/>
                <w:ind w:left="720" w:hanging="720"/>
                <w:rPr>
                  <w:noProof/>
                </w:rPr>
              </w:pPr>
              <w:r>
                <w:rPr>
                  <w:noProof/>
                </w:rPr>
                <w:t xml:space="preserve">Department of the Environment and Energy. (2019). </w:t>
              </w:r>
              <w:r>
                <w:rPr>
                  <w:i/>
                  <w:iCs/>
                  <w:noProof/>
                </w:rPr>
                <w:t>Australian Petroleum Statistics.</w:t>
              </w:r>
              <w:r>
                <w:rPr>
                  <w:noProof/>
                </w:rPr>
                <w:t xml:space="preserve"> Issue 271, February 2019, Canberra.</w:t>
              </w:r>
            </w:p>
            <w:p w14:paraId="26372526" w14:textId="77777777" w:rsidR="00C03CD3" w:rsidRDefault="00C03CD3" w:rsidP="00C03CD3">
              <w:pPr>
                <w:pStyle w:val="Bibliography"/>
                <w:ind w:left="720" w:hanging="720"/>
                <w:rPr>
                  <w:noProof/>
                </w:rPr>
              </w:pPr>
              <w:r>
                <w:rPr>
                  <w:noProof/>
                </w:rPr>
                <w:t xml:space="preserve">Department of Treasury and Finance. (2013). </w:t>
              </w:r>
              <w:r>
                <w:rPr>
                  <w:i/>
                  <w:iCs/>
                  <w:noProof/>
                </w:rPr>
                <w:t>Cost Recovery Guidelines - January 2013: Incorporating the information formerly published in the Guidelines for Setting Fees and User-Charges Imposed by Departments and Central Government Agencies.</w:t>
              </w:r>
              <w:r>
                <w:rPr>
                  <w:noProof/>
                </w:rPr>
                <w:t xml:space="preserve"> Melbourne.</w:t>
              </w:r>
            </w:p>
            <w:p w14:paraId="2C98EBC9" w14:textId="77777777" w:rsidR="00C03CD3" w:rsidRDefault="00C03CD3" w:rsidP="00C03CD3">
              <w:pPr>
                <w:pStyle w:val="Bibliography"/>
                <w:ind w:left="720" w:hanging="720"/>
                <w:rPr>
                  <w:noProof/>
                </w:rPr>
              </w:pPr>
              <w:r>
                <w:rPr>
                  <w:noProof/>
                </w:rPr>
                <w:t xml:space="preserve">Dowd, K. (2009). Moral Hazard and the Financial Crisis. </w:t>
              </w:r>
              <w:r>
                <w:rPr>
                  <w:i/>
                  <w:iCs/>
                  <w:noProof/>
                </w:rPr>
                <w:t>Cato Journal, 29</w:t>
              </w:r>
              <w:r>
                <w:rPr>
                  <w:noProof/>
                </w:rPr>
                <w:t>, 141-166.</w:t>
              </w:r>
            </w:p>
            <w:p w14:paraId="019A54B7" w14:textId="77777777" w:rsidR="00C03CD3" w:rsidRDefault="00C03CD3" w:rsidP="00C03CD3">
              <w:pPr>
                <w:pStyle w:val="Bibliography"/>
                <w:ind w:left="720" w:hanging="720"/>
                <w:rPr>
                  <w:noProof/>
                </w:rPr>
              </w:pPr>
              <w:r>
                <w:rPr>
                  <w:noProof/>
                </w:rPr>
                <w:t xml:space="preserve">Fertilizer Australia. (2019). </w:t>
              </w:r>
              <w:r>
                <w:rPr>
                  <w:i/>
                  <w:iCs/>
                  <w:noProof/>
                </w:rPr>
                <w:t>Submission from Fertilizer Australia Incorporated to the Biosecurity Imports Levy Industry Steering Committee.</w:t>
              </w:r>
              <w:r>
                <w:rPr>
                  <w:noProof/>
                </w:rPr>
                <w:t xml:space="preserve"> Canberra.</w:t>
              </w:r>
            </w:p>
            <w:p w14:paraId="18B0AA07" w14:textId="77777777" w:rsidR="00C03CD3" w:rsidRDefault="00C03CD3" w:rsidP="00C03CD3">
              <w:pPr>
                <w:pStyle w:val="Bibliography"/>
                <w:ind w:left="720" w:hanging="720"/>
                <w:rPr>
                  <w:noProof/>
                </w:rPr>
              </w:pPr>
              <w:r>
                <w:rPr>
                  <w:noProof/>
                </w:rPr>
                <w:t xml:space="preserve">Fisher, R., &amp; Davey, A. (2019). </w:t>
              </w:r>
              <w:r>
                <w:rPr>
                  <w:i/>
                  <w:iCs/>
                  <w:noProof/>
                </w:rPr>
                <w:t>Report on the Biosecurity Imports Levy.</w:t>
              </w:r>
              <w:r>
                <w:rPr>
                  <w:noProof/>
                </w:rPr>
                <w:t xml:space="preserve"> Canberra: Pegasus Economics.</w:t>
              </w:r>
            </w:p>
            <w:p w14:paraId="4C779533" w14:textId="77777777" w:rsidR="00C03CD3" w:rsidRDefault="00C03CD3" w:rsidP="00C03CD3">
              <w:pPr>
                <w:pStyle w:val="Bibliography"/>
                <w:ind w:left="720" w:hanging="720"/>
                <w:rPr>
                  <w:noProof/>
                </w:rPr>
              </w:pPr>
              <w:r>
                <w:rPr>
                  <w:noProof/>
                </w:rPr>
                <w:t xml:space="preserve">Gas Energy Australia. (2019). </w:t>
              </w:r>
              <w:r>
                <w:rPr>
                  <w:i/>
                  <w:iCs/>
                  <w:noProof/>
                </w:rPr>
                <w:t>GEA Response to Biosecurity Imports Levy Discussion Paper Questions.</w:t>
              </w:r>
              <w:r>
                <w:rPr>
                  <w:noProof/>
                </w:rPr>
                <w:t xml:space="preserve"> Canberra.</w:t>
              </w:r>
            </w:p>
            <w:p w14:paraId="22A3B5E2" w14:textId="77777777" w:rsidR="00C03CD3" w:rsidRDefault="00C03CD3" w:rsidP="00C03CD3">
              <w:pPr>
                <w:pStyle w:val="Bibliography"/>
                <w:ind w:left="720" w:hanging="720"/>
                <w:rPr>
                  <w:noProof/>
                </w:rPr>
              </w:pPr>
              <w:r>
                <w:rPr>
                  <w:noProof/>
                </w:rPr>
                <w:t xml:space="preserve">Glencore Australia. (2019). </w:t>
              </w:r>
              <w:r>
                <w:rPr>
                  <w:i/>
                  <w:iCs/>
                  <w:noProof/>
                </w:rPr>
                <w:t>Biosecurity Levy Steering Committee: Discussion Paper Feedback.</w:t>
              </w:r>
              <w:r>
                <w:rPr>
                  <w:noProof/>
                </w:rPr>
                <w:t xml:space="preserve"> Mount Isa.</w:t>
              </w:r>
            </w:p>
            <w:p w14:paraId="7D8573EB" w14:textId="77777777" w:rsidR="00C03CD3" w:rsidRDefault="00C03CD3" w:rsidP="00C03CD3">
              <w:pPr>
                <w:pStyle w:val="Bibliography"/>
                <w:ind w:left="720" w:hanging="720"/>
                <w:rPr>
                  <w:noProof/>
                </w:rPr>
              </w:pPr>
              <w:r>
                <w:rPr>
                  <w:noProof/>
                </w:rPr>
                <w:t xml:space="preserve">Hafi, A., Spring, D., Kompas, T., &amp; Morey, K. (2014). </w:t>
              </w:r>
              <w:r>
                <w:rPr>
                  <w:i/>
                  <w:iCs/>
                  <w:noProof/>
                </w:rPr>
                <w:t>Cost-effectiveness of biosecurity response options to red imported fire ants in South East Queensland.</w:t>
              </w:r>
              <w:r>
                <w:rPr>
                  <w:noProof/>
                </w:rPr>
                <w:t xml:space="preserve"> Canberra: Australian Bureau of Agricultural and Resource Economics and Sciences.</w:t>
              </w:r>
            </w:p>
            <w:p w14:paraId="03BCEFE4" w14:textId="77777777" w:rsidR="00C03CD3" w:rsidRDefault="00C03CD3" w:rsidP="00C03CD3">
              <w:pPr>
                <w:pStyle w:val="Bibliography"/>
                <w:ind w:left="720" w:hanging="720"/>
                <w:rPr>
                  <w:noProof/>
                </w:rPr>
              </w:pPr>
              <w:r>
                <w:rPr>
                  <w:noProof/>
                </w:rPr>
                <w:t xml:space="preserve">Henry, K., Harmer, J., Piggott, J., Ridout, H., &amp; Smith, G. (2009). </w:t>
              </w:r>
              <w:r>
                <w:rPr>
                  <w:i/>
                  <w:iCs/>
                  <w:noProof/>
                </w:rPr>
                <w:t>Australia's Future Tax System: Report to the Treasurer, Part 1 Overview.</w:t>
              </w:r>
              <w:r>
                <w:rPr>
                  <w:noProof/>
                </w:rPr>
                <w:t xml:space="preserve"> Canberra: Commonwealth of Australia.</w:t>
              </w:r>
            </w:p>
            <w:p w14:paraId="024BB880" w14:textId="77777777" w:rsidR="00C03CD3" w:rsidRDefault="00C03CD3" w:rsidP="00C03CD3">
              <w:pPr>
                <w:pStyle w:val="Bibliography"/>
                <w:ind w:left="720" w:hanging="720"/>
                <w:rPr>
                  <w:noProof/>
                </w:rPr>
              </w:pPr>
              <w:r>
                <w:rPr>
                  <w:noProof/>
                </w:rPr>
                <w:t xml:space="preserve">Hilmer, F. G., Rayner, M. R., &amp; Taperell, G. Q. (1993). </w:t>
              </w:r>
              <w:r>
                <w:rPr>
                  <w:i/>
                  <w:iCs/>
                  <w:noProof/>
                </w:rPr>
                <w:t>Hilmer, F. G., Rayner, M.National Competition Policy: Report by the Independent Committee of Inquiry.</w:t>
              </w:r>
              <w:r>
                <w:rPr>
                  <w:noProof/>
                </w:rPr>
                <w:t xml:space="preserve"> Canberra: AGPS.</w:t>
              </w:r>
            </w:p>
            <w:p w14:paraId="2DF1C298" w14:textId="77777777" w:rsidR="00C03CD3" w:rsidRDefault="00C03CD3" w:rsidP="00C03CD3">
              <w:pPr>
                <w:pStyle w:val="Bibliography"/>
                <w:ind w:left="720" w:hanging="720"/>
                <w:rPr>
                  <w:noProof/>
                </w:rPr>
              </w:pPr>
              <w:r>
                <w:rPr>
                  <w:noProof/>
                </w:rPr>
                <w:t xml:space="preserve">House of Representatives. (1995). </w:t>
              </w:r>
              <w:r>
                <w:rPr>
                  <w:i/>
                  <w:iCs/>
                  <w:noProof/>
                </w:rPr>
                <w:t>House of Representatives Official Hansard No. 201, 1995: Thursday, 8 June 1995.</w:t>
              </w:r>
              <w:r>
                <w:rPr>
                  <w:noProof/>
                </w:rPr>
                <w:t xml:space="preserve"> Canberra: Commonwealth of Australia.</w:t>
              </w:r>
            </w:p>
            <w:p w14:paraId="2EC30EA0" w14:textId="77777777" w:rsidR="00C03CD3" w:rsidRDefault="00C03CD3" w:rsidP="00C03CD3">
              <w:pPr>
                <w:pStyle w:val="Bibliography"/>
                <w:ind w:left="720" w:hanging="720"/>
                <w:rPr>
                  <w:noProof/>
                </w:rPr>
              </w:pPr>
              <w:r>
                <w:rPr>
                  <w:noProof/>
                </w:rPr>
                <w:t xml:space="preserve">House of Representatives. (2001). </w:t>
              </w:r>
              <w:r>
                <w:rPr>
                  <w:i/>
                  <w:iCs/>
                  <w:noProof/>
                </w:rPr>
                <w:t>House of Representatives Official Hansard Thursday, 24 May 2001.</w:t>
              </w:r>
              <w:r>
                <w:rPr>
                  <w:noProof/>
                </w:rPr>
                <w:t xml:space="preserve"> Canberra: Commonwealth of Australia.</w:t>
              </w:r>
            </w:p>
            <w:p w14:paraId="0C14CC98" w14:textId="77777777" w:rsidR="00C03CD3" w:rsidRDefault="00C03CD3" w:rsidP="00C03CD3">
              <w:pPr>
                <w:pStyle w:val="Bibliography"/>
                <w:ind w:left="720" w:hanging="720"/>
                <w:rPr>
                  <w:noProof/>
                </w:rPr>
              </w:pPr>
              <w:r>
                <w:rPr>
                  <w:noProof/>
                </w:rPr>
                <w:t xml:space="preserve">House of Representatives Standing Committee on Finance and Public Administration, Parliament of the Commonwealth of Australia. (1991). </w:t>
              </w:r>
              <w:r>
                <w:rPr>
                  <w:i/>
                  <w:iCs/>
                  <w:noProof/>
                </w:rPr>
                <w:t>A pocket full of change: banking and deregulation.</w:t>
              </w:r>
              <w:r>
                <w:rPr>
                  <w:noProof/>
                </w:rPr>
                <w:t xml:space="preserve"> Canberra: AGPS.</w:t>
              </w:r>
            </w:p>
            <w:p w14:paraId="14F9AD1A" w14:textId="77777777" w:rsidR="00C03CD3" w:rsidRDefault="00C03CD3" w:rsidP="00C03CD3">
              <w:pPr>
                <w:pStyle w:val="Bibliography"/>
                <w:ind w:left="720" w:hanging="720"/>
                <w:rPr>
                  <w:noProof/>
                </w:rPr>
              </w:pPr>
              <w:r>
                <w:rPr>
                  <w:noProof/>
                </w:rPr>
                <w:t xml:space="preserve">Hulme, P. E. (2005). Nursery crimes: agriculture as victim and perpetrator in the spread of invasive species. </w:t>
              </w:r>
              <w:r>
                <w:rPr>
                  <w:i/>
                  <w:iCs/>
                  <w:noProof/>
                </w:rPr>
                <w:t>Crop Science and Technology: The BCPC international congress.</w:t>
              </w:r>
              <w:r>
                <w:rPr>
                  <w:noProof/>
                </w:rPr>
                <w:t xml:space="preserve"> </w:t>
              </w:r>
              <w:r>
                <w:rPr>
                  <w:i/>
                  <w:iCs/>
                  <w:noProof/>
                </w:rPr>
                <w:t>2</w:t>
              </w:r>
              <w:r>
                <w:rPr>
                  <w:noProof/>
                </w:rPr>
                <w:t>, pp. 733-740. Alton: British Crop Protection Council.</w:t>
              </w:r>
            </w:p>
            <w:p w14:paraId="497275AB" w14:textId="77777777" w:rsidR="00C03CD3" w:rsidRDefault="00C03CD3" w:rsidP="00C03CD3">
              <w:pPr>
                <w:pStyle w:val="Bibliography"/>
                <w:ind w:left="720" w:hanging="720"/>
                <w:rPr>
                  <w:noProof/>
                </w:rPr>
              </w:pPr>
              <w:r>
                <w:rPr>
                  <w:noProof/>
                </w:rPr>
                <w:t xml:space="preserve">Hulme, P. E. (2009). Trade, transport and trouble: managing invasive species pathways in an era of globalization. </w:t>
              </w:r>
              <w:r>
                <w:rPr>
                  <w:i/>
                  <w:iCs/>
                  <w:noProof/>
                </w:rPr>
                <w:t>Journal of Applied Ecology, 46</w:t>
              </w:r>
              <w:r>
                <w:rPr>
                  <w:noProof/>
                </w:rPr>
                <w:t>, 10–18.</w:t>
              </w:r>
            </w:p>
            <w:p w14:paraId="4718F5F1" w14:textId="77777777" w:rsidR="00C03CD3" w:rsidRDefault="00C03CD3" w:rsidP="00C03CD3">
              <w:pPr>
                <w:pStyle w:val="Bibliography"/>
                <w:ind w:left="720" w:hanging="720"/>
                <w:rPr>
                  <w:noProof/>
                </w:rPr>
              </w:pPr>
              <w:r>
                <w:rPr>
                  <w:noProof/>
                </w:rPr>
                <w:t xml:space="preserve">Hulme, P. E. (2015). Invasion pathways at a crossroad: policy and research challenges for managing alien species introductions. </w:t>
              </w:r>
              <w:r>
                <w:rPr>
                  <w:i/>
                  <w:iCs/>
                  <w:noProof/>
                </w:rPr>
                <w:t>Journal of Applied Ecology, 52</w:t>
              </w:r>
              <w:r>
                <w:rPr>
                  <w:noProof/>
                </w:rPr>
                <w:t>, 1418–1424.</w:t>
              </w:r>
            </w:p>
            <w:p w14:paraId="239FE9B5" w14:textId="77777777" w:rsidR="00C03CD3" w:rsidRDefault="00C03CD3" w:rsidP="00C03CD3">
              <w:pPr>
                <w:pStyle w:val="Bibliography"/>
                <w:ind w:left="720" w:hanging="720"/>
                <w:rPr>
                  <w:noProof/>
                </w:rPr>
              </w:pPr>
              <w:r>
                <w:rPr>
                  <w:noProof/>
                </w:rPr>
                <w:t xml:space="preserve">Hulme, P. E., Bacher, S., Kenis, M., Klotz, S., Kühn, I., Minchin, D., . . . Vilà, M. (2008). Grasping at the routes of biological invasions: a framework for integrating pathways into policy. </w:t>
              </w:r>
              <w:r>
                <w:rPr>
                  <w:i/>
                  <w:iCs/>
                  <w:noProof/>
                </w:rPr>
                <w:t>Journal of Applied Ecology, 45</w:t>
              </w:r>
              <w:r>
                <w:rPr>
                  <w:noProof/>
                </w:rPr>
                <w:t>, 403–414.</w:t>
              </w:r>
            </w:p>
            <w:p w14:paraId="48D57F59" w14:textId="77777777" w:rsidR="00C03CD3" w:rsidRDefault="00C03CD3" w:rsidP="00C03CD3">
              <w:pPr>
                <w:pStyle w:val="Bibliography"/>
                <w:ind w:left="720" w:hanging="720"/>
                <w:rPr>
                  <w:noProof/>
                </w:rPr>
              </w:pPr>
              <w:r>
                <w:rPr>
                  <w:noProof/>
                </w:rPr>
                <w:t xml:space="preserve">Incitec Pivot Fertilisers. (2019). </w:t>
              </w:r>
              <w:r>
                <w:rPr>
                  <w:i/>
                  <w:iCs/>
                  <w:noProof/>
                </w:rPr>
                <w:t>Submission to the Biosecurity Levy Steering Committee by Incitec Pivot Fertilisers.</w:t>
              </w:r>
              <w:r>
                <w:rPr>
                  <w:noProof/>
                </w:rPr>
                <w:t xml:space="preserve"> Melbourne.</w:t>
              </w:r>
            </w:p>
            <w:p w14:paraId="418354D2" w14:textId="77777777" w:rsidR="00C03CD3" w:rsidRDefault="00C03CD3" w:rsidP="00C03CD3">
              <w:pPr>
                <w:pStyle w:val="Bibliography"/>
                <w:ind w:left="720" w:hanging="720"/>
                <w:rPr>
                  <w:noProof/>
                </w:rPr>
              </w:pPr>
              <w:r>
                <w:rPr>
                  <w:noProof/>
                </w:rPr>
                <w:t xml:space="preserve">Inspector-General of Biosecurity. (2017). </w:t>
              </w:r>
              <w:r>
                <w:rPr>
                  <w:i/>
                  <w:iCs/>
                  <w:noProof/>
                </w:rPr>
                <w:t>Uncooked prawn imports: effectiveness of biosecurity controls.</w:t>
              </w:r>
              <w:r>
                <w:rPr>
                  <w:noProof/>
                </w:rPr>
                <w:t xml:space="preserve"> Canberra: Department of Agriculture and Water Resources.</w:t>
              </w:r>
            </w:p>
            <w:p w14:paraId="6659CDCF" w14:textId="77777777" w:rsidR="00C03CD3" w:rsidRDefault="00C03CD3" w:rsidP="00C03CD3">
              <w:pPr>
                <w:pStyle w:val="Bibliography"/>
                <w:ind w:left="720" w:hanging="720"/>
                <w:rPr>
                  <w:noProof/>
                </w:rPr>
              </w:pPr>
              <w:r>
                <w:rPr>
                  <w:noProof/>
                </w:rPr>
                <w:t xml:space="preserve">Inspector-General of Biosecurity. (2018). </w:t>
              </w:r>
              <w:r>
                <w:rPr>
                  <w:i/>
                  <w:iCs/>
                  <w:noProof/>
                </w:rPr>
                <w:t>Hitchhiker pest and contaminant biosecurity risk management in Australia.</w:t>
              </w:r>
              <w:r>
                <w:rPr>
                  <w:noProof/>
                </w:rPr>
                <w:t xml:space="preserve"> Canberra: Department of Agriculture and Water Resources.</w:t>
              </w:r>
            </w:p>
            <w:p w14:paraId="1E397005" w14:textId="77777777" w:rsidR="00C03CD3" w:rsidRDefault="00C03CD3" w:rsidP="00C03CD3">
              <w:pPr>
                <w:pStyle w:val="Bibliography"/>
                <w:ind w:left="720" w:hanging="720"/>
                <w:rPr>
                  <w:noProof/>
                </w:rPr>
              </w:pPr>
              <w:r>
                <w:rPr>
                  <w:noProof/>
                </w:rPr>
                <w:t xml:space="preserve">Inspector-General of Biosecurity. (2018a). </w:t>
              </w:r>
              <w:r>
                <w:rPr>
                  <w:i/>
                  <w:iCs/>
                  <w:noProof/>
                </w:rPr>
                <w:t>Military biosecurity risk management in Australia.</w:t>
              </w:r>
              <w:r>
                <w:rPr>
                  <w:noProof/>
                </w:rPr>
                <w:t xml:space="preserve"> Canberra: Department of Agriculture and Water Resources.</w:t>
              </w:r>
            </w:p>
            <w:p w14:paraId="1C8B1FEC" w14:textId="77777777" w:rsidR="00C03CD3" w:rsidRDefault="00C03CD3" w:rsidP="00C03CD3">
              <w:pPr>
                <w:pStyle w:val="Bibliography"/>
                <w:ind w:left="720" w:hanging="720"/>
                <w:rPr>
                  <w:noProof/>
                </w:rPr>
              </w:pPr>
              <w:r>
                <w:rPr>
                  <w:noProof/>
                </w:rPr>
                <w:t xml:space="preserve">Inspector-General of Biosecurity. (2019). </w:t>
              </w:r>
              <w:r>
                <w:rPr>
                  <w:i/>
                  <w:iCs/>
                  <w:noProof/>
                </w:rPr>
                <w:t>Environmental biosecurity risk management in Australia.</w:t>
              </w:r>
              <w:r>
                <w:rPr>
                  <w:noProof/>
                </w:rPr>
                <w:t xml:space="preserve"> Canberra: Department of Agriculture and Water Resources.</w:t>
              </w:r>
            </w:p>
            <w:p w14:paraId="20546BBD" w14:textId="77777777" w:rsidR="00C03CD3" w:rsidRDefault="00C03CD3" w:rsidP="00C03CD3">
              <w:pPr>
                <w:pStyle w:val="Bibliography"/>
                <w:ind w:left="720" w:hanging="720"/>
                <w:rPr>
                  <w:noProof/>
                </w:rPr>
              </w:pPr>
              <w:r>
                <w:rPr>
                  <w:noProof/>
                </w:rPr>
                <w:t xml:space="preserve">International Union for Conservation of Nature. (2000). </w:t>
              </w:r>
              <w:r>
                <w:rPr>
                  <w:i/>
                  <w:iCs/>
                  <w:noProof/>
                </w:rPr>
                <w:t>Guidelines for the Prevention of Biodiversity Loss Caused by Alien Invasive Species.</w:t>
              </w:r>
              <w:r>
                <w:rPr>
                  <w:noProof/>
                </w:rPr>
                <w:t xml:space="preserve"> Geneva.</w:t>
              </w:r>
            </w:p>
            <w:p w14:paraId="61B604AE" w14:textId="77777777" w:rsidR="00C03CD3" w:rsidRDefault="00C03CD3" w:rsidP="00C03CD3">
              <w:pPr>
                <w:pStyle w:val="Bibliography"/>
                <w:ind w:left="720" w:hanging="720"/>
                <w:rPr>
                  <w:noProof/>
                </w:rPr>
              </w:pPr>
              <w:r>
                <w:rPr>
                  <w:noProof/>
                </w:rPr>
                <w:t xml:space="preserve">Invasive Species Council. (2019). </w:t>
              </w:r>
              <w:r>
                <w:rPr>
                  <w:i/>
                  <w:iCs/>
                  <w:noProof/>
                </w:rPr>
                <w:t>Comments on the Biosecurity Levy Steering Committee Discussion Paper.</w:t>
              </w:r>
              <w:r>
                <w:rPr>
                  <w:noProof/>
                </w:rPr>
                <w:t xml:space="preserve"> Melbourne.</w:t>
              </w:r>
            </w:p>
            <w:p w14:paraId="1EDE6AF1" w14:textId="77777777" w:rsidR="00C03CD3" w:rsidRDefault="00C03CD3" w:rsidP="00C03CD3">
              <w:pPr>
                <w:pStyle w:val="Bibliography"/>
                <w:ind w:left="720" w:hanging="720"/>
                <w:rPr>
                  <w:noProof/>
                </w:rPr>
              </w:pPr>
              <w:r>
                <w:rPr>
                  <w:noProof/>
                </w:rPr>
                <w:t xml:space="preserve">Kaysen, C., &amp; Turner, D. F. (1959). </w:t>
              </w:r>
              <w:r>
                <w:rPr>
                  <w:i/>
                  <w:iCs/>
                  <w:noProof/>
                </w:rPr>
                <w:t>Antitrust Policy: An Economic and Legal Analysis.</w:t>
              </w:r>
              <w:r>
                <w:rPr>
                  <w:noProof/>
                </w:rPr>
                <w:t xml:space="preserve"> Cambridge: Harvard University Press.</w:t>
              </w:r>
            </w:p>
            <w:p w14:paraId="55B97053" w14:textId="77777777" w:rsidR="00C03CD3" w:rsidRDefault="00C03CD3" w:rsidP="00C03CD3">
              <w:pPr>
                <w:pStyle w:val="Bibliography"/>
                <w:ind w:left="720" w:hanging="720"/>
                <w:rPr>
                  <w:noProof/>
                </w:rPr>
              </w:pPr>
              <w:r>
                <w:rPr>
                  <w:noProof/>
                </w:rPr>
                <w:t xml:space="preserve">Kettunen, M., Genovesi, P., Gollasch, S., Pagad, S., Starfinger, U., ten Brink, P., &amp; Shine, C. (2009). </w:t>
              </w:r>
              <w:r>
                <w:rPr>
                  <w:i/>
                  <w:iCs/>
                  <w:noProof/>
                </w:rPr>
                <w:t>Technical support to EU strategy on invasive alien species (IAS)-Assessment of the impacts of IAS in Europe and the EU.</w:t>
              </w:r>
              <w:r>
                <w:rPr>
                  <w:noProof/>
                </w:rPr>
                <w:t xml:space="preserve"> Brussels: Institute for European Environmental.</w:t>
              </w:r>
            </w:p>
            <w:p w14:paraId="4616F2A6" w14:textId="77777777" w:rsidR="00C03CD3" w:rsidRDefault="00C03CD3" w:rsidP="00C03CD3">
              <w:pPr>
                <w:pStyle w:val="Bibliography"/>
                <w:ind w:left="720" w:hanging="720"/>
                <w:rPr>
                  <w:noProof/>
                </w:rPr>
              </w:pPr>
              <w:r>
                <w:rPr>
                  <w:noProof/>
                </w:rPr>
                <w:t xml:space="preserve">Kosicki, &amp; Cahill, M. B. (2006). Economics of Cost Pass Through and Damages in Indirect Purchaser Antitrust Cases. </w:t>
              </w:r>
              <w:r>
                <w:rPr>
                  <w:i/>
                  <w:iCs/>
                  <w:noProof/>
                </w:rPr>
                <w:t>Antitrust Bulletin, 51</w:t>
              </w:r>
              <w:r>
                <w:rPr>
                  <w:noProof/>
                </w:rPr>
                <w:t>, 599-630.</w:t>
              </w:r>
            </w:p>
            <w:p w14:paraId="7967A39E" w14:textId="77777777" w:rsidR="00C03CD3" w:rsidRDefault="00C03CD3" w:rsidP="00C03CD3">
              <w:pPr>
                <w:pStyle w:val="Bibliography"/>
                <w:ind w:left="720" w:hanging="720"/>
                <w:rPr>
                  <w:noProof/>
                </w:rPr>
              </w:pPr>
              <w:r>
                <w:rPr>
                  <w:noProof/>
                </w:rPr>
                <w:t xml:space="preserve">Krugman, P. (2009). </w:t>
              </w:r>
              <w:r>
                <w:rPr>
                  <w:i/>
                  <w:iCs/>
                  <w:noProof/>
                </w:rPr>
                <w:t>The Return of Depression Economics and the Crisis of 2008.</w:t>
              </w:r>
              <w:r>
                <w:rPr>
                  <w:noProof/>
                </w:rPr>
                <w:t xml:space="preserve"> New York: W.W. Norton Company Limited.</w:t>
              </w:r>
            </w:p>
            <w:p w14:paraId="17FCD205" w14:textId="77777777" w:rsidR="00C03CD3" w:rsidRDefault="00C03CD3" w:rsidP="00C03CD3">
              <w:pPr>
                <w:pStyle w:val="Bibliography"/>
                <w:ind w:left="720" w:hanging="720"/>
                <w:rPr>
                  <w:noProof/>
                </w:rPr>
              </w:pPr>
              <w:r>
                <w:rPr>
                  <w:noProof/>
                </w:rPr>
                <w:t xml:space="preserve">Landes, W. M., &amp; Posner, R. (1981). Market Power in Antitrust Cases. </w:t>
              </w:r>
              <w:r>
                <w:rPr>
                  <w:i/>
                  <w:iCs/>
                  <w:noProof/>
                </w:rPr>
                <w:t>Harvard Law Review, 94</w:t>
              </w:r>
              <w:r>
                <w:rPr>
                  <w:noProof/>
                </w:rPr>
                <w:t>, 937-996.</w:t>
              </w:r>
            </w:p>
            <w:p w14:paraId="5911D9C4" w14:textId="77777777" w:rsidR="00C03CD3" w:rsidRDefault="00C03CD3" w:rsidP="00C03CD3">
              <w:pPr>
                <w:pStyle w:val="Bibliography"/>
                <w:ind w:left="720" w:hanging="720"/>
                <w:rPr>
                  <w:noProof/>
                </w:rPr>
              </w:pPr>
              <w:r>
                <w:rPr>
                  <w:noProof/>
                </w:rPr>
                <w:t xml:space="preserve">Littleproud, D. (2019a). Announcement on biosecurity steering committee. </w:t>
              </w:r>
              <w:r>
                <w:rPr>
                  <w:i/>
                  <w:iCs/>
                  <w:noProof/>
                </w:rPr>
                <w:t>Media Statement from the Minister for Agriculture and Water Resources</w:t>
              </w:r>
              <w:r>
                <w:rPr>
                  <w:noProof/>
                </w:rPr>
                <w:t>, 5 March.</w:t>
              </w:r>
            </w:p>
            <w:p w14:paraId="1CDC06C7" w14:textId="77777777" w:rsidR="00C03CD3" w:rsidRDefault="00C03CD3" w:rsidP="00C03CD3">
              <w:pPr>
                <w:pStyle w:val="Bibliography"/>
                <w:ind w:left="720" w:hanging="720"/>
                <w:rPr>
                  <w:noProof/>
                </w:rPr>
              </w:pPr>
              <w:r>
                <w:rPr>
                  <w:noProof/>
                </w:rPr>
                <w:t xml:space="preserve">Littleproud, D. (2019b, Autumn). Managing Biosecurity Risk. </w:t>
              </w:r>
              <w:r>
                <w:rPr>
                  <w:i/>
                  <w:iCs/>
                  <w:noProof/>
                </w:rPr>
                <w:t>Across Borders</w:t>
              </w:r>
              <w:r>
                <w:rPr>
                  <w:noProof/>
                </w:rPr>
                <w:t>, p. 2.</w:t>
              </w:r>
            </w:p>
            <w:p w14:paraId="3FFCBA36" w14:textId="77777777" w:rsidR="00C03CD3" w:rsidRDefault="00C03CD3" w:rsidP="00C03CD3">
              <w:pPr>
                <w:pStyle w:val="Bibliography"/>
                <w:ind w:left="720" w:hanging="720"/>
                <w:rPr>
                  <w:noProof/>
                </w:rPr>
              </w:pPr>
              <w:r>
                <w:rPr>
                  <w:noProof/>
                </w:rPr>
                <w:t xml:space="preserve">Littleproud, D. (2019c). Statement on biosecurity levy. </w:t>
              </w:r>
              <w:r>
                <w:rPr>
                  <w:i/>
                  <w:iCs/>
                  <w:noProof/>
                </w:rPr>
                <w:t>Media Statement by the Minister for Agriculture and Water Resources</w:t>
              </w:r>
              <w:r>
                <w:rPr>
                  <w:noProof/>
                </w:rPr>
                <w:t>, 24 February.</w:t>
              </w:r>
            </w:p>
            <w:p w14:paraId="5D80931D" w14:textId="77777777" w:rsidR="00C03CD3" w:rsidRDefault="00C03CD3" w:rsidP="00C03CD3">
              <w:pPr>
                <w:pStyle w:val="Bibliography"/>
                <w:ind w:left="720" w:hanging="720"/>
                <w:rPr>
                  <w:noProof/>
                </w:rPr>
              </w:pPr>
              <w:r>
                <w:rPr>
                  <w:noProof/>
                </w:rPr>
                <w:t xml:space="preserve">Manaadiar, H. (2015, August 13). </w:t>
              </w:r>
              <w:r>
                <w:rPr>
                  <w:i/>
                  <w:iCs/>
                  <w:noProof/>
                </w:rPr>
                <w:t>Difference between bulk and break bulk.</w:t>
              </w:r>
              <w:r>
                <w:rPr>
                  <w:noProof/>
                </w:rPr>
                <w:t xml:space="preserve"> Retrieved from Shipping and Freight Resource: https://shippingandfreightresource.com/difference-between-bulk-and-break-bulk/</w:t>
              </w:r>
            </w:p>
            <w:p w14:paraId="2898B626" w14:textId="77777777" w:rsidR="00C03CD3" w:rsidRDefault="00C03CD3" w:rsidP="00C03CD3">
              <w:pPr>
                <w:pStyle w:val="Bibliography"/>
                <w:ind w:left="720" w:hanging="720"/>
                <w:rPr>
                  <w:noProof/>
                </w:rPr>
              </w:pPr>
              <w:r>
                <w:rPr>
                  <w:noProof/>
                </w:rPr>
                <w:t xml:space="preserve">Manufacturing Australia. (2019). </w:t>
              </w:r>
              <w:r>
                <w:rPr>
                  <w:i/>
                  <w:iCs/>
                  <w:noProof/>
                </w:rPr>
                <w:t>Submission to the Biosecurity Levy Steering Committee.</w:t>
              </w:r>
              <w:r>
                <w:rPr>
                  <w:noProof/>
                </w:rPr>
                <w:t xml:space="preserve"> Canberra.</w:t>
              </w:r>
            </w:p>
            <w:p w14:paraId="059097E4" w14:textId="77777777" w:rsidR="00C03CD3" w:rsidRDefault="00C03CD3" w:rsidP="00C03CD3">
              <w:pPr>
                <w:pStyle w:val="Bibliography"/>
                <w:ind w:left="720" w:hanging="720"/>
                <w:rPr>
                  <w:noProof/>
                </w:rPr>
              </w:pPr>
              <w:r>
                <w:rPr>
                  <w:noProof/>
                </w:rPr>
                <w:t xml:space="preserve">Marius-Răzvan, S., &amp; Camelia, S. (2014). Some considerations regarding the effects of taxation on the economy. </w:t>
              </w:r>
              <w:r>
                <w:rPr>
                  <w:i/>
                  <w:iCs/>
                  <w:noProof/>
                </w:rPr>
                <w:t>Procedia Economics and Finance, 8</w:t>
              </w:r>
              <w:r>
                <w:rPr>
                  <w:noProof/>
                </w:rPr>
                <w:t>, 688 – 695.</w:t>
              </w:r>
            </w:p>
            <w:p w14:paraId="171FAF44" w14:textId="77777777" w:rsidR="00C03CD3" w:rsidRDefault="00C03CD3" w:rsidP="00C03CD3">
              <w:pPr>
                <w:pStyle w:val="Bibliography"/>
                <w:ind w:left="720" w:hanging="720"/>
                <w:rPr>
                  <w:noProof/>
                </w:rPr>
              </w:pPr>
              <w:r>
                <w:rPr>
                  <w:noProof/>
                </w:rPr>
                <w:t xml:space="preserve">McNutt, P. (2000). Public Goods and Club Goods. In B. Bouckaert, &amp; G. deGeest, </w:t>
              </w:r>
              <w:r>
                <w:rPr>
                  <w:i/>
                  <w:iCs/>
                  <w:noProof/>
                </w:rPr>
                <w:t>Encyclopedia of Law and Economics, Volume I, The History and Methodology of Law and Economics</w:t>
              </w:r>
              <w:r>
                <w:rPr>
                  <w:noProof/>
                </w:rPr>
                <w:t xml:space="preserve"> (pp. 927-951). Cheltenham: Edward Elgar.</w:t>
              </w:r>
            </w:p>
            <w:p w14:paraId="35938857" w14:textId="77777777" w:rsidR="00C03CD3" w:rsidRDefault="00C03CD3" w:rsidP="00C03CD3">
              <w:pPr>
                <w:pStyle w:val="Bibliography"/>
                <w:ind w:left="720" w:hanging="720"/>
                <w:rPr>
                  <w:noProof/>
                </w:rPr>
              </w:pPr>
              <w:r>
                <w:rPr>
                  <w:noProof/>
                </w:rPr>
                <w:t xml:space="preserve">Musgrave, R. A. (1990). Horizontal Equity, Once More. </w:t>
              </w:r>
              <w:r>
                <w:rPr>
                  <w:i/>
                  <w:iCs/>
                  <w:noProof/>
                </w:rPr>
                <w:t>National Tax Journal, 43</w:t>
              </w:r>
              <w:r>
                <w:rPr>
                  <w:noProof/>
                </w:rPr>
                <w:t>, 113-122.</w:t>
              </w:r>
            </w:p>
            <w:p w14:paraId="77E233C4" w14:textId="77777777" w:rsidR="00C03CD3" w:rsidRDefault="00C03CD3" w:rsidP="00C03CD3">
              <w:pPr>
                <w:pStyle w:val="Bibliography"/>
                <w:ind w:left="720" w:hanging="720"/>
                <w:rPr>
                  <w:noProof/>
                </w:rPr>
              </w:pPr>
              <w:r>
                <w:rPr>
                  <w:noProof/>
                </w:rPr>
                <w:t xml:space="preserve">Nairn, M. E., Allen, P. G., Inglis, A. R., &amp; Tanner, C. (1996). </w:t>
              </w:r>
              <w:r>
                <w:rPr>
                  <w:i/>
                  <w:iCs/>
                  <w:noProof/>
                </w:rPr>
                <w:t>Australian Quarantine: A Shared Responsibility.</w:t>
              </w:r>
              <w:r>
                <w:rPr>
                  <w:noProof/>
                </w:rPr>
                <w:t xml:space="preserve"> Canberra: Department of Primary Industries.</w:t>
              </w:r>
            </w:p>
            <w:p w14:paraId="3BE8CEF4" w14:textId="77777777" w:rsidR="00C03CD3" w:rsidRDefault="00C03CD3" w:rsidP="00C03CD3">
              <w:pPr>
                <w:pStyle w:val="Bibliography"/>
                <w:ind w:left="720" w:hanging="720"/>
                <w:rPr>
                  <w:noProof/>
                </w:rPr>
              </w:pPr>
              <w:r>
                <w:rPr>
                  <w:noProof/>
                </w:rPr>
                <w:t xml:space="preserve">National Farmers' Federation. (2019). </w:t>
              </w:r>
              <w:r>
                <w:rPr>
                  <w:i/>
                  <w:iCs/>
                  <w:noProof/>
                </w:rPr>
                <w:t>Submission in Response to the Biosecurity Imports Levy Discussion Paper.</w:t>
              </w:r>
              <w:r>
                <w:rPr>
                  <w:noProof/>
                </w:rPr>
                <w:t xml:space="preserve"> Canberra.</w:t>
              </w:r>
            </w:p>
            <w:p w14:paraId="6D583E14" w14:textId="77777777" w:rsidR="00C03CD3" w:rsidRDefault="00C03CD3" w:rsidP="00C03CD3">
              <w:pPr>
                <w:pStyle w:val="Bibliography"/>
                <w:ind w:left="720" w:hanging="720"/>
                <w:rPr>
                  <w:noProof/>
                </w:rPr>
              </w:pPr>
              <w:r>
                <w:rPr>
                  <w:noProof/>
                </w:rPr>
                <w:t xml:space="preserve">Office of Best Practice Regulation. (2016). </w:t>
              </w:r>
              <w:r>
                <w:rPr>
                  <w:i/>
                  <w:iCs/>
                  <w:noProof/>
                </w:rPr>
                <w:t>User Guide to the Australian Government Guide to Regulation.</w:t>
              </w:r>
              <w:r>
                <w:rPr>
                  <w:noProof/>
                </w:rPr>
                <w:t xml:space="preserve"> Canberra: Department of the Prime Minister and Cabinet.</w:t>
              </w:r>
            </w:p>
            <w:p w14:paraId="6D52847E" w14:textId="77777777" w:rsidR="00C03CD3" w:rsidRDefault="00C03CD3" w:rsidP="00C03CD3">
              <w:pPr>
                <w:pStyle w:val="Bibliography"/>
                <w:ind w:left="720" w:hanging="720"/>
                <w:rPr>
                  <w:noProof/>
                </w:rPr>
              </w:pPr>
              <w:r>
                <w:rPr>
                  <w:noProof/>
                </w:rPr>
                <w:t xml:space="preserve">Olson, M. (1971). </w:t>
              </w:r>
              <w:r>
                <w:rPr>
                  <w:i/>
                  <w:iCs/>
                  <w:noProof/>
                </w:rPr>
                <w:t>The Logic of Collective Action: Public Goods and the Theory of Groups</w:t>
              </w:r>
              <w:r>
                <w:rPr>
                  <w:noProof/>
                </w:rPr>
                <w:t xml:space="preserve"> (2nd ed.). Cambridge: Harvard University Press.</w:t>
              </w:r>
            </w:p>
            <w:p w14:paraId="11B1C01A" w14:textId="77777777" w:rsidR="00C03CD3" w:rsidRDefault="00C03CD3" w:rsidP="00C03CD3">
              <w:pPr>
                <w:pStyle w:val="Bibliography"/>
                <w:ind w:left="720" w:hanging="720"/>
                <w:rPr>
                  <w:noProof/>
                </w:rPr>
              </w:pPr>
              <w:r>
                <w:rPr>
                  <w:noProof/>
                </w:rPr>
                <w:t xml:space="preserve">Parliamentary Commissioner for the Environment (New Zealand). (2000). </w:t>
              </w:r>
              <w:r>
                <w:rPr>
                  <w:i/>
                  <w:iCs/>
                  <w:noProof/>
                </w:rPr>
                <w:t>New Zealand Under Siege: A review of the management of biosecurity risks to the environment.</w:t>
              </w:r>
              <w:r>
                <w:rPr>
                  <w:noProof/>
                </w:rPr>
                <w:t xml:space="preserve"> Wellington.</w:t>
              </w:r>
            </w:p>
            <w:p w14:paraId="6B234F54" w14:textId="77777777" w:rsidR="00C03CD3" w:rsidRDefault="00C03CD3" w:rsidP="00C03CD3">
              <w:pPr>
                <w:pStyle w:val="Bibliography"/>
                <w:ind w:left="720" w:hanging="720"/>
                <w:rPr>
                  <w:noProof/>
                </w:rPr>
              </w:pPr>
              <w:r>
                <w:rPr>
                  <w:noProof/>
                </w:rPr>
                <w:t xml:space="preserve">Pecci, J. (2017, January 13). </w:t>
              </w:r>
              <w:r>
                <w:rPr>
                  <w:i/>
                  <w:iCs/>
                  <w:noProof/>
                </w:rPr>
                <w:t>Dry Bulk Measurements and Other Challenges Facing the Marine Industry.</w:t>
              </w:r>
              <w:r>
                <w:rPr>
                  <w:noProof/>
                </w:rPr>
                <w:t xml:space="preserve"> Retrieved from Safewaters Underwriting Managers: https://safewatersmarine.com/dry-bulk-measurements-and-other-challenges-facing-the-marine-industry/</w:t>
              </w:r>
            </w:p>
            <w:p w14:paraId="44A737F6" w14:textId="77777777" w:rsidR="00C03CD3" w:rsidRDefault="00C03CD3" w:rsidP="00C03CD3">
              <w:pPr>
                <w:pStyle w:val="Bibliography"/>
                <w:ind w:left="720" w:hanging="720"/>
                <w:rPr>
                  <w:noProof/>
                </w:rPr>
              </w:pPr>
              <w:r>
                <w:rPr>
                  <w:noProof/>
                </w:rPr>
                <w:t xml:space="preserve">Pigou, A. (1932). </w:t>
              </w:r>
              <w:r>
                <w:rPr>
                  <w:i/>
                  <w:iCs/>
                  <w:noProof/>
                </w:rPr>
                <w:t>The Economics of Welfare</w:t>
              </w:r>
              <w:r>
                <w:rPr>
                  <w:noProof/>
                </w:rPr>
                <w:t xml:space="preserve"> (4th ed.). London: MacMillan.</w:t>
              </w:r>
            </w:p>
            <w:p w14:paraId="5E1AA850" w14:textId="77777777" w:rsidR="00C03CD3" w:rsidRDefault="00C03CD3" w:rsidP="00C03CD3">
              <w:pPr>
                <w:pStyle w:val="Bibliography"/>
                <w:ind w:left="720" w:hanging="720"/>
                <w:rPr>
                  <w:noProof/>
                </w:rPr>
              </w:pPr>
              <w:r>
                <w:rPr>
                  <w:noProof/>
                </w:rPr>
                <w:t xml:space="preserve">Productivity Commission. (2001). </w:t>
              </w:r>
              <w:r>
                <w:rPr>
                  <w:i/>
                  <w:iCs/>
                  <w:noProof/>
                </w:rPr>
                <w:t>Cost recovery by Government agencies.</w:t>
              </w:r>
              <w:r>
                <w:rPr>
                  <w:noProof/>
                </w:rPr>
                <w:t xml:space="preserve"> Canberra: AusInfo.</w:t>
              </w:r>
            </w:p>
            <w:p w14:paraId="3FB7FDFF" w14:textId="77777777" w:rsidR="00C03CD3" w:rsidRDefault="00C03CD3" w:rsidP="00C03CD3">
              <w:pPr>
                <w:pStyle w:val="Bibliography"/>
                <w:ind w:left="720" w:hanging="720"/>
                <w:rPr>
                  <w:noProof/>
                </w:rPr>
              </w:pPr>
              <w:r>
                <w:rPr>
                  <w:noProof/>
                </w:rPr>
                <w:t xml:space="preserve">Productivity Commission. (2016). </w:t>
              </w:r>
              <w:r>
                <w:rPr>
                  <w:i/>
                  <w:iCs/>
                  <w:noProof/>
                </w:rPr>
                <w:t>Regulation of Australian Agriculture.</w:t>
              </w:r>
              <w:r>
                <w:rPr>
                  <w:noProof/>
                </w:rPr>
                <w:t xml:space="preserve"> Report no. 79, Canberra.</w:t>
              </w:r>
            </w:p>
            <w:p w14:paraId="1097FFEC" w14:textId="77777777" w:rsidR="00C03CD3" w:rsidRDefault="00C03CD3" w:rsidP="00C03CD3">
              <w:pPr>
                <w:pStyle w:val="Bibliography"/>
                <w:ind w:left="720" w:hanging="720"/>
                <w:rPr>
                  <w:noProof/>
                </w:rPr>
              </w:pPr>
              <w:r>
                <w:rPr>
                  <w:noProof/>
                </w:rPr>
                <w:t xml:space="preserve">Queensland Government Department of Agriculture and Fisheries. (2019, February 28). </w:t>
              </w:r>
              <w:r>
                <w:rPr>
                  <w:i/>
                  <w:iCs/>
                  <w:noProof/>
                </w:rPr>
                <w:t>National red imported fire ant eradication program</w:t>
              </w:r>
              <w:r>
                <w:rPr>
                  <w:noProof/>
                </w:rPr>
                <w:t>. Retrieved from Queensland Government Department of Agriculture and Fisheries: https://www.daf.qld.gov.au/business-priorities/biosecurity/invasive-plants-animals/ants/fire-ants/eradication</w:t>
              </w:r>
            </w:p>
            <w:p w14:paraId="3241C3DF" w14:textId="77777777" w:rsidR="00C03CD3" w:rsidRDefault="00C03CD3" w:rsidP="00C03CD3">
              <w:pPr>
                <w:pStyle w:val="Bibliography"/>
                <w:ind w:left="720" w:hanging="720"/>
                <w:rPr>
                  <w:noProof/>
                </w:rPr>
              </w:pPr>
              <w:r>
                <w:rPr>
                  <w:noProof/>
                </w:rPr>
                <w:t xml:space="preserve">Ramsey, F. P. (1927). A Contribution to the Theory of Taxation. </w:t>
              </w:r>
              <w:r>
                <w:rPr>
                  <w:i/>
                  <w:iCs/>
                  <w:noProof/>
                </w:rPr>
                <w:t>The Economic Journal, 37</w:t>
              </w:r>
              <w:r>
                <w:rPr>
                  <w:noProof/>
                </w:rPr>
                <w:t>, 47-61.</w:t>
              </w:r>
            </w:p>
            <w:p w14:paraId="20041243" w14:textId="77777777" w:rsidR="00C03CD3" w:rsidRDefault="00C03CD3" w:rsidP="00C03CD3">
              <w:pPr>
                <w:pStyle w:val="Bibliography"/>
                <w:ind w:left="720" w:hanging="720"/>
                <w:rPr>
                  <w:noProof/>
                </w:rPr>
              </w:pPr>
              <w:r>
                <w:rPr>
                  <w:noProof/>
                </w:rPr>
                <w:t xml:space="preserve">Roy, H. E., Rabitsch, W., Scalera, R., Stewart, A., Gallardo, B., Genoves, P., . . . Zenetos, A. (2018). Developing a framework of minimum standards for the risk assessment of alien species. </w:t>
              </w:r>
              <w:r>
                <w:rPr>
                  <w:i/>
                  <w:iCs/>
                  <w:noProof/>
                </w:rPr>
                <w:t>Journal of Applied Ecology, 55</w:t>
              </w:r>
              <w:r>
                <w:rPr>
                  <w:noProof/>
                </w:rPr>
                <w:t>, 526–538.</w:t>
              </w:r>
            </w:p>
            <w:p w14:paraId="573D5C6B" w14:textId="77777777" w:rsidR="00C03CD3" w:rsidRDefault="00C03CD3" w:rsidP="00C03CD3">
              <w:pPr>
                <w:pStyle w:val="Bibliography"/>
                <w:ind w:left="720" w:hanging="720"/>
                <w:rPr>
                  <w:noProof/>
                </w:rPr>
              </w:pPr>
              <w:r>
                <w:rPr>
                  <w:noProof/>
                </w:rPr>
                <w:t xml:space="preserve">Russell, L. (2019). </w:t>
              </w:r>
              <w:r>
                <w:rPr>
                  <w:i/>
                  <w:iCs/>
                  <w:noProof/>
                </w:rPr>
                <w:t>Submission by Llew Russell in Response to the Discussion Paper Released by the Biosecurity Import Levy Steering Committee.</w:t>
              </w:r>
              <w:r>
                <w:rPr>
                  <w:noProof/>
                </w:rPr>
                <w:t xml:space="preserve"> Sydney.</w:t>
              </w:r>
            </w:p>
            <w:p w14:paraId="680F6B08" w14:textId="77777777" w:rsidR="00C03CD3" w:rsidRDefault="00C03CD3" w:rsidP="00C03CD3">
              <w:pPr>
                <w:pStyle w:val="Bibliography"/>
                <w:ind w:left="720" w:hanging="720"/>
                <w:rPr>
                  <w:noProof/>
                </w:rPr>
              </w:pPr>
              <w:r>
                <w:rPr>
                  <w:noProof/>
                </w:rPr>
                <w:t xml:space="preserve">Sandmo, A. (1975). Optimal Taxation in the Presence of Externalities. </w:t>
              </w:r>
              <w:r>
                <w:rPr>
                  <w:i/>
                  <w:iCs/>
                  <w:noProof/>
                </w:rPr>
                <w:t>The Swedish Journal of Economics, 77</w:t>
              </w:r>
              <w:r>
                <w:rPr>
                  <w:noProof/>
                </w:rPr>
                <w:t>, 86-98.</w:t>
              </w:r>
            </w:p>
            <w:p w14:paraId="3289FCE8" w14:textId="77777777" w:rsidR="00C03CD3" w:rsidRDefault="00C03CD3" w:rsidP="00C03CD3">
              <w:pPr>
                <w:pStyle w:val="Bibliography"/>
                <w:ind w:left="720" w:hanging="720"/>
                <w:rPr>
                  <w:noProof/>
                </w:rPr>
              </w:pPr>
              <w:r>
                <w:rPr>
                  <w:noProof/>
                </w:rPr>
                <w:t xml:space="preserve">Scotchmer, S. (2002). Local Public Goods and Clubs. In A. J. Auerbach, &amp; M. Feldstein, </w:t>
              </w:r>
              <w:r>
                <w:rPr>
                  <w:i/>
                  <w:iCs/>
                  <w:noProof/>
                </w:rPr>
                <w:t>Handbook of Public Economics, Volume 4</w:t>
              </w:r>
              <w:r>
                <w:rPr>
                  <w:noProof/>
                </w:rPr>
                <w:t xml:space="preserve"> (pp. 1997-2042). Amsterdam: Elsevier Science B.V.</w:t>
              </w:r>
            </w:p>
            <w:p w14:paraId="72B81271" w14:textId="77777777" w:rsidR="00C03CD3" w:rsidRDefault="00C03CD3" w:rsidP="00C03CD3">
              <w:pPr>
                <w:pStyle w:val="Bibliography"/>
                <w:ind w:left="720" w:hanging="720"/>
                <w:rPr>
                  <w:noProof/>
                </w:rPr>
              </w:pPr>
              <w:r>
                <w:rPr>
                  <w:noProof/>
                </w:rPr>
                <w:t xml:space="preserve">Senate Standing Committee on Rural and Regional Affairs and Transport References Committee. (2012). </w:t>
              </w:r>
              <w:r>
                <w:rPr>
                  <w:i/>
                  <w:iCs/>
                  <w:noProof/>
                </w:rPr>
                <w:t>Australia's Biosecurity and Quarantine Arrangments.</w:t>
              </w:r>
              <w:r>
                <w:rPr>
                  <w:noProof/>
                </w:rPr>
                <w:t xml:space="preserve"> Canberra: Parliament of the Commonwealth of Australia.</w:t>
              </w:r>
            </w:p>
            <w:p w14:paraId="1AA861CE" w14:textId="77777777" w:rsidR="00C03CD3" w:rsidRDefault="00C03CD3" w:rsidP="00C03CD3">
              <w:pPr>
                <w:pStyle w:val="Bibliography"/>
                <w:ind w:left="720" w:hanging="720"/>
                <w:rPr>
                  <w:noProof/>
                </w:rPr>
              </w:pPr>
              <w:r>
                <w:rPr>
                  <w:noProof/>
                </w:rPr>
                <w:t xml:space="preserve">Shine, C., Kettunen, M., Genovesi, P., Essl, F., Gollasch, S., Rabitsch, W., . . . ten Brink, P. (2010). </w:t>
              </w:r>
              <w:r>
                <w:rPr>
                  <w:i/>
                  <w:iCs/>
                  <w:noProof/>
                </w:rPr>
                <w:t>Assessment to support continued development of the EU Strategy to combat invasive alien species: Final Report for the European Commission.</w:t>
              </w:r>
              <w:r>
                <w:rPr>
                  <w:noProof/>
                </w:rPr>
                <w:t xml:space="preserve"> Brussels: Institute for European Environmental Policy.</w:t>
              </w:r>
            </w:p>
            <w:p w14:paraId="48BCCCEA" w14:textId="77777777" w:rsidR="00C03CD3" w:rsidRDefault="00C03CD3" w:rsidP="00C03CD3">
              <w:pPr>
                <w:pStyle w:val="Bibliography"/>
                <w:ind w:left="720" w:hanging="720"/>
                <w:rPr>
                  <w:noProof/>
                </w:rPr>
              </w:pPr>
              <w:r>
                <w:rPr>
                  <w:noProof/>
                </w:rPr>
                <w:t xml:space="preserve">Shipping Australia. (2019). The new biosecurity levy – smoke and mirrors, lies or spin? </w:t>
              </w:r>
              <w:r>
                <w:rPr>
                  <w:i/>
                  <w:iCs/>
                  <w:noProof/>
                </w:rPr>
                <w:t>Media Release</w:t>
              </w:r>
              <w:r>
                <w:rPr>
                  <w:noProof/>
                </w:rPr>
                <w:t>, 5 March.</w:t>
              </w:r>
            </w:p>
            <w:p w14:paraId="0E0E05E0" w14:textId="77777777" w:rsidR="00C03CD3" w:rsidRDefault="00C03CD3" w:rsidP="00C03CD3">
              <w:pPr>
                <w:pStyle w:val="Bibliography"/>
                <w:ind w:left="720" w:hanging="720"/>
                <w:rPr>
                  <w:noProof/>
                </w:rPr>
              </w:pPr>
              <w:r>
                <w:rPr>
                  <w:noProof/>
                </w:rPr>
                <w:t xml:space="preserve">Smith, A. (2007). </w:t>
              </w:r>
              <w:r>
                <w:rPr>
                  <w:i/>
                  <w:iCs/>
                  <w:noProof/>
                </w:rPr>
                <w:t>An Inquiry into the Nature and Causes of The Wealth of Nations</w:t>
              </w:r>
              <w:r>
                <w:rPr>
                  <w:noProof/>
                </w:rPr>
                <w:t xml:space="preserve"> (MetaLibri Digital Edition ed.). (S. M. Soares, Ed.) Amsterdam: MetaLibri.</w:t>
              </w:r>
            </w:p>
            <w:p w14:paraId="4B04262F" w14:textId="77777777" w:rsidR="00C03CD3" w:rsidRDefault="00C03CD3" w:rsidP="00C03CD3">
              <w:pPr>
                <w:pStyle w:val="Bibliography"/>
                <w:ind w:left="720" w:hanging="720"/>
                <w:rPr>
                  <w:noProof/>
                </w:rPr>
              </w:pPr>
              <w:r>
                <w:rPr>
                  <w:noProof/>
                </w:rPr>
                <w:t xml:space="preserve">Stern, N. H. (1984). Optimum Taxation and Tax Policy. </w:t>
              </w:r>
              <w:r>
                <w:rPr>
                  <w:i/>
                  <w:iCs/>
                  <w:noProof/>
                </w:rPr>
                <w:t>Staff Papers (International Monetary Fund), 31</w:t>
              </w:r>
              <w:r>
                <w:rPr>
                  <w:noProof/>
                </w:rPr>
                <w:t>, 339-378.</w:t>
              </w:r>
            </w:p>
            <w:p w14:paraId="7939C1AC" w14:textId="77777777" w:rsidR="00C03CD3" w:rsidRDefault="00C03CD3" w:rsidP="00C03CD3">
              <w:pPr>
                <w:pStyle w:val="Bibliography"/>
                <w:ind w:left="720" w:hanging="720"/>
                <w:rPr>
                  <w:noProof/>
                </w:rPr>
              </w:pPr>
              <w:r>
                <w:rPr>
                  <w:noProof/>
                </w:rPr>
                <w:t xml:space="preserve">Stiglitz, J. (2000). </w:t>
              </w:r>
              <w:r>
                <w:rPr>
                  <w:i/>
                  <w:iCs/>
                  <w:noProof/>
                </w:rPr>
                <w:t>Economics of the Public Sector, Third Edition.</w:t>
              </w:r>
              <w:r>
                <w:rPr>
                  <w:noProof/>
                </w:rPr>
                <w:t xml:space="preserve"> New York: Norton.</w:t>
              </w:r>
            </w:p>
            <w:p w14:paraId="37C7D334" w14:textId="77777777" w:rsidR="00C03CD3" w:rsidRDefault="00C03CD3" w:rsidP="00C03CD3">
              <w:pPr>
                <w:pStyle w:val="Bibliography"/>
                <w:ind w:left="720" w:hanging="720"/>
                <w:rPr>
                  <w:noProof/>
                </w:rPr>
              </w:pPr>
              <w:r>
                <w:rPr>
                  <w:noProof/>
                </w:rPr>
                <w:t xml:space="preserve">Stopford, M. (2009). </w:t>
              </w:r>
              <w:r>
                <w:rPr>
                  <w:i/>
                  <w:iCs/>
                  <w:noProof/>
                </w:rPr>
                <w:t>Maritime Economics.</w:t>
              </w:r>
              <w:r>
                <w:rPr>
                  <w:noProof/>
                </w:rPr>
                <w:t xml:space="preserve"> London: Routledge.</w:t>
              </w:r>
            </w:p>
            <w:p w14:paraId="07FE4524" w14:textId="77777777" w:rsidR="00C03CD3" w:rsidRDefault="00C03CD3" w:rsidP="00C03CD3">
              <w:pPr>
                <w:pStyle w:val="Bibliography"/>
                <w:ind w:left="720" w:hanging="720"/>
                <w:rPr>
                  <w:noProof/>
                </w:rPr>
              </w:pPr>
              <w:r>
                <w:rPr>
                  <w:noProof/>
                </w:rPr>
                <w:t xml:space="preserve">Tasmanian Farmers and Graziers Association. (2019). </w:t>
              </w:r>
              <w:r>
                <w:rPr>
                  <w:i/>
                  <w:iCs/>
                  <w:noProof/>
                </w:rPr>
                <w:t>Comment on the Proposed Biosecurity Imports Levy.</w:t>
              </w:r>
              <w:r>
                <w:rPr>
                  <w:noProof/>
                </w:rPr>
                <w:t xml:space="preserve"> Launceston.</w:t>
              </w:r>
            </w:p>
            <w:p w14:paraId="40AF21FD" w14:textId="77777777" w:rsidR="00C03CD3" w:rsidRDefault="00C03CD3" w:rsidP="00C03CD3">
              <w:pPr>
                <w:pStyle w:val="Bibliography"/>
                <w:ind w:left="720" w:hanging="720"/>
                <w:rPr>
                  <w:noProof/>
                </w:rPr>
              </w:pPr>
              <w:r>
                <w:rPr>
                  <w:noProof/>
                </w:rPr>
                <w:t xml:space="preserve">The Chamber of Minerals and Energy of Western Australia. (2019). </w:t>
              </w:r>
              <w:r>
                <w:rPr>
                  <w:i/>
                  <w:iCs/>
                  <w:noProof/>
                </w:rPr>
                <w:t>Biosecurity Imports Levy Consultation.</w:t>
              </w:r>
              <w:r>
                <w:rPr>
                  <w:noProof/>
                </w:rPr>
                <w:t xml:space="preserve"> Perth.</w:t>
              </w:r>
            </w:p>
            <w:p w14:paraId="19B7AB53" w14:textId="77777777" w:rsidR="00C03CD3" w:rsidRDefault="00C03CD3" w:rsidP="00C03CD3">
              <w:pPr>
                <w:pStyle w:val="Bibliography"/>
                <w:ind w:left="720" w:hanging="720"/>
                <w:rPr>
                  <w:noProof/>
                </w:rPr>
              </w:pPr>
              <w:r>
                <w:rPr>
                  <w:noProof/>
                </w:rPr>
                <w:t xml:space="preserve">The Treasury (New Zealand). (2002). </w:t>
              </w:r>
              <w:r>
                <w:rPr>
                  <w:i/>
                  <w:iCs/>
                  <w:noProof/>
                </w:rPr>
                <w:t>Guidelines for Setting Charges in the Public Sector - December 2002.</w:t>
              </w:r>
              <w:r>
                <w:rPr>
                  <w:noProof/>
                </w:rPr>
                <w:t xml:space="preserve"> Wellington.</w:t>
              </w:r>
            </w:p>
            <w:p w14:paraId="36343C69" w14:textId="77777777" w:rsidR="00C03CD3" w:rsidRDefault="00C03CD3" w:rsidP="00C03CD3">
              <w:pPr>
                <w:pStyle w:val="Bibliography"/>
                <w:ind w:left="720" w:hanging="720"/>
                <w:rPr>
                  <w:noProof/>
                </w:rPr>
              </w:pPr>
              <w:r>
                <w:rPr>
                  <w:noProof/>
                </w:rPr>
                <w:t xml:space="preserve">Tourism &amp; Transport Forum Australia. (2019). </w:t>
              </w:r>
              <w:r>
                <w:rPr>
                  <w:i/>
                  <w:iCs/>
                  <w:noProof/>
                </w:rPr>
                <w:t>Submission to the Biosecurity Levy Steering Committee.</w:t>
              </w:r>
              <w:r>
                <w:rPr>
                  <w:noProof/>
                </w:rPr>
                <w:t xml:space="preserve"> Sydney.</w:t>
              </w:r>
            </w:p>
            <w:p w14:paraId="0CFE56E6" w14:textId="77777777" w:rsidR="00C03CD3" w:rsidRDefault="00C03CD3" w:rsidP="00C03CD3">
              <w:pPr>
                <w:pStyle w:val="Bibliography"/>
                <w:ind w:left="720" w:hanging="720"/>
                <w:rPr>
                  <w:noProof/>
                </w:rPr>
              </w:pPr>
              <w:r>
                <w:rPr>
                  <w:noProof/>
                </w:rPr>
                <w:t xml:space="preserve">Upton, C. (1971). The Allocation of Pollution Rights. </w:t>
              </w:r>
              <w:r>
                <w:rPr>
                  <w:i/>
                  <w:iCs/>
                  <w:noProof/>
                </w:rPr>
                <w:t>National Tax Association, 64</w:t>
              </w:r>
              <w:r>
                <w:rPr>
                  <w:noProof/>
                </w:rPr>
                <w:t>, 116-123.</w:t>
              </w:r>
            </w:p>
            <w:p w14:paraId="1458655D" w14:textId="77777777" w:rsidR="00C03CD3" w:rsidRDefault="00C03CD3" w:rsidP="00C03CD3">
              <w:pPr>
                <w:pStyle w:val="Bibliography"/>
                <w:ind w:left="720" w:hanging="720"/>
                <w:rPr>
                  <w:noProof/>
                </w:rPr>
              </w:pPr>
              <w:r>
                <w:rPr>
                  <w:noProof/>
                </w:rPr>
                <w:t xml:space="preserve">Watson, H. (2005). Excess Burden. In J. J. Cordes, R. D. Ebel, &amp; J. G. Gravelle, </w:t>
              </w:r>
              <w:r>
                <w:rPr>
                  <w:i/>
                  <w:iCs/>
                  <w:noProof/>
                </w:rPr>
                <w:t>The Encyclopedia of Taxation &amp; Tax Policy</w:t>
              </w:r>
              <w:r>
                <w:rPr>
                  <w:noProof/>
                </w:rPr>
                <w:t xml:space="preserve"> (pp. 121-122). Washington DC: The Urban Institute Press.</w:t>
              </w:r>
            </w:p>
            <w:p w14:paraId="1E354FEB" w14:textId="77777777" w:rsidR="00C03CD3" w:rsidRDefault="00C03CD3" w:rsidP="00C03CD3">
              <w:pPr>
                <w:pStyle w:val="Bibliography"/>
                <w:ind w:left="720" w:hanging="720"/>
                <w:rPr>
                  <w:noProof/>
                </w:rPr>
              </w:pPr>
              <w:r>
                <w:rPr>
                  <w:noProof/>
                </w:rPr>
                <w:t xml:space="preserve">Wolf, C. (1999). Financial Crises and the Challenge of “Moral Hazard”. </w:t>
              </w:r>
              <w:r>
                <w:rPr>
                  <w:i/>
                  <w:iCs/>
                  <w:noProof/>
                </w:rPr>
                <w:t>Society, 35</w:t>
              </w:r>
              <w:r>
                <w:rPr>
                  <w:noProof/>
                </w:rPr>
                <w:t>(5), 60-62.</w:t>
              </w:r>
            </w:p>
            <w:p w14:paraId="7E47A782" w14:textId="77777777" w:rsidR="00C03CD3" w:rsidRDefault="00C03CD3" w:rsidP="00C03CD3">
              <w:pPr>
                <w:pStyle w:val="Bibliography"/>
                <w:ind w:left="720" w:hanging="720"/>
                <w:rPr>
                  <w:noProof/>
                </w:rPr>
              </w:pPr>
              <w:r>
                <w:rPr>
                  <w:noProof/>
                </w:rPr>
                <w:t xml:space="preserve">Woolery, A. (1989). </w:t>
              </w:r>
              <w:r>
                <w:rPr>
                  <w:i/>
                  <w:iCs/>
                  <w:noProof/>
                </w:rPr>
                <w:t>Property tax principle and practice.</w:t>
              </w:r>
              <w:r>
                <w:rPr>
                  <w:noProof/>
                </w:rPr>
                <w:t xml:space="preserve"> Cambridge M.A.: Lincoln Institute of Land Policy.</w:t>
              </w:r>
            </w:p>
            <w:p w14:paraId="33800A63" w14:textId="0F7B54E0" w:rsidR="00545E52" w:rsidRDefault="00545E52" w:rsidP="00C03CD3">
              <w:r>
                <w:rPr>
                  <w:b/>
                  <w:bCs/>
                  <w:noProof/>
                </w:rPr>
                <w:fldChar w:fldCharType="end"/>
              </w:r>
            </w:p>
          </w:sdtContent>
        </w:sdt>
      </w:sdtContent>
    </w:sdt>
    <w:p w14:paraId="0F65E0B9" w14:textId="77269858" w:rsidR="004D61A2" w:rsidRDefault="004D61A2">
      <w:pPr>
        <w:spacing w:before="0" w:after="160" w:line="259" w:lineRule="auto"/>
      </w:pPr>
      <w:r>
        <w:br w:type="page"/>
      </w:r>
    </w:p>
    <w:p w14:paraId="1EAF5777" w14:textId="6FB5FD2F" w:rsidR="00545E52" w:rsidRDefault="00893CB8" w:rsidP="00893CB8">
      <w:pPr>
        <w:pStyle w:val="Heading1"/>
      </w:pPr>
      <w:bookmarkStart w:id="47" w:name="_Toc10031911"/>
      <w:r>
        <w:t>Appendix 1</w:t>
      </w:r>
      <w:r w:rsidR="00201A28">
        <w:t>: Ministerial Media Statements and Committee Terms of Reference</w:t>
      </w:r>
      <w:bookmarkEnd w:id="47"/>
    </w:p>
    <w:p w14:paraId="5C9BF533" w14:textId="74E7EAC0" w:rsidR="00AD4C31" w:rsidRDefault="00A82B40" w:rsidP="00F833BA">
      <w:pPr>
        <w:pStyle w:val="Heading2"/>
      </w:pPr>
      <w:bookmarkStart w:id="48" w:name="_Toc10031912"/>
      <w:r w:rsidRPr="00A82B40">
        <w:t xml:space="preserve">Media Statement from the </w:t>
      </w:r>
      <w:r w:rsidR="006E1366">
        <w:t xml:space="preserve">then </w:t>
      </w:r>
      <w:r w:rsidRPr="00A82B40">
        <w:t>Minister for Agriculture and Water Resources</w:t>
      </w:r>
      <w:r w:rsidR="00AD4C31">
        <w:t xml:space="preserve"> 24</w:t>
      </w:r>
      <w:r w:rsidR="00201A28">
        <w:t> </w:t>
      </w:r>
      <w:r w:rsidR="00AD4C31">
        <w:t>February 2019</w:t>
      </w:r>
      <w:bookmarkEnd w:id="48"/>
    </w:p>
    <w:p w14:paraId="15906ADF" w14:textId="7D15E170" w:rsidR="00AD4C31" w:rsidRPr="00AD4C31" w:rsidRDefault="00AD4C31" w:rsidP="00AD4C31">
      <w:r w:rsidRPr="00AD4C31">
        <w:rPr>
          <w:noProof/>
          <w:lang w:eastAsia="en-AU"/>
        </w:rPr>
        <w:drawing>
          <wp:inline distT="0" distB="0" distL="0" distR="0" wp14:anchorId="3C7FA35A" wp14:editId="5127E854">
            <wp:extent cx="5731510" cy="52292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667" cy="5232105"/>
                    </a:xfrm>
                    <a:prstGeom prst="rect">
                      <a:avLst/>
                    </a:prstGeom>
                    <a:noFill/>
                    <a:ln>
                      <a:noFill/>
                    </a:ln>
                  </pic:spPr>
                </pic:pic>
              </a:graphicData>
            </a:graphic>
          </wp:inline>
        </w:drawing>
      </w:r>
    </w:p>
    <w:p w14:paraId="78830CDC" w14:textId="77777777" w:rsidR="00AD4C31" w:rsidRDefault="00AD4C31" w:rsidP="00AD4C31">
      <w:pPr>
        <w:rPr>
          <w:rFonts w:eastAsiaTheme="majorEastAsia"/>
        </w:rPr>
      </w:pPr>
      <w:r>
        <w:br w:type="page"/>
      </w:r>
    </w:p>
    <w:p w14:paraId="569AD2CF" w14:textId="4289236D" w:rsidR="00F833BA" w:rsidRPr="00F833BA" w:rsidRDefault="00AD4C31" w:rsidP="00F833BA">
      <w:pPr>
        <w:pStyle w:val="Heading2"/>
      </w:pPr>
      <w:bookmarkStart w:id="49" w:name="_Toc10031913"/>
      <w:r w:rsidRPr="00A82B40">
        <w:t xml:space="preserve">Media Statement from the </w:t>
      </w:r>
      <w:r w:rsidR="006E1366">
        <w:t xml:space="preserve">then </w:t>
      </w:r>
      <w:r w:rsidRPr="00A82B40">
        <w:t>Minister for Agriculture and Water Resources</w:t>
      </w:r>
      <w:r>
        <w:t xml:space="preserve"> 5</w:t>
      </w:r>
      <w:r w:rsidR="00201A28">
        <w:t> </w:t>
      </w:r>
      <w:r>
        <w:t>March 2019</w:t>
      </w:r>
      <w:bookmarkEnd w:id="49"/>
    </w:p>
    <w:p w14:paraId="611C8BC4" w14:textId="56ACD7A7" w:rsidR="00E2022F" w:rsidRDefault="00F833BA" w:rsidP="00893CB8">
      <w:r w:rsidRPr="00F833BA">
        <w:rPr>
          <w:noProof/>
          <w:lang w:eastAsia="en-AU"/>
        </w:rPr>
        <w:drawing>
          <wp:inline distT="0" distB="0" distL="0" distR="0" wp14:anchorId="0AC1C295" wp14:editId="768C28D2">
            <wp:extent cx="6168659" cy="7862888"/>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3323" cy="7868833"/>
                    </a:xfrm>
                    <a:prstGeom prst="rect">
                      <a:avLst/>
                    </a:prstGeom>
                    <a:noFill/>
                    <a:ln>
                      <a:noFill/>
                    </a:ln>
                  </pic:spPr>
                </pic:pic>
              </a:graphicData>
            </a:graphic>
          </wp:inline>
        </w:drawing>
      </w:r>
    </w:p>
    <w:p w14:paraId="3FD9F716" w14:textId="41D91157" w:rsidR="00E2022F" w:rsidRDefault="00F2570C">
      <w:pPr>
        <w:spacing w:before="0" w:after="160" w:line="259" w:lineRule="auto"/>
      </w:pPr>
      <w:r w:rsidRPr="00AD4C31">
        <w:rPr>
          <w:b/>
        </w:rPr>
        <w:t>Note</w:t>
      </w:r>
      <w:r>
        <w:t>: subsequent to this statement, Joel Katz of Cruise Lines International Association – Australasia</w:t>
      </w:r>
      <w:r w:rsidR="003560F3">
        <w:t>, and Peter Gniel, from the Australian Institute of Petroleum were</w:t>
      </w:r>
      <w:r>
        <w:t xml:space="preserve"> added to the Committee.</w:t>
      </w:r>
      <w:r w:rsidR="00E2022F">
        <w:br w:type="page"/>
      </w:r>
    </w:p>
    <w:p w14:paraId="103B86BE" w14:textId="05805659" w:rsidR="00893CB8" w:rsidRDefault="00640133" w:rsidP="00640133">
      <w:pPr>
        <w:pStyle w:val="Heading2"/>
      </w:pPr>
      <w:bookmarkStart w:id="50" w:name="_Toc10031914"/>
      <w:r>
        <w:t>Committee Terms of Reference</w:t>
      </w:r>
      <w:bookmarkEnd w:id="50"/>
    </w:p>
    <w:p w14:paraId="277D3CB8" w14:textId="6AFCC9F6" w:rsidR="00AA3F99" w:rsidRDefault="00AA3F99" w:rsidP="00640133">
      <w:r w:rsidRPr="00AA3F99">
        <w:rPr>
          <w:noProof/>
          <w:lang w:eastAsia="en-AU"/>
        </w:rPr>
        <w:drawing>
          <wp:inline distT="0" distB="0" distL="0" distR="0" wp14:anchorId="658A8537" wp14:editId="18C47BA3">
            <wp:extent cx="5776257" cy="832008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2949" cy="8329728"/>
                    </a:xfrm>
                    <a:prstGeom prst="rect">
                      <a:avLst/>
                    </a:prstGeom>
                    <a:noFill/>
                    <a:ln>
                      <a:noFill/>
                    </a:ln>
                  </pic:spPr>
                </pic:pic>
              </a:graphicData>
            </a:graphic>
          </wp:inline>
        </w:drawing>
      </w:r>
    </w:p>
    <w:p w14:paraId="7EDCCC50" w14:textId="77777777" w:rsidR="00AA3F99" w:rsidRDefault="00AA3F99">
      <w:pPr>
        <w:spacing w:before="0" w:after="160" w:line="259" w:lineRule="auto"/>
      </w:pPr>
      <w:r>
        <w:br w:type="page"/>
      </w:r>
    </w:p>
    <w:p w14:paraId="3C3F7F20" w14:textId="485FE49B" w:rsidR="00640133" w:rsidRPr="00640133" w:rsidRDefault="00054A67" w:rsidP="00640133">
      <w:r w:rsidRPr="00054A67">
        <w:rPr>
          <w:noProof/>
          <w:lang w:eastAsia="en-AU"/>
        </w:rPr>
        <w:drawing>
          <wp:inline distT="0" distB="0" distL="0" distR="0" wp14:anchorId="27DD8950" wp14:editId="4228661D">
            <wp:extent cx="6104475" cy="3762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0306" cy="3765969"/>
                    </a:xfrm>
                    <a:prstGeom prst="rect">
                      <a:avLst/>
                    </a:prstGeom>
                    <a:noFill/>
                    <a:ln>
                      <a:noFill/>
                    </a:ln>
                  </pic:spPr>
                </pic:pic>
              </a:graphicData>
            </a:graphic>
          </wp:inline>
        </w:drawing>
      </w:r>
    </w:p>
    <w:p w14:paraId="5BEAB653" w14:textId="0ABA101F" w:rsidR="006A2D80" w:rsidRDefault="006A2D80">
      <w:pPr>
        <w:spacing w:before="0" w:after="160" w:line="259" w:lineRule="auto"/>
      </w:pPr>
      <w:r>
        <w:br w:type="page"/>
      </w:r>
    </w:p>
    <w:p w14:paraId="1F093CAC" w14:textId="6B194F89" w:rsidR="00F833BA" w:rsidRDefault="006A2D80" w:rsidP="006A2D80">
      <w:pPr>
        <w:pStyle w:val="Heading1"/>
      </w:pPr>
      <w:bookmarkStart w:id="51" w:name="_Toc10031915"/>
      <w:r>
        <w:t>Appendix 2</w:t>
      </w:r>
      <w:bookmarkEnd w:id="51"/>
    </w:p>
    <w:p w14:paraId="450D338E" w14:textId="39FA8D3F" w:rsidR="006A2D80" w:rsidRDefault="006A2D80" w:rsidP="006A2D80">
      <w:pPr>
        <w:pStyle w:val="Heading2"/>
      </w:pPr>
      <w:bookmarkStart w:id="52" w:name="_Toc10031916"/>
      <w:r>
        <w:t>List of parties providing submissions to the Committee</w:t>
      </w:r>
      <w:bookmarkEnd w:id="52"/>
    </w:p>
    <w:p w14:paraId="26EB0ADE" w14:textId="0A7E6FB9" w:rsidR="00523FA7" w:rsidRPr="00523FA7" w:rsidRDefault="00523FA7" w:rsidP="00523FA7">
      <w:pPr>
        <w:pStyle w:val="ListParagraph"/>
        <w:numPr>
          <w:ilvl w:val="0"/>
          <w:numId w:val="20"/>
        </w:numPr>
      </w:pPr>
      <w:r w:rsidRPr="00CF2CBB">
        <w:rPr>
          <w:shd w:val="clear" w:color="auto" w:fill="FFFFFF"/>
        </w:rPr>
        <w:t>Australian Aluminium Council</w:t>
      </w:r>
    </w:p>
    <w:p w14:paraId="1BE2D382" w14:textId="67D8F52C" w:rsidR="00523FA7" w:rsidRPr="00523FA7" w:rsidRDefault="00523FA7" w:rsidP="00523FA7">
      <w:pPr>
        <w:pStyle w:val="ListParagraph"/>
        <w:numPr>
          <w:ilvl w:val="0"/>
          <w:numId w:val="20"/>
        </w:numPr>
      </w:pPr>
      <w:r>
        <w:t>Australian Chamber of Commerce and Industry</w:t>
      </w:r>
    </w:p>
    <w:p w14:paraId="105AEB5B" w14:textId="0B03AC06" w:rsidR="00523FA7" w:rsidRPr="00523FA7" w:rsidRDefault="00523FA7" w:rsidP="00523FA7">
      <w:pPr>
        <w:pStyle w:val="ListParagraph"/>
        <w:numPr>
          <w:ilvl w:val="0"/>
          <w:numId w:val="20"/>
        </w:numPr>
      </w:pPr>
      <w:r w:rsidRPr="000D2B0D">
        <w:rPr>
          <w:shd w:val="clear" w:color="auto" w:fill="FFFFFF"/>
        </w:rPr>
        <w:t>Australian Mushroom Growers’ Association</w:t>
      </w:r>
    </w:p>
    <w:p w14:paraId="5E02D310" w14:textId="2D68018D" w:rsidR="00523FA7" w:rsidRDefault="00523FA7" w:rsidP="00523FA7">
      <w:pPr>
        <w:pStyle w:val="ListParagraph"/>
        <w:numPr>
          <w:ilvl w:val="0"/>
          <w:numId w:val="20"/>
        </w:numPr>
      </w:pPr>
      <w:r w:rsidRPr="000926A0">
        <w:rPr>
          <w:shd w:val="clear" w:color="auto" w:fill="FFFFFF"/>
        </w:rPr>
        <w:t>Australian Pork Limited</w:t>
      </w:r>
    </w:p>
    <w:p w14:paraId="6221C549" w14:textId="7FC41355" w:rsidR="00523FA7" w:rsidRDefault="00523FA7" w:rsidP="00523FA7">
      <w:pPr>
        <w:pStyle w:val="ListParagraph"/>
        <w:numPr>
          <w:ilvl w:val="0"/>
          <w:numId w:val="20"/>
        </w:numPr>
      </w:pPr>
      <w:r>
        <w:t>Blue</w:t>
      </w:r>
      <w:r w:rsidR="001F2D73">
        <w:t>S</w:t>
      </w:r>
      <w:r>
        <w:t>cope Steel Ltd</w:t>
      </w:r>
    </w:p>
    <w:p w14:paraId="110D72E5" w14:textId="48251068" w:rsidR="00523FA7" w:rsidRPr="00523FA7" w:rsidRDefault="00523FA7" w:rsidP="00523FA7">
      <w:pPr>
        <w:pStyle w:val="ListParagraph"/>
        <w:numPr>
          <w:ilvl w:val="0"/>
          <w:numId w:val="20"/>
        </w:numPr>
      </w:pPr>
      <w:r w:rsidRPr="00016F85">
        <w:rPr>
          <w:shd w:val="clear" w:color="auto" w:fill="FFFFFF"/>
        </w:rPr>
        <w:t>Carnival Australia</w:t>
      </w:r>
    </w:p>
    <w:p w14:paraId="50F338BA" w14:textId="1DAD4ECC" w:rsidR="00523FA7" w:rsidRPr="00523FA7" w:rsidRDefault="00523FA7" w:rsidP="00523FA7">
      <w:pPr>
        <w:pStyle w:val="ListParagraph"/>
        <w:numPr>
          <w:ilvl w:val="0"/>
          <w:numId w:val="20"/>
        </w:numPr>
      </w:pPr>
      <w:r w:rsidRPr="00305D5B">
        <w:rPr>
          <w:shd w:val="clear" w:color="auto" w:fill="FFFFFF"/>
        </w:rPr>
        <w:t>Cement Australia</w:t>
      </w:r>
      <w:r>
        <w:rPr>
          <w:shd w:val="clear" w:color="auto" w:fill="FFFFFF"/>
        </w:rPr>
        <w:t xml:space="preserve"> Pty Ltd</w:t>
      </w:r>
    </w:p>
    <w:p w14:paraId="53C37451" w14:textId="0C5225EA" w:rsidR="00523FA7" w:rsidRDefault="00523FA7" w:rsidP="00523FA7">
      <w:pPr>
        <w:pStyle w:val="ListParagraph"/>
        <w:numPr>
          <w:ilvl w:val="0"/>
          <w:numId w:val="20"/>
        </w:numPr>
      </w:pPr>
      <w:r>
        <w:t>Cement Industry Federation</w:t>
      </w:r>
    </w:p>
    <w:p w14:paraId="75180F88" w14:textId="6A74CB6F" w:rsidR="00523FA7" w:rsidRDefault="00523FA7" w:rsidP="00523FA7">
      <w:pPr>
        <w:pStyle w:val="ListParagraph"/>
        <w:numPr>
          <w:ilvl w:val="0"/>
          <w:numId w:val="20"/>
        </w:numPr>
      </w:pPr>
      <w:r>
        <w:t>Conference of Asia Pacific Express Carriers</w:t>
      </w:r>
    </w:p>
    <w:p w14:paraId="7B438457" w14:textId="11E39041" w:rsidR="00523FA7" w:rsidRPr="00523FA7" w:rsidRDefault="00523FA7" w:rsidP="00523FA7">
      <w:pPr>
        <w:pStyle w:val="ListParagraph"/>
        <w:numPr>
          <w:ilvl w:val="0"/>
          <w:numId w:val="20"/>
        </w:numPr>
      </w:pPr>
      <w:r w:rsidRPr="00004C6F">
        <w:rPr>
          <w:shd w:val="clear" w:color="auto" w:fill="FFFFFF"/>
        </w:rPr>
        <w:t>Cruise Lines International Association</w:t>
      </w:r>
    </w:p>
    <w:p w14:paraId="3B9DB5F3" w14:textId="77777777" w:rsidR="00523FA7" w:rsidRPr="00523FA7" w:rsidRDefault="00523FA7" w:rsidP="00523FA7">
      <w:pPr>
        <w:pStyle w:val="ListParagraph"/>
        <w:numPr>
          <w:ilvl w:val="0"/>
          <w:numId w:val="20"/>
        </w:numPr>
      </w:pPr>
      <w:r w:rsidRPr="002A50DA">
        <w:rPr>
          <w:shd w:val="clear" w:color="auto" w:fill="FFFFFF"/>
        </w:rPr>
        <w:t>Customs Brokers and Forwarders Council of Australia</w:t>
      </w:r>
    </w:p>
    <w:p w14:paraId="32985A05" w14:textId="19C25194" w:rsidR="00523FA7" w:rsidRPr="002A50DA" w:rsidRDefault="00523FA7" w:rsidP="00523FA7">
      <w:pPr>
        <w:pStyle w:val="ListParagraph"/>
        <w:numPr>
          <w:ilvl w:val="0"/>
          <w:numId w:val="20"/>
        </w:numPr>
      </w:pPr>
      <w:r w:rsidRPr="00CA039A">
        <w:rPr>
          <w:shd w:val="clear" w:color="auto" w:fill="FFFFFF"/>
        </w:rPr>
        <w:t>Federal Chamber of Automotive Industries</w:t>
      </w:r>
    </w:p>
    <w:p w14:paraId="137D8D58" w14:textId="77777777" w:rsidR="00523FA7" w:rsidRDefault="00523FA7" w:rsidP="00523FA7">
      <w:pPr>
        <w:pStyle w:val="ListParagraph"/>
        <w:numPr>
          <w:ilvl w:val="0"/>
          <w:numId w:val="20"/>
        </w:numPr>
      </w:pPr>
      <w:r>
        <w:t>Fertilizer Australia</w:t>
      </w:r>
    </w:p>
    <w:p w14:paraId="3A35C39A" w14:textId="3574FF9D" w:rsidR="00523FA7" w:rsidRDefault="00523FA7" w:rsidP="006A2D80">
      <w:pPr>
        <w:pStyle w:val="ListParagraph"/>
        <w:numPr>
          <w:ilvl w:val="0"/>
          <w:numId w:val="20"/>
        </w:numPr>
      </w:pPr>
      <w:r>
        <w:t>Gas Energy Australia</w:t>
      </w:r>
    </w:p>
    <w:p w14:paraId="6322921D" w14:textId="1DEEFC27" w:rsidR="00523FA7" w:rsidRDefault="00523FA7" w:rsidP="006A2D80">
      <w:pPr>
        <w:pStyle w:val="ListParagraph"/>
        <w:numPr>
          <w:ilvl w:val="0"/>
          <w:numId w:val="20"/>
        </w:numPr>
      </w:pPr>
      <w:r>
        <w:rPr>
          <w:shd w:val="clear" w:color="auto" w:fill="FFFFFF"/>
        </w:rPr>
        <w:t>Glencore</w:t>
      </w:r>
    </w:p>
    <w:p w14:paraId="0C7102CE" w14:textId="5A434E60" w:rsidR="00523FA7" w:rsidRPr="00523FA7" w:rsidRDefault="00523FA7" w:rsidP="006A2D80">
      <w:pPr>
        <w:pStyle w:val="ListParagraph"/>
        <w:numPr>
          <w:ilvl w:val="0"/>
          <w:numId w:val="20"/>
        </w:numPr>
      </w:pPr>
      <w:r>
        <w:rPr>
          <w:rFonts w:ascii="Calibri" w:eastAsia="Calibri" w:hAnsi="Calibri" w:cs="Calibri"/>
        </w:rPr>
        <w:t>Industry Representative Bodies representing a number of Australian horticultural industries, i</w:t>
      </w:r>
      <w:r>
        <w:rPr>
          <w:rFonts w:eastAsiaTheme="minorEastAsia"/>
        </w:rPr>
        <w:t xml:space="preserve">ncluding Australian Almonds, AUSVEG Limited, Berries Australia, </w:t>
      </w:r>
      <w:r>
        <w:rPr>
          <w:rFonts w:ascii="Calibri" w:eastAsia="Calibri" w:hAnsi="Calibri" w:cs="Calibri"/>
        </w:rPr>
        <w:t>Australian Walnut Industry Association Incorporated</w:t>
      </w:r>
      <w:r>
        <w:rPr>
          <w:rFonts w:eastAsiaTheme="minorEastAsia"/>
        </w:rPr>
        <w:t xml:space="preserve">, Cherry Growers Australia, </w:t>
      </w:r>
      <w:r>
        <w:rPr>
          <w:rFonts w:ascii="Calibri" w:eastAsia="Calibri" w:hAnsi="Calibri" w:cs="Calibri"/>
        </w:rPr>
        <w:t>Chestnuts Australia Incorporated,</w:t>
      </w:r>
      <w:r>
        <w:rPr>
          <w:rFonts w:eastAsiaTheme="minorEastAsia"/>
        </w:rPr>
        <w:t xml:space="preserve"> Citrus Australia, Dried Fruits Australia, Hazelnuts Growers of Australia, Nursery and Garden Industry Australia, Pistachio Growers’ Association Incorporated, Protected Cropping Australia, Strawberries Australia Incorporated, Voice of Horticulture, Summerfruit Australia Limited, and Victorian Farmer’s Federation</w:t>
      </w:r>
    </w:p>
    <w:p w14:paraId="76B789A0" w14:textId="7A27C159" w:rsidR="00523FA7" w:rsidRPr="00523FA7" w:rsidRDefault="00523FA7" w:rsidP="006A2D80">
      <w:pPr>
        <w:pStyle w:val="ListParagraph"/>
        <w:numPr>
          <w:ilvl w:val="0"/>
          <w:numId w:val="20"/>
        </w:numPr>
      </w:pPr>
      <w:r w:rsidRPr="00822E8B">
        <w:rPr>
          <w:shd w:val="clear" w:color="auto" w:fill="FFFFFF"/>
        </w:rPr>
        <w:t>Incitec Pivot</w:t>
      </w:r>
    </w:p>
    <w:p w14:paraId="4685375B" w14:textId="7ED4A4E5" w:rsidR="00523FA7" w:rsidRDefault="00523FA7" w:rsidP="006A2D80">
      <w:pPr>
        <w:pStyle w:val="ListParagraph"/>
        <w:numPr>
          <w:ilvl w:val="0"/>
          <w:numId w:val="20"/>
        </w:numPr>
      </w:pPr>
      <w:r>
        <w:rPr>
          <w:shd w:val="clear" w:color="auto" w:fill="FFFFFF"/>
        </w:rPr>
        <w:t>Invasive Species Council</w:t>
      </w:r>
    </w:p>
    <w:p w14:paraId="2981B0D7" w14:textId="3F7AFE63" w:rsidR="006A2D80" w:rsidRDefault="006F29BD" w:rsidP="006A2D80">
      <w:pPr>
        <w:pStyle w:val="ListParagraph"/>
        <w:numPr>
          <w:ilvl w:val="0"/>
          <w:numId w:val="20"/>
        </w:numPr>
      </w:pPr>
      <w:r>
        <w:t>Llew Russell</w:t>
      </w:r>
      <w:r w:rsidR="00FE64FC">
        <w:t xml:space="preserve"> AM</w:t>
      </w:r>
    </w:p>
    <w:p w14:paraId="36F437DB" w14:textId="77BD423A" w:rsidR="00523FA7" w:rsidRDefault="00523FA7" w:rsidP="006A2D80">
      <w:pPr>
        <w:pStyle w:val="ListParagraph"/>
        <w:numPr>
          <w:ilvl w:val="0"/>
          <w:numId w:val="20"/>
        </w:numPr>
      </w:pPr>
      <w:r w:rsidRPr="000D2B0D">
        <w:rPr>
          <w:shd w:val="clear" w:color="auto" w:fill="FFFFFF"/>
        </w:rPr>
        <w:t>Manufacturing Australia</w:t>
      </w:r>
    </w:p>
    <w:p w14:paraId="4EC0537C" w14:textId="1E45C15F" w:rsidR="00523FA7" w:rsidRDefault="00523FA7" w:rsidP="006A2D80">
      <w:pPr>
        <w:pStyle w:val="ListParagraph"/>
        <w:numPr>
          <w:ilvl w:val="0"/>
          <w:numId w:val="20"/>
        </w:numPr>
      </w:pPr>
      <w:r>
        <w:t>Maritime Industry Australia Ltd</w:t>
      </w:r>
    </w:p>
    <w:p w14:paraId="2F90BF02" w14:textId="6D4FE031" w:rsidR="00523FA7" w:rsidRPr="008A5E66" w:rsidRDefault="00523FA7" w:rsidP="006A2D80">
      <w:pPr>
        <w:pStyle w:val="ListParagraph"/>
        <w:numPr>
          <w:ilvl w:val="0"/>
          <w:numId w:val="20"/>
        </w:numPr>
      </w:pPr>
      <w:r>
        <w:rPr>
          <w:shd w:val="clear" w:color="auto" w:fill="FFFFFF"/>
        </w:rPr>
        <w:t>Minerals Council of Australia</w:t>
      </w:r>
    </w:p>
    <w:p w14:paraId="744C152B" w14:textId="02A1A61F" w:rsidR="00523FA7" w:rsidRDefault="00523FA7" w:rsidP="006A2D80">
      <w:pPr>
        <w:pStyle w:val="ListParagraph"/>
        <w:numPr>
          <w:ilvl w:val="0"/>
          <w:numId w:val="20"/>
        </w:numPr>
      </w:pPr>
      <w:r>
        <w:t>National Farmers’ Federation</w:t>
      </w:r>
    </w:p>
    <w:p w14:paraId="623167D8" w14:textId="685BE064" w:rsidR="00523FA7" w:rsidRDefault="00523FA7" w:rsidP="006A2D80">
      <w:pPr>
        <w:pStyle w:val="ListParagraph"/>
        <w:numPr>
          <w:ilvl w:val="0"/>
          <w:numId w:val="20"/>
        </w:numPr>
      </w:pPr>
      <w:r>
        <w:t>Nippon Steel/</w:t>
      </w:r>
      <w:r w:rsidR="008A5E66">
        <w:t xml:space="preserve">Federation of </w:t>
      </w:r>
      <w:r>
        <w:t>Japan Chamber</w:t>
      </w:r>
      <w:r w:rsidR="008A5E66">
        <w:t>s</w:t>
      </w:r>
      <w:r>
        <w:t xml:space="preserve"> of Commerce</w:t>
      </w:r>
      <w:r w:rsidR="008A5E66">
        <w:t xml:space="preserve"> and Industry in Australia</w:t>
      </w:r>
    </w:p>
    <w:p w14:paraId="2E28FD22" w14:textId="64362687" w:rsidR="00C258C7" w:rsidRDefault="00523FA7" w:rsidP="006A2D80">
      <w:pPr>
        <w:pStyle w:val="ListParagraph"/>
        <w:numPr>
          <w:ilvl w:val="0"/>
          <w:numId w:val="20"/>
        </w:numPr>
      </w:pPr>
      <w:r w:rsidRPr="008C66E4">
        <w:rPr>
          <w:shd w:val="clear" w:color="auto" w:fill="FFFFFF"/>
        </w:rPr>
        <w:t>Sarah Vogler</w:t>
      </w:r>
    </w:p>
    <w:p w14:paraId="31344791" w14:textId="063313E3" w:rsidR="00F209FA" w:rsidRDefault="00141ECE" w:rsidP="006A2D80">
      <w:pPr>
        <w:pStyle w:val="ListParagraph"/>
        <w:numPr>
          <w:ilvl w:val="0"/>
          <w:numId w:val="20"/>
        </w:numPr>
      </w:pPr>
      <w:r w:rsidRPr="00141ECE">
        <w:t>Tasmanian Farmers and Graziers Association</w:t>
      </w:r>
    </w:p>
    <w:p w14:paraId="79FA85B4" w14:textId="45B5D8F8" w:rsidR="00523FA7" w:rsidRDefault="00523FA7" w:rsidP="006A2D80">
      <w:pPr>
        <w:pStyle w:val="ListParagraph"/>
        <w:numPr>
          <w:ilvl w:val="0"/>
          <w:numId w:val="20"/>
        </w:numPr>
      </w:pPr>
      <w:r w:rsidRPr="00846D1A">
        <w:rPr>
          <w:shd w:val="clear" w:color="auto" w:fill="FFFFFF"/>
        </w:rPr>
        <w:t>The Chamber of Minerals and Energy of Western Australia</w:t>
      </w:r>
    </w:p>
    <w:p w14:paraId="6CCFB2AB" w14:textId="0376A73D" w:rsidR="002A50DA" w:rsidRPr="00141ECE" w:rsidRDefault="00523FA7" w:rsidP="002A50DA">
      <w:pPr>
        <w:pStyle w:val="ListParagraph"/>
        <w:numPr>
          <w:ilvl w:val="0"/>
          <w:numId w:val="20"/>
        </w:numPr>
      </w:pPr>
      <w:r>
        <w:t>Tourism &amp; Transport Forum</w:t>
      </w:r>
    </w:p>
    <w:p w14:paraId="038C790E" w14:textId="01307A2F" w:rsidR="00004C6F" w:rsidRPr="00846D1A" w:rsidRDefault="00846D1A" w:rsidP="00846D1A">
      <w:pPr>
        <w:pStyle w:val="ListParagraph"/>
        <w:numPr>
          <w:ilvl w:val="0"/>
          <w:numId w:val="21"/>
        </w:numPr>
      </w:pPr>
      <w:r w:rsidRPr="00846D1A">
        <w:rPr>
          <w:shd w:val="clear" w:color="auto" w:fill="FFFFFF"/>
        </w:rPr>
        <w:t>The Chamber of Minerals and Energy of Western Australia</w:t>
      </w:r>
    </w:p>
    <w:p w14:paraId="5C3D0120" w14:textId="4B461D44" w:rsidR="00EE03BB" w:rsidRDefault="00822E8B" w:rsidP="00822E8B">
      <w:pPr>
        <w:pStyle w:val="Heading1"/>
      </w:pPr>
      <w:bookmarkStart w:id="53" w:name="_Toc10031917"/>
      <w:r>
        <w:t>Appendix 3</w:t>
      </w:r>
      <w:r w:rsidR="005A720B">
        <w:t>: Letter from the C</w:t>
      </w:r>
      <w:r w:rsidR="00811FB9">
        <w:t>ommittee Chair</w:t>
      </w:r>
      <w:r w:rsidR="005A720B">
        <w:t xml:space="preserve"> to the </w:t>
      </w:r>
      <w:r w:rsidR="006E1366">
        <w:t xml:space="preserve">then </w:t>
      </w:r>
      <w:r w:rsidR="005A720B" w:rsidRPr="00A82B40">
        <w:t>Minister for Agriculture and Water Resources</w:t>
      </w:r>
      <w:bookmarkEnd w:id="53"/>
    </w:p>
    <w:p w14:paraId="6A555B24" w14:textId="0D397B67" w:rsidR="00822E8B" w:rsidRDefault="00B54758" w:rsidP="00822E8B">
      <w:r w:rsidRPr="00B54758">
        <w:rPr>
          <w:noProof/>
          <w:lang w:eastAsia="en-AU"/>
        </w:rPr>
        <w:drawing>
          <wp:inline distT="0" distB="0" distL="0" distR="0" wp14:anchorId="02102F29" wp14:editId="4C630166">
            <wp:extent cx="5731510" cy="812609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8126095"/>
                    </a:xfrm>
                    <a:prstGeom prst="rect">
                      <a:avLst/>
                    </a:prstGeom>
                    <a:noFill/>
                    <a:ln>
                      <a:noFill/>
                    </a:ln>
                  </pic:spPr>
                </pic:pic>
              </a:graphicData>
            </a:graphic>
          </wp:inline>
        </w:drawing>
      </w:r>
    </w:p>
    <w:p w14:paraId="713FCD9F" w14:textId="393E4F02" w:rsidR="006F20AA" w:rsidRDefault="002A660F" w:rsidP="00822E8B">
      <w:r w:rsidRPr="002A660F">
        <w:rPr>
          <w:noProof/>
          <w:lang w:eastAsia="en-AU"/>
        </w:rPr>
        <w:drawing>
          <wp:inline distT="0" distB="0" distL="0" distR="0" wp14:anchorId="376B301F" wp14:editId="6EE8EF03">
            <wp:extent cx="5731510" cy="80416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8041640"/>
                    </a:xfrm>
                    <a:prstGeom prst="rect">
                      <a:avLst/>
                    </a:prstGeom>
                    <a:noFill/>
                    <a:ln>
                      <a:noFill/>
                    </a:ln>
                  </pic:spPr>
                </pic:pic>
              </a:graphicData>
            </a:graphic>
          </wp:inline>
        </w:drawing>
      </w:r>
      <w:r w:rsidR="00600855">
        <w:br/>
      </w:r>
    </w:p>
    <w:p w14:paraId="2669E375" w14:textId="77777777" w:rsidR="006F20AA" w:rsidRDefault="006F20AA">
      <w:pPr>
        <w:spacing w:before="0" w:after="160" w:line="259" w:lineRule="auto"/>
      </w:pPr>
      <w:r>
        <w:br w:type="page"/>
      </w:r>
    </w:p>
    <w:p w14:paraId="0BDB1F1B" w14:textId="43701B88" w:rsidR="00FD3F3B" w:rsidRDefault="00FD3F3B" w:rsidP="00FD3F3B">
      <w:pPr>
        <w:pStyle w:val="Heading1"/>
      </w:pPr>
      <w:bookmarkStart w:id="54" w:name="_Toc10031918"/>
      <w:r>
        <w:t>Appendix 4</w:t>
      </w:r>
      <w:bookmarkEnd w:id="54"/>
    </w:p>
    <w:p w14:paraId="5AE248E2" w14:textId="77777777" w:rsidR="00FD3F3B" w:rsidRDefault="00FD3F3B" w:rsidP="00F7337F">
      <w:pPr>
        <w:pStyle w:val="Heading2"/>
      </w:pPr>
      <w:bookmarkStart w:id="55" w:name="_Toc10031919"/>
      <w:r>
        <w:t>Who Should Pay for Biosecurity Services?</w:t>
      </w:r>
      <w:bookmarkEnd w:id="55"/>
    </w:p>
    <w:p w14:paraId="3612F12D" w14:textId="3DFC25CC" w:rsidR="00FD3F3B" w:rsidRPr="00A36C60" w:rsidRDefault="00FD3F3B" w:rsidP="00A36C60">
      <w:pPr>
        <w:pStyle w:val="Heading3"/>
      </w:pPr>
      <w:bookmarkStart w:id="56" w:name="_Toc10031920"/>
      <w:r w:rsidRPr="00A36C60">
        <w:rPr>
          <w:rStyle w:val="Heading2Char"/>
          <w:color w:val="1F3763" w:themeColor="accent1" w:themeShade="7F"/>
          <w:sz w:val="24"/>
          <w:szCs w:val="24"/>
        </w:rPr>
        <w:t>Understanding the Nature of the Product and Who Should Pay</w:t>
      </w:r>
      <w:bookmarkEnd w:id="56"/>
    </w:p>
    <w:p w14:paraId="0FBB147B" w14:textId="77777777" w:rsidR="00FD3F3B" w:rsidRDefault="00FD3F3B" w:rsidP="00FD3F3B">
      <w:r>
        <w:t xml:space="preserve">A first step in determining who should pay for the provision of biosecurity services is to determine the nature of the product or service. </w:t>
      </w:r>
    </w:p>
    <w:p w14:paraId="170D70F4" w14:textId="77777777" w:rsidR="00FD3F3B" w:rsidRPr="002E1BA5" w:rsidRDefault="00FD3F3B" w:rsidP="00FD3F3B">
      <w:r>
        <w:t xml:space="preserve">Products can generally be categorised as private goods, public goods, </w:t>
      </w:r>
      <w:r w:rsidRPr="002E1BA5">
        <w:t xml:space="preserve">or something in between </w:t>
      </w:r>
      <w:r>
        <w:t>(</w:t>
      </w:r>
      <w:r w:rsidRPr="002E1BA5">
        <w:t>such as a club good</w:t>
      </w:r>
      <w:r>
        <w:t>)</w:t>
      </w:r>
      <w:r w:rsidRPr="002E1BA5">
        <w:t>. Differentiating between private goods, public goods and club goods depends on the following characteristics:</w:t>
      </w:r>
    </w:p>
    <w:p w14:paraId="79B2F1F1" w14:textId="577D6E56" w:rsidR="00FD3F3B" w:rsidRDefault="00FD3F3B" w:rsidP="00FD3F3B">
      <w:pPr>
        <w:pStyle w:val="ListParagraph"/>
        <w:numPr>
          <w:ilvl w:val="0"/>
          <w:numId w:val="8"/>
        </w:numPr>
        <w:spacing w:before="0" w:after="200" w:line="276" w:lineRule="auto"/>
      </w:pPr>
      <w:r>
        <w:t>Rivalrous – consumption by one person will diminish the amount that can be consumed by other</w:t>
      </w:r>
      <w:r w:rsidR="00003412">
        <w:t>s</w:t>
      </w:r>
    </w:p>
    <w:p w14:paraId="60F89852" w14:textId="77777777" w:rsidR="00FD3F3B" w:rsidRDefault="00FD3F3B" w:rsidP="00FD3F3B">
      <w:pPr>
        <w:pStyle w:val="ListParagraph"/>
        <w:numPr>
          <w:ilvl w:val="0"/>
          <w:numId w:val="8"/>
        </w:numPr>
        <w:spacing w:before="0" w:after="200" w:line="276" w:lineRule="auto"/>
      </w:pPr>
      <w:r>
        <w:rPr>
          <w:noProof/>
          <w:lang w:eastAsia="en-AU"/>
        </w:rPr>
        <mc:AlternateContent>
          <mc:Choice Requires="wps">
            <w:drawing>
              <wp:anchor distT="45720" distB="45720" distL="114300" distR="114300" simplePos="0" relativeHeight="251672576" behindDoc="0" locked="0" layoutInCell="1" allowOverlap="1" wp14:anchorId="0E672538" wp14:editId="577E9A85">
                <wp:simplePos x="0" y="0"/>
                <wp:positionH relativeFrom="page">
                  <wp:posOffset>1057927</wp:posOffset>
                </wp:positionH>
                <wp:positionV relativeFrom="page">
                  <wp:posOffset>4732219</wp:posOffset>
                </wp:positionV>
                <wp:extent cx="5551170" cy="3876675"/>
                <wp:effectExtent l="57150" t="38100" r="49530" b="85725"/>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170" cy="387667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120EE1A5" w14:textId="77777777" w:rsidR="004163D1" w:rsidRPr="005B31B3" w:rsidRDefault="004163D1" w:rsidP="00FD3F3B">
                            <w:pPr>
                              <w:rPr>
                                <w:sz w:val="28"/>
                                <w:szCs w:val="28"/>
                              </w:rPr>
                            </w:pPr>
                            <w:r>
                              <w:rPr>
                                <w:sz w:val="28"/>
                                <w:szCs w:val="28"/>
                              </w:rPr>
                              <w:t xml:space="preserve">Public </w:t>
                            </w:r>
                            <w:r w:rsidRPr="005B31B3">
                              <w:rPr>
                                <w:sz w:val="28"/>
                                <w:szCs w:val="28"/>
                              </w:rPr>
                              <w:t>Goods</w:t>
                            </w:r>
                          </w:p>
                          <w:p w14:paraId="5FF33C53" w14:textId="3B1095C4" w:rsidR="004163D1" w:rsidRDefault="004163D1" w:rsidP="00FD3F3B">
                            <w:r w:rsidRPr="005D1E9E">
                              <w:t xml:space="preserve">Public goods have the characteristics of being non-excludable and non-rivalrous. Non-rivalry and non-excludability may cause problems for the production of </w:t>
                            </w:r>
                            <w:r>
                              <w:t xml:space="preserve">these </w:t>
                            </w:r>
                            <w:r w:rsidRPr="005D1E9E">
                              <w:t>goods</w:t>
                            </w:r>
                            <w:r>
                              <w:t xml:space="preserve"> since their production results in positive </w:t>
                            </w:r>
                            <w:r w:rsidRPr="00CB0458">
                              <w:t>externalities</w:t>
                            </w:r>
                            <w:r>
                              <w:t xml:space="preserve"> which are not remunerated. </w:t>
                            </w:r>
                            <w:r w:rsidRPr="00FE00E1">
                              <w:rPr>
                                <w:rFonts w:eastAsia="Calibri"/>
                              </w:rPr>
                              <w:t>Externalities (</w:t>
                            </w:r>
                            <w:r>
                              <w:rPr>
                                <w:rFonts w:eastAsia="Calibri"/>
                              </w:rPr>
                              <w:t xml:space="preserve">external costs, </w:t>
                            </w:r>
                            <w:r w:rsidRPr="00FE00E1">
                              <w:rPr>
                                <w:rFonts w:eastAsia="Calibri"/>
                              </w:rPr>
                              <w:t xml:space="preserve">also known as </w:t>
                            </w:r>
                            <w:r>
                              <w:rPr>
                                <w:rFonts w:eastAsia="Calibri"/>
                              </w:rPr>
                              <w:t>“</w:t>
                            </w:r>
                            <w:r w:rsidRPr="00FE00E1">
                              <w:rPr>
                                <w:rFonts w:eastAsia="Calibri"/>
                              </w:rPr>
                              <w:t>spillovers</w:t>
                            </w:r>
                            <w:r>
                              <w:rPr>
                                <w:rFonts w:eastAsia="Calibri"/>
                              </w:rPr>
                              <w:t>”</w:t>
                            </w:r>
                            <w:r w:rsidRPr="00FE00E1">
                              <w:rPr>
                                <w:rFonts w:eastAsia="Calibri"/>
                              </w:rPr>
                              <w:t xml:space="preserve">) occur when participants in an activity do not necessarily bear all of the costs or reap all of the benefits from </w:t>
                            </w:r>
                            <w:r>
                              <w:rPr>
                                <w:rFonts w:eastAsia="Calibri"/>
                              </w:rPr>
                              <w:t>an</w:t>
                            </w:r>
                            <w:r w:rsidRPr="00FE00E1">
                              <w:rPr>
                                <w:rFonts w:eastAsia="Calibri"/>
                              </w:rPr>
                              <w:t xml:space="preserve"> activity.</w:t>
                            </w:r>
                            <w:r>
                              <w:rPr>
                                <w:rFonts w:eastAsia="Calibri"/>
                              </w:rPr>
                              <w:t xml:space="preserve"> </w:t>
                            </w:r>
                            <w:r>
                              <w:t>Because no private organisation can reap all the benefits of a public good which they have produced, there will be insufficient incentives to produce it voluntarily and government intervention in some form is often required to address the under-provision.</w:t>
                            </w:r>
                          </w:p>
                          <w:p w14:paraId="067F6E12" w14:textId="3B06742B" w:rsidR="004163D1" w:rsidRDefault="004163D1" w:rsidP="007E2B23">
                            <w:pPr>
                              <w:rPr>
                                <w:rFonts w:cs="Arial"/>
                                <w:lang w:val="en-NZ"/>
                              </w:rPr>
                            </w:pPr>
                            <w:r>
                              <w:t xml:space="preserve">Even </w:t>
                            </w:r>
                            <w:r w:rsidRPr="006D1B48">
                              <w:t xml:space="preserve">though </w:t>
                            </w:r>
                            <w:r w:rsidRPr="006D1B48">
                              <w:rPr>
                                <w:lang w:val="en-NZ"/>
                              </w:rPr>
                              <w:t xml:space="preserve">all the members of a group may have a common interest </w:t>
                            </w:r>
                            <w:r w:rsidRPr="006D1B48">
                              <w:rPr>
                                <w:bCs/>
                                <w:sz w:val="21"/>
                                <w:szCs w:val="21"/>
                                <w:lang w:val="en-NZ"/>
                              </w:rPr>
                              <w:t>in</w:t>
                            </w:r>
                            <w:r w:rsidRPr="006D1B48">
                              <w:rPr>
                                <w:b/>
                                <w:bCs/>
                                <w:sz w:val="21"/>
                                <w:szCs w:val="21"/>
                                <w:lang w:val="en-NZ"/>
                              </w:rPr>
                              <w:t xml:space="preserve"> </w:t>
                            </w:r>
                            <w:r w:rsidRPr="006D1B48">
                              <w:rPr>
                                <w:lang w:val="en-NZ"/>
                              </w:rPr>
                              <w:t xml:space="preserve">obtaining the collective benefit, they have no common interest </w:t>
                            </w:r>
                            <w:r w:rsidRPr="006D1B48">
                              <w:rPr>
                                <w:bCs/>
                                <w:sz w:val="21"/>
                                <w:szCs w:val="21"/>
                                <w:lang w:val="en-NZ"/>
                              </w:rPr>
                              <w:t>in</w:t>
                            </w:r>
                            <w:r w:rsidRPr="006D1B48">
                              <w:rPr>
                                <w:b/>
                                <w:bCs/>
                                <w:sz w:val="21"/>
                                <w:szCs w:val="21"/>
                                <w:lang w:val="en-NZ"/>
                              </w:rPr>
                              <w:t xml:space="preserve"> </w:t>
                            </w:r>
                            <w:r w:rsidRPr="006D1B48">
                              <w:rPr>
                                <w:lang w:val="en-NZ"/>
                              </w:rPr>
                              <w:t xml:space="preserve">paying the cost of providing </w:t>
                            </w:r>
                            <w:r>
                              <w:rPr>
                                <w:lang w:val="en-NZ"/>
                              </w:rPr>
                              <w:t xml:space="preserve">it </w:t>
                            </w:r>
                            <w:sdt>
                              <w:sdtPr>
                                <w:rPr>
                                  <w:lang w:val="en-NZ"/>
                                </w:rPr>
                                <w:id w:val="1401566636"/>
                                <w:citation/>
                              </w:sdtPr>
                              <w:sdtEndPr/>
                              <w:sdtContent>
                                <w:r>
                                  <w:fldChar w:fldCharType="begin"/>
                                </w:r>
                                <w:r>
                                  <w:instrText xml:space="preserve">CITATION The71 \p 21 \t  \l 3081 </w:instrText>
                                </w:r>
                                <w:r>
                                  <w:fldChar w:fldCharType="separate"/>
                                </w:r>
                                <w:r>
                                  <w:rPr>
                                    <w:noProof/>
                                  </w:rPr>
                                  <w:t>(Olson, 1971, p. 21)</w:t>
                                </w:r>
                                <w:r>
                                  <w:rPr>
                                    <w:noProof/>
                                  </w:rPr>
                                  <w:fldChar w:fldCharType="end"/>
                                </w:r>
                              </w:sdtContent>
                            </w:sdt>
                            <w:r w:rsidRPr="006D1B48">
                              <w:rPr>
                                <w:lang w:val="en-NZ"/>
                              </w:rPr>
                              <w:t xml:space="preserve">. </w:t>
                            </w:r>
                            <w:r>
                              <w:t xml:space="preserve">Essentially, there is a “free rider” problem that must be </w:t>
                            </w:r>
                            <w:r w:rsidRPr="00BB7317">
                              <w:t xml:space="preserve">overcome </w:t>
                            </w:r>
                            <w:r w:rsidRPr="00BB7317">
                              <w:rPr>
                                <w:rFonts w:cs="Arial"/>
                                <w:lang w:val="en-NZ"/>
                              </w:rPr>
                              <w:t xml:space="preserve">wherein each self-interested </w:t>
                            </w:r>
                            <w:r>
                              <w:rPr>
                                <w:rFonts w:cs="Arial"/>
                                <w:lang w:val="en-NZ"/>
                              </w:rPr>
                              <w:t>participant</w:t>
                            </w:r>
                            <w:r w:rsidRPr="00BB7317">
                              <w:rPr>
                                <w:rFonts w:cs="Arial"/>
                                <w:lang w:val="en-NZ"/>
                              </w:rPr>
                              <w:t xml:space="preserve"> in a collective enterprise has an incentive not to contribute to the group effort and simply “free-ride” the benefits provided by others</w:t>
                            </w:r>
                            <w:r>
                              <w:rPr>
                                <w:rFonts w:cs="Arial"/>
                                <w:lang w:val="en-NZ"/>
                              </w:rPr>
                              <w:t xml:space="preserve"> </w:t>
                            </w:r>
                            <w:sdt>
                              <w:sdtPr>
                                <w:rPr>
                                  <w:rFonts w:cs="Arial"/>
                                  <w:lang w:val="en-NZ"/>
                                </w:rPr>
                                <w:id w:val="1381908374"/>
                                <w:citation/>
                              </w:sdtPr>
                              <w:sdtEndPr/>
                              <w:sdtContent>
                                <w:r>
                                  <w:rPr>
                                    <w:rFonts w:cs="Arial"/>
                                    <w:lang w:val="en-NZ"/>
                                  </w:rPr>
                                  <w:fldChar w:fldCharType="begin"/>
                                </w:r>
                                <w:r>
                                  <w:rPr>
                                    <w:rFonts w:cs="Arial"/>
                                  </w:rPr>
                                  <w:instrText xml:space="preserve"> CITATION Dan05 \l 3081 </w:instrText>
                                </w:r>
                                <w:r>
                                  <w:rPr>
                                    <w:rFonts w:cs="Arial"/>
                                    <w:lang w:val="en-NZ"/>
                                  </w:rPr>
                                  <w:fldChar w:fldCharType="separate"/>
                                </w:r>
                                <w:r w:rsidRPr="00604A29">
                                  <w:rPr>
                                    <w:rFonts w:cs="Arial"/>
                                    <w:noProof/>
                                  </w:rPr>
                                  <w:t>(Dantiki, 2005)</w:t>
                                </w:r>
                                <w:r>
                                  <w:rPr>
                                    <w:rFonts w:cs="Arial"/>
                                    <w:lang w:val="en-NZ"/>
                                  </w:rPr>
                                  <w:fldChar w:fldCharType="end"/>
                                </w:r>
                              </w:sdtContent>
                            </w:sdt>
                            <w:r>
                              <w:rPr>
                                <w:rFonts w:cs="Arial"/>
                                <w:lang w:val="en-NZ"/>
                              </w:rPr>
                              <w:t>.</w:t>
                            </w:r>
                          </w:p>
                          <w:p w14:paraId="064E5780" w14:textId="3B7C4361" w:rsidR="004163D1" w:rsidRDefault="004163D1" w:rsidP="00FD3F3B">
                            <w:r>
                              <w:rPr>
                                <w:lang w:val="en-NZ"/>
                              </w:rPr>
                              <w:t>M</w:t>
                            </w:r>
                            <w:r w:rsidRPr="006D1B48">
                              <w:rPr>
                                <w:lang w:val="en-NZ"/>
                              </w:rPr>
                              <w:t xml:space="preserve">embers of a large group will only seek to advance the common or group objectives </w:t>
                            </w:r>
                            <w:r>
                              <w:rPr>
                                <w:lang w:val="en-NZ"/>
                              </w:rPr>
                              <w:t xml:space="preserve">where </w:t>
                            </w:r>
                            <w:r w:rsidRPr="006D1B48">
                              <w:t xml:space="preserve">there is coercion to force them to do so, or </w:t>
                            </w:r>
                            <w:r>
                              <w:t xml:space="preserve">where </w:t>
                            </w:r>
                            <w:r w:rsidRPr="006D1B48">
                              <w:t>some separate incentive, distinct from the achievement of the common or group interest, is offered to the members of the group individually on the condition that they help bear the costs or burdens involved in the achievement of the group objectives</w:t>
                            </w:r>
                            <w:r>
                              <w:t xml:space="preserve"> </w:t>
                            </w:r>
                            <w:sdt>
                              <w:sdtPr>
                                <w:id w:val="-1612205705"/>
                                <w:citation/>
                              </w:sdtPr>
                              <w:sdtEndPr/>
                              <w:sdtContent>
                                <w:r>
                                  <w:fldChar w:fldCharType="begin"/>
                                </w:r>
                                <w:r>
                                  <w:instrText xml:space="preserve">CITATION The71 \p 2 \t  \l 3081 </w:instrText>
                                </w:r>
                                <w:r>
                                  <w:fldChar w:fldCharType="separate"/>
                                </w:r>
                                <w:r>
                                  <w:rPr>
                                    <w:noProof/>
                                  </w:rPr>
                                  <w:t>(Olson, 1971, p. 2)</w:t>
                                </w:r>
                                <w:r>
                                  <w:rPr>
                                    <w:noProof/>
                                  </w:rPr>
                                  <w:fldChar w:fldCharType="end"/>
                                </w:r>
                              </w:sdtContent>
                            </w:sdt>
                            <w:r w:rsidRPr="006D1B4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672538" id="_x0000_s1032" type="#_x0000_t202" style="position:absolute;left:0;text-align:left;margin-left:83.3pt;margin-top:372.6pt;width:437.1pt;height:305.2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" fillcolor="#ffc310 [3031]" stroked="f">
                <v:fill color2="#fcbd00 [3175]" rotate="t" colors="0 #ffc746;.5 #ffc600;1 #e5b600" focus="100%" type="gradient">
                  <o:fill v:ext="view" type="gradientUnscaled"/>
                </v:fill>
                <v:shadow on="t" color="black" opacity="41287f" offset="0,1.5pt"/>
                <v:textbox>
                  <w:txbxContent>
                    <w:p w14:paraId="120EE1A5" w14:textId="77777777" w:rsidR="004163D1" w:rsidRPr="005B31B3" w:rsidRDefault="004163D1" w:rsidP="00FD3F3B">
                      <w:pPr>
                        <w:rPr>
                          <w:sz w:val="28"/>
                          <w:szCs w:val="28"/>
                        </w:rPr>
                      </w:pPr>
                      <w:r>
                        <w:rPr>
                          <w:sz w:val="28"/>
                          <w:szCs w:val="28"/>
                        </w:rPr>
                        <w:t xml:space="preserve">Public </w:t>
                      </w:r>
                      <w:r w:rsidRPr="005B31B3">
                        <w:rPr>
                          <w:sz w:val="28"/>
                          <w:szCs w:val="28"/>
                        </w:rPr>
                        <w:t>Goods</w:t>
                      </w:r>
                    </w:p>
                    <w:p w14:paraId="5FF33C53" w14:textId="3B1095C4" w:rsidR="004163D1" w:rsidRDefault="004163D1" w:rsidP="00FD3F3B">
                      <w:r w:rsidRPr="005D1E9E">
                        <w:t xml:space="preserve">Public goods have the characteristics of being non-excludable and non-rivalrous. Non-rivalry and non-excludability may cause problems for the production of </w:t>
                      </w:r>
                      <w:r>
                        <w:t xml:space="preserve">these </w:t>
                      </w:r>
                      <w:r w:rsidRPr="005D1E9E">
                        <w:t>goods</w:t>
                      </w:r>
                      <w:r>
                        <w:t xml:space="preserve"> since their production results in positive </w:t>
                      </w:r>
                      <w:r w:rsidRPr="00CB0458">
                        <w:t>externalities</w:t>
                      </w:r>
                      <w:r>
                        <w:t xml:space="preserve"> which are not remunerated. </w:t>
                      </w:r>
                      <w:r w:rsidRPr="00FE00E1">
                        <w:rPr>
                          <w:rFonts w:eastAsia="Calibri"/>
                        </w:rPr>
                        <w:t>Externalities (</w:t>
                      </w:r>
                      <w:r>
                        <w:rPr>
                          <w:rFonts w:eastAsia="Calibri"/>
                        </w:rPr>
                        <w:t xml:space="preserve">external costs, </w:t>
                      </w:r>
                      <w:r w:rsidRPr="00FE00E1">
                        <w:rPr>
                          <w:rFonts w:eastAsia="Calibri"/>
                        </w:rPr>
                        <w:t xml:space="preserve">also known as </w:t>
                      </w:r>
                      <w:r>
                        <w:rPr>
                          <w:rFonts w:eastAsia="Calibri"/>
                        </w:rPr>
                        <w:t>“</w:t>
                      </w:r>
                      <w:r w:rsidRPr="00FE00E1">
                        <w:rPr>
                          <w:rFonts w:eastAsia="Calibri"/>
                        </w:rPr>
                        <w:t>spillovers</w:t>
                      </w:r>
                      <w:r>
                        <w:rPr>
                          <w:rFonts w:eastAsia="Calibri"/>
                        </w:rPr>
                        <w:t>”</w:t>
                      </w:r>
                      <w:r w:rsidRPr="00FE00E1">
                        <w:rPr>
                          <w:rFonts w:eastAsia="Calibri"/>
                        </w:rPr>
                        <w:t xml:space="preserve">) occur when participants in an activity do not necessarily bear all of the costs or reap all of the benefits from </w:t>
                      </w:r>
                      <w:r>
                        <w:rPr>
                          <w:rFonts w:eastAsia="Calibri"/>
                        </w:rPr>
                        <w:t>an</w:t>
                      </w:r>
                      <w:r w:rsidRPr="00FE00E1">
                        <w:rPr>
                          <w:rFonts w:eastAsia="Calibri"/>
                        </w:rPr>
                        <w:t xml:space="preserve"> activity.</w:t>
                      </w:r>
                      <w:r>
                        <w:rPr>
                          <w:rFonts w:eastAsia="Calibri"/>
                        </w:rPr>
                        <w:t xml:space="preserve"> </w:t>
                      </w:r>
                      <w:r>
                        <w:t>Because no private organisation can reap all the benefits of a public good which they have produced, there will be insufficient incentives to produce it voluntarily and government intervention in some form is often required to address the under-provision.</w:t>
                      </w:r>
                    </w:p>
                    <w:p w14:paraId="067F6E12" w14:textId="3B06742B" w:rsidR="004163D1" w:rsidRDefault="004163D1" w:rsidP="007E2B23">
                      <w:pPr>
                        <w:rPr>
                          <w:rFonts w:cs="Arial"/>
                          <w:lang w:val="en-NZ"/>
                        </w:rPr>
                      </w:pPr>
                      <w:r>
                        <w:t xml:space="preserve">Even </w:t>
                      </w:r>
                      <w:r w:rsidRPr="006D1B48">
                        <w:t xml:space="preserve">though </w:t>
                      </w:r>
                      <w:r w:rsidRPr="006D1B48">
                        <w:rPr>
                          <w:lang w:val="en-NZ"/>
                        </w:rPr>
                        <w:t xml:space="preserve">all the members of a group may have a common interest </w:t>
                      </w:r>
                      <w:r w:rsidRPr="006D1B48">
                        <w:rPr>
                          <w:bCs/>
                          <w:sz w:val="21"/>
                          <w:szCs w:val="21"/>
                          <w:lang w:val="en-NZ"/>
                        </w:rPr>
                        <w:t>in</w:t>
                      </w:r>
                      <w:r w:rsidRPr="006D1B48">
                        <w:rPr>
                          <w:b/>
                          <w:bCs/>
                          <w:sz w:val="21"/>
                          <w:szCs w:val="21"/>
                          <w:lang w:val="en-NZ"/>
                        </w:rPr>
                        <w:t xml:space="preserve"> </w:t>
                      </w:r>
                      <w:r w:rsidRPr="006D1B48">
                        <w:rPr>
                          <w:lang w:val="en-NZ"/>
                        </w:rPr>
                        <w:t xml:space="preserve">obtaining the collective benefit, they have no common interest </w:t>
                      </w:r>
                      <w:r w:rsidRPr="006D1B48">
                        <w:rPr>
                          <w:bCs/>
                          <w:sz w:val="21"/>
                          <w:szCs w:val="21"/>
                          <w:lang w:val="en-NZ"/>
                        </w:rPr>
                        <w:t>in</w:t>
                      </w:r>
                      <w:r w:rsidRPr="006D1B48">
                        <w:rPr>
                          <w:b/>
                          <w:bCs/>
                          <w:sz w:val="21"/>
                          <w:szCs w:val="21"/>
                          <w:lang w:val="en-NZ"/>
                        </w:rPr>
                        <w:t xml:space="preserve"> </w:t>
                      </w:r>
                      <w:r w:rsidRPr="006D1B48">
                        <w:rPr>
                          <w:lang w:val="en-NZ"/>
                        </w:rPr>
                        <w:t xml:space="preserve">paying the cost of providing </w:t>
                      </w:r>
                      <w:r>
                        <w:rPr>
                          <w:lang w:val="en-NZ"/>
                        </w:rPr>
                        <w:t xml:space="preserve">it </w:t>
                      </w:r>
                      <w:sdt>
                        <w:sdtPr>
                          <w:rPr>
                            <w:lang w:val="en-NZ"/>
                          </w:rPr>
                          <w:id w:val="1401566636"/>
                          <w:citation/>
                        </w:sdtPr>
                        <w:sdtContent>
                          <w:r>
                            <w:fldChar w:fldCharType="begin"/>
                          </w:r>
                          <w:r>
                            <w:instrText xml:space="preserve">CITATION The71 \p 21 \t  \l 3081 </w:instrText>
                          </w:r>
                          <w:r>
                            <w:fldChar w:fldCharType="separate"/>
                          </w:r>
                          <w:r>
                            <w:rPr>
                              <w:noProof/>
                            </w:rPr>
                            <w:t>(Olson, 1971, p. 21)</w:t>
                          </w:r>
                          <w:r>
                            <w:rPr>
                              <w:noProof/>
                            </w:rPr>
                            <w:fldChar w:fldCharType="end"/>
                          </w:r>
                        </w:sdtContent>
                      </w:sdt>
                      <w:r w:rsidRPr="006D1B48">
                        <w:rPr>
                          <w:lang w:val="en-NZ"/>
                        </w:rPr>
                        <w:t xml:space="preserve">. </w:t>
                      </w:r>
                      <w:r>
                        <w:t xml:space="preserve">Essentially, there is a “free rider” problem that must be </w:t>
                      </w:r>
                      <w:r w:rsidRPr="00BB7317">
                        <w:t xml:space="preserve">overcome </w:t>
                      </w:r>
                      <w:r w:rsidRPr="00BB7317">
                        <w:rPr>
                          <w:rFonts w:cs="Arial"/>
                          <w:lang w:val="en-NZ"/>
                        </w:rPr>
                        <w:t xml:space="preserve">wherein each self-interested </w:t>
                      </w:r>
                      <w:r>
                        <w:rPr>
                          <w:rFonts w:cs="Arial"/>
                          <w:lang w:val="en-NZ"/>
                        </w:rPr>
                        <w:t>participant</w:t>
                      </w:r>
                      <w:r w:rsidRPr="00BB7317">
                        <w:rPr>
                          <w:rFonts w:cs="Arial"/>
                          <w:lang w:val="en-NZ"/>
                        </w:rPr>
                        <w:t xml:space="preserve"> in a collective enterprise has an incentive not to contribute to the group effort and simply “free-ride” the benefits provided by others</w:t>
                      </w:r>
                      <w:r>
                        <w:rPr>
                          <w:rFonts w:cs="Arial"/>
                          <w:lang w:val="en-NZ"/>
                        </w:rPr>
                        <w:t xml:space="preserve"> </w:t>
                      </w:r>
                      <w:sdt>
                        <w:sdtPr>
                          <w:rPr>
                            <w:rFonts w:cs="Arial"/>
                            <w:lang w:val="en-NZ"/>
                          </w:rPr>
                          <w:id w:val="1381908374"/>
                          <w:citation/>
                        </w:sdtPr>
                        <w:sdtContent>
                          <w:r>
                            <w:rPr>
                              <w:rFonts w:cs="Arial"/>
                              <w:lang w:val="en-NZ"/>
                            </w:rPr>
                            <w:fldChar w:fldCharType="begin"/>
                          </w:r>
                          <w:r>
                            <w:rPr>
                              <w:rFonts w:cs="Arial"/>
                            </w:rPr>
                            <w:instrText xml:space="preserve"> CITATION Dan05 \l 3081 </w:instrText>
                          </w:r>
                          <w:r>
                            <w:rPr>
                              <w:rFonts w:cs="Arial"/>
                              <w:lang w:val="en-NZ"/>
                            </w:rPr>
                            <w:fldChar w:fldCharType="separate"/>
                          </w:r>
                          <w:r w:rsidRPr="00604A29">
                            <w:rPr>
                              <w:rFonts w:cs="Arial"/>
                              <w:noProof/>
                            </w:rPr>
                            <w:t>(Dantiki, 2005)</w:t>
                          </w:r>
                          <w:r>
                            <w:rPr>
                              <w:rFonts w:cs="Arial"/>
                              <w:lang w:val="en-NZ"/>
                            </w:rPr>
                            <w:fldChar w:fldCharType="end"/>
                          </w:r>
                        </w:sdtContent>
                      </w:sdt>
                      <w:r>
                        <w:rPr>
                          <w:rFonts w:cs="Arial"/>
                          <w:lang w:val="en-NZ"/>
                        </w:rPr>
                        <w:t>.</w:t>
                      </w:r>
                    </w:p>
                    <w:p w14:paraId="064E5780" w14:textId="3B7C4361" w:rsidR="004163D1" w:rsidRDefault="004163D1" w:rsidP="00FD3F3B">
                      <w:r>
                        <w:rPr>
                          <w:lang w:val="en-NZ"/>
                        </w:rPr>
                        <w:t>M</w:t>
                      </w:r>
                      <w:r w:rsidRPr="006D1B48">
                        <w:rPr>
                          <w:lang w:val="en-NZ"/>
                        </w:rPr>
                        <w:t xml:space="preserve">embers of a large group will only seek to advance the common or group objectives </w:t>
                      </w:r>
                      <w:r>
                        <w:rPr>
                          <w:lang w:val="en-NZ"/>
                        </w:rPr>
                        <w:t xml:space="preserve">where </w:t>
                      </w:r>
                      <w:r w:rsidRPr="006D1B48">
                        <w:t xml:space="preserve">there is coercion to force them to do so, or </w:t>
                      </w:r>
                      <w:r>
                        <w:t xml:space="preserve">where </w:t>
                      </w:r>
                      <w:r w:rsidRPr="006D1B48">
                        <w:t>some separate incentive, distinct from the achievement of the common or group interest, is offered to the members of the group individually on the condition that they help bear the costs or burdens involved in the achievement of the group objectives</w:t>
                      </w:r>
                      <w:r>
                        <w:t xml:space="preserve"> </w:t>
                      </w:r>
                      <w:sdt>
                        <w:sdtPr>
                          <w:id w:val="-1612205705"/>
                          <w:citation/>
                        </w:sdtPr>
                        <w:sdtContent>
                          <w:r>
                            <w:fldChar w:fldCharType="begin"/>
                          </w:r>
                          <w:r>
                            <w:instrText xml:space="preserve">CITATION The71 \p 2 \t  \l 3081 </w:instrText>
                          </w:r>
                          <w:r>
                            <w:fldChar w:fldCharType="separate"/>
                          </w:r>
                          <w:r>
                            <w:rPr>
                              <w:noProof/>
                            </w:rPr>
                            <w:t>(Olson, 1971, p. 2)</w:t>
                          </w:r>
                          <w:r>
                            <w:rPr>
                              <w:noProof/>
                            </w:rPr>
                            <w:fldChar w:fldCharType="end"/>
                          </w:r>
                        </w:sdtContent>
                      </w:sdt>
                      <w:r w:rsidRPr="006D1B48">
                        <w:t>.</w:t>
                      </w:r>
                    </w:p>
                  </w:txbxContent>
                </v:textbox>
                <w10:wrap type="topAndBottom" anchorx="page" anchory="page"/>
              </v:shape>
            </w:pict>
          </mc:Fallback>
        </mc:AlternateContent>
      </w:r>
      <w:r>
        <w:rPr>
          <w:noProof/>
          <w:lang w:eastAsia="en-AU"/>
        </w:rPr>
        <mc:AlternateContent>
          <mc:Choice Requires="wps">
            <w:drawing>
              <wp:anchor distT="45720" distB="45720" distL="114300" distR="114300" simplePos="0" relativeHeight="251671552" behindDoc="0" locked="0" layoutInCell="1" allowOverlap="1" wp14:anchorId="221702C7" wp14:editId="1BB5C68B">
                <wp:simplePos x="0" y="0"/>
                <wp:positionH relativeFrom="margin">
                  <wp:posOffset>130810</wp:posOffset>
                </wp:positionH>
                <wp:positionV relativeFrom="page">
                  <wp:posOffset>3487420</wp:posOffset>
                </wp:positionV>
                <wp:extent cx="5586095" cy="1023620"/>
                <wp:effectExtent l="0" t="0" r="14605" b="2413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6095" cy="1023620"/>
                        </a:xfrm>
                        <a:prstGeom prst="rect">
                          <a:avLst/>
                        </a:prstGeom>
                        <a:ln>
                          <a:headEnd/>
                          <a:tailEnd/>
                        </a:ln>
                      </wps:spPr>
                      <wps:style>
                        <a:lnRef idx="1">
                          <a:schemeClr val="dk1"/>
                        </a:lnRef>
                        <a:fillRef idx="3">
                          <a:schemeClr val="dk1"/>
                        </a:fillRef>
                        <a:effectRef idx="2">
                          <a:schemeClr val="dk1"/>
                        </a:effectRef>
                        <a:fontRef idx="minor">
                          <a:schemeClr val="lt1"/>
                        </a:fontRef>
                      </wps:style>
                      <wps:txbx>
                        <w:txbxContent>
                          <w:p w14:paraId="06F40E3F" w14:textId="77777777" w:rsidR="004163D1" w:rsidRPr="005B31B3" w:rsidRDefault="004163D1" w:rsidP="00FD3F3B">
                            <w:pPr>
                              <w:rPr>
                                <w:sz w:val="28"/>
                                <w:szCs w:val="28"/>
                              </w:rPr>
                            </w:pPr>
                            <w:r w:rsidRPr="005B31B3">
                              <w:rPr>
                                <w:sz w:val="28"/>
                                <w:szCs w:val="28"/>
                              </w:rPr>
                              <w:t>Private Goods</w:t>
                            </w:r>
                          </w:p>
                          <w:p w14:paraId="5BD344B4" w14:textId="06212450" w:rsidR="004163D1" w:rsidRDefault="004163D1" w:rsidP="00FD3F3B">
                            <w:r>
                              <w:t>P</w:t>
                            </w:r>
                            <w:r w:rsidRPr="005D1E9E">
                              <w:t>rivate goods are excludable and riva</w:t>
                            </w:r>
                            <w:r>
                              <w:t>l</w:t>
                            </w:r>
                            <w:r w:rsidRPr="005D1E9E">
                              <w:t xml:space="preserve">rous. </w:t>
                            </w:r>
                            <w:r w:rsidRPr="005D1E9E">
                              <w:rPr>
                                <w:rFonts w:cs="Arial"/>
                                <w:lang w:eastAsia="ko-KR"/>
                              </w:rPr>
                              <w:t>If it is physically and economically feasible to identify and charge consumers and to exclude non-purchasers, then a private market will normally develop, provided it is profitable to do so</w:t>
                            </w:r>
                            <w:r>
                              <w:rPr>
                                <w:rFonts w:cs="Arial"/>
                                <w:lang w:eastAsia="ko-KR"/>
                              </w:rPr>
                              <w:t xml:space="preserve"> </w:t>
                            </w:r>
                            <w:sdt>
                              <w:sdtPr>
                                <w:rPr>
                                  <w:rFonts w:cs="Arial"/>
                                  <w:lang w:eastAsia="ko-KR"/>
                                </w:rPr>
                                <w:id w:val="-2057073794"/>
                                <w:citation/>
                              </w:sdtPr>
                              <w:sdtEndPr/>
                              <w:sdtContent>
                                <w:r>
                                  <w:rPr>
                                    <w:rFonts w:cs="Arial"/>
                                    <w:lang w:eastAsia="ko-KR"/>
                                  </w:rPr>
                                  <w:fldChar w:fldCharType="begin"/>
                                </w:r>
                                <w:r>
                                  <w:rPr>
                                    <w:rFonts w:cs="Arial"/>
                                    <w:lang w:eastAsia="ko-KR"/>
                                  </w:rPr>
                                  <w:instrText xml:space="preserve">CITATION Pro01 \p 13 \t  \l 3081 </w:instrText>
                                </w:r>
                                <w:r>
                                  <w:rPr>
                                    <w:rFonts w:cs="Arial"/>
                                    <w:lang w:eastAsia="ko-KR"/>
                                  </w:rPr>
                                  <w:fldChar w:fldCharType="separate"/>
                                </w:r>
                                <w:r w:rsidRPr="00604A29">
                                  <w:rPr>
                                    <w:rFonts w:cs="Arial"/>
                                    <w:noProof/>
                                    <w:lang w:eastAsia="ko-KR"/>
                                  </w:rPr>
                                  <w:t>(Productivity Commission, 2001, p. 13)</w:t>
                                </w:r>
                                <w:r>
                                  <w:rPr>
                                    <w:rFonts w:cs="Arial"/>
                                    <w:lang w:eastAsia="ko-KR"/>
                                  </w:rPr>
                                  <w:fldChar w:fldCharType="end"/>
                                </w:r>
                              </w:sdtContent>
                            </w:sdt>
                            <w:r>
                              <w:rPr>
                                <w:rFonts w:cs="Arial"/>
                                <w:lang w:eastAsia="ko-KR"/>
                              </w:rPr>
                              <w:t>.</w:t>
                            </w:r>
                          </w:p>
                          <w:p w14:paraId="52FF819C" w14:textId="77777777" w:rsidR="004163D1" w:rsidRDefault="004163D1" w:rsidP="00FD3F3B"/>
                          <w:p w14:paraId="2F1C1DCE" w14:textId="77777777" w:rsidR="004163D1" w:rsidRDefault="004163D1" w:rsidP="00FD3F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1702C7" id="_x0000_s1033" type="#_x0000_t202" style="position:absolute;left:0;text-align:left;margin-left:10.3pt;margin-top:274.6pt;width:439.85pt;height:80.6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" fillcolor="#101010 [3024]" strokecolor="black [3200]" strokeweight=".5pt">
                <v:fill color2="black [3168]" rotate="t" colors="0 #454545;.5 black;1 black" focus="100%" type="gradient">
                  <o:fill v:ext="view" type="gradientUnscaled"/>
                </v:fill>
                <v:textbox>
                  <w:txbxContent>
                    <w:p w14:paraId="06F40E3F" w14:textId="77777777" w:rsidR="004163D1" w:rsidRPr="005B31B3" w:rsidRDefault="004163D1" w:rsidP="00FD3F3B">
                      <w:pPr>
                        <w:rPr>
                          <w:sz w:val="28"/>
                          <w:szCs w:val="28"/>
                        </w:rPr>
                      </w:pPr>
                      <w:r w:rsidRPr="005B31B3">
                        <w:rPr>
                          <w:sz w:val="28"/>
                          <w:szCs w:val="28"/>
                        </w:rPr>
                        <w:t>Private Goods</w:t>
                      </w:r>
                    </w:p>
                    <w:p w14:paraId="5BD344B4" w14:textId="06212450" w:rsidR="004163D1" w:rsidRDefault="004163D1" w:rsidP="00FD3F3B">
                      <w:r>
                        <w:t>P</w:t>
                      </w:r>
                      <w:r w:rsidRPr="005D1E9E">
                        <w:t>rivate goods are excludable and riva</w:t>
                      </w:r>
                      <w:r>
                        <w:t>l</w:t>
                      </w:r>
                      <w:r w:rsidRPr="005D1E9E">
                        <w:t xml:space="preserve">rous. </w:t>
                      </w:r>
                      <w:r w:rsidRPr="005D1E9E">
                        <w:rPr>
                          <w:rFonts w:cs="Arial"/>
                          <w:lang w:eastAsia="ko-KR"/>
                        </w:rPr>
                        <w:t>If it is physically and economically feasible to identify and charge consumers and to exclude non-purchasers, then a private market will normally develop, provided it is profitable to do so</w:t>
                      </w:r>
                      <w:r>
                        <w:rPr>
                          <w:rFonts w:cs="Arial"/>
                          <w:lang w:eastAsia="ko-KR"/>
                        </w:rPr>
                        <w:t xml:space="preserve"> </w:t>
                      </w:r>
                      <w:sdt>
                        <w:sdtPr>
                          <w:rPr>
                            <w:rFonts w:cs="Arial"/>
                            <w:lang w:eastAsia="ko-KR"/>
                          </w:rPr>
                          <w:id w:val="-2057073794"/>
                          <w:citation/>
                        </w:sdtPr>
                        <w:sdtContent>
                          <w:r>
                            <w:rPr>
                              <w:rFonts w:cs="Arial"/>
                              <w:lang w:eastAsia="ko-KR"/>
                            </w:rPr>
                            <w:fldChar w:fldCharType="begin"/>
                          </w:r>
                          <w:r>
                            <w:rPr>
                              <w:rFonts w:cs="Arial"/>
                              <w:lang w:eastAsia="ko-KR"/>
                            </w:rPr>
                            <w:instrText xml:space="preserve">CITATION Pro01 \p 13 \t  \l 3081 </w:instrText>
                          </w:r>
                          <w:r>
                            <w:rPr>
                              <w:rFonts w:cs="Arial"/>
                              <w:lang w:eastAsia="ko-KR"/>
                            </w:rPr>
                            <w:fldChar w:fldCharType="separate"/>
                          </w:r>
                          <w:r w:rsidRPr="00604A29">
                            <w:rPr>
                              <w:rFonts w:cs="Arial"/>
                              <w:noProof/>
                              <w:lang w:eastAsia="ko-KR"/>
                            </w:rPr>
                            <w:t>(Productivity Commission, 2001, p. 13)</w:t>
                          </w:r>
                          <w:r>
                            <w:rPr>
                              <w:rFonts w:cs="Arial"/>
                              <w:lang w:eastAsia="ko-KR"/>
                            </w:rPr>
                            <w:fldChar w:fldCharType="end"/>
                          </w:r>
                        </w:sdtContent>
                      </w:sdt>
                      <w:r>
                        <w:rPr>
                          <w:rFonts w:cs="Arial"/>
                          <w:lang w:eastAsia="ko-KR"/>
                        </w:rPr>
                        <w:t>.</w:t>
                      </w:r>
                    </w:p>
                    <w:p w14:paraId="52FF819C" w14:textId="77777777" w:rsidR="004163D1" w:rsidRDefault="004163D1" w:rsidP="00FD3F3B"/>
                    <w:p w14:paraId="2F1C1DCE" w14:textId="77777777" w:rsidR="004163D1" w:rsidRDefault="004163D1" w:rsidP="00FD3F3B"/>
                  </w:txbxContent>
                </v:textbox>
                <w10:wrap type="topAndBottom" anchorx="margin" anchory="page"/>
              </v:shape>
            </w:pict>
          </mc:Fallback>
        </mc:AlternateContent>
      </w:r>
      <w:r>
        <w:t>Excludable – whether it is possible to exclude non-users.</w:t>
      </w:r>
    </w:p>
    <w:p w14:paraId="427B3A2D" w14:textId="77777777" w:rsidR="00FD3F3B" w:rsidRDefault="00FD3F3B" w:rsidP="00FD3F3B">
      <w:pPr>
        <w:spacing w:before="0" w:after="160" w:line="259" w:lineRule="auto"/>
      </w:pPr>
      <w:r>
        <w:br w:type="page"/>
      </w:r>
    </w:p>
    <w:p w14:paraId="0C73B162" w14:textId="506A3E0F" w:rsidR="00FD3F3B" w:rsidRDefault="007E2B23" w:rsidP="00FD3F3B">
      <w:r>
        <w:rPr>
          <w:noProof/>
          <w:lang w:eastAsia="en-AU"/>
        </w:rPr>
        <mc:AlternateContent>
          <mc:Choice Requires="wps">
            <w:drawing>
              <wp:anchor distT="45720" distB="45720" distL="114300" distR="114300" simplePos="0" relativeHeight="251675648" behindDoc="0" locked="0" layoutInCell="1" allowOverlap="1" wp14:anchorId="07A03D59" wp14:editId="71F143FA">
                <wp:simplePos x="0" y="0"/>
                <wp:positionH relativeFrom="margin">
                  <wp:posOffset>304165</wp:posOffset>
                </wp:positionH>
                <wp:positionV relativeFrom="page">
                  <wp:posOffset>6134735</wp:posOffset>
                </wp:positionV>
                <wp:extent cx="5338445" cy="1414145"/>
                <wp:effectExtent l="57150" t="38100" r="52705" b="71755"/>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45" cy="141414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5916788B" w14:textId="77777777" w:rsidR="004163D1" w:rsidRPr="005B31B3" w:rsidRDefault="004163D1" w:rsidP="00FD3F3B">
                            <w:pPr>
                              <w:rPr>
                                <w:sz w:val="28"/>
                                <w:szCs w:val="28"/>
                              </w:rPr>
                            </w:pPr>
                            <w:r>
                              <w:rPr>
                                <w:sz w:val="28"/>
                                <w:szCs w:val="28"/>
                              </w:rPr>
                              <w:t>Common Pool Resources</w:t>
                            </w:r>
                          </w:p>
                          <w:p w14:paraId="4E1B5A31" w14:textId="77777777" w:rsidR="004163D1" w:rsidRDefault="004163D1" w:rsidP="00FD3F3B">
                            <w:r>
                              <w:t>A good that is rivalrous but non-excludable can be categorised as a common pool resource. Common pool resources face problems of overuse, because they are subtractable. Common pool resources are in danger of suffering from the</w:t>
                            </w:r>
                            <w:r w:rsidRPr="00A071E5">
                              <w:t xml:space="preserve"> </w:t>
                            </w:r>
                            <w:r w:rsidRPr="00A071E5">
                              <w:rPr>
                                <w:i/>
                              </w:rPr>
                              <w:t>tragedy of the commons</w:t>
                            </w:r>
                            <w:r w:rsidRPr="00A071E5">
                              <w:t>, overexploitation of a resource be</w:t>
                            </w:r>
                            <w:r>
                              <w:t>cause of unconstrained access.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A03D59" id="_x0000_s1034" type="#_x0000_t202" style="position:absolute;margin-left:23.95pt;margin-top:483.05pt;width:420.35pt;height:111.3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" fillcolor="#ee853d [3029]" stroked="f">
                <v:fill color2="#ec7a2d [3173]" rotate="t" colors="0 #f18c55;.5 #f67b28;1 #e56b17" focus="100%" type="gradient">
                  <o:fill v:ext="view" type="gradientUnscaled"/>
                </v:fill>
                <v:shadow on="t" color="black" opacity="41287f" offset="0,1.5pt"/>
                <v:textbox>
                  <w:txbxContent>
                    <w:p w14:paraId="5916788B" w14:textId="77777777" w:rsidR="004163D1" w:rsidRPr="005B31B3" w:rsidRDefault="004163D1" w:rsidP="00FD3F3B">
                      <w:pPr>
                        <w:rPr>
                          <w:sz w:val="28"/>
                          <w:szCs w:val="28"/>
                        </w:rPr>
                      </w:pPr>
                      <w:r>
                        <w:rPr>
                          <w:sz w:val="28"/>
                          <w:szCs w:val="28"/>
                        </w:rPr>
                        <w:t>Common Pool Resources</w:t>
                      </w:r>
                    </w:p>
                    <w:p w14:paraId="4E1B5A31" w14:textId="77777777" w:rsidR="004163D1" w:rsidRDefault="004163D1" w:rsidP="00FD3F3B">
                      <w:r>
                        <w:t>A good that is rivalrous but non-excludable can be categorised as a common pool resource. Common pool resources face problems of overuse, because they are subtractable. Common pool resources are in danger of suffering from the</w:t>
                      </w:r>
                      <w:r w:rsidRPr="00A071E5">
                        <w:t xml:space="preserve"> </w:t>
                      </w:r>
                      <w:r w:rsidRPr="00A071E5">
                        <w:rPr>
                          <w:i/>
                        </w:rPr>
                        <w:t>tragedy of the commons</w:t>
                      </w:r>
                      <w:r w:rsidRPr="00A071E5">
                        <w:t>, overexploitation of a resource be</w:t>
                      </w:r>
                      <w:r>
                        <w:t>cause of unconstrained access.</w:t>
                      </w:r>
                    </w:p>
                  </w:txbxContent>
                </v:textbox>
                <w10:wrap type="topAndBottom" anchorx="margin" anchory="page"/>
              </v:shape>
            </w:pict>
          </mc:Fallback>
        </mc:AlternateContent>
      </w:r>
      <w:r>
        <w:rPr>
          <w:noProof/>
          <w:lang w:eastAsia="en-AU"/>
        </w:rPr>
        <mc:AlternateContent>
          <mc:Choice Requires="wps">
            <w:drawing>
              <wp:anchor distT="45720" distB="45720" distL="114300" distR="114300" simplePos="0" relativeHeight="251674624" behindDoc="0" locked="0" layoutInCell="1" allowOverlap="1" wp14:anchorId="1B51DD95" wp14:editId="3ABBA770">
                <wp:simplePos x="0" y="0"/>
                <wp:positionH relativeFrom="column">
                  <wp:posOffset>279979</wp:posOffset>
                </wp:positionH>
                <wp:positionV relativeFrom="page">
                  <wp:posOffset>3425277</wp:posOffset>
                </wp:positionV>
                <wp:extent cx="5362575" cy="2461895"/>
                <wp:effectExtent l="0" t="0" r="28575" b="14605"/>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46189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269A7103" w14:textId="77777777" w:rsidR="004163D1" w:rsidRPr="005B31B3" w:rsidRDefault="004163D1" w:rsidP="00FD3F3B">
                            <w:pPr>
                              <w:rPr>
                                <w:sz w:val="28"/>
                                <w:szCs w:val="28"/>
                              </w:rPr>
                            </w:pPr>
                            <w:r>
                              <w:rPr>
                                <w:sz w:val="28"/>
                                <w:szCs w:val="28"/>
                              </w:rPr>
                              <w:t xml:space="preserve">Club </w:t>
                            </w:r>
                            <w:r w:rsidRPr="005B31B3">
                              <w:rPr>
                                <w:sz w:val="28"/>
                                <w:szCs w:val="28"/>
                              </w:rPr>
                              <w:t>Goods</w:t>
                            </w:r>
                          </w:p>
                          <w:p w14:paraId="0DEE4687" w14:textId="5483FC62" w:rsidR="004163D1" w:rsidRDefault="004163D1" w:rsidP="00FD3F3B">
                            <w:r>
                              <w:t xml:space="preserve">A public good that becomes excludable is a club good </w:t>
                            </w:r>
                            <w:sdt>
                              <w:sdtPr>
                                <w:id w:val="-1276556093"/>
                                <w:citation/>
                              </w:sdtPr>
                              <w:sdtEndPr/>
                              <w:sdtContent>
                                <w:r>
                                  <w:fldChar w:fldCharType="begin"/>
                                </w:r>
                                <w:r>
                                  <w:instrText xml:space="preserve">CITATION McN00 \p 928 \t  \l 3081 </w:instrText>
                                </w:r>
                                <w:r>
                                  <w:fldChar w:fldCharType="separate"/>
                                </w:r>
                                <w:r>
                                  <w:rPr>
                                    <w:noProof/>
                                  </w:rPr>
                                  <w:t>(McNutt, 2000, p. 928)</w:t>
                                </w:r>
                                <w:r>
                                  <w:rPr>
                                    <w:noProof/>
                                  </w:rPr>
                                  <w:fldChar w:fldCharType="end"/>
                                </w:r>
                              </w:sdtContent>
                            </w:sdt>
                            <w:r>
                              <w:t xml:space="preserve">. The thrust of club theory is that the competitive market will function efficiently to provide club goods, so there is no reason that such goods should be publicly provided </w:t>
                            </w:r>
                            <w:sdt>
                              <w:sdtPr>
                                <w:id w:val="818850543"/>
                                <w:citation/>
                              </w:sdtPr>
                              <w:sdtEndPr/>
                              <w:sdtContent>
                                <w:r>
                                  <w:fldChar w:fldCharType="begin"/>
                                </w:r>
                                <w:r>
                                  <w:instrText xml:space="preserve">CITATION Sco02 \p 1999 \t  \l 3081 </w:instrText>
                                </w:r>
                                <w:r>
                                  <w:fldChar w:fldCharType="separate"/>
                                </w:r>
                                <w:r>
                                  <w:rPr>
                                    <w:noProof/>
                                  </w:rPr>
                                  <w:t>(Scotchmer, 2002, p. 1999)</w:t>
                                </w:r>
                                <w:r>
                                  <w:rPr>
                                    <w:noProof/>
                                  </w:rPr>
                                  <w:fldChar w:fldCharType="end"/>
                                </w:r>
                              </w:sdtContent>
                            </w:sdt>
                            <w:r>
                              <w:t xml:space="preserve">. The basic notion is that agents form groups to confer externalities on each other. Through excludability, individuals who do not contribute to the financing of the club can be prevented, at relatively low cost, of gaining access to the benefits of club membership </w:t>
                            </w:r>
                            <w:sdt>
                              <w:sdtPr>
                                <w:id w:val="-477680607"/>
                                <w:citation/>
                              </w:sdtPr>
                              <w:sdtEndPr/>
                              <w:sdtContent>
                                <w:r>
                                  <w:fldChar w:fldCharType="begin"/>
                                </w:r>
                                <w:r>
                                  <w:instrText xml:space="preserve">CITATION And \p 176 \t  \l 3081 </w:instrText>
                                </w:r>
                                <w:r>
                                  <w:fldChar w:fldCharType="separate"/>
                                </w:r>
                                <w:r>
                                  <w:rPr>
                                    <w:noProof/>
                                  </w:rPr>
                                  <w:t>(Anderson, Shughart II, &amp; Tollison, 2004, p. 176)</w:t>
                                </w:r>
                                <w:r>
                                  <w:rPr>
                                    <w:noProof/>
                                  </w:rPr>
                                  <w:fldChar w:fldCharType="end"/>
                                </w:r>
                              </w:sdtContent>
                            </w:sdt>
                            <w:r>
                              <w:t>.</w:t>
                            </w:r>
                          </w:p>
                          <w:p w14:paraId="091452A2" w14:textId="77777777" w:rsidR="004163D1" w:rsidRDefault="004163D1" w:rsidP="00FD3F3B">
                            <w:r>
                              <w:t>There may, however, be a case for the State to support the formation of a club good arrangement where the transaction costs involved in voluntary cooperation are excessive. This could for example take to form of a State-based levy on club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51DD95" id="_x0000_s1035" type="#_x0000_t202" style="position:absolute;margin-left:22.05pt;margin-top:269.7pt;width:422.25pt;height:193.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" fillcolor="#9ecb81 [2169]" strokecolor="#70ad47 [3209]" strokeweight=".5pt">
                <v:fill color2="#8ac066 [2617]" rotate="t" colors="0 #b5d5a7;.5 #aace99;1 #9cca86" focus="100%" type="gradient">
                  <o:fill v:ext="view" type="gradientUnscaled"/>
                </v:fill>
                <v:textbox>
                  <w:txbxContent>
                    <w:p w14:paraId="269A7103" w14:textId="77777777" w:rsidR="004163D1" w:rsidRPr="005B31B3" w:rsidRDefault="004163D1" w:rsidP="00FD3F3B">
                      <w:pPr>
                        <w:rPr>
                          <w:sz w:val="28"/>
                          <w:szCs w:val="28"/>
                        </w:rPr>
                      </w:pPr>
                      <w:r>
                        <w:rPr>
                          <w:sz w:val="28"/>
                          <w:szCs w:val="28"/>
                        </w:rPr>
                        <w:t xml:space="preserve">Club </w:t>
                      </w:r>
                      <w:r w:rsidRPr="005B31B3">
                        <w:rPr>
                          <w:sz w:val="28"/>
                          <w:szCs w:val="28"/>
                        </w:rPr>
                        <w:t>Goods</w:t>
                      </w:r>
                    </w:p>
                    <w:p w14:paraId="0DEE4687" w14:textId="5483FC62" w:rsidR="004163D1" w:rsidRDefault="004163D1" w:rsidP="00FD3F3B">
                      <w:r>
                        <w:t xml:space="preserve">A public good that becomes excludable is a club good </w:t>
                      </w:r>
                      <w:sdt>
                        <w:sdtPr>
                          <w:id w:val="-1276556093"/>
                          <w:citation/>
                        </w:sdtPr>
                        <w:sdtContent>
                          <w:r>
                            <w:fldChar w:fldCharType="begin"/>
                          </w:r>
                          <w:r>
                            <w:instrText xml:space="preserve">CITATION McN00 \p 928 \t  \l 3081 </w:instrText>
                          </w:r>
                          <w:r>
                            <w:fldChar w:fldCharType="separate"/>
                          </w:r>
                          <w:r>
                            <w:rPr>
                              <w:noProof/>
                            </w:rPr>
                            <w:t>(McNutt, 2000, p. 928)</w:t>
                          </w:r>
                          <w:r>
                            <w:rPr>
                              <w:noProof/>
                            </w:rPr>
                            <w:fldChar w:fldCharType="end"/>
                          </w:r>
                        </w:sdtContent>
                      </w:sdt>
                      <w:r>
                        <w:t xml:space="preserve">. The thrust of club theory is that the competitive market will function efficiently to provide club goods, so there is no reason that such goods should be publicly provided </w:t>
                      </w:r>
                      <w:sdt>
                        <w:sdtPr>
                          <w:id w:val="818850543"/>
                          <w:citation/>
                        </w:sdtPr>
                        <w:sdtContent>
                          <w:r>
                            <w:fldChar w:fldCharType="begin"/>
                          </w:r>
                          <w:r>
                            <w:instrText xml:space="preserve">CITATION Sco02 \p 1999 \t  \l 3081 </w:instrText>
                          </w:r>
                          <w:r>
                            <w:fldChar w:fldCharType="separate"/>
                          </w:r>
                          <w:r>
                            <w:rPr>
                              <w:noProof/>
                            </w:rPr>
                            <w:t>(Scotchmer, 2002, p. 1999)</w:t>
                          </w:r>
                          <w:r>
                            <w:rPr>
                              <w:noProof/>
                            </w:rPr>
                            <w:fldChar w:fldCharType="end"/>
                          </w:r>
                        </w:sdtContent>
                      </w:sdt>
                      <w:r>
                        <w:t xml:space="preserve">. The basic notion is that agents form groups to confer externalities on each other. Through excludability, individuals who do not contribute to the financing of the club can be prevented, at relatively low cost, of gaining access to the benefits of club membership </w:t>
                      </w:r>
                      <w:sdt>
                        <w:sdtPr>
                          <w:id w:val="-477680607"/>
                          <w:citation/>
                        </w:sdtPr>
                        <w:sdtContent>
                          <w:r>
                            <w:fldChar w:fldCharType="begin"/>
                          </w:r>
                          <w:r>
                            <w:instrText xml:space="preserve">CITATION And \p 176 \t  \l 3081 </w:instrText>
                          </w:r>
                          <w:r>
                            <w:fldChar w:fldCharType="separate"/>
                          </w:r>
                          <w:r>
                            <w:rPr>
                              <w:noProof/>
                            </w:rPr>
                            <w:t>(Anderson, Shughart II, &amp; Tollison, 2004, p. 176)</w:t>
                          </w:r>
                          <w:r>
                            <w:rPr>
                              <w:noProof/>
                            </w:rPr>
                            <w:fldChar w:fldCharType="end"/>
                          </w:r>
                        </w:sdtContent>
                      </w:sdt>
                      <w:r>
                        <w:t>.</w:t>
                      </w:r>
                    </w:p>
                    <w:p w14:paraId="091452A2" w14:textId="77777777" w:rsidR="004163D1" w:rsidRDefault="004163D1" w:rsidP="00FD3F3B">
                      <w:r>
                        <w:t>There may, however, be a case for the State to support the formation of a club good arrangement where the transaction costs involved in voluntary cooperation are excessive. This could for example take to form of a State-based levy on club members.</w:t>
                      </w:r>
                    </w:p>
                  </w:txbxContent>
                </v:textbox>
                <w10:wrap type="topAndBottom" anchory="page"/>
              </v:shape>
            </w:pict>
          </mc:Fallback>
        </mc:AlternateContent>
      </w:r>
      <w:r>
        <w:rPr>
          <w:noProof/>
          <w:lang w:eastAsia="en-AU"/>
        </w:rPr>
        <mc:AlternateContent>
          <mc:Choice Requires="wps">
            <w:drawing>
              <wp:anchor distT="45720" distB="45720" distL="114300" distR="114300" simplePos="0" relativeHeight="251673600" behindDoc="0" locked="0" layoutInCell="1" allowOverlap="1" wp14:anchorId="752564A0" wp14:editId="0F22E874">
                <wp:simplePos x="0" y="0"/>
                <wp:positionH relativeFrom="margin">
                  <wp:posOffset>265430</wp:posOffset>
                </wp:positionH>
                <wp:positionV relativeFrom="page">
                  <wp:posOffset>1095375</wp:posOffset>
                </wp:positionV>
                <wp:extent cx="5405120" cy="1962150"/>
                <wp:effectExtent l="57150" t="38100" r="62230" b="7620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196215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43525371" w14:textId="1B426E5D" w:rsidR="004163D1" w:rsidRDefault="004163D1" w:rsidP="00FD3F3B">
                            <w:r>
                              <w:t xml:space="preserve">Within the category of public goods a distinction can be made between pure public goods and selective public goods </w:t>
                            </w:r>
                            <w:sdt>
                              <w:sdtPr>
                                <w:id w:val="1177610126"/>
                                <w:citation/>
                              </w:sdtPr>
                              <w:sdtEndPr/>
                              <w:sdtContent>
                                <w:r>
                                  <w:fldChar w:fldCharType="begin"/>
                                </w:r>
                                <w:r>
                                  <w:instrText xml:space="preserve">CITATION Dep13 \p 11 \t  \l 3081 </w:instrText>
                                </w:r>
                                <w:r>
                                  <w:fldChar w:fldCharType="separate"/>
                                </w:r>
                                <w:r>
                                  <w:rPr>
                                    <w:noProof/>
                                  </w:rPr>
                                  <w:t>(Department of Treasury and Finance, 2013, p. 11)</w:t>
                                </w:r>
                                <w:r>
                                  <w:rPr>
                                    <w:noProof/>
                                  </w:rPr>
                                  <w:fldChar w:fldCharType="end"/>
                                </w:r>
                              </w:sdtContent>
                            </w:sdt>
                            <w:r>
                              <w:t>. In the case of pure public goods the consumption, and the benefits arising from that consumption, are available to the community as a whole. In this case the problem of free-riding would be particularly acute. This provides a strong case for the government provision of pure public goods, to be funded by the community as a whole through general taxation.</w:t>
                            </w:r>
                          </w:p>
                          <w:p w14:paraId="4857E64C" w14:textId="53858203" w:rsidR="004163D1" w:rsidRDefault="004163D1" w:rsidP="00FD3F3B">
                            <w:r>
                              <w:t xml:space="preserve">In the case of a selective public good the benefits accrue only to a specific group </w:t>
                            </w:r>
                            <w:sdt>
                              <w:sdtPr>
                                <w:id w:val="-1765062026"/>
                                <w:citation/>
                              </w:sdtPr>
                              <w:sdtEndPr/>
                              <w:sdtContent>
                                <w:r>
                                  <w:fldChar w:fldCharType="begin"/>
                                </w:r>
                                <w:r>
                                  <w:instrText xml:space="preserve">CITATION Dep13 \p 11 \t  \l 3081 </w:instrText>
                                </w:r>
                                <w:r>
                                  <w:fldChar w:fldCharType="separate"/>
                                </w:r>
                                <w:r>
                                  <w:rPr>
                                    <w:noProof/>
                                  </w:rPr>
                                  <w:t>(Department of Treasury and Finance, 2013, p. 11)</w:t>
                                </w:r>
                                <w:r>
                                  <w:rPr>
                                    <w:noProof/>
                                  </w:rPr>
                                  <w:fldChar w:fldCharType="end"/>
                                </w:r>
                              </w:sdtContent>
                            </w:sdt>
                            <w:r>
                              <w:t xml:space="preserve">. Policy instruments can be designed to enable selective public goods to be funded by the beneficiaries.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2564A0" id="_x0000_s1036" type="#_x0000_t202" style="position:absolute;margin-left:20.9pt;margin-top:86.25pt;width:425.6pt;height:15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" fillcolor="#ffc310 [3031]" stroked="f">
                <v:fill color2="#fcbd00 [3175]" rotate="t" colors="0 #ffc746;.5 #ffc600;1 #e5b600" focus="100%" type="gradient">
                  <o:fill v:ext="view" type="gradientUnscaled"/>
                </v:fill>
                <v:shadow on="t" color="black" opacity="41287f" offset="0,1.5pt"/>
                <v:textbox>
                  <w:txbxContent>
                    <w:p w14:paraId="43525371" w14:textId="1B426E5D" w:rsidR="004163D1" w:rsidRDefault="004163D1" w:rsidP="00FD3F3B">
                      <w:r>
                        <w:t xml:space="preserve">Within the category of public goods a distinction can be made between pure public goods and selective public goods </w:t>
                      </w:r>
                      <w:sdt>
                        <w:sdtPr>
                          <w:id w:val="1177610126"/>
                          <w:citation/>
                        </w:sdtPr>
                        <w:sdtContent>
                          <w:r>
                            <w:fldChar w:fldCharType="begin"/>
                          </w:r>
                          <w:r>
                            <w:instrText xml:space="preserve">CITATION Dep13 \p 11 \t  \l 3081 </w:instrText>
                          </w:r>
                          <w:r>
                            <w:fldChar w:fldCharType="separate"/>
                          </w:r>
                          <w:r>
                            <w:rPr>
                              <w:noProof/>
                            </w:rPr>
                            <w:t>(Department of Treasury and Finance, 2013, p. 11)</w:t>
                          </w:r>
                          <w:r>
                            <w:rPr>
                              <w:noProof/>
                            </w:rPr>
                            <w:fldChar w:fldCharType="end"/>
                          </w:r>
                        </w:sdtContent>
                      </w:sdt>
                      <w:r>
                        <w:t>. In the case of pure public goods the consumption, and the benefits arising from that consumption, are available to the community as a whole. In this case the problem of free-riding would be particularly acute. This provides a strong case for the government provision of pure public goods, to be funded by the community as a whole through general taxation.</w:t>
                      </w:r>
                    </w:p>
                    <w:p w14:paraId="4857E64C" w14:textId="53858203" w:rsidR="004163D1" w:rsidRDefault="004163D1" w:rsidP="00FD3F3B">
                      <w:r>
                        <w:t xml:space="preserve">In the case of a selective public good the benefits accrue only to a specific group </w:t>
                      </w:r>
                      <w:sdt>
                        <w:sdtPr>
                          <w:id w:val="-1765062026"/>
                          <w:citation/>
                        </w:sdtPr>
                        <w:sdtContent>
                          <w:r>
                            <w:fldChar w:fldCharType="begin"/>
                          </w:r>
                          <w:r>
                            <w:instrText xml:space="preserve">CITATION Dep13 \p 11 \t  \l 3081 </w:instrText>
                          </w:r>
                          <w:r>
                            <w:fldChar w:fldCharType="separate"/>
                          </w:r>
                          <w:r>
                            <w:rPr>
                              <w:noProof/>
                            </w:rPr>
                            <w:t>(Department of Treasury and Finance, 2013, p. 11)</w:t>
                          </w:r>
                          <w:r>
                            <w:rPr>
                              <w:noProof/>
                            </w:rPr>
                            <w:fldChar w:fldCharType="end"/>
                          </w:r>
                        </w:sdtContent>
                      </w:sdt>
                      <w:r>
                        <w:t xml:space="preserve">. Policy instruments can be designed to enable selective public goods to be funded by the beneficiaries. </w:t>
                      </w:r>
                    </w:p>
                  </w:txbxContent>
                </v:textbox>
                <w10:wrap type="topAndBottom" anchorx="margin" anchory="page"/>
              </v:shape>
            </w:pict>
          </mc:Fallback>
        </mc:AlternateContent>
      </w:r>
    </w:p>
    <w:p w14:paraId="4D68B8B2" w14:textId="62257531" w:rsidR="00FD3F3B" w:rsidRDefault="00FD3F3B" w:rsidP="00FD3F3B">
      <w:pPr>
        <w:spacing w:before="0" w:after="160" w:line="259" w:lineRule="auto"/>
      </w:pPr>
      <w:r>
        <w:br w:type="page"/>
      </w:r>
    </w:p>
    <w:p w14:paraId="45825211" w14:textId="77777777" w:rsidR="00FD3F3B" w:rsidRDefault="00FD3F3B" w:rsidP="00FD3F3B">
      <w:r>
        <w:t xml:space="preserve">These concepts provide some guidance as to the means by which different activities might best be funded. </w:t>
      </w:r>
    </w:p>
    <w:p w14:paraId="33932201" w14:textId="37F15A80" w:rsidR="00FD3F3B" w:rsidRDefault="00FD3F3B" w:rsidP="00FD3F3B">
      <w:pPr>
        <w:rPr>
          <w:szCs w:val="22"/>
        </w:rPr>
      </w:pPr>
      <w:r>
        <w:t xml:space="preserve">Private goods, where the benefit of the goods or services are entirely captured by the entities that consume them, are often funded through a direct fee for service arrangement. This ensures that the cost of producing the goods or services are paid for by those who consume them, and avoids the economic inefficiencies involved with general taxation. </w:t>
      </w:r>
      <w:r w:rsidRPr="00941F7B">
        <w:t xml:space="preserve">This is consistent with </w:t>
      </w:r>
      <w:r>
        <w:t>the Department’s</w:t>
      </w:r>
      <w:r w:rsidRPr="00941F7B">
        <w:t xml:space="preserve"> approach to cost recovery charges in relation to items such as the AQIS processing fee, the </w:t>
      </w:r>
      <w:r w:rsidRPr="00941F7B">
        <w:rPr>
          <w:szCs w:val="22"/>
        </w:rPr>
        <w:t>vessel operator charge, as well as well various inspection charges.</w:t>
      </w:r>
    </w:p>
    <w:p w14:paraId="2E8C534F" w14:textId="7662FE14" w:rsidR="00FD3F3B" w:rsidRPr="00941F7B" w:rsidRDefault="00FD3F3B" w:rsidP="00FD3F3B">
      <w:r w:rsidRPr="00941F7B">
        <w:t>The Committee is of the view that the provision of biosecurity services that cannot be cost recovered lie</w:t>
      </w:r>
      <w:r>
        <w:t>s</w:t>
      </w:r>
      <w:r w:rsidRPr="00941F7B">
        <w:t xml:space="preserve"> somewhere between a pure public good and a selective public good</w:t>
      </w:r>
      <w:r>
        <w:t>,</w:t>
      </w:r>
      <w:r w:rsidRPr="00941F7B">
        <w:t xml:space="preserve"> depending on the nature of the service. This is consistent with the view expressed by the Productivity Commission </w:t>
      </w:r>
      <w:sdt>
        <w:sdtPr>
          <w:id w:val="-422491929"/>
          <w:citation/>
        </w:sdtPr>
        <w:sdtEndPr/>
        <w:sdtContent>
          <w:r w:rsidRPr="00941F7B">
            <w:fldChar w:fldCharType="begin"/>
          </w:r>
          <w:r w:rsidRPr="00941F7B">
            <w:instrText xml:space="preserve">CITATION Pro16 \p 319 \n  \t  \l 3081 </w:instrText>
          </w:r>
          <w:r w:rsidRPr="00941F7B">
            <w:fldChar w:fldCharType="separate"/>
          </w:r>
          <w:r w:rsidR="00604A29">
            <w:rPr>
              <w:noProof/>
            </w:rPr>
            <w:t>(2016, p. 319)</w:t>
          </w:r>
          <w:r w:rsidRPr="00941F7B">
            <w:fldChar w:fldCharType="end"/>
          </w:r>
        </w:sdtContent>
      </w:sdt>
      <w:r w:rsidRPr="00941F7B">
        <w:t>:</w:t>
      </w:r>
    </w:p>
    <w:p w14:paraId="5864DA76" w14:textId="77777777" w:rsidR="00FD3F3B" w:rsidRDefault="00FD3F3B" w:rsidP="00FD3F3B">
      <w:pPr>
        <w:pStyle w:val="Quote"/>
      </w:pPr>
      <w:r w:rsidRPr="00941F7B">
        <w:t>Biosecurity has both p</w:t>
      </w:r>
      <w:r>
        <w:t>ublic good properties and spill</w:t>
      </w:r>
      <w:r w:rsidRPr="00941F7B">
        <w:t>over effects (externalities). A pest- and disease-free environment is a public good. If providing such an environment was left to the private sector, this could lead to free-riding on the management efforts of others and result in underinvestment in biosecurity activities. This failure of the market to adequately address pest and disease risks is a major reason for government involvement in biosecurity.</w:t>
      </w:r>
    </w:p>
    <w:p w14:paraId="301DB5C3" w14:textId="599AE547" w:rsidR="00FD3F3B" w:rsidRDefault="00FD3F3B" w:rsidP="00FD3F3B">
      <w:r>
        <w:t xml:space="preserve">Activities that are regarded as pure public goods often have significant positive spillovers that benefit the population at large. These activities are generally best funded through general taxation </w:t>
      </w:r>
      <w:sdt>
        <w:sdtPr>
          <w:id w:val="495391079"/>
          <w:citation/>
        </w:sdtPr>
        <w:sdtEndPr/>
        <w:sdtContent>
          <w:r>
            <w:fldChar w:fldCharType="begin"/>
          </w:r>
          <w:r>
            <w:instrText xml:space="preserve">CITATION Pro01 \p 163 \t  \l 3081 </w:instrText>
          </w:r>
          <w:r>
            <w:fldChar w:fldCharType="separate"/>
          </w:r>
          <w:r w:rsidR="00604A29">
            <w:rPr>
              <w:noProof/>
            </w:rPr>
            <w:t>(Productivity Commission, 2001, p. 163)</w:t>
          </w:r>
          <w:r>
            <w:fldChar w:fldCharType="end"/>
          </w:r>
        </w:sdtContent>
      </w:sdt>
      <w:r>
        <w:t xml:space="preserve">. </w:t>
      </w:r>
    </w:p>
    <w:p w14:paraId="7ED2CBF5" w14:textId="13D394DD" w:rsidR="00FD3F3B" w:rsidRDefault="00FD3F3B" w:rsidP="00FD3F3B">
      <w:r w:rsidRPr="0030459C">
        <w:t>In the case of public goods</w:t>
      </w:r>
      <w:r>
        <w:t>,</w:t>
      </w:r>
      <w:r w:rsidRPr="0030459C">
        <w:t xml:space="preserve"> the standard approach is to apply the beneficiary pays principle</w:t>
      </w:r>
      <w:r>
        <w:t xml:space="preserve">; this applies to </w:t>
      </w:r>
      <w:r w:rsidRPr="0030459C">
        <w:t>pure public good</w:t>
      </w:r>
      <w:r>
        <w:t>s</w:t>
      </w:r>
      <w:r w:rsidRPr="0030459C">
        <w:t xml:space="preserve"> </w:t>
      </w:r>
      <w:r>
        <w:t xml:space="preserve">and </w:t>
      </w:r>
      <w:r w:rsidRPr="0030459C">
        <w:t>selective public good</w:t>
      </w:r>
      <w:r>
        <w:t>s</w:t>
      </w:r>
      <w:r>
        <w:rPr>
          <w:rFonts w:ascii="Candara" w:hAnsi="Candara"/>
        </w:rPr>
        <w:t xml:space="preserve">. </w:t>
      </w:r>
      <w:r w:rsidRPr="006832AE">
        <w:t xml:space="preserve">The beneficiary pays principle has been described as being the situation where anyone who benefits from an activity </w:t>
      </w:r>
      <w:r>
        <w:t xml:space="preserve">is required </w:t>
      </w:r>
      <w:r w:rsidRPr="006832AE">
        <w:t>to contribute to the cost of undertaking it</w:t>
      </w:r>
      <w:r>
        <w:t xml:space="preserve"> </w:t>
      </w:r>
      <w:sdt>
        <w:sdtPr>
          <w:id w:val="-382407152"/>
          <w:citation/>
        </w:sdtPr>
        <w:sdtEndPr/>
        <w:sdtContent>
          <w:r>
            <w:fldChar w:fldCharType="begin"/>
          </w:r>
          <w:r>
            <w:instrText xml:space="preserve">CITATION Pro01 \p xxi \t  \l 3081 </w:instrText>
          </w:r>
          <w:r>
            <w:fldChar w:fldCharType="separate"/>
          </w:r>
          <w:r w:rsidR="00604A29">
            <w:rPr>
              <w:noProof/>
            </w:rPr>
            <w:t>(Productivity Commission, 2001, p. xxi)</w:t>
          </w:r>
          <w:r>
            <w:fldChar w:fldCharType="end"/>
          </w:r>
        </w:sdtContent>
      </w:sdt>
      <w:r>
        <w:t xml:space="preserve"> </w:t>
      </w:r>
      <w:r w:rsidRPr="006832AE">
        <w:t>The beneficiary pays principle is a commonly used means for at</w:t>
      </w:r>
      <w:r>
        <w:t>tributing costs and recouping them</w:t>
      </w:r>
      <w:r w:rsidRPr="006832AE">
        <w:t xml:space="preserve"> from beneficiaries. </w:t>
      </w:r>
    </w:p>
    <w:p w14:paraId="77E77933" w14:textId="77777777" w:rsidR="00FD3F3B" w:rsidRDefault="00FD3F3B" w:rsidP="00FD3F3B">
      <w:r>
        <w:t>In practice it can be difficult</w:t>
      </w:r>
      <w:r w:rsidRPr="006832AE">
        <w:t xml:space="preserve"> </w:t>
      </w:r>
      <w:r>
        <w:t>to identify</w:t>
      </w:r>
      <w:r w:rsidRPr="006832AE">
        <w:t xml:space="preserve"> </w:t>
      </w:r>
      <w:r>
        <w:t>beneficiaries and charge them.</w:t>
      </w:r>
      <w:r w:rsidRPr="006832AE">
        <w:t xml:space="preserve"> </w:t>
      </w:r>
      <w:r>
        <w:t>Moreover,</w:t>
      </w:r>
      <w:r w:rsidRPr="006832AE">
        <w:t xml:space="preserve"> if beneficiaries pay for only the benefits they receive</w:t>
      </w:r>
      <w:r>
        <w:t xml:space="preserve">, </w:t>
      </w:r>
      <w:r w:rsidRPr="006832AE">
        <w:t>spillover effects on others may not be recognised</w:t>
      </w:r>
      <w:r>
        <w:t>, and the overall level of funding may under-value the benefits to the community as a whole</w:t>
      </w:r>
      <w:r w:rsidRPr="006832AE">
        <w:t>.</w:t>
      </w:r>
      <w:r>
        <w:t xml:space="preserve"> </w:t>
      </w:r>
    </w:p>
    <w:p w14:paraId="06219BD5" w14:textId="27C90C48" w:rsidR="00FD3F3B" w:rsidRDefault="00FD3F3B" w:rsidP="00FD3F3B">
      <w:pPr>
        <w:rPr>
          <w:lang w:val="en-NZ"/>
        </w:rPr>
      </w:pPr>
      <w:r>
        <w:t xml:space="preserve">Another approach as to who should pay for a public good is to charge risk exacerbators or risk creators. Risk exacerbators are those whose actions create a negative externality or who put a positive externality at risk </w:t>
      </w:r>
      <w:sdt>
        <w:sdtPr>
          <w:id w:val="1348517413"/>
          <w:citation/>
        </w:sdtPr>
        <w:sdtEndPr/>
        <w:sdtContent>
          <w:r>
            <w:fldChar w:fldCharType="begin"/>
          </w:r>
          <w:r>
            <w:instrText xml:space="preserve">CITATION The02 \p 7 \t  \l 3081 </w:instrText>
          </w:r>
          <w:r>
            <w:fldChar w:fldCharType="separate"/>
          </w:r>
          <w:r w:rsidR="00604A29">
            <w:rPr>
              <w:noProof/>
            </w:rPr>
            <w:t>(The Treasury (New Zealand), 2002, p. 7)</w:t>
          </w:r>
          <w:r>
            <w:rPr>
              <w:noProof/>
            </w:rPr>
            <w:fldChar w:fldCharType="end"/>
          </w:r>
        </w:sdtContent>
      </w:sdt>
      <w:r>
        <w:t xml:space="preserve">. </w:t>
      </w:r>
      <w:r w:rsidRPr="008D60D0">
        <w:rPr>
          <w:lang w:val="en-NZ"/>
        </w:rPr>
        <w:t xml:space="preserve">Charging risk exacerbators is simply the application of a Pigouvian </w:t>
      </w:r>
      <w:r>
        <w:rPr>
          <w:lang w:val="en-NZ"/>
        </w:rPr>
        <w:t>(or corrective) tax</w:t>
      </w:r>
      <w:r w:rsidRPr="008D60D0">
        <w:rPr>
          <w:lang w:val="en-NZ"/>
        </w:rPr>
        <w:t xml:space="preserve"> that seeks to charge those creating a negative spillover for the damage they create</w:t>
      </w:r>
      <w:r>
        <w:rPr>
          <w:lang w:val="en-NZ"/>
        </w:rPr>
        <w:t xml:space="preserve">. </w:t>
      </w:r>
      <w:r w:rsidRPr="008D60D0">
        <w:rPr>
          <w:lang w:val="en-NZ"/>
        </w:rPr>
        <w:t>It is analogous to the application of the polluter pays principle</w:t>
      </w:r>
      <w:r>
        <w:rPr>
          <w:lang w:val="en-NZ"/>
        </w:rPr>
        <w:t>.</w:t>
      </w:r>
    </w:p>
    <w:p w14:paraId="5263E90F" w14:textId="601E081E" w:rsidR="00FD3F3B" w:rsidRDefault="00FD3F3B" w:rsidP="00FD3F3B">
      <w:r w:rsidRPr="00941F7B">
        <w:rPr>
          <w:rFonts w:eastAsia="Calibri"/>
        </w:rPr>
        <w:t xml:space="preserve">Economist Arthur Pigou </w:t>
      </w:r>
      <w:sdt>
        <w:sdtPr>
          <w:rPr>
            <w:rFonts w:eastAsia="Calibri"/>
          </w:rPr>
          <w:id w:val="88199034"/>
          <w:citation/>
        </w:sdtPr>
        <w:sdtEndPr/>
        <w:sdtContent>
          <w:r w:rsidRPr="00941F7B">
            <w:rPr>
              <w:rFonts w:eastAsia="Calibri"/>
            </w:rPr>
            <w:fldChar w:fldCharType="begin"/>
          </w:r>
          <w:r w:rsidRPr="00941F7B">
            <w:rPr>
              <w:rFonts w:eastAsia="Calibri"/>
            </w:rPr>
            <w:instrText xml:space="preserve">CITATION Pig \n  \t  \l 1033 </w:instrText>
          </w:r>
          <w:r w:rsidRPr="00941F7B">
            <w:rPr>
              <w:rFonts w:eastAsia="Calibri"/>
            </w:rPr>
            <w:fldChar w:fldCharType="separate"/>
          </w:r>
          <w:r w:rsidR="00604A29" w:rsidRPr="00604A29">
            <w:rPr>
              <w:rFonts w:eastAsia="Calibri"/>
              <w:noProof/>
            </w:rPr>
            <w:t>(1932)</w:t>
          </w:r>
          <w:r w:rsidRPr="00941F7B">
            <w:rPr>
              <w:rFonts w:eastAsia="Calibri"/>
            </w:rPr>
            <w:fldChar w:fldCharType="end"/>
          </w:r>
        </w:sdtContent>
      </w:sdt>
      <w:r w:rsidRPr="00941F7B">
        <w:rPr>
          <w:rFonts w:eastAsia="Calibri"/>
        </w:rPr>
        <w:t xml:space="preserve"> proposed what has become the standard economic response to the treatment of negative externalities. </w:t>
      </w:r>
      <w:r w:rsidRPr="00941F7B">
        <w:t>Externalities exist because the market mechanism does not force individuals to take the full social cost of their actions into account, but a tax equal to the divergence between private and social</w:t>
      </w:r>
      <w:r>
        <w:t xml:space="preserve"> costs</w:t>
      </w:r>
      <w:r w:rsidRPr="00941F7B">
        <w:t xml:space="preserve"> will </w:t>
      </w:r>
      <w:sdt>
        <w:sdtPr>
          <w:id w:val="-213114930"/>
          <w:citation/>
        </w:sdtPr>
        <w:sdtEndPr/>
        <w:sdtContent>
          <w:r w:rsidRPr="00941F7B">
            <w:fldChar w:fldCharType="begin"/>
          </w:r>
          <w:r w:rsidRPr="00941F7B">
            <w:instrText xml:space="preserve">CITATION Upt71 \p 116 \t  \l 3081 </w:instrText>
          </w:r>
          <w:r w:rsidRPr="00941F7B">
            <w:fldChar w:fldCharType="separate"/>
          </w:r>
          <w:r w:rsidR="00604A29">
            <w:rPr>
              <w:noProof/>
            </w:rPr>
            <w:t>(Upton, 1971, p. 116)</w:t>
          </w:r>
          <w:r w:rsidRPr="00941F7B">
            <w:fldChar w:fldCharType="end"/>
          </w:r>
        </w:sdtContent>
      </w:sdt>
      <w:r w:rsidRPr="00941F7B">
        <w:t xml:space="preserve">. The whole policy emphasis of the Pigouvian literature is placed on the relative desirability of encouraging marginal contraction in output of those activities that create negative externalities </w:t>
      </w:r>
      <w:sdt>
        <w:sdtPr>
          <w:id w:val="1560205235"/>
          <w:citation/>
        </w:sdtPr>
        <w:sdtEndPr/>
        <w:sdtContent>
          <w:r w:rsidRPr="00941F7B">
            <w:fldChar w:fldCharType="begin"/>
          </w:r>
          <w:r w:rsidRPr="00941F7B">
            <w:instrText xml:space="preserve">CITATION Buc66 \p 36 \t  \l 3081 </w:instrText>
          </w:r>
          <w:r w:rsidRPr="00941F7B">
            <w:fldChar w:fldCharType="separate"/>
          </w:r>
          <w:r w:rsidR="00604A29">
            <w:rPr>
              <w:noProof/>
            </w:rPr>
            <w:t>(Buchanan, 1966, p. 36)</w:t>
          </w:r>
          <w:r w:rsidRPr="00941F7B">
            <w:fldChar w:fldCharType="end"/>
          </w:r>
        </w:sdtContent>
      </w:sdt>
      <w:r w:rsidRPr="00941F7B">
        <w:t>.</w:t>
      </w:r>
    </w:p>
    <w:p w14:paraId="5DF0C481" w14:textId="49C80A60" w:rsidR="00FD3F3B" w:rsidRDefault="00FD3F3B" w:rsidP="00FD3F3B">
      <w:r>
        <w:t xml:space="preserve">As discussed </w:t>
      </w:r>
      <w:r w:rsidR="000D29B0">
        <w:t>earlier in the report</w:t>
      </w:r>
      <w:r>
        <w:t xml:space="preserve">, the levy is best understood as a tax provided to a group of organisations representing an industry sector. The Committee notes, however, that the biosecurity activities described by the Department as likely to be funded by the proposed </w:t>
      </w:r>
      <w:r w:rsidR="00FA4F92">
        <w:t>Biosecurity Imports Levy</w:t>
      </w:r>
      <w:r>
        <w:t xml:space="preserve"> appear to represent a mix of public, private and club goods.</w:t>
      </w:r>
    </w:p>
    <w:p w14:paraId="78AF83D1" w14:textId="06EBDFE8" w:rsidR="00FD3F3B" w:rsidRDefault="00FD3F3B" w:rsidP="00FD3F3B">
      <w:r>
        <w:t xml:space="preserve">In terms of specific expenditure programs to which levy revenue should be applied, the Department </w:t>
      </w:r>
      <w:sdt>
        <w:sdtPr>
          <w:rPr>
            <w:rFonts w:cstheme="minorHAnsi"/>
            <w:lang w:val="en-NZ"/>
          </w:rPr>
          <w:id w:val="1319536228"/>
          <w:citation/>
        </w:sdtPr>
        <w:sdtEndPr/>
        <w:sdtContent>
          <w:r w:rsidRPr="00C1072A">
            <w:rPr>
              <w:rFonts w:cstheme="minorHAnsi"/>
              <w:lang w:val="en-NZ"/>
            </w:rPr>
            <w:fldChar w:fldCharType="begin"/>
          </w:r>
          <w:r>
            <w:rPr>
              <w:rFonts w:cstheme="minorHAnsi"/>
            </w:rPr>
            <w:instrText xml:space="preserve">CITATION Dep9a1 \n  \t  \l 3081 </w:instrText>
          </w:r>
          <w:r w:rsidRPr="00C1072A">
            <w:rPr>
              <w:rFonts w:cstheme="minorHAnsi"/>
              <w:lang w:val="en-NZ"/>
            </w:rPr>
            <w:fldChar w:fldCharType="separate"/>
          </w:r>
          <w:r w:rsidR="00604A29" w:rsidRPr="00604A29">
            <w:rPr>
              <w:rFonts w:cstheme="minorHAnsi"/>
              <w:noProof/>
            </w:rPr>
            <w:t>(2019b)</w:t>
          </w:r>
          <w:r w:rsidRPr="00C1072A">
            <w:rPr>
              <w:rFonts w:cstheme="minorHAnsi"/>
              <w:lang w:val="en-NZ"/>
            </w:rPr>
            <w:fldChar w:fldCharType="end"/>
          </w:r>
        </w:sdtContent>
      </w:sdt>
      <w:r>
        <w:t xml:space="preserve"> has suggested these might include:</w:t>
      </w:r>
    </w:p>
    <w:p w14:paraId="0060EBE8" w14:textId="77777777" w:rsidR="00FD3F3B" w:rsidRDefault="00FD3F3B" w:rsidP="00FD3F3B">
      <w:pPr>
        <w:pStyle w:val="NormalWeb"/>
        <w:numPr>
          <w:ilvl w:val="0"/>
          <w:numId w:val="8"/>
        </w:numPr>
      </w:pPr>
      <w:r w:rsidRPr="00B30DED">
        <w:t>Assurance, verification and enforcement</w:t>
      </w:r>
    </w:p>
    <w:p w14:paraId="2146C3E1" w14:textId="77777777" w:rsidR="00FD3F3B" w:rsidRDefault="00FD3F3B" w:rsidP="00FD3F3B">
      <w:pPr>
        <w:pStyle w:val="NormalWeb"/>
        <w:numPr>
          <w:ilvl w:val="0"/>
          <w:numId w:val="8"/>
        </w:numPr>
      </w:pPr>
      <w:r w:rsidRPr="00B30DED">
        <w:t>Modern, Seamless Border Clearance</w:t>
      </w:r>
    </w:p>
    <w:p w14:paraId="32D542BE" w14:textId="77777777" w:rsidR="00FD3F3B" w:rsidRDefault="00FD3F3B" w:rsidP="00FD3F3B">
      <w:pPr>
        <w:pStyle w:val="NormalWeb"/>
        <w:numPr>
          <w:ilvl w:val="0"/>
          <w:numId w:val="8"/>
        </w:numPr>
      </w:pPr>
      <w:r w:rsidRPr="00B30DED">
        <w:t>Priority Pest and Disease Planning and Response</w:t>
      </w:r>
    </w:p>
    <w:p w14:paraId="3A6E3722" w14:textId="77777777" w:rsidR="00FD3F3B" w:rsidRDefault="00FD3F3B" w:rsidP="00FD3F3B">
      <w:pPr>
        <w:pStyle w:val="NormalWeb"/>
        <w:numPr>
          <w:ilvl w:val="0"/>
          <w:numId w:val="8"/>
        </w:numPr>
      </w:pPr>
      <w:r w:rsidRPr="00B30DED">
        <w:t>Indigenous Biosecurity Rangers Program</w:t>
      </w:r>
    </w:p>
    <w:p w14:paraId="3145F176" w14:textId="77777777" w:rsidR="00FD3F3B" w:rsidRDefault="00FD3F3B" w:rsidP="00FD3F3B">
      <w:pPr>
        <w:pStyle w:val="NormalWeb"/>
        <w:numPr>
          <w:ilvl w:val="0"/>
          <w:numId w:val="8"/>
        </w:numPr>
      </w:pPr>
      <w:r w:rsidRPr="00B30DED">
        <w:t>Biosecurity predictive analytics and intelligence</w:t>
      </w:r>
    </w:p>
    <w:p w14:paraId="634D1B19" w14:textId="77777777" w:rsidR="00FD3F3B" w:rsidRDefault="00FD3F3B" w:rsidP="00FD3F3B">
      <w:pPr>
        <w:pStyle w:val="NormalWeb"/>
        <w:numPr>
          <w:ilvl w:val="0"/>
          <w:numId w:val="8"/>
        </w:numPr>
      </w:pPr>
      <w:r w:rsidRPr="00B30DED">
        <w:t>Emergency response funding</w:t>
      </w:r>
    </w:p>
    <w:p w14:paraId="2015891E" w14:textId="77777777" w:rsidR="00FD3F3B" w:rsidRDefault="00FD3F3B" w:rsidP="00FD3F3B">
      <w:pPr>
        <w:pStyle w:val="NormalWeb"/>
        <w:numPr>
          <w:ilvl w:val="0"/>
          <w:numId w:val="8"/>
        </w:numPr>
      </w:pPr>
      <w:r w:rsidRPr="00B30DED">
        <w:t>Biosecurity Innovation Program</w:t>
      </w:r>
    </w:p>
    <w:p w14:paraId="753A011D" w14:textId="77777777" w:rsidR="00FD3F3B" w:rsidRDefault="00FD3F3B" w:rsidP="00FD3F3B">
      <w:pPr>
        <w:pStyle w:val="NormalWeb"/>
        <w:numPr>
          <w:ilvl w:val="0"/>
          <w:numId w:val="8"/>
        </w:numPr>
      </w:pPr>
      <w:r w:rsidRPr="00B30DED">
        <w:t>Environmental Biosecurity Protection</w:t>
      </w:r>
    </w:p>
    <w:p w14:paraId="4D499EBC" w14:textId="77777777" w:rsidR="00FD3F3B" w:rsidRDefault="00FD3F3B" w:rsidP="00FD3F3B">
      <w:pPr>
        <w:pStyle w:val="NormalWeb"/>
        <w:numPr>
          <w:ilvl w:val="0"/>
          <w:numId w:val="8"/>
        </w:numPr>
      </w:pPr>
      <w:r w:rsidRPr="00B30DED">
        <w:t>International Ports – Supplementary funding</w:t>
      </w:r>
    </w:p>
    <w:p w14:paraId="1C5B6D0A" w14:textId="77777777" w:rsidR="00FD3F3B" w:rsidRDefault="00FD3F3B" w:rsidP="00FD3F3B">
      <w:pPr>
        <w:pStyle w:val="NormalWeb"/>
        <w:numPr>
          <w:ilvl w:val="0"/>
          <w:numId w:val="8"/>
        </w:numPr>
      </w:pPr>
      <w:r w:rsidRPr="00B30DED">
        <w:t>Tasmanian Fruit Fly – Emergency Response</w:t>
      </w:r>
      <w:r>
        <w:rPr>
          <w:iCs/>
        </w:rPr>
        <w:t>.</w:t>
      </w:r>
    </w:p>
    <w:p w14:paraId="7A72CAD5" w14:textId="77777777" w:rsidR="00FD3F3B" w:rsidRDefault="00FD3F3B" w:rsidP="00FD3F3B">
      <w:r>
        <w:t>It is not clear to the Committee that all of these activities are best funded through a taxation measure, or that it is necessarily efficient or equitable to seek to fund those activities through a selective levy applied to only some of the parties involved in triggering those costs.</w:t>
      </w:r>
    </w:p>
    <w:p w14:paraId="20DC420B" w14:textId="45906A18" w:rsidR="00FD3F3B" w:rsidRDefault="00FD3F3B" w:rsidP="00FD3F3B">
      <w:r>
        <w:t xml:space="preserve">The Committee has carefully considered guidance provided by the Department of Finance </w:t>
      </w:r>
      <w:sdt>
        <w:sdtPr>
          <w:id w:val="177091388"/>
          <w:citation/>
        </w:sdtPr>
        <w:sdtEndPr/>
        <w:sdtContent>
          <w:r>
            <w:fldChar w:fldCharType="begin"/>
          </w:r>
          <w:r>
            <w:instrText xml:space="preserve">CITATION Dep14 \p 2 \n  \t  \l 3081 </w:instrText>
          </w:r>
          <w:r>
            <w:fldChar w:fldCharType="separate"/>
          </w:r>
          <w:r w:rsidR="00604A29">
            <w:rPr>
              <w:noProof/>
            </w:rPr>
            <w:t>(2014, p. 2)</w:t>
          </w:r>
          <w:r>
            <w:fldChar w:fldCharType="end"/>
          </w:r>
        </w:sdtContent>
      </w:sdt>
      <w:r>
        <w:t xml:space="preserve"> to the effect that a cost recovery levy differs from general taxation as it is ‘earmarked’ to fund activities provided to the group that pays the levy.</w:t>
      </w:r>
    </w:p>
    <w:p w14:paraId="3CDE72CB" w14:textId="12DCCC7D" w:rsidR="00FD3F3B" w:rsidRDefault="00FD3F3B" w:rsidP="00FD3F3B">
      <w:r>
        <w:t xml:space="preserve">The Committee notes that as presently envisaged, the proposed </w:t>
      </w:r>
      <w:r w:rsidR="00FA4F92">
        <w:t>Biosecurity Imports Levy</w:t>
      </w:r>
      <w:r>
        <w:t xml:space="preserve"> is not clearly ‘earmarked’ to fund activities required by or provided to the entities that are likely to pay it, and that many of the activities that have been identified by the Department as likely to be funded to the levy have only a tenuous relation to the surface transport import sector. </w:t>
      </w:r>
    </w:p>
    <w:p w14:paraId="3CE6A492" w14:textId="74EF106F" w:rsidR="00FD3F3B" w:rsidRDefault="00FD3F3B" w:rsidP="00FA4F92">
      <w:pPr>
        <w:pStyle w:val="Heading3"/>
      </w:pPr>
      <w:bookmarkStart w:id="57" w:name="_Toc10031921"/>
      <w:r>
        <w:t>Risk Exacerbator / Beneficiary Model for Funding</w:t>
      </w:r>
      <w:bookmarkEnd w:id="57"/>
    </w:p>
    <w:p w14:paraId="7744522C" w14:textId="13E18F4D" w:rsidR="00FD3F3B" w:rsidRDefault="00BE3276" w:rsidP="00FD3F3B">
      <w:r w:rsidRPr="000D29B0">
        <w:rPr>
          <w:b/>
        </w:rPr>
        <w:t xml:space="preserve">Table </w:t>
      </w:r>
      <w:r w:rsidR="00124B26">
        <w:rPr>
          <w:b/>
        </w:rPr>
        <w:t>6</w:t>
      </w:r>
      <w:r>
        <w:t xml:space="preserve"> </w:t>
      </w:r>
      <w:r w:rsidR="00FD3F3B">
        <w:t xml:space="preserve">provides a </w:t>
      </w:r>
      <w:r w:rsidR="00FD3F3B" w:rsidRPr="00B66EEE">
        <w:t>lis</w:t>
      </w:r>
      <w:r w:rsidR="00FD3F3B">
        <w:t>t of</w:t>
      </w:r>
      <w:r w:rsidR="00FD3F3B" w:rsidRPr="00B66EEE">
        <w:t xml:space="preserve"> the beneficiaries and risk exacerbators of biosecurity.</w:t>
      </w:r>
    </w:p>
    <w:p w14:paraId="1BABCBE0" w14:textId="2840600F" w:rsidR="00FD3F3B" w:rsidRDefault="00FD3F3B" w:rsidP="00FD3F3B">
      <w:pPr>
        <w:pStyle w:val="Caption"/>
        <w:spacing w:after="0"/>
      </w:pPr>
      <w:bookmarkStart w:id="58" w:name="_Toc10031677"/>
      <w:r>
        <w:t xml:space="preserve">Table </w:t>
      </w:r>
      <w:r>
        <w:rPr>
          <w:noProof/>
        </w:rPr>
        <w:fldChar w:fldCharType="begin"/>
      </w:r>
      <w:r>
        <w:rPr>
          <w:noProof/>
        </w:rPr>
        <w:instrText xml:space="preserve"> SEQ Table \* ARABIC </w:instrText>
      </w:r>
      <w:r>
        <w:rPr>
          <w:noProof/>
        </w:rPr>
        <w:fldChar w:fldCharType="separate"/>
      </w:r>
      <w:r w:rsidR="00BD638C">
        <w:rPr>
          <w:noProof/>
        </w:rPr>
        <w:t>6</w:t>
      </w:r>
      <w:r>
        <w:rPr>
          <w:noProof/>
        </w:rPr>
        <w:fldChar w:fldCharType="end"/>
      </w:r>
      <w:r>
        <w:t>: Beneficiaries and Risk Exacerbators of Biosecurity</w:t>
      </w:r>
      <w:bookmarkEnd w:id="58"/>
    </w:p>
    <w:tbl>
      <w:tblPr>
        <w:tblStyle w:val="GridTable4-Accent2"/>
        <w:tblW w:w="0" w:type="auto"/>
        <w:tblLook w:val="04A0" w:firstRow="1" w:lastRow="0" w:firstColumn="1" w:lastColumn="0" w:noHBand="0" w:noVBand="1"/>
      </w:tblPr>
      <w:tblGrid>
        <w:gridCol w:w="3005"/>
        <w:gridCol w:w="3005"/>
        <w:gridCol w:w="3006"/>
      </w:tblGrid>
      <w:tr w:rsidR="00FD3F3B" w14:paraId="4D4D41C0" w14:textId="77777777" w:rsidTr="00857B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8B916A9" w14:textId="77777777" w:rsidR="00FD3F3B" w:rsidRPr="00857B53" w:rsidRDefault="00FD3F3B" w:rsidP="00FD3F3B">
            <w:r w:rsidRPr="00857B53">
              <w:t>Use Beneficiaries</w:t>
            </w:r>
          </w:p>
        </w:tc>
        <w:tc>
          <w:tcPr>
            <w:tcW w:w="3005" w:type="dxa"/>
          </w:tcPr>
          <w:p w14:paraId="5FA71368" w14:textId="77777777" w:rsidR="00FD3F3B" w:rsidRPr="00857B53" w:rsidRDefault="00FD3F3B" w:rsidP="00FD3F3B">
            <w:pPr>
              <w:cnfStyle w:val="100000000000" w:firstRow="1" w:lastRow="0" w:firstColumn="0" w:lastColumn="0" w:oddVBand="0" w:evenVBand="0" w:oddHBand="0" w:evenHBand="0" w:firstRowFirstColumn="0" w:firstRowLastColumn="0" w:lastRowFirstColumn="0" w:lastRowLastColumn="0"/>
            </w:pPr>
            <w:r w:rsidRPr="00857B53">
              <w:t>Non-use Beneficiaries</w:t>
            </w:r>
          </w:p>
        </w:tc>
        <w:tc>
          <w:tcPr>
            <w:tcW w:w="3006" w:type="dxa"/>
          </w:tcPr>
          <w:p w14:paraId="27A05799" w14:textId="77777777" w:rsidR="00FD3F3B" w:rsidRPr="00857B53" w:rsidRDefault="00FD3F3B" w:rsidP="00FD3F3B">
            <w:pPr>
              <w:cnfStyle w:val="100000000000" w:firstRow="1" w:lastRow="0" w:firstColumn="0" w:lastColumn="0" w:oddVBand="0" w:evenVBand="0" w:oddHBand="0" w:evenHBand="0" w:firstRowFirstColumn="0" w:firstRowLastColumn="0" w:lastRowFirstColumn="0" w:lastRowLastColumn="0"/>
            </w:pPr>
            <w:r w:rsidRPr="00857B53">
              <w:t>Risk Exacerbators</w:t>
            </w:r>
          </w:p>
        </w:tc>
      </w:tr>
      <w:tr w:rsidR="00FD3F3B" w14:paraId="38AC4FFD" w14:textId="77777777" w:rsidTr="00857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7E0534B" w14:textId="77777777" w:rsidR="00FD3F3B" w:rsidRDefault="00FD3F3B" w:rsidP="00FD3F3B">
            <w:r>
              <w:t>Exporters</w:t>
            </w:r>
          </w:p>
        </w:tc>
        <w:tc>
          <w:tcPr>
            <w:tcW w:w="3005" w:type="dxa"/>
          </w:tcPr>
          <w:p w14:paraId="63E83757" w14:textId="77777777" w:rsidR="00FD3F3B" w:rsidRDefault="00FD3F3B" w:rsidP="00FD3F3B">
            <w:pPr>
              <w:cnfStyle w:val="000000100000" w:firstRow="0" w:lastRow="0" w:firstColumn="0" w:lastColumn="0" w:oddVBand="0" w:evenVBand="0" w:oddHBand="1" w:evenHBand="0" w:firstRowFirstColumn="0" w:firstRowLastColumn="0" w:lastRowFirstColumn="0" w:lastRowLastColumn="0"/>
            </w:pPr>
            <w:r>
              <w:t>Public Health</w:t>
            </w:r>
          </w:p>
        </w:tc>
        <w:tc>
          <w:tcPr>
            <w:tcW w:w="3006" w:type="dxa"/>
          </w:tcPr>
          <w:p w14:paraId="5E9FEF4D" w14:textId="77777777" w:rsidR="00FD3F3B" w:rsidRDefault="00FD3F3B" w:rsidP="00FD3F3B">
            <w:pPr>
              <w:cnfStyle w:val="000000100000" w:firstRow="0" w:lastRow="0" w:firstColumn="0" w:lastColumn="0" w:oddVBand="0" w:evenVBand="0" w:oddHBand="1" w:evenHBand="0" w:firstRowFirstColumn="0" w:firstRowLastColumn="0" w:lastRowFirstColumn="0" w:lastRowLastColumn="0"/>
            </w:pPr>
            <w:r>
              <w:t>Importers</w:t>
            </w:r>
          </w:p>
        </w:tc>
      </w:tr>
      <w:tr w:rsidR="00FD3F3B" w14:paraId="24156A7F" w14:textId="77777777" w:rsidTr="00857B53">
        <w:tc>
          <w:tcPr>
            <w:cnfStyle w:val="001000000000" w:firstRow="0" w:lastRow="0" w:firstColumn="1" w:lastColumn="0" w:oddVBand="0" w:evenVBand="0" w:oddHBand="0" w:evenHBand="0" w:firstRowFirstColumn="0" w:firstRowLastColumn="0" w:lastRowFirstColumn="0" w:lastRowLastColumn="0"/>
            <w:tcW w:w="3005" w:type="dxa"/>
          </w:tcPr>
          <w:p w14:paraId="45856FC8" w14:textId="77777777" w:rsidR="00FD3F3B" w:rsidRDefault="00FD3F3B" w:rsidP="00FD3F3B">
            <w:r>
              <w:t>Agricultural Industries</w:t>
            </w:r>
          </w:p>
        </w:tc>
        <w:tc>
          <w:tcPr>
            <w:tcW w:w="3005" w:type="dxa"/>
          </w:tcPr>
          <w:p w14:paraId="2B1E2173" w14:textId="77777777" w:rsidR="00FD3F3B" w:rsidRDefault="00FD3F3B" w:rsidP="00FD3F3B">
            <w:pPr>
              <w:cnfStyle w:val="000000000000" w:firstRow="0" w:lastRow="0" w:firstColumn="0" w:lastColumn="0" w:oddVBand="0" w:evenVBand="0" w:oddHBand="0" w:evenHBand="0" w:firstRowFirstColumn="0" w:firstRowLastColumn="0" w:lastRowFirstColumn="0" w:lastRowLastColumn="0"/>
            </w:pPr>
            <w:r>
              <w:t>Ecosystem Services</w:t>
            </w:r>
          </w:p>
        </w:tc>
        <w:tc>
          <w:tcPr>
            <w:tcW w:w="3006" w:type="dxa"/>
          </w:tcPr>
          <w:p w14:paraId="3DF611CB" w14:textId="77777777" w:rsidR="00FD3F3B" w:rsidRDefault="00FD3F3B" w:rsidP="00FD3F3B">
            <w:pPr>
              <w:cnfStyle w:val="000000000000" w:firstRow="0" w:lastRow="0" w:firstColumn="0" w:lastColumn="0" w:oddVBand="0" w:evenVBand="0" w:oddHBand="0" w:evenHBand="0" w:firstRowFirstColumn="0" w:firstRowLastColumn="0" w:lastRowFirstColumn="0" w:lastRowLastColumn="0"/>
            </w:pPr>
            <w:r>
              <w:t>Tourists</w:t>
            </w:r>
          </w:p>
        </w:tc>
      </w:tr>
      <w:tr w:rsidR="00FD3F3B" w14:paraId="18D6594F" w14:textId="77777777" w:rsidTr="00857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4A34421" w14:textId="77777777" w:rsidR="00FD3F3B" w:rsidRDefault="00FD3F3B" w:rsidP="00FD3F3B">
            <w:r>
              <w:t>Forestry Industry</w:t>
            </w:r>
          </w:p>
        </w:tc>
        <w:tc>
          <w:tcPr>
            <w:tcW w:w="3005" w:type="dxa"/>
          </w:tcPr>
          <w:p w14:paraId="66799674" w14:textId="77777777" w:rsidR="00FD3F3B" w:rsidRDefault="00FD3F3B" w:rsidP="00FD3F3B">
            <w:pPr>
              <w:cnfStyle w:val="000000100000" w:firstRow="0" w:lastRow="0" w:firstColumn="0" w:lastColumn="0" w:oddVBand="0" w:evenVBand="0" w:oddHBand="1" w:evenHBand="0" w:firstRowFirstColumn="0" w:firstRowLastColumn="0" w:lastRowFirstColumn="0" w:lastRowLastColumn="0"/>
            </w:pPr>
            <w:r>
              <w:t>Indigenous Biodiversity</w:t>
            </w:r>
          </w:p>
        </w:tc>
        <w:tc>
          <w:tcPr>
            <w:tcW w:w="3006" w:type="dxa"/>
          </w:tcPr>
          <w:p w14:paraId="618DD2A1" w14:textId="77777777" w:rsidR="00FD3F3B" w:rsidRDefault="00FD3F3B" w:rsidP="00FD3F3B">
            <w:pPr>
              <w:cnfStyle w:val="000000100000" w:firstRow="0" w:lastRow="0" w:firstColumn="0" w:lastColumn="0" w:oddVBand="0" w:evenVBand="0" w:oddHBand="1" w:evenHBand="0" w:firstRowFirstColumn="0" w:firstRowLastColumn="0" w:lastRowFirstColumn="0" w:lastRowLastColumn="0"/>
            </w:pPr>
            <w:r>
              <w:t>Agricultural Industries</w:t>
            </w:r>
          </w:p>
        </w:tc>
      </w:tr>
      <w:tr w:rsidR="00FD3F3B" w14:paraId="712E5276" w14:textId="77777777" w:rsidTr="00857B53">
        <w:tc>
          <w:tcPr>
            <w:cnfStyle w:val="001000000000" w:firstRow="0" w:lastRow="0" w:firstColumn="1" w:lastColumn="0" w:oddVBand="0" w:evenVBand="0" w:oddHBand="0" w:evenHBand="0" w:firstRowFirstColumn="0" w:firstRowLastColumn="0" w:lastRowFirstColumn="0" w:lastRowLastColumn="0"/>
            <w:tcW w:w="3005" w:type="dxa"/>
          </w:tcPr>
          <w:p w14:paraId="722CF7F9" w14:textId="77777777" w:rsidR="00FD3F3B" w:rsidRDefault="00FD3F3B" w:rsidP="00FD3F3B">
            <w:r>
              <w:t>Fishing Industry</w:t>
            </w:r>
          </w:p>
        </w:tc>
        <w:tc>
          <w:tcPr>
            <w:tcW w:w="3005" w:type="dxa"/>
          </w:tcPr>
          <w:p w14:paraId="42320836" w14:textId="77777777" w:rsidR="00FD3F3B" w:rsidRDefault="00FD3F3B" w:rsidP="00FD3F3B">
            <w:pPr>
              <w:cnfStyle w:val="000000000000" w:firstRow="0" w:lastRow="0" w:firstColumn="0" w:lastColumn="0" w:oddVBand="0" w:evenVBand="0" w:oddHBand="0" w:evenHBand="0" w:firstRowFirstColumn="0" w:firstRowLastColumn="0" w:lastRowFirstColumn="0" w:lastRowLastColumn="0"/>
            </w:pPr>
            <w:r>
              <w:t>Future Generations</w:t>
            </w:r>
          </w:p>
        </w:tc>
        <w:tc>
          <w:tcPr>
            <w:tcW w:w="3006" w:type="dxa"/>
          </w:tcPr>
          <w:p w14:paraId="1471EA18" w14:textId="77777777" w:rsidR="00FD3F3B" w:rsidRDefault="00FD3F3B" w:rsidP="00FD3F3B">
            <w:pPr>
              <w:cnfStyle w:val="000000000000" w:firstRow="0" w:lastRow="0" w:firstColumn="0" w:lastColumn="0" w:oddVBand="0" w:evenVBand="0" w:oddHBand="0" w:evenHBand="0" w:firstRowFirstColumn="0" w:firstRowLastColumn="0" w:lastRowFirstColumn="0" w:lastRowLastColumn="0"/>
            </w:pPr>
            <w:r>
              <w:t>Transporters</w:t>
            </w:r>
          </w:p>
        </w:tc>
      </w:tr>
      <w:tr w:rsidR="00FD3F3B" w14:paraId="1FEEA172" w14:textId="77777777" w:rsidTr="00857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91E7E78" w14:textId="77777777" w:rsidR="00FD3F3B" w:rsidRDefault="00FD3F3B" w:rsidP="00FD3F3B">
            <w:r>
              <w:t>Commercial animal breeders</w:t>
            </w:r>
          </w:p>
        </w:tc>
        <w:tc>
          <w:tcPr>
            <w:tcW w:w="3005" w:type="dxa"/>
          </w:tcPr>
          <w:p w14:paraId="41E66FF9" w14:textId="70B82D51" w:rsidR="00FD3F3B" w:rsidRDefault="00FD3F3B" w:rsidP="00FD3F3B">
            <w:pPr>
              <w:cnfStyle w:val="000000100000" w:firstRow="0" w:lastRow="0" w:firstColumn="0" w:lastColumn="0" w:oddVBand="0" w:evenVBand="0" w:oddHBand="1" w:evenHBand="0" w:firstRowFirstColumn="0" w:firstRowLastColumn="0" w:lastRowFirstColumn="0" w:lastRowLastColumn="0"/>
            </w:pPr>
            <w:r>
              <w:t>Community Ecological</w:t>
            </w:r>
            <w:r w:rsidR="007B36CF">
              <w:t xml:space="preserve"> Amenity</w:t>
            </w:r>
            <w:r>
              <w:t xml:space="preserve"> Community Health</w:t>
            </w:r>
          </w:p>
        </w:tc>
        <w:tc>
          <w:tcPr>
            <w:tcW w:w="3006" w:type="dxa"/>
          </w:tcPr>
          <w:p w14:paraId="40628E01" w14:textId="77777777" w:rsidR="00FD3F3B" w:rsidRDefault="00FD3F3B" w:rsidP="00FD3F3B">
            <w:pPr>
              <w:cnfStyle w:val="000000100000" w:firstRow="0" w:lastRow="0" w:firstColumn="0" w:lastColumn="0" w:oddVBand="0" w:evenVBand="0" w:oddHBand="1" w:evenHBand="0" w:firstRowFirstColumn="0" w:firstRowLastColumn="0" w:lastRowFirstColumn="0" w:lastRowLastColumn="0"/>
            </w:pPr>
          </w:p>
        </w:tc>
      </w:tr>
      <w:tr w:rsidR="00FD3F3B" w14:paraId="534A0C80" w14:textId="77777777" w:rsidTr="00857B53">
        <w:tc>
          <w:tcPr>
            <w:cnfStyle w:val="001000000000" w:firstRow="0" w:lastRow="0" w:firstColumn="1" w:lastColumn="0" w:oddVBand="0" w:evenVBand="0" w:oddHBand="0" w:evenHBand="0" w:firstRowFirstColumn="0" w:firstRowLastColumn="0" w:lastRowFirstColumn="0" w:lastRowLastColumn="0"/>
            <w:tcW w:w="3005" w:type="dxa"/>
          </w:tcPr>
          <w:p w14:paraId="20B4472A" w14:textId="77777777" w:rsidR="00FD3F3B" w:rsidRDefault="00FD3F3B" w:rsidP="00FD3F3B">
            <w:r>
              <w:t>Future generations in these industries</w:t>
            </w:r>
          </w:p>
        </w:tc>
        <w:tc>
          <w:tcPr>
            <w:tcW w:w="3005" w:type="dxa"/>
          </w:tcPr>
          <w:p w14:paraId="3F1AEB4D" w14:textId="77777777" w:rsidR="00FD3F3B" w:rsidRDefault="00FD3F3B" w:rsidP="00FD3F3B">
            <w:pPr>
              <w:cnfStyle w:val="000000000000" w:firstRow="0" w:lastRow="0" w:firstColumn="0" w:lastColumn="0" w:oddVBand="0" w:evenVBand="0" w:oddHBand="0" w:evenHBand="0" w:firstRowFirstColumn="0" w:firstRowLastColumn="0" w:lastRowFirstColumn="0" w:lastRowLastColumn="0"/>
            </w:pPr>
          </w:p>
        </w:tc>
        <w:tc>
          <w:tcPr>
            <w:tcW w:w="3006" w:type="dxa"/>
          </w:tcPr>
          <w:p w14:paraId="06C1C909" w14:textId="77777777" w:rsidR="00FD3F3B" w:rsidRDefault="00FD3F3B" w:rsidP="00FD3F3B">
            <w:pPr>
              <w:cnfStyle w:val="000000000000" w:firstRow="0" w:lastRow="0" w:firstColumn="0" w:lastColumn="0" w:oddVBand="0" w:evenVBand="0" w:oddHBand="0" w:evenHBand="0" w:firstRowFirstColumn="0" w:firstRowLastColumn="0" w:lastRowFirstColumn="0" w:lastRowLastColumn="0"/>
            </w:pPr>
          </w:p>
        </w:tc>
      </w:tr>
      <w:tr w:rsidR="00FD3F3B" w14:paraId="1C55C0CE" w14:textId="77777777" w:rsidTr="00857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ACE671C" w14:textId="77777777" w:rsidR="00FD3F3B" w:rsidRDefault="00FD3F3B" w:rsidP="00FD3F3B">
            <w:r>
              <w:t>Tourism Industry</w:t>
            </w:r>
          </w:p>
        </w:tc>
        <w:tc>
          <w:tcPr>
            <w:tcW w:w="3005" w:type="dxa"/>
          </w:tcPr>
          <w:p w14:paraId="3B568A7E" w14:textId="77777777" w:rsidR="00FD3F3B" w:rsidRDefault="00FD3F3B" w:rsidP="00FD3F3B">
            <w:pPr>
              <w:cnfStyle w:val="000000100000" w:firstRow="0" w:lastRow="0" w:firstColumn="0" w:lastColumn="0" w:oddVBand="0" w:evenVBand="0" w:oddHBand="1" w:evenHBand="0" w:firstRowFirstColumn="0" w:firstRowLastColumn="0" w:lastRowFirstColumn="0" w:lastRowLastColumn="0"/>
            </w:pPr>
          </w:p>
        </w:tc>
        <w:tc>
          <w:tcPr>
            <w:tcW w:w="3006" w:type="dxa"/>
          </w:tcPr>
          <w:p w14:paraId="020BDE24" w14:textId="77777777" w:rsidR="00FD3F3B" w:rsidRDefault="00FD3F3B" w:rsidP="00FD3F3B">
            <w:pPr>
              <w:cnfStyle w:val="000000100000" w:firstRow="0" w:lastRow="0" w:firstColumn="0" w:lastColumn="0" w:oddVBand="0" w:evenVBand="0" w:oddHBand="1" w:evenHBand="0" w:firstRowFirstColumn="0" w:firstRowLastColumn="0" w:lastRowFirstColumn="0" w:lastRowLastColumn="0"/>
            </w:pPr>
          </w:p>
        </w:tc>
      </w:tr>
    </w:tbl>
    <w:p w14:paraId="20D25B62" w14:textId="41009E53" w:rsidR="00FD3F3B" w:rsidRPr="00941F7B" w:rsidRDefault="00FD3F3B" w:rsidP="00FD3F3B">
      <w:pPr>
        <w:spacing w:before="0"/>
        <w:rPr>
          <w:sz w:val="18"/>
          <w:szCs w:val="18"/>
        </w:rPr>
      </w:pPr>
      <w:r w:rsidRPr="00941F7B">
        <w:rPr>
          <w:sz w:val="18"/>
          <w:szCs w:val="18"/>
        </w:rPr>
        <w:t xml:space="preserve">Source: Adapted from </w:t>
      </w:r>
      <w:r w:rsidRPr="00941F7B">
        <w:rPr>
          <w:noProof/>
          <w:sz w:val="18"/>
          <w:szCs w:val="18"/>
        </w:rPr>
        <w:t xml:space="preserve">Parliamentary Commissioner for the Environment (New Zealand) </w:t>
      </w:r>
      <w:sdt>
        <w:sdtPr>
          <w:rPr>
            <w:noProof/>
            <w:sz w:val="18"/>
            <w:szCs w:val="18"/>
          </w:rPr>
          <w:id w:val="-539813801"/>
          <w:citation/>
        </w:sdtPr>
        <w:sdtEndPr/>
        <w:sdtContent>
          <w:r w:rsidRPr="00941F7B">
            <w:rPr>
              <w:noProof/>
              <w:sz w:val="18"/>
              <w:szCs w:val="18"/>
            </w:rPr>
            <w:fldChar w:fldCharType="begin"/>
          </w:r>
          <w:r w:rsidRPr="00941F7B">
            <w:rPr>
              <w:noProof/>
              <w:sz w:val="18"/>
              <w:szCs w:val="18"/>
            </w:rPr>
            <w:instrText xml:space="preserve">CITATION Par00 \p 64 \n  \t  \l 3081 </w:instrText>
          </w:r>
          <w:r w:rsidRPr="00941F7B">
            <w:rPr>
              <w:noProof/>
              <w:sz w:val="18"/>
              <w:szCs w:val="18"/>
            </w:rPr>
            <w:fldChar w:fldCharType="separate"/>
          </w:r>
          <w:r w:rsidR="00604A29" w:rsidRPr="00604A29">
            <w:rPr>
              <w:noProof/>
              <w:sz w:val="18"/>
              <w:szCs w:val="18"/>
            </w:rPr>
            <w:t>(2000, p. 64)</w:t>
          </w:r>
          <w:r w:rsidRPr="00941F7B">
            <w:rPr>
              <w:noProof/>
              <w:sz w:val="18"/>
              <w:szCs w:val="18"/>
            </w:rPr>
            <w:fldChar w:fldCharType="end"/>
          </w:r>
        </w:sdtContent>
      </w:sdt>
      <w:r w:rsidRPr="00941F7B">
        <w:rPr>
          <w:noProof/>
          <w:sz w:val="18"/>
          <w:szCs w:val="18"/>
        </w:rPr>
        <w:t>.</w:t>
      </w:r>
    </w:p>
    <w:p w14:paraId="41088017" w14:textId="019809DD" w:rsidR="00FD3F3B" w:rsidRDefault="00FD3F3B" w:rsidP="00FD3F3B">
      <w:r>
        <w:t xml:space="preserve">Biosecurity is a compliance cost for most importers (producers or traders) </w:t>
      </w:r>
      <w:sdt>
        <w:sdtPr>
          <w:id w:val="334659991"/>
          <w:citation/>
        </w:sdtPr>
        <w:sdtEndPr/>
        <w:sdtContent>
          <w:r>
            <w:fldChar w:fldCharType="begin"/>
          </w:r>
          <w:r>
            <w:instrText xml:space="preserve">CITATION Par00 \p 64 \t  \l 3081 </w:instrText>
          </w:r>
          <w:r>
            <w:fldChar w:fldCharType="separate"/>
          </w:r>
          <w:r w:rsidR="00604A29">
            <w:rPr>
              <w:noProof/>
            </w:rPr>
            <w:t>(Parliamentary Commissioner for the Environment (New Zealand), 2000, p. 64)</w:t>
          </w:r>
          <w:r>
            <w:fldChar w:fldCharType="end"/>
          </w:r>
        </w:sdtContent>
      </w:sdt>
      <w:r>
        <w:t xml:space="preserve">. </w:t>
      </w:r>
    </w:p>
    <w:p w14:paraId="7E26C2C0" w14:textId="72508EA2" w:rsidR="00FD3F3B" w:rsidRDefault="00FD3F3B" w:rsidP="00FD3F3B">
      <w:r>
        <w:t xml:space="preserve">Goods carriers and distribution organisations are also risk exacerbators </w:t>
      </w:r>
      <w:sdt>
        <w:sdtPr>
          <w:id w:val="-606505893"/>
          <w:citation/>
        </w:sdtPr>
        <w:sdtEndPr/>
        <w:sdtContent>
          <w:r>
            <w:fldChar w:fldCharType="begin"/>
          </w:r>
          <w:r>
            <w:instrText xml:space="preserve">CITATION Par00 \p 64 \t  \l 3081 </w:instrText>
          </w:r>
          <w:r>
            <w:fldChar w:fldCharType="separate"/>
          </w:r>
          <w:r w:rsidR="00604A29">
            <w:rPr>
              <w:noProof/>
            </w:rPr>
            <w:t>(Parliamentary Commissioner for the Environment (New Zealand), 2000, p. 64)</w:t>
          </w:r>
          <w:r>
            <w:fldChar w:fldCharType="end"/>
          </w:r>
        </w:sdtContent>
      </w:sdt>
      <w:r>
        <w:t>. Biosecurity clearance requirements impose costs and delays on this group and on ports, although ports also benefit, in terms of export trade, in having biosecurity controls in place to meet export market requirements.</w:t>
      </w:r>
    </w:p>
    <w:p w14:paraId="300A3C22" w14:textId="042D7F36" w:rsidR="00FD3F3B" w:rsidRDefault="00FD3F3B" w:rsidP="00FD3F3B">
      <w:r>
        <w:t xml:space="preserve">Travel and tourism interest in biosecurity is mixed – the industry is a beneficiary, but travellers are risk exacerbators </w:t>
      </w:r>
      <w:sdt>
        <w:sdtPr>
          <w:id w:val="887381570"/>
          <w:citation/>
        </w:sdtPr>
        <w:sdtEndPr/>
        <w:sdtContent>
          <w:r>
            <w:fldChar w:fldCharType="begin"/>
          </w:r>
          <w:r>
            <w:instrText xml:space="preserve">CITATION Par00 \p 64 \t  \l 3081 </w:instrText>
          </w:r>
          <w:r>
            <w:fldChar w:fldCharType="separate"/>
          </w:r>
          <w:r w:rsidR="00604A29">
            <w:rPr>
              <w:noProof/>
            </w:rPr>
            <w:t>(Parliamentary Commissioner for the Environment (New Zealand), 2000, p. 64)</w:t>
          </w:r>
          <w:r>
            <w:fldChar w:fldCharType="end"/>
          </w:r>
        </w:sdtContent>
      </w:sdt>
      <w:r>
        <w:t>. Tourists bring themselves and any attached unwanted organisms into primary production areas and indigenous ecological areas. In effect, they are a streamlined conduit between foreign countries and national parks. The main private sector beneficiary of biosecurity is agricultural industries.</w:t>
      </w:r>
    </w:p>
    <w:p w14:paraId="5EDBE824" w14:textId="77248712" w:rsidR="000D29B0" w:rsidRDefault="00FD3F3B" w:rsidP="00FD3F3B">
      <w:r>
        <w:t xml:space="preserve">In New Zealand there has been discussion and movement towards an exacerbator/beneficiary model for biosecurity, recognising that there are those who contribute to increased biosecurity risk, and those who have an interest in reducing or eliminating that risk </w:t>
      </w:r>
      <w:sdt>
        <w:sdtPr>
          <w:id w:val="1918742748"/>
          <w:citation/>
        </w:sdtPr>
        <w:sdtEndPr/>
        <w:sdtContent>
          <w:r>
            <w:fldChar w:fldCharType="begin"/>
          </w:r>
          <w:r>
            <w:instrText xml:space="preserve">CITATION Par00 \p 65 \t  \l 3081 </w:instrText>
          </w:r>
          <w:r>
            <w:fldChar w:fldCharType="separate"/>
          </w:r>
          <w:r w:rsidR="00604A29">
            <w:rPr>
              <w:noProof/>
            </w:rPr>
            <w:t>(Parliamentary Commissioner for the Environment (New Zealand), 2000, p. 65)</w:t>
          </w:r>
          <w:r>
            <w:fldChar w:fldCharType="end"/>
          </w:r>
        </w:sdtContent>
      </w:sdt>
      <w:r>
        <w:t xml:space="preserve">. </w:t>
      </w:r>
    </w:p>
    <w:p w14:paraId="13B1ABE9" w14:textId="35658D23" w:rsidR="00FD3F3B" w:rsidRDefault="00FD3F3B" w:rsidP="00FD3F3B">
      <w:r>
        <w:t>This model has strengths and weaknesses. Its primary strength is that it acknowledges private benefit in addition to the public good component of biosecurity. Its weaknesses include the difficulty in identifying exactly who the exacerbators and beneficiaries are and what their liabilities are, and determining an appropriate level of contribution from each towards the total biosecurity infrastructure.</w:t>
      </w:r>
    </w:p>
    <w:p w14:paraId="221CCF08" w14:textId="037B6D7B" w:rsidR="00FD3F3B" w:rsidRDefault="00FD3F3B" w:rsidP="00FD3F3B">
      <w:pPr>
        <w:rPr>
          <w:noProof/>
        </w:rPr>
      </w:pPr>
      <w:r>
        <w:rPr>
          <w:noProof/>
        </w:rPr>
        <w:t xml:space="preserve">The Parliamentary Commissioner for the Environment (New Zealand) </w:t>
      </w:r>
      <w:sdt>
        <w:sdtPr>
          <w:rPr>
            <w:noProof/>
          </w:rPr>
          <w:id w:val="1471874840"/>
          <w:citation/>
        </w:sdtPr>
        <w:sdtEndPr/>
        <w:sdtContent>
          <w:r>
            <w:rPr>
              <w:noProof/>
            </w:rPr>
            <w:fldChar w:fldCharType="begin"/>
          </w:r>
          <w:r>
            <w:rPr>
              <w:noProof/>
            </w:rPr>
            <w:instrText xml:space="preserve">CITATION Par00 \p 65 \n  \t  \l 3081 </w:instrText>
          </w:r>
          <w:r>
            <w:rPr>
              <w:noProof/>
            </w:rPr>
            <w:fldChar w:fldCharType="separate"/>
          </w:r>
          <w:r w:rsidR="00604A29">
            <w:rPr>
              <w:noProof/>
            </w:rPr>
            <w:t>(2000, p. 65)</w:t>
          </w:r>
          <w:r>
            <w:rPr>
              <w:noProof/>
            </w:rPr>
            <w:fldChar w:fldCharType="end"/>
          </w:r>
        </w:sdtContent>
      </w:sdt>
      <w:r>
        <w:rPr>
          <w:noProof/>
        </w:rPr>
        <w:t xml:space="preserve"> stated:</w:t>
      </w:r>
    </w:p>
    <w:p w14:paraId="463F2106" w14:textId="77777777" w:rsidR="00FD3F3B" w:rsidRDefault="00FD3F3B" w:rsidP="00FD3F3B">
      <w:pPr>
        <w:pStyle w:val="Quote"/>
      </w:pPr>
      <w:r>
        <w:t>Despite its weaknesses, the exacerbator/beneficiary model is the preferred one from an environmental management standpoint, as long as it incorporates distinct private and public sector contributions and maintains a central government responsibility and capacity, particularly for pre-border and border activities. This model recognises the increasing threat to natural ecosystems and allows for those who increase the risk to contribute to alleviating that risk. There will never be a final correct allocation of these costs, but this weakness should not be a reason to delay the implementation of the funding model.</w:t>
      </w:r>
    </w:p>
    <w:p w14:paraId="7EE2C914" w14:textId="77777777" w:rsidR="00FD3F3B" w:rsidRDefault="00FD3F3B" w:rsidP="00FD3F3B">
      <w:r>
        <w:t>The adoption of the exacerbator/beneficiary model is entirely consistent with both the original and the current Intergovernmental Agreement on Biosecurity. Clause 16 under the heading of key biosecurity principles of the current Agreement that came into effect on 3 January 2019, requires:</w:t>
      </w:r>
    </w:p>
    <w:p w14:paraId="5D4905AA" w14:textId="25B18E95" w:rsidR="00FD3F3B" w:rsidRDefault="00FD3F3B" w:rsidP="00FD3F3B">
      <w:pPr>
        <w:pStyle w:val="Quote"/>
      </w:pPr>
      <w:r>
        <w:t xml:space="preserve">Governments contribute to the cost of risk management measures in proportion to the public good accruing from them. Other system participants contribute in proportion to the risks created and/or benefits gained. </w:t>
      </w:r>
      <w:sdt>
        <w:sdtPr>
          <w:id w:val="2108459451"/>
          <w:citation/>
        </w:sdtPr>
        <w:sdtEndPr/>
        <w:sdtContent>
          <w:r>
            <w:fldChar w:fldCharType="begin"/>
          </w:r>
          <w:r>
            <w:instrText xml:space="preserve">CITATION Cou19 \p 3 \t  \l 3081 </w:instrText>
          </w:r>
          <w:r>
            <w:fldChar w:fldCharType="separate"/>
          </w:r>
          <w:r w:rsidR="00604A29">
            <w:rPr>
              <w:noProof/>
            </w:rPr>
            <w:t>(Council of Australian Governments, 2019, p. 3)</w:t>
          </w:r>
          <w:r>
            <w:fldChar w:fldCharType="end"/>
          </w:r>
        </w:sdtContent>
      </w:sdt>
    </w:p>
    <w:p w14:paraId="7A982131" w14:textId="556B3F45" w:rsidR="00B54758" w:rsidRDefault="00FD3F3B" w:rsidP="00FD3F3B">
      <w:r>
        <w:t>While it appears that all Australian governments have embraced the adoption of an exacerbator/beneficiary model for funding biosecurity, it appears that it has not been comprehensively applied in practice.</w:t>
      </w:r>
    </w:p>
    <w:p w14:paraId="0476B882" w14:textId="59910953" w:rsidR="006C5A37" w:rsidRDefault="006C5A37">
      <w:pPr>
        <w:spacing w:before="0" w:after="160" w:line="259" w:lineRule="auto"/>
      </w:pPr>
      <w:r>
        <w:br w:type="page"/>
      </w:r>
    </w:p>
    <w:p w14:paraId="4D09F436" w14:textId="32E3E511" w:rsidR="006C5A37" w:rsidRDefault="006C5A37" w:rsidP="006C5A37">
      <w:pPr>
        <w:pStyle w:val="Heading1"/>
      </w:pPr>
      <w:bookmarkStart w:id="59" w:name="_Toc10031922"/>
      <w:r>
        <w:t>Appendix 5</w:t>
      </w:r>
      <w:r w:rsidR="00A439D7">
        <w:t xml:space="preserve">: </w:t>
      </w:r>
      <w:r>
        <w:t>Examples of Private Sector Investments in Biosecurity</w:t>
      </w:r>
      <w:bookmarkEnd w:id="59"/>
      <w:r>
        <w:t xml:space="preserve"> </w:t>
      </w:r>
    </w:p>
    <w:p w14:paraId="51AA4176" w14:textId="77777777" w:rsidR="00B71232" w:rsidRPr="00226619" w:rsidRDefault="00B71232" w:rsidP="0002266F">
      <w:pPr>
        <w:pStyle w:val="Heading2"/>
      </w:pPr>
      <w:bookmarkStart w:id="60" w:name="_Toc10031923"/>
      <w:r>
        <w:t>Federal Chamber of Automotive Industries</w:t>
      </w:r>
      <w:bookmarkEnd w:id="60"/>
    </w:p>
    <w:p w14:paraId="0B9E3751" w14:textId="77777777" w:rsidR="00B71232" w:rsidRDefault="00B71232" w:rsidP="00B71232">
      <w:r>
        <w:t>Over the past decade Thailand has become an increasingly important source of new motor vehicles for the Australian market; it is now the number two source country behind Japan. The New Motor Vehicle Inspection Program was negotiated between the Thai Department of Agriculture and the Australian Department of Agriculture and Water Resources, with the Australian industry’s heavy involvement. Its purpose was to identify supply chain initiatives which could mitigate biosecurity risks. The program involves</w:t>
      </w:r>
      <w:r w:rsidRPr="000B3316">
        <w:t xml:space="preserve"> </w:t>
      </w:r>
      <w:r>
        <w:t>training and accrediting personnel in Thailand to inspect, clean and certify that new vehicles being exported to Australia are free from biosecurity risk material. It also involves the Thai Port Authority improving the weed and pest environment around the terminal area, with regular inspection and maintenance. Improved communications are also vital.</w:t>
      </w:r>
    </w:p>
    <w:p w14:paraId="1C84FD4C" w14:textId="77777777" w:rsidR="00B71232" w:rsidRPr="00EA2CA9" w:rsidRDefault="00B71232" w:rsidP="00B71232">
      <w:r>
        <w:t xml:space="preserve">Since implementation, the number of contaminated new vehicles being detected in Australia from Thailand has reduced by more than 90 per cent, despite import volumes rising by 30 per cent between 2013 and 2017. The program requires all parties to acknowledge that </w:t>
      </w:r>
      <w:r w:rsidRPr="00844D7E">
        <w:rPr>
          <w:lang w:val="en-US"/>
        </w:rPr>
        <w:t>biosecurity is a shared responsibility</w:t>
      </w:r>
      <w:r>
        <w:rPr>
          <w:lang w:val="en-US"/>
        </w:rPr>
        <w:t>, with everyone committed to reducing</w:t>
      </w:r>
      <w:r w:rsidRPr="004E5696">
        <w:rPr>
          <w:lang w:val="en-US"/>
        </w:rPr>
        <w:t xml:space="preserve"> risk</w:t>
      </w:r>
      <w:r>
        <w:rPr>
          <w:lang w:val="en-US"/>
        </w:rPr>
        <w:t xml:space="preserve">. </w:t>
      </w:r>
      <w:r>
        <w:t xml:space="preserve">Commercial benefits, which follow significant industry investments, are seen in terms of </w:t>
      </w:r>
      <w:r w:rsidRPr="004E5696">
        <w:rPr>
          <w:lang w:val="en-US"/>
        </w:rPr>
        <w:t xml:space="preserve">faster clearance </w:t>
      </w:r>
      <w:r>
        <w:rPr>
          <w:lang w:val="en-US"/>
        </w:rPr>
        <w:t>at arrival and lower costs.</w:t>
      </w:r>
    </w:p>
    <w:p w14:paraId="5C629E2E" w14:textId="77777777" w:rsidR="00B71232" w:rsidRPr="00307E5E" w:rsidRDefault="00B71232" w:rsidP="00B71232">
      <w:pPr>
        <w:jc w:val="both"/>
        <w:rPr>
          <w:i/>
          <w:sz w:val="18"/>
          <w:szCs w:val="18"/>
          <w:lang w:val="en-US"/>
        </w:rPr>
      </w:pPr>
      <w:r w:rsidRPr="00844D7E">
        <w:rPr>
          <w:i/>
          <w:sz w:val="18"/>
          <w:szCs w:val="18"/>
          <w:lang w:val="en-US"/>
        </w:rPr>
        <w:t>Source: Federal Chamber of Automotive Industries, inform</w:t>
      </w:r>
      <w:r>
        <w:rPr>
          <w:i/>
          <w:sz w:val="18"/>
          <w:szCs w:val="18"/>
          <w:lang w:val="en-US"/>
        </w:rPr>
        <w:t>ation provided to the Committee</w:t>
      </w:r>
    </w:p>
    <w:p w14:paraId="03023551" w14:textId="77777777" w:rsidR="00E506CE" w:rsidRDefault="00E506CE" w:rsidP="00E506CE">
      <w:pPr>
        <w:pStyle w:val="Heading2"/>
        <w:rPr>
          <w:lang w:val="en-US"/>
        </w:rPr>
      </w:pPr>
      <w:bookmarkStart w:id="61" w:name="_Toc10031924"/>
      <w:r w:rsidRPr="00CB3C59">
        <w:rPr>
          <w:lang w:val="en-US"/>
        </w:rPr>
        <w:t>Minerals Council of Australia</w:t>
      </w:r>
      <w:bookmarkEnd w:id="61"/>
    </w:p>
    <w:p w14:paraId="2A435CB3" w14:textId="77777777" w:rsidR="00E506CE" w:rsidRDefault="00E506CE" w:rsidP="00E506CE">
      <w:pPr>
        <w:jc w:val="both"/>
      </w:pPr>
      <w:r w:rsidRPr="00CB3C59">
        <w:t xml:space="preserve">RightShip, </w:t>
      </w:r>
      <w:r>
        <w:t xml:space="preserve">a company </w:t>
      </w:r>
      <w:r w:rsidRPr="00CB3C59">
        <w:t>equally owned by Rio Tinto, BHP, and Carg</w:t>
      </w:r>
      <w:r>
        <w:t>ill, is regarded as the world’s leading maritime</w:t>
      </w:r>
      <w:r w:rsidRPr="00CB3C59">
        <w:t xml:space="preserve"> risk management and enviro</w:t>
      </w:r>
      <w:r>
        <w:t>nmental assessment organisation,</w:t>
      </w:r>
      <w:r w:rsidRPr="00CB3C59">
        <w:t xml:space="preserve"> </w:t>
      </w:r>
      <w:r>
        <w:t>with</w:t>
      </w:r>
      <w:r w:rsidRPr="00CB3C59">
        <w:t xml:space="preserve"> offices</w:t>
      </w:r>
      <w:r>
        <w:t xml:space="preserve"> in M</w:t>
      </w:r>
      <w:r w:rsidRPr="00CB3C59">
        <w:t>elbourne</w:t>
      </w:r>
      <w:r>
        <w:t>,</w:t>
      </w:r>
      <w:r w:rsidRPr="00CB3C59">
        <w:t xml:space="preserve"> London, and Houston</w:t>
      </w:r>
      <w:r>
        <w:t xml:space="preserve">. In </w:t>
      </w:r>
      <w:r w:rsidRPr="00CB3C59">
        <w:t>addition to current vetting procedures that ensure the best-suited vessel is selected for</w:t>
      </w:r>
      <w:r>
        <w:t xml:space="preserve"> the </w:t>
      </w:r>
      <w:r w:rsidRPr="00CB3C59">
        <w:t>appropriate cargo, in 2016 RightShip introduced a predictive online tool, RightShip Qi, which improve</w:t>
      </w:r>
      <w:r>
        <w:t>s</w:t>
      </w:r>
      <w:r w:rsidRPr="00CB3C59">
        <w:t xml:space="preserve"> maritime safety and efficiency by analysing, comparing and integrating data such as port control inspections, casualty history, satellite data and terminal feedback to identify anomalies and trends. This tool is used in addition to </w:t>
      </w:r>
      <w:r>
        <w:t xml:space="preserve">biosecurity </w:t>
      </w:r>
      <w:r w:rsidRPr="00CB3C59">
        <w:t xml:space="preserve">inspections and invasive marine species risk assessments </w:t>
      </w:r>
      <w:r>
        <w:t>conducted</w:t>
      </w:r>
      <w:r w:rsidRPr="00CB3C59">
        <w:t xml:space="preserve"> on in-bound vessels into Australia</w:t>
      </w:r>
      <w:r>
        <w:t>.</w:t>
      </w:r>
    </w:p>
    <w:p w14:paraId="67C96B0C" w14:textId="77777777" w:rsidR="00E506CE" w:rsidRPr="00307E5E" w:rsidRDefault="00E506CE" w:rsidP="00E506CE">
      <w:pPr>
        <w:jc w:val="both"/>
        <w:rPr>
          <w:i/>
          <w:sz w:val="18"/>
          <w:szCs w:val="18"/>
          <w:lang w:val="en-US"/>
        </w:rPr>
      </w:pPr>
      <w:r w:rsidRPr="00844D7E">
        <w:rPr>
          <w:i/>
          <w:sz w:val="18"/>
          <w:szCs w:val="18"/>
          <w:lang w:val="en-US"/>
        </w:rPr>
        <w:t xml:space="preserve">Source: </w:t>
      </w:r>
      <w:r>
        <w:rPr>
          <w:i/>
          <w:sz w:val="18"/>
          <w:szCs w:val="18"/>
          <w:lang w:val="en-US"/>
        </w:rPr>
        <w:t>Minerals Council of Australia</w:t>
      </w:r>
      <w:r w:rsidRPr="00844D7E">
        <w:rPr>
          <w:i/>
          <w:sz w:val="18"/>
          <w:szCs w:val="18"/>
          <w:lang w:val="en-US"/>
        </w:rPr>
        <w:t>, inform</w:t>
      </w:r>
      <w:r>
        <w:rPr>
          <w:i/>
          <w:sz w:val="18"/>
          <w:szCs w:val="18"/>
          <w:lang w:val="en-US"/>
        </w:rPr>
        <w:t>ation provided to the Committee</w:t>
      </w:r>
    </w:p>
    <w:p w14:paraId="024C3D86" w14:textId="0B1126DE" w:rsidR="00B71232" w:rsidRDefault="00B71232" w:rsidP="0002266F">
      <w:pPr>
        <w:pStyle w:val="Heading2"/>
      </w:pPr>
      <w:bookmarkStart w:id="62" w:name="_Toc10031925"/>
      <w:r>
        <w:t>Horticultural organisations</w:t>
      </w:r>
      <w:bookmarkEnd w:id="62"/>
    </w:p>
    <w:p w14:paraId="41E0DD56" w14:textId="77777777" w:rsidR="00B71232" w:rsidRDefault="00B71232" w:rsidP="00B71232">
      <w:pPr>
        <w:jc w:val="both"/>
      </w:pPr>
      <w:r>
        <w:t>Specific examples of biosecurity investment within the almond, citrus, nursery and vegetable/potato industries.</w:t>
      </w:r>
    </w:p>
    <w:p w14:paraId="6A980F69" w14:textId="77777777" w:rsidR="00B71232" w:rsidRDefault="00B71232" w:rsidP="00B71232">
      <w:pPr>
        <w:pStyle w:val="Heading7"/>
      </w:pPr>
      <w:r w:rsidRPr="478540F8">
        <w:t>Funded positions</w:t>
      </w:r>
    </w:p>
    <w:p w14:paraId="66941C2A" w14:textId="77777777" w:rsidR="00B71232" w:rsidRDefault="00B71232" w:rsidP="00B71232">
      <w:pPr>
        <w:jc w:val="both"/>
        <w:rPr>
          <w:rFonts w:eastAsiaTheme="minorEastAsia"/>
        </w:rPr>
      </w:pPr>
      <w:r w:rsidRPr="478540F8">
        <w:t>Vegetable/potato biosecurity officers (</w:t>
      </w:r>
      <w:r>
        <w:t>a</w:t>
      </w:r>
      <w:r w:rsidRPr="478540F8">
        <w:t xml:space="preserve"> three-year $720,000 </w:t>
      </w:r>
      <w:r>
        <w:t>farm biosecurity project,</w:t>
      </w:r>
      <w:r w:rsidRPr="478540F8">
        <w:t xml:space="preserve"> funded by Plant Health Australia</w:t>
      </w:r>
      <w:r>
        <w:t xml:space="preserve">); </w:t>
      </w:r>
      <w:r w:rsidRPr="478540F8">
        <w:t xml:space="preserve">vegetable </w:t>
      </w:r>
      <w:r>
        <w:t>b</w:t>
      </w:r>
      <w:r w:rsidRPr="478540F8">
        <w:t xml:space="preserve">iosecurity adviser </w:t>
      </w:r>
      <w:r>
        <w:t>(</w:t>
      </w:r>
      <w:r w:rsidRPr="478540F8">
        <w:t>funded by Hort</w:t>
      </w:r>
      <w:r>
        <w:t>iculture</w:t>
      </w:r>
      <w:r w:rsidRPr="478540F8">
        <w:t xml:space="preserve"> Innovation - $34,000</w:t>
      </w:r>
      <w:r>
        <w:t xml:space="preserve">); </w:t>
      </w:r>
      <w:r w:rsidRPr="478540F8">
        <w:rPr>
          <w:rFonts w:eastAsiaTheme="minorEastAsia"/>
        </w:rPr>
        <w:t>Nationa</w:t>
      </w:r>
      <w:r>
        <w:rPr>
          <w:rFonts w:eastAsiaTheme="minorEastAsia"/>
        </w:rPr>
        <w:t>l nursery industry biosecurity p</w:t>
      </w:r>
      <w:r w:rsidRPr="478540F8">
        <w:rPr>
          <w:rFonts w:eastAsiaTheme="minorEastAsia"/>
        </w:rPr>
        <w:t xml:space="preserve">rogram </w:t>
      </w:r>
      <w:r>
        <w:rPr>
          <w:rFonts w:eastAsiaTheme="minorEastAsia"/>
        </w:rPr>
        <w:t>(</w:t>
      </w:r>
      <w:r w:rsidRPr="478540F8">
        <w:rPr>
          <w:rFonts w:eastAsiaTheme="minorEastAsia"/>
        </w:rPr>
        <w:t>$3.8million over 5 years, 5 position</w:t>
      </w:r>
      <w:r>
        <w:rPr>
          <w:rFonts w:eastAsiaTheme="minorEastAsia"/>
        </w:rPr>
        <w:t>s</w:t>
      </w:r>
      <w:r w:rsidRPr="478540F8">
        <w:rPr>
          <w:rFonts w:eastAsiaTheme="minorEastAsia"/>
        </w:rPr>
        <w:t>)</w:t>
      </w:r>
      <w:r>
        <w:rPr>
          <w:rFonts w:eastAsiaTheme="minorEastAsia"/>
        </w:rPr>
        <w:t>; National citrus surveillance c</w:t>
      </w:r>
      <w:r w:rsidRPr="478540F8">
        <w:rPr>
          <w:rFonts w:eastAsiaTheme="minorEastAsia"/>
        </w:rPr>
        <w:t xml:space="preserve">oordinator </w:t>
      </w:r>
      <w:r>
        <w:rPr>
          <w:rFonts w:eastAsiaTheme="minorEastAsia"/>
        </w:rPr>
        <w:t>(</w:t>
      </w:r>
      <w:r w:rsidRPr="478540F8">
        <w:rPr>
          <w:rFonts w:eastAsiaTheme="minorEastAsia"/>
        </w:rPr>
        <w:t>$200,000 per year over 3 years</w:t>
      </w:r>
      <w:r>
        <w:rPr>
          <w:rFonts w:eastAsiaTheme="minorEastAsia"/>
        </w:rPr>
        <w:t>).</w:t>
      </w:r>
    </w:p>
    <w:p w14:paraId="5B095C1C" w14:textId="77777777" w:rsidR="00B71232" w:rsidRDefault="00B71232" w:rsidP="00B71232">
      <w:pPr>
        <w:pStyle w:val="Heading7"/>
      </w:pPr>
      <w:r w:rsidRPr="478540F8">
        <w:t>Specific surveillance</w:t>
      </w:r>
    </w:p>
    <w:p w14:paraId="111F8ABF" w14:textId="77777777" w:rsidR="00B71232" w:rsidRDefault="00B71232" w:rsidP="00B71232">
      <w:pPr>
        <w:jc w:val="both"/>
      </w:pPr>
      <w:r w:rsidRPr="478540F8">
        <w:t xml:space="preserve">iMapPESTS </w:t>
      </w:r>
      <w:r>
        <w:t xml:space="preserve">(a </w:t>
      </w:r>
      <w:r w:rsidRPr="478540F8">
        <w:t xml:space="preserve">$800,000 cross-industry project - managed </w:t>
      </w:r>
      <w:r>
        <w:t xml:space="preserve">by </w:t>
      </w:r>
      <w:r w:rsidRPr="478540F8">
        <w:t>Hort</w:t>
      </w:r>
      <w:r>
        <w:t xml:space="preserve">iculture Innovation); </w:t>
      </w:r>
      <w:r w:rsidRPr="478540F8">
        <w:t xml:space="preserve">Almonds </w:t>
      </w:r>
      <w:r>
        <w:t>(</w:t>
      </w:r>
      <w:r w:rsidRPr="478540F8">
        <w:t>$325,000 to 2021</w:t>
      </w:r>
      <w:r>
        <w:t>,</w:t>
      </w:r>
      <w:r w:rsidRPr="0054284C">
        <w:t xml:space="preserve"> </w:t>
      </w:r>
      <w:r w:rsidRPr="478540F8">
        <w:t>Hort</w:t>
      </w:r>
      <w:r>
        <w:t>iculture Innovation</w:t>
      </w:r>
      <w:r w:rsidRPr="0054284C">
        <w:t xml:space="preserve"> </w:t>
      </w:r>
      <w:r w:rsidRPr="478540F8">
        <w:t>funding</w:t>
      </w:r>
      <w:r>
        <w:t xml:space="preserve"> contribution to</w:t>
      </w:r>
      <w:r w:rsidRPr="478540F8">
        <w:t xml:space="preserve"> the sentinel bee hive program</w:t>
      </w:r>
      <w:r>
        <w:t xml:space="preserve">); </w:t>
      </w:r>
      <w:r w:rsidRPr="478540F8">
        <w:t xml:space="preserve">Almonds </w:t>
      </w:r>
      <w:r>
        <w:t>(</w:t>
      </w:r>
      <w:r w:rsidRPr="478540F8">
        <w:t>enhance</w:t>
      </w:r>
      <w:r>
        <w:t>d</w:t>
      </w:r>
      <w:r w:rsidRPr="478540F8">
        <w:t xml:space="preserve"> virus detection</w:t>
      </w:r>
      <w:r>
        <w:t xml:space="preserve"> testing</w:t>
      </w:r>
      <w:r w:rsidRPr="478540F8">
        <w:t xml:space="preserve"> </w:t>
      </w:r>
      <w:r>
        <w:t xml:space="preserve">of </w:t>
      </w:r>
      <w:r w:rsidRPr="478540F8">
        <w:t>imported plant material</w:t>
      </w:r>
      <w:r>
        <w:t>,</w:t>
      </w:r>
      <w:r w:rsidRPr="478540F8">
        <w:t xml:space="preserve"> funding via Hort</w:t>
      </w:r>
      <w:r>
        <w:t xml:space="preserve">iculture </w:t>
      </w:r>
      <w:r w:rsidRPr="478540F8">
        <w:t>Innovation</w:t>
      </w:r>
      <w:r>
        <w:t xml:space="preserve">); </w:t>
      </w:r>
      <w:r w:rsidRPr="478540F8">
        <w:t xml:space="preserve">Production nurseries </w:t>
      </w:r>
      <w:r>
        <w:t>(for principal</w:t>
      </w:r>
      <w:r w:rsidRPr="478540F8">
        <w:t xml:space="preserve"> endemic plant pests such as </w:t>
      </w:r>
      <w:r>
        <w:t>Red Imported Fire Ants</w:t>
      </w:r>
      <w:r w:rsidRPr="478540F8">
        <w:t xml:space="preserve">, Myrtle rust, Whitefly, Scales, snails, </w:t>
      </w:r>
      <w:r>
        <w:t xml:space="preserve">and various </w:t>
      </w:r>
      <w:r w:rsidRPr="478540F8">
        <w:t>virus</w:t>
      </w:r>
      <w:r>
        <w:t>es, a</w:t>
      </w:r>
      <w:r w:rsidRPr="478540F8">
        <w:t xml:space="preserve">nnual costs </w:t>
      </w:r>
      <w:r>
        <w:t xml:space="preserve">at least </w:t>
      </w:r>
      <w:r w:rsidRPr="478540F8">
        <w:t>$14.5 million/annum</w:t>
      </w:r>
      <w:r>
        <w:t>, assumes</w:t>
      </w:r>
      <w:r w:rsidRPr="478540F8">
        <w:t xml:space="preserve"> 4000 businesses investing 2 hour</w:t>
      </w:r>
      <w:r>
        <w:t xml:space="preserve">s/week at an hourly rate of $35); </w:t>
      </w:r>
      <w:r w:rsidRPr="478540F8">
        <w:t xml:space="preserve">Citrus export surveillance </w:t>
      </w:r>
      <w:r>
        <w:t>covers</w:t>
      </w:r>
      <w:r w:rsidRPr="478540F8">
        <w:t xml:space="preserve"> ci</w:t>
      </w:r>
      <w:r>
        <w:t>trus canker, Huanglongbing,</w:t>
      </w:r>
      <w:r w:rsidRPr="478540F8">
        <w:t xml:space="preserve"> Asian Citrus Psyllid, Citrus Variegated Chlorosis and Glassy Winged Sharpshooter</w:t>
      </w:r>
      <w:r>
        <w:t>.</w:t>
      </w:r>
    </w:p>
    <w:p w14:paraId="021A7C6F" w14:textId="77777777" w:rsidR="00B71232" w:rsidRDefault="00B71232" w:rsidP="00B71232">
      <w:pPr>
        <w:pStyle w:val="Heading7"/>
      </w:pPr>
      <w:r w:rsidRPr="478540F8">
        <w:t>General surveillance</w:t>
      </w:r>
    </w:p>
    <w:p w14:paraId="4D2466E5" w14:textId="77777777" w:rsidR="00B71232" w:rsidRPr="00307E5E" w:rsidRDefault="00B71232" w:rsidP="00B71232">
      <w:pPr>
        <w:jc w:val="both"/>
      </w:pPr>
      <w:r w:rsidRPr="478540F8">
        <w:t xml:space="preserve">Dried Fruits Australia </w:t>
      </w:r>
      <w:r>
        <w:t>(</w:t>
      </w:r>
      <w:r w:rsidRPr="478540F8">
        <w:t xml:space="preserve">surveillance as part of </w:t>
      </w:r>
      <w:r>
        <w:t>quality assurance scheme</w:t>
      </w:r>
      <w:r w:rsidRPr="478540F8">
        <w:t xml:space="preserve"> </w:t>
      </w:r>
      <w:r>
        <w:t>and</w:t>
      </w:r>
      <w:r w:rsidRPr="478540F8">
        <w:t xml:space="preserve"> field days </w:t>
      </w:r>
      <w:r>
        <w:t xml:space="preserve">to improve grower awareness); </w:t>
      </w:r>
      <w:r w:rsidRPr="478540F8">
        <w:t xml:space="preserve">corporate almond producers </w:t>
      </w:r>
      <w:r>
        <w:t xml:space="preserve">(employ or contract </w:t>
      </w:r>
      <w:r w:rsidRPr="478540F8">
        <w:t>pest and disease monitoring staff or contract these services</w:t>
      </w:r>
      <w:r>
        <w:t xml:space="preserve">, as do </w:t>
      </w:r>
      <w:r w:rsidRPr="478540F8">
        <w:t>large vegetable/potato producers</w:t>
      </w:r>
      <w:r>
        <w:t>); p</w:t>
      </w:r>
      <w:r w:rsidRPr="478540F8">
        <w:t xml:space="preserve">roduction nurseries </w:t>
      </w:r>
      <w:r>
        <w:t>(</w:t>
      </w:r>
      <w:r w:rsidRPr="478540F8">
        <w:t>crop monitoring and site surveillance activities</w:t>
      </w:r>
      <w:r>
        <w:t>,</w:t>
      </w:r>
      <w:r w:rsidRPr="478540F8">
        <w:t xml:space="preserve"> </w:t>
      </w:r>
      <w:r>
        <w:t>for example,</w:t>
      </w:r>
      <w:r w:rsidRPr="478540F8">
        <w:t xml:space="preserve"> monthly site surveillance for </w:t>
      </w:r>
      <w:r>
        <w:t>Red Imported Fire Ants); c</w:t>
      </w:r>
      <w:r w:rsidRPr="478540F8">
        <w:t xml:space="preserve">itrus export assurance program </w:t>
      </w:r>
      <w:r>
        <w:t>(covers</w:t>
      </w:r>
      <w:r w:rsidRPr="478540F8">
        <w:t xml:space="preserve"> 11,000 ha </w:t>
      </w:r>
      <w:r>
        <w:t>and involves surveys</w:t>
      </w:r>
      <w:r w:rsidRPr="478540F8">
        <w:t xml:space="preserve"> by registered crop monitors to </w:t>
      </w:r>
      <w:r>
        <w:t>confirm the</w:t>
      </w:r>
      <w:r w:rsidRPr="478540F8">
        <w:t xml:space="preserve"> absence of quarantine pests for Korea, China, and Thailand </w:t>
      </w:r>
      <w:r>
        <w:t>markets).</w:t>
      </w:r>
    </w:p>
    <w:p w14:paraId="088C3E5B" w14:textId="77777777" w:rsidR="00B71232" w:rsidRDefault="00B71232" w:rsidP="0002266F">
      <w:pPr>
        <w:pStyle w:val="Heading7"/>
      </w:pPr>
      <w:r w:rsidRPr="478540F8">
        <w:t xml:space="preserve">Specific incursion responses (industry </w:t>
      </w:r>
      <w:r>
        <w:t>expenditure</w:t>
      </w:r>
      <w:r w:rsidRPr="478540F8">
        <w:t>)</w:t>
      </w:r>
    </w:p>
    <w:p w14:paraId="0740E767" w14:textId="77777777" w:rsidR="00B71232" w:rsidRDefault="00B71232" w:rsidP="00B71232">
      <w:pPr>
        <w:pStyle w:val="ListParagraph"/>
        <w:numPr>
          <w:ilvl w:val="0"/>
          <w:numId w:val="34"/>
        </w:numPr>
        <w:spacing w:before="0" w:after="160" w:line="259" w:lineRule="auto"/>
        <w:jc w:val="both"/>
        <w:rPr>
          <w:b/>
          <w:bCs/>
        </w:rPr>
      </w:pPr>
      <w:r w:rsidRPr="478540F8">
        <w:rPr>
          <w:b/>
          <w:bCs/>
        </w:rPr>
        <w:t>Cucumber gre</w:t>
      </w:r>
      <w:r>
        <w:rPr>
          <w:b/>
          <w:bCs/>
        </w:rPr>
        <w:t xml:space="preserve">en mottle mosaic virus: </w:t>
      </w:r>
      <w:r>
        <w:rPr>
          <w:bCs/>
        </w:rPr>
        <w:t xml:space="preserve">reduced NT melon production by 30% or $15 million and </w:t>
      </w:r>
      <w:r w:rsidRPr="478540F8">
        <w:t>vegetable growers</w:t>
      </w:r>
      <w:r>
        <w:t xml:space="preserve"> by at least </w:t>
      </w:r>
      <w:r w:rsidRPr="478540F8">
        <w:t>$250,000</w:t>
      </w:r>
    </w:p>
    <w:p w14:paraId="5FFA12B0" w14:textId="77777777" w:rsidR="00B71232" w:rsidRDefault="00B71232" w:rsidP="00B71232">
      <w:pPr>
        <w:pStyle w:val="ListParagraph"/>
        <w:numPr>
          <w:ilvl w:val="0"/>
          <w:numId w:val="34"/>
        </w:numPr>
        <w:spacing w:before="0" w:after="160" w:line="259" w:lineRule="auto"/>
        <w:jc w:val="both"/>
      </w:pPr>
      <w:r w:rsidRPr="478540F8">
        <w:rPr>
          <w:b/>
          <w:bCs/>
        </w:rPr>
        <w:t>Tomato potato psyllid</w:t>
      </w:r>
      <w:r>
        <w:rPr>
          <w:b/>
          <w:bCs/>
        </w:rPr>
        <w:t xml:space="preserve">: </w:t>
      </w:r>
      <w:r w:rsidRPr="00454616">
        <w:rPr>
          <w:bCs/>
        </w:rPr>
        <w:t>substantial</w:t>
      </w:r>
      <w:r>
        <w:rPr>
          <w:bCs/>
        </w:rPr>
        <w:t xml:space="preserve"> but unquantified expenses and production losses</w:t>
      </w:r>
    </w:p>
    <w:p w14:paraId="17ABD397" w14:textId="77777777" w:rsidR="00B71232" w:rsidRDefault="00B71232" w:rsidP="00B71232">
      <w:pPr>
        <w:pStyle w:val="ListParagraph"/>
        <w:numPr>
          <w:ilvl w:val="0"/>
          <w:numId w:val="34"/>
        </w:numPr>
        <w:spacing w:before="0" w:after="160" w:line="259" w:lineRule="auto"/>
        <w:jc w:val="both"/>
      </w:pPr>
      <w:r w:rsidRPr="478540F8">
        <w:rPr>
          <w:b/>
          <w:bCs/>
        </w:rPr>
        <w:t>Varroa Jacobsoni</w:t>
      </w:r>
      <w:r>
        <w:rPr>
          <w:b/>
          <w:bCs/>
        </w:rPr>
        <w:t xml:space="preserve">: </w:t>
      </w:r>
      <w:r w:rsidRPr="478540F8">
        <w:t>eradication</w:t>
      </w:r>
      <w:r>
        <w:t xml:space="preserve"> cost to </w:t>
      </w:r>
      <w:r w:rsidRPr="478540F8">
        <w:t>the honey bee industry</w:t>
      </w:r>
      <w:r>
        <w:t xml:space="preserve">, part </w:t>
      </w:r>
      <w:r w:rsidRPr="478540F8">
        <w:t>funded by almond producers as an affected industry requiring pollination services</w:t>
      </w:r>
      <w:r>
        <w:t>, $317,000</w:t>
      </w:r>
    </w:p>
    <w:p w14:paraId="35E0FFAE" w14:textId="77777777" w:rsidR="00B71232" w:rsidRDefault="00B71232" w:rsidP="00B71232">
      <w:pPr>
        <w:pStyle w:val="ListParagraph"/>
        <w:numPr>
          <w:ilvl w:val="0"/>
          <w:numId w:val="34"/>
        </w:numPr>
        <w:spacing w:before="0" w:after="160" w:line="259" w:lineRule="auto"/>
        <w:jc w:val="both"/>
      </w:pPr>
      <w:r w:rsidRPr="478540F8">
        <w:rPr>
          <w:b/>
          <w:bCs/>
        </w:rPr>
        <w:t>Khapra Beetle</w:t>
      </w:r>
      <w:r>
        <w:rPr>
          <w:b/>
          <w:bCs/>
        </w:rPr>
        <w:t xml:space="preserve">: </w:t>
      </w:r>
      <w:r>
        <w:t>Almond Board of Australia funded eradication plans for incursions of Khapra Beetle in South Australia and more recently Victoria; $11,000</w:t>
      </w:r>
    </w:p>
    <w:p w14:paraId="13BD760E" w14:textId="77777777" w:rsidR="00B71232" w:rsidRDefault="00B71232" w:rsidP="00B71232">
      <w:pPr>
        <w:pStyle w:val="ListParagraph"/>
        <w:numPr>
          <w:ilvl w:val="0"/>
          <w:numId w:val="34"/>
        </w:numPr>
        <w:spacing w:before="0" w:after="160" w:line="259" w:lineRule="auto"/>
        <w:jc w:val="both"/>
      </w:pPr>
      <w:r>
        <w:rPr>
          <w:b/>
          <w:bCs/>
        </w:rPr>
        <w:t xml:space="preserve">Red Imported Fire Ant: </w:t>
      </w:r>
      <w:r w:rsidRPr="478540F8">
        <w:rPr>
          <w:rFonts w:ascii="Calibri" w:eastAsia="Calibri" w:hAnsi="Calibri" w:cs="Calibri"/>
        </w:rPr>
        <w:t>costs to the Queensland nursery industry assessed at $18 million/</w:t>
      </w:r>
      <w:r>
        <w:rPr>
          <w:rFonts w:ascii="Calibri" w:eastAsia="Calibri" w:hAnsi="Calibri" w:cs="Calibri"/>
        </w:rPr>
        <w:t xml:space="preserve"> </w:t>
      </w:r>
      <w:r w:rsidRPr="478540F8">
        <w:rPr>
          <w:rFonts w:ascii="Calibri" w:eastAsia="Calibri" w:hAnsi="Calibri" w:cs="Calibri"/>
        </w:rPr>
        <w:t xml:space="preserve">annum </w:t>
      </w:r>
      <w:r>
        <w:rPr>
          <w:rFonts w:ascii="Calibri" w:eastAsia="Calibri" w:hAnsi="Calibri" w:cs="Calibri"/>
        </w:rPr>
        <w:t xml:space="preserve">in </w:t>
      </w:r>
      <w:r w:rsidRPr="478540F8">
        <w:rPr>
          <w:rFonts w:ascii="Calibri" w:eastAsia="Calibri" w:hAnsi="Calibri" w:cs="Calibri"/>
        </w:rPr>
        <w:t xml:space="preserve">property mitigation measures, lost trade, market access, administration, preventative treatments/barrier treatments, </w:t>
      </w:r>
      <w:r>
        <w:rPr>
          <w:rFonts w:ascii="Calibri" w:eastAsia="Calibri" w:hAnsi="Calibri" w:cs="Calibri"/>
        </w:rPr>
        <w:t xml:space="preserve">and </w:t>
      </w:r>
      <w:r w:rsidRPr="478540F8">
        <w:rPr>
          <w:rFonts w:ascii="Calibri" w:eastAsia="Calibri" w:hAnsi="Calibri" w:cs="Calibri"/>
        </w:rPr>
        <w:t>compliance costs</w:t>
      </w:r>
    </w:p>
    <w:p w14:paraId="6666A145" w14:textId="77777777" w:rsidR="00B71232" w:rsidRDefault="00B71232" w:rsidP="00B71232">
      <w:pPr>
        <w:pStyle w:val="ListParagraph"/>
        <w:numPr>
          <w:ilvl w:val="0"/>
          <w:numId w:val="34"/>
        </w:numPr>
        <w:spacing w:before="0" w:after="160" w:line="259" w:lineRule="auto"/>
        <w:jc w:val="both"/>
      </w:pPr>
      <w:r w:rsidRPr="478540F8">
        <w:rPr>
          <w:b/>
          <w:bCs/>
        </w:rPr>
        <w:t>Myrtle Rust</w:t>
      </w:r>
      <w:r>
        <w:rPr>
          <w:b/>
          <w:bCs/>
        </w:rPr>
        <w:t xml:space="preserve">: </w:t>
      </w:r>
      <w:r w:rsidRPr="478540F8">
        <w:rPr>
          <w:rFonts w:ascii="Calibri" w:eastAsia="Calibri" w:hAnsi="Calibri" w:cs="Calibri"/>
        </w:rPr>
        <w:t>assessed in 2012</w:t>
      </w:r>
      <w:r w:rsidRPr="00720183">
        <w:rPr>
          <w:rFonts w:ascii="Calibri" w:eastAsia="Calibri" w:hAnsi="Calibri" w:cs="Calibri"/>
        </w:rPr>
        <w:t xml:space="preserve"> </w:t>
      </w:r>
      <w:r>
        <w:rPr>
          <w:rFonts w:ascii="Calibri" w:eastAsia="Calibri" w:hAnsi="Calibri" w:cs="Calibri"/>
        </w:rPr>
        <w:t>to cost the nursery industry in Queensland, NSW and Victoria</w:t>
      </w:r>
      <w:r w:rsidRPr="478540F8">
        <w:rPr>
          <w:rFonts w:ascii="Calibri" w:eastAsia="Calibri" w:hAnsi="Calibri" w:cs="Calibri"/>
        </w:rPr>
        <w:t xml:space="preserve"> $27 millio</w:t>
      </w:r>
      <w:r>
        <w:rPr>
          <w:rFonts w:ascii="Calibri" w:eastAsia="Calibri" w:hAnsi="Calibri" w:cs="Calibri"/>
        </w:rPr>
        <w:t xml:space="preserve">n/annum to manage the pathogen  - </w:t>
      </w:r>
      <w:r w:rsidRPr="478540F8">
        <w:rPr>
          <w:rFonts w:ascii="Calibri" w:eastAsia="Calibri" w:hAnsi="Calibri" w:cs="Calibri"/>
        </w:rPr>
        <w:t>crop management, lost trade, market access, administration,</w:t>
      </w:r>
      <w:r>
        <w:rPr>
          <w:rFonts w:ascii="Calibri" w:eastAsia="Calibri" w:hAnsi="Calibri" w:cs="Calibri"/>
        </w:rPr>
        <w:t xml:space="preserve"> and</w:t>
      </w:r>
      <w:r w:rsidRPr="478540F8">
        <w:rPr>
          <w:rFonts w:ascii="Calibri" w:eastAsia="Calibri" w:hAnsi="Calibri" w:cs="Calibri"/>
        </w:rPr>
        <w:t xml:space="preserve"> loss of commercial varieties</w:t>
      </w:r>
      <w:r>
        <w:rPr>
          <w:rFonts w:ascii="Calibri" w:eastAsia="Calibri" w:hAnsi="Calibri" w:cs="Calibri"/>
        </w:rPr>
        <w:t>; subsequent</w:t>
      </w:r>
      <w:r w:rsidRPr="00720183">
        <w:rPr>
          <w:rFonts w:ascii="Calibri" w:eastAsia="Calibri" w:hAnsi="Calibri" w:cs="Calibri"/>
        </w:rPr>
        <w:t xml:space="preserve"> </w:t>
      </w:r>
      <w:r w:rsidRPr="478540F8">
        <w:rPr>
          <w:rFonts w:ascii="Calibri" w:eastAsia="Calibri" w:hAnsi="Calibri" w:cs="Calibri"/>
        </w:rPr>
        <w:t xml:space="preserve">detections in Tasmania and </w:t>
      </w:r>
      <w:r>
        <w:rPr>
          <w:rFonts w:ascii="Calibri" w:eastAsia="Calibri" w:hAnsi="Calibri" w:cs="Calibri"/>
        </w:rPr>
        <w:t>NT</w:t>
      </w:r>
    </w:p>
    <w:p w14:paraId="0A45B806" w14:textId="77777777" w:rsidR="00B71232" w:rsidRDefault="00B71232" w:rsidP="00B71232">
      <w:pPr>
        <w:pStyle w:val="ListParagraph"/>
        <w:numPr>
          <w:ilvl w:val="0"/>
          <w:numId w:val="32"/>
        </w:numPr>
        <w:spacing w:before="0" w:after="160" w:line="259" w:lineRule="auto"/>
        <w:jc w:val="both"/>
      </w:pPr>
      <w:r w:rsidRPr="478540F8">
        <w:rPr>
          <w:rFonts w:ascii="Calibri" w:eastAsia="Calibri" w:hAnsi="Calibri" w:cs="Calibri"/>
          <w:b/>
          <w:bCs/>
        </w:rPr>
        <w:t>Citrus Canker</w:t>
      </w:r>
      <w:r>
        <w:rPr>
          <w:rFonts w:ascii="Calibri" w:eastAsia="Calibri" w:hAnsi="Calibri" w:cs="Calibri"/>
          <w:b/>
          <w:bCs/>
        </w:rPr>
        <w:t xml:space="preserve">: </w:t>
      </w:r>
      <w:r>
        <w:rPr>
          <w:rFonts w:ascii="Calibri" w:eastAsia="Calibri" w:hAnsi="Calibri" w:cs="Calibri"/>
          <w:bCs/>
        </w:rPr>
        <w:t xml:space="preserve">eradication occurring </w:t>
      </w:r>
      <w:r w:rsidRPr="478540F8">
        <w:rPr>
          <w:rFonts w:ascii="Calibri" w:eastAsia="Calibri" w:hAnsi="Calibri" w:cs="Calibri"/>
        </w:rPr>
        <w:t>in NT and Northern WA</w:t>
      </w:r>
      <w:r>
        <w:rPr>
          <w:rFonts w:ascii="Calibri" w:eastAsia="Calibri" w:hAnsi="Calibri" w:cs="Calibri"/>
        </w:rPr>
        <w:t>, with</w:t>
      </w:r>
      <w:r w:rsidRPr="478540F8">
        <w:rPr>
          <w:rFonts w:ascii="Calibri" w:eastAsia="Calibri" w:hAnsi="Calibri" w:cs="Calibri"/>
        </w:rPr>
        <w:t xml:space="preserve"> industry commit</w:t>
      </w:r>
      <w:r>
        <w:rPr>
          <w:rFonts w:ascii="Calibri" w:eastAsia="Calibri" w:hAnsi="Calibri" w:cs="Calibri"/>
        </w:rPr>
        <w:t>ting</w:t>
      </w:r>
      <w:r w:rsidRPr="478540F8">
        <w:rPr>
          <w:rFonts w:ascii="Calibri" w:eastAsia="Calibri" w:hAnsi="Calibri" w:cs="Calibri"/>
        </w:rPr>
        <w:t xml:space="preserve"> 20% of </w:t>
      </w:r>
      <w:r>
        <w:rPr>
          <w:rFonts w:ascii="Calibri" w:eastAsia="Calibri" w:hAnsi="Calibri" w:cs="Calibri"/>
        </w:rPr>
        <w:t xml:space="preserve">the </w:t>
      </w:r>
      <w:r w:rsidRPr="478540F8">
        <w:rPr>
          <w:rFonts w:ascii="Calibri" w:eastAsia="Calibri" w:hAnsi="Calibri" w:cs="Calibri"/>
        </w:rPr>
        <w:t>costs</w:t>
      </w:r>
      <w:r>
        <w:rPr>
          <w:rFonts w:ascii="Calibri" w:eastAsia="Calibri" w:hAnsi="Calibri" w:cs="Calibri"/>
        </w:rPr>
        <w:t xml:space="preserve">, via a </w:t>
      </w:r>
      <w:r w:rsidRPr="478540F8">
        <w:rPr>
          <w:rFonts w:ascii="Calibri" w:eastAsia="Calibri" w:hAnsi="Calibri" w:cs="Calibri"/>
        </w:rPr>
        <w:t>$1.00 per tonne levy for 5 years</w:t>
      </w:r>
      <w:r>
        <w:rPr>
          <w:rFonts w:ascii="Calibri" w:eastAsia="Calibri" w:hAnsi="Calibri" w:cs="Calibri"/>
        </w:rPr>
        <w:t>, or $18 million</w:t>
      </w:r>
    </w:p>
    <w:p w14:paraId="2FB17D7F" w14:textId="77777777" w:rsidR="00B71232" w:rsidRDefault="00B71232" w:rsidP="00B71232">
      <w:pPr>
        <w:pStyle w:val="ListParagraph"/>
        <w:numPr>
          <w:ilvl w:val="0"/>
          <w:numId w:val="31"/>
        </w:numPr>
        <w:spacing w:before="0" w:after="160" w:line="259" w:lineRule="auto"/>
        <w:jc w:val="both"/>
      </w:pPr>
      <w:r w:rsidRPr="478540F8">
        <w:rPr>
          <w:b/>
          <w:bCs/>
        </w:rPr>
        <w:t>Chestnut blight</w:t>
      </w:r>
      <w:r>
        <w:rPr>
          <w:b/>
          <w:bCs/>
        </w:rPr>
        <w:t xml:space="preserve">: </w:t>
      </w:r>
      <w:r>
        <w:t>eradication program has cost industry over $4 million</w:t>
      </w:r>
    </w:p>
    <w:p w14:paraId="47283745" w14:textId="77777777" w:rsidR="00B71232" w:rsidRDefault="00B71232" w:rsidP="00B71232">
      <w:pPr>
        <w:pStyle w:val="ListParagraph"/>
        <w:numPr>
          <w:ilvl w:val="0"/>
          <w:numId w:val="30"/>
        </w:numPr>
        <w:spacing w:before="0" w:after="160" w:line="259" w:lineRule="auto"/>
        <w:jc w:val="both"/>
      </w:pPr>
      <w:r w:rsidRPr="04FE98CE">
        <w:rPr>
          <w:b/>
          <w:bCs/>
        </w:rPr>
        <w:t>Black Sigatoka</w:t>
      </w:r>
      <w:r>
        <w:rPr>
          <w:b/>
          <w:bCs/>
        </w:rPr>
        <w:t xml:space="preserve">: </w:t>
      </w:r>
      <w:r>
        <w:rPr>
          <w:bCs/>
        </w:rPr>
        <w:t>the banana industry</w:t>
      </w:r>
      <w:r w:rsidRPr="00720183">
        <w:t xml:space="preserve"> </w:t>
      </w:r>
      <w:r>
        <w:t xml:space="preserve">temporarily </w:t>
      </w:r>
      <w:r w:rsidRPr="04FE98CE">
        <w:t>suspended fruit movement</w:t>
      </w:r>
      <w:r>
        <w:t xml:space="preserve"> following a 2001</w:t>
      </w:r>
      <w:r w:rsidRPr="00720183">
        <w:t xml:space="preserve"> </w:t>
      </w:r>
      <w:r w:rsidRPr="04FE98CE">
        <w:t>incursion</w:t>
      </w:r>
      <w:r>
        <w:t xml:space="preserve"> in Queensland; growers contributed to a plant production levy involving monitoring and inspection via </w:t>
      </w:r>
      <w:r w:rsidRPr="04FE98CE">
        <w:t xml:space="preserve">a Disease Management Officer </w:t>
      </w:r>
      <w:r>
        <w:t>and eight</w:t>
      </w:r>
      <w:r w:rsidRPr="04FE98CE">
        <w:t xml:space="preserve"> field staff.</w:t>
      </w:r>
    </w:p>
    <w:p w14:paraId="6CDD2C81" w14:textId="77777777" w:rsidR="00B71232" w:rsidRPr="00B71232" w:rsidRDefault="00B71232" w:rsidP="00B71232">
      <w:pPr>
        <w:pStyle w:val="Heading7"/>
      </w:pPr>
      <w:r w:rsidRPr="00B71232">
        <w:t>Preparedness programs</w:t>
      </w:r>
    </w:p>
    <w:p w14:paraId="7C0133EA" w14:textId="77777777" w:rsidR="00B71232" w:rsidRDefault="00B71232" w:rsidP="00B71232">
      <w:pPr>
        <w:pStyle w:val="ListParagraph"/>
        <w:numPr>
          <w:ilvl w:val="0"/>
          <w:numId w:val="33"/>
        </w:numPr>
        <w:spacing w:before="0" w:after="160" w:line="259" w:lineRule="auto"/>
        <w:jc w:val="both"/>
      </w:pPr>
      <w:r>
        <w:t>Tomato potato psyllid c</w:t>
      </w:r>
      <w:r w:rsidRPr="478540F8">
        <w:t>oordinator –$642,000 over three years</w:t>
      </w:r>
    </w:p>
    <w:p w14:paraId="55319D4E" w14:textId="77777777" w:rsidR="00B71232" w:rsidRDefault="00B71232" w:rsidP="00B71232">
      <w:pPr>
        <w:pStyle w:val="ListParagraph"/>
        <w:numPr>
          <w:ilvl w:val="0"/>
          <w:numId w:val="33"/>
        </w:numPr>
        <w:spacing w:before="0" w:after="160" w:line="259" w:lineRule="auto"/>
        <w:jc w:val="both"/>
      </w:pPr>
      <w:r>
        <w:t>A</w:t>
      </w:r>
      <w:r w:rsidRPr="478540F8">
        <w:t xml:space="preserve">lmond industry </w:t>
      </w:r>
      <w:r>
        <w:t xml:space="preserve">- </w:t>
      </w:r>
      <w:r w:rsidRPr="478540F8">
        <w:t xml:space="preserve">simulated varroa mite incursions </w:t>
      </w:r>
      <w:r>
        <w:t>and response training</w:t>
      </w:r>
    </w:p>
    <w:p w14:paraId="6B6C9891" w14:textId="77777777" w:rsidR="00B71232" w:rsidRDefault="00B71232" w:rsidP="00B71232">
      <w:pPr>
        <w:pStyle w:val="ListParagraph"/>
        <w:numPr>
          <w:ilvl w:val="0"/>
          <w:numId w:val="33"/>
        </w:numPr>
        <w:spacing w:before="0" w:after="160" w:line="259" w:lineRule="auto"/>
        <w:jc w:val="both"/>
      </w:pPr>
      <w:r w:rsidRPr="478540F8">
        <w:t>National potato industry biosecurity surveillance strategy</w:t>
      </w:r>
      <w:r>
        <w:t xml:space="preserve"> </w:t>
      </w:r>
      <w:r w:rsidRPr="478540F8">
        <w:t>–</w:t>
      </w:r>
      <w:r>
        <w:t xml:space="preserve"> </w:t>
      </w:r>
      <w:r w:rsidRPr="478540F8">
        <w:t>surveillance pilots</w:t>
      </w:r>
      <w:r>
        <w:t>,</w:t>
      </w:r>
      <w:r w:rsidRPr="478540F8">
        <w:t xml:space="preserve"> consultation and implementation plan - $240,000 </w:t>
      </w:r>
    </w:p>
    <w:p w14:paraId="4025EDB5" w14:textId="77777777" w:rsidR="00B71232" w:rsidRDefault="00B71232" w:rsidP="00B71232">
      <w:pPr>
        <w:pStyle w:val="ListParagraph"/>
        <w:numPr>
          <w:ilvl w:val="0"/>
          <w:numId w:val="33"/>
        </w:numPr>
        <w:spacing w:before="0" w:after="160" w:line="259" w:lineRule="auto"/>
        <w:jc w:val="both"/>
        <w:rPr>
          <w:color w:val="111111"/>
        </w:rPr>
      </w:pPr>
      <w:r w:rsidRPr="478540F8">
        <w:rPr>
          <w:rFonts w:eastAsiaTheme="minorEastAsia"/>
          <w:color w:val="111111"/>
        </w:rPr>
        <w:t xml:space="preserve">Building resilience and on-farm biosecurity capacity </w:t>
      </w:r>
      <w:r>
        <w:rPr>
          <w:rFonts w:eastAsiaTheme="minorEastAsia"/>
          <w:color w:val="111111"/>
        </w:rPr>
        <w:t>within</w:t>
      </w:r>
      <w:r w:rsidRPr="478540F8">
        <w:rPr>
          <w:rFonts w:eastAsiaTheme="minorEastAsia"/>
          <w:color w:val="111111"/>
        </w:rPr>
        <w:t xml:space="preserve"> the nursery industry - </w:t>
      </w:r>
      <w:r w:rsidRPr="478540F8">
        <w:rPr>
          <w:rFonts w:eastAsiaTheme="minorEastAsia"/>
        </w:rPr>
        <w:t>enhance</w:t>
      </w:r>
      <w:r>
        <w:rPr>
          <w:rFonts w:eastAsiaTheme="minorEastAsia"/>
        </w:rPr>
        <w:t>s</w:t>
      </w:r>
      <w:r w:rsidRPr="478540F8">
        <w:rPr>
          <w:rFonts w:eastAsiaTheme="minorEastAsia"/>
        </w:rPr>
        <w:t xml:space="preserve"> biosecurity preparedness </w:t>
      </w:r>
      <w:r>
        <w:rPr>
          <w:rFonts w:eastAsiaTheme="minorEastAsia"/>
        </w:rPr>
        <w:t>via</w:t>
      </w:r>
      <w:r w:rsidRPr="478540F8">
        <w:rPr>
          <w:rFonts w:eastAsiaTheme="minorEastAsia"/>
        </w:rPr>
        <w:t xml:space="preserve"> expertise, innovation, colla</w:t>
      </w:r>
      <w:r>
        <w:rPr>
          <w:rFonts w:eastAsiaTheme="minorEastAsia"/>
        </w:rPr>
        <w:t>boration and frontline delivery -</w:t>
      </w:r>
      <w:r w:rsidRPr="478540F8">
        <w:rPr>
          <w:rFonts w:eastAsiaTheme="minorEastAsia"/>
        </w:rPr>
        <w:t xml:space="preserve"> $1.4 mi</w:t>
      </w:r>
      <w:r>
        <w:rPr>
          <w:rFonts w:eastAsiaTheme="minorEastAsia"/>
        </w:rPr>
        <w:t>llion over 5 year (2016 – 2020)</w:t>
      </w:r>
    </w:p>
    <w:p w14:paraId="0A1D1C7D" w14:textId="77777777" w:rsidR="00B71232" w:rsidRDefault="00B71232" w:rsidP="00B71232">
      <w:pPr>
        <w:pStyle w:val="ListParagraph"/>
        <w:numPr>
          <w:ilvl w:val="0"/>
          <w:numId w:val="33"/>
        </w:numPr>
        <w:spacing w:before="0" w:after="160" w:line="259" w:lineRule="auto"/>
        <w:jc w:val="both"/>
      </w:pPr>
      <w:r>
        <w:t>C</w:t>
      </w:r>
      <w:r w:rsidRPr="478540F8">
        <w:t>ontrol, er</w:t>
      </w:r>
      <w:r>
        <w:t>adication and preparedness for v</w:t>
      </w:r>
      <w:r w:rsidRPr="478540F8">
        <w:t>egetable leaf miner - surveillance toolkit</w:t>
      </w:r>
      <w:r>
        <w:t>,</w:t>
      </w:r>
      <w:r w:rsidRPr="478540F8">
        <w:t xml:space="preserve"> rapid genetic diagnostics focusing on studying the distribution, future</w:t>
      </w:r>
      <w:r>
        <w:t xml:space="preserve"> spread, and potential control/ </w:t>
      </w:r>
      <w:r w:rsidRPr="478540F8">
        <w:t>eradication</w:t>
      </w:r>
      <w:r>
        <w:t xml:space="preserve"> -</w:t>
      </w:r>
      <w:r w:rsidRPr="478540F8">
        <w:t xml:space="preserve"> $1.8 mil</w:t>
      </w:r>
      <w:r>
        <w:t>lion over 4 years (2017 – 2020)</w:t>
      </w:r>
    </w:p>
    <w:p w14:paraId="19DA91D2" w14:textId="77777777" w:rsidR="00B71232" w:rsidRDefault="00B71232" w:rsidP="00B71232">
      <w:pPr>
        <w:pStyle w:val="ListParagraph"/>
        <w:numPr>
          <w:ilvl w:val="0"/>
          <w:numId w:val="33"/>
        </w:numPr>
        <w:spacing w:before="0" w:after="160" w:line="259" w:lineRule="auto"/>
        <w:jc w:val="both"/>
      </w:pPr>
      <w:r w:rsidRPr="478540F8">
        <w:t xml:space="preserve">Citrus study tour to international conference and </w:t>
      </w:r>
      <w:r>
        <w:t xml:space="preserve">farm </w:t>
      </w:r>
      <w:r w:rsidRPr="478540F8">
        <w:t xml:space="preserve">visits to </w:t>
      </w:r>
      <w:r>
        <w:t>assess</w:t>
      </w:r>
      <w:r w:rsidRPr="478540F8">
        <w:t xml:space="preserve"> impacts of </w:t>
      </w:r>
      <w:r>
        <w:t>citrus pests</w:t>
      </w:r>
      <w:r w:rsidRPr="478540F8">
        <w:t xml:space="preserve"> and surveillance activities </w:t>
      </w:r>
      <w:r>
        <w:t>and raise industry awareness -</w:t>
      </w:r>
      <w:r w:rsidRPr="000931C9">
        <w:t xml:space="preserve"> </w:t>
      </w:r>
      <w:r w:rsidRPr="478540F8">
        <w:t>$60,000</w:t>
      </w:r>
      <w:r>
        <w:t xml:space="preserve"> f</w:t>
      </w:r>
      <w:r w:rsidRPr="478540F8">
        <w:t>unding shared between participants, Hort</w:t>
      </w:r>
      <w:r>
        <w:t>iculture</w:t>
      </w:r>
      <w:r w:rsidRPr="478540F8">
        <w:t xml:space="preserve"> Inno</w:t>
      </w:r>
      <w:r>
        <w:t>vation, and Citrus Australia.</w:t>
      </w:r>
    </w:p>
    <w:p w14:paraId="7118F7C8" w14:textId="612912B7" w:rsidR="00B71232" w:rsidRDefault="00B71232" w:rsidP="00B71232">
      <w:pPr>
        <w:jc w:val="both"/>
        <w:rPr>
          <w:i/>
          <w:sz w:val="18"/>
          <w:szCs w:val="18"/>
          <w:lang w:val="en-US"/>
        </w:rPr>
      </w:pPr>
      <w:r w:rsidRPr="00A30722">
        <w:rPr>
          <w:i/>
          <w:sz w:val="18"/>
          <w:szCs w:val="18"/>
          <w:lang w:val="en-US"/>
        </w:rPr>
        <w:t xml:space="preserve">Source: </w:t>
      </w:r>
      <w:r>
        <w:rPr>
          <w:i/>
          <w:sz w:val="18"/>
          <w:szCs w:val="18"/>
          <w:lang w:val="en-US"/>
        </w:rPr>
        <w:t>Combined horticultural organisations</w:t>
      </w:r>
      <w:r w:rsidR="0002266F">
        <w:rPr>
          <w:i/>
          <w:sz w:val="18"/>
          <w:szCs w:val="18"/>
          <w:lang w:val="en-US"/>
        </w:rPr>
        <w:t xml:space="preserve"> </w:t>
      </w:r>
      <w:sdt>
        <w:sdtPr>
          <w:rPr>
            <w:i/>
            <w:sz w:val="18"/>
            <w:szCs w:val="18"/>
            <w:lang w:val="en-US"/>
          </w:rPr>
          <w:id w:val="1287308097"/>
          <w:citation/>
        </w:sdtPr>
        <w:sdtEndPr/>
        <w:sdtContent>
          <w:r w:rsidR="0002266F">
            <w:rPr>
              <w:i/>
              <w:sz w:val="18"/>
              <w:szCs w:val="18"/>
              <w:lang w:val="en-US"/>
            </w:rPr>
            <w:fldChar w:fldCharType="begin"/>
          </w:r>
          <w:r w:rsidR="0002266F">
            <w:rPr>
              <w:i/>
              <w:sz w:val="18"/>
              <w:szCs w:val="18"/>
            </w:rPr>
            <w:instrText xml:space="preserve"> CITATION Hor19 \l 3081 </w:instrText>
          </w:r>
          <w:r w:rsidR="0002266F">
            <w:rPr>
              <w:i/>
              <w:sz w:val="18"/>
              <w:szCs w:val="18"/>
              <w:lang w:val="en-US"/>
            </w:rPr>
            <w:fldChar w:fldCharType="separate"/>
          </w:r>
          <w:r w:rsidR="0002266F" w:rsidRPr="0002266F">
            <w:rPr>
              <w:noProof/>
              <w:sz w:val="18"/>
              <w:szCs w:val="18"/>
            </w:rPr>
            <w:t>(Almond Board of Australia, Australian Walnut Industry Association, AUSVEG, Berries Australia, Cherry Growers Australia, Chestnuts Australia, ..., Voice of Horticulture, 2019)</w:t>
          </w:r>
          <w:r w:rsidR="0002266F">
            <w:rPr>
              <w:i/>
              <w:sz w:val="18"/>
              <w:szCs w:val="18"/>
              <w:lang w:val="en-US"/>
            </w:rPr>
            <w:fldChar w:fldCharType="end"/>
          </w:r>
        </w:sdtContent>
      </w:sdt>
    </w:p>
    <w:p w14:paraId="5E7AB17F" w14:textId="766E1E4D" w:rsidR="00B71232" w:rsidRPr="00C37829" w:rsidRDefault="00B71232" w:rsidP="0002266F">
      <w:pPr>
        <w:pStyle w:val="Heading2"/>
      </w:pPr>
      <w:bookmarkStart w:id="63" w:name="_Toc10031926"/>
      <w:r w:rsidRPr="00C37829">
        <w:t>Blue</w:t>
      </w:r>
      <w:r w:rsidR="00B041E2">
        <w:t>S</w:t>
      </w:r>
      <w:r w:rsidRPr="00C37829">
        <w:t>cope Steel</w:t>
      </w:r>
      <w:bookmarkEnd w:id="63"/>
    </w:p>
    <w:p w14:paraId="23F84B60" w14:textId="77777777" w:rsidR="00B71232" w:rsidRDefault="00B71232" w:rsidP="00B71232">
      <w:pPr>
        <w:jc w:val="both"/>
      </w:pPr>
      <w:r w:rsidRPr="00C37829">
        <w:t xml:space="preserve">BlueScope’s current contribution to the overall biosecurity system </w:t>
      </w:r>
      <w:r>
        <w:t xml:space="preserve">includes </w:t>
      </w:r>
      <w:r w:rsidRPr="00C37829">
        <w:t xml:space="preserve">procedures and equipment </w:t>
      </w:r>
      <w:r>
        <w:t>at the point of entry</w:t>
      </w:r>
      <w:r w:rsidRPr="00C37829">
        <w:t xml:space="preserve"> to ensure an immediate response to a suspected biosecurity risk. This includes training under </w:t>
      </w:r>
      <w:r>
        <w:t>an</w:t>
      </w:r>
      <w:r w:rsidRPr="00C37829">
        <w:t xml:space="preserve"> Approved Arrangement with the Department to discharge recycled steel products from New Zealand across </w:t>
      </w:r>
      <w:r>
        <w:t>company owned</w:t>
      </w:r>
      <w:r w:rsidRPr="00C37829">
        <w:t xml:space="preserve"> berths. Over thirty BlueScope and contractor personnel associated have undertaken Biosecurity Awareness training and Approved Arrangement Accreditation, funded by BlueScope</w:t>
      </w:r>
      <w:r>
        <w:t>.</w:t>
      </w:r>
    </w:p>
    <w:p w14:paraId="7F24C5B8" w14:textId="3E946872" w:rsidR="00B71232" w:rsidRDefault="00B71232" w:rsidP="00B71232">
      <w:pPr>
        <w:jc w:val="both"/>
        <w:rPr>
          <w:i/>
          <w:sz w:val="18"/>
          <w:szCs w:val="18"/>
          <w:lang w:val="en-US"/>
        </w:rPr>
      </w:pPr>
      <w:r w:rsidRPr="00A30722">
        <w:rPr>
          <w:i/>
          <w:sz w:val="18"/>
          <w:szCs w:val="18"/>
          <w:lang w:val="en-US"/>
        </w:rPr>
        <w:t xml:space="preserve">Source: </w:t>
      </w:r>
      <w:r>
        <w:rPr>
          <w:i/>
          <w:sz w:val="18"/>
          <w:szCs w:val="18"/>
          <w:lang w:val="en-US"/>
        </w:rPr>
        <w:t>Blue</w:t>
      </w:r>
      <w:r w:rsidR="00B041E2">
        <w:rPr>
          <w:i/>
          <w:sz w:val="18"/>
          <w:szCs w:val="18"/>
          <w:lang w:val="en-US"/>
        </w:rPr>
        <w:t>S</w:t>
      </w:r>
      <w:r>
        <w:rPr>
          <w:i/>
          <w:sz w:val="18"/>
          <w:szCs w:val="18"/>
          <w:lang w:val="en-US"/>
        </w:rPr>
        <w:t>cope Steel</w:t>
      </w:r>
      <w:r w:rsidR="0002266F" w:rsidRPr="0002266F">
        <w:rPr>
          <w:sz w:val="18"/>
          <w:szCs w:val="18"/>
          <w:lang w:val="en-US"/>
        </w:rPr>
        <w:t xml:space="preserve"> </w:t>
      </w:r>
      <w:sdt>
        <w:sdtPr>
          <w:rPr>
            <w:sz w:val="18"/>
            <w:szCs w:val="18"/>
            <w:lang w:val="en-US"/>
          </w:rPr>
          <w:id w:val="219493934"/>
          <w:citation/>
        </w:sdtPr>
        <w:sdtEndPr/>
        <w:sdtContent>
          <w:r w:rsidR="0002266F" w:rsidRPr="0002266F">
            <w:rPr>
              <w:sz w:val="18"/>
              <w:szCs w:val="18"/>
              <w:lang w:val="en-US"/>
            </w:rPr>
            <w:fldChar w:fldCharType="begin"/>
          </w:r>
          <w:r w:rsidR="00C03CD3">
            <w:rPr>
              <w:sz w:val="18"/>
              <w:szCs w:val="18"/>
            </w:rPr>
            <w:instrText xml:space="preserve">CITATION Blu19 \n  \t  \l 3081 </w:instrText>
          </w:r>
          <w:r w:rsidR="0002266F" w:rsidRPr="0002266F">
            <w:rPr>
              <w:sz w:val="18"/>
              <w:szCs w:val="18"/>
              <w:lang w:val="en-US"/>
            </w:rPr>
            <w:fldChar w:fldCharType="separate"/>
          </w:r>
          <w:r w:rsidR="00C03CD3" w:rsidRPr="00C03CD3">
            <w:rPr>
              <w:noProof/>
              <w:sz w:val="18"/>
              <w:szCs w:val="18"/>
            </w:rPr>
            <w:t>(2019)</w:t>
          </w:r>
          <w:r w:rsidR="0002266F" w:rsidRPr="0002266F">
            <w:rPr>
              <w:sz w:val="18"/>
              <w:szCs w:val="18"/>
              <w:lang w:val="en-US"/>
            </w:rPr>
            <w:fldChar w:fldCharType="end"/>
          </w:r>
        </w:sdtContent>
      </w:sdt>
    </w:p>
    <w:p w14:paraId="753817B9" w14:textId="77777777" w:rsidR="00B71232" w:rsidRPr="00B71232" w:rsidRDefault="00B71232" w:rsidP="0002266F">
      <w:pPr>
        <w:pStyle w:val="Heading2"/>
      </w:pPr>
      <w:bookmarkStart w:id="64" w:name="_Toc10031927"/>
      <w:r w:rsidRPr="00B71232">
        <w:t>Carnival Australia</w:t>
      </w:r>
      <w:bookmarkEnd w:id="64"/>
    </w:p>
    <w:p w14:paraId="03F2F7DE" w14:textId="77777777" w:rsidR="00B71232" w:rsidRDefault="00B71232" w:rsidP="00B71232">
      <w:pPr>
        <w:jc w:val="both"/>
        <w:rPr>
          <w:rFonts w:ascii="Calibri" w:hAnsi="Calibri" w:cs="Calibri"/>
          <w:color w:val="000000"/>
        </w:rPr>
      </w:pPr>
      <w:r w:rsidRPr="00C37829">
        <w:rPr>
          <w:rFonts w:ascii="Calibri" w:hAnsi="Calibri" w:cs="Calibri"/>
          <w:color w:val="000000"/>
        </w:rPr>
        <w:t xml:space="preserve">Australian cruise ship vessels are highly regulated in </w:t>
      </w:r>
      <w:r>
        <w:rPr>
          <w:rFonts w:ascii="Calibri" w:hAnsi="Calibri" w:cs="Calibri"/>
          <w:color w:val="000000"/>
        </w:rPr>
        <w:t>terms of</w:t>
      </w:r>
      <w:r w:rsidRPr="00C37829">
        <w:rPr>
          <w:rFonts w:ascii="Calibri" w:hAnsi="Calibri" w:cs="Calibri"/>
          <w:color w:val="000000"/>
        </w:rPr>
        <w:t xml:space="preserve"> </w:t>
      </w:r>
      <w:r>
        <w:rPr>
          <w:rFonts w:ascii="Calibri" w:hAnsi="Calibri" w:cs="Calibri"/>
          <w:color w:val="000000"/>
        </w:rPr>
        <w:t>biosecurity risk (</w:t>
      </w:r>
      <w:r w:rsidRPr="00C37829">
        <w:rPr>
          <w:rFonts w:ascii="Calibri" w:hAnsi="Calibri" w:cs="Calibri"/>
          <w:color w:val="000000"/>
        </w:rPr>
        <w:t>passenger movements</w:t>
      </w:r>
      <w:r>
        <w:rPr>
          <w:rFonts w:ascii="Calibri" w:hAnsi="Calibri" w:cs="Calibri"/>
          <w:color w:val="000000"/>
        </w:rPr>
        <w:t xml:space="preserve">; </w:t>
      </w:r>
      <w:r w:rsidRPr="00C37829">
        <w:rPr>
          <w:rFonts w:ascii="Calibri" w:hAnsi="Calibri" w:cs="Calibri"/>
          <w:color w:val="000000"/>
        </w:rPr>
        <w:t>biofouling</w:t>
      </w:r>
      <w:r>
        <w:rPr>
          <w:rFonts w:ascii="Calibri" w:hAnsi="Calibri" w:cs="Calibri"/>
          <w:color w:val="000000"/>
        </w:rPr>
        <w:t xml:space="preserve">; </w:t>
      </w:r>
      <w:r w:rsidRPr="00C37829">
        <w:rPr>
          <w:rFonts w:ascii="Calibri" w:hAnsi="Calibri" w:cs="Calibri"/>
          <w:color w:val="000000"/>
        </w:rPr>
        <w:t>ballast water;</w:t>
      </w:r>
      <w:r>
        <w:rPr>
          <w:rFonts w:ascii="Calibri" w:hAnsi="Calibri" w:cs="Calibri"/>
          <w:color w:val="000000"/>
        </w:rPr>
        <w:t xml:space="preserve"> </w:t>
      </w:r>
      <w:r w:rsidRPr="00C37829">
        <w:rPr>
          <w:rFonts w:ascii="Calibri" w:hAnsi="Calibri" w:cs="Calibri"/>
          <w:color w:val="000000"/>
        </w:rPr>
        <w:t>food and waste; and</w:t>
      </w:r>
      <w:r w:rsidRPr="00576048">
        <w:rPr>
          <w:rFonts w:ascii="Calibri" w:hAnsi="Calibri" w:cs="Calibri"/>
          <w:color w:val="000000"/>
        </w:rPr>
        <w:t xml:space="preserve"> </w:t>
      </w:r>
      <w:r w:rsidRPr="00C37829">
        <w:rPr>
          <w:rFonts w:ascii="Calibri" w:hAnsi="Calibri" w:cs="Calibri"/>
          <w:color w:val="000000"/>
        </w:rPr>
        <w:t>animal, plant and insect threats</w:t>
      </w:r>
      <w:r>
        <w:rPr>
          <w:rFonts w:ascii="Calibri" w:hAnsi="Calibri" w:cs="Calibri"/>
          <w:color w:val="000000"/>
        </w:rPr>
        <w:t>). R</w:t>
      </w:r>
      <w:r w:rsidRPr="00C37829">
        <w:rPr>
          <w:rFonts w:ascii="Calibri" w:hAnsi="Calibri" w:cs="Calibri"/>
          <w:color w:val="000000"/>
        </w:rPr>
        <w:t xml:space="preserve">isk management plans </w:t>
      </w:r>
      <w:r>
        <w:rPr>
          <w:rFonts w:ascii="Calibri" w:hAnsi="Calibri" w:cs="Calibri"/>
          <w:color w:val="000000"/>
        </w:rPr>
        <w:t>cover</w:t>
      </w:r>
      <w:r w:rsidRPr="00C37829">
        <w:rPr>
          <w:rFonts w:ascii="Calibri" w:hAnsi="Calibri" w:cs="Calibri"/>
          <w:color w:val="000000"/>
        </w:rPr>
        <w:t xml:space="preserve"> all relevant areas </w:t>
      </w:r>
      <w:r>
        <w:rPr>
          <w:rFonts w:ascii="Calibri" w:hAnsi="Calibri" w:cs="Calibri"/>
          <w:color w:val="000000"/>
        </w:rPr>
        <w:t xml:space="preserve">and the company employs </w:t>
      </w:r>
      <w:r w:rsidRPr="00C37829">
        <w:rPr>
          <w:rFonts w:ascii="Calibri" w:hAnsi="Calibri" w:cs="Calibri"/>
          <w:color w:val="000000"/>
        </w:rPr>
        <w:t>on-board environmental officers</w:t>
      </w:r>
      <w:r>
        <w:rPr>
          <w:rFonts w:ascii="Calibri" w:hAnsi="Calibri" w:cs="Calibri"/>
          <w:color w:val="000000"/>
        </w:rPr>
        <w:t>.</w:t>
      </w:r>
    </w:p>
    <w:p w14:paraId="0E523FB8" w14:textId="4A7DA6BB" w:rsidR="00B71232" w:rsidRDefault="00B71232" w:rsidP="00B71232">
      <w:pPr>
        <w:jc w:val="both"/>
        <w:rPr>
          <w:i/>
          <w:sz w:val="18"/>
          <w:szCs w:val="18"/>
          <w:lang w:val="en-US"/>
        </w:rPr>
      </w:pPr>
      <w:r w:rsidRPr="00A30722">
        <w:rPr>
          <w:i/>
          <w:sz w:val="18"/>
          <w:szCs w:val="18"/>
          <w:lang w:val="en-US"/>
        </w:rPr>
        <w:t xml:space="preserve">Source: </w:t>
      </w:r>
      <w:r>
        <w:rPr>
          <w:i/>
          <w:sz w:val="18"/>
          <w:szCs w:val="18"/>
          <w:lang w:val="en-US"/>
        </w:rPr>
        <w:t>Carnival Australia</w:t>
      </w:r>
      <w:r w:rsidR="0002266F">
        <w:rPr>
          <w:i/>
          <w:sz w:val="18"/>
          <w:szCs w:val="18"/>
          <w:lang w:val="en-US"/>
        </w:rPr>
        <w:t xml:space="preserve"> </w:t>
      </w:r>
      <w:sdt>
        <w:sdtPr>
          <w:rPr>
            <w:i/>
            <w:sz w:val="18"/>
            <w:szCs w:val="18"/>
            <w:lang w:val="en-US"/>
          </w:rPr>
          <w:id w:val="1664344831"/>
          <w:citation/>
        </w:sdtPr>
        <w:sdtEndPr/>
        <w:sdtContent>
          <w:r w:rsidR="0002266F">
            <w:rPr>
              <w:i/>
              <w:sz w:val="18"/>
              <w:szCs w:val="18"/>
              <w:lang w:val="en-US"/>
            </w:rPr>
            <w:fldChar w:fldCharType="begin"/>
          </w:r>
          <w:r w:rsidR="0002266F">
            <w:rPr>
              <w:i/>
              <w:sz w:val="18"/>
              <w:szCs w:val="18"/>
            </w:rPr>
            <w:instrText xml:space="preserve">CITATION Car19 \n  \t  \l 3081 </w:instrText>
          </w:r>
          <w:r w:rsidR="0002266F">
            <w:rPr>
              <w:i/>
              <w:sz w:val="18"/>
              <w:szCs w:val="18"/>
              <w:lang w:val="en-US"/>
            </w:rPr>
            <w:fldChar w:fldCharType="separate"/>
          </w:r>
          <w:r w:rsidR="0002266F" w:rsidRPr="0002266F">
            <w:rPr>
              <w:noProof/>
              <w:sz w:val="18"/>
              <w:szCs w:val="18"/>
            </w:rPr>
            <w:t>(2019)</w:t>
          </w:r>
          <w:r w:rsidR="0002266F">
            <w:rPr>
              <w:i/>
              <w:sz w:val="18"/>
              <w:szCs w:val="18"/>
              <w:lang w:val="en-US"/>
            </w:rPr>
            <w:fldChar w:fldCharType="end"/>
          </w:r>
        </w:sdtContent>
      </w:sdt>
    </w:p>
    <w:p w14:paraId="69D6503D" w14:textId="19AF7281" w:rsidR="00B71232" w:rsidRPr="007931B2" w:rsidRDefault="0002266F" w:rsidP="0002266F">
      <w:pPr>
        <w:pStyle w:val="Heading2"/>
        <w:rPr>
          <w:lang w:val="en-US"/>
        </w:rPr>
      </w:pPr>
      <w:bookmarkStart w:id="65" w:name="_Toc10031928"/>
      <w:r>
        <w:rPr>
          <w:lang w:val="en-US"/>
        </w:rPr>
        <w:t xml:space="preserve">The </w:t>
      </w:r>
      <w:r w:rsidR="00B71232" w:rsidRPr="007931B2">
        <w:rPr>
          <w:lang w:val="en-US"/>
        </w:rPr>
        <w:t>Chamber of Minerals and Energy of WA</w:t>
      </w:r>
      <w:bookmarkEnd w:id="65"/>
    </w:p>
    <w:p w14:paraId="5DD11198" w14:textId="77777777" w:rsidR="00B71232" w:rsidRPr="007931B2" w:rsidRDefault="00B71232" w:rsidP="00B71232">
      <w:pPr>
        <w:jc w:val="both"/>
        <w:rPr>
          <w:lang w:val="en-US"/>
        </w:rPr>
      </w:pPr>
      <w:r w:rsidRPr="007931B2">
        <w:rPr>
          <w:rFonts w:cs="CIDFont+F3"/>
          <w:color w:val="000000"/>
        </w:rPr>
        <w:t>Western Australia has developed world first in-water hull cleaning systems</w:t>
      </w:r>
      <w:r w:rsidRPr="007931B2">
        <w:rPr>
          <w:rFonts w:cs="CIDFont+F1"/>
          <w:color w:val="000000"/>
        </w:rPr>
        <w:t>,</w:t>
      </w:r>
      <w:r w:rsidRPr="007931B2">
        <w:rPr>
          <w:rFonts w:cs="CIDFont+F3"/>
          <w:color w:val="000000"/>
        </w:rPr>
        <w:t xml:space="preserve"> dieback pathogen eradication and molecular detection techniques for marine pest incursions.</w:t>
      </w:r>
      <w:r w:rsidRPr="007931B2">
        <w:rPr>
          <w:rFonts w:cs="CIDFont+F1"/>
          <w:color w:val="000000"/>
        </w:rPr>
        <w:t xml:space="preserve"> </w:t>
      </w:r>
      <w:r>
        <w:rPr>
          <w:rFonts w:cs="CIDFont+F3"/>
          <w:color w:val="000000"/>
        </w:rPr>
        <w:t>T</w:t>
      </w:r>
      <w:r w:rsidRPr="007931B2">
        <w:rPr>
          <w:rFonts w:cs="CIDFont+F3"/>
          <w:color w:val="000000"/>
        </w:rPr>
        <w:t>he resource sector contributes over $8 million</w:t>
      </w:r>
      <w:r>
        <w:rPr>
          <w:rFonts w:cs="CIDFont+F3"/>
          <w:color w:val="000000"/>
        </w:rPr>
        <w:t xml:space="preserve"> pa</w:t>
      </w:r>
      <w:r w:rsidRPr="007931B2">
        <w:rPr>
          <w:rFonts w:cs="CIDFont+F3"/>
          <w:color w:val="000000"/>
        </w:rPr>
        <w:t xml:space="preserve"> towards research at the Botanic Gardens, tertiary institutions, biosecurity groups and not-for-profit organisations.</w:t>
      </w:r>
      <w:r>
        <w:rPr>
          <w:rFonts w:cs="CIDFont+F3"/>
          <w:color w:val="000000"/>
        </w:rPr>
        <w:t xml:space="preserve"> S</w:t>
      </w:r>
      <w:r w:rsidRPr="007931B2">
        <w:rPr>
          <w:rFonts w:cs="CIDFont+F3"/>
          <w:color w:val="000000"/>
        </w:rPr>
        <w:t xml:space="preserve">ome member companies </w:t>
      </w:r>
      <w:r>
        <w:rPr>
          <w:rFonts w:cs="CIDFont+F3"/>
          <w:color w:val="000000"/>
        </w:rPr>
        <w:t>employ</w:t>
      </w:r>
      <w:r w:rsidRPr="007931B2">
        <w:rPr>
          <w:rFonts w:cs="CIDFont+F3"/>
          <w:color w:val="000000"/>
        </w:rPr>
        <w:t xml:space="preserve"> Indigenous rangers to detect and e</w:t>
      </w:r>
      <w:r>
        <w:rPr>
          <w:rFonts w:cs="CIDFont+F3"/>
          <w:color w:val="000000"/>
        </w:rPr>
        <w:t>radicate exotics.</w:t>
      </w:r>
    </w:p>
    <w:p w14:paraId="7582659F" w14:textId="2164066C" w:rsidR="00B71232" w:rsidRDefault="00B71232" w:rsidP="00B71232">
      <w:pPr>
        <w:jc w:val="both"/>
        <w:rPr>
          <w:i/>
          <w:sz w:val="18"/>
          <w:szCs w:val="18"/>
          <w:lang w:val="en-US"/>
        </w:rPr>
      </w:pPr>
      <w:r w:rsidRPr="00A30722">
        <w:rPr>
          <w:i/>
          <w:sz w:val="18"/>
          <w:szCs w:val="18"/>
          <w:lang w:val="en-US"/>
        </w:rPr>
        <w:t xml:space="preserve">Source: </w:t>
      </w:r>
      <w:r w:rsidR="0002266F">
        <w:rPr>
          <w:i/>
          <w:sz w:val="18"/>
          <w:szCs w:val="18"/>
          <w:lang w:val="en-US"/>
        </w:rPr>
        <w:t xml:space="preserve">The </w:t>
      </w:r>
      <w:r w:rsidRPr="007931B2">
        <w:rPr>
          <w:i/>
          <w:sz w:val="18"/>
          <w:szCs w:val="18"/>
          <w:lang w:val="en-US"/>
        </w:rPr>
        <w:t>Chamber of Minerals and Energy of WA</w:t>
      </w:r>
      <w:r w:rsidR="0002266F">
        <w:rPr>
          <w:i/>
          <w:sz w:val="18"/>
          <w:szCs w:val="18"/>
          <w:lang w:val="en-US"/>
        </w:rPr>
        <w:t xml:space="preserve"> </w:t>
      </w:r>
      <w:sdt>
        <w:sdtPr>
          <w:rPr>
            <w:i/>
            <w:sz w:val="18"/>
            <w:szCs w:val="18"/>
            <w:lang w:val="en-US"/>
          </w:rPr>
          <w:id w:val="33169419"/>
          <w:citation/>
        </w:sdtPr>
        <w:sdtEndPr/>
        <w:sdtContent>
          <w:r w:rsidR="0002266F">
            <w:rPr>
              <w:i/>
              <w:sz w:val="18"/>
              <w:szCs w:val="18"/>
              <w:lang w:val="en-US"/>
            </w:rPr>
            <w:fldChar w:fldCharType="begin"/>
          </w:r>
          <w:r w:rsidR="0002266F">
            <w:rPr>
              <w:i/>
              <w:sz w:val="18"/>
              <w:szCs w:val="18"/>
            </w:rPr>
            <w:instrText xml:space="preserve">CITATION The19 \n  \t  \l 3081 </w:instrText>
          </w:r>
          <w:r w:rsidR="0002266F">
            <w:rPr>
              <w:i/>
              <w:sz w:val="18"/>
              <w:szCs w:val="18"/>
              <w:lang w:val="en-US"/>
            </w:rPr>
            <w:fldChar w:fldCharType="separate"/>
          </w:r>
          <w:r w:rsidR="0002266F" w:rsidRPr="0002266F">
            <w:rPr>
              <w:noProof/>
              <w:sz w:val="18"/>
              <w:szCs w:val="18"/>
            </w:rPr>
            <w:t>(2019)</w:t>
          </w:r>
          <w:r w:rsidR="0002266F">
            <w:rPr>
              <w:i/>
              <w:sz w:val="18"/>
              <w:szCs w:val="18"/>
              <w:lang w:val="en-US"/>
            </w:rPr>
            <w:fldChar w:fldCharType="end"/>
          </w:r>
        </w:sdtContent>
      </w:sdt>
    </w:p>
    <w:p w14:paraId="52CB1E69" w14:textId="77777777" w:rsidR="00B71232" w:rsidRPr="007931B2" w:rsidRDefault="00B71232" w:rsidP="0002266F">
      <w:pPr>
        <w:pStyle w:val="Heading2"/>
        <w:rPr>
          <w:rFonts w:eastAsiaTheme="minorEastAsia"/>
        </w:rPr>
      </w:pPr>
      <w:bookmarkStart w:id="66" w:name="_Toc10031929"/>
      <w:r>
        <w:rPr>
          <w:rFonts w:eastAsiaTheme="minorEastAsia"/>
        </w:rPr>
        <w:t>Australian Pork Ltd</w:t>
      </w:r>
      <w:bookmarkEnd w:id="66"/>
    </w:p>
    <w:p w14:paraId="555A7683" w14:textId="77777777" w:rsidR="00B71232" w:rsidRPr="000863DC" w:rsidRDefault="00B71232" w:rsidP="00B71232">
      <w:pPr>
        <w:jc w:val="both"/>
        <w:rPr>
          <w:rFonts w:cs="Gill Sans MT"/>
          <w:color w:val="000000"/>
        </w:rPr>
      </w:pPr>
      <w:r w:rsidRPr="007931B2">
        <w:rPr>
          <w:rFonts w:cs="Gill Sans MT"/>
          <w:color w:val="000000"/>
        </w:rPr>
        <w:t xml:space="preserve">The Australian pork industry has invested in biosecurity through research, quality assurance, livestock traceability, and disease preparedness programs. </w:t>
      </w:r>
      <w:r>
        <w:rPr>
          <w:rFonts w:cs="Gill Sans MT"/>
          <w:color w:val="000000"/>
        </w:rPr>
        <w:t>Most</w:t>
      </w:r>
      <w:r w:rsidRPr="007931B2">
        <w:rPr>
          <w:rFonts w:cs="Gill Sans MT"/>
          <w:color w:val="000000"/>
        </w:rPr>
        <w:t xml:space="preserve"> commercial sows are farmed under the Australian Pork Industry Quality Assurance Program</w:t>
      </w:r>
      <w:r>
        <w:rPr>
          <w:rFonts w:cs="Gill Sans MT"/>
          <w:color w:val="000000"/>
        </w:rPr>
        <w:t>,</w:t>
      </w:r>
      <w:r w:rsidRPr="007931B2">
        <w:rPr>
          <w:rFonts w:cs="Gill Sans MT"/>
          <w:color w:val="000000"/>
        </w:rPr>
        <w:t xml:space="preserve"> a program developed and administered by industry, which requires producers to be audited against comp</w:t>
      </w:r>
      <w:r>
        <w:rPr>
          <w:rFonts w:cs="Gill Sans MT"/>
          <w:color w:val="000000"/>
        </w:rPr>
        <w:t>rehensive biosecurity standards</w:t>
      </w:r>
      <w:r w:rsidRPr="007931B2">
        <w:rPr>
          <w:rFonts w:cs="Gill Sans MT"/>
          <w:color w:val="000000"/>
        </w:rPr>
        <w:t>.</w:t>
      </w:r>
      <w:r>
        <w:rPr>
          <w:rFonts w:cs="Gill Sans MT"/>
          <w:color w:val="000000"/>
        </w:rPr>
        <w:t xml:space="preserve"> APL </w:t>
      </w:r>
      <w:r w:rsidRPr="007931B2">
        <w:rPr>
          <w:rFonts w:cs="Gill Sans MT"/>
          <w:color w:val="000000"/>
        </w:rPr>
        <w:t xml:space="preserve">administers PigPass – </w:t>
      </w:r>
      <w:r>
        <w:rPr>
          <w:rFonts w:cs="Gill Sans MT"/>
          <w:color w:val="000000"/>
        </w:rPr>
        <w:t>a</w:t>
      </w:r>
      <w:r w:rsidRPr="007931B2">
        <w:rPr>
          <w:rFonts w:cs="Gill Sans MT"/>
          <w:color w:val="000000"/>
        </w:rPr>
        <w:t xml:space="preserve"> livestock traceability system designed to enable rapid response to an em</w:t>
      </w:r>
      <w:r>
        <w:rPr>
          <w:rFonts w:cs="Gill Sans MT"/>
          <w:color w:val="000000"/>
        </w:rPr>
        <w:t>ergency animal disease outbreak – and</w:t>
      </w:r>
      <w:r w:rsidRPr="007931B2">
        <w:rPr>
          <w:rFonts w:cs="Gill Sans MT"/>
          <w:color w:val="000000"/>
        </w:rPr>
        <w:t xml:space="preserve"> contributes to industry/government programs, training and response plans to ensure animal disease preparedness, surveillance, response and recovery</w:t>
      </w:r>
      <w:r>
        <w:rPr>
          <w:rFonts w:cs="Gill Sans MT"/>
          <w:color w:val="000000"/>
        </w:rPr>
        <w:t>.</w:t>
      </w:r>
    </w:p>
    <w:p w14:paraId="2258BFB8" w14:textId="7ECAE1CA" w:rsidR="00B71232" w:rsidRDefault="00B71232" w:rsidP="00B71232">
      <w:pPr>
        <w:jc w:val="both"/>
        <w:rPr>
          <w:i/>
          <w:sz w:val="18"/>
          <w:szCs w:val="18"/>
          <w:lang w:val="en-US"/>
        </w:rPr>
      </w:pPr>
      <w:r w:rsidRPr="00A30722">
        <w:rPr>
          <w:i/>
          <w:sz w:val="18"/>
          <w:szCs w:val="18"/>
          <w:lang w:val="en-US"/>
        </w:rPr>
        <w:t xml:space="preserve">Source: </w:t>
      </w:r>
      <w:r>
        <w:rPr>
          <w:i/>
          <w:sz w:val="18"/>
          <w:szCs w:val="18"/>
          <w:lang w:val="en-US"/>
        </w:rPr>
        <w:t>Australian Pork Ltd</w:t>
      </w:r>
      <w:r w:rsidR="0002266F">
        <w:rPr>
          <w:i/>
          <w:sz w:val="18"/>
          <w:szCs w:val="18"/>
          <w:lang w:val="en-US"/>
        </w:rPr>
        <w:t xml:space="preserve"> </w:t>
      </w:r>
      <w:sdt>
        <w:sdtPr>
          <w:rPr>
            <w:i/>
            <w:sz w:val="18"/>
            <w:szCs w:val="18"/>
            <w:lang w:val="en-US"/>
          </w:rPr>
          <w:id w:val="-1479603097"/>
          <w:citation/>
        </w:sdtPr>
        <w:sdtEndPr/>
        <w:sdtContent>
          <w:r w:rsidR="0002266F">
            <w:rPr>
              <w:i/>
              <w:sz w:val="18"/>
              <w:szCs w:val="18"/>
              <w:lang w:val="en-US"/>
            </w:rPr>
            <w:fldChar w:fldCharType="begin"/>
          </w:r>
          <w:r w:rsidR="0002266F">
            <w:rPr>
              <w:i/>
              <w:sz w:val="18"/>
              <w:szCs w:val="18"/>
            </w:rPr>
            <w:instrText xml:space="preserve">CITATION Aus192 \n  \t  \l 3081 </w:instrText>
          </w:r>
          <w:r w:rsidR="0002266F">
            <w:rPr>
              <w:i/>
              <w:sz w:val="18"/>
              <w:szCs w:val="18"/>
              <w:lang w:val="en-US"/>
            </w:rPr>
            <w:fldChar w:fldCharType="separate"/>
          </w:r>
          <w:r w:rsidR="0002266F" w:rsidRPr="0002266F">
            <w:rPr>
              <w:noProof/>
              <w:sz w:val="18"/>
              <w:szCs w:val="18"/>
            </w:rPr>
            <w:t>(2019)</w:t>
          </w:r>
          <w:r w:rsidR="0002266F">
            <w:rPr>
              <w:i/>
              <w:sz w:val="18"/>
              <w:szCs w:val="18"/>
              <w:lang w:val="en-US"/>
            </w:rPr>
            <w:fldChar w:fldCharType="end"/>
          </w:r>
        </w:sdtContent>
      </w:sdt>
    </w:p>
    <w:p w14:paraId="70B8817E" w14:textId="77777777" w:rsidR="00B71232" w:rsidRDefault="00B71232" w:rsidP="0002266F">
      <w:pPr>
        <w:pStyle w:val="Heading2"/>
      </w:pPr>
      <w:bookmarkStart w:id="67" w:name="_Toc10031930"/>
      <w:r>
        <w:t>Cruise Lines International Association - Australasia</w:t>
      </w:r>
      <w:bookmarkEnd w:id="67"/>
    </w:p>
    <w:p w14:paraId="714CB921" w14:textId="77777777" w:rsidR="00B71232" w:rsidRDefault="00B71232" w:rsidP="00B71232">
      <w:pPr>
        <w:jc w:val="both"/>
        <w:rPr>
          <w:rFonts w:ascii="Calibri" w:hAnsi="Calibri" w:cs="Calibri"/>
          <w:color w:val="000000"/>
        </w:rPr>
      </w:pPr>
      <w:r>
        <w:rPr>
          <w:rFonts w:ascii="Calibri" w:hAnsi="Calibri" w:cs="Calibri"/>
          <w:color w:val="000000"/>
        </w:rPr>
        <w:t>T</w:t>
      </w:r>
      <w:r w:rsidRPr="000863DC">
        <w:rPr>
          <w:rFonts w:ascii="Calibri" w:hAnsi="Calibri" w:cs="Calibri"/>
          <w:color w:val="000000"/>
        </w:rPr>
        <w:t>he C</w:t>
      </w:r>
      <w:r>
        <w:rPr>
          <w:rFonts w:ascii="Calibri" w:hAnsi="Calibri" w:cs="Calibri"/>
          <w:color w:val="000000"/>
        </w:rPr>
        <w:t>ruise Ship Accreditation Scheme</w:t>
      </w:r>
      <w:r w:rsidRPr="000863DC">
        <w:rPr>
          <w:rFonts w:ascii="Calibri" w:hAnsi="Calibri" w:cs="Calibri"/>
          <w:color w:val="000000"/>
        </w:rPr>
        <w:t xml:space="preserve"> </w:t>
      </w:r>
      <w:r>
        <w:rPr>
          <w:rFonts w:ascii="Calibri" w:hAnsi="Calibri" w:cs="Calibri"/>
          <w:color w:val="000000"/>
        </w:rPr>
        <w:t>was</w:t>
      </w:r>
      <w:r w:rsidRPr="000863DC">
        <w:rPr>
          <w:rFonts w:ascii="Calibri" w:hAnsi="Calibri" w:cs="Calibri"/>
          <w:color w:val="000000"/>
        </w:rPr>
        <w:t xml:space="preserve"> developed </w:t>
      </w:r>
      <w:r>
        <w:rPr>
          <w:rFonts w:ascii="Calibri" w:hAnsi="Calibri" w:cs="Calibri"/>
          <w:color w:val="000000"/>
        </w:rPr>
        <w:t>by the industry</w:t>
      </w:r>
      <w:r w:rsidRPr="000863DC">
        <w:rPr>
          <w:rFonts w:ascii="Calibri" w:hAnsi="Calibri" w:cs="Calibri"/>
          <w:color w:val="000000"/>
        </w:rPr>
        <w:t xml:space="preserve"> with New Zealand’s Ministry of Primary Industries. </w:t>
      </w:r>
      <w:r>
        <w:rPr>
          <w:rFonts w:ascii="Calibri" w:hAnsi="Calibri" w:cs="Calibri"/>
          <w:color w:val="000000"/>
        </w:rPr>
        <w:t>It</w:t>
      </w:r>
      <w:r w:rsidRPr="000863DC">
        <w:rPr>
          <w:rFonts w:ascii="Calibri" w:hAnsi="Calibri" w:cs="Calibri"/>
          <w:color w:val="000000"/>
        </w:rPr>
        <w:t xml:space="preserve"> has </w:t>
      </w:r>
      <w:r>
        <w:rPr>
          <w:rFonts w:ascii="Calibri" w:hAnsi="Calibri" w:cs="Calibri"/>
          <w:color w:val="000000"/>
        </w:rPr>
        <w:t>reduced</w:t>
      </w:r>
      <w:r w:rsidRPr="000863DC">
        <w:rPr>
          <w:rFonts w:ascii="Calibri" w:hAnsi="Calibri" w:cs="Calibri"/>
          <w:color w:val="000000"/>
        </w:rPr>
        <w:t xml:space="preserve"> </w:t>
      </w:r>
      <w:r>
        <w:rPr>
          <w:rFonts w:ascii="Calibri" w:hAnsi="Calibri" w:cs="Calibri"/>
          <w:color w:val="000000"/>
        </w:rPr>
        <w:t xml:space="preserve">the risk of passengers bringing </w:t>
      </w:r>
      <w:r w:rsidRPr="000863DC">
        <w:rPr>
          <w:rFonts w:ascii="Calibri" w:hAnsi="Calibri" w:cs="Calibri"/>
          <w:color w:val="000000"/>
        </w:rPr>
        <w:t xml:space="preserve">prohibited food items into New Zealand, enabling </w:t>
      </w:r>
      <w:r>
        <w:rPr>
          <w:rFonts w:ascii="Calibri" w:hAnsi="Calibri" w:cs="Calibri"/>
          <w:color w:val="000000"/>
        </w:rPr>
        <w:t>the Department</w:t>
      </w:r>
      <w:r w:rsidRPr="000863DC">
        <w:rPr>
          <w:rFonts w:ascii="Calibri" w:hAnsi="Calibri" w:cs="Calibri"/>
          <w:color w:val="000000"/>
        </w:rPr>
        <w:t xml:space="preserve"> to reduce its costs of passenger clearances for accredited cruise ships. </w:t>
      </w:r>
      <w:r>
        <w:rPr>
          <w:rFonts w:ascii="Calibri" w:hAnsi="Calibri" w:cs="Calibri"/>
          <w:color w:val="000000"/>
        </w:rPr>
        <w:t>As a result, from 1 July 2019</w:t>
      </w:r>
      <w:r w:rsidRPr="000863DC">
        <w:rPr>
          <w:rFonts w:ascii="Calibri" w:hAnsi="Calibri" w:cs="Calibri"/>
          <w:color w:val="000000"/>
        </w:rPr>
        <w:t xml:space="preserve"> the biosecurity component of </w:t>
      </w:r>
      <w:r>
        <w:rPr>
          <w:rFonts w:ascii="Calibri" w:hAnsi="Calibri" w:cs="Calibri"/>
          <w:color w:val="000000"/>
        </w:rPr>
        <w:t>the NZ</w:t>
      </w:r>
      <w:r w:rsidRPr="000863DC">
        <w:rPr>
          <w:rFonts w:ascii="Calibri" w:hAnsi="Calibri" w:cs="Calibri"/>
          <w:color w:val="000000"/>
        </w:rPr>
        <w:t xml:space="preserve"> border clearance levy </w:t>
      </w:r>
      <w:r>
        <w:rPr>
          <w:rFonts w:ascii="Calibri" w:hAnsi="Calibri" w:cs="Calibri"/>
          <w:color w:val="000000"/>
        </w:rPr>
        <w:t xml:space="preserve">will be reduced </w:t>
      </w:r>
      <w:r w:rsidRPr="000863DC">
        <w:rPr>
          <w:rFonts w:ascii="Calibri" w:hAnsi="Calibri" w:cs="Calibri"/>
          <w:color w:val="000000"/>
        </w:rPr>
        <w:t xml:space="preserve">for cruise passengers. </w:t>
      </w:r>
      <w:r>
        <w:rPr>
          <w:rFonts w:ascii="Calibri" w:hAnsi="Calibri" w:cs="Calibri"/>
          <w:color w:val="000000"/>
        </w:rPr>
        <w:t>C</w:t>
      </w:r>
      <w:r w:rsidRPr="000863DC">
        <w:rPr>
          <w:rFonts w:ascii="Calibri" w:hAnsi="Calibri" w:cs="Calibri"/>
          <w:color w:val="000000"/>
        </w:rPr>
        <w:t>ruise ships are accredited after demonstrating processes for the sa</w:t>
      </w:r>
      <w:r>
        <w:rPr>
          <w:rFonts w:ascii="Calibri" w:hAnsi="Calibri" w:cs="Calibri"/>
          <w:color w:val="000000"/>
        </w:rPr>
        <w:t>fe sourcing and storage of food</w:t>
      </w:r>
      <w:r w:rsidRPr="000863DC">
        <w:rPr>
          <w:rFonts w:ascii="Calibri" w:hAnsi="Calibri" w:cs="Calibri"/>
          <w:color w:val="000000"/>
        </w:rPr>
        <w:t xml:space="preserve">. </w:t>
      </w:r>
      <w:r>
        <w:rPr>
          <w:rFonts w:ascii="Calibri" w:hAnsi="Calibri" w:cs="Calibri"/>
          <w:color w:val="000000"/>
        </w:rPr>
        <w:t>P</w:t>
      </w:r>
      <w:r w:rsidRPr="000863DC">
        <w:rPr>
          <w:rFonts w:ascii="Calibri" w:hAnsi="Calibri" w:cs="Calibri"/>
          <w:color w:val="000000"/>
        </w:rPr>
        <w:t xml:space="preserve">assenger announcements </w:t>
      </w:r>
      <w:r>
        <w:rPr>
          <w:rFonts w:ascii="Calibri" w:hAnsi="Calibri" w:cs="Calibri"/>
          <w:color w:val="000000"/>
        </w:rPr>
        <w:t xml:space="preserve">are made </w:t>
      </w:r>
      <w:r w:rsidRPr="000863DC">
        <w:rPr>
          <w:rFonts w:ascii="Calibri" w:hAnsi="Calibri" w:cs="Calibri"/>
          <w:color w:val="000000"/>
        </w:rPr>
        <w:t>before arrival</w:t>
      </w:r>
      <w:r>
        <w:rPr>
          <w:rFonts w:ascii="Calibri" w:hAnsi="Calibri" w:cs="Calibri"/>
          <w:color w:val="000000"/>
        </w:rPr>
        <w:t>;</w:t>
      </w:r>
      <w:r w:rsidRPr="000863DC">
        <w:rPr>
          <w:rFonts w:ascii="Calibri" w:hAnsi="Calibri" w:cs="Calibri"/>
          <w:color w:val="000000"/>
        </w:rPr>
        <w:t xml:space="preserve"> </w:t>
      </w:r>
      <w:r>
        <w:rPr>
          <w:rFonts w:ascii="Calibri" w:hAnsi="Calibri" w:cs="Calibri"/>
          <w:color w:val="000000"/>
        </w:rPr>
        <w:t xml:space="preserve">messages </w:t>
      </w:r>
      <w:r w:rsidRPr="000863DC">
        <w:rPr>
          <w:rFonts w:ascii="Calibri" w:hAnsi="Calibri" w:cs="Calibri"/>
          <w:color w:val="000000"/>
        </w:rPr>
        <w:t xml:space="preserve">and banners </w:t>
      </w:r>
      <w:r>
        <w:rPr>
          <w:rFonts w:ascii="Calibri" w:hAnsi="Calibri" w:cs="Calibri"/>
          <w:color w:val="000000"/>
        </w:rPr>
        <w:t>are prominently displayed</w:t>
      </w:r>
      <w:r w:rsidRPr="000863DC">
        <w:rPr>
          <w:rFonts w:ascii="Calibri" w:hAnsi="Calibri" w:cs="Calibri"/>
          <w:color w:val="000000"/>
        </w:rPr>
        <w:t xml:space="preserve"> to warn passengers that food cannot be taken off the ship</w:t>
      </w:r>
      <w:r>
        <w:rPr>
          <w:rFonts w:ascii="Calibri" w:hAnsi="Calibri" w:cs="Calibri"/>
          <w:color w:val="000000"/>
        </w:rPr>
        <w:t>.</w:t>
      </w:r>
    </w:p>
    <w:p w14:paraId="3929ADA3" w14:textId="340BB0FC" w:rsidR="00B71232" w:rsidRDefault="00B71232" w:rsidP="00B71232">
      <w:pPr>
        <w:jc w:val="both"/>
        <w:rPr>
          <w:rFonts w:ascii="Calibri" w:hAnsi="Calibri" w:cs="Calibri"/>
          <w:color w:val="000000"/>
        </w:rPr>
      </w:pPr>
      <w:r w:rsidRPr="00A30722">
        <w:rPr>
          <w:i/>
          <w:sz w:val="18"/>
          <w:szCs w:val="18"/>
          <w:lang w:val="en-US"/>
        </w:rPr>
        <w:t xml:space="preserve">Source: </w:t>
      </w:r>
      <w:r w:rsidRPr="006C4B3C">
        <w:rPr>
          <w:i/>
          <w:sz w:val="18"/>
          <w:szCs w:val="18"/>
        </w:rPr>
        <w:t xml:space="preserve">Cruise Lines International Association </w:t>
      </w:r>
      <w:r w:rsidR="0002266F">
        <w:rPr>
          <w:i/>
          <w:sz w:val="18"/>
          <w:szCs w:val="18"/>
        </w:rPr>
        <w:t>–</w:t>
      </w:r>
      <w:r w:rsidRPr="006C4B3C">
        <w:rPr>
          <w:i/>
          <w:sz w:val="18"/>
          <w:szCs w:val="18"/>
        </w:rPr>
        <w:t xml:space="preserve"> Australasia</w:t>
      </w:r>
      <w:r w:rsidR="0002266F">
        <w:rPr>
          <w:i/>
          <w:sz w:val="18"/>
          <w:szCs w:val="18"/>
          <w:lang w:val="en-US"/>
        </w:rPr>
        <w:t xml:space="preserve"> </w:t>
      </w:r>
      <w:sdt>
        <w:sdtPr>
          <w:rPr>
            <w:i/>
            <w:sz w:val="18"/>
            <w:szCs w:val="18"/>
            <w:lang w:val="en-US"/>
          </w:rPr>
          <w:id w:val="2092732159"/>
          <w:citation/>
        </w:sdtPr>
        <w:sdtEndPr/>
        <w:sdtContent>
          <w:r w:rsidR="0002266F">
            <w:rPr>
              <w:i/>
              <w:sz w:val="18"/>
              <w:szCs w:val="18"/>
              <w:lang w:val="en-US"/>
            </w:rPr>
            <w:fldChar w:fldCharType="begin"/>
          </w:r>
          <w:r w:rsidR="0002266F">
            <w:rPr>
              <w:i/>
              <w:sz w:val="18"/>
              <w:szCs w:val="18"/>
            </w:rPr>
            <w:instrText xml:space="preserve">CITATION Cru19 \n  \t  \l 3081 </w:instrText>
          </w:r>
          <w:r w:rsidR="0002266F">
            <w:rPr>
              <w:i/>
              <w:sz w:val="18"/>
              <w:szCs w:val="18"/>
              <w:lang w:val="en-US"/>
            </w:rPr>
            <w:fldChar w:fldCharType="separate"/>
          </w:r>
          <w:r w:rsidR="0002266F" w:rsidRPr="0002266F">
            <w:rPr>
              <w:noProof/>
              <w:sz w:val="18"/>
              <w:szCs w:val="18"/>
            </w:rPr>
            <w:t>(2019)</w:t>
          </w:r>
          <w:r w:rsidR="0002266F">
            <w:rPr>
              <w:i/>
              <w:sz w:val="18"/>
              <w:szCs w:val="18"/>
              <w:lang w:val="en-US"/>
            </w:rPr>
            <w:fldChar w:fldCharType="end"/>
          </w:r>
        </w:sdtContent>
      </w:sdt>
    </w:p>
    <w:p w14:paraId="39A3EA1D" w14:textId="77777777" w:rsidR="00B71232" w:rsidRDefault="00B71232" w:rsidP="0002266F">
      <w:pPr>
        <w:pStyle w:val="Heading2"/>
      </w:pPr>
      <w:bookmarkStart w:id="68" w:name="_Toc10031931"/>
      <w:r>
        <w:t>Australian Aluminium Council</w:t>
      </w:r>
      <w:bookmarkEnd w:id="68"/>
    </w:p>
    <w:p w14:paraId="60591F51" w14:textId="77777777" w:rsidR="00B71232" w:rsidRDefault="00B71232" w:rsidP="00B71232">
      <w:pPr>
        <w:jc w:val="both"/>
        <w:rPr>
          <w:rFonts w:cstheme="minorHAnsi"/>
        </w:rPr>
      </w:pPr>
      <w:r>
        <w:rPr>
          <w:rFonts w:cstheme="minorHAnsi"/>
        </w:rPr>
        <w:t>Aluminium companies implement measures to manage biosecurity risks, including ballast water management, kitchen and pantry surveys for possible food-borne risks, more intensive inspections if the vessels carried cargoes with high biosecurity risks on previous voyages, and the use of vetting tools to ensure appropriate ships are utilised with a known shipping history.</w:t>
      </w:r>
    </w:p>
    <w:p w14:paraId="3FDF50F9" w14:textId="23F88E1C" w:rsidR="00B71232" w:rsidRDefault="00B71232" w:rsidP="00B71232">
      <w:pPr>
        <w:jc w:val="both"/>
        <w:rPr>
          <w:rFonts w:ascii="Calibri" w:hAnsi="Calibri" w:cs="Calibri"/>
          <w:color w:val="000000"/>
        </w:rPr>
      </w:pPr>
      <w:r w:rsidRPr="00A30722">
        <w:rPr>
          <w:i/>
          <w:sz w:val="18"/>
          <w:szCs w:val="18"/>
          <w:lang w:val="en-US"/>
        </w:rPr>
        <w:t xml:space="preserve">Source: </w:t>
      </w:r>
      <w:r w:rsidRPr="006C4B3C">
        <w:rPr>
          <w:i/>
          <w:sz w:val="18"/>
          <w:szCs w:val="18"/>
        </w:rPr>
        <w:t>Australian Aluminium Council</w:t>
      </w:r>
      <w:r w:rsidR="0002266F">
        <w:rPr>
          <w:i/>
          <w:sz w:val="18"/>
          <w:szCs w:val="18"/>
          <w:lang w:val="en-US"/>
        </w:rPr>
        <w:t xml:space="preserve"> </w:t>
      </w:r>
      <w:sdt>
        <w:sdtPr>
          <w:rPr>
            <w:i/>
            <w:sz w:val="18"/>
            <w:szCs w:val="18"/>
            <w:lang w:val="en-US"/>
          </w:rPr>
          <w:id w:val="-1925797096"/>
          <w:citation/>
        </w:sdtPr>
        <w:sdtEndPr/>
        <w:sdtContent>
          <w:r w:rsidR="0002266F">
            <w:rPr>
              <w:i/>
              <w:sz w:val="18"/>
              <w:szCs w:val="18"/>
              <w:lang w:val="en-US"/>
            </w:rPr>
            <w:fldChar w:fldCharType="begin"/>
          </w:r>
          <w:r w:rsidR="0002266F">
            <w:rPr>
              <w:i/>
              <w:sz w:val="18"/>
              <w:szCs w:val="18"/>
            </w:rPr>
            <w:instrText xml:space="preserve">CITATION Sub19 \n  \t  \l 3081 </w:instrText>
          </w:r>
          <w:r w:rsidR="0002266F">
            <w:rPr>
              <w:i/>
              <w:sz w:val="18"/>
              <w:szCs w:val="18"/>
              <w:lang w:val="en-US"/>
            </w:rPr>
            <w:fldChar w:fldCharType="separate"/>
          </w:r>
          <w:r w:rsidR="0002266F" w:rsidRPr="0002266F">
            <w:rPr>
              <w:noProof/>
              <w:sz w:val="18"/>
              <w:szCs w:val="18"/>
            </w:rPr>
            <w:t>(2019)</w:t>
          </w:r>
          <w:r w:rsidR="0002266F">
            <w:rPr>
              <w:i/>
              <w:sz w:val="18"/>
              <w:szCs w:val="18"/>
              <w:lang w:val="en-US"/>
            </w:rPr>
            <w:fldChar w:fldCharType="end"/>
          </w:r>
        </w:sdtContent>
      </w:sdt>
    </w:p>
    <w:p w14:paraId="13688153" w14:textId="77777777" w:rsidR="00B71232" w:rsidRDefault="00B71232" w:rsidP="0002266F">
      <w:pPr>
        <w:pStyle w:val="Heading2"/>
      </w:pPr>
      <w:bookmarkStart w:id="69" w:name="_Toc10031932"/>
      <w:r>
        <w:t>Glencore</w:t>
      </w:r>
      <w:bookmarkEnd w:id="69"/>
    </w:p>
    <w:p w14:paraId="2B35F9F6" w14:textId="77777777" w:rsidR="00B71232" w:rsidRDefault="00B71232" w:rsidP="00B71232">
      <w:pPr>
        <w:jc w:val="both"/>
        <w:rPr>
          <w:rFonts w:ascii="Calibri" w:hAnsi="Calibri" w:cs="Calibri"/>
          <w:color w:val="000000"/>
        </w:rPr>
      </w:pPr>
      <w:r w:rsidRPr="006C4B3C">
        <w:rPr>
          <w:rFonts w:ascii="Calibri" w:hAnsi="Calibri" w:cs="Calibri"/>
          <w:color w:val="000000"/>
        </w:rPr>
        <w:t>Biosecurity measures undertaken include: fumigation of import cargo originating from target risk countries, for example</w:t>
      </w:r>
      <w:r>
        <w:rPr>
          <w:rFonts w:ascii="Calibri" w:hAnsi="Calibri" w:cs="Calibri"/>
          <w:color w:val="000000"/>
        </w:rPr>
        <w:t xml:space="preserve"> </w:t>
      </w:r>
      <w:r w:rsidRPr="006C4B3C">
        <w:rPr>
          <w:rFonts w:ascii="Calibri" w:hAnsi="Calibri" w:cs="Calibri"/>
          <w:color w:val="000000"/>
        </w:rPr>
        <w:t>Giant African Snail and Brown Marmorated Stink Bug</w:t>
      </w:r>
      <w:r>
        <w:rPr>
          <w:rFonts w:ascii="Calibri" w:hAnsi="Calibri" w:cs="Calibri"/>
          <w:color w:val="000000"/>
        </w:rPr>
        <w:t xml:space="preserve">, at an estimated cost of $650 per container, and </w:t>
      </w:r>
      <w:r w:rsidRPr="006C4B3C">
        <w:rPr>
          <w:rFonts w:ascii="Calibri" w:hAnsi="Calibri" w:cs="Calibri"/>
          <w:color w:val="000000"/>
        </w:rPr>
        <w:t>First Poi</w:t>
      </w:r>
      <w:r>
        <w:rPr>
          <w:rFonts w:ascii="Calibri" w:hAnsi="Calibri" w:cs="Calibri"/>
          <w:color w:val="000000"/>
        </w:rPr>
        <w:t xml:space="preserve">nt of Entry Biosecurity program, involving </w:t>
      </w:r>
      <w:r w:rsidRPr="006C4B3C">
        <w:rPr>
          <w:rFonts w:ascii="Calibri" w:hAnsi="Calibri" w:cs="Calibri"/>
          <w:color w:val="000000"/>
        </w:rPr>
        <w:t xml:space="preserve">training, </w:t>
      </w:r>
      <w:r>
        <w:rPr>
          <w:rFonts w:ascii="Calibri" w:hAnsi="Calibri" w:cs="Calibri"/>
          <w:color w:val="000000"/>
        </w:rPr>
        <w:t>preparation</w:t>
      </w:r>
      <w:r w:rsidRPr="006C4B3C">
        <w:rPr>
          <w:rFonts w:ascii="Calibri" w:hAnsi="Calibri" w:cs="Calibri"/>
          <w:color w:val="000000"/>
        </w:rPr>
        <w:t xml:space="preserve"> of training material, emergency</w:t>
      </w:r>
      <w:r>
        <w:rPr>
          <w:rFonts w:ascii="Calibri" w:hAnsi="Calibri" w:cs="Calibri"/>
          <w:color w:val="000000"/>
        </w:rPr>
        <w:t xml:space="preserve"> </w:t>
      </w:r>
      <w:r w:rsidRPr="006C4B3C">
        <w:rPr>
          <w:rFonts w:ascii="Calibri" w:hAnsi="Calibri" w:cs="Calibri"/>
          <w:color w:val="000000"/>
        </w:rPr>
        <w:t>response procedure updates</w:t>
      </w:r>
      <w:r>
        <w:rPr>
          <w:rFonts w:ascii="Calibri" w:hAnsi="Calibri" w:cs="Calibri"/>
          <w:color w:val="000000"/>
        </w:rPr>
        <w:t>,</w:t>
      </w:r>
      <w:r w:rsidRPr="006C4B3C">
        <w:rPr>
          <w:rFonts w:ascii="Calibri" w:hAnsi="Calibri" w:cs="Calibri"/>
          <w:color w:val="000000"/>
        </w:rPr>
        <w:t xml:space="preserve"> and purchases of sprays and response kits</w:t>
      </w:r>
      <w:r>
        <w:rPr>
          <w:rFonts w:ascii="Calibri" w:hAnsi="Calibri" w:cs="Calibri"/>
          <w:color w:val="000000"/>
        </w:rPr>
        <w:t>.</w:t>
      </w:r>
    </w:p>
    <w:p w14:paraId="68561803" w14:textId="277FA57D" w:rsidR="00B71232" w:rsidRDefault="00B71232" w:rsidP="00B71232">
      <w:pPr>
        <w:jc w:val="both"/>
        <w:rPr>
          <w:rFonts w:ascii="Calibri" w:hAnsi="Calibri" w:cs="Calibri"/>
          <w:color w:val="000000"/>
        </w:rPr>
      </w:pPr>
      <w:r w:rsidRPr="00A30722">
        <w:rPr>
          <w:i/>
          <w:sz w:val="18"/>
          <w:szCs w:val="18"/>
          <w:lang w:val="en-US"/>
        </w:rPr>
        <w:t xml:space="preserve">Source: </w:t>
      </w:r>
      <w:r>
        <w:rPr>
          <w:i/>
          <w:sz w:val="18"/>
          <w:szCs w:val="18"/>
        </w:rPr>
        <w:t>Glencore</w:t>
      </w:r>
      <w:r w:rsidR="0002266F">
        <w:rPr>
          <w:i/>
          <w:sz w:val="18"/>
          <w:szCs w:val="18"/>
          <w:lang w:val="en-US"/>
        </w:rPr>
        <w:t xml:space="preserve"> </w:t>
      </w:r>
      <w:sdt>
        <w:sdtPr>
          <w:rPr>
            <w:i/>
            <w:sz w:val="18"/>
            <w:szCs w:val="18"/>
            <w:lang w:val="en-US"/>
          </w:rPr>
          <w:id w:val="-1690058594"/>
          <w:citation/>
        </w:sdtPr>
        <w:sdtEndPr/>
        <w:sdtContent>
          <w:r w:rsidR="0002266F">
            <w:rPr>
              <w:i/>
              <w:sz w:val="18"/>
              <w:szCs w:val="18"/>
              <w:lang w:val="en-US"/>
            </w:rPr>
            <w:fldChar w:fldCharType="begin"/>
          </w:r>
          <w:r w:rsidR="0002266F">
            <w:rPr>
              <w:i/>
              <w:sz w:val="18"/>
              <w:szCs w:val="18"/>
            </w:rPr>
            <w:instrText xml:space="preserve">CITATION Gle19 \n  \t  \l 3081 </w:instrText>
          </w:r>
          <w:r w:rsidR="0002266F">
            <w:rPr>
              <w:i/>
              <w:sz w:val="18"/>
              <w:szCs w:val="18"/>
              <w:lang w:val="en-US"/>
            </w:rPr>
            <w:fldChar w:fldCharType="separate"/>
          </w:r>
          <w:r w:rsidR="0002266F" w:rsidRPr="0002266F">
            <w:rPr>
              <w:noProof/>
              <w:sz w:val="18"/>
              <w:szCs w:val="18"/>
            </w:rPr>
            <w:t>(2019)</w:t>
          </w:r>
          <w:r w:rsidR="0002266F">
            <w:rPr>
              <w:i/>
              <w:sz w:val="18"/>
              <w:szCs w:val="18"/>
              <w:lang w:val="en-US"/>
            </w:rPr>
            <w:fldChar w:fldCharType="end"/>
          </w:r>
        </w:sdtContent>
      </w:sdt>
    </w:p>
    <w:p w14:paraId="5060B94C" w14:textId="77777777" w:rsidR="00B71232" w:rsidRDefault="00B71232" w:rsidP="0002266F">
      <w:pPr>
        <w:pStyle w:val="Heading2"/>
      </w:pPr>
      <w:bookmarkStart w:id="70" w:name="_Toc10031933"/>
      <w:r>
        <w:t>Fertilizer Australia</w:t>
      </w:r>
      <w:bookmarkEnd w:id="70"/>
    </w:p>
    <w:p w14:paraId="29B18362" w14:textId="77777777" w:rsidR="00B71232" w:rsidRDefault="00B71232" w:rsidP="00B71232">
      <w:pPr>
        <w:jc w:val="both"/>
        <w:rPr>
          <w:color w:val="26282A"/>
        </w:rPr>
      </w:pPr>
      <w:r>
        <w:rPr>
          <w:color w:val="26282A"/>
        </w:rPr>
        <w:t>Fertiliser companies contribute</w:t>
      </w:r>
      <w:r w:rsidRPr="00563B7A">
        <w:rPr>
          <w:color w:val="26282A"/>
        </w:rPr>
        <w:t xml:space="preserve"> $1/tonne towards a voluntary biosecurity scheme, </w:t>
      </w:r>
      <w:r>
        <w:rPr>
          <w:color w:val="26282A"/>
        </w:rPr>
        <w:t>which is</w:t>
      </w:r>
      <w:r w:rsidRPr="00563B7A">
        <w:rPr>
          <w:color w:val="26282A"/>
        </w:rPr>
        <w:t xml:space="preserve"> an offshore, pre-shipping inspection and supply chain auditing process.  This scheme significantly reduces </w:t>
      </w:r>
      <w:r>
        <w:rPr>
          <w:color w:val="26282A"/>
        </w:rPr>
        <w:t>Departmental</w:t>
      </w:r>
      <w:r w:rsidRPr="00563B7A">
        <w:rPr>
          <w:color w:val="26282A"/>
        </w:rPr>
        <w:t xml:space="preserve"> costs (as there are less inspections) and reduces the risk of a shipm</w:t>
      </w:r>
      <w:r>
        <w:rPr>
          <w:color w:val="26282A"/>
        </w:rPr>
        <w:t>ent being rejected</w:t>
      </w:r>
      <w:r w:rsidRPr="00563B7A">
        <w:rPr>
          <w:color w:val="26282A"/>
        </w:rPr>
        <w:t xml:space="preserve">.  </w:t>
      </w:r>
      <w:r>
        <w:rPr>
          <w:color w:val="26282A"/>
        </w:rPr>
        <w:t>It was developed and is managed</w:t>
      </w:r>
      <w:r w:rsidRPr="00563B7A">
        <w:rPr>
          <w:color w:val="26282A"/>
        </w:rPr>
        <w:t xml:space="preserve"> in conjunction with the Department and </w:t>
      </w:r>
      <w:r>
        <w:rPr>
          <w:color w:val="26282A"/>
        </w:rPr>
        <w:t>involved s</w:t>
      </w:r>
      <w:r w:rsidRPr="00563B7A">
        <w:rPr>
          <w:color w:val="26282A"/>
        </w:rPr>
        <w:t xml:space="preserve">ignificant industry </w:t>
      </w:r>
      <w:r>
        <w:rPr>
          <w:color w:val="26282A"/>
        </w:rPr>
        <w:t>investment</w:t>
      </w:r>
      <w:r w:rsidRPr="00563B7A">
        <w:rPr>
          <w:color w:val="26282A"/>
        </w:rPr>
        <w:t xml:space="preserve"> in its development</w:t>
      </w:r>
      <w:r>
        <w:rPr>
          <w:color w:val="26282A"/>
        </w:rPr>
        <w:t>.</w:t>
      </w:r>
    </w:p>
    <w:p w14:paraId="2C1F948A" w14:textId="3BA296AE" w:rsidR="006C5A37" w:rsidRDefault="00B71232" w:rsidP="0002266F">
      <w:pPr>
        <w:jc w:val="both"/>
        <w:rPr>
          <w:i/>
          <w:sz w:val="18"/>
          <w:szCs w:val="18"/>
          <w:lang w:val="en-US"/>
        </w:rPr>
      </w:pPr>
      <w:r w:rsidRPr="00A30722">
        <w:rPr>
          <w:i/>
          <w:sz w:val="18"/>
          <w:szCs w:val="18"/>
          <w:lang w:val="en-US"/>
        </w:rPr>
        <w:t xml:space="preserve">Source: </w:t>
      </w:r>
      <w:r w:rsidRPr="00C245CE">
        <w:rPr>
          <w:i/>
          <w:sz w:val="18"/>
          <w:szCs w:val="18"/>
        </w:rPr>
        <w:t>Fertilizer Australia</w:t>
      </w:r>
      <w:r w:rsidR="0002266F">
        <w:rPr>
          <w:i/>
          <w:sz w:val="18"/>
          <w:szCs w:val="18"/>
          <w:lang w:val="en-US"/>
        </w:rPr>
        <w:t xml:space="preserve"> </w:t>
      </w:r>
      <w:sdt>
        <w:sdtPr>
          <w:rPr>
            <w:i/>
            <w:sz w:val="18"/>
            <w:szCs w:val="18"/>
            <w:lang w:val="en-US"/>
          </w:rPr>
          <w:id w:val="1389384814"/>
          <w:citation/>
        </w:sdtPr>
        <w:sdtEndPr/>
        <w:sdtContent>
          <w:r w:rsidR="0002266F">
            <w:rPr>
              <w:i/>
              <w:sz w:val="18"/>
              <w:szCs w:val="18"/>
              <w:lang w:val="en-US"/>
            </w:rPr>
            <w:fldChar w:fldCharType="begin"/>
          </w:r>
          <w:r w:rsidR="0002266F">
            <w:rPr>
              <w:i/>
              <w:sz w:val="18"/>
              <w:szCs w:val="18"/>
            </w:rPr>
            <w:instrText xml:space="preserve">CITATION Fer19 \n  \t  \l 3081 </w:instrText>
          </w:r>
          <w:r w:rsidR="0002266F">
            <w:rPr>
              <w:i/>
              <w:sz w:val="18"/>
              <w:szCs w:val="18"/>
              <w:lang w:val="en-US"/>
            </w:rPr>
            <w:fldChar w:fldCharType="separate"/>
          </w:r>
          <w:r w:rsidR="0002266F" w:rsidRPr="0002266F">
            <w:rPr>
              <w:noProof/>
              <w:sz w:val="18"/>
              <w:szCs w:val="18"/>
            </w:rPr>
            <w:t>(2019)</w:t>
          </w:r>
          <w:r w:rsidR="0002266F">
            <w:rPr>
              <w:i/>
              <w:sz w:val="18"/>
              <w:szCs w:val="18"/>
              <w:lang w:val="en-US"/>
            </w:rPr>
            <w:fldChar w:fldCharType="end"/>
          </w:r>
        </w:sdtContent>
      </w:sdt>
    </w:p>
    <w:p w14:paraId="677B680D" w14:textId="0453A892" w:rsidR="00101B98" w:rsidRDefault="00101B98">
      <w:pPr>
        <w:spacing w:before="0" w:after="160" w:line="259" w:lineRule="auto"/>
        <w:rPr>
          <w:i/>
          <w:sz w:val="18"/>
          <w:szCs w:val="18"/>
          <w:lang w:val="en-US"/>
        </w:rPr>
      </w:pPr>
      <w:r>
        <w:rPr>
          <w:i/>
          <w:sz w:val="18"/>
          <w:szCs w:val="18"/>
          <w:lang w:val="en-US"/>
        </w:rPr>
        <w:br w:type="page"/>
      </w:r>
    </w:p>
    <w:p w14:paraId="1876A775" w14:textId="650C87ED" w:rsidR="00101B98" w:rsidRDefault="00101B98" w:rsidP="00101B98">
      <w:pPr>
        <w:pStyle w:val="Heading1"/>
      </w:pPr>
      <w:bookmarkStart w:id="71" w:name="_Toc10031934"/>
      <w:r>
        <w:t xml:space="preserve">Appendix 6: Summary of Alternative Options </w:t>
      </w:r>
      <w:r w:rsidR="005826E2">
        <w:t>Consider</w:t>
      </w:r>
      <w:r>
        <w:t>ed by the Committee</w:t>
      </w:r>
      <w:bookmarkEnd w:id="71"/>
    </w:p>
    <w:p w14:paraId="2722E0D1" w14:textId="2F09CDF0" w:rsidR="00101B98" w:rsidRDefault="00D44879" w:rsidP="00101B98">
      <w:r w:rsidRPr="00D44879">
        <w:rPr>
          <w:b/>
        </w:rPr>
        <w:t>Table 7</w:t>
      </w:r>
      <w:r>
        <w:t xml:space="preserve"> below </w:t>
      </w:r>
      <w:r w:rsidR="00101B98">
        <w:t xml:space="preserve">summarises </w:t>
      </w:r>
      <w:r w:rsidR="00101B98" w:rsidRPr="008D445F">
        <w:t xml:space="preserve">the Committee’s </w:t>
      </w:r>
      <w:r w:rsidR="00101B98">
        <w:t>consideration and assessment of a range of alternative options.</w:t>
      </w:r>
    </w:p>
    <w:p w14:paraId="001784F3" w14:textId="39BFC96C" w:rsidR="00101B98" w:rsidRDefault="00101B98" w:rsidP="00101B98">
      <w:r>
        <w:t xml:space="preserve">The first three (shaded) options were developed or presented by government prior to the </w:t>
      </w:r>
      <w:r w:rsidR="006E1366">
        <w:t xml:space="preserve">then </w:t>
      </w:r>
      <w:r>
        <w:t>Minister’s reset of the process in March 2019 and are presented for comparative purposes only. The Committee does not consider that any of these options provide an acceptable, fair or efficient basis for a biosecurity levy.</w:t>
      </w:r>
    </w:p>
    <w:p w14:paraId="21541BA5" w14:textId="23290475" w:rsidR="00101B98" w:rsidRDefault="00101B98" w:rsidP="00101B98">
      <w:r>
        <w:t xml:space="preserve">The following </w:t>
      </w:r>
      <w:r w:rsidR="00C13AB2">
        <w:t>three</w:t>
      </w:r>
      <w:r>
        <w:t xml:space="preserve"> (options </w:t>
      </w:r>
      <w:r w:rsidR="00C13AB2">
        <w:t>4</w:t>
      </w:r>
      <w:r>
        <w:t xml:space="preserve"> to </w:t>
      </w:r>
      <w:r w:rsidR="00C13AB2">
        <w:t>6</w:t>
      </w:r>
      <w:r>
        <w:t>) present more or less differentiated approaches that seek to satisfy as many of the design constraints as possible. They all rely on FID as the primary collection mechanism. Clearly, it is possible to add or subtract variations in coverage and levy rates to the options to modify impacts on different import pathways.</w:t>
      </w:r>
    </w:p>
    <w:p w14:paraId="32B559B7" w14:textId="48E14FE9" w:rsidR="00101B98" w:rsidRDefault="00101B98" w:rsidP="00101B98">
      <w:r>
        <w:t xml:space="preserve">All of the options would generate around the amount identified in the 2018 Budget. </w:t>
      </w:r>
    </w:p>
    <w:p w14:paraId="723FA19C" w14:textId="77777777" w:rsidR="00101B98" w:rsidRDefault="00101B98" w:rsidP="00101B98">
      <w:r>
        <w:t>While some of these options were clearly better than others, when assessed against the objective that the levy was to be biosecurity risk related and against generally accepted taxation principles, they all suffer from the absence of any clear and demonstrable basis on which to assess the appropriateness of the relative contributions to biosecurity risk generated through different import pathways.</w:t>
      </w:r>
    </w:p>
    <w:p w14:paraId="0E27DF9A" w14:textId="77777777" w:rsidR="00101B98" w:rsidRDefault="00101B98" w:rsidP="00101B98">
      <w:r>
        <w:t>None of the options were considered likely to generate sufficient confidence from industry to generate a long term funding basis for the biosecurity function, and the Committee was therefore reluctant to advocate any of these options as the basis for a long term levy without better information on risk attached to different pathways and cargoes.</w:t>
      </w:r>
    </w:p>
    <w:p w14:paraId="2AB9C939" w14:textId="77777777" w:rsidR="00101B98" w:rsidRDefault="00101B98" w:rsidP="00101B98">
      <w:r>
        <w:t xml:space="preserve">Other options were suggested in submissions and were therefore carefully considered by the Committee. These included a flat rate increase in petrol excise and increases in vessel import processing charges. While the Committee appreciated the thought that had gone into the proposals, these options were ultimately rejected by the Committee as being inequitable and not closely related to biosecurity risks. While there may be a case for trade-offs between levy rates and cost recovery charges, the Committee considered that any change to cost recovery charges need to be assessed in terms of their relationship to the actual costs incurred in providing relevant services. </w:t>
      </w:r>
    </w:p>
    <w:p w14:paraId="346964FA" w14:textId="3E0B1F75" w:rsidR="00101B98" w:rsidRDefault="00101B98" w:rsidP="00101B98">
      <w:r>
        <w:t xml:space="preserve">The Committee sought advice from the responsible authorities on the source of biosecurity risks to inform its work on several occasions but was </w:t>
      </w:r>
      <w:r w:rsidR="00C13AB2">
        <w:t xml:space="preserve">unable to obtain </w:t>
      </w:r>
      <w:r>
        <w:t>robust, science-based data on the relative risks attached to the import vectors and pathways. Until the work to produce this information is undertaken, the Committee considered that there was no solid foundation for the selection of a preferred option.</w:t>
      </w:r>
    </w:p>
    <w:p w14:paraId="4A53996B" w14:textId="00709728" w:rsidR="00101B98" w:rsidRDefault="00101B98" w:rsidP="00101B98">
      <w:r>
        <w:t>T</w:t>
      </w:r>
      <w:r w:rsidRPr="00F04050">
        <w:t xml:space="preserve">he Centre for Excellence in Biosecurity Risk Analysis has advised </w:t>
      </w:r>
      <w:r>
        <w:t xml:space="preserve">that this data </w:t>
      </w:r>
      <w:r w:rsidRPr="00F04050">
        <w:t>should not be unduly difficult to generate.</w:t>
      </w:r>
      <w:r>
        <w:t xml:space="preserve"> When this information is available, the Committee considers that it would be able to move quickly to finalise and recommend a preferred option. </w:t>
      </w:r>
    </w:p>
    <w:p w14:paraId="2178C335" w14:textId="77777777" w:rsidR="00101B98" w:rsidRDefault="00101B98" w:rsidP="00101B98">
      <w:pPr>
        <w:sectPr w:rsidR="00101B98" w:rsidSect="00DA3FF1">
          <w:pgSz w:w="11906" w:h="16838"/>
          <w:pgMar w:top="1440" w:right="1440" w:bottom="1440" w:left="1440" w:header="708" w:footer="708" w:gutter="0"/>
          <w:pgNumType w:start="1"/>
          <w:cols w:space="708"/>
          <w:docGrid w:linePitch="360"/>
        </w:sectPr>
      </w:pPr>
    </w:p>
    <w:p w14:paraId="7A6397DE" w14:textId="2F54D8B1" w:rsidR="00101B98" w:rsidRDefault="00D44879" w:rsidP="00D44981">
      <w:pPr>
        <w:pStyle w:val="Caption"/>
        <w:spacing w:after="0"/>
      </w:pPr>
      <w:bookmarkStart w:id="72" w:name="_Toc10031678"/>
      <w:r>
        <w:t xml:space="preserve">Table </w:t>
      </w:r>
      <w:r w:rsidR="00D477FD">
        <w:rPr>
          <w:noProof/>
        </w:rPr>
        <w:fldChar w:fldCharType="begin"/>
      </w:r>
      <w:r w:rsidR="00D477FD">
        <w:rPr>
          <w:noProof/>
        </w:rPr>
        <w:instrText xml:space="preserve"> SEQ Table \* ARABIC </w:instrText>
      </w:r>
      <w:r w:rsidR="00D477FD">
        <w:rPr>
          <w:noProof/>
        </w:rPr>
        <w:fldChar w:fldCharType="separate"/>
      </w:r>
      <w:r w:rsidR="00BD638C">
        <w:rPr>
          <w:noProof/>
        </w:rPr>
        <w:t>7</w:t>
      </w:r>
      <w:r w:rsidR="00D477FD">
        <w:rPr>
          <w:noProof/>
        </w:rPr>
        <w:fldChar w:fldCharType="end"/>
      </w:r>
      <w:r>
        <w:t>: Summary of Options Considered by the Committee</w:t>
      </w:r>
      <w:bookmarkEnd w:id="72"/>
    </w:p>
    <w:tbl>
      <w:tblPr>
        <w:tblStyle w:val="TableGrid"/>
        <w:tblW w:w="13948" w:type="dxa"/>
        <w:tblInd w:w="0" w:type="dxa"/>
        <w:tblLook w:val="04A0" w:firstRow="1" w:lastRow="0" w:firstColumn="1" w:lastColumn="0" w:noHBand="0" w:noVBand="1"/>
      </w:tblPr>
      <w:tblGrid>
        <w:gridCol w:w="1919"/>
        <w:gridCol w:w="1986"/>
        <w:gridCol w:w="1958"/>
        <w:gridCol w:w="1341"/>
        <w:gridCol w:w="6744"/>
      </w:tblGrid>
      <w:tr w:rsidR="00D44981" w14:paraId="4D08E6CF" w14:textId="77777777" w:rsidTr="00636BD3">
        <w:tc>
          <w:tcPr>
            <w:tcW w:w="1919" w:type="dxa"/>
          </w:tcPr>
          <w:p w14:paraId="56E1424C" w14:textId="77777777" w:rsidR="00D44981" w:rsidRPr="00745B4B" w:rsidRDefault="00D44981" w:rsidP="00D44981">
            <w:pPr>
              <w:rPr>
                <w:b/>
                <w:bCs/>
              </w:rPr>
            </w:pPr>
            <w:r>
              <w:br w:type="page"/>
            </w:r>
            <w:r w:rsidRPr="00745B4B">
              <w:rPr>
                <w:b/>
                <w:bCs/>
              </w:rPr>
              <w:t>Option</w:t>
            </w:r>
          </w:p>
        </w:tc>
        <w:tc>
          <w:tcPr>
            <w:tcW w:w="1986" w:type="dxa"/>
          </w:tcPr>
          <w:p w14:paraId="1AB94264" w14:textId="77777777" w:rsidR="00D44981" w:rsidRPr="00745B4B" w:rsidRDefault="00D44981" w:rsidP="00D44981">
            <w:pPr>
              <w:rPr>
                <w:b/>
                <w:bCs/>
              </w:rPr>
            </w:pPr>
            <w:r w:rsidRPr="00745B4B">
              <w:rPr>
                <w:b/>
                <w:bCs/>
              </w:rPr>
              <w:t>Details</w:t>
            </w:r>
          </w:p>
        </w:tc>
        <w:tc>
          <w:tcPr>
            <w:tcW w:w="1958" w:type="dxa"/>
          </w:tcPr>
          <w:p w14:paraId="5034B591" w14:textId="77777777" w:rsidR="00D44981" w:rsidRPr="00745B4B" w:rsidRDefault="00D44981" w:rsidP="00D44981">
            <w:pPr>
              <w:rPr>
                <w:b/>
                <w:bCs/>
              </w:rPr>
            </w:pPr>
            <w:r w:rsidRPr="00745B4B">
              <w:rPr>
                <w:b/>
                <w:bCs/>
              </w:rPr>
              <w:t>Co</w:t>
            </w:r>
            <w:r>
              <w:rPr>
                <w:b/>
                <w:bCs/>
              </w:rPr>
              <w:t>llection mechanism</w:t>
            </w:r>
          </w:p>
        </w:tc>
        <w:tc>
          <w:tcPr>
            <w:tcW w:w="1341" w:type="dxa"/>
          </w:tcPr>
          <w:p w14:paraId="11266135" w14:textId="77777777" w:rsidR="00D44981" w:rsidRPr="00213B9E" w:rsidRDefault="00D44981" w:rsidP="00D44981">
            <w:pPr>
              <w:rPr>
                <w:b/>
                <w:bCs/>
                <w:color w:val="FF0000"/>
              </w:rPr>
            </w:pPr>
            <w:r>
              <w:rPr>
                <w:b/>
                <w:bCs/>
                <w:color w:val="FF0000"/>
              </w:rPr>
              <w:t>Considered</w:t>
            </w:r>
            <w:r w:rsidRPr="00213B9E">
              <w:rPr>
                <w:b/>
                <w:bCs/>
                <w:color w:val="FF0000"/>
              </w:rPr>
              <w:t>/</w:t>
            </w:r>
          </w:p>
          <w:p w14:paraId="086BE674" w14:textId="77777777" w:rsidR="00D44981" w:rsidRPr="00213B9E" w:rsidRDefault="00D44981" w:rsidP="00D44981">
            <w:pPr>
              <w:rPr>
                <w:b/>
                <w:bCs/>
                <w:color w:val="FF0000"/>
              </w:rPr>
            </w:pPr>
            <w:r w:rsidRPr="00213B9E">
              <w:rPr>
                <w:b/>
                <w:bCs/>
                <w:color w:val="FF0000"/>
              </w:rPr>
              <w:t>Rejected</w:t>
            </w:r>
          </w:p>
        </w:tc>
        <w:tc>
          <w:tcPr>
            <w:tcW w:w="6744" w:type="dxa"/>
          </w:tcPr>
          <w:p w14:paraId="2E74AC76" w14:textId="77777777" w:rsidR="00D44981" w:rsidRPr="00745B4B" w:rsidRDefault="00D44981" w:rsidP="00D44981">
            <w:pPr>
              <w:rPr>
                <w:b/>
                <w:bCs/>
              </w:rPr>
            </w:pPr>
            <w:r>
              <w:rPr>
                <w:b/>
                <w:bCs/>
              </w:rPr>
              <w:t>Comment</w:t>
            </w:r>
          </w:p>
        </w:tc>
      </w:tr>
      <w:tr w:rsidR="00D44981" w14:paraId="744D925D" w14:textId="77777777" w:rsidTr="00636BD3">
        <w:tc>
          <w:tcPr>
            <w:tcW w:w="1919" w:type="dxa"/>
            <w:shd w:val="clear" w:color="auto" w:fill="F2F2F2" w:themeFill="background1" w:themeFillShade="F2"/>
          </w:tcPr>
          <w:p w14:paraId="698B7906" w14:textId="77777777" w:rsidR="00D44981" w:rsidRPr="00745B4B" w:rsidRDefault="00D44981" w:rsidP="00D44981">
            <w:pPr>
              <w:rPr>
                <w:b/>
                <w:bCs/>
              </w:rPr>
            </w:pPr>
            <w:r w:rsidRPr="00745B4B">
              <w:rPr>
                <w:b/>
                <w:bCs/>
              </w:rPr>
              <w:t>1</w:t>
            </w:r>
            <w:r>
              <w:rPr>
                <w:b/>
                <w:bCs/>
              </w:rPr>
              <w:t xml:space="preserve">.  </w:t>
            </w:r>
            <w:r w:rsidRPr="00745B4B">
              <w:rPr>
                <w:b/>
                <w:bCs/>
              </w:rPr>
              <w:t>Government 2018 Budget Proposal</w:t>
            </w:r>
          </w:p>
        </w:tc>
        <w:tc>
          <w:tcPr>
            <w:tcW w:w="1986" w:type="dxa"/>
            <w:shd w:val="clear" w:color="auto" w:fill="F2F2F2" w:themeFill="background1" w:themeFillShade="F2"/>
          </w:tcPr>
          <w:p w14:paraId="26AED59D" w14:textId="0FC9E48F" w:rsidR="00D44981" w:rsidRDefault="00D44981" w:rsidP="00D44981">
            <w:r>
              <w:t>$</w:t>
            </w:r>
            <w:r w:rsidR="003652A8">
              <w:t>10.02</w:t>
            </w:r>
            <w:r>
              <w:t>/TEU</w:t>
            </w:r>
          </w:p>
          <w:p w14:paraId="1C45BA3C" w14:textId="6D78CD5B" w:rsidR="00D44981" w:rsidRDefault="00D44981" w:rsidP="00D44981">
            <w:r>
              <w:t>$</w:t>
            </w:r>
            <w:r w:rsidR="003652A8">
              <w:t>1</w:t>
            </w:r>
            <w:r>
              <w:t>/tonne break bulk</w:t>
            </w:r>
          </w:p>
          <w:p w14:paraId="3A064D3D" w14:textId="7C703BF2" w:rsidR="00D44981" w:rsidRDefault="00D44981" w:rsidP="00D44981">
            <w:r>
              <w:t>$</w:t>
            </w:r>
            <w:r w:rsidR="003652A8">
              <w:t>1</w:t>
            </w:r>
            <w:r>
              <w:t>/tonne bulk</w:t>
            </w:r>
          </w:p>
          <w:p w14:paraId="1ECDF4E7" w14:textId="77777777" w:rsidR="00D44981" w:rsidRDefault="00D44981" w:rsidP="00D44981"/>
        </w:tc>
        <w:tc>
          <w:tcPr>
            <w:tcW w:w="1958" w:type="dxa"/>
            <w:shd w:val="clear" w:color="auto" w:fill="F2F2F2" w:themeFill="background1" w:themeFillShade="F2"/>
          </w:tcPr>
          <w:p w14:paraId="5E39104B" w14:textId="77777777" w:rsidR="00D44981" w:rsidRDefault="00D44981" w:rsidP="00D44981">
            <w:r>
              <w:t>New collection mechanism(s) that were not fully defined to be imposed on port operators</w:t>
            </w:r>
          </w:p>
        </w:tc>
        <w:tc>
          <w:tcPr>
            <w:tcW w:w="1341" w:type="dxa"/>
            <w:shd w:val="clear" w:color="auto" w:fill="F2F2F2" w:themeFill="background1" w:themeFillShade="F2"/>
          </w:tcPr>
          <w:p w14:paraId="4E32E6EF" w14:textId="77777777" w:rsidR="00D44981" w:rsidRPr="00213B9E" w:rsidRDefault="00D44981" w:rsidP="00D44981">
            <w:pPr>
              <w:rPr>
                <w:color w:val="FF0000"/>
              </w:rPr>
            </w:pPr>
            <w:r w:rsidRPr="00213B9E">
              <w:rPr>
                <w:color w:val="FF0000"/>
              </w:rPr>
              <w:t>Rejected</w:t>
            </w:r>
          </w:p>
        </w:tc>
        <w:tc>
          <w:tcPr>
            <w:tcW w:w="6744" w:type="dxa"/>
            <w:shd w:val="clear" w:color="auto" w:fill="F2F2F2" w:themeFill="background1" w:themeFillShade="F2"/>
          </w:tcPr>
          <w:p w14:paraId="6B3B5577" w14:textId="77777777" w:rsidR="00636BD3" w:rsidRDefault="00D44981" w:rsidP="00636BD3">
            <w:pPr>
              <w:spacing w:before="0" w:after="0"/>
            </w:pPr>
            <w:r>
              <w:t>Not biosecurity risk related – high volume low risk bulk bears majority burden – unacceptably high charge on low value bulk</w:t>
            </w:r>
          </w:p>
          <w:p w14:paraId="11D248ED" w14:textId="54EB8ADE" w:rsidR="00D44981" w:rsidRDefault="00D44981" w:rsidP="00636BD3">
            <w:pPr>
              <w:spacing w:before="0" w:after="0"/>
            </w:pPr>
            <w:r>
              <w:t xml:space="preserve">Excluded some risk creators (air, passengers) </w:t>
            </w:r>
          </w:p>
          <w:p w14:paraId="4B44675E" w14:textId="77777777" w:rsidR="00D44981" w:rsidRDefault="00D44981" w:rsidP="00636BD3">
            <w:pPr>
              <w:spacing w:before="0" w:after="0"/>
            </w:pPr>
            <w:r>
              <w:t>Disproportionate impacts on some low-risk bulk importers</w:t>
            </w:r>
          </w:p>
          <w:p w14:paraId="1A3E4EA0" w14:textId="77777777" w:rsidR="00D44981" w:rsidRDefault="00D44981" w:rsidP="00636BD3">
            <w:pPr>
              <w:spacing w:before="0" w:after="0"/>
            </w:pPr>
            <w:r>
              <w:t>Investments by industry in collection mechanisms required</w:t>
            </w:r>
          </w:p>
          <w:p w14:paraId="635B22EB" w14:textId="77777777" w:rsidR="00D44981" w:rsidRDefault="00D44981" w:rsidP="00636BD3">
            <w:pPr>
              <w:spacing w:before="0" w:after="0"/>
            </w:pPr>
            <w:r>
              <w:t>Collection costs would be cascaded and increased through supply chains</w:t>
            </w:r>
          </w:p>
          <w:p w14:paraId="4AD1F916" w14:textId="713D498D" w:rsidR="00D44981" w:rsidRDefault="00D44981" w:rsidP="00636BD3">
            <w:pPr>
              <w:spacing w:before="0" w:after="0"/>
            </w:pPr>
            <w:r>
              <w:t>Serious and unassessed impacts along the import chain</w:t>
            </w:r>
            <w:r w:rsidR="00636BD3">
              <w:t xml:space="preserve"> </w:t>
            </w:r>
          </w:p>
        </w:tc>
      </w:tr>
      <w:tr w:rsidR="00D44981" w14:paraId="4FC21325" w14:textId="77777777" w:rsidTr="00636BD3">
        <w:tc>
          <w:tcPr>
            <w:tcW w:w="1919" w:type="dxa"/>
            <w:shd w:val="clear" w:color="auto" w:fill="F2F2F2" w:themeFill="background1" w:themeFillShade="F2"/>
          </w:tcPr>
          <w:p w14:paraId="5EF4DDAA" w14:textId="77777777" w:rsidR="00D44981" w:rsidRPr="00745B4B" w:rsidRDefault="00D44981" w:rsidP="00D44981">
            <w:pPr>
              <w:rPr>
                <w:b/>
                <w:bCs/>
              </w:rPr>
            </w:pPr>
            <w:r>
              <w:rPr>
                <w:b/>
                <w:bCs/>
              </w:rPr>
              <w:t>2. DAWR option November 2018</w:t>
            </w:r>
          </w:p>
        </w:tc>
        <w:tc>
          <w:tcPr>
            <w:tcW w:w="1986" w:type="dxa"/>
            <w:shd w:val="clear" w:color="auto" w:fill="F2F2F2" w:themeFill="background1" w:themeFillShade="F2"/>
          </w:tcPr>
          <w:p w14:paraId="72E8A18A" w14:textId="55B48427" w:rsidR="00D44981" w:rsidRDefault="00D44981" w:rsidP="00D44981">
            <w:r>
              <w:t>$</w:t>
            </w:r>
            <w:r w:rsidR="003652A8">
              <w:t>10</w:t>
            </w:r>
            <w:r>
              <w:t>/TEU</w:t>
            </w:r>
          </w:p>
          <w:p w14:paraId="618A22B7" w14:textId="5F8305D1" w:rsidR="00D44981" w:rsidRDefault="00D44981" w:rsidP="00D44981">
            <w:r>
              <w:t>$</w:t>
            </w:r>
            <w:r w:rsidR="003652A8">
              <w:t>1</w:t>
            </w:r>
            <w:r>
              <w:t>/tonne break bulk</w:t>
            </w:r>
          </w:p>
          <w:p w14:paraId="0B62C2CA" w14:textId="2D955265" w:rsidR="00D44981" w:rsidRDefault="00D44981" w:rsidP="00D44981">
            <w:r>
              <w:t>$</w:t>
            </w:r>
            <w:r w:rsidR="003652A8">
              <w:t>0.50</w:t>
            </w:r>
            <w:r>
              <w:t>/tonne bulk</w:t>
            </w:r>
          </w:p>
          <w:p w14:paraId="66D77FF8" w14:textId="0A25D06D" w:rsidR="00D44981" w:rsidRDefault="00D44981" w:rsidP="00D44981">
            <w:r>
              <w:t>$</w:t>
            </w:r>
            <w:r w:rsidR="003652A8">
              <w:t>0.027</w:t>
            </w:r>
            <w:r>
              <w:t>/ton gross vessel tonnage</w:t>
            </w:r>
          </w:p>
        </w:tc>
        <w:tc>
          <w:tcPr>
            <w:tcW w:w="1958" w:type="dxa"/>
            <w:shd w:val="clear" w:color="auto" w:fill="F2F2F2" w:themeFill="background1" w:themeFillShade="F2"/>
          </w:tcPr>
          <w:p w14:paraId="74553CF5" w14:textId="77777777" w:rsidR="00D44981" w:rsidRDefault="00D44981" w:rsidP="00D44981">
            <w:r>
              <w:t>Not well defined.  Likely to require multiple new mechanisms applied to vessel owners, operators or their agents.</w:t>
            </w:r>
          </w:p>
        </w:tc>
        <w:tc>
          <w:tcPr>
            <w:tcW w:w="1341" w:type="dxa"/>
            <w:shd w:val="clear" w:color="auto" w:fill="F2F2F2" w:themeFill="background1" w:themeFillShade="F2"/>
          </w:tcPr>
          <w:p w14:paraId="05108A7A" w14:textId="77777777" w:rsidR="00D44981" w:rsidRPr="00213B9E" w:rsidRDefault="00D44981" w:rsidP="00D44981">
            <w:pPr>
              <w:rPr>
                <w:color w:val="FF0000"/>
              </w:rPr>
            </w:pPr>
            <w:r w:rsidRPr="00213B9E">
              <w:rPr>
                <w:color w:val="FF0000"/>
              </w:rPr>
              <w:t>Rejected</w:t>
            </w:r>
          </w:p>
        </w:tc>
        <w:tc>
          <w:tcPr>
            <w:tcW w:w="6744" w:type="dxa"/>
            <w:shd w:val="clear" w:color="auto" w:fill="F2F2F2" w:themeFill="background1" w:themeFillShade="F2"/>
          </w:tcPr>
          <w:p w14:paraId="669D2D61" w14:textId="77777777" w:rsidR="00D44981" w:rsidRDefault="00D44981" w:rsidP="00636BD3">
            <w:pPr>
              <w:spacing w:before="0" w:after="0"/>
            </w:pPr>
            <w:r>
              <w:t>Not biosecurity risk related</w:t>
            </w:r>
          </w:p>
          <w:p w14:paraId="36E2D1E2" w14:textId="77777777" w:rsidR="00D44981" w:rsidRDefault="00D44981" w:rsidP="00636BD3">
            <w:pPr>
              <w:spacing w:before="0" w:after="0"/>
            </w:pPr>
            <w:r>
              <w:t>Excluded some risk creators (air, passengers)</w:t>
            </w:r>
          </w:p>
          <w:p w14:paraId="369A974E" w14:textId="77777777" w:rsidR="00D44981" w:rsidRDefault="00D44981" w:rsidP="00636BD3">
            <w:pPr>
              <w:spacing w:before="0" w:after="0"/>
            </w:pPr>
            <w:r>
              <w:t xml:space="preserve">Double charging on vessels already subject to cost recovery charges </w:t>
            </w:r>
          </w:p>
          <w:p w14:paraId="63AB5AC2" w14:textId="77777777" w:rsidR="00D44981" w:rsidRDefault="00D44981" w:rsidP="00636BD3">
            <w:pPr>
              <w:spacing w:before="0" w:after="0"/>
            </w:pPr>
            <w:r>
              <w:t>Would be applied to empty vessels (and hence exports)</w:t>
            </w:r>
          </w:p>
          <w:p w14:paraId="3FC5B2FF" w14:textId="77777777" w:rsidR="00D44981" w:rsidRDefault="00D44981" w:rsidP="00636BD3">
            <w:pPr>
              <w:spacing w:before="0" w:after="0"/>
            </w:pPr>
            <w:r>
              <w:t>New charging mechanisms would be required</w:t>
            </w:r>
          </w:p>
          <w:p w14:paraId="6538D14B" w14:textId="18BEA708" w:rsidR="00D44981" w:rsidRDefault="00D44981" w:rsidP="00636BD3">
            <w:pPr>
              <w:spacing w:before="0" w:after="0"/>
            </w:pPr>
            <w:r>
              <w:t>Collection costs would be cascaded and increased through supply chains</w:t>
            </w:r>
          </w:p>
        </w:tc>
      </w:tr>
      <w:tr w:rsidR="00D44981" w14:paraId="1FE90FDB" w14:textId="77777777" w:rsidTr="00636BD3">
        <w:tc>
          <w:tcPr>
            <w:tcW w:w="1919" w:type="dxa"/>
            <w:shd w:val="clear" w:color="auto" w:fill="F2F2F2" w:themeFill="background1" w:themeFillShade="F2"/>
          </w:tcPr>
          <w:p w14:paraId="636557AB" w14:textId="77777777" w:rsidR="00D44981" w:rsidRPr="00745B4B" w:rsidRDefault="00D44981" w:rsidP="00D44981">
            <w:pPr>
              <w:rPr>
                <w:b/>
                <w:bCs/>
              </w:rPr>
            </w:pPr>
            <w:r>
              <w:rPr>
                <w:b/>
                <w:bCs/>
              </w:rPr>
              <w:t>3. Alternative proposal put forward by DAWR January 2019</w:t>
            </w:r>
          </w:p>
        </w:tc>
        <w:tc>
          <w:tcPr>
            <w:tcW w:w="1986" w:type="dxa"/>
            <w:shd w:val="clear" w:color="auto" w:fill="F2F2F2" w:themeFill="background1" w:themeFillShade="F2"/>
          </w:tcPr>
          <w:p w14:paraId="41E1242C" w14:textId="732003AA" w:rsidR="00D44981" w:rsidRDefault="00D44981" w:rsidP="00D44981">
            <w:r>
              <w:t>$</w:t>
            </w:r>
            <w:r w:rsidR="003652A8">
              <w:t>10</w:t>
            </w:r>
            <w:r>
              <w:t>/TEU</w:t>
            </w:r>
          </w:p>
          <w:p w14:paraId="753578C8" w14:textId="55F8C229" w:rsidR="00D44981" w:rsidRDefault="00D44981" w:rsidP="00D44981">
            <w:r>
              <w:t>$</w:t>
            </w:r>
            <w:r w:rsidR="003652A8">
              <w:t>1</w:t>
            </w:r>
            <w:r>
              <w:t>/tonne break bulk</w:t>
            </w:r>
          </w:p>
          <w:p w14:paraId="1F6797D4" w14:textId="59AD1680" w:rsidR="00D44981" w:rsidRDefault="00D44981" w:rsidP="00D44981">
            <w:r>
              <w:t>$</w:t>
            </w:r>
            <w:r w:rsidR="003652A8">
              <w:t>0.059</w:t>
            </w:r>
            <w:r>
              <w:t>/ton gross vessel tonnage</w:t>
            </w:r>
          </w:p>
        </w:tc>
        <w:tc>
          <w:tcPr>
            <w:tcW w:w="1958" w:type="dxa"/>
            <w:shd w:val="clear" w:color="auto" w:fill="F2F2F2" w:themeFill="background1" w:themeFillShade="F2"/>
          </w:tcPr>
          <w:p w14:paraId="64386D91" w14:textId="77777777" w:rsidR="00D44981" w:rsidRDefault="00D44981" w:rsidP="00D44981">
            <w:r>
              <w:t>Collection mechanism unclear, but presumably applied to port operators or vessel owners, operators or their agents</w:t>
            </w:r>
          </w:p>
        </w:tc>
        <w:tc>
          <w:tcPr>
            <w:tcW w:w="1341" w:type="dxa"/>
            <w:shd w:val="clear" w:color="auto" w:fill="F2F2F2" w:themeFill="background1" w:themeFillShade="F2"/>
          </w:tcPr>
          <w:p w14:paraId="63D02D70" w14:textId="77777777" w:rsidR="00D44981" w:rsidRPr="00213B9E" w:rsidRDefault="00D44981" w:rsidP="00D44981">
            <w:pPr>
              <w:rPr>
                <w:color w:val="FF0000"/>
              </w:rPr>
            </w:pPr>
            <w:r w:rsidRPr="00213B9E">
              <w:rPr>
                <w:color w:val="FF0000"/>
              </w:rPr>
              <w:t>Rejected</w:t>
            </w:r>
          </w:p>
        </w:tc>
        <w:tc>
          <w:tcPr>
            <w:tcW w:w="6744" w:type="dxa"/>
            <w:shd w:val="clear" w:color="auto" w:fill="F2F2F2" w:themeFill="background1" w:themeFillShade="F2"/>
          </w:tcPr>
          <w:p w14:paraId="446C12C1" w14:textId="77777777" w:rsidR="00D44981" w:rsidRDefault="00D44981" w:rsidP="00636BD3">
            <w:pPr>
              <w:spacing w:before="0" w:after="0"/>
            </w:pPr>
            <w:r>
              <w:t>Not biosecurity risk related</w:t>
            </w:r>
          </w:p>
          <w:p w14:paraId="011853A1" w14:textId="77777777" w:rsidR="00D44981" w:rsidRDefault="00D44981" w:rsidP="00636BD3">
            <w:pPr>
              <w:spacing w:before="0" w:after="0"/>
            </w:pPr>
            <w:r>
              <w:t>Excluded some risk creators (air, passengers)</w:t>
            </w:r>
          </w:p>
          <w:p w14:paraId="1D4CEEFA" w14:textId="77777777" w:rsidR="00D44981" w:rsidRDefault="00D44981" w:rsidP="00636BD3">
            <w:pPr>
              <w:spacing w:before="0" w:after="0"/>
            </w:pPr>
            <w:r>
              <w:t>Excluded some higher risk, organic bulk imports</w:t>
            </w:r>
          </w:p>
          <w:p w14:paraId="2B78BC19" w14:textId="77777777" w:rsidR="00D44981" w:rsidRDefault="00D44981" w:rsidP="00636BD3">
            <w:pPr>
              <w:spacing w:before="0" w:after="0"/>
            </w:pPr>
            <w:r>
              <w:t>Collection costs would be cascaded and increased through supply chains</w:t>
            </w:r>
          </w:p>
          <w:p w14:paraId="51D4D0CD" w14:textId="77777777" w:rsidR="00D44981" w:rsidRDefault="00D44981" w:rsidP="00636BD3">
            <w:pPr>
              <w:spacing w:before="0" w:after="0"/>
            </w:pPr>
            <w:r>
              <w:t xml:space="preserve">Double charging on vessels already subject to cost recovery charges </w:t>
            </w:r>
          </w:p>
          <w:p w14:paraId="6C5B3621" w14:textId="77777777" w:rsidR="00D44981" w:rsidRDefault="00D44981" w:rsidP="00636BD3">
            <w:pPr>
              <w:spacing w:before="0" w:after="0"/>
            </w:pPr>
            <w:r>
              <w:t>Increased impacts on empty vessels (and hence exports)</w:t>
            </w:r>
          </w:p>
          <w:p w14:paraId="4B2685D5" w14:textId="6EFBEFD6" w:rsidR="00D44981" w:rsidRDefault="00D44981" w:rsidP="00636BD3">
            <w:pPr>
              <w:spacing w:before="0" w:after="0"/>
            </w:pPr>
            <w:r>
              <w:t>New charging mechanisms would be required</w:t>
            </w:r>
            <w:r w:rsidR="00636BD3">
              <w:t xml:space="preserve"> </w:t>
            </w:r>
          </w:p>
        </w:tc>
      </w:tr>
    </w:tbl>
    <w:p w14:paraId="1B8C5560" w14:textId="77777777" w:rsidR="00636BD3" w:rsidRDefault="00636BD3">
      <w:r>
        <w:br w:type="page"/>
      </w:r>
    </w:p>
    <w:tbl>
      <w:tblPr>
        <w:tblStyle w:val="TableGrid"/>
        <w:tblW w:w="13780" w:type="dxa"/>
        <w:tblInd w:w="0" w:type="dxa"/>
        <w:tblLook w:val="04A0" w:firstRow="1" w:lastRow="0" w:firstColumn="1" w:lastColumn="0" w:noHBand="0" w:noVBand="1"/>
      </w:tblPr>
      <w:tblGrid>
        <w:gridCol w:w="1902"/>
        <w:gridCol w:w="2708"/>
        <w:gridCol w:w="1174"/>
        <w:gridCol w:w="1508"/>
        <w:gridCol w:w="6488"/>
      </w:tblGrid>
      <w:tr w:rsidR="000A2AE8" w14:paraId="4137E82B" w14:textId="77777777" w:rsidTr="00C13AB2">
        <w:tc>
          <w:tcPr>
            <w:tcW w:w="1902" w:type="dxa"/>
          </w:tcPr>
          <w:p w14:paraId="38669AE9" w14:textId="0D4415E1" w:rsidR="000A2AE8" w:rsidRDefault="00C13AB2" w:rsidP="00D44981">
            <w:pPr>
              <w:rPr>
                <w:b/>
                <w:bCs/>
              </w:rPr>
            </w:pPr>
            <w:r>
              <w:rPr>
                <w:b/>
                <w:bCs/>
              </w:rPr>
              <w:t>4</w:t>
            </w:r>
            <w:r w:rsidR="000A2AE8">
              <w:rPr>
                <w:b/>
                <w:bCs/>
              </w:rPr>
              <w:t xml:space="preserve">. </w:t>
            </w:r>
            <w:r w:rsidR="0056702E">
              <w:rPr>
                <w:b/>
                <w:bCs/>
              </w:rPr>
              <w:t>D</w:t>
            </w:r>
            <w:r w:rsidR="000A2AE8">
              <w:rPr>
                <w:b/>
                <w:bCs/>
              </w:rPr>
              <w:t xml:space="preserve">ifferentiated FID </w:t>
            </w:r>
            <w:r w:rsidR="0056702E">
              <w:rPr>
                <w:b/>
                <w:bCs/>
              </w:rPr>
              <w:t>based on</w:t>
            </w:r>
            <w:r w:rsidR="000A2AE8">
              <w:rPr>
                <w:b/>
                <w:bCs/>
              </w:rPr>
              <w:t xml:space="preserve"> sea and air cargo</w:t>
            </w:r>
          </w:p>
        </w:tc>
        <w:tc>
          <w:tcPr>
            <w:tcW w:w="2708" w:type="dxa"/>
          </w:tcPr>
          <w:p w14:paraId="3DB94106" w14:textId="732E739E" w:rsidR="000A2AE8" w:rsidRDefault="000A2AE8" w:rsidP="00D44981">
            <w:r>
              <w:t>$W/Sea FID&lt;$10,000</w:t>
            </w:r>
          </w:p>
          <w:p w14:paraId="3118C938" w14:textId="58166FA8" w:rsidR="000A2AE8" w:rsidRDefault="000A2AE8" w:rsidP="00D44981">
            <w:r>
              <w:t>$X/Sea FID</w:t>
            </w:r>
            <w:r>
              <w:rPr>
                <w:rFonts w:cstheme="minorHAnsi"/>
              </w:rPr>
              <w:t>≥</w:t>
            </w:r>
            <w:r>
              <w:t>$10,000</w:t>
            </w:r>
          </w:p>
          <w:p w14:paraId="013D8F1F" w14:textId="1EE40404" w:rsidR="000A2AE8" w:rsidRDefault="000A2AE8" w:rsidP="00D44981">
            <w:r>
              <w:t>$Y/Air</w:t>
            </w:r>
            <w:r w:rsidR="004163D1">
              <w:t>/Mail</w:t>
            </w:r>
            <w:r>
              <w:t xml:space="preserve"> FID&lt;$10,000</w:t>
            </w:r>
          </w:p>
          <w:p w14:paraId="5351B6A2" w14:textId="178424C0" w:rsidR="000A2AE8" w:rsidRDefault="000A2AE8" w:rsidP="00D44981">
            <w:r>
              <w:t>$Z/Air</w:t>
            </w:r>
            <w:r w:rsidR="004163D1">
              <w:t>/Mail</w:t>
            </w:r>
            <w:r>
              <w:t xml:space="preserve"> FID</w:t>
            </w:r>
            <w:r>
              <w:rPr>
                <w:rFonts w:cstheme="minorHAnsi"/>
              </w:rPr>
              <w:t>≥</w:t>
            </w:r>
            <w:r>
              <w:t>$10,000</w:t>
            </w:r>
          </w:p>
        </w:tc>
        <w:tc>
          <w:tcPr>
            <w:tcW w:w="1174" w:type="dxa"/>
          </w:tcPr>
          <w:p w14:paraId="00D84477" w14:textId="585EA40F" w:rsidR="005B237B" w:rsidRPr="00C13AB2" w:rsidRDefault="000A2AE8" w:rsidP="00D44981">
            <w:r>
              <w:t>FID</w:t>
            </w:r>
          </w:p>
        </w:tc>
        <w:tc>
          <w:tcPr>
            <w:tcW w:w="1508" w:type="dxa"/>
          </w:tcPr>
          <w:p w14:paraId="03C73405" w14:textId="062F6B6E" w:rsidR="000A2AE8" w:rsidRDefault="001E38DF" w:rsidP="00D44981">
            <w:pPr>
              <w:rPr>
                <w:color w:val="FF0000"/>
              </w:rPr>
            </w:pPr>
            <w:r>
              <w:rPr>
                <w:color w:val="FF0000"/>
              </w:rPr>
              <w:t>Retain for further consideration</w:t>
            </w:r>
          </w:p>
        </w:tc>
        <w:tc>
          <w:tcPr>
            <w:tcW w:w="6488" w:type="dxa"/>
          </w:tcPr>
          <w:p w14:paraId="55DE3BA2" w14:textId="77777777" w:rsidR="005B237B" w:rsidRDefault="005B237B" w:rsidP="005B237B">
            <w:pPr>
              <w:spacing w:before="0" w:after="0"/>
            </w:pPr>
            <w:r>
              <w:rPr>
                <w:b/>
              </w:rPr>
              <w:t>N</w:t>
            </w:r>
            <w:r w:rsidRPr="00DF4106">
              <w:rPr>
                <w:b/>
              </w:rPr>
              <w:t xml:space="preserve">ot biosecurity risk related </w:t>
            </w:r>
            <w:r>
              <w:t>No evidence that risk is related to value</w:t>
            </w:r>
          </w:p>
          <w:p w14:paraId="266D2D61" w14:textId="66D880FC" w:rsidR="00856AF1" w:rsidRDefault="005B237B" w:rsidP="005B237B">
            <w:pPr>
              <w:spacing w:before="0" w:after="0"/>
            </w:pPr>
            <w:r>
              <w:t xml:space="preserve">Captures </w:t>
            </w:r>
            <w:r w:rsidR="00D477FD">
              <w:t xml:space="preserve">air &amp; ocean </w:t>
            </w:r>
            <w:r>
              <w:t>freight</w:t>
            </w:r>
            <w:r w:rsidR="00D477FD">
              <w:t xml:space="preserve"> over $1,000 in value</w:t>
            </w:r>
          </w:p>
          <w:p w14:paraId="007A1C6B" w14:textId="61435CD7" w:rsidR="005B237B" w:rsidRDefault="00D477FD" w:rsidP="005B237B">
            <w:pPr>
              <w:spacing w:before="0" w:after="0"/>
            </w:pPr>
            <w:r>
              <w:t>C</w:t>
            </w:r>
            <w:r w:rsidR="005B237B">
              <w:t>apture</w:t>
            </w:r>
            <w:r>
              <w:t xml:space="preserve">s </w:t>
            </w:r>
            <w:r w:rsidR="00915374">
              <w:t>B</w:t>
            </w:r>
            <w:r w:rsidR="005B237B">
              <w:t xml:space="preserve">reak </w:t>
            </w:r>
            <w:r w:rsidR="00915374">
              <w:t>B</w:t>
            </w:r>
            <w:r w:rsidR="005B237B">
              <w:t xml:space="preserve">ulk </w:t>
            </w:r>
            <w:r>
              <w:t xml:space="preserve">&amp; Bulk </w:t>
            </w:r>
            <w:r w:rsidR="005B237B">
              <w:t>cargo</w:t>
            </w:r>
            <w:r>
              <w:t xml:space="preserve"> in a per shipment fee</w:t>
            </w:r>
          </w:p>
          <w:p w14:paraId="5EAABD81" w14:textId="45B6F221" w:rsidR="005B237B" w:rsidRDefault="005B237B" w:rsidP="005B237B">
            <w:pPr>
              <w:spacing w:before="0" w:after="0"/>
            </w:pPr>
            <w:r>
              <w:t>No specific container component</w:t>
            </w:r>
            <w:r w:rsidR="00D477FD">
              <w:t xml:space="preserve">, but </w:t>
            </w:r>
            <w:r w:rsidR="00915374">
              <w:t>o</w:t>
            </w:r>
            <w:r w:rsidR="00D477FD">
              <w:t>n a per shipment basis</w:t>
            </w:r>
          </w:p>
          <w:p w14:paraId="5734DA66" w14:textId="77777777" w:rsidR="005B237B" w:rsidRDefault="005B237B" w:rsidP="005B237B">
            <w:pPr>
              <w:spacing w:before="0" w:after="0"/>
            </w:pPr>
            <w:r>
              <w:t>Excludes vessels (already subject to cost recovery charges)</w:t>
            </w:r>
          </w:p>
          <w:p w14:paraId="7D5A8047" w14:textId="77777777" w:rsidR="00915374" w:rsidRDefault="00915374" w:rsidP="00915374">
            <w:pPr>
              <w:spacing w:before="0" w:after="0"/>
            </w:pPr>
            <w:r>
              <w:t>Excludes passengers (already subject to the PMC)</w:t>
            </w:r>
          </w:p>
          <w:p w14:paraId="55C46CA3" w14:textId="77777777" w:rsidR="000A2AE8" w:rsidRDefault="005B237B" w:rsidP="005B237B">
            <w:pPr>
              <w:spacing w:before="0" w:after="0"/>
            </w:pPr>
            <w:r>
              <w:t>Relatively simple to administer</w:t>
            </w:r>
          </w:p>
          <w:p w14:paraId="7A78E10A" w14:textId="77777777" w:rsidR="00D477FD" w:rsidRDefault="00D477FD" w:rsidP="00D477FD">
            <w:pPr>
              <w:spacing w:before="0" w:after="0"/>
            </w:pPr>
            <w:r>
              <w:t>Uses existing collection mechanism (FID)</w:t>
            </w:r>
          </w:p>
          <w:p w14:paraId="0C234C6F" w14:textId="04AF03B2" w:rsidR="00A91F51" w:rsidRPr="00A91F51" w:rsidRDefault="00A91F51" w:rsidP="00D477FD">
            <w:pPr>
              <w:spacing w:before="0" w:after="0"/>
            </w:pPr>
            <w:r w:rsidRPr="00A91F51">
              <w:t>Could be considered as an interim measure</w:t>
            </w:r>
          </w:p>
        </w:tc>
      </w:tr>
      <w:tr w:rsidR="000A2AE8" w14:paraId="021F9875" w14:textId="77777777" w:rsidTr="00C13AB2">
        <w:tc>
          <w:tcPr>
            <w:tcW w:w="1902" w:type="dxa"/>
          </w:tcPr>
          <w:p w14:paraId="5288EFB5" w14:textId="38E8DEB8" w:rsidR="000A2AE8" w:rsidRDefault="00C13AB2" w:rsidP="00D44981">
            <w:pPr>
              <w:rPr>
                <w:b/>
                <w:bCs/>
              </w:rPr>
            </w:pPr>
            <w:r>
              <w:rPr>
                <w:b/>
                <w:bCs/>
              </w:rPr>
              <w:t>5</w:t>
            </w:r>
            <w:r w:rsidR="000A2AE8">
              <w:rPr>
                <w:b/>
                <w:bCs/>
              </w:rPr>
              <w:t xml:space="preserve">. </w:t>
            </w:r>
            <w:r w:rsidR="008E5AF4">
              <w:rPr>
                <w:b/>
                <w:bCs/>
              </w:rPr>
              <w:t xml:space="preserve">Differentiated </w:t>
            </w:r>
            <w:r w:rsidR="0056702E">
              <w:rPr>
                <w:b/>
                <w:bCs/>
              </w:rPr>
              <w:t>levy</w:t>
            </w:r>
            <w:r w:rsidR="008E5AF4">
              <w:rPr>
                <w:b/>
                <w:bCs/>
              </w:rPr>
              <w:t xml:space="preserve"> based on cargo</w:t>
            </w:r>
            <w:r w:rsidR="0056702E">
              <w:rPr>
                <w:b/>
                <w:bCs/>
              </w:rPr>
              <w:t xml:space="preserve"> categories</w:t>
            </w:r>
          </w:p>
        </w:tc>
        <w:tc>
          <w:tcPr>
            <w:tcW w:w="2708" w:type="dxa"/>
          </w:tcPr>
          <w:p w14:paraId="07D88205" w14:textId="41F2F61F" w:rsidR="0056702E" w:rsidRPr="00E07314" w:rsidRDefault="0056702E" w:rsidP="00E07314">
            <w:r>
              <w:t>$</w:t>
            </w:r>
            <w:r w:rsidR="00C40A83">
              <w:t>V</w:t>
            </w:r>
            <w:r>
              <w:t>/LCL</w:t>
            </w:r>
            <w:r w:rsidRPr="008669D0">
              <w:rPr>
                <w:sz w:val="32"/>
                <w:szCs w:val="32"/>
                <w:vertAlign w:val="superscript"/>
              </w:rPr>
              <w:t>#</w:t>
            </w:r>
            <w:r w:rsidR="00E07314">
              <w:rPr>
                <w:sz w:val="32"/>
                <w:szCs w:val="32"/>
              </w:rPr>
              <w:t xml:space="preserve"> </w:t>
            </w:r>
            <w:r w:rsidR="00E07314" w:rsidRPr="00E07314">
              <w:rPr>
                <w:szCs w:val="22"/>
              </w:rPr>
              <w:t xml:space="preserve">per </w:t>
            </w:r>
            <w:r w:rsidR="00034B34">
              <w:rPr>
                <w:szCs w:val="22"/>
              </w:rPr>
              <w:t>consignm</w:t>
            </w:r>
            <w:r w:rsidR="00E07314" w:rsidRPr="00E07314">
              <w:rPr>
                <w:szCs w:val="22"/>
              </w:rPr>
              <w:t>ent</w:t>
            </w:r>
          </w:p>
          <w:p w14:paraId="14B87D01" w14:textId="52165A16" w:rsidR="001009F4" w:rsidRDefault="008669D0" w:rsidP="00D44981">
            <w:r>
              <w:t>$W/FCL*</w:t>
            </w:r>
            <w:r w:rsidR="00E07314">
              <w:t xml:space="preserve"> per </w:t>
            </w:r>
            <w:r w:rsidR="002F29B1">
              <w:t>container</w:t>
            </w:r>
          </w:p>
          <w:p w14:paraId="279DAA91" w14:textId="1505A5DB" w:rsidR="0056702E" w:rsidRDefault="0056702E" w:rsidP="00D44981">
            <w:r>
              <w:t>$</w:t>
            </w:r>
            <w:r w:rsidR="00C40A83">
              <w:t>X</w:t>
            </w:r>
            <w:r>
              <w:t>/per unit, VIN</w:t>
            </w:r>
            <w:r w:rsidRPr="008669D0">
              <w:rPr>
                <w:rFonts w:cstheme="minorHAnsi"/>
                <w:sz w:val="32"/>
                <w:szCs w:val="32"/>
                <w:vertAlign w:val="superscript"/>
              </w:rPr>
              <w:t>µ</w:t>
            </w:r>
            <w:r>
              <w:t>, tonne of break bulk</w:t>
            </w:r>
          </w:p>
          <w:p w14:paraId="59C2C83B" w14:textId="492C2E0C" w:rsidR="0056702E" w:rsidRDefault="0056702E" w:rsidP="00D44981">
            <w:r>
              <w:t>$</w:t>
            </w:r>
            <w:r w:rsidR="00C40A83">
              <w:t>Y/</w:t>
            </w:r>
            <w:r>
              <w:t>bulk</w:t>
            </w:r>
            <w:r w:rsidR="00C40A83">
              <w:t xml:space="preserve"> </w:t>
            </w:r>
            <w:r w:rsidR="00034B34">
              <w:t>consignment</w:t>
            </w:r>
            <w:r w:rsidR="00C13AB2">
              <w:t xml:space="preserve"> </w:t>
            </w:r>
            <w:r w:rsidR="00C40A83">
              <w:t>(inorganic)</w:t>
            </w:r>
          </w:p>
          <w:p w14:paraId="6A60E518" w14:textId="6C2C4549" w:rsidR="00C40A83" w:rsidRDefault="00C40A83" w:rsidP="00D44981">
            <w:r>
              <w:t>$Z/bulk</w:t>
            </w:r>
            <w:r w:rsidR="00C13AB2">
              <w:t xml:space="preserve"> </w:t>
            </w:r>
            <w:r w:rsidR="00034B34">
              <w:t>consignment</w:t>
            </w:r>
            <w:r>
              <w:t xml:space="preserve"> (organic)</w:t>
            </w:r>
          </w:p>
        </w:tc>
        <w:tc>
          <w:tcPr>
            <w:tcW w:w="1174" w:type="dxa"/>
          </w:tcPr>
          <w:p w14:paraId="2241AA9A" w14:textId="123504F1" w:rsidR="000A2AE8" w:rsidRDefault="008E5AF4" w:rsidP="00A14BB0">
            <w:r>
              <w:t>FID</w:t>
            </w:r>
          </w:p>
        </w:tc>
        <w:tc>
          <w:tcPr>
            <w:tcW w:w="1508" w:type="dxa"/>
          </w:tcPr>
          <w:p w14:paraId="4C3AAA77" w14:textId="308E4758" w:rsidR="00D477FD" w:rsidRDefault="000A2AE8">
            <w:pPr>
              <w:rPr>
                <w:color w:val="FF0000"/>
              </w:rPr>
            </w:pPr>
            <w:r>
              <w:rPr>
                <w:color w:val="FF0000"/>
              </w:rPr>
              <w:t>Retain for further consideration</w:t>
            </w:r>
            <w:r w:rsidR="00D477FD">
              <w:rPr>
                <w:color w:val="FF0000"/>
              </w:rPr>
              <w:t xml:space="preserve">- </w:t>
            </w:r>
            <w:r w:rsidR="00047700">
              <w:rPr>
                <w:color w:val="FF0000"/>
              </w:rPr>
              <w:t>subject to</w:t>
            </w:r>
            <w:r w:rsidR="00D477FD" w:rsidRPr="00E07314">
              <w:rPr>
                <w:i/>
                <w:color w:val="FF0000"/>
              </w:rPr>
              <w:t xml:space="preserve"> </w:t>
            </w:r>
            <w:r w:rsidR="00D477FD" w:rsidRPr="00E07314">
              <w:rPr>
                <w:color w:val="FF0000"/>
              </w:rPr>
              <w:t>Biosecurity Risk Data provided by Dep</w:t>
            </w:r>
            <w:r w:rsidR="00E07314">
              <w:rPr>
                <w:color w:val="FF0000"/>
              </w:rPr>
              <w:t>artmen</w:t>
            </w:r>
            <w:r w:rsidR="00D477FD" w:rsidRPr="00E07314">
              <w:rPr>
                <w:color w:val="FF0000"/>
              </w:rPr>
              <w:t>t.</w:t>
            </w:r>
          </w:p>
        </w:tc>
        <w:tc>
          <w:tcPr>
            <w:tcW w:w="6488" w:type="dxa"/>
          </w:tcPr>
          <w:p w14:paraId="557C6768" w14:textId="77777777" w:rsidR="000A2AE8" w:rsidRDefault="008669D0" w:rsidP="00636BD3">
            <w:pPr>
              <w:spacing w:before="0" w:after="0"/>
              <w:rPr>
                <w:b/>
              </w:rPr>
            </w:pPr>
            <w:r>
              <w:rPr>
                <w:b/>
              </w:rPr>
              <w:t>Not biosecurity related but could be tailored to be so once biosecurity risk data is provided</w:t>
            </w:r>
          </w:p>
          <w:p w14:paraId="00624CA2" w14:textId="4267771E" w:rsidR="008669D0" w:rsidRPr="008669D0" w:rsidRDefault="00C40A83" w:rsidP="00636BD3">
            <w:pPr>
              <w:spacing w:before="0" w:after="0"/>
            </w:pPr>
            <w:r>
              <w:t>Could potentially capture various cargo categories based on the level of biosecurity risk (once biosecurity risk data is provided)</w:t>
            </w:r>
          </w:p>
          <w:p w14:paraId="4A327E6D" w14:textId="77777777" w:rsidR="008669D0" w:rsidRDefault="008669D0" w:rsidP="008669D0">
            <w:pPr>
              <w:spacing w:before="0" w:after="0"/>
            </w:pPr>
            <w:r>
              <w:t>Uses existing collection mechanism</w:t>
            </w:r>
          </w:p>
          <w:p w14:paraId="0E28ED7F" w14:textId="084DADE3" w:rsidR="008669D0" w:rsidRDefault="008669D0" w:rsidP="008669D0">
            <w:pPr>
              <w:spacing w:before="0" w:after="0"/>
            </w:pPr>
            <w:r>
              <w:t>Excludes passengers (already subject to the PMC)</w:t>
            </w:r>
          </w:p>
          <w:p w14:paraId="5B373D27" w14:textId="77777777" w:rsidR="00C40A83" w:rsidRDefault="00C40A83" w:rsidP="00C40A83">
            <w:pPr>
              <w:spacing w:before="0" w:after="0"/>
            </w:pPr>
            <w:r>
              <w:t>Any impost on inorganic bulk difficult to justify on risk grounds</w:t>
            </w:r>
          </w:p>
          <w:p w14:paraId="5C1332B3" w14:textId="2CEDEEE1" w:rsidR="008669D0" w:rsidRDefault="008669D0" w:rsidP="008669D0">
            <w:pPr>
              <w:spacing w:before="0" w:after="0"/>
            </w:pPr>
            <w:r w:rsidRPr="002F2885">
              <w:t>Charge for break bulk to consider the substantial direct costs already incurred by this sector for risk mitigation treatments, compliance and inspection</w:t>
            </w:r>
          </w:p>
          <w:p w14:paraId="3EF1F359" w14:textId="07991750" w:rsidR="00034B34" w:rsidRDefault="00034B34" w:rsidP="008669D0">
            <w:pPr>
              <w:spacing w:before="0" w:after="0"/>
            </w:pPr>
            <w:r>
              <w:t>Excludes vessels (already subject to cost recovery charges)</w:t>
            </w:r>
          </w:p>
          <w:p w14:paraId="0040C823" w14:textId="5B3C1460" w:rsidR="008669D0" w:rsidRPr="008669D0" w:rsidRDefault="008669D0" w:rsidP="00636BD3">
            <w:pPr>
              <w:spacing w:before="0" w:after="0"/>
            </w:pPr>
            <w:r w:rsidRPr="008669D0">
              <w:rPr>
                <w:sz w:val="32"/>
                <w:szCs w:val="32"/>
                <w:vertAlign w:val="superscript"/>
              </w:rPr>
              <w:t>#</w:t>
            </w:r>
            <w:r>
              <w:rPr>
                <w:sz w:val="32"/>
                <w:szCs w:val="32"/>
                <w:vertAlign w:val="superscript"/>
              </w:rPr>
              <w:t xml:space="preserve"> </w:t>
            </w:r>
            <w:r w:rsidRPr="008669D0">
              <w:t>Less</w:t>
            </w:r>
            <w:r>
              <w:t xml:space="preserve"> than Container Load</w:t>
            </w:r>
          </w:p>
          <w:p w14:paraId="23F08768" w14:textId="474A1628" w:rsidR="008669D0" w:rsidRPr="008669D0" w:rsidRDefault="008669D0" w:rsidP="00636BD3">
            <w:pPr>
              <w:spacing w:before="0" w:after="0"/>
            </w:pPr>
            <w:r>
              <w:t>* Full Container Load</w:t>
            </w:r>
          </w:p>
          <w:p w14:paraId="01AA6CE1" w14:textId="26EEB738" w:rsidR="008669D0" w:rsidRPr="008669D0" w:rsidRDefault="008669D0" w:rsidP="00636BD3">
            <w:pPr>
              <w:spacing w:before="0" w:after="0"/>
            </w:pPr>
            <w:r w:rsidRPr="008669D0">
              <w:rPr>
                <w:rFonts w:cstheme="minorHAnsi"/>
                <w:sz w:val="32"/>
                <w:szCs w:val="32"/>
                <w:vertAlign w:val="superscript"/>
              </w:rPr>
              <w:t>µ</w:t>
            </w:r>
            <w:r>
              <w:rPr>
                <w:rFonts w:cstheme="minorHAnsi"/>
                <w:sz w:val="32"/>
                <w:szCs w:val="32"/>
                <w:vertAlign w:val="superscript"/>
              </w:rPr>
              <w:t xml:space="preserve"> </w:t>
            </w:r>
            <w:r>
              <w:t>Vehicle Identification Number</w:t>
            </w:r>
          </w:p>
        </w:tc>
      </w:tr>
    </w:tbl>
    <w:p w14:paraId="4EAD4199" w14:textId="77777777" w:rsidR="002207FD" w:rsidRDefault="002207FD">
      <w:r>
        <w:br w:type="page"/>
      </w:r>
    </w:p>
    <w:tbl>
      <w:tblPr>
        <w:tblStyle w:val="TableGrid"/>
        <w:tblW w:w="13780" w:type="dxa"/>
        <w:tblInd w:w="0" w:type="dxa"/>
        <w:tblLook w:val="04A0" w:firstRow="1" w:lastRow="0" w:firstColumn="1" w:lastColumn="0" w:noHBand="0" w:noVBand="1"/>
      </w:tblPr>
      <w:tblGrid>
        <w:gridCol w:w="1905"/>
        <w:gridCol w:w="2721"/>
        <w:gridCol w:w="1177"/>
        <w:gridCol w:w="1441"/>
        <w:gridCol w:w="6536"/>
      </w:tblGrid>
      <w:tr w:rsidR="00B01B57" w14:paraId="63B97241" w14:textId="77777777" w:rsidTr="002207FD">
        <w:tc>
          <w:tcPr>
            <w:tcW w:w="1905" w:type="dxa"/>
          </w:tcPr>
          <w:p w14:paraId="2C5578E3" w14:textId="3704C4F4" w:rsidR="00B01B57" w:rsidRDefault="00C13AB2" w:rsidP="00D44981">
            <w:pPr>
              <w:rPr>
                <w:b/>
                <w:bCs/>
              </w:rPr>
            </w:pPr>
            <w:r>
              <w:rPr>
                <w:b/>
                <w:bCs/>
              </w:rPr>
              <w:t>6</w:t>
            </w:r>
            <w:r w:rsidR="002207FD">
              <w:rPr>
                <w:b/>
                <w:bCs/>
              </w:rPr>
              <w:t>. Differentiated levy based on cargo categories</w:t>
            </w:r>
          </w:p>
        </w:tc>
        <w:tc>
          <w:tcPr>
            <w:tcW w:w="2721" w:type="dxa"/>
          </w:tcPr>
          <w:p w14:paraId="6B332108" w14:textId="5E033C92" w:rsidR="002207FD" w:rsidRDefault="002207FD" w:rsidP="002207FD">
            <w:r>
              <w:t>$T/Air</w:t>
            </w:r>
            <w:r w:rsidR="004163D1">
              <w:t>/Mail</w:t>
            </w:r>
            <w:r>
              <w:t xml:space="preserve"> FID&lt;$10,000</w:t>
            </w:r>
          </w:p>
          <w:p w14:paraId="7B9FBF12" w14:textId="13EFA00C" w:rsidR="002207FD" w:rsidRDefault="002207FD" w:rsidP="002207FD">
            <w:r>
              <w:t>$U/Air</w:t>
            </w:r>
            <w:r w:rsidR="004163D1">
              <w:t>/Mail</w:t>
            </w:r>
            <w:r>
              <w:t xml:space="preserve"> FID</w:t>
            </w:r>
            <w:r>
              <w:rPr>
                <w:rFonts w:cstheme="minorHAnsi"/>
              </w:rPr>
              <w:t>≥</w:t>
            </w:r>
            <w:r>
              <w:t>$10,000</w:t>
            </w:r>
          </w:p>
          <w:p w14:paraId="581C2B21" w14:textId="4FB911C6" w:rsidR="002207FD" w:rsidRPr="00E07314" w:rsidRDefault="002207FD" w:rsidP="002207FD">
            <w:r>
              <w:t>$V/LCL</w:t>
            </w:r>
            <w:r w:rsidR="00047700">
              <w:t xml:space="preserve"> </w:t>
            </w:r>
            <w:r w:rsidR="00047700" w:rsidRPr="00E07314">
              <w:t>per</w:t>
            </w:r>
            <w:r w:rsidR="007D32A0" w:rsidRPr="00E07314">
              <w:t xml:space="preserve"> </w:t>
            </w:r>
            <w:r w:rsidR="00034B34">
              <w:t>consignment</w:t>
            </w:r>
          </w:p>
          <w:p w14:paraId="4BAF75C4" w14:textId="22C8FE1B" w:rsidR="002207FD" w:rsidRDefault="002207FD" w:rsidP="002207FD">
            <w:r w:rsidRPr="00E07314">
              <w:t>$W/FCL</w:t>
            </w:r>
            <w:r w:rsidR="00047700" w:rsidRPr="00E07314">
              <w:t xml:space="preserve"> per </w:t>
            </w:r>
            <w:r w:rsidR="002F29B1">
              <w:t>container</w:t>
            </w:r>
          </w:p>
          <w:p w14:paraId="2545C5CF" w14:textId="77777777" w:rsidR="002207FD" w:rsidRDefault="002207FD" w:rsidP="002207FD">
            <w:r>
              <w:t>$X/per unit, VIN, tonne of break bulk</w:t>
            </w:r>
          </w:p>
          <w:p w14:paraId="00C2555E" w14:textId="2CDE07F1" w:rsidR="002207FD" w:rsidRDefault="002207FD" w:rsidP="002207FD">
            <w:r>
              <w:t xml:space="preserve">$Y/bulk </w:t>
            </w:r>
            <w:r w:rsidR="00034B34">
              <w:t>consignment</w:t>
            </w:r>
            <w:r w:rsidR="00D070BE">
              <w:t xml:space="preserve"> </w:t>
            </w:r>
            <w:r>
              <w:t>(inorganic)</w:t>
            </w:r>
          </w:p>
          <w:p w14:paraId="660B66A4" w14:textId="09FC3E47" w:rsidR="00B01B57" w:rsidRDefault="002207FD" w:rsidP="002207FD">
            <w:r>
              <w:t xml:space="preserve">$Z/bulk </w:t>
            </w:r>
            <w:r w:rsidR="00034B34">
              <w:t>consignment</w:t>
            </w:r>
            <w:r w:rsidR="00D070BE">
              <w:t xml:space="preserve"> </w:t>
            </w:r>
            <w:r>
              <w:t>(organic)</w:t>
            </w:r>
          </w:p>
        </w:tc>
        <w:tc>
          <w:tcPr>
            <w:tcW w:w="1177" w:type="dxa"/>
          </w:tcPr>
          <w:p w14:paraId="5E6D9B09" w14:textId="54BB57F4" w:rsidR="002207FD" w:rsidRDefault="002207FD">
            <w:r>
              <w:t>FID</w:t>
            </w:r>
          </w:p>
        </w:tc>
        <w:tc>
          <w:tcPr>
            <w:tcW w:w="1441" w:type="dxa"/>
          </w:tcPr>
          <w:p w14:paraId="2DE192F8" w14:textId="2D4BDF0A" w:rsidR="00B01B57" w:rsidRDefault="002207FD" w:rsidP="00D44981">
            <w:pPr>
              <w:rPr>
                <w:color w:val="FF0000"/>
              </w:rPr>
            </w:pPr>
            <w:r>
              <w:rPr>
                <w:color w:val="FF0000"/>
              </w:rPr>
              <w:t>Retain for further consideration</w:t>
            </w:r>
            <w:r w:rsidR="00E07314">
              <w:rPr>
                <w:color w:val="FF0000"/>
              </w:rPr>
              <w:t xml:space="preserve"> - subject to</w:t>
            </w:r>
            <w:r w:rsidR="00E07314" w:rsidRPr="00E07314">
              <w:rPr>
                <w:i/>
                <w:color w:val="FF0000"/>
              </w:rPr>
              <w:t xml:space="preserve"> </w:t>
            </w:r>
            <w:r w:rsidR="00E07314" w:rsidRPr="00E07314">
              <w:rPr>
                <w:color w:val="FF0000"/>
              </w:rPr>
              <w:t>Biosecurity Risk Data provided by Dep</w:t>
            </w:r>
            <w:r w:rsidR="00E07314">
              <w:rPr>
                <w:color w:val="FF0000"/>
              </w:rPr>
              <w:t>artmen</w:t>
            </w:r>
            <w:r w:rsidR="00E07314" w:rsidRPr="00E07314">
              <w:rPr>
                <w:color w:val="FF0000"/>
              </w:rPr>
              <w:t>t.</w:t>
            </w:r>
          </w:p>
        </w:tc>
        <w:tc>
          <w:tcPr>
            <w:tcW w:w="6536" w:type="dxa"/>
          </w:tcPr>
          <w:p w14:paraId="5427AE25" w14:textId="77777777" w:rsidR="002207FD" w:rsidRDefault="002207FD" w:rsidP="002207FD">
            <w:pPr>
              <w:spacing w:before="0" w:after="0"/>
              <w:rPr>
                <w:b/>
              </w:rPr>
            </w:pPr>
            <w:r>
              <w:rPr>
                <w:b/>
              </w:rPr>
              <w:t>Not biosecurity related but could be tailored to be so once biosecurity risk data is provided</w:t>
            </w:r>
          </w:p>
          <w:p w14:paraId="1150A89F" w14:textId="77777777" w:rsidR="002207FD" w:rsidRPr="008669D0" w:rsidRDefault="002207FD" w:rsidP="002207FD">
            <w:pPr>
              <w:spacing w:before="0" w:after="0"/>
            </w:pPr>
            <w:r>
              <w:t>Could potentially capture various cargo categories based on the level of biosecurity risk (once biosecurity risk data is provided)</w:t>
            </w:r>
          </w:p>
          <w:p w14:paraId="7BB24DC4" w14:textId="77777777" w:rsidR="002207FD" w:rsidRDefault="002207FD" w:rsidP="002207FD">
            <w:pPr>
              <w:spacing w:before="0" w:after="0"/>
            </w:pPr>
            <w:r>
              <w:t>Captures air freight</w:t>
            </w:r>
          </w:p>
          <w:p w14:paraId="5E6193CE" w14:textId="77777777" w:rsidR="002207FD" w:rsidRDefault="002207FD" w:rsidP="002207FD">
            <w:pPr>
              <w:spacing w:before="0" w:after="0"/>
            </w:pPr>
            <w:r>
              <w:t>Uses existing collection mechanism</w:t>
            </w:r>
          </w:p>
          <w:p w14:paraId="607040F1" w14:textId="77777777" w:rsidR="002207FD" w:rsidRDefault="002207FD" w:rsidP="002207FD">
            <w:pPr>
              <w:spacing w:before="0" w:after="0"/>
            </w:pPr>
            <w:r>
              <w:t>Excludes passengers (already subject to the PMC)</w:t>
            </w:r>
          </w:p>
          <w:p w14:paraId="4D784819" w14:textId="77777777" w:rsidR="002207FD" w:rsidRDefault="002207FD" w:rsidP="002207FD">
            <w:pPr>
              <w:spacing w:before="0" w:after="0"/>
            </w:pPr>
            <w:r>
              <w:t>Any impost on inorganic bulk difficult to justify on risk grounds</w:t>
            </w:r>
          </w:p>
          <w:p w14:paraId="39C56414" w14:textId="77777777" w:rsidR="00B01B57" w:rsidRDefault="002207FD" w:rsidP="002207FD">
            <w:pPr>
              <w:spacing w:before="0" w:after="0"/>
            </w:pPr>
            <w:r w:rsidRPr="002F2885">
              <w:t>Charge for break bulk to consider the substantial direct costs already incurred by this sector for risk mitigation treatments, compliance and inspection</w:t>
            </w:r>
          </w:p>
          <w:p w14:paraId="41D000BF" w14:textId="5BC43E9A" w:rsidR="00034B34" w:rsidRDefault="00034B34" w:rsidP="002207FD">
            <w:pPr>
              <w:spacing w:before="0" w:after="0"/>
              <w:rPr>
                <w:b/>
              </w:rPr>
            </w:pPr>
            <w:r>
              <w:t>Excludes vessels (already subject to cost recovery charges)</w:t>
            </w:r>
          </w:p>
        </w:tc>
      </w:tr>
    </w:tbl>
    <w:p w14:paraId="0EEE916B" w14:textId="792EA5DD" w:rsidR="00101B98" w:rsidRPr="00101B98" w:rsidRDefault="00101B98" w:rsidP="00D44879">
      <w:pPr>
        <w:spacing w:before="0" w:after="160" w:line="259" w:lineRule="auto"/>
      </w:pPr>
    </w:p>
    <w:sectPr w:rsidR="00101B98" w:rsidRPr="00101B98" w:rsidSect="00101B9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30CC7A" w14:textId="77777777" w:rsidR="00736E79" w:rsidRDefault="00736E79" w:rsidP="00465E79">
      <w:pPr>
        <w:spacing w:before="0" w:after="0"/>
      </w:pPr>
      <w:r>
        <w:separator/>
      </w:r>
    </w:p>
  </w:endnote>
  <w:endnote w:type="continuationSeparator" w:id="0">
    <w:p w14:paraId="6A48385B" w14:textId="77777777" w:rsidR="00736E79" w:rsidRDefault="00736E79" w:rsidP="00465E7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IDFont+F6">
    <w:altName w:val="Calibri"/>
    <w:panose1 w:val="00000000000000000000"/>
    <w:charset w:val="00"/>
    <w:family w:val="auto"/>
    <w:notTrueType/>
    <w:pitch w:val="default"/>
    <w:sig w:usb0="00000003" w:usb1="00000000" w:usb2="00000000" w:usb3="00000000" w:csb0="00000001" w:csb1="00000000"/>
  </w:font>
  <w:font w:name="Lato-Regular">
    <w:altName w:val="Yu Gothic"/>
    <w:panose1 w:val="00000000000000000000"/>
    <w:charset w:val="80"/>
    <w:family w:val="auto"/>
    <w:notTrueType/>
    <w:pitch w:val="default"/>
    <w:sig w:usb0="00000001" w:usb1="08070000" w:usb2="00000010" w:usb3="00000000" w:csb0="00020000" w:csb1="00000000"/>
  </w:font>
  <w:font w:name="Candara">
    <w:panose1 w:val="020E0502030303020204"/>
    <w:charset w:val="00"/>
    <w:family w:val="swiss"/>
    <w:pitch w:val="variable"/>
    <w:sig w:usb0="A00002EF" w:usb1="4000A44B" w:usb2="00000000" w:usb3="00000000" w:csb0="0000019F" w:csb1="00000000"/>
  </w:font>
  <w:font w:name="CIDFont+F3">
    <w:panose1 w:val="00000000000000000000"/>
    <w:charset w:val="00"/>
    <w:family w:val="auto"/>
    <w:notTrueType/>
    <w:pitch w:val="default"/>
    <w:sig w:usb0="00000003" w:usb1="00000000" w:usb2="00000000" w:usb3="00000000" w:csb0="00000001" w:csb1="00000000"/>
  </w:font>
  <w:font w:name="CIDFont+F1">
    <w:panose1 w:val="00000000000000000000"/>
    <w:charset w:val="00"/>
    <w:family w:val="auto"/>
    <w:notTrueType/>
    <w:pitch w:val="default"/>
    <w:sig w:usb0="00000003" w:usb1="00000000" w:usb2="00000000" w:usb3="00000000" w:csb0="00000001" w:csb1="00000000"/>
  </w:font>
  <w:font w:name="Gill Sans MT">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841357"/>
      <w:docPartObj>
        <w:docPartGallery w:val="Page Numbers (Bottom of Page)"/>
        <w:docPartUnique/>
      </w:docPartObj>
    </w:sdtPr>
    <w:sdtEndPr>
      <w:rPr>
        <w:noProof/>
      </w:rPr>
    </w:sdtEndPr>
    <w:sdtContent>
      <w:p w14:paraId="49DC6FB5" w14:textId="74BF13B9" w:rsidR="004163D1" w:rsidRDefault="004163D1">
        <w:pPr>
          <w:pStyle w:val="Footer"/>
          <w:jc w:val="center"/>
        </w:pPr>
        <w:r>
          <w:fldChar w:fldCharType="begin"/>
        </w:r>
        <w:r>
          <w:instrText xml:space="preserve"> PAGE   \* MERGEFORMAT </w:instrText>
        </w:r>
        <w:r>
          <w:fldChar w:fldCharType="separate"/>
        </w:r>
        <w:r w:rsidR="008827C0">
          <w:rPr>
            <w:noProof/>
          </w:rPr>
          <w:t>viii</w:t>
        </w:r>
        <w:r>
          <w:rPr>
            <w:noProof/>
          </w:rPr>
          <w:fldChar w:fldCharType="end"/>
        </w:r>
      </w:p>
    </w:sdtContent>
  </w:sdt>
  <w:p w14:paraId="36D1A65E" w14:textId="77777777" w:rsidR="004163D1" w:rsidRDefault="004163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3E28A7" w14:textId="77777777" w:rsidR="00736E79" w:rsidRDefault="00736E79" w:rsidP="00465E79">
      <w:pPr>
        <w:spacing w:before="0" w:after="0"/>
      </w:pPr>
      <w:r>
        <w:separator/>
      </w:r>
    </w:p>
  </w:footnote>
  <w:footnote w:type="continuationSeparator" w:id="0">
    <w:p w14:paraId="0C7A723E" w14:textId="77777777" w:rsidR="00736E79" w:rsidRDefault="00736E79" w:rsidP="00465E79">
      <w:pPr>
        <w:spacing w:before="0" w:after="0"/>
      </w:pPr>
      <w:r>
        <w:continuationSeparator/>
      </w:r>
    </w:p>
  </w:footnote>
  <w:footnote w:id="1">
    <w:p w14:paraId="54FEE4F8" w14:textId="363D263F" w:rsidR="004163D1" w:rsidRDefault="004163D1" w:rsidP="00AD4C31">
      <w:pPr>
        <w:pStyle w:val="FootnoteText"/>
        <w:tabs>
          <w:tab w:val="clear" w:pos="170"/>
        </w:tabs>
        <w:ind w:left="0" w:firstLine="0"/>
      </w:pPr>
      <w:r>
        <w:rPr>
          <w:rStyle w:val="FootnoteReference"/>
        </w:rPr>
        <w:footnoteRef/>
      </w:r>
      <w:r>
        <w:t xml:space="preserve"> </w:t>
      </w:r>
      <w:r w:rsidRPr="005D5581">
        <w:rPr>
          <w:rFonts w:asciiTheme="minorHAnsi" w:hAnsiTheme="minorHAnsi"/>
          <w:i/>
        </w:rPr>
        <w:t>Alien species</w:t>
      </w:r>
      <w:r w:rsidRPr="005D5581">
        <w:rPr>
          <w:rFonts w:asciiTheme="minorHAnsi" w:hAnsiTheme="minorHAnsi"/>
        </w:rPr>
        <w:t xml:space="preserve"> (non-native, non-indigenous, foreign, exot</w:t>
      </w:r>
      <w:r>
        <w:rPr>
          <w:rFonts w:asciiTheme="minorHAnsi" w:hAnsiTheme="minorHAnsi"/>
        </w:rPr>
        <w:t>ic) means a species or sub-species</w:t>
      </w:r>
      <w:r w:rsidRPr="005D5581">
        <w:rPr>
          <w:rFonts w:asciiTheme="minorHAnsi" w:hAnsiTheme="minorHAnsi"/>
        </w:rPr>
        <w:t xml:space="preserve"> occurring outside of its natural range (past or present) and dispersal potential (i.e. outside the range it occupies naturally or could not occupy without direct or indirect introduction or care by humans) and includes any part,</w:t>
      </w:r>
      <w:r>
        <w:t xml:space="preserve"> </w:t>
      </w:r>
      <w:r w:rsidRPr="005D5581">
        <w:rPr>
          <w:rFonts w:asciiTheme="minorHAnsi" w:hAnsiTheme="minorHAnsi"/>
        </w:rPr>
        <w:t>gametes or propagule of</w:t>
      </w:r>
      <w:r>
        <w:t xml:space="preserve"> </w:t>
      </w:r>
      <w:r w:rsidRPr="005D5581">
        <w:rPr>
          <w:rFonts w:asciiTheme="minorHAnsi" w:hAnsiTheme="minorHAnsi"/>
        </w:rPr>
        <w:t>such</w:t>
      </w:r>
      <w:r>
        <w:t xml:space="preserve"> </w:t>
      </w:r>
      <w:r w:rsidRPr="005D5581">
        <w:rPr>
          <w:rFonts w:asciiTheme="minorHAnsi" w:hAnsiTheme="minorHAnsi"/>
        </w:rPr>
        <w:t xml:space="preserve">species that might survive and subsequently reproduce </w:t>
      </w:r>
      <w:sdt>
        <w:sdtPr>
          <w:rPr>
            <w:rFonts w:asciiTheme="minorHAnsi" w:hAnsiTheme="minorHAnsi"/>
          </w:rPr>
          <w:id w:val="-386419660"/>
          <w:citation/>
        </w:sdtPr>
        <w:sdtEndPr/>
        <w:sdtContent>
          <w:r w:rsidRPr="005D5581">
            <w:rPr>
              <w:rFonts w:asciiTheme="minorHAnsi" w:hAnsiTheme="minorHAnsi"/>
            </w:rPr>
            <w:fldChar w:fldCharType="begin"/>
          </w:r>
          <w:r w:rsidRPr="005D5581">
            <w:rPr>
              <w:rFonts w:asciiTheme="minorHAnsi" w:hAnsiTheme="minorHAnsi"/>
            </w:rPr>
            <w:instrText xml:space="preserve"> CITATION Int00 \l 3081 </w:instrText>
          </w:r>
          <w:r w:rsidRPr="005D5581">
            <w:rPr>
              <w:rFonts w:asciiTheme="minorHAnsi" w:hAnsiTheme="minorHAnsi"/>
            </w:rPr>
            <w:fldChar w:fldCharType="separate"/>
          </w:r>
          <w:r w:rsidRPr="00604A29">
            <w:rPr>
              <w:rFonts w:asciiTheme="minorHAnsi" w:hAnsiTheme="minorHAnsi"/>
              <w:noProof/>
            </w:rPr>
            <w:t>(International Union for Conservation of Nature, 2000)</w:t>
          </w:r>
          <w:r w:rsidRPr="005D5581">
            <w:rPr>
              <w:rFonts w:asciiTheme="minorHAnsi" w:hAnsiTheme="minorHAnsi"/>
            </w:rPr>
            <w:fldChar w:fldCharType="end"/>
          </w:r>
        </w:sdtContent>
      </w:sdt>
      <w:r w:rsidRPr="005D5581">
        <w:rPr>
          <w:rFonts w:asciiTheme="minorHAnsi" w:hAnsiTheme="minorHAnsi"/>
        </w:rPr>
        <w:t xml:space="preserve">. </w:t>
      </w:r>
      <w:r w:rsidRPr="005D5581">
        <w:rPr>
          <w:rFonts w:asciiTheme="minorHAnsi" w:hAnsiTheme="minorHAnsi"/>
          <w:i/>
        </w:rPr>
        <w:t>Alien invasive species</w:t>
      </w:r>
      <w:r w:rsidRPr="005D5581">
        <w:rPr>
          <w:rFonts w:asciiTheme="minorHAnsi" w:hAnsiTheme="minorHAnsi"/>
        </w:rPr>
        <w:t xml:space="preserve"> means an alien species which becomes established in natural or semi-natural ecosystems or habitat, is an agent of change, and threatens native biological diversity.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D8FE40C"/>
    <w:multiLevelType w:val="hybridMultilevel"/>
    <w:tmpl w:val="0F87C9E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C2C3D"/>
    <w:multiLevelType w:val="hybridMultilevel"/>
    <w:tmpl w:val="A9165124"/>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2" w15:restartNumberingAfterBreak="0">
    <w:nsid w:val="07FF63F1"/>
    <w:multiLevelType w:val="hybridMultilevel"/>
    <w:tmpl w:val="C5EED1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097BE5"/>
    <w:multiLevelType w:val="hybridMultilevel"/>
    <w:tmpl w:val="FA1E0C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C01CDD"/>
    <w:multiLevelType w:val="hybridMultilevel"/>
    <w:tmpl w:val="F0908382"/>
    <w:lvl w:ilvl="0" w:tplc="7E26D520">
      <w:start w:val="1"/>
      <w:numFmt w:val="bullet"/>
      <w:lvlText w:val=""/>
      <w:lvlJc w:val="left"/>
      <w:pPr>
        <w:ind w:left="720" w:hanging="360"/>
      </w:pPr>
      <w:rPr>
        <w:rFonts w:ascii="Symbol" w:hAnsi="Symbol" w:hint="default"/>
      </w:rPr>
    </w:lvl>
    <w:lvl w:ilvl="1" w:tplc="CA3282B8">
      <w:start w:val="1"/>
      <w:numFmt w:val="bullet"/>
      <w:lvlText w:val="o"/>
      <w:lvlJc w:val="left"/>
      <w:pPr>
        <w:ind w:left="1440" w:hanging="360"/>
      </w:pPr>
      <w:rPr>
        <w:rFonts w:ascii="Courier New" w:hAnsi="Courier New" w:hint="default"/>
      </w:rPr>
    </w:lvl>
    <w:lvl w:ilvl="2" w:tplc="437AEA12">
      <w:start w:val="1"/>
      <w:numFmt w:val="bullet"/>
      <w:lvlText w:val=""/>
      <w:lvlJc w:val="left"/>
      <w:pPr>
        <w:ind w:left="2160" w:hanging="360"/>
      </w:pPr>
      <w:rPr>
        <w:rFonts w:ascii="Wingdings" w:hAnsi="Wingdings" w:hint="default"/>
      </w:rPr>
    </w:lvl>
    <w:lvl w:ilvl="3" w:tplc="31C22F14">
      <w:start w:val="1"/>
      <w:numFmt w:val="bullet"/>
      <w:lvlText w:val=""/>
      <w:lvlJc w:val="left"/>
      <w:pPr>
        <w:ind w:left="2880" w:hanging="360"/>
      </w:pPr>
      <w:rPr>
        <w:rFonts w:ascii="Symbol" w:hAnsi="Symbol" w:hint="default"/>
      </w:rPr>
    </w:lvl>
    <w:lvl w:ilvl="4" w:tplc="72E06B9E">
      <w:start w:val="1"/>
      <w:numFmt w:val="bullet"/>
      <w:lvlText w:val="o"/>
      <w:lvlJc w:val="left"/>
      <w:pPr>
        <w:ind w:left="3600" w:hanging="360"/>
      </w:pPr>
      <w:rPr>
        <w:rFonts w:ascii="Courier New" w:hAnsi="Courier New" w:hint="default"/>
      </w:rPr>
    </w:lvl>
    <w:lvl w:ilvl="5" w:tplc="EBE08C1E">
      <w:start w:val="1"/>
      <w:numFmt w:val="bullet"/>
      <w:lvlText w:val=""/>
      <w:lvlJc w:val="left"/>
      <w:pPr>
        <w:ind w:left="4320" w:hanging="360"/>
      </w:pPr>
      <w:rPr>
        <w:rFonts w:ascii="Wingdings" w:hAnsi="Wingdings" w:hint="default"/>
      </w:rPr>
    </w:lvl>
    <w:lvl w:ilvl="6" w:tplc="BD808D2C">
      <w:start w:val="1"/>
      <w:numFmt w:val="bullet"/>
      <w:lvlText w:val=""/>
      <w:lvlJc w:val="left"/>
      <w:pPr>
        <w:ind w:left="5040" w:hanging="360"/>
      </w:pPr>
      <w:rPr>
        <w:rFonts w:ascii="Symbol" w:hAnsi="Symbol" w:hint="default"/>
      </w:rPr>
    </w:lvl>
    <w:lvl w:ilvl="7" w:tplc="64F6BBBC">
      <w:start w:val="1"/>
      <w:numFmt w:val="bullet"/>
      <w:lvlText w:val="o"/>
      <w:lvlJc w:val="left"/>
      <w:pPr>
        <w:ind w:left="5760" w:hanging="360"/>
      </w:pPr>
      <w:rPr>
        <w:rFonts w:ascii="Courier New" w:hAnsi="Courier New" w:hint="default"/>
      </w:rPr>
    </w:lvl>
    <w:lvl w:ilvl="8" w:tplc="D08C2414">
      <w:start w:val="1"/>
      <w:numFmt w:val="bullet"/>
      <w:lvlText w:val=""/>
      <w:lvlJc w:val="left"/>
      <w:pPr>
        <w:ind w:left="6480" w:hanging="360"/>
      </w:pPr>
      <w:rPr>
        <w:rFonts w:ascii="Wingdings" w:hAnsi="Wingdings" w:hint="default"/>
      </w:rPr>
    </w:lvl>
  </w:abstractNum>
  <w:abstractNum w:abstractNumId="5" w15:restartNumberingAfterBreak="0">
    <w:nsid w:val="0EFC0683"/>
    <w:multiLevelType w:val="hybridMultilevel"/>
    <w:tmpl w:val="01989022"/>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6" w15:restartNumberingAfterBreak="0">
    <w:nsid w:val="0FEB606C"/>
    <w:multiLevelType w:val="hybridMultilevel"/>
    <w:tmpl w:val="D2CA4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8D5992"/>
    <w:multiLevelType w:val="hybridMultilevel"/>
    <w:tmpl w:val="F148DFF2"/>
    <w:lvl w:ilvl="0" w:tplc="324A9112">
      <w:start w:val="6"/>
      <w:numFmt w:val="bullet"/>
      <w:lvlText w:val=""/>
      <w:lvlJc w:val="left"/>
      <w:pPr>
        <w:ind w:left="720" w:hanging="360"/>
      </w:pPr>
      <w:rPr>
        <w:rFonts w:ascii="Wingdings" w:eastAsia="Times New Roman" w:hAnsi="Wingdings" w:cs="Cambr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AB2E6D"/>
    <w:multiLevelType w:val="hybridMultilevel"/>
    <w:tmpl w:val="8D2EB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A92562"/>
    <w:multiLevelType w:val="hybridMultilevel"/>
    <w:tmpl w:val="B1188E2A"/>
    <w:lvl w:ilvl="0" w:tplc="45A4F018">
      <w:start w:val="1"/>
      <w:numFmt w:val="bullet"/>
      <w:lvlText w:val=""/>
      <w:lvlJc w:val="left"/>
      <w:pPr>
        <w:ind w:left="720" w:hanging="360"/>
      </w:pPr>
      <w:rPr>
        <w:rFonts w:ascii="Symbol" w:hAnsi="Symbol" w:hint="default"/>
      </w:rPr>
    </w:lvl>
    <w:lvl w:ilvl="1" w:tplc="8B94124C">
      <w:start w:val="1"/>
      <w:numFmt w:val="bullet"/>
      <w:lvlText w:val="o"/>
      <w:lvlJc w:val="left"/>
      <w:pPr>
        <w:ind w:left="1440" w:hanging="360"/>
      </w:pPr>
      <w:rPr>
        <w:rFonts w:ascii="Courier New" w:hAnsi="Courier New" w:hint="default"/>
      </w:rPr>
    </w:lvl>
    <w:lvl w:ilvl="2" w:tplc="4D065B8A">
      <w:start w:val="1"/>
      <w:numFmt w:val="bullet"/>
      <w:lvlText w:val=""/>
      <w:lvlJc w:val="left"/>
      <w:pPr>
        <w:ind w:left="2160" w:hanging="360"/>
      </w:pPr>
      <w:rPr>
        <w:rFonts w:ascii="Wingdings" w:hAnsi="Wingdings" w:hint="default"/>
      </w:rPr>
    </w:lvl>
    <w:lvl w:ilvl="3" w:tplc="5A585E74">
      <w:start w:val="1"/>
      <w:numFmt w:val="bullet"/>
      <w:lvlText w:val=""/>
      <w:lvlJc w:val="left"/>
      <w:pPr>
        <w:ind w:left="2880" w:hanging="360"/>
      </w:pPr>
      <w:rPr>
        <w:rFonts w:ascii="Symbol" w:hAnsi="Symbol" w:hint="default"/>
      </w:rPr>
    </w:lvl>
    <w:lvl w:ilvl="4" w:tplc="E22A1342">
      <w:start w:val="1"/>
      <w:numFmt w:val="bullet"/>
      <w:lvlText w:val="o"/>
      <w:lvlJc w:val="left"/>
      <w:pPr>
        <w:ind w:left="3600" w:hanging="360"/>
      </w:pPr>
      <w:rPr>
        <w:rFonts w:ascii="Courier New" w:hAnsi="Courier New" w:hint="default"/>
      </w:rPr>
    </w:lvl>
    <w:lvl w:ilvl="5" w:tplc="34087C52">
      <w:start w:val="1"/>
      <w:numFmt w:val="bullet"/>
      <w:lvlText w:val=""/>
      <w:lvlJc w:val="left"/>
      <w:pPr>
        <w:ind w:left="4320" w:hanging="360"/>
      </w:pPr>
      <w:rPr>
        <w:rFonts w:ascii="Wingdings" w:hAnsi="Wingdings" w:hint="default"/>
      </w:rPr>
    </w:lvl>
    <w:lvl w:ilvl="6" w:tplc="E0D01DB6">
      <w:start w:val="1"/>
      <w:numFmt w:val="bullet"/>
      <w:lvlText w:val=""/>
      <w:lvlJc w:val="left"/>
      <w:pPr>
        <w:ind w:left="5040" w:hanging="360"/>
      </w:pPr>
      <w:rPr>
        <w:rFonts w:ascii="Symbol" w:hAnsi="Symbol" w:hint="default"/>
      </w:rPr>
    </w:lvl>
    <w:lvl w:ilvl="7" w:tplc="16563806">
      <w:start w:val="1"/>
      <w:numFmt w:val="bullet"/>
      <w:lvlText w:val="o"/>
      <w:lvlJc w:val="left"/>
      <w:pPr>
        <w:ind w:left="5760" w:hanging="360"/>
      </w:pPr>
      <w:rPr>
        <w:rFonts w:ascii="Courier New" w:hAnsi="Courier New" w:hint="default"/>
      </w:rPr>
    </w:lvl>
    <w:lvl w:ilvl="8" w:tplc="854E856A">
      <w:start w:val="1"/>
      <w:numFmt w:val="bullet"/>
      <w:lvlText w:val=""/>
      <w:lvlJc w:val="left"/>
      <w:pPr>
        <w:ind w:left="6480" w:hanging="360"/>
      </w:pPr>
      <w:rPr>
        <w:rFonts w:ascii="Wingdings" w:hAnsi="Wingdings" w:hint="default"/>
      </w:rPr>
    </w:lvl>
  </w:abstractNum>
  <w:abstractNum w:abstractNumId="10" w15:restartNumberingAfterBreak="0">
    <w:nsid w:val="1F1064BE"/>
    <w:multiLevelType w:val="hybridMultilevel"/>
    <w:tmpl w:val="1AB63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D529D8"/>
    <w:multiLevelType w:val="hybridMultilevel"/>
    <w:tmpl w:val="DA6AD4A6"/>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2" w15:restartNumberingAfterBreak="0">
    <w:nsid w:val="2B690A9D"/>
    <w:multiLevelType w:val="hybridMultilevel"/>
    <w:tmpl w:val="8EFCC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D32CDF"/>
    <w:multiLevelType w:val="hybridMultilevel"/>
    <w:tmpl w:val="47946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5A72EE"/>
    <w:multiLevelType w:val="hybridMultilevel"/>
    <w:tmpl w:val="A404B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3F5440"/>
    <w:multiLevelType w:val="hybridMultilevel"/>
    <w:tmpl w:val="DDD6E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E8050A"/>
    <w:multiLevelType w:val="hybridMultilevel"/>
    <w:tmpl w:val="20EECF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B432C8C"/>
    <w:multiLevelType w:val="hybridMultilevel"/>
    <w:tmpl w:val="50FEA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4A0194"/>
    <w:multiLevelType w:val="hybridMultilevel"/>
    <w:tmpl w:val="6C046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515C30"/>
    <w:multiLevelType w:val="hybridMultilevel"/>
    <w:tmpl w:val="C9CC33B0"/>
    <w:lvl w:ilvl="0" w:tplc="2DAC8DD2">
      <w:start w:val="1"/>
      <w:numFmt w:val="bullet"/>
      <w:lvlText w:val=""/>
      <w:lvlJc w:val="left"/>
      <w:pPr>
        <w:ind w:left="720" w:hanging="360"/>
      </w:pPr>
      <w:rPr>
        <w:rFonts w:ascii="Symbol" w:hAnsi="Symbol" w:hint="default"/>
      </w:rPr>
    </w:lvl>
    <w:lvl w:ilvl="1" w:tplc="43BC01FC">
      <w:start w:val="1"/>
      <w:numFmt w:val="bullet"/>
      <w:lvlText w:val="o"/>
      <w:lvlJc w:val="left"/>
      <w:pPr>
        <w:ind w:left="1440" w:hanging="360"/>
      </w:pPr>
      <w:rPr>
        <w:rFonts w:ascii="Courier New" w:hAnsi="Courier New" w:hint="default"/>
      </w:rPr>
    </w:lvl>
    <w:lvl w:ilvl="2" w:tplc="A0B27D7A">
      <w:start w:val="1"/>
      <w:numFmt w:val="bullet"/>
      <w:lvlText w:val=""/>
      <w:lvlJc w:val="left"/>
      <w:pPr>
        <w:ind w:left="2160" w:hanging="360"/>
      </w:pPr>
      <w:rPr>
        <w:rFonts w:ascii="Wingdings" w:hAnsi="Wingdings" w:hint="default"/>
      </w:rPr>
    </w:lvl>
    <w:lvl w:ilvl="3" w:tplc="2A1256BE">
      <w:start w:val="1"/>
      <w:numFmt w:val="bullet"/>
      <w:lvlText w:val=""/>
      <w:lvlJc w:val="left"/>
      <w:pPr>
        <w:ind w:left="2880" w:hanging="360"/>
      </w:pPr>
      <w:rPr>
        <w:rFonts w:ascii="Symbol" w:hAnsi="Symbol" w:hint="default"/>
      </w:rPr>
    </w:lvl>
    <w:lvl w:ilvl="4" w:tplc="28F0F0A4">
      <w:start w:val="1"/>
      <w:numFmt w:val="bullet"/>
      <w:lvlText w:val="o"/>
      <w:lvlJc w:val="left"/>
      <w:pPr>
        <w:ind w:left="3600" w:hanging="360"/>
      </w:pPr>
      <w:rPr>
        <w:rFonts w:ascii="Courier New" w:hAnsi="Courier New" w:hint="default"/>
      </w:rPr>
    </w:lvl>
    <w:lvl w:ilvl="5" w:tplc="6792E25C">
      <w:start w:val="1"/>
      <w:numFmt w:val="bullet"/>
      <w:lvlText w:val=""/>
      <w:lvlJc w:val="left"/>
      <w:pPr>
        <w:ind w:left="4320" w:hanging="360"/>
      </w:pPr>
      <w:rPr>
        <w:rFonts w:ascii="Wingdings" w:hAnsi="Wingdings" w:hint="default"/>
      </w:rPr>
    </w:lvl>
    <w:lvl w:ilvl="6" w:tplc="9DC2B3C2">
      <w:start w:val="1"/>
      <w:numFmt w:val="bullet"/>
      <w:lvlText w:val=""/>
      <w:lvlJc w:val="left"/>
      <w:pPr>
        <w:ind w:left="5040" w:hanging="360"/>
      </w:pPr>
      <w:rPr>
        <w:rFonts w:ascii="Symbol" w:hAnsi="Symbol" w:hint="default"/>
      </w:rPr>
    </w:lvl>
    <w:lvl w:ilvl="7" w:tplc="8F7C11EE">
      <w:start w:val="1"/>
      <w:numFmt w:val="bullet"/>
      <w:lvlText w:val="o"/>
      <w:lvlJc w:val="left"/>
      <w:pPr>
        <w:ind w:left="5760" w:hanging="360"/>
      </w:pPr>
      <w:rPr>
        <w:rFonts w:ascii="Courier New" w:hAnsi="Courier New" w:hint="default"/>
      </w:rPr>
    </w:lvl>
    <w:lvl w:ilvl="8" w:tplc="1DC8FEA6">
      <w:start w:val="1"/>
      <w:numFmt w:val="bullet"/>
      <w:lvlText w:val=""/>
      <w:lvlJc w:val="left"/>
      <w:pPr>
        <w:ind w:left="6480" w:hanging="360"/>
      </w:pPr>
      <w:rPr>
        <w:rFonts w:ascii="Wingdings" w:hAnsi="Wingdings" w:hint="default"/>
      </w:rPr>
    </w:lvl>
  </w:abstractNum>
  <w:abstractNum w:abstractNumId="20" w15:restartNumberingAfterBreak="0">
    <w:nsid w:val="4E4F61E0"/>
    <w:multiLevelType w:val="hybridMultilevel"/>
    <w:tmpl w:val="18F84E30"/>
    <w:lvl w:ilvl="0" w:tplc="FDFEB094">
      <w:start w:val="1"/>
      <w:numFmt w:val="bullet"/>
      <w:lvlText w:val=""/>
      <w:lvlJc w:val="left"/>
      <w:pPr>
        <w:ind w:left="720" w:hanging="360"/>
      </w:pPr>
      <w:rPr>
        <w:rFonts w:ascii="Symbol" w:hAnsi="Symbol" w:hint="default"/>
      </w:rPr>
    </w:lvl>
    <w:lvl w:ilvl="1" w:tplc="B35ECC6C">
      <w:start w:val="1"/>
      <w:numFmt w:val="bullet"/>
      <w:lvlText w:val="o"/>
      <w:lvlJc w:val="left"/>
      <w:pPr>
        <w:ind w:left="1440" w:hanging="360"/>
      </w:pPr>
      <w:rPr>
        <w:rFonts w:ascii="Courier New" w:hAnsi="Courier New" w:hint="default"/>
      </w:rPr>
    </w:lvl>
    <w:lvl w:ilvl="2" w:tplc="C0423126">
      <w:start w:val="1"/>
      <w:numFmt w:val="bullet"/>
      <w:lvlText w:val=""/>
      <w:lvlJc w:val="left"/>
      <w:pPr>
        <w:ind w:left="2160" w:hanging="360"/>
      </w:pPr>
      <w:rPr>
        <w:rFonts w:ascii="Wingdings" w:hAnsi="Wingdings" w:hint="default"/>
      </w:rPr>
    </w:lvl>
    <w:lvl w:ilvl="3" w:tplc="ED8216CA">
      <w:start w:val="1"/>
      <w:numFmt w:val="bullet"/>
      <w:lvlText w:val=""/>
      <w:lvlJc w:val="left"/>
      <w:pPr>
        <w:ind w:left="2880" w:hanging="360"/>
      </w:pPr>
      <w:rPr>
        <w:rFonts w:ascii="Symbol" w:hAnsi="Symbol" w:hint="default"/>
      </w:rPr>
    </w:lvl>
    <w:lvl w:ilvl="4" w:tplc="CA8CE73E">
      <w:start w:val="1"/>
      <w:numFmt w:val="bullet"/>
      <w:lvlText w:val="o"/>
      <w:lvlJc w:val="left"/>
      <w:pPr>
        <w:ind w:left="3600" w:hanging="360"/>
      </w:pPr>
      <w:rPr>
        <w:rFonts w:ascii="Courier New" w:hAnsi="Courier New" w:hint="default"/>
      </w:rPr>
    </w:lvl>
    <w:lvl w:ilvl="5" w:tplc="CE8A2B68">
      <w:start w:val="1"/>
      <w:numFmt w:val="bullet"/>
      <w:lvlText w:val=""/>
      <w:lvlJc w:val="left"/>
      <w:pPr>
        <w:ind w:left="4320" w:hanging="360"/>
      </w:pPr>
      <w:rPr>
        <w:rFonts w:ascii="Wingdings" w:hAnsi="Wingdings" w:hint="default"/>
      </w:rPr>
    </w:lvl>
    <w:lvl w:ilvl="6" w:tplc="90848772">
      <w:start w:val="1"/>
      <w:numFmt w:val="bullet"/>
      <w:lvlText w:val=""/>
      <w:lvlJc w:val="left"/>
      <w:pPr>
        <w:ind w:left="5040" w:hanging="360"/>
      </w:pPr>
      <w:rPr>
        <w:rFonts w:ascii="Symbol" w:hAnsi="Symbol" w:hint="default"/>
      </w:rPr>
    </w:lvl>
    <w:lvl w:ilvl="7" w:tplc="82CE9830">
      <w:start w:val="1"/>
      <w:numFmt w:val="bullet"/>
      <w:lvlText w:val="o"/>
      <w:lvlJc w:val="left"/>
      <w:pPr>
        <w:ind w:left="5760" w:hanging="360"/>
      </w:pPr>
      <w:rPr>
        <w:rFonts w:ascii="Courier New" w:hAnsi="Courier New" w:hint="default"/>
      </w:rPr>
    </w:lvl>
    <w:lvl w:ilvl="8" w:tplc="0CAC7D14">
      <w:start w:val="1"/>
      <w:numFmt w:val="bullet"/>
      <w:lvlText w:val=""/>
      <w:lvlJc w:val="left"/>
      <w:pPr>
        <w:ind w:left="6480" w:hanging="360"/>
      </w:pPr>
      <w:rPr>
        <w:rFonts w:ascii="Wingdings" w:hAnsi="Wingdings" w:hint="default"/>
      </w:rPr>
    </w:lvl>
  </w:abstractNum>
  <w:abstractNum w:abstractNumId="21" w15:restartNumberingAfterBreak="0">
    <w:nsid w:val="51A032B4"/>
    <w:multiLevelType w:val="hybridMultilevel"/>
    <w:tmpl w:val="D4381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B00E30"/>
    <w:multiLevelType w:val="hybridMultilevel"/>
    <w:tmpl w:val="A93C1488"/>
    <w:lvl w:ilvl="0" w:tplc="A91C0540">
      <w:start w:val="6"/>
      <w:numFmt w:val="bullet"/>
      <w:lvlText w:val=""/>
      <w:lvlJc w:val="left"/>
      <w:pPr>
        <w:ind w:left="720" w:hanging="360"/>
      </w:pPr>
      <w:rPr>
        <w:rFonts w:ascii="Wingdings" w:eastAsia="Times New Roman" w:hAnsi="Wingdings" w:cs="Cambr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5A01B1"/>
    <w:multiLevelType w:val="hybridMultilevel"/>
    <w:tmpl w:val="27648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8153B4"/>
    <w:multiLevelType w:val="hybridMultilevel"/>
    <w:tmpl w:val="BDE8F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425A45"/>
    <w:multiLevelType w:val="hybridMultilevel"/>
    <w:tmpl w:val="F0E2D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E37DED"/>
    <w:multiLevelType w:val="hybridMultilevel"/>
    <w:tmpl w:val="9A82E0AA"/>
    <w:lvl w:ilvl="0" w:tplc="9022EFFE">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1B057A0"/>
    <w:multiLevelType w:val="hybridMultilevel"/>
    <w:tmpl w:val="97F41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2A0D82"/>
    <w:multiLevelType w:val="hybridMultilevel"/>
    <w:tmpl w:val="D5F81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E60293"/>
    <w:multiLevelType w:val="hybridMultilevel"/>
    <w:tmpl w:val="DF845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694D52"/>
    <w:multiLevelType w:val="hybridMultilevel"/>
    <w:tmpl w:val="1C0C6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D47674"/>
    <w:multiLevelType w:val="hybridMultilevel"/>
    <w:tmpl w:val="1B420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70383B"/>
    <w:multiLevelType w:val="hybridMultilevel"/>
    <w:tmpl w:val="C488087E"/>
    <w:lvl w:ilvl="0" w:tplc="1D244778">
      <w:start w:val="1"/>
      <w:numFmt w:val="bullet"/>
      <w:lvlText w:val=""/>
      <w:lvlJc w:val="left"/>
      <w:pPr>
        <w:ind w:left="720" w:hanging="360"/>
      </w:pPr>
      <w:rPr>
        <w:rFonts w:ascii="Symbol" w:hAnsi="Symbol" w:hint="default"/>
      </w:rPr>
    </w:lvl>
    <w:lvl w:ilvl="1" w:tplc="48AEBAC6">
      <w:start w:val="1"/>
      <w:numFmt w:val="bullet"/>
      <w:lvlText w:val="o"/>
      <w:lvlJc w:val="left"/>
      <w:pPr>
        <w:ind w:left="1440" w:hanging="360"/>
      </w:pPr>
      <w:rPr>
        <w:rFonts w:ascii="Courier New" w:hAnsi="Courier New" w:hint="default"/>
      </w:rPr>
    </w:lvl>
    <w:lvl w:ilvl="2" w:tplc="E1B6BE6E">
      <w:start w:val="1"/>
      <w:numFmt w:val="bullet"/>
      <w:lvlText w:val=""/>
      <w:lvlJc w:val="left"/>
      <w:pPr>
        <w:ind w:left="2160" w:hanging="360"/>
      </w:pPr>
      <w:rPr>
        <w:rFonts w:ascii="Wingdings" w:hAnsi="Wingdings" w:hint="default"/>
      </w:rPr>
    </w:lvl>
    <w:lvl w:ilvl="3" w:tplc="342E3852">
      <w:start w:val="1"/>
      <w:numFmt w:val="bullet"/>
      <w:lvlText w:val=""/>
      <w:lvlJc w:val="left"/>
      <w:pPr>
        <w:ind w:left="2880" w:hanging="360"/>
      </w:pPr>
      <w:rPr>
        <w:rFonts w:ascii="Symbol" w:hAnsi="Symbol" w:hint="default"/>
      </w:rPr>
    </w:lvl>
    <w:lvl w:ilvl="4" w:tplc="F8FECCF8">
      <w:start w:val="1"/>
      <w:numFmt w:val="bullet"/>
      <w:lvlText w:val="o"/>
      <w:lvlJc w:val="left"/>
      <w:pPr>
        <w:ind w:left="3600" w:hanging="360"/>
      </w:pPr>
      <w:rPr>
        <w:rFonts w:ascii="Courier New" w:hAnsi="Courier New" w:hint="default"/>
      </w:rPr>
    </w:lvl>
    <w:lvl w:ilvl="5" w:tplc="BC14E9C6">
      <w:start w:val="1"/>
      <w:numFmt w:val="bullet"/>
      <w:lvlText w:val=""/>
      <w:lvlJc w:val="left"/>
      <w:pPr>
        <w:ind w:left="4320" w:hanging="360"/>
      </w:pPr>
      <w:rPr>
        <w:rFonts w:ascii="Wingdings" w:hAnsi="Wingdings" w:hint="default"/>
      </w:rPr>
    </w:lvl>
    <w:lvl w:ilvl="6" w:tplc="EACAE09E">
      <w:start w:val="1"/>
      <w:numFmt w:val="bullet"/>
      <w:lvlText w:val=""/>
      <w:lvlJc w:val="left"/>
      <w:pPr>
        <w:ind w:left="5040" w:hanging="360"/>
      </w:pPr>
      <w:rPr>
        <w:rFonts w:ascii="Symbol" w:hAnsi="Symbol" w:hint="default"/>
      </w:rPr>
    </w:lvl>
    <w:lvl w:ilvl="7" w:tplc="AED0D49C">
      <w:start w:val="1"/>
      <w:numFmt w:val="bullet"/>
      <w:lvlText w:val="o"/>
      <w:lvlJc w:val="left"/>
      <w:pPr>
        <w:ind w:left="5760" w:hanging="360"/>
      </w:pPr>
      <w:rPr>
        <w:rFonts w:ascii="Courier New" w:hAnsi="Courier New" w:hint="default"/>
      </w:rPr>
    </w:lvl>
    <w:lvl w:ilvl="8" w:tplc="F864D202">
      <w:start w:val="1"/>
      <w:numFmt w:val="bullet"/>
      <w:lvlText w:val=""/>
      <w:lvlJc w:val="left"/>
      <w:pPr>
        <w:ind w:left="6480" w:hanging="360"/>
      </w:pPr>
      <w:rPr>
        <w:rFonts w:ascii="Wingdings" w:hAnsi="Wingdings" w:hint="default"/>
      </w:rPr>
    </w:lvl>
  </w:abstractNum>
  <w:abstractNum w:abstractNumId="33" w15:restartNumberingAfterBreak="0">
    <w:nsid w:val="7AE15921"/>
    <w:multiLevelType w:val="hybridMultilevel"/>
    <w:tmpl w:val="0F966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475317"/>
    <w:multiLevelType w:val="hybridMultilevel"/>
    <w:tmpl w:val="C7B27FC2"/>
    <w:lvl w:ilvl="0" w:tplc="0C090001">
      <w:start w:val="1"/>
      <w:numFmt w:val="bullet"/>
      <w:lvlText w:val=""/>
      <w:lvlJc w:val="left"/>
      <w:pPr>
        <w:ind w:left="1584" w:hanging="360"/>
      </w:pPr>
      <w:rPr>
        <w:rFonts w:ascii="Symbol" w:hAnsi="Symbol" w:hint="default"/>
      </w:rPr>
    </w:lvl>
    <w:lvl w:ilvl="1" w:tplc="0C090003">
      <w:start w:val="1"/>
      <w:numFmt w:val="bullet"/>
      <w:lvlText w:val="o"/>
      <w:lvlJc w:val="left"/>
      <w:pPr>
        <w:ind w:left="2304" w:hanging="360"/>
      </w:pPr>
      <w:rPr>
        <w:rFonts w:ascii="Courier New" w:hAnsi="Courier New" w:cs="Courier New" w:hint="default"/>
      </w:rPr>
    </w:lvl>
    <w:lvl w:ilvl="2" w:tplc="0C090005">
      <w:start w:val="1"/>
      <w:numFmt w:val="bullet"/>
      <w:lvlText w:val=""/>
      <w:lvlJc w:val="left"/>
      <w:pPr>
        <w:ind w:left="3024" w:hanging="360"/>
      </w:pPr>
      <w:rPr>
        <w:rFonts w:ascii="Wingdings" w:hAnsi="Wingdings" w:hint="default"/>
      </w:rPr>
    </w:lvl>
    <w:lvl w:ilvl="3" w:tplc="0C090001">
      <w:start w:val="1"/>
      <w:numFmt w:val="bullet"/>
      <w:lvlText w:val=""/>
      <w:lvlJc w:val="left"/>
      <w:pPr>
        <w:ind w:left="3744" w:hanging="360"/>
      </w:pPr>
      <w:rPr>
        <w:rFonts w:ascii="Symbol" w:hAnsi="Symbol" w:hint="default"/>
      </w:rPr>
    </w:lvl>
    <w:lvl w:ilvl="4" w:tplc="0C090003">
      <w:start w:val="1"/>
      <w:numFmt w:val="bullet"/>
      <w:lvlText w:val="o"/>
      <w:lvlJc w:val="left"/>
      <w:pPr>
        <w:ind w:left="4464" w:hanging="360"/>
      </w:pPr>
      <w:rPr>
        <w:rFonts w:ascii="Courier New" w:hAnsi="Courier New" w:cs="Courier New" w:hint="default"/>
      </w:rPr>
    </w:lvl>
    <w:lvl w:ilvl="5" w:tplc="0C090005">
      <w:start w:val="1"/>
      <w:numFmt w:val="bullet"/>
      <w:lvlText w:val=""/>
      <w:lvlJc w:val="left"/>
      <w:pPr>
        <w:ind w:left="5184" w:hanging="360"/>
      </w:pPr>
      <w:rPr>
        <w:rFonts w:ascii="Wingdings" w:hAnsi="Wingdings" w:hint="default"/>
      </w:rPr>
    </w:lvl>
    <w:lvl w:ilvl="6" w:tplc="0C090001">
      <w:start w:val="1"/>
      <w:numFmt w:val="bullet"/>
      <w:lvlText w:val=""/>
      <w:lvlJc w:val="left"/>
      <w:pPr>
        <w:ind w:left="5904" w:hanging="360"/>
      </w:pPr>
      <w:rPr>
        <w:rFonts w:ascii="Symbol" w:hAnsi="Symbol" w:hint="default"/>
      </w:rPr>
    </w:lvl>
    <w:lvl w:ilvl="7" w:tplc="0C090003">
      <w:start w:val="1"/>
      <w:numFmt w:val="bullet"/>
      <w:lvlText w:val="o"/>
      <w:lvlJc w:val="left"/>
      <w:pPr>
        <w:ind w:left="6624" w:hanging="360"/>
      </w:pPr>
      <w:rPr>
        <w:rFonts w:ascii="Courier New" w:hAnsi="Courier New" w:cs="Courier New" w:hint="default"/>
      </w:rPr>
    </w:lvl>
    <w:lvl w:ilvl="8" w:tplc="0C090005">
      <w:start w:val="1"/>
      <w:numFmt w:val="bullet"/>
      <w:lvlText w:val=""/>
      <w:lvlJc w:val="left"/>
      <w:pPr>
        <w:ind w:left="7344" w:hanging="360"/>
      </w:pPr>
      <w:rPr>
        <w:rFonts w:ascii="Wingdings" w:hAnsi="Wingdings" w:hint="default"/>
      </w:rPr>
    </w:lvl>
  </w:abstractNum>
  <w:abstractNum w:abstractNumId="35" w15:restartNumberingAfterBreak="0">
    <w:nsid w:val="7F391385"/>
    <w:multiLevelType w:val="hybridMultilevel"/>
    <w:tmpl w:val="FA1E0C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4"/>
  </w:num>
  <w:num w:numId="2">
    <w:abstractNumId w:val="0"/>
  </w:num>
  <w:num w:numId="3">
    <w:abstractNumId w:val="21"/>
  </w:num>
  <w:num w:numId="4">
    <w:abstractNumId w:val="11"/>
  </w:num>
  <w:num w:numId="5">
    <w:abstractNumId w:val="15"/>
  </w:num>
  <w:num w:numId="6">
    <w:abstractNumId w:val="24"/>
  </w:num>
  <w:num w:numId="7">
    <w:abstractNumId w:val="1"/>
  </w:num>
  <w:num w:numId="8">
    <w:abstractNumId w:val="33"/>
  </w:num>
  <w:num w:numId="9">
    <w:abstractNumId w:val="18"/>
  </w:num>
  <w:num w:numId="10">
    <w:abstractNumId w:val="29"/>
  </w:num>
  <w:num w:numId="11">
    <w:abstractNumId w:val="13"/>
  </w:num>
  <w:num w:numId="12">
    <w:abstractNumId w:val="31"/>
  </w:num>
  <w:num w:numId="13">
    <w:abstractNumId w:val="8"/>
  </w:num>
  <w:num w:numId="14">
    <w:abstractNumId w:val="28"/>
  </w:num>
  <w:num w:numId="15">
    <w:abstractNumId w:val="12"/>
  </w:num>
  <w:num w:numId="16">
    <w:abstractNumId w:val="27"/>
  </w:num>
  <w:num w:numId="17">
    <w:abstractNumId w:val="10"/>
  </w:num>
  <w:num w:numId="18">
    <w:abstractNumId w:val="5"/>
  </w:num>
  <w:num w:numId="19">
    <w:abstractNumId w:val="14"/>
  </w:num>
  <w:num w:numId="20">
    <w:abstractNumId w:val="30"/>
  </w:num>
  <w:num w:numId="21">
    <w:abstractNumId w:val="17"/>
  </w:num>
  <w:num w:numId="22">
    <w:abstractNumId w:val="16"/>
  </w:num>
  <w:num w:numId="23">
    <w:abstractNumId w:val="25"/>
  </w:num>
  <w:num w:numId="24">
    <w:abstractNumId w:val="23"/>
  </w:num>
  <w:num w:numId="25">
    <w:abstractNumId w:val="6"/>
  </w:num>
  <w:num w:numId="26">
    <w:abstractNumId w:val="26"/>
  </w:num>
  <w:num w:numId="27">
    <w:abstractNumId w:val="7"/>
  </w:num>
  <w:num w:numId="28">
    <w:abstractNumId w:val="22"/>
  </w:num>
  <w:num w:numId="29">
    <w:abstractNumId w:val="3"/>
  </w:num>
  <w:num w:numId="30">
    <w:abstractNumId w:val="4"/>
  </w:num>
  <w:num w:numId="31">
    <w:abstractNumId w:val="19"/>
  </w:num>
  <w:num w:numId="32">
    <w:abstractNumId w:val="32"/>
  </w:num>
  <w:num w:numId="33">
    <w:abstractNumId w:val="9"/>
  </w:num>
  <w:num w:numId="34">
    <w:abstractNumId w:val="20"/>
  </w:num>
  <w:num w:numId="35">
    <w:abstractNumId w:val="35"/>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E0E"/>
    <w:rsid w:val="0000009E"/>
    <w:rsid w:val="000000F1"/>
    <w:rsid w:val="000013CA"/>
    <w:rsid w:val="00001730"/>
    <w:rsid w:val="00002424"/>
    <w:rsid w:val="00003412"/>
    <w:rsid w:val="0000357D"/>
    <w:rsid w:val="00003616"/>
    <w:rsid w:val="000048FE"/>
    <w:rsid w:val="00004965"/>
    <w:rsid w:val="00004C6F"/>
    <w:rsid w:val="00004F34"/>
    <w:rsid w:val="00005260"/>
    <w:rsid w:val="0000607C"/>
    <w:rsid w:val="00006287"/>
    <w:rsid w:val="00006616"/>
    <w:rsid w:val="00006E84"/>
    <w:rsid w:val="00006F6D"/>
    <w:rsid w:val="000101A1"/>
    <w:rsid w:val="000108D1"/>
    <w:rsid w:val="00011E54"/>
    <w:rsid w:val="000121F6"/>
    <w:rsid w:val="00012F0F"/>
    <w:rsid w:val="00012F86"/>
    <w:rsid w:val="00013A8B"/>
    <w:rsid w:val="00016F85"/>
    <w:rsid w:val="0001779A"/>
    <w:rsid w:val="00020701"/>
    <w:rsid w:val="0002266F"/>
    <w:rsid w:val="00022AA9"/>
    <w:rsid w:val="0002332E"/>
    <w:rsid w:val="00023AC0"/>
    <w:rsid w:val="00024D24"/>
    <w:rsid w:val="000260D2"/>
    <w:rsid w:val="000265B8"/>
    <w:rsid w:val="000271B8"/>
    <w:rsid w:val="000279F9"/>
    <w:rsid w:val="000302F3"/>
    <w:rsid w:val="00030422"/>
    <w:rsid w:val="00030823"/>
    <w:rsid w:val="0003252C"/>
    <w:rsid w:val="000333DE"/>
    <w:rsid w:val="000336CC"/>
    <w:rsid w:val="0003389C"/>
    <w:rsid w:val="000341A5"/>
    <w:rsid w:val="00034466"/>
    <w:rsid w:val="00034B34"/>
    <w:rsid w:val="000365F3"/>
    <w:rsid w:val="00036AFA"/>
    <w:rsid w:val="00036B63"/>
    <w:rsid w:val="00040921"/>
    <w:rsid w:val="00040AF5"/>
    <w:rsid w:val="00042A0C"/>
    <w:rsid w:val="00042C2A"/>
    <w:rsid w:val="00044A91"/>
    <w:rsid w:val="000453ED"/>
    <w:rsid w:val="00045773"/>
    <w:rsid w:val="00045C4E"/>
    <w:rsid w:val="00046B70"/>
    <w:rsid w:val="00047700"/>
    <w:rsid w:val="0004799A"/>
    <w:rsid w:val="00050074"/>
    <w:rsid w:val="0005194A"/>
    <w:rsid w:val="000536E9"/>
    <w:rsid w:val="000544FE"/>
    <w:rsid w:val="00054A67"/>
    <w:rsid w:val="00054E1C"/>
    <w:rsid w:val="0005735E"/>
    <w:rsid w:val="00057619"/>
    <w:rsid w:val="0005767C"/>
    <w:rsid w:val="000579A9"/>
    <w:rsid w:val="00060DCA"/>
    <w:rsid w:val="000616B9"/>
    <w:rsid w:val="0006222F"/>
    <w:rsid w:val="000629C2"/>
    <w:rsid w:val="000629D5"/>
    <w:rsid w:val="0006429F"/>
    <w:rsid w:val="000656C7"/>
    <w:rsid w:val="00065F62"/>
    <w:rsid w:val="00065FBB"/>
    <w:rsid w:val="00065FCB"/>
    <w:rsid w:val="0006612E"/>
    <w:rsid w:val="00067618"/>
    <w:rsid w:val="00071848"/>
    <w:rsid w:val="00072A67"/>
    <w:rsid w:val="000748B8"/>
    <w:rsid w:val="0007505D"/>
    <w:rsid w:val="000750D5"/>
    <w:rsid w:val="00075B5D"/>
    <w:rsid w:val="00075C40"/>
    <w:rsid w:val="00076383"/>
    <w:rsid w:val="000815A6"/>
    <w:rsid w:val="0008231C"/>
    <w:rsid w:val="00083AD5"/>
    <w:rsid w:val="0008420D"/>
    <w:rsid w:val="00084314"/>
    <w:rsid w:val="0008460C"/>
    <w:rsid w:val="00084982"/>
    <w:rsid w:val="0008584C"/>
    <w:rsid w:val="0008585B"/>
    <w:rsid w:val="00086671"/>
    <w:rsid w:val="0009057B"/>
    <w:rsid w:val="0009088F"/>
    <w:rsid w:val="0009134A"/>
    <w:rsid w:val="000919E5"/>
    <w:rsid w:val="000926A0"/>
    <w:rsid w:val="00092926"/>
    <w:rsid w:val="00092FFA"/>
    <w:rsid w:val="00093835"/>
    <w:rsid w:val="00094171"/>
    <w:rsid w:val="00094470"/>
    <w:rsid w:val="00094501"/>
    <w:rsid w:val="000954E0"/>
    <w:rsid w:val="00095B8C"/>
    <w:rsid w:val="0009605C"/>
    <w:rsid w:val="00096FA7"/>
    <w:rsid w:val="00097C0B"/>
    <w:rsid w:val="000A06B9"/>
    <w:rsid w:val="000A19A8"/>
    <w:rsid w:val="000A1F8C"/>
    <w:rsid w:val="000A2614"/>
    <w:rsid w:val="000A2AE8"/>
    <w:rsid w:val="000A3145"/>
    <w:rsid w:val="000A35AA"/>
    <w:rsid w:val="000A35C4"/>
    <w:rsid w:val="000A41BE"/>
    <w:rsid w:val="000A4669"/>
    <w:rsid w:val="000A6201"/>
    <w:rsid w:val="000A67B0"/>
    <w:rsid w:val="000A7DA1"/>
    <w:rsid w:val="000A7F97"/>
    <w:rsid w:val="000B18C3"/>
    <w:rsid w:val="000B2188"/>
    <w:rsid w:val="000B4282"/>
    <w:rsid w:val="000B4E42"/>
    <w:rsid w:val="000B65F9"/>
    <w:rsid w:val="000B68A8"/>
    <w:rsid w:val="000B6E85"/>
    <w:rsid w:val="000B7A25"/>
    <w:rsid w:val="000B7D30"/>
    <w:rsid w:val="000C0CE9"/>
    <w:rsid w:val="000C0EDA"/>
    <w:rsid w:val="000C2482"/>
    <w:rsid w:val="000C3370"/>
    <w:rsid w:val="000C55AB"/>
    <w:rsid w:val="000C61A5"/>
    <w:rsid w:val="000D0AF2"/>
    <w:rsid w:val="000D15F1"/>
    <w:rsid w:val="000D1DB3"/>
    <w:rsid w:val="000D2382"/>
    <w:rsid w:val="000D29B0"/>
    <w:rsid w:val="000D2B0D"/>
    <w:rsid w:val="000D371C"/>
    <w:rsid w:val="000D38C0"/>
    <w:rsid w:val="000D3F81"/>
    <w:rsid w:val="000D4846"/>
    <w:rsid w:val="000D5975"/>
    <w:rsid w:val="000D6C01"/>
    <w:rsid w:val="000E00EF"/>
    <w:rsid w:val="000E12E1"/>
    <w:rsid w:val="000E15D4"/>
    <w:rsid w:val="000E324B"/>
    <w:rsid w:val="000E7611"/>
    <w:rsid w:val="000E78E7"/>
    <w:rsid w:val="000F206D"/>
    <w:rsid w:val="000F22BB"/>
    <w:rsid w:val="000F22DD"/>
    <w:rsid w:val="000F235F"/>
    <w:rsid w:val="000F2BA8"/>
    <w:rsid w:val="000F5C59"/>
    <w:rsid w:val="000F67DC"/>
    <w:rsid w:val="000F7A43"/>
    <w:rsid w:val="000F7D54"/>
    <w:rsid w:val="001005B1"/>
    <w:rsid w:val="001009F4"/>
    <w:rsid w:val="00101B98"/>
    <w:rsid w:val="001029AD"/>
    <w:rsid w:val="001030C6"/>
    <w:rsid w:val="00103418"/>
    <w:rsid w:val="00105CD8"/>
    <w:rsid w:val="00107E24"/>
    <w:rsid w:val="0011065C"/>
    <w:rsid w:val="00112386"/>
    <w:rsid w:val="00114F07"/>
    <w:rsid w:val="00115602"/>
    <w:rsid w:val="00115B12"/>
    <w:rsid w:val="00116903"/>
    <w:rsid w:val="00117DE5"/>
    <w:rsid w:val="001222E8"/>
    <w:rsid w:val="00122640"/>
    <w:rsid w:val="00122729"/>
    <w:rsid w:val="00123329"/>
    <w:rsid w:val="00123567"/>
    <w:rsid w:val="001240AC"/>
    <w:rsid w:val="00124B26"/>
    <w:rsid w:val="00124E52"/>
    <w:rsid w:val="0012515F"/>
    <w:rsid w:val="001252A7"/>
    <w:rsid w:val="001253AF"/>
    <w:rsid w:val="00125D0B"/>
    <w:rsid w:val="00126A8C"/>
    <w:rsid w:val="00127C9B"/>
    <w:rsid w:val="00131407"/>
    <w:rsid w:val="0013173D"/>
    <w:rsid w:val="00131A84"/>
    <w:rsid w:val="00132589"/>
    <w:rsid w:val="00134398"/>
    <w:rsid w:val="00135054"/>
    <w:rsid w:val="0013535C"/>
    <w:rsid w:val="00136C15"/>
    <w:rsid w:val="00136F91"/>
    <w:rsid w:val="00137004"/>
    <w:rsid w:val="0013796F"/>
    <w:rsid w:val="00141343"/>
    <w:rsid w:val="00141B34"/>
    <w:rsid w:val="00141ECE"/>
    <w:rsid w:val="00141FA7"/>
    <w:rsid w:val="001420D2"/>
    <w:rsid w:val="00142F8E"/>
    <w:rsid w:val="00145360"/>
    <w:rsid w:val="001465C1"/>
    <w:rsid w:val="00147BD2"/>
    <w:rsid w:val="00147DE9"/>
    <w:rsid w:val="001522FC"/>
    <w:rsid w:val="00152663"/>
    <w:rsid w:val="001533CA"/>
    <w:rsid w:val="001548C6"/>
    <w:rsid w:val="00154993"/>
    <w:rsid w:val="00155143"/>
    <w:rsid w:val="0015613A"/>
    <w:rsid w:val="00156B66"/>
    <w:rsid w:val="0015770F"/>
    <w:rsid w:val="00160130"/>
    <w:rsid w:val="00162F2E"/>
    <w:rsid w:val="0016340A"/>
    <w:rsid w:val="00164A8B"/>
    <w:rsid w:val="001658D8"/>
    <w:rsid w:val="0016665E"/>
    <w:rsid w:val="00170D29"/>
    <w:rsid w:val="00172270"/>
    <w:rsid w:val="0017278D"/>
    <w:rsid w:val="00173063"/>
    <w:rsid w:val="00173300"/>
    <w:rsid w:val="001752B5"/>
    <w:rsid w:val="00175765"/>
    <w:rsid w:val="00175F05"/>
    <w:rsid w:val="00176416"/>
    <w:rsid w:val="00176684"/>
    <w:rsid w:val="00176901"/>
    <w:rsid w:val="001769FE"/>
    <w:rsid w:val="00181A16"/>
    <w:rsid w:val="00183C37"/>
    <w:rsid w:val="00184517"/>
    <w:rsid w:val="00185FEE"/>
    <w:rsid w:val="00186212"/>
    <w:rsid w:val="001864F9"/>
    <w:rsid w:val="00187332"/>
    <w:rsid w:val="0018738F"/>
    <w:rsid w:val="00187C17"/>
    <w:rsid w:val="001900B2"/>
    <w:rsid w:val="00190249"/>
    <w:rsid w:val="001911CF"/>
    <w:rsid w:val="001914FB"/>
    <w:rsid w:val="00191CEB"/>
    <w:rsid w:val="0019276B"/>
    <w:rsid w:val="0019355A"/>
    <w:rsid w:val="00194AA8"/>
    <w:rsid w:val="00195678"/>
    <w:rsid w:val="00196156"/>
    <w:rsid w:val="00196818"/>
    <w:rsid w:val="00197638"/>
    <w:rsid w:val="00197A7F"/>
    <w:rsid w:val="00197B98"/>
    <w:rsid w:val="001A0EA3"/>
    <w:rsid w:val="001A112C"/>
    <w:rsid w:val="001A2364"/>
    <w:rsid w:val="001A2A21"/>
    <w:rsid w:val="001A2F6C"/>
    <w:rsid w:val="001A44D9"/>
    <w:rsid w:val="001A5818"/>
    <w:rsid w:val="001A6DC3"/>
    <w:rsid w:val="001A766C"/>
    <w:rsid w:val="001B11B8"/>
    <w:rsid w:val="001B5246"/>
    <w:rsid w:val="001B5630"/>
    <w:rsid w:val="001B5957"/>
    <w:rsid w:val="001B663E"/>
    <w:rsid w:val="001B7D3D"/>
    <w:rsid w:val="001C071D"/>
    <w:rsid w:val="001C0ECE"/>
    <w:rsid w:val="001C1C85"/>
    <w:rsid w:val="001C3A67"/>
    <w:rsid w:val="001C60A2"/>
    <w:rsid w:val="001C6E73"/>
    <w:rsid w:val="001C719C"/>
    <w:rsid w:val="001C7279"/>
    <w:rsid w:val="001C7926"/>
    <w:rsid w:val="001C7A5B"/>
    <w:rsid w:val="001D074A"/>
    <w:rsid w:val="001D1A88"/>
    <w:rsid w:val="001D4E6D"/>
    <w:rsid w:val="001D5580"/>
    <w:rsid w:val="001D55BD"/>
    <w:rsid w:val="001D680F"/>
    <w:rsid w:val="001D7032"/>
    <w:rsid w:val="001D7F2C"/>
    <w:rsid w:val="001E14C7"/>
    <w:rsid w:val="001E235B"/>
    <w:rsid w:val="001E271F"/>
    <w:rsid w:val="001E2F14"/>
    <w:rsid w:val="001E324D"/>
    <w:rsid w:val="001E36A0"/>
    <w:rsid w:val="001E38DF"/>
    <w:rsid w:val="001E3BE4"/>
    <w:rsid w:val="001E3E98"/>
    <w:rsid w:val="001E42FA"/>
    <w:rsid w:val="001E525B"/>
    <w:rsid w:val="001E5AAF"/>
    <w:rsid w:val="001E69CE"/>
    <w:rsid w:val="001E7116"/>
    <w:rsid w:val="001E7B9F"/>
    <w:rsid w:val="001F02A8"/>
    <w:rsid w:val="001F22FF"/>
    <w:rsid w:val="001F2D73"/>
    <w:rsid w:val="001F3912"/>
    <w:rsid w:val="001F3CEA"/>
    <w:rsid w:val="001F3F4A"/>
    <w:rsid w:val="001F58AE"/>
    <w:rsid w:val="0020042A"/>
    <w:rsid w:val="0020093A"/>
    <w:rsid w:val="002010CD"/>
    <w:rsid w:val="00201953"/>
    <w:rsid w:val="00201A28"/>
    <w:rsid w:val="00201BE0"/>
    <w:rsid w:val="002060E9"/>
    <w:rsid w:val="002070DB"/>
    <w:rsid w:val="002071FD"/>
    <w:rsid w:val="002077F1"/>
    <w:rsid w:val="00207FD4"/>
    <w:rsid w:val="00210757"/>
    <w:rsid w:val="00211859"/>
    <w:rsid w:val="002120B7"/>
    <w:rsid w:val="00212276"/>
    <w:rsid w:val="00213A87"/>
    <w:rsid w:val="00215C7E"/>
    <w:rsid w:val="002174C1"/>
    <w:rsid w:val="002176BB"/>
    <w:rsid w:val="00220509"/>
    <w:rsid w:val="002207FD"/>
    <w:rsid w:val="0022088D"/>
    <w:rsid w:val="00222CC2"/>
    <w:rsid w:val="0022300F"/>
    <w:rsid w:val="00224ACF"/>
    <w:rsid w:val="0022572C"/>
    <w:rsid w:val="00225B7E"/>
    <w:rsid w:val="00231DF8"/>
    <w:rsid w:val="00232C4A"/>
    <w:rsid w:val="00234581"/>
    <w:rsid w:val="0023496C"/>
    <w:rsid w:val="00235427"/>
    <w:rsid w:val="00235EE7"/>
    <w:rsid w:val="002366BF"/>
    <w:rsid w:val="00240D58"/>
    <w:rsid w:val="0024137F"/>
    <w:rsid w:val="002423A4"/>
    <w:rsid w:val="00243AA9"/>
    <w:rsid w:val="0024417C"/>
    <w:rsid w:val="00244AF1"/>
    <w:rsid w:val="00245536"/>
    <w:rsid w:val="00245B23"/>
    <w:rsid w:val="00245D42"/>
    <w:rsid w:val="00251110"/>
    <w:rsid w:val="00251461"/>
    <w:rsid w:val="00254B18"/>
    <w:rsid w:val="00254D07"/>
    <w:rsid w:val="00257B2C"/>
    <w:rsid w:val="00260AD7"/>
    <w:rsid w:val="00261A5F"/>
    <w:rsid w:val="00261C55"/>
    <w:rsid w:val="002627F3"/>
    <w:rsid w:val="002640C3"/>
    <w:rsid w:val="0026429F"/>
    <w:rsid w:val="00264640"/>
    <w:rsid w:val="0026568F"/>
    <w:rsid w:val="002666AE"/>
    <w:rsid w:val="00266793"/>
    <w:rsid w:val="002667D2"/>
    <w:rsid w:val="00266956"/>
    <w:rsid w:val="00266A24"/>
    <w:rsid w:val="002679CA"/>
    <w:rsid w:val="00270D18"/>
    <w:rsid w:val="00271FC4"/>
    <w:rsid w:val="002721BD"/>
    <w:rsid w:val="00272295"/>
    <w:rsid w:val="002749CD"/>
    <w:rsid w:val="00274CE6"/>
    <w:rsid w:val="002754D7"/>
    <w:rsid w:val="0027568B"/>
    <w:rsid w:val="00275C10"/>
    <w:rsid w:val="00277026"/>
    <w:rsid w:val="00277AFE"/>
    <w:rsid w:val="00282615"/>
    <w:rsid w:val="00282A0F"/>
    <w:rsid w:val="002857FC"/>
    <w:rsid w:val="00285E33"/>
    <w:rsid w:val="0028693B"/>
    <w:rsid w:val="00286C16"/>
    <w:rsid w:val="00286D4B"/>
    <w:rsid w:val="0028705F"/>
    <w:rsid w:val="00287A5D"/>
    <w:rsid w:val="002913B3"/>
    <w:rsid w:val="002926A9"/>
    <w:rsid w:val="0029368A"/>
    <w:rsid w:val="00294C49"/>
    <w:rsid w:val="00295E27"/>
    <w:rsid w:val="0029692B"/>
    <w:rsid w:val="002A0BB4"/>
    <w:rsid w:val="002A18E1"/>
    <w:rsid w:val="002A2409"/>
    <w:rsid w:val="002A2AF1"/>
    <w:rsid w:val="002A38DF"/>
    <w:rsid w:val="002A50DA"/>
    <w:rsid w:val="002A5271"/>
    <w:rsid w:val="002A62A3"/>
    <w:rsid w:val="002A660F"/>
    <w:rsid w:val="002A6A45"/>
    <w:rsid w:val="002A7043"/>
    <w:rsid w:val="002A7795"/>
    <w:rsid w:val="002A7D2C"/>
    <w:rsid w:val="002B09E7"/>
    <w:rsid w:val="002B1AFB"/>
    <w:rsid w:val="002B2D0E"/>
    <w:rsid w:val="002B30AB"/>
    <w:rsid w:val="002B3161"/>
    <w:rsid w:val="002B360E"/>
    <w:rsid w:val="002B4136"/>
    <w:rsid w:val="002B56CA"/>
    <w:rsid w:val="002B5764"/>
    <w:rsid w:val="002B7C04"/>
    <w:rsid w:val="002C0800"/>
    <w:rsid w:val="002C0FA5"/>
    <w:rsid w:val="002C1B3F"/>
    <w:rsid w:val="002C1F7B"/>
    <w:rsid w:val="002C25CF"/>
    <w:rsid w:val="002C278C"/>
    <w:rsid w:val="002C5CD8"/>
    <w:rsid w:val="002D1506"/>
    <w:rsid w:val="002D1FBA"/>
    <w:rsid w:val="002D2F16"/>
    <w:rsid w:val="002D396F"/>
    <w:rsid w:val="002D47EA"/>
    <w:rsid w:val="002D6A9E"/>
    <w:rsid w:val="002E1DCD"/>
    <w:rsid w:val="002E29EB"/>
    <w:rsid w:val="002E2CFD"/>
    <w:rsid w:val="002E2F0D"/>
    <w:rsid w:val="002E3D67"/>
    <w:rsid w:val="002E433A"/>
    <w:rsid w:val="002E45A3"/>
    <w:rsid w:val="002E4920"/>
    <w:rsid w:val="002E53FE"/>
    <w:rsid w:val="002E5FC9"/>
    <w:rsid w:val="002E648F"/>
    <w:rsid w:val="002E7017"/>
    <w:rsid w:val="002E775D"/>
    <w:rsid w:val="002F0990"/>
    <w:rsid w:val="002F0EDF"/>
    <w:rsid w:val="002F2885"/>
    <w:rsid w:val="002F29B1"/>
    <w:rsid w:val="002F2E6F"/>
    <w:rsid w:val="002F3310"/>
    <w:rsid w:val="002F3AD1"/>
    <w:rsid w:val="002F5482"/>
    <w:rsid w:val="002F592B"/>
    <w:rsid w:val="002F7F20"/>
    <w:rsid w:val="00300257"/>
    <w:rsid w:val="00301272"/>
    <w:rsid w:val="00301D0F"/>
    <w:rsid w:val="00301F4C"/>
    <w:rsid w:val="003029D4"/>
    <w:rsid w:val="00302D60"/>
    <w:rsid w:val="00303126"/>
    <w:rsid w:val="003035D6"/>
    <w:rsid w:val="00304687"/>
    <w:rsid w:val="00304AAD"/>
    <w:rsid w:val="00304AB0"/>
    <w:rsid w:val="00305D5B"/>
    <w:rsid w:val="0030783D"/>
    <w:rsid w:val="00307CD7"/>
    <w:rsid w:val="00310698"/>
    <w:rsid w:val="00311162"/>
    <w:rsid w:val="0031187B"/>
    <w:rsid w:val="00311CA0"/>
    <w:rsid w:val="00313821"/>
    <w:rsid w:val="00314D83"/>
    <w:rsid w:val="00314F36"/>
    <w:rsid w:val="00315236"/>
    <w:rsid w:val="00315366"/>
    <w:rsid w:val="003156A5"/>
    <w:rsid w:val="00316648"/>
    <w:rsid w:val="0032128B"/>
    <w:rsid w:val="00322325"/>
    <w:rsid w:val="00322D7A"/>
    <w:rsid w:val="00323441"/>
    <w:rsid w:val="00323801"/>
    <w:rsid w:val="00323F93"/>
    <w:rsid w:val="00324B3D"/>
    <w:rsid w:val="00327F4E"/>
    <w:rsid w:val="003300B2"/>
    <w:rsid w:val="00330307"/>
    <w:rsid w:val="00331283"/>
    <w:rsid w:val="0033142F"/>
    <w:rsid w:val="00331CE9"/>
    <w:rsid w:val="00332994"/>
    <w:rsid w:val="0033338A"/>
    <w:rsid w:val="00335122"/>
    <w:rsid w:val="00335B63"/>
    <w:rsid w:val="0033672D"/>
    <w:rsid w:val="00336B2C"/>
    <w:rsid w:val="003375A6"/>
    <w:rsid w:val="00341D7D"/>
    <w:rsid w:val="00342114"/>
    <w:rsid w:val="003423E6"/>
    <w:rsid w:val="00342BE7"/>
    <w:rsid w:val="0034385F"/>
    <w:rsid w:val="00343CEB"/>
    <w:rsid w:val="00344451"/>
    <w:rsid w:val="00344936"/>
    <w:rsid w:val="00344E7A"/>
    <w:rsid w:val="003450FE"/>
    <w:rsid w:val="00346577"/>
    <w:rsid w:val="003509B3"/>
    <w:rsid w:val="00350F79"/>
    <w:rsid w:val="00352B27"/>
    <w:rsid w:val="00354D68"/>
    <w:rsid w:val="00354DB9"/>
    <w:rsid w:val="003557E5"/>
    <w:rsid w:val="003560F3"/>
    <w:rsid w:val="00357A9F"/>
    <w:rsid w:val="00362ACA"/>
    <w:rsid w:val="0036316B"/>
    <w:rsid w:val="00363BA3"/>
    <w:rsid w:val="00363E95"/>
    <w:rsid w:val="00364A12"/>
    <w:rsid w:val="00364BCF"/>
    <w:rsid w:val="00364C89"/>
    <w:rsid w:val="00364F96"/>
    <w:rsid w:val="003652A8"/>
    <w:rsid w:val="00365E0F"/>
    <w:rsid w:val="00366B65"/>
    <w:rsid w:val="00366B6D"/>
    <w:rsid w:val="00367C13"/>
    <w:rsid w:val="00370A1B"/>
    <w:rsid w:val="00370F67"/>
    <w:rsid w:val="00371153"/>
    <w:rsid w:val="00372232"/>
    <w:rsid w:val="003747AC"/>
    <w:rsid w:val="00374CB4"/>
    <w:rsid w:val="003754EE"/>
    <w:rsid w:val="00375887"/>
    <w:rsid w:val="00375C48"/>
    <w:rsid w:val="003765C8"/>
    <w:rsid w:val="0037769D"/>
    <w:rsid w:val="00380841"/>
    <w:rsid w:val="00381073"/>
    <w:rsid w:val="00381264"/>
    <w:rsid w:val="003812E4"/>
    <w:rsid w:val="00381DC6"/>
    <w:rsid w:val="00382855"/>
    <w:rsid w:val="00382B47"/>
    <w:rsid w:val="003835D4"/>
    <w:rsid w:val="0038543A"/>
    <w:rsid w:val="00385D33"/>
    <w:rsid w:val="00386B1C"/>
    <w:rsid w:val="00386CEA"/>
    <w:rsid w:val="0039062F"/>
    <w:rsid w:val="00391CC9"/>
    <w:rsid w:val="00392129"/>
    <w:rsid w:val="00393130"/>
    <w:rsid w:val="00394FCE"/>
    <w:rsid w:val="00396D5B"/>
    <w:rsid w:val="003971C1"/>
    <w:rsid w:val="00397BB7"/>
    <w:rsid w:val="00397EC2"/>
    <w:rsid w:val="003A052C"/>
    <w:rsid w:val="003A0689"/>
    <w:rsid w:val="003A08C1"/>
    <w:rsid w:val="003A0EFF"/>
    <w:rsid w:val="003A283E"/>
    <w:rsid w:val="003A327D"/>
    <w:rsid w:val="003A342D"/>
    <w:rsid w:val="003A3522"/>
    <w:rsid w:val="003A5533"/>
    <w:rsid w:val="003A7E7C"/>
    <w:rsid w:val="003B0D2B"/>
    <w:rsid w:val="003B175B"/>
    <w:rsid w:val="003B2A2C"/>
    <w:rsid w:val="003B307D"/>
    <w:rsid w:val="003B3A38"/>
    <w:rsid w:val="003B3BDB"/>
    <w:rsid w:val="003B4854"/>
    <w:rsid w:val="003B572E"/>
    <w:rsid w:val="003C03DA"/>
    <w:rsid w:val="003C28DF"/>
    <w:rsid w:val="003C3A93"/>
    <w:rsid w:val="003C3D0E"/>
    <w:rsid w:val="003C67C7"/>
    <w:rsid w:val="003D063A"/>
    <w:rsid w:val="003D0FE7"/>
    <w:rsid w:val="003D15A9"/>
    <w:rsid w:val="003D30A9"/>
    <w:rsid w:val="003D3229"/>
    <w:rsid w:val="003D43DA"/>
    <w:rsid w:val="003D56A3"/>
    <w:rsid w:val="003D5F65"/>
    <w:rsid w:val="003D732A"/>
    <w:rsid w:val="003D74C5"/>
    <w:rsid w:val="003D7D73"/>
    <w:rsid w:val="003D7F2F"/>
    <w:rsid w:val="003E0667"/>
    <w:rsid w:val="003E1BCF"/>
    <w:rsid w:val="003E4F55"/>
    <w:rsid w:val="003E51E2"/>
    <w:rsid w:val="003E66D6"/>
    <w:rsid w:val="003E6908"/>
    <w:rsid w:val="003E6FB2"/>
    <w:rsid w:val="003E7512"/>
    <w:rsid w:val="003F01CC"/>
    <w:rsid w:val="003F0803"/>
    <w:rsid w:val="003F0BCE"/>
    <w:rsid w:val="003F11DF"/>
    <w:rsid w:val="003F1580"/>
    <w:rsid w:val="003F17F2"/>
    <w:rsid w:val="003F1949"/>
    <w:rsid w:val="003F3875"/>
    <w:rsid w:val="003F3F32"/>
    <w:rsid w:val="003F3F61"/>
    <w:rsid w:val="003F58E5"/>
    <w:rsid w:val="003F5AB7"/>
    <w:rsid w:val="003F6460"/>
    <w:rsid w:val="003F691E"/>
    <w:rsid w:val="003F7D8B"/>
    <w:rsid w:val="0040031C"/>
    <w:rsid w:val="004013D1"/>
    <w:rsid w:val="00401A4E"/>
    <w:rsid w:val="00401CCA"/>
    <w:rsid w:val="00403972"/>
    <w:rsid w:val="00405A04"/>
    <w:rsid w:val="004063BB"/>
    <w:rsid w:val="0040669D"/>
    <w:rsid w:val="004078D2"/>
    <w:rsid w:val="00407A46"/>
    <w:rsid w:val="004100F0"/>
    <w:rsid w:val="00410CA2"/>
    <w:rsid w:val="00411E57"/>
    <w:rsid w:val="00411EDD"/>
    <w:rsid w:val="004127EB"/>
    <w:rsid w:val="00412B31"/>
    <w:rsid w:val="004163D1"/>
    <w:rsid w:val="00416F22"/>
    <w:rsid w:val="00417517"/>
    <w:rsid w:val="004179E4"/>
    <w:rsid w:val="00417F27"/>
    <w:rsid w:val="00421CC7"/>
    <w:rsid w:val="004228DD"/>
    <w:rsid w:val="00422C54"/>
    <w:rsid w:val="004238EA"/>
    <w:rsid w:val="00424753"/>
    <w:rsid w:val="004257FD"/>
    <w:rsid w:val="00426BE7"/>
    <w:rsid w:val="00426F88"/>
    <w:rsid w:val="00427005"/>
    <w:rsid w:val="00427735"/>
    <w:rsid w:val="00430050"/>
    <w:rsid w:val="00430160"/>
    <w:rsid w:val="00431043"/>
    <w:rsid w:val="00432F5A"/>
    <w:rsid w:val="00433BE8"/>
    <w:rsid w:val="00434E6D"/>
    <w:rsid w:val="00436DC4"/>
    <w:rsid w:val="004378D8"/>
    <w:rsid w:val="00440BC0"/>
    <w:rsid w:val="0044145F"/>
    <w:rsid w:val="00441E93"/>
    <w:rsid w:val="00443544"/>
    <w:rsid w:val="00444F97"/>
    <w:rsid w:val="0044671A"/>
    <w:rsid w:val="00446B04"/>
    <w:rsid w:val="00446BC2"/>
    <w:rsid w:val="0045095B"/>
    <w:rsid w:val="00450B58"/>
    <w:rsid w:val="00451461"/>
    <w:rsid w:val="00451D2B"/>
    <w:rsid w:val="00452049"/>
    <w:rsid w:val="00452460"/>
    <w:rsid w:val="00452A59"/>
    <w:rsid w:val="004537AD"/>
    <w:rsid w:val="004542A2"/>
    <w:rsid w:val="00454A66"/>
    <w:rsid w:val="00455A41"/>
    <w:rsid w:val="00456586"/>
    <w:rsid w:val="00456E2A"/>
    <w:rsid w:val="004570FD"/>
    <w:rsid w:val="00460113"/>
    <w:rsid w:val="00461A67"/>
    <w:rsid w:val="00461F9A"/>
    <w:rsid w:val="004627C8"/>
    <w:rsid w:val="004636B7"/>
    <w:rsid w:val="00463770"/>
    <w:rsid w:val="00465380"/>
    <w:rsid w:val="00465BE2"/>
    <w:rsid w:val="00465E79"/>
    <w:rsid w:val="00466508"/>
    <w:rsid w:val="00466E8C"/>
    <w:rsid w:val="004710FA"/>
    <w:rsid w:val="004712A9"/>
    <w:rsid w:val="00471456"/>
    <w:rsid w:val="00471E48"/>
    <w:rsid w:val="004720D8"/>
    <w:rsid w:val="00472D7F"/>
    <w:rsid w:val="004752BA"/>
    <w:rsid w:val="004762CA"/>
    <w:rsid w:val="004770D0"/>
    <w:rsid w:val="004811B1"/>
    <w:rsid w:val="0048254F"/>
    <w:rsid w:val="00482CC1"/>
    <w:rsid w:val="00483B85"/>
    <w:rsid w:val="00484284"/>
    <w:rsid w:val="00484756"/>
    <w:rsid w:val="004847DA"/>
    <w:rsid w:val="004856D0"/>
    <w:rsid w:val="004865D8"/>
    <w:rsid w:val="00487610"/>
    <w:rsid w:val="0049022F"/>
    <w:rsid w:val="004904A1"/>
    <w:rsid w:val="00492801"/>
    <w:rsid w:val="00494C0B"/>
    <w:rsid w:val="00496B9A"/>
    <w:rsid w:val="00497715"/>
    <w:rsid w:val="004A00AC"/>
    <w:rsid w:val="004A073A"/>
    <w:rsid w:val="004A099A"/>
    <w:rsid w:val="004A1C11"/>
    <w:rsid w:val="004A225B"/>
    <w:rsid w:val="004A28ED"/>
    <w:rsid w:val="004A2CD1"/>
    <w:rsid w:val="004A52D0"/>
    <w:rsid w:val="004A52DE"/>
    <w:rsid w:val="004A532C"/>
    <w:rsid w:val="004A64F3"/>
    <w:rsid w:val="004A6FEA"/>
    <w:rsid w:val="004B1310"/>
    <w:rsid w:val="004B2BCB"/>
    <w:rsid w:val="004B31FB"/>
    <w:rsid w:val="004B3B06"/>
    <w:rsid w:val="004B5475"/>
    <w:rsid w:val="004B6336"/>
    <w:rsid w:val="004B6754"/>
    <w:rsid w:val="004B6E32"/>
    <w:rsid w:val="004B7736"/>
    <w:rsid w:val="004C0B8C"/>
    <w:rsid w:val="004C0D82"/>
    <w:rsid w:val="004C2080"/>
    <w:rsid w:val="004C2E49"/>
    <w:rsid w:val="004C3262"/>
    <w:rsid w:val="004C3AD8"/>
    <w:rsid w:val="004C412B"/>
    <w:rsid w:val="004C4CDD"/>
    <w:rsid w:val="004C5650"/>
    <w:rsid w:val="004C5EA4"/>
    <w:rsid w:val="004C700D"/>
    <w:rsid w:val="004C702A"/>
    <w:rsid w:val="004C7514"/>
    <w:rsid w:val="004D09A4"/>
    <w:rsid w:val="004D09A8"/>
    <w:rsid w:val="004D09C1"/>
    <w:rsid w:val="004D0F57"/>
    <w:rsid w:val="004D361B"/>
    <w:rsid w:val="004D3998"/>
    <w:rsid w:val="004D3B86"/>
    <w:rsid w:val="004D44D3"/>
    <w:rsid w:val="004D45EE"/>
    <w:rsid w:val="004D5214"/>
    <w:rsid w:val="004D5AC0"/>
    <w:rsid w:val="004D5F0A"/>
    <w:rsid w:val="004D5FC0"/>
    <w:rsid w:val="004D61A2"/>
    <w:rsid w:val="004D68F4"/>
    <w:rsid w:val="004D7510"/>
    <w:rsid w:val="004E1A3F"/>
    <w:rsid w:val="004E22D2"/>
    <w:rsid w:val="004E2425"/>
    <w:rsid w:val="004E2578"/>
    <w:rsid w:val="004E2600"/>
    <w:rsid w:val="004E30B8"/>
    <w:rsid w:val="004E36E0"/>
    <w:rsid w:val="004E5346"/>
    <w:rsid w:val="004E582F"/>
    <w:rsid w:val="004E6457"/>
    <w:rsid w:val="004E6867"/>
    <w:rsid w:val="004F016B"/>
    <w:rsid w:val="004F01C5"/>
    <w:rsid w:val="004F171F"/>
    <w:rsid w:val="004F3537"/>
    <w:rsid w:val="004F4294"/>
    <w:rsid w:val="004F4AC4"/>
    <w:rsid w:val="004F4B2D"/>
    <w:rsid w:val="004F57F4"/>
    <w:rsid w:val="004F5CBF"/>
    <w:rsid w:val="004F756C"/>
    <w:rsid w:val="004F7FF3"/>
    <w:rsid w:val="00500488"/>
    <w:rsid w:val="00501F06"/>
    <w:rsid w:val="00502072"/>
    <w:rsid w:val="0050427F"/>
    <w:rsid w:val="00504AF9"/>
    <w:rsid w:val="005057CF"/>
    <w:rsid w:val="00505B07"/>
    <w:rsid w:val="00506D86"/>
    <w:rsid w:val="0050706E"/>
    <w:rsid w:val="00510867"/>
    <w:rsid w:val="00511679"/>
    <w:rsid w:val="0051232B"/>
    <w:rsid w:val="005135A2"/>
    <w:rsid w:val="005136DE"/>
    <w:rsid w:val="00515BA6"/>
    <w:rsid w:val="0051675E"/>
    <w:rsid w:val="00516CFF"/>
    <w:rsid w:val="00520FD7"/>
    <w:rsid w:val="00522BC0"/>
    <w:rsid w:val="005237B5"/>
    <w:rsid w:val="00523F2E"/>
    <w:rsid w:val="00523FA7"/>
    <w:rsid w:val="005244EF"/>
    <w:rsid w:val="00524637"/>
    <w:rsid w:val="005249C8"/>
    <w:rsid w:val="005264DB"/>
    <w:rsid w:val="00526B8D"/>
    <w:rsid w:val="005302FD"/>
    <w:rsid w:val="00530CDA"/>
    <w:rsid w:val="005312C4"/>
    <w:rsid w:val="00531401"/>
    <w:rsid w:val="00531697"/>
    <w:rsid w:val="0053178D"/>
    <w:rsid w:val="00532607"/>
    <w:rsid w:val="005338F4"/>
    <w:rsid w:val="00534AFD"/>
    <w:rsid w:val="00535809"/>
    <w:rsid w:val="00535F07"/>
    <w:rsid w:val="005367AE"/>
    <w:rsid w:val="005404AA"/>
    <w:rsid w:val="00540F2A"/>
    <w:rsid w:val="005416C5"/>
    <w:rsid w:val="0054236B"/>
    <w:rsid w:val="00542990"/>
    <w:rsid w:val="005449F4"/>
    <w:rsid w:val="00544F62"/>
    <w:rsid w:val="005451AC"/>
    <w:rsid w:val="00545359"/>
    <w:rsid w:val="0054569A"/>
    <w:rsid w:val="00545E52"/>
    <w:rsid w:val="00546BCB"/>
    <w:rsid w:val="0055068E"/>
    <w:rsid w:val="00550ACC"/>
    <w:rsid w:val="005511FE"/>
    <w:rsid w:val="00551AC5"/>
    <w:rsid w:val="005520C9"/>
    <w:rsid w:val="00552684"/>
    <w:rsid w:val="00552FF0"/>
    <w:rsid w:val="0055366D"/>
    <w:rsid w:val="005539BA"/>
    <w:rsid w:val="0055780A"/>
    <w:rsid w:val="00557E0B"/>
    <w:rsid w:val="00560E43"/>
    <w:rsid w:val="0056106F"/>
    <w:rsid w:val="005611D2"/>
    <w:rsid w:val="005624C5"/>
    <w:rsid w:val="0056336E"/>
    <w:rsid w:val="00564B8A"/>
    <w:rsid w:val="005665D0"/>
    <w:rsid w:val="00566D64"/>
    <w:rsid w:val="0056702E"/>
    <w:rsid w:val="00570622"/>
    <w:rsid w:val="00570694"/>
    <w:rsid w:val="00570916"/>
    <w:rsid w:val="00571C5E"/>
    <w:rsid w:val="00572DFB"/>
    <w:rsid w:val="0057429E"/>
    <w:rsid w:val="00574E37"/>
    <w:rsid w:val="005767F4"/>
    <w:rsid w:val="00576FAD"/>
    <w:rsid w:val="00577067"/>
    <w:rsid w:val="005771B1"/>
    <w:rsid w:val="00577737"/>
    <w:rsid w:val="005778C1"/>
    <w:rsid w:val="00577C6F"/>
    <w:rsid w:val="00581119"/>
    <w:rsid w:val="00581288"/>
    <w:rsid w:val="005817AF"/>
    <w:rsid w:val="00582658"/>
    <w:rsid w:val="005826E2"/>
    <w:rsid w:val="00583193"/>
    <w:rsid w:val="005833F5"/>
    <w:rsid w:val="00584029"/>
    <w:rsid w:val="0058429D"/>
    <w:rsid w:val="0058454E"/>
    <w:rsid w:val="00584953"/>
    <w:rsid w:val="0058570D"/>
    <w:rsid w:val="0058572F"/>
    <w:rsid w:val="00586001"/>
    <w:rsid w:val="005870D5"/>
    <w:rsid w:val="00587114"/>
    <w:rsid w:val="00587ACB"/>
    <w:rsid w:val="00587BFB"/>
    <w:rsid w:val="00594EC6"/>
    <w:rsid w:val="0059727F"/>
    <w:rsid w:val="00597D46"/>
    <w:rsid w:val="005A11C8"/>
    <w:rsid w:val="005A15AB"/>
    <w:rsid w:val="005A16B4"/>
    <w:rsid w:val="005A3108"/>
    <w:rsid w:val="005A4262"/>
    <w:rsid w:val="005A488D"/>
    <w:rsid w:val="005A6170"/>
    <w:rsid w:val="005A621C"/>
    <w:rsid w:val="005A622D"/>
    <w:rsid w:val="005A6598"/>
    <w:rsid w:val="005A720B"/>
    <w:rsid w:val="005A7A37"/>
    <w:rsid w:val="005A7E09"/>
    <w:rsid w:val="005A7EDE"/>
    <w:rsid w:val="005B0F72"/>
    <w:rsid w:val="005B105A"/>
    <w:rsid w:val="005B237B"/>
    <w:rsid w:val="005B2E27"/>
    <w:rsid w:val="005B2E3A"/>
    <w:rsid w:val="005B3084"/>
    <w:rsid w:val="005B31B3"/>
    <w:rsid w:val="005B40CD"/>
    <w:rsid w:val="005B4433"/>
    <w:rsid w:val="005B4601"/>
    <w:rsid w:val="005B4DD8"/>
    <w:rsid w:val="005B633F"/>
    <w:rsid w:val="005B7045"/>
    <w:rsid w:val="005C08DC"/>
    <w:rsid w:val="005C11BE"/>
    <w:rsid w:val="005C273F"/>
    <w:rsid w:val="005C28FD"/>
    <w:rsid w:val="005C33EF"/>
    <w:rsid w:val="005C39FB"/>
    <w:rsid w:val="005C44CF"/>
    <w:rsid w:val="005C4782"/>
    <w:rsid w:val="005C4B8B"/>
    <w:rsid w:val="005C4BA4"/>
    <w:rsid w:val="005C7940"/>
    <w:rsid w:val="005C7CDC"/>
    <w:rsid w:val="005D0E7B"/>
    <w:rsid w:val="005D14D2"/>
    <w:rsid w:val="005D274F"/>
    <w:rsid w:val="005D40A2"/>
    <w:rsid w:val="005D4BE3"/>
    <w:rsid w:val="005D5581"/>
    <w:rsid w:val="005D5BFB"/>
    <w:rsid w:val="005D6913"/>
    <w:rsid w:val="005D6CCC"/>
    <w:rsid w:val="005D79F1"/>
    <w:rsid w:val="005D7B13"/>
    <w:rsid w:val="005D7BC9"/>
    <w:rsid w:val="005E3A8A"/>
    <w:rsid w:val="005E4D3D"/>
    <w:rsid w:val="005E5679"/>
    <w:rsid w:val="005E7E4A"/>
    <w:rsid w:val="005F025F"/>
    <w:rsid w:val="005F288C"/>
    <w:rsid w:val="005F38FF"/>
    <w:rsid w:val="005F3966"/>
    <w:rsid w:val="005F4122"/>
    <w:rsid w:val="005F42F4"/>
    <w:rsid w:val="005F54D2"/>
    <w:rsid w:val="005F7648"/>
    <w:rsid w:val="005F78F0"/>
    <w:rsid w:val="005F7FF4"/>
    <w:rsid w:val="0060016C"/>
    <w:rsid w:val="00600855"/>
    <w:rsid w:val="00600DBC"/>
    <w:rsid w:val="006011B5"/>
    <w:rsid w:val="00602A71"/>
    <w:rsid w:val="00602EF2"/>
    <w:rsid w:val="00604A29"/>
    <w:rsid w:val="00604DFF"/>
    <w:rsid w:val="0060507A"/>
    <w:rsid w:val="006054A8"/>
    <w:rsid w:val="0061236F"/>
    <w:rsid w:val="0061580B"/>
    <w:rsid w:val="00615A4B"/>
    <w:rsid w:val="00616084"/>
    <w:rsid w:val="0061681E"/>
    <w:rsid w:val="00616DC3"/>
    <w:rsid w:val="00621443"/>
    <w:rsid w:val="006219D9"/>
    <w:rsid w:val="006220D4"/>
    <w:rsid w:val="00625304"/>
    <w:rsid w:val="00626A67"/>
    <w:rsid w:val="00627CF8"/>
    <w:rsid w:val="00631872"/>
    <w:rsid w:val="00631B25"/>
    <w:rsid w:val="0063246F"/>
    <w:rsid w:val="00632823"/>
    <w:rsid w:val="00633D3F"/>
    <w:rsid w:val="0063633F"/>
    <w:rsid w:val="00636690"/>
    <w:rsid w:val="00636BD3"/>
    <w:rsid w:val="00636FE6"/>
    <w:rsid w:val="00637D2D"/>
    <w:rsid w:val="00640133"/>
    <w:rsid w:val="0064018B"/>
    <w:rsid w:val="00640E69"/>
    <w:rsid w:val="006411C6"/>
    <w:rsid w:val="00641A90"/>
    <w:rsid w:val="006439C8"/>
    <w:rsid w:val="00644339"/>
    <w:rsid w:val="0064548F"/>
    <w:rsid w:val="00645DCB"/>
    <w:rsid w:val="00652676"/>
    <w:rsid w:val="00652D78"/>
    <w:rsid w:val="0065364D"/>
    <w:rsid w:val="00654794"/>
    <w:rsid w:val="0065495C"/>
    <w:rsid w:val="00654FEB"/>
    <w:rsid w:val="0065560D"/>
    <w:rsid w:val="006558A8"/>
    <w:rsid w:val="0065672E"/>
    <w:rsid w:val="00661105"/>
    <w:rsid w:val="00661704"/>
    <w:rsid w:val="00661A47"/>
    <w:rsid w:val="006646A0"/>
    <w:rsid w:val="00664FF9"/>
    <w:rsid w:val="00665FCB"/>
    <w:rsid w:val="00670B3A"/>
    <w:rsid w:val="00673541"/>
    <w:rsid w:val="00674F52"/>
    <w:rsid w:val="00675522"/>
    <w:rsid w:val="00676887"/>
    <w:rsid w:val="006775CF"/>
    <w:rsid w:val="00677927"/>
    <w:rsid w:val="00677C9F"/>
    <w:rsid w:val="006808E4"/>
    <w:rsid w:val="006834FF"/>
    <w:rsid w:val="00683F26"/>
    <w:rsid w:val="00684696"/>
    <w:rsid w:val="006848A6"/>
    <w:rsid w:val="006851AB"/>
    <w:rsid w:val="0069052B"/>
    <w:rsid w:val="00690D2E"/>
    <w:rsid w:val="006915ED"/>
    <w:rsid w:val="0069166D"/>
    <w:rsid w:val="00691698"/>
    <w:rsid w:val="00691E8A"/>
    <w:rsid w:val="00693BDB"/>
    <w:rsid w:val="006943A0"/>
    <w:rsid w:val="0069460F"/>
    <w:rsid w:val="00695E04"/>
    <w:rsid w:val="00696A84"/>
    <w:rsid w:val="00697CDA"/>
    <w:rsid w:val="006A20FD"/>
    <w:rsid w:val="006A2472"/>
    <w:rsid w:val="006A2CFA"/>
    <w:rsid w:val="006A2D80"/>
    <w:rsid w:val="006A3AFF"/>
    <w:rsid w:val="006A3BA2"/>
    <w:rsid w:val="006A3C66"/>
    <w:rsid w:val="006A4E1B"/>
    <w:rsid w:val="006A5370"/>
    <w:rsid w:val="006A6646"/>
    <w:rsid w:val="006A71A2"/>
    <w:rsid w:val="006B04E1"/>
    <w:rsid w:val="006B1056"/>
    <w:rsid w:val="006B49AE"/>
    <w:rsid w:val="006B5FFE"/>
    <w:rsid w:val="006B7523"/>
    <w:rsid w:val="006C05C2"/>
    <w:rsid w:val="006C186A"/>
    <w:rsid w:val="006C1A2C"/>
    <w:rsid w:val="006C1E3D"/>
    <w:rsid w:val="006C25D5"/>
    <w:rsid w:val="006C2D2E"/>
    <w:rsid w:val="006C3456"/>
    <w:rsid w:val="006C398B"/>
    <w:rsid w:val="006C3B24"/>
    <w:rsid w:val="006C55D8"/>
    <w:rsid w:val="006C5A37"/>
    <w:rsid w:val="006C69D0"/>
    <w:rsid w:val="006C731A"/>
    <w:rsid w:val="006C7F1C"/>
    <w:rsid w:val="006D04CC"/>
    <w:rsid w:val="006D1C7F"/>
    <w:rsid w:val="006D215C"/>
    <w:rsid w:val="006D28EC"/>
    <w:rsid w:val="006D322C"/>
    <w:rsid w:val="006D3C05"/>
    <w:rsid w:val="006D3D0A"/>
    <w:rsid w:val="006D4154"/>
    <w:rsid w:val="006D4C4C"/>
    <w:rsid w:val="006D4ECC"/>
    <w:rsid w:val="006D654E"/>
    <w:rsid w:val="006D6F36"/>
    <w:rsid w:val="006E00B1"/>
    <w:rsid w:val="006E06E8"/>
    <w:rsid w:val="006E0A9F"/>
    <w:rsid w:val="006E0F3C"/>
    <w:rsid w:val="006E0F87"/>
    <w:rsid w:val="006E1366"/>
    <w:rsid w:val="006E2E64"/>
    <w:rsid w:val="006E3740"/>
    <w:rsid w:val="006E4765"/>
    <w:rsid w:val="006E48C9"/>
    <w:rsid w:val="006E52B4"/>
    <w:rsid w:val="006E5DEF"/>
    <w:rsid w:val="006E6A1E"/>
    <w:rsid w:val="006E7584"/>
    <w:rsid w:val="006F1171"/>
    <w:rsid w:val="006F17D0"/>
    <w:rsid w:val="006F20AA"/>
    <w:rsid w:val="006F29BD"/>
    <w:rsid w:val="006F32CC"/>
    <w:rsid w:val="006F3F3F"/>
    <w:rsid w:val="006F5267"/>
    <w:rsid w:val="00700130"/>
    <w:rsid w:val="00700220"/>
    <w:rsid w:val="00701254"/>
    <w:rsid w:val="00701FCD"/>
    <w:rsid w:val="0070226A"/>
    <w:rsid w:val="007025A7"/>
    <w:rsid w:val="00702F49"/>
    <w:rsid w:val="007035AE"/>
    <w:rsid w:val="00704423"/>
    <w:rsid w:val="0070517A"/>
    <w:rsid w:val="00705186"/>
    <w:rsid w:val="0070638B"/>
    <w:rsid w:val="00706490"/>
    <w:rsid w:val="00710506"/>
    <w:rsid w:val="0071204D"/>
    <w:rsid w:val="00712796"/>
    <w:rsid w:val="00712B38"/>
    <w:rsid w:val="00712F4E"/>
    <w:rsid w:val="007138BE"/>
    <w:rsid w:val="00715772"/>
    <w:rsid w:val="00717A8A"/>
    <w:rsid w:val="00717F56"/>
    <w:rsid w:val="00722122"/>
    <w:rsid w:val="0072227B"/>
    <w:rsid w:val="00722EEF"/>
    <w:rsid w:val="007249A3"/>
    <w:rsid w:val="00724AB2"/>
    <w:rsid w:val="00726CC8"/>
    <w:rsid w:val="00730314"/>
    <w:rsid w:val="007319D6"/>
    <w:rsid w:val="007324E1"/>
    <w:rsid w:val="007329FC"/>
    <w:rsid w:val="00733966"/>
    <w:rsid w:val="007345A5"/>
    <w:rsid w:val="0073463E"/>
    <w:rsid w:val="00735178"/>
    <w:rsid w:val="0073591E"/>
    <w:rsid w:val="00736E79"/>
    <w:rsid w:val="0073717D"/>
    <w:rsid w:val="007409A9"/>
    <w:rsid w:val="007411F0"/>
    <w:rsid w:val="007421D2"/>
    <w:rsid w:val="0074345D"/>
    <w:rsid w:val="00743802"/>
    <w:rsid w:val="007454E4"/>
    <w:rsid w:val="0075054E"/>
    <w:rsid w:val="00751AAC"/>
    <w:rsid w:val="0075286A"/>
    <w:rsid w:val="00752E52"/>
    <w:rsid w:val="00753C9D"/>
    <w:rsid w:val="007542CC"/>
    <w:rsid w:val="00755721"/>
    <w:rsid w:val="00755BAF"/>
    <w:rsid w:val="00756926"/>
    <w:rsid w:val="0075774B"/>
    <w:rsid w:val="0076101A"/>
    <w:rsid w:val="007613E6"/>
    <w:rsid w:val="0076171B"/>
    <w:rsid w:val="00762328"/>
    <w:rsid w:val="00762C36"/>
    <w:rsid w:val="007638BE"/>
    <w:rsid w:val="00764012"/>
    <w:rsid w:val="00765CD0"/>
    <w:rsid w:val="007660E1"/>
    <w:rsid w:val="00770014"/>
    <w:rsid w:val="00771B39"/>
    <w:rsid w:val="007724B3"/>
    <w:rsid w:val="00772A3B"/>
    <w:rsid w:val="007738B8"/>
    <w:rsid w:val="00773F93"/>
    <w:rsid w:val="007751ED"/>
    <w:rsid w:val="00776124"/>
    <w:rsid w:val="0077697D"/>
    <w:rsid w:val="00776ABB"/>
    <w:rsid w:val="00777456"/>
    <w:rsid w:val="00780C20"/>
    <w:rsid w:val="007820D5"/>
    <w:rsid w:val="0078412F"/>
    <w:rsid w:val="00785239"/>
    <w:rsid w:val="00785B5D"/>
    <w:rsid w:val="00786F13"/>
    <w:rsid w:val="00790AE3"/>
    <w:rsid w:val="007920AE"/>
    <w:rsid w:val="007921A3"/>
    <w:rsid w:val="007935F2"/>
    <w:rsid w:val="007938DE"/>
    <w:rsid w:val="0079402F"/>
    <w:rsid w:val="00794757"/>
    <w:rsid w:val="007962A4"/>
    <w:rsid w:val="007967B8"/>
    <w:rsid w:val="007977AC"/>
    <w:rsid w:val="007A2767"/>
    <w:rsid w:val="007A3900"/>
    <w:rsid w:val="007A5FEE"/>
    <w:rsid w:val="007A6A28"/>
    <w:rsid w:val="007A722A"/>
    <w:rsid w:val="007A74A9"/>
    <w:rsid w:val="007A7C58"/>
    <w:rsid w:val="007A7FD5"/>
    <w:rsid w:val="007B01A6"/>
    <w:rsid w:val="007B141A"/>
    <w:rsid w:val="007B2234"/>
    <w:rsid w:val="007B23D1"/>
    <w:rsid w:val="007B2FEB"/>
    <w:rsid w:val="007B36CF"/>
    <w:rsid w:val="007B7171"/>
    <w:rsid w:val="007B78D4"/>
    <w:rsid w:val="007B7A11"/>
    <w:rsid w:val="007C00C1"/>
    <w:rsid w:val="007C014F"/>
    <w:rsid w:val="007C3037"/>
    <w:rsid w:val="007C4F98"/>
    <w:rsid w:val="007C5F4F"/>
    <w:rsid w:val="007C6941"/>
    <w:rsid w:val="007C75FB"/>
    <w:rsid w:val="007C787F"/>
    <w:rsid w:val="007C7FAF"/>
    <w:rsid w:val="007D163E"/>
    <w:rsid w:val="007D25B5"/>
    <w:rsid w:val="007D32A0"/>
    <w:rsid w:val="007D357D"/>
    <w:rsid w:val="007D406D"/>
    <w:rsid w:val="007D49B9"/>
    <w:rsid w:val="007D5EA0"/>
    <w:rsid w:val="007D6E0F"/>
    <w:rsid w:val="007D6FD6"/>
    <w:rsid w:val="007D7283"/>
    <w:rsid w:val="007D7B18"/>
    <w:rsid w:val="007E20BF"/>
    <w:rsid w:val="007E2971"/>
    <w:rsid w:val="007E2B23"/>
    <w:rsid w:val="007E2F8C"/>
    <w:rsid w:val="007E3B07"/>
    <w:rsid w:val="007E5428"/>
    <w:rsid w:val="007E5540"/>
    <w:rsid w:val="007E5A67"/>
    <w:rsid w:val="007E65B8"/>
    <w:rsid w:val="007E6B2B"/>
    <w:rsid w:val="007E72AA"/>
    <w:rsid w:val="007E7676"/>
    <w:rsid w:val="007E7732"/>
    <w:rsid w:val="007E7B5C"/>
    <w:rsid w:val="007E7CAD"/>
    <w:rsid w:val="007F0E9A"/>
    <w:rsid w:val="007F11AD"/>
    <w:rsid w:val="007F1270"/>
    <w:rsid w:val="007F13C6"/>
    <w:rsid w:val="007F1983"/>
    <w:rsid w:val="007F1F50"/>
    <w:rsid w:val="007F20F4"/>
    <w:rsid w:val="007F2205"/>
    <w:rsid w:val="007F2FB1"/>
    <w:rsid w:val="007F4F48"/>
    <w:rsid w:val="007F5B63"/>
    <w:rsid w:val="007F7C8B"/>
    <w:rsid w:val="008015B5"/>
    <w:rsid w:val="00801B1F"/>
    <w:rsid w:val="0080286F"/>
    <w:rsid w:val="008030A9"/>
    <w:rsid w:val="008066B8"/>
    <w:rsid w:val="00806923"/>
    <w:rsid w:val="00807FB4"/>
    <w:rsid w:val="008104F5"/>
    <w:rsid w:val="00810983"/>
    <w:rsid w:val="00811602"/>
    <w:rsid w:val="00811FB9"/>
    <w:rsid w:val="00813337"/>
    <w:rsid w:val="00815EC7"/>
    <w:rsid w:val="00816135"/>
    <w:rsid w:val="008164F0"/>
    <w:rsid w:val="0082236B"/>
    <w:rsid w:val="00822E8B"/>
    <w:rsid w:val="00823580"/>
    <w:rsid w:val="00824549"/>
    <w:rsid w:val="00824E0A"/>
    <w:rsid w:val="00826871"/>
    <w:rsid w:val="0082764E"/>
    <w:rsid w:val="00830C5C"/>
    <w:rsid w:val="008313D5"/>
    <w:rsid w:val="008323FA"/>
    <w:rsid w:val="00832AA2"/>
    <w:rsid w:val="0083429D"/>
    <w:rsid w:val="00834546"/>
    <w:rsid w:val="00835BE9"/>
    <w:rsid w:val="00835C5A"/>
    <w:rsid w:val="008370F4"/>
    <w:rsid w:val="00841953"/>
    <w:rsid w:val="00841979"/>
    <w:rsid w:val="008430F5"/>
    <w:rsid w:val="008436EC"/>
    <w:rsid w:val="00845D8F"/>
    <w:rsid w:val="00846D1A"/>
    <w:rsid w:val="008472D1"/>
    <w:rsid w:val="00847494"/>
    <w:rsid w:val="00847F8D"/>
    <w:rsid w:val="00852CD1"/>
    <w:rsid w:val="00854739"/>
    <w:rsid w:val="00854951"/>
    <w:rsid w:val="008564EE"/>
    <w:rsid w:val="00856AF1"/>
    <w:rsid w:val="00857B53"/>
    <w:rsid w:val="008604FF"/>
    <w:rsid w:val="00861206"/>
    <w:rsid w:val="0086122C"/>
    <w:rsid w:val="0086127F"/>
    <w:rsid w:val="008627FD"/>
    <w:rsid w:val="00862C8E"/>
    <w:rsid w:val="00863EE5"/>
    <w:rsid w:val="00863FDC"/>
    <w:rsid w:val="00864491"/>
    <w:rsid w:val="008644CC"/>
    <w:rsid w:val="00864AC1"/>
    <w:rsid w:val="00865012"/>
    <w:rsid w:val="00865872"/>
    <w:rsid w:val="008669D0"/>
    <w:rsid w:val="00870BF2"/>
    <w:rsid w:val="00871BF0"/>
    <w:rsid w:val="00872222"/>
    <w:rsid w:val="0087348C"/>
    <w:rsid w:val="00873B6D"/>
    <w:rsid w:val="0087735F"/>
    <w:rsid w:val="00877A18"/>
    <w:rsid w:val="008827C0"/>
    <w:rsid w:val="00882E7A"/>
    <w:rsid w:val="0088324D"/>
    <w:rsid w:val="008838FC"/>
    <w:rsid w:val="0088406D"/>
    <w:rsid w:val="008844A0"/>
    <w:rsid w:val="00884846"/>
    <w:rsid w:val="0088649E"/>
    <w:rsid w:val="00890528"/>
    <w:rsid w:val="008909B5"/>
    <w:rsid w:val="0089203F"/>
    <w:rsid w:val="0089236D"/>
    <w:rsid w:val="00893129"/>
    <w:rsid w:val="00893232"/>
    <w:rsid w:val="00893A87"/>
    <w:rsid w:val="00893CB8"/>
    <w:rsid w:val="008949F1"/>
    <w:rsid w:val="0089588F"/>
    <w:rsid w:val="00896DDD"/>
    <w:rsid w:val="00897416"/>
    <w:rsid w:val="00897957"/>
    <w:rsid w:val="00897A86"/>
    <w:rsid w:val="00897CFB"/>
    <w:rsid w:val="008A393E"/>
    <w:rsid w:val="008A5696"/>
    <w:rsid w:val="008A5E66"/>
    <w:rsid w:val="008A64C9"/>
    <w:rsid w:val="008A6EC7"/>
    <w:rsid w:val="008A6F60"/>
    <w:rsid w:val="008A7A2B"/>
    <w:rsid w:val="008B0366"/>
    <w:rsid w:val="008B10DB"/>
    <w:rsid w:val="008B2C42"/>
    <w:rsid w:val="008B382F"/>
    <w:rsid w:val="008B3CF9"/>
    <w:rsid w:val="008B46C7"/>
    <w:rsid w:val="008B4FEA"/>
    <w:rsid w:val="008B5326"/>
    <w:rsid w:val="008C0812"/>
    <w:rsid w:val="008C19A1"/>
    <w:rsid w:val="008C1F4F"/>
    <w:rsid w:val="008C2405"/>
    <w:rsid w:val="008C3FCF"/>
    <w:rsid w:val="008C5AEF"/>
    <w:rsid w:val="008C66E4"/>
    <w:rsid w:val="008C791E"/>
    <w:rsid w:val="008D26EC"/>
    <w:rsid w:val="008D3BF7"/>
    <w:rsid w:val="008D45BA"/>
    <w:rsid w:val="008D4B04"/>
    <w:rsid w:val="008D60EE"/>
    <w:rsid w:val="008D6B05"/>
    <w:rsid w:val="008E1AE8"/>
    <w:rsid w:val="008E1DD3"/>
    <w:rsid w:val="008E235C"/>
    <w:rsid w:val="008E381B"/>
    <w:rsid w:val="008E471F"/>
    <w:rsid w:val="008E4CC4"/>
    <w:rsid w:val="008E50B3"/>
    <w:rsid w:val="008E54A3"/>
    <w:rsid w:val="008E5782"/>
    <w:rsid w:val="008E5AF4"/>
    <w:rsid w:val="008E5EB7"/>
    <w:rsid w:val="008E5F62"/>
    <w:rsid w:val="008E68C9"/>
    <w:rsid w:val="008E759D"/>
    <w:rsid w:val="008F19FD"/>
    <w:rsid w:val="008F1C41"/>
    <w:rsid w:val="008F1E5C"/>
    <w:rsid w:val="008F1F34"/>
    <w:rsid w:val="008F21D8"/>
    <w:rsid w:val="008F228E"/>
    <w:rsid w:val="008F26A0"/>
    <w:rsid w:val="008F5B25"/>
    <w:rsid w:val="008F67EA"/>
    <w:rsid w:val="008F6FC9"/>
    <w:rsid w:val="008F7068"/>
    <w:rsid w:val="008F736F"/>
    <w:rsid w:val="00901505"/>
    <w:rsid w:val="00902A27"/>
    <w:rsid w:val="0090358B"/>
    <w:rsid w:val="00903724"/>
    <w:rsid w:val="00903CE6"/>
    <w:rsid w:val="00903D35"/>
    <w:rsid w:val="00903F0A"/>
    <w:rsid w:val="00903FB3"/>
    <w:rsid w:val="00904252"/>
    <w:rsid w:val="009046E8"/>
    <w:rsid w:val="009050F0"/>
    <w:rsid w:val="009051E9"/>
    <w:rsid w:val="009066B6"/>
    <w:rsid w:val="009066CD"/>
    <w:rsid w:val="00907DA6"/>
    <w:rsid w:val="009104BC"/>
    <w:rsid w:val="00910CF8"/>
    <w:rsid w:val="00911B5A"/>
    <w:rsid w:val="00912441"/>
    <w:rsid w:val="009132EE"/>
    <w:rsid w:val="00913B4B"/>
    <w:rsid w:val="00913E1C"/>
    <w:rsid w:val="00915374"/>
    <w:rsid w:val="00915B10"/>
    <w:rsid w:val="0091778B"/>
    <w:rsid w:val="00917C09"/>
    <w:rsid w:val="00917F67"/>
    <w:rsid w:val="0092099C"/>
    <w:rsid w:val="009229F5"/>
    <w:rsid w:val="00922E84"/>
    <w:rsid w:val="00923F53"/>
    <w:rsid w:val="00924779"/>
    <w:rsid w:val="00924DEA"/>
    <w:rsid w:val="00925D33"/>
    <w:rsid w:val="00925E32"/>
    <w:rsid w:val="0092728D"/>
    <w:rsid w:val="00931358"/>
    <w:rsid w:val="009317F9"/>
    <w:rsid w:val="00932EFD"/>
    <w:rsid w:val="00934538"/>
    <w:rsid w:val="00934B8F"/>
    <w:rsid w:val="00934EF9"/>
    <w:rsid w:val="009360E2"/>
    <w:rsid w:val="00936AE4"/>
    <w:rsid w:val="00937A6C"/>
    <w:rsid w:val="00941F7B"/>
    <w:rsid w:val="00944A02"/>
    <w:rsid w:val="0094574E"/>
    <w:rsid w:val="00945AAE"/>
    <w:rsid w:val="00945BA1"/>
    <w:rsid w:val="00945D81"/>
    <w:rsid w:val="00946055"/>
    <w:rsid w:val="009462B3"/>
    <w:rsid w:val="009476E5"/>
    <w:rsid w:val="00947810"/>
    <w:rsid w:val="00947DAE"/>
    <w:rsid w:val="00950683"/>
    <w:rsid w:val="00951D7A"/>
    <w:rsid w:val="00951E26"/>
    <w:rsid w:val="00952890"/>
    <w:rsid w:val="00953F18"/>
    <w:rsid w:val="00954F7B"/>
    <w:rsid w:val="00955409"/>
    <w:rsid w:val="009560D3"/>
    <w:rsid w:val="00956FAA"/>
    <w:rsid w:val="0095762C"/>
    <w:rsid w:val="00957956"/>
    <w:rsid w:val="009579B1"/>
    <w:rsid w:val="00957B09"/>
    <w:rsid w:val="00961D82"/>
    <w:rsid w:val="00962FDC"/>
    <w:rsid w:val="0096348F"/>
    <w:rsid w:val="009641C2"/>
    <w:rsid w:val="00964C92"/>
    <w:rsid w:val="009655FD"/>
    <w:rsid w:val="00966296"/>
    <w:rsid w:val="00966DC5"/>
    <w:rsid w:val="00971397"/>
    <w:rsid w:val="00972F02"/>
    <w:rsid w:val="00973783"/>
    <w:rsid w:val="0097409E"/>
    <w:rsid w:val="00974877"/>
    <w:rsid w:val="00976F19"/>
    <w:rsid w:val="00980457"/>
    <w:rsid w:val="00980999"/>
    <w:rsid w:val="009815D6"/>
    <w:rsid w:val="00982563"/>
    <w:rsid w:val="00982C93"/>
    <w:rsid w:val="00983844"/>
    <w:rsid w:val="00983B47"/>
    <w:rsid w:val="0098583E"/>
    <w:rsid w:val="00985B38"/>
    <w:rsid w:val="00986F8A"/>
    <w:rsid w:val="00990170"/>
    <w:rsid w:val="009908A7"/>
    <w:rsid w:val="00990AF9"/>
    <w:rsid w:val="00992158"/>
    <w:rsid w:val="0099480C"/>
    <w:rsid w:val="00995427"/>
    <w:rsid w:val="00995BE1"/>
    <w:rsid w:val="00996CB2"/>
    <w:rsid w:val="0099734A"/>
    <w:rsid w:val="00997C38"/>
    <w:rsid w:val="009A07B5"/>
    <w:rsid w:val="009A08B7"/>
    <w:rsid w:val="009A1344"/>
    <w:rsid w:val="009A2EA2"/>
    <w:rsid w:val="009A491B"/>
    <w:rsid w:val="009A4D9D"/>
    <w:rsid w:val="009A5248"/>
    <w:rsid w:val="009A5E95"/>
    <w:rsid w:val="009A6854"/>
    <w:rsid w:val="009A68CD"/>
    <w:rsid w:val="009A783B"/>
    <w:rsid w:val="009A79AB"/>
    <w:rsid w:val="009A7C4C"/>
    <w:rsid w:val="009B0A51"/>
    <w:rsid w:val="009B23A1"/>
    <w:rsid w:val="009B23C1"/>
    <w:rsid w:val="009B2CD3"/>
    <w:rsid w:val="009B4E55"/>
    <w:rsid w:val="009B4E9F"/>
    <w:rsid w:val="009B596A"/>
    <w:rsid w:val="009C0F73"/>
    <w:rsid w:val="009C2A2E"/>
    <w:rsid w:val="009C347F"/>
    <w:rsid w:val="009C39C0"/>
    <w:rsid w:val="009C3DBA"/>
    <w:rsid w:val="009C4A49"/>
    <w:rsid w:val="009C544F"/>
    <w:rsid w:val="009C7093"/>
    <w:rsid w:val="009D297D"/>
    <w:rsid w:val="009D4EAE"/>
    <w:rsid w:val="009E0206"/>
    <w:rsid w:val="009E0F4C"/>
    <w:rsid w:val="009E1841"/>
    <w:rsid w:val="009E2159"/>
    <w:rsid w:val="009E2235"/>
    <w:rsid w:val="009E2347"/>
    <w:rsid w:val="009E5DBB"/>
    <w:rsid w:val="009E6809"/>
    <w:rsid w:val="009E69D5"/>
    <w:rsid w:val="009E7241"/>
    <w:rsid w:val="009F050D"/>
    <w:rsid w:val="009F12FF"/>
    <w:rsid w:val="009F2799"/>
    <w:rsid w:val="009F2F4F"/>
    <w:rsid w:val="009F367D"/>
    <w:rsid w:val="009F41FF"/>
    <w:rsid w:val="009F551F"/>
    <w:rsid w:val="009F57F2"/>
    <w:rsid w:val="009F7459"/>
    <w:rsid w:val="009F773D"/>
    <w:rsid w:val="00A02439"/>
    <w:rsid w:val="00A02E2C"/>
    <w:rsid w:val="00A042E2"/>
    <w:rsid w:val="00A05E37"/>
    <w:rsid w:val="00A05F3F"/>
    <w:rsid w:val="00A069B1"/>
    <w:rsid w:val="00A074DE"/>
    <w:rsid w:val="00A07864"/>
    <w:rsid w:val="00A11CE8"/>
    <w:rsid w:val="00A12E85"/>
    <w:rsid w:val="00A12F96"/>
    <w:rsid w:val="00A1318F"/>
    <w:rsid w:val="00A131E8"/>
    <w:rsid w:val="00A1420B"/>
    <w:rsid w:val="00A14732"/>
    <w:rsid w:val="00A14BB0"/>
    <w:rsid w:val="00A14C66"/>
    <w:rsid w:val="00A154A7"/>
    <w:rsid w:val="00A15DFE"/>
    <w:rsid w:val="00A16197"/>
    <w:rsid w:val="00A20165"/>
    <w:rsid w:val="00A2055D"/>
    <w:rsid w:val="00A20708"/>
    <w:rsid w:val="00A239BA"/>
    <w:rsid w:val="00A23E51"/>
    <w:rsid w:val="00A25182"/>
    <w:rsid w:val="00A25B63"/>
    <w:rsid w:val="00A25B9F"/>
    <w:rsid w:val="00A26AFE"/>
    <w:rsid w:val="00A2765A"/>
    <w:rsid w:val="00A27C51"/>
    <w:rsid w:val="00A315CE"/>
    <w:rsid w:val="00A32550"/>
    <w:rsid w:val="00A32CF4"/>
    <w:rsid w:val="00A35429"/>
    <w:rsid w:val="00A36C60"/>
    <w:rsid w:val="00A36F80"/>
    <w:rsid w:val="00A37101"/>
    <w:rsid w:val="00A371F2"/>
    <w:rsid w:val="00A37244"/>
    <w:rsid w:val="00A37D4B"/>
    <w:rsid w:val="00A404E3"/>
    <w:rsid w:val="00A41026"/>
    <w:rsid w:val="00A41372"/>
    <w:rsid w:val="00A41B29"/>
    <w:rsid w:val="00A439D7"/>
    <w:rsid w:val="00A43EA3"/>
    <w:rsid w:val="00A44694"/>
    <w:rsid w:val="00A45BEF"/>
    <w:rsid w:val="00A45C3A"/>
    <w:rsid w:val="00A47451"/>
    <w:rsid w:val="00A5388B"/>
    <w:rsid w:val="00A53CE6"/>
    <w:rsid w:val="00A5433F"/>
    <w:rsid w:val="00A54341"/>
    <w:rsid w:val="00A548A8"/>
    <w:rsid w:val="00A54A74"/>
    <w:rsid w:val="00A560EA"/>
    <w:rsid w:val="00A56299"/>
    <w:rsid w:val="00A5682D"/>
    <w:rsid w:val="00A5698F"/>
    <w:rsid w:val="00A60102"/>
    <w:rsid w:val="00A615B3"/>
    <w:rsid w:val="00A62E4B"/>
    <w:rsid w:val="00A6367D"/>
    <w:rsid w:val="00A637EA"/>
    <w:rsid w:val="00A63FC4"/>
    <w:rsid w:val="00A67640"/>
    <w:rsid w:val="00A67F32"/>
    <w:rsid w:val="00A70471"/>
    <w:rsid w:val="00A7151E"/>
    <w:rsid w:val="00A72C30"/>
    <w:rsid w:val="00A74651"/>
    <w:rsid w:val="00A76F61"/>
    <w:rsid w:val="00A77053"/>
    <w:rsid w:val="00A8007F"/>
    <w:rsid w:val="00A80613"/>
    <w:rsid w:val="00A813CD"/>
    <w:rsid w:val="00A81FA2"/>
    <w:rsid w:val="00A82B40"/>
    <w:rsid w:val="00A82EB2"/>
    <w:rsid w:val="00A8315C"/>
    <w:rsid w:val="00A8373B"/>
    <w:rsid w:val="00A84412"/>
    <w:rsid w:val="00A84845"/>
    <w:rsid w:val="00A84EC1"/>
    <w:rsid w:val="00A84EC3"/>
    <w:rsid w:val="00A8665E"/>
    <w:rsid w:val="00A86C91"/>
    <w:rsid w:val="00A86E66"/>
    <w:rsid w:val="00A87158"/>
    <w:rsid w:val="00A8728C"/>
    <w:rsid w:val="00A87446"/>
    <w:rsid w:val="00A875E8"/>
    <w:rsid w:val="00A876E5"/>
    <w:rsid w:val="00A90A4E"/>
    <w:rsid w:val="00A90C13"/>
    <w:rsid w:val="00A910BF"/>
    <w:rsid w:val="00A916A5"/>
    <w:rsid w:val="00A91A26"/>
    <w:rsid w:val="00A91F51"/>
    <w:rsid w:val="00A93746"/>
    <w:rsid w:val="00A93C7D"/>
    <w:rsid w:val="00A94677"/>
    <w:rsid w:val="00A94D0C"/>
    <w:rsid w:val="00A94D41"/>
    <w:rsid w:val="00A963C9"/>
    <w:rsid w:val="00A97A96"/>
    <w:rsid w:val="00AA0182"/>
    <w:rsid w:val="00AA0452"/>
    <w:rsid w:val="00AA3079"/>
    <w:rsid w:val="00AA3BDA"/>
    <w:rsid w:val="00AA3F85"/>
    <w:rsid w:val="00AA3F99"/>
    <w:rsid w:val="00AA489E"/>
    <w:rsid w:val="00AA4E02"/>
    <w:rsid w:val="00AA56B7"/>
    <w:rsid w:val="00AA5F87"/>
    <w:rsid w:val="00AA629B"/>
    <w:rsid w:val="00AA6476"/>
    <w:rsid w:val="00AA704D"/>
    <w:rsid w:val="00AB0D7D"/>
    <w:rsid w:val="00AB18B2"/>
    <w:rsid w:val="00AB1DBB"/>
    <w:rsid w:val="00AB2B88"/>
    <w:rsid w:val="00AB471E"/>
    <w:rsid w:val="00AB4DFB"/>
    <w:rsid w:val="00AB571F"/>
    <w:rsid w:val="00AB59F3"/>
    <w:rsid w:val="00AB6359"/>
    <w:rsid w:val="00AB6F79"/>
    <w:rsid w:val="00AB7284"/>
    <w:rsid w:val="00AC0B10"/>
    <w:rsid w:val="00AC1439"/>
    <w:rsid w:val="00AC1BDA"/>
    <w:rsid w:val="00AC443F"/>
    <w:rsid w:val="00AC46C1"/>
    <w:rsid w:val="00AC584D"/>
    <w:rsid w:val="00AC67C5"/>
    <w:rsid w:val="00AC6ECF"/>
    <w:rsid w:val="00AC725F"/>
    <w:rsid w:val="00AC76B1"/>
    <w:rsid w:val="00AC7AC1"/>
    <w:rsid w:val="00AD0EB1"/>
    <w:rsid w:val="00AD30E6"/>
    <w:rsid w:val="00AD3218"/>
    <w:rsid w:val="00AD4C31"/>
    <w:rsid w:val="00AD5AEB"/>
    <w:rsid w:val="00AD69DD"/>
    <w:rsid w:val="00AD74E9"/>
    <w:rsid w:val="00AD7A6F"/>
    <w:rsid w:val="00AE082B"/>
    <w:rsid w:val="00AE12A8"/>
    <w:rsid w:val="00AE1884"/>
    <w:rsid w:val="00AE1B84"/>
    <w:rsid w:val="00AE272A"/>
    <w:rsid w:val="00AE3954"/>
    <w:rsid w:val="00AE3EFC"/>
    <w:rsid w:val="00AE43E2"/>
    <w:rsid w:val="00AE4FB6"/>
    <w:rsid w:val="00AE5602"/>
    <w:rsid w:val="00AE5B3E"/>
    <w:rsid w:val="00AE64B0"/>
    <w:rsid w:val="00AF19FA"/>
    <w:rsid w:val="00AF23B2"/>
    <w:rsid w:val="00AF281F"/>
    <w:rsid w:val="00AF3C5A"/>
    <w:rsid w:val="00AF41A5"/>
    <w:rsid w:val="00AF57DB"/>
    <w:rsid w:val="00AF5A1B"/>
    <w:rsid w:val="00AF64CB"/>
    <w:rsid w:val="00AF6AD9"/>
    <w:rsid w:val="00B00899"/>
    <w:rsid w:val="00B01B57"/>
    <w:rsid w:val="00B02B6B"/>
    <w:rsid w:val="00B03D64"/>
    <w:rsid w:val="00B041E2"/>
    <w:rsid w:val="00B04ACD"/>
    <w:rsid w:val="00B05F7F"/>
    <w:rsid w:val="00B06A04"/>
    <w:rsid w:val="00B10572"/>
    <w:rsid w:val="00B10FD1"/>
    <w:rsid w:val="00B111D9"/>
    <w:rsid w:val="00B11AB5"/>
    <w:rsid w:val="00B11DA2"/>
    <w:rsid w:val="00B1204D"/>
    <w:rsid w:val="00B13982"/>
    <w:rsid w:val="00B1445E"/>
    <w:rsid w:val="00B153F7"/>
    <w:rsid w:val="00B15E13"/>
    <w:rsid w:val="00B16071"/>
    <w:rsid w:val="00B20C5B"/>
    <w:rsid w:val="00B20DF0"/>
    <w:rsid w:val="00B212C5"/>
    <w:rsid w:val="00B21B96"/>
    <w:rsid w:val="00B2387C"/>
    <w:rsid w:val="00B25B85"/>
    <w:rsid w:val="00B25CEC"/>
    <w:rsid w:val="00B2647B"/>
    <w:rsid w:val="00B2692E"/>
    <w:rsid w:val="00B26B08"/>
    <w:rsid w:val="00B278C5"/>
    <w:rsid w:val="00B30DED"/>
    <w:rsid w:val="00B31328"/>
    <w:rsid w:val="00B3138B"/>
    <w:rsid w:val="00B31C43"/>
    <w:rsid w:val="00B32692"/>
    <w:rsid w:val="00B3270E"/>
    <w:rsid w:val="00B33707"/>
    <w:rsid w:val="00B341F0"/>
    <w:rsid w:val="00B37AB5"/>
    <w:rsid w:val="00B439AE"/>
    <w:rsid w:val="00B4601A"/>
    <w:rsid w:val="00B46ACF"/>
    <w:rsid w:val="00B46AEF"/>
    <w:rsid w:val="00B47605"/>
    <w:rsid w:val="00B50611"/>
    <w:rsid w:val="00B514A2"/>
    <w:rsid w:val="00B51E7D"/>
    <w:rsid w:val="00B53DF7"/>
    <w:rsid w:val="00B54758"/>
    <w:rsid w:val="00B54BC5"/>
    <w:rsid w:val="00B550F2"/>
    <w:rsid w:val="00B55AAF"/>
    <w:rsid w:val="00B563D4"/>
    <w:rsid w:val="00B56848"/>
    <w:rsid w:val="00B57FB8"/>
    <w:rsid w:val="00B61817"/>
    <w:rsid w:val="00B63566"/>
    <w:rsid w:val="00B63795"/>
    <w:rsid w:val="00B66189"/>
    <w:rsid w:val="00B66B00"/>
    <w:rsid w:val="00B66EEE"/>
    <w:rsid w:val="00B67165"/>
    <w:rsid w:val="00B70A09"/>
    <w:rsid w:val="00B71232"/>
    <w:rsid w:val="00B71C8D"/>
    <w:rsid w:val="00B72076"/>
    <w:rsid w:val="00B72182"/>
    <w:rsid w:val="00B7280F"/>
    <w:rsid w:val="00B7285A"/>
    <w:rsid w:val="00B74CE5"/>
    <w:rsid w:val="00B751E5"/>
    <w:rsid w:val="00B7582A"/>
    <w:rsid w:val="00B75C04"/>
    <w:rsid w:val="00B76151"/>
    <w:rsid w:val="00B803D3"/>
    <w:rsid w:val="00B8242D"/>
    <w:rsid w:val="00B8299B"/>
    <w:rsid w:val="00B82BF3"/>
    <w:rsid w:val="00B82F9D"/>
    <w:rsid w:val="00B8321D"/>
    <w:rsid w:val="00B83266"/>
    <w:rsid w:val="00B85595"/>
    <w:rsid w:val="00B858F3"/>
    <w:rsid w:val="00B872C3"/>
    <w:rsid w:val="00B87816"/>
    <w:rsid w:val="00B90DF0"/>
    <w:rsid w:val="00B92F42"/>
    <w:rsid w:val="00B948A5"/>
    <w:rsid w:val="00B94DBF"/>
    <w:rsid w:val="00B970BC"/>
    <w:rsid w:val="00B9778B"/>
    <w:rsid w:val="00BA0EAC"/>
    <w:rsid w:val="00BA15B9"/>
    <w:rsid w:val="00BA1EB2"/>
    <w:rsid w:val="00BA25B6"/>
    <w:rsid w:val="00BA2BF0"/>
    <w:rsid w:val="00BA3E0E"/>
    <w:rsid w:val="00BA4379"/>
    <w:rsid w:val="00BA5046"/>
    <w:rsid w:val="00BA7316"/>
    <w:rsid w:val="00BA790F"/>
    <w:rsid w:val="00BA7E89"/>
    <w:rsid w:val="00BB2C71"/>
    <w:rsid w:val="00BB35D7"/>
    <w:rsid w:val="00BB3BD7"/>
    <w:rsid w:val="00BB3D61"/>
    <w:rsid w:val="00BB4605"/>
    <w:rsid w:val="00BB4A27"/>
    <w:rsid w:val="00BB5625"/>
    <w:rsid w:val="00BB5DC4"/>
    <w:rsid w:val="00BB6503"/>
    <w:rsid w:val="00BC00A7"/>
    <w:rsid w:val="00BC072F"/>
    <w:rsid w:val="00BC20FE"/>
    <w:rsid w:val="00BC30D4"/>
    <w:rsid w:val="00BC3748"/>
    <w:rsid w:val="00BC4305"/>
    <w:rsid w:val="00BC43C5"/>
    <w:rsid w:val="00BC46C7"/>
    <w:rsid w:val="00BC57B7"/>
    <w:rsid w:val="00BC71E9"/>
    <w:rsid w:val="00BD04C0"/>
    <w:rsid w:val="00BD0A30"/>
    <w:rsid w:val="00BD0BC9"/>
    <w:rsid w:val="00BD0F65"/>
    <w:rsid w:val="00BD1BE5"/>
    <w:rsid w:val="00BD2265"/>
    <w:rsid w:val="00BD287A"/>
    <w:rsid w:val="00BD5E25"/>
    <w:rsid w:val="00BD6361"/>
    <w:rsid w:val="00BD638C"/>
    <w:rsid w:val="00BE02DF"/>
    <w:rsid w:val="00BE0C80"/>
    <w:rsid w:val="00BE0D53"/>
    <w:rsid w:val="00BE3276"/>
    <w:rsid w:val="00BE41D1"/>
    <w:rsid w:val="00BE420E"/>
    <w:rsid w:val="00BE5332"/>
    <w:rsid w:val="00BE6C84"/>
    <w:rsid w:val="00BF213F"/>
    <w:rsid w:val="00BF5623"/>
    <w:rsid w:val="00C00057"/>
    <w:rsid w:val="00C0069C"/>
    <w:rsid w:val="00C007A2"/>
    <w:rsid w:val="00C00A33"/>
    <w:rsid w:val="00C0133D"/>
    <w:rsid w:val="00C017CF"/>
    <w:rsid w:val="00C02027"/>
    <w:rsid w:val="00C02BFC"/>
    <w:rsid w:val="00C03CD3"/>
    <w:rsid w:val="00C0447D"/>
    <w:rsid w:val="00C04DAA"/>
    <w:rsid w:val="00C05554"/>
    <w:rsid w:val="00C07A7F"/>
    <w:rsid w:val="00C10998"/>
    <w:rsid w:val="00C11471"/>
    <w:rsid w:val="00C12F40"/>
    <w:rsid w:val="00C13AB2"/>
    <w:rsid w:val="00C1436F"/>
    <w:rsid w:val="00C15463"/>
    <w:rsid w:val="00C1580E"/>
    <w:rsid w:val="00C15848"/>
    <w:rsid w:val="00C208D9"/>
    <w:rsid w:val="00C20BDB"/>
    <w:rsid w:val="00C23496"/>
    <w:rsid w:val="00C23FB3"/>
    <w:rsid w:val="00C24080"/>
    <w:rsid w:val="00C2476C"/>
    <w:rsid w:val="00C255CE"/>
    <w:rsid w:val="00C258C7"/>
    <w:rsid w:val="00C2704F"/>
    <w:rsid w:val="00C27B7C"/>
    <w:rsid w:val="00C30E8A"/>
    <w:rsid w:val="00C33160"/>
    <w:rsid w:val="00C332BF"/>
    <w:rsid w:val="00C3340E"/>
    <w:rsid w:val="00C350A8"/>
    <w:rsid w:val="00C40A83"/>
    <w:rsid w:val="00C421AA"/>
    <w:rsid w:val="00C432E9"/>
    <w:rsid w:val="00C44A65"/>
    <w:rsid w:val="00C44E13"/>
    <w:rsid w:val="00C44EF9"/>
    <w:rsid w:val="00C45563"/>
    <w:rsid w:val="00C455EB"/>
    <w:rsid w:val="00C50A34"/>
    <w:rsid w:val="00C512F4"/>
    <w:rsid w:val="00C51402"/>
    <w:rsid w:val="00C5155E"/>
    <w:rsid w:val="00C51F56"/>
    <w:rsid w:val="00C5216B"/>
    <w:rsid w:val="00C527DA"/>
    <w:rsid w:val="00C52DD8"/>
    <w:rsid w:val="00C53CFC"/>
    <w:rsid w:val="00C54BD7"/>
    <w:rsid w:val="00C55172"/>
    <w:rsid w:val="00C57BFF"/>
    <w:rsid w:val="00C6140B"/>
    <w:rsid w:val="00C6266A"/>
    <w:rsid w:val="00C62825"/>
    <w:rsid w:val="00C62F7E"/>
    <w:rsid w:val="00C655A2"/>
    <w:rsid w:val="00C6638B"/>
    <w:rsid w:val="00C7109F"/>
    <w:rsid w:val="00C7227B"/>
    <w:rsid w:val="00C722F4"/>
    <w:rsid w:val="00C736D9"/>
    <w:rsid w:val="00C73CCE"/>
    <w:rsid w:val="00C745EE"/>
    <w:rsid w:val="00C74C6B"/>
    <w:rsid w:val="00C74F41"/>
    <w:rsid w:val="00C75256"/>
    <w:rsid w:val="00C75579"/>
    <w:rsid w:val="00C7566A"/>
    <w:rsid w:val="00C7576F"/>
    <w:rsid w:val="00C76633"/>
    <w:rsid w:val="00C76872"/>
    <w:rsid w:val="00C7761D"/>
    <w:rsid w:val="00C77885"/>
    <w:rsid w:val="00C812ED"/>
    <w:rsid w:val="00C8208D"/>
    <w:rsid w:val="00C834D8"/>
    <w:rsid w:val="00C837D8"/>
    <w:rsid w:val="00C84948"/>
    <w:rsid w:val="00C86066"/>
    <w:rsid w:val="00C86643"/>
    <w:rsid w:val="00C868ED"/>
    <w:rsid w:val="00C86A54"/>
    <w:rsid w:val="00C86FA9"/>
    <w:rsid w:val="00C87558"/>
    <w:rsid w:val="00C9321D"/>
    <w:rsid w:val="00C93DB8"/>
    <w:rsid w:val="00C94957"/>
    <w:rsid w:val="00C9578B"/>
    <w:rsid w:val="00C95990"/>
    <w:rsid w:val="00C962D5"/>
    <w:rsid w:val="00C973C8"/>
    <w:rsid w:val="00C97F02"/>
    <w:rsid w:val="00CA039A"/>
    <w:rsid w:val="00CA0BFB"/>
    <w:rsid w:val="00CA0C3D"/>
    <w:rsid w:val="00CA13D0"/>
    <w:rsid w:val="00CA204C"/>
    <w:rsid w:val="00CA26B7"/>
    <w:rsid w:val="00CA2CB5"/>
    <w:rsid w:val="00CA3BBC"/>
    <w:rsid w:val="00CA546D"/>
    <w:rsid w:val="00CA56A1"/>
    <w:rsid w:val="00CA5AF6"/>
    <w:rsid w:val="00CA5B1E"/>
    <w:rsid w:val="00CA5E29"/>
    <w:rsid w:val="00CA6042"/>
    <w:rsid w:val="00CA73B3"/>
    <w:rsid w:val="00CA7477"/>
    <w:rsid w:val="00CA7C4D"/>
    <w:rsid w:val="00CB1349"/>
    <w:rsid w:val="00CB2361"/>
    <w:rsid w:val="00CB2714"/>
    <w:rsid w:val="00CB3073"/>
    <w:rsid w:val="00CB31E5"/>
    <w:rsid w:val="00CB4328"/>
    <w:rsid w:val="00CB4EC6"/>
    <w:rsid w:val="00CB61D3"/>
    <w:rsid w:val="00CB728B"/>
    <w:rsid w:val="00CC122C"/>
    <w:rsid w:val="00CC25D0"/>
    <w:rsid w:val="00CC2BD1"/>
    <w:rsid w:val="00CC3069"/>
    <w:rsid w:val="00CC327C"/>
    <w:rsid w:val="00CC4366"/>
    <w:rsid w:val="00CC569B"/>
    <w:rsid w:val="00CC6699"/>
    <w:rsid w:val="00CC7CB8"/>
    <w:rsid w:val="00CD39B9"/>
    <w:rsid w:val="00CD3F2E"/>
    <w:rsid w:val="00CD3FA7"/>
    <w:rsid w:val="00CD69D0"/>
    <w:rsid w:val="00CE09BE"/>
    <w:rsid w:val="00CE14FB"/>
    <w:rsid w:val="00CE1731"/>
    <w:rsid w:val="00CE190C"/>
    <w:rsid w:val="00CE1A14"/>
    <w:rsid w:val="00CE1BA2"/>
    <w:rsid w:val="00CE223F"/>
    <w:rsid w:val="00CE2D17"/>
    <w:rsid w:val="00CE3637"/>
    <w:rsid w:val="00CE427B"/>
    <w:rsid w:val="00CE5FF2"/>
    <w:rsid w:val="00CE6AE5"/>
    <w:rsid w:val="00CF0A29"/>
    <w:rsid w:val="00CF19A8"/>
    <w:rsid w:val="00CF2CBB"/>
    <w:rsid w:val="00CF329F"/>
    <w:rsid w:val="00CF4A6F"/>
    <w:rsid w:val="00CF4D1E"/>
    <w:rsid w:val="00CF51EE"/>
    <w:rsid w:val="00CF5685"/>
    <w:rsid w:val="00CF590A"/>
    <w:rsid w:val="00CF645F"/>
    <w:rsid w:val="00CF65BC"/>
    <w:rsid w:val="00CF6A9F"/>
    <w:rsid w:val="00CF7451"/>
    <w:rsid w:val="00D0010A"/>
    <w:rsid w:val="00D00727"/>
    <w:rsid w:val="00D02E8D"/>
    <w:rsid w:val="00D04227"/>
    <w:rsid w:val="00D044D0"/>
    <w:rsid w:val="00D04A5E"/>
    <w:rsid w:val="00D05120"/>
    <w:rsid w:val="00D06123"/>
    <w:rsid w:val="00D06DBF"/>
    <w:rsid w:val="00D070BE"/>
    <w:rsid w:val="00D121F6"/>
    <w:rsid w:val="00D13B87"/>
    <w:rsid w:val="00D16069"/>
    <w:rsid w:val="00D173AB"/>
    <w:rsid w:val="00D20C82"/>
    <w:rsid w:val="00D21A29"/>
    <w:rsid w:val="00D22A58"/>
    <w:rsid w:val="00D22A77"/>
    <w:rsid w:val="00D242BD"/>
    <w:rsid w:val="00D25888"/>
    <w:rsid w:val="00D27B83"/>
    <w:rsid w:val="00D30288"/>
    <w:rsid w:val="00D312F1"/>
    <w:rsid w:val="00D31647"/>
    <w:rsid w:val="00D32D5F"/>
    <w:rsid w:val="00D34F6C"/>
    <w:rsid w:val="00D369E7"/>
    <w:rsid w:val="00D36A8A"/>
    <w:rsid w:val="00D4012C"/>
    <w:rsid w:val="00D40683"/>
    <w:rsid w:val="00D40700"/>
    <w:rsid w:val="00D43866"/>
    <w:rsid w:val="00D438BF"/>
    <w:rsid w:val="00D43CAA"/>
    <w:rsid w:val="00D43DE5"/>
    <w:rsid w:val="00D44879"/>
    <w:rsid w:val="00D44981"/>
    <w:rsid w:val="00D453DF"/>
    <w:rsid w:val="00D4540C"/>
    <w:rsid w:val="00D45F21"/>
    <w:rsid w:val="00D46E6F"/>
    <w:rsid w:val="00D475B3"/>
    <w:rsid w:val="00D477FD"/>
    <w:rsid w:val="00D504A1"/>
    <w:rsid w:val="00D526DF"/>
    <w:rsid w:val="00D5364A"/>
    <w:rsid w:val="00D53710"/>
    <w:rsid w:val="00D54D0E"/>
    <w:rsid w:val="00D55C59"/>
    <w:rsid w:val="00D576A2"/>
    <w:rsid w:val="00D57748"/>
    <w:rsid w:val="00D60484"/>
    <w:rsid w:val="00D61107"/>
    <w:rsid w:val="00D6142C"/>
    <w:rsid w:val="00D61A32"/>
    <w:rsid w:val="00D620E1"/>
    <w:rsid w:val="00D629D0"/>
    <w:rsid w:val="00D632BC"/>
    <w:rsid w:val="00D645D2"/>
    <w:rsid w:val="00D64C79"/>
    <w:rsid w:val="00D678BE"/>
    <w:rsid w:val="00D67A54"/>
    <w:rsid w:val="00D7031B"/>
    <w:rsid w:val="00D70EDC"/>
    <w:rsid w:val="00D74962"/>
    <w:rsid w:val="00D754B1"/>
    <w:rsid w:val="00D75CBD"/>
    <w:rsid w:val="00D76675"/>
    <w:rsid w:val="00D80765"/>
    <w:rsid w:val="00D81550"/>
    <w:rsid w:val="00D8364D"/>
    <w:rsid w:val="00D83FAD"/>
    <w:rsid w:val="00D846F5"/>
    <w:rsid w:val="00D85380"/>
    <w:rsid w:val="00D857C0"/>
    <w:rsid w:val="00D85886"/>
    <w:rsid w:val="00D85DC7"/>
    <w:rsid w:val="00D87803"/>
    <w:rsid w:val="00D912F9"/>
    <w:rsid w:val="00D91D32"/>
    <w:rsid w:val="00D9229C"/>
    <w:rsid w:val="00D92FF4"/>
    <w:rsid w:val="00D9317A"/>
    <w:rsid w:val="00D93197"/>
    <w:rsid w:val="00D94ED3"/>
    <w:rsid w:val="00D96200"/>
    <w:rsid w:val="00D96220"/>
    <w:rsid w:val="00D9715F"/>
    <w:rsid w:val="00D97B85"/>
    <w:rsid w:val="00DA0327"/>
    <w:rsid w:val="00DA12AE"/>
    <w:rsid w:val="00DA1FEE"/>
    <w:rsid w:val="00DA24BF"/>
    <w:rsid w:val="00DA2D30"/>
    <w:rsid w:val="00DA3FF1"/>
    <w:rsid w:val="00DA554A"/>
    <w:rsid w:val="00DA63B4"/>
    <w:rsid w:val="00DA6CF8"/>
    <w:rsid w:val="00DB0874"/>
    <w:rsid w:val="00DB3A4D"/>
    <w:rsid w:val="00DB4F09"/>
    <w:rsid w:val="00DB54CF"/>
    <w:rsid w:val="00DB5BF8"/>
    <w:rsid w:val="00DB6439"/>
    <w:rsid w:val="00DB7406"/>
    <w:rsid w:val="00DB74CF"/>
    <w:rsid w:val="00DC08EE"/>
    <w:rsid w:val="00DC11E9"/>
    <w:rsid w:val="00DC2B10"/>
    <w:rsid w:val="00DC4C0D"/>
    <w:rsid w:val="00DC5AFB"/>
    <w:rsid w:val="00DC6F83"/>
    <w:rsid w:val="00DD00C3"/>
    <w:rsid w:val="00DD0131"/>
    <w:rsid w:val="00DD18C4"/>
    <w:rsid w:val="00DD2000"/>
    <w:rsid w:val="00DD2044"/>
    <w:rsid w:val="00DD2A9E"/>
    <w:rsid w:val="00DD2DE2"/>
    <w:rsid w:val="00DD32B4"/>
    <w:rsid w:val="00DD41F6"/>
    <w:rsid w:val="00DD42BB"/>
    <w:rsid w:val="00DD49AE"/>
    <w:rsid w:val="00DD59B0"/>
    <w:rsid w:val="00DD687B"/>
    <w:rsid w:val="00DE0640"/>
    <w:rsid w:val="00DE0798"/>
    <w:rsid w:val="00DE25B2"/>
    <w:rsid w:val="00DE3A09"/>
    <w:rsid w:val="00DE45B0"/>
    <w:rsid w:val="00DE54CC"/>
    <w:rsid w:val="00DE6938"/>
    <w:rsid w:val="00DE7479"/>
    <w:rsid w:val="00DF0409"/>
    <w:rsid w:val="00DF0D94"/>
    <w:rsid w:val="00DF3100"/>
    <w:rsid w:val="00DF4B0E"/>
    <w:rsid w:val="00DF68ED"/>
    <w:rsid w:val="00DF7856"/>
    <w:rsid w:val="00E019DD"/>
    <w:rsid w:val="00E03365"/>
    <w:rsid w:val="00E03863"/>
    <w:rsid w:val="00E038CA"/>
    <w:rsid w:val="00E03AAC"/>
    <w:rsid w:val="00E0521A"/>
    <w:rsid w:val="00E07314"/>
    <w:rsid w:val="00E0766B"/>
    <w:rsid w:val="00E1019E"/>
    <w:rsid w:val="00E11C63"/>
    <w:rsid w:val="00E12FF4"/>
    <w:rsid w:val="00E13109"/>
    <w:rsid w:val="00E13900"/>
    <w:rsid w:val="00E14884"/>
    <w:rsid w:val="00E15308"/>
    <w:rsid w:val="00E15331"/>
    <w:rsid w:val="00E15B67"/>
    <w:rsid w:val="00E15D74"/>
    <w:rsid w:val="00E2022F"/>
    <w:rsid w:val="00E230DC"/>
    <w:rsid w:val="00E236A4"/>
    <w:rsid w:val="00E2572A"/>
    <w:rsid w:val="00E25A64"/>
    <w:rsid w:val="00E25A92"/>
    <w:rsid w:val="00E26894"/>
    <w:rsid w:val="00E27BB6"/>
    <w:rsid w:val="00E3012C"/>
    <w:rsid w:val="00E306C1"/>
    <w:rsid w:val="00E31491"/>
    <w:rsid w:val="00E31E0A"/>
    <w:rsid w:val="00E3211C"/>
    <w:rsid w:val="00E33020"/>
    <w:rsid w:val="00E35003"/>
    <w:rsid w:val="00E3599E"/>
    <w:rsid w:val="00E37D69"/>
    <w:rsid w:val="00E37DCF"/>
    <w:rsid w:val="00E41361"/>
    <w:rsid w:val="00E44BF7"/>
    <w:rsid w:val="00E463EA"/>
    <w:rsid w:val="00E46DB6"/>
    <w:rsid w:val="00E472C8"/>
    <w:rsid w:val="00E506CE"/>
    <w:rsid w:val="00E508E2"/>
    <w:rsid w:val="00E50CCA"/>
    <w:rsid w:val="00E50D5B"/>
    <w:rsid w:val="00E51322"/>
    <w:rsid w:val="00E52080"/>
    <w:rsid w:val="00E5216E"/>
    <w:rsid w:val="00E53DF9"/>
    <w:rsid w:val="00E553BE"/>
    <w:rsid w:val="00E55609"/>
    <w:rsid w:val="00E57F14"/>
    <w:rsid w:val="00E60015"/>
    <w:rsid w:val="00E60F0E"/>
    <w:rsid w:val="00E61EFA"/>
    <w:rsid w:val="00E61F73"/>
    <w:rsid w:val="00E63CBD"/>
    <w:rsid w:val="00E6541C"/>
    <w:rsid w:val="00E65D16"/>
    <w:rsid w:val="00E660A4"/>
    <w:rsid w:val="00E66819"/>
    <w:rsid w:val="00E66DD9"/>
    <w:rsid w:val="00E71782"/>
    <w:rsid w:val="00E7233D"/>
    <w:rsid w:val="00E75151"/>
    <w:rsid w:val="00E768BB"/>
    <w:rsid w:val="00E774B8"/>
    <w:rsid w:val="00E80A78"/>
    <w:rsid w:val="00E83103"/>
    <w:rsid w:val="00E83B21"/>
    <w:rsid w:val="00E84E41"/>
    <w:rsid w:val="00E85675"/>
    <w:rsid w:val="00E856C7"/>
    <w:rsid w:val="00E85F67"/>
    <w:rsid w:val="00E87236"/>
    <w:rsid w:val="00E90430"/>
    <w:rsid w:val="00E904A5"/>
    <w:rsid w:val="00E90818"/>
    <w:rsid w:val="00E90962"/>
    <w:rsid w:val="00E90D58"/>
    <w:rsid w:val="00E91A06"/>
    <w:rsid w:val="00E93554"/>
    <w:rsid w:val="00E950F2"/>
    <w:rsid w:val="00E95C66"/>
    <w:rsid w:val="00E968F0"/>
    <w:rsid w:val="00E96F84"/>
    <w:rsid w:val="00EA0254"/>
    <w:rsid w:val="00EA05F7"/>
    <w:rsid w:val="00EA2A5F"/>
    <w:rsid w:val="00EA37B7"/>
    <w:rsid w:val="00EA4D0B"/>
    <w:rsid w:val="00EA56CB"/>
    <w:rsid w:val="00EA6D8D"/>
    <w:rsid w:val="00EA76FC"/>
    <w:rsid w:val="00EA776D"/>
    <w:rsid w:val="00EA7E24"/>
    <w:rsid w:val="00EB0EBA"/>
    <w:rsid w:val="00EB5D3E"/>
    <w:rsid w:val="00EB66C1"/>
    <w:rsid w:val="00EB75C6"/>
    <w:rsid w:val="00EB7D43"/>
    <w:rsid w:val="00EC00E2"/>
    <w:rsid w:val="00EC141A"/>
    <w:rsid w:val="00EC18B5"/>
    <w:rsid w:val="00EC1D21"/>
    <w:rsid w:val="00EC22BE"/>
    <w:rsid w:val="00EC240A"/>
    <w:rsid w:val="00EC3C26"/>
    <w:rsid w:val="00EC4495"/>
    <w:rsid w:val="00EC470A"/>
    <w:rsid w:val="00EC5D4E"/>
    <w:rsid w:val="00EC607E"/>
    <w:rsid w:val="00EC60A8"/>
    <w:rsid w:val="00EC680D"/>
    <w:rsid w:val="00EC714E"/>
    <w:rsid w:val="00ED04A7"/>
    <w:rsid w:val="00ED08C5"/>
    <w:rsid w:val="00ED0AB6"/>
    <w:rsid w:val="00ED1059"/>
    <w:rsid w:val="00ED1354"/>
    <w:rsid w:val="00ED16A7"/>
    <w:rsid w:val="00ED1DFC"/>
    <w:rsid w:val="00ED7199"/>
    <w:rsid w:val="00ED7580"/>
    <w:rsid w:val="00ED7C3C"/>
    <w:rsid w:val="00EE03BB"/>
    <w:rsid w:val="00EE0877"/>
    <w:rsid w:val="00EE1038"/>
    <w:rsid w:val="00EE14C6"/>
    <w:rsid w:val="00EE1615"/>
    <w:rsid w:val="00EE1F25"/>
    <w:rsid w:val="00EE3741"/>
    <w:rsid w:val="00EE3A2F"/>
    <w:rsid w:val="00EE4327"/>
    <w:rsid w:val="00EE4D25"/>
    <w:rsid w:val="00EE5870"/>
    <w:rsid w:val="00EE638A"/>
    <w:rsid w:val="00EE6653"/>
    <w:rsid w:val="00EE71AE"/>
    <w:rsid w:val="00EF0C80"/>
    <w:rsid w:val="00EF1B2C"/>
    <w:rsid w:val="00EF28B3"/>
    <w:rsid w:val="00EF31DD"/>
    <w:rsid w:val="00EF394F"/>
    <w:rsid w:val="00EF495E"/>
    <w:rsid w:val="00EF4A16"/>
    <w:rsid w:val="00EF4C23"/>
    <w:rsid w:val="00EF52EA"/>
    <w:rsid w:val="00EF7CCE"/>
    <w:rsid w:val="00F00B2D"/>
    <w:rsid w:val="00F00EDC"/>
    <w:rsid w:val="00F020D0"/>
    <w:rsid w:val="00F03299"/>
    <w:rsid w:val="00F041E4"/>
    <w:rsid w:val="00F04D5B"/>
    <w:rsid w:val="00F05742"/>
    <w:rsid w:val="00F0665E"/>
    <w:rsid w:val="00F06C17"/>
    <w:rsid w:val="00F07C0A"/>
    <w:rsid w:val="00F07F44"/>
    <w:rsid w:val="00F10490"/>
    <w:rsid w:val="00F10C51"/>
    <w:rsid w:val="00F11906"/>
    <w:rsid w:val="00F12049"/>
    <w:rsid w:val="00F128BB"/>
    <w:rsid w:val="00F14D75"/>
    <w:rsid w:val="00F14F2B"/>
    <w:rsid w:val="00F1561D"/>
    <w:rsid w:val="00F2072A"/>
    <w:rsid w:val="00F209FA"/>
    <w:rsid w:val="00F20FBF"/>
    <w:rsid w:val="00F222B7"/>
    <w:rsid w:val="00F22552"/>
    <w:rsid w:val="00F226FD"/>
    <w:rsid w:val="00F22B31"/>
    <w:rsid w:val="00F23591"/>
    <w:rsid w:val="00F25638"/>
    <w:rsid w:val="00F2570C"/>
    <w:rsid w:val="00F26376"/>
    <w:rsid w:val="00F27405"/>
    <w:rsid w:val="00F279DD"/>
    <w:rsid w:val="00F27A13"/>
    <w:rsid w:val="00F31A7F"/>
    <w:rsid w:val="00F32C20"/>
    <w:rsid w:val="00F33538"/>
    <w:rsid w:val="00F36167"/>
    <w:rsid w:val="00F41F82"/>
    <w:rsid w:val="00F42AC9"/>
    <w:rsid w:val="00F42D17"/>
    <w:rsid w:val="00F43312"/>
    <w:rsid w:val="00F45860"/>
    <w:rsid w:val="00F46169"/>
    <w:rsid w:val="00F46F24"/>
    <w:rsid w:val="00F478BF"/>
    <w:rsid w:val="00F47EB7"/>
    <w:rsid w:val="00F50BA3"/>
    <w:rsid w:val="00F50E32"/>
    <w:rsid w:val="00F51764"/>
    <w:rsid w:val="00F528CB"/>
    <w:rsid w:val="00F548EA"/>
    <w:rsid w:val="00F54D84"/>
    <w:rsid w:val="00F5568D"/>
    <w:rsid w:val="00F5708E"/>
    <w:rsid w:val="00F5730C"/>
    <w:rsid w:val="00F5735C"/>
    <w:rsid w:val="00F600B6"/>
    <w:rsid w:val="00F61588"/>
    <w:rsid w:val="00F6160A"/>
    <w:rsid w:val="00F61842"/>
    <w:rsid w:val="00F621A0"/>
    <w:rsid w:val="00F634CF"/>
    <w:rsid w:val="00F636E1"/>
    <w:rsid w:val="00F63800"/>
    <w:rsid w:val="00F64D51"/>
    <w:rsid w:val="00F6515F"/>
    <w:rsid w:val="00F66618"/>
    <w:rsid w:val="00F67123"/>
    <w:rsid w:val="00F67378"/>
    <w:rsid w:val="00F674E0"/>
    <w:rsid w:val="00F67D70"/>
    <w:rsid w:val="00F71353"/>
    <w:rsid w:val="00F715AB"/>
    <w:rsid w:val="00F73270"/>
    <w:rsid w:val="00F7337F"/>
    <w:rsid w:val="00F73581"/>
    <w:rsid w:val="00F7369C"/>
    <w:rsid w:val="00F74AE2"/>
    <w:rsid w:val="00F74EEB"/>
    <w:rsid w:val="00F7510B"/>
    <w:rsid w:val="00F752FB"/>
    <w:rsid w:val="00F776FD"/>
    <w:rsid w:val="00F81D87"/>
    <w:rsid w:val="00F833BA"/>
    <w:rsid w:val="00F8387F"/>
    <w:rsid w:val="00F83A89"/>
    <w:rsid w:val="00F83AE5"/>
    <w:rsid w:val="00F85F4E"/>
    <w:rsid w:val="00F868A2"/>
    <w:rsid w:val="00F87431"/>
    <w:rsid w:val="00F908E9"/>
    <w:rsid w:val="00F91162"/>
    <w:rsid w:val="00F91D16"/>
    <w:rsid w:val="00F952AD"/>
    <w:rsid w:val="00F95665"/>
    <w:rsid w:val="00F968FE"/>
    <w:rsid w:val="00F97151"/>
    <w:rsid w:val="00FA0927"/>
    <w:rsid w:val="00FA11C0"/>
    <w:rsid w:val="00FA11E0"/>
    <w:rsid w:val="00FA1215"/>
    <w:rsid w:val="00FA1428"/>
    <w:rsid w:val="00FA16B1"/>
    <w:rsid w:val="00FA2BBA"/>
    <w:rsid w:val="00FA4F92"/>
    <w:rsid w:val="00FA578A"/>
    <w:rsid w:val="00FA6387"/>
    <w:rsid w:val="00FA7E43"/>
    <w:rsid w:val="00FB154A"/>
    <w:rsid w:val="00FB219F"/>
    <w:rsid w:val="00FB228F"/>
    <w:rsid w:val="00FB3ADF"/>
    <w:rsid w:val="00FB48BA"/>
    <w:rsid w:val="00FB4E36"/>
    <w:rsid w:val="00FB6F27"/>
    <w:rsid w:val="00FC2095"/>
    <w:rsid w:val="00FC23C2"/>
    <w:rsid w:val="00FC2B7C"/>
    <w:rsid w:val="00FC35A5"/>
    <w:rsid w:val="00FC3EC6"/>
    <w:rsid w:val="00FC4E9E"/>
    <w:rsid w:val="00FC52F5"/>
    <w:rsid w:val="00FC626F"/>
    <w:rsid w:val="00FC64AE"/>
    <w:rsid w:val="00FD2821"/>
    <w:rsid w:val="00FD3F3B"/>
    <w:rsid w:val="00FD489E"/>
    <w:rsid w:val="00FD5B14"/>
    <w:rsid w:val="00FD7F8A"/>
    <w:rsid w:val="00FE2487"/>
    <w:rsid w:val="00FE3291"/>
    <w:rsid w:val="00FE32A5"/>
    <w:rsid w:val="00FE3741"/>
    <w:rsid w:val="00FE3FA6"/>
    <w:rsid w:val="00FE493A"/>
    <w:rsid w:val="00FE64FC"/>
    <w:rsid w:val="00FF07FB"/>
    <w:rsid w:val="00FF0F76"/>
    <w:rsid w:val="00FF2143"/>
    <w:rsid w:val="00FF24E1"/>
    <w:rsid w:val="00FF3E8B"/>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D23F7"/>
  <w15:chartTrackingRefBased/>
  <w15:docId w15:val="{54EC19E7-29C7-4570-881A-014B95CC5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581"/>
    <w:pPr>
      <w:spacing w:before="120" w:after="120" w:line="240" w:lineRule="auto"/>
    </w:pPr>
    <w:rPr>
      <w:rFonts w:cs="Times New Roman"/>
      <w:szCs w:val="24"/>
    </w:rPr>
  </w:style>
  <w:style w:type="paragraph" w:styleId="Heading1">
    <w:name w:val="heading 1"/>
    <w:basedOn w:val="Normal"/>
    <w:next w:val="Normal"/>
    <w:link w:val="Heading1Char"/>
    <w:uiPriority w:val="9"/>
    <w:qFormat/>
    <w:rsid w:val="00F735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35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86F8A"/>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2D150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D0F5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B71232"/>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B71232"/>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58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73581"/>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nhideWhenUsed/>
    <w:rsid w:val="00465E79"/>
    <w:pPr>
      <w:tabs>
        <w:tab w:val="left" w:pos="170"/>
      </w:tabs>
      <w:suppressAutoHyphens/>
      <w:spacing w:before="90" w:after="0" w:line="180" w:lineRule="atLeast"/>
      <w:ind w:left="170" w:hanging="170"/>
    </w:pPr>
    <w:rPr>
      <w:rFonts w:ascii="Arial" w:hAnsi="Arial"/>
      <w:sz w:val="18"/>
    </w:rPr>
  </w:style>
  <w:style w:type="character" w:customStyle="1" w:styleId="FootnoteTextChar">
    <w:name w:val="Footnote Text Char"/>
    <w:basedOn w:val="DefaultParagraphFont"/>
    <w:link w:val="FootnoteText"/>
    <w:rsid w:val="00465E79"/>
    <w:rPr>
      <w:rFonts w:ascii="Arial" w:hAnsi="Arial" w:cs="Times New Roman"/>
      <w:sz w:val="18"/>
      <w:szCs w:val="24"/>
    </w:rPr>
  </w:style>
  <w:style w:type="paragraph" w:styleId="Quote">
    <w:name w:val="Quote"/>
    <w:basedOn w:val="Normal"/>
    <w:next w:val="Normal"/>
    <w:link w:val="QuoteChar"/>
    <w:uiPriority w:val="29"/>
    <w:qFormat/>
    <w:rsid w:val="00465E79"/>
    <w:pPr>
      <w:spacing w:before="200" w:after="160" w:line="256" w:lineRule="auto"/>
      <w:ind w:left="864" w:right="864"/>
    </w:pPr>
    <w:rPr>
      <w:rFonts w:eastAsiaTheme="minorHAnsi" w:cstheme="minorBidi"/>
      <w:i/>
      <w:iCs/>
      <w:color w:val="0070C0"/>
      <w:szCs w:val="22"/>
    </w:rPr>
  </w:style>
  <w:style w:type="character" w:customStyle="1" w:styleId="QuoteChar">
    <w:name w:val="Quote Char"/>
    <w:basedOn w:val="DefaultParagraphFont"/>
    <w:link w:val="Quote"/>
    <w:uiPriority w:val="29"/>
    <w:rsid w:val="00465E79"/>
    <w:rPr>
      <w:rFonts w:eastAsiaTheme="minorHAnsi"/>
      <w:i/>
      <w:iCs/>
      <w:color w:val="0070C0"/>
    </w:rPr>
  </w:style>
  <w:style w:type="character" w:styleId="FootnoteReference">
    <w:name w:val="footnote reference"/>
    <w:basedOn w:val="DefaultParagraphFont"/>
    <w:unhideWhenUsed/>
    <w:rsid w:val="00465E79"/>
    <w:rPr>
      <w:rFonts w:ascii="Arial" w:hAnsi="Arial" w:cs="Arial" w:hint="default"/>
      <w:sz w:val="18"/>
      <w:vertAlign w:val="superscript"/>
    </w:rPr>
  </w:style>
  <w:style w:type="character" w:customStyle="1" w:styleId="Heading3Char">
    <w:name w:val="Heading 3 Char"/>
    <w:basedOn w:val="DefaultParagraphFont"/>
    <w:link w:val="Heading3"/>
    <w:uiPriority w:val="9"/>
    <w:rsid w:val="00986F8A"/>
    <w:rPr>
      <w:rFonts w:asciiTheme="majorHAnsi" w:eastAsiaTheme="majorEastAsia" w:hAnsiTheme="majorHAnsi" w:cstheme="majorBidi"/>
      <w:color w:val="1F3763" w:themeColor="accent1" w:themeShade="7F"/>
      <w:sz w:val="24"/>
      <w:szCs w:val="24"/>
    </w:rPr>
  </w:style>
  <w:style w:type="paragraph" w:customStyle="1" w:styleId="Pa1">
    <w:name w:val="Pa1"/>
    <w:basedOn w:val="Normal"/>
    <w:next w:val="Normal"/>
    <w:uiPriority w:val="99"/>
    <w:rsid w:val="00BD2265"/>
    <w:pPr>
      <w:autoSpaceDE w:val="0"/>
      <w:autoSpaceDN w:val="0"/>
      <w:adjustRightInd w:val="0"/>
      <w:spacing w:before="0" w:after="0" w:line="221" w:lineRule="atLeast"/>
    </w:pPr>
    <w:rPr>
      <w:rFonts w:ascii="Cambria" w:hAnsi="Cambria" w:cstheme="minorBidi"/>
      <w:sz w:val="24"/>
    </w:rPr>
  </w:style>
  <w:style w:type="paragraph" w:customStyle="1" w:styleId="Default">
    <w:name w:val="Default"/>
    <w:rsid w:val="004127EB"/>
    <w:pPr>
      <w:autoSpaceDE w:val="0"/>
      <w:autoSpaceDN w:val="0"/>
      <w:adjustRightInd w:val="0"/>
      <w:spacing w:after="0" w:line="240" w:lineRule="auto"/>
    </w:pPr>
    <w:rPr>
      <w:rFonts w:ascii="Cambria" w:hAnsi="Cambria" w:cs="Cambria"/>
      <w:color w:val="000000"/>
      <w:sz w:val="24"/>
      <w:szCs w:val="24"/>
    </w:rPr>
  </w:style>
  <w:style w:type="paragraph" w:styleId="Caption">
    <w:name w:val="caption"/>
    <w:basedOn w:val="Normal"/>
    <w:next w:val="Normal"/>
    <w:uiPriority w:val="35"/>
    <w:unhideWhenUsed/>
    <w:qFormat/>
    <w:rsid w:val="00661704"/>
    <w:pPr>
      <w:spacing w:before="0" w:after="200"/>
    </w:pPr>
    <w:rPr>
      <w:rFonts w:eastAsiaTheme="minorHAnsi" w:cstheme="minorBidi"/>
      <w:i/>
      <w:iCs/>
      <w:color w:val="44546A" w:themeColor="text2"/>
      <w:sz w:val="24"/>
      <w:szCs w:val="18"/>
    </w:rPr>
  </w:style>
  <w:style w:type="table" w:styleId="TableGrid">
    <w:name w:val="Table Grid"/>
    <w:basedOn w:val="TableNormal"/>
    <w:uiPriority w:val="39"/>
    <w:rsid w:val="0066170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661704"/>
    <w:pPr>
      <w:spacing w:after="0"/>
    </w:pPr>
  </w:style>
  <w:style w:type="character" w:styleId="Hyperlink">
    <w:name w:val="Hyperlink"/>
    <w:basedOn w:val="DefaultParagraphFont"/>
    <w:uiPriority w:val="99"/>
    <w:unhideWhenUsed/>
    <w:rsid w:val="00661704"/>
    <w:rPr>
      <w:color w:val="0563C1" w:themeColor="hyperlink"/>
      <w:u w:val="single"/>
    </w:rPr>
  </w:style>
  <w:style w:type="paragraph" w:styleId="ListParagraph">
    <w:name w:val="List Paragraph"/>
    <w:basedOn w:val="Normal"/>
    <w:uiPriority w:val="34"/>
    <w:qFormat/>
    <w:rsid w:val="0044145F"/>
    <w:pPr>
      <w:ind w:left="720"/>
      <w:contextualSpacing/>
    </w:pPr>
  </w:style>
  <w:style w:type="paragraph" w:styleId="Header">
    <w:name w:val="header"/>
    <w:basedOn w:val="Normal"/>
    <w:link w:val="HeaderChar"/>
    <w:uiPriority w:val="99"/>
    <w:unhideWhenUsed/>
    <w:rsid w:val="00A02439"/>
    <w:pPr>
      <w:tabs>
        <w:tab w:val="center" w:pos="4513"/>
        <w:tab w:val="right" w:pos="9026"/>
      </w:tabs>
      <w:spacing w:before="0" w:after="0"/>
    </w:pPr>
  </w:style>
  <w:style w:type="character" w:customStyle="1" w:styleId="HeaderChar">
    <w:name w:val="Header Char"/>
    <w:basedOn w:val="DefaultParagraphFont"/>
    <w:link w:val="Header"/>
    <w:uiPriority w:val="99"/>
    <w:rsid w:val="00A02439"/>
    <w:rPr>
      <w:rFonts w:cs="Times New Roman"/>
      <w:szCs w:val="24"/>
    </w:rPr>
  </w:style>
  <w:style w:type="paragraph" w:styleId="Footer">
    <w:name w:val="footer"/>
    <w:basedOn w:val="Normal"/>
    <w:link w:val="FooterChar"/>
    <w:uiPriority w:val="99"/>
    <w:unhideWhenUsed/>
    <w:rsid w:val="00A02439"/>
    <w:pPr>
      <w:tabs>
        <w:tab w:val="center" w:pos="4513"/>
        <w:tab w:val="right" w:pos="9026"/>
      </w:tabs>
      <w:spacing w:before="0" w:after="0"/>
    </w:pPr>
  </w:style>
  <w:style w:type="character" w:customStyle="1" w:styleId="FooterChar">
    <w:name w:val="Footer Char"/>
    <w:basedOn w:val="DefaultParagraphFont"/>
    <w:link w:val="Footer"/>
    <w:uiPriority w:val="99"/>
    <w:rsid w:val="00A02439"/>
    <w:rPr>
      <w:rFonts w:cs="Times New Roman"/>
      <w:szCs w:val="24"/>
    </w:rPr>
  </w:style>
  <w:style w:type="character" w:styleId="IntenseEmphasis">
    <w:name w:val="Intense Emphasis"/>
    <w:basedOn w:val="DefaultParagraphFont"/>
    <w:uiPriority w:val="21"/>
    <w:qFormat/>
    <w:rsid w:val="00194AA8"/>
    <w:rPr>
      <w:i/>
      <w:iCs/>
      <w:color w:val="4472C4" w:themeColor="accent1"/>
    </w:rPr>
  </w:style>
  <w:style w:type="paragraph" w:styleId="Bibliography">
    <w:name w:val="Bibliography"/>
    <w:basedOn w:val="Normal"/>
    <w:next w:val="Normal"/>
    <w:uiPriority w:val="37"/>
    <w:unhideWhenUsed/>
    <w:rsid w:val="00545E52"/>
  </w:style>
  <w:style w:type="character" w:styleId="CommentReference">
    <w:name w:val="annotation reference"/>
    <w:basedOn w:val="DefaultParagraphFont"/>
    <w:uiPriority w:val="99"/>
    <w:semiHidden/>
    <w:unhideWhenUsed/>
    <w:rsid w:val="009A491B"/>
    <w:rPr>
      <w:sz w:val="16"/>
      <w:szCs w:val="16"/>
    </w:rPr>
  </w:style>
  <w:style w:type="paragraph" w:styleId="CommentText">
    <w:name w:val="annotation text"/>
    <w:basedOn w:val="Normal"/>
    <w:link w:val="CommentTextChar"/>
    <w:uiPriority w:val="99"/>
    <w:semiHidden/>
    <w:unhideWhenUsed/>
    <w:rsid w:val="009A491B"/>
    <w:rPr>
      <w:sz w:val="20"/>
      <w:szCs w:val="20"/>
    </w:rPr>
  </w:style>
  <w:style w:type="character" w:customStyle="1" w:styleId="CommentTextChar">
    <w:name w:val="Comment Text Char"/>
    <w:basedOn w:val="DefaultParagraphFont"/>
    <w:link w:val="CommentText"/>
    <w:uiPriority w:val="99"/>
    <w:semiHidden/>
    <w:rsid w:val="009A491B"/>
    <w:rPr>
      <w:rFonts w:cs="Times New Roman"/>
      <w:sz w:val="20"/>
      <w:szCs w:val="20"/>
    </w:rPr>
  </w:style>
  <w:style w:type="paragraph" w:styleId="CommentSubject">
    <w:name w:val="annotation subject"/>
    <w:basedOn w:val="CommentText"/>
    <w:next w:val="CommentText"/>
    <w:link w:val="CommentSubjectChar"/>
    <w:uiPriority w:val="99"/>
    <w:semiHidden/>
    <w:unhideWhenUsed/>
    <w:rsid w:val="009A491B"/>
    <w:rPr>
      <w:b/>
      <w:bCs/>
    </w:rPr>
  </w:style>
  <w:style w:type="character" w:customStyle="1" w:styleId="CommentSubjectChar">
    <w:name w:val="Comment Subject Char"/>
    <w:basedOn w:val="CommentTextChar"/>
    <w:link w:val="CommentSubject"/>
    <w:uiPriority w:val="99"/>
    <w:semiHidden/>
    <w:rsid w:val="009A491B"/>
    <w:rPr>
      <w:rFonts w:cs="Times New Roman"/>
      <w:b/>
      <w:bCs/>
      <w:sz w:val="20"/>
      <w:szCs w:val="20"/>
    </w:rPr>
  </w:style>
  <w:style w:type="paragraph" w:styleId="BalloonText">
    <w:name w:val="Balloon Text"/>
    <w:basedOn w:val="Normal"/>
    <w:link w:val="BalloonTextChar"/>
    <w:uiPriority w:val="99"/>
    <w:semiHidden/>
    <w:unhideWhenUsed/>
    <w:rsid w:val="009A491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91B"/>
    <w:rPr>
      <w:rFonts w:ascii="Segoe UI" w:hAnsi="Segoe UI" w:cs="Segoe UI"/>
      <w:sz w:val="18"/>
      <w:szCs w:val="18"/>
    </w:rPr>
  </w:style>
  <w:style w:type="paragraph" w:styleId="Revision">
    <w:name w:val="Revision"/>
    <w:hidden/>
    <w:uiPriority w:val="99"/>
    <w:semiHidden/>
    <w:rsid w:val="00BE6C84"/>
    <w:pPr>
      <w:spacing w:after="0" w:line="240" w:lineRule="auto"/>
    </w:pPr>
    <w:rPr>
      <w:rFonts w:cs="Times New Roman"/>
      <w:szCs w:val="24"/>
    </w:rPr>
  </w:style>
  <w:style w:type="paragraph" w:styleId="TOCHeading">
    <w:name w:val="TOC Heading"/>
    <w:basedOn w:val="Heading1"/>
    <w:next w:val="Normal"/>
    <w:uiPriority w:val="39"/>
    <w:unhideWhenUsed/>
    <w:qFormat/>
    <w:rsid w:val="00DA3FF1"/>
    <w:pPr>
      <w:spacing w:line="259" w:lineRule="auto"/>
      <w:outlineLvl w:val="9"/>
    </w:pPr>
    <w:rPr>
      <w:lang w:val="en-US"/>
    </w:rPr>
  </w:style>
  <w:style w:type="paragraph" w:styleId="TOC1">
    <w:name w:val="toc 1"/>
    <w:basedOn w:val="Normal"/>
    <w:next w:val="Normal"/>
    <w:autoRedefine/>
    <w:uiPriority w:val="39"/>
    <w:unhideWhenUsed/>
    <w:rsid w:val="00DA3FF1"/>
    <w:pPr>
      <w:spacing w:after="100"/>
    </w:pPr>
  </w:style>
  <w:style w:type="paragraph" w:styleId="TOC2">
    <w:name w:val="toc 2"/>
    <w:basedOn w:val="Normal"/>
    <w:next w:val="Normal"/>
    <w:autoRedefine/>
    <w:uiPriority w:val="39"/>
    <w:unhideWhenUsed/>
    <w:rsid w:val="00DA3FF1"/>
    <w:pPr>
      <w:spacing w:after="100"/>
      <w:ind w:left="220"/>
    </w:pPr>
  </w:style>
  <w:style w:type="paragraph" w:styleId="TOC3">
    <w:name w:val="toc 3"/>
    <w:basedOn w:val="Normal"/>
    <w:next w:val="Normal"/>
    <w:autoRedefine/>
    <w:uiPriority w:val="39"/>
    <w:unhideWhenUsed/>
    <w:rsid w:val="00DA3FF1"/>
    <w:pPr>
      <w:spacing w:after="100"/>
      <w:ind w:left="440"/>
    </w:pPr>
  </w:style>
  <w:style w:type="character" w:styleId="Strong">
    <w:name w:val="Strong"/>
    <w:basedOn w:val="DefaultParagraphFont"/>
    <w:uiPriority w:val="22"/>
    <w:qFormat/>
    <w:rsid w:val="00637D2D"/>
    <w:rPr>
      <w:b/>
      <w:bCs/>
    </w:rPr>
  </w:style>
  <w:style w:type="character" w:customStyle="1" w:styleId="Heading4Char">
    <w:name w:val="Heading 4 Char"/>
    <w:basedOn w:val="DefaultParagraphFont"/>
    <w:link w:val="Heading4"/>
    <w:uiPriority w:val="9"/>
    <w:rsid w:val="002D1506"/>
    <w:rPr>
      <w:rFonts w:asciiTheme="majorHAnsi" w:eastAsiaTheme="majorEastAsia" w:hAnsiTheme="majorHAnsi" w:cstheme="majorBidi"/>
      <w:i/>
      <w:iCs/>
      <w:color w:val="2F5496" w:themeColor="accent1" w:themeShade="BF"/>
      <w:szCs w:val="24"/>
    </w:rPr>
  </w:style>
  <w:style w:type="paragraph" w:customStyle="1" w:styleId="UnnumtextBodytext">
    <w:name w:val="Unnum text: Body text"/>
    <w:basedOn w:val="Normal"/>
    <w:qFormat/>
    <w:rsid w:val="002666AE"/>
    <w:pPr>
      <w:spacing w:before="0" w:after="170" w:line="260" w:lineRule="atLeast"/>
    </w:pPr>
    <w:rPr>
      <w:rFonts w:ascii="Garamond" w:hAnsi="Garamond"/>
      <w:szCs w:val="22"/>
      <w:lang w:val="en-NZ" w:eastAsia="en-NZ"/>
    </w:rPr>
  </w:style>
  <w:style w:type="paragraph" w:customStyle="1" w:styleId="Quotation">
    <w:name w:val="Quotation"/>
    <w:basedOn w:val="Normal"/>
    <w:rsid w:val="002666AE"/>
    <w:pPr>
      <w:spacing w:before="0" w:after="170" w:line="260" w:lineRule="atLeast"/>
      <w:ind w:left="227"/>
    </w:pPr>
    <w:rPr>
      <w:rFonts w:ascii="Garamond" w:hAnsi="Garamond"/>
      <w:i/>
      <w:spacing w:val="15"/>
      <w:sz w:val="21"/>
      <w:szCs w:val="22"/>
      <w:lang w:val="en-NZ" w:eastAsia="en-NZ"/>
    </w:rPr>
  </w:style>
  <w:style w:type="paragraph" w:styleId="NormalWeb">
    <w:name w:val="Normal (Web)"/>
    <w:basedOn w:val="Normal"/>
    <w:uiPriority w:val="99"/>
    <w:semiHidden/>
    <w:unhideWhenUsed/>
    <w:rsid w:val="00243AA9"/>
    <w:pPr>
      <w:spacing w:before="100" w:beforeAutospacing="1" w:after="100" w:afterAutospacing="1"/>
    </w:pPr>
    <w:rPr>
      <w:rFonts w:ascii="Calibri" w:eastAsiaTheme="minorHAnsi" w:hAnsi="Calibri" w:cs="Calibri"/>
      <w:szCs w:val="22"/>
      <w:lang w:eastAsia="en-AU"/>
    </w:rPr>
  </w:style>
  <w:style w:type="paragraph" w:customStyle="1" w:styleId="BoxHeading">
    <w:name w:val="Box Heading"/>
    <w:basedOn w:val="Normal"/>
    <w:uiPriority w:val="20"/>
    <w:qFormat/>
    <w:rsid w:val="0027568B"/>
    <w:pPr>
      <w:pBdr>
        <w:top w:val="single" w:sz="4" w:space="10" w:color="auto"/>
        <w:left w:val="single" w:sz="4" w:space="10" w:color="auto"/>
        <w:bottom w:val="single" w:sz="4" w:space="10" w:color="auto"/>
        <w:right w:val="single" w:sz="4" w:space="10" w:color="auto"/>
      </w:pBdr>
    </w:pPr>
    <w:rPr>
      <w:rFonts w:ascii="Cambria" w:eastAsiaTheme="minorHAnsi" w:hAnsi="Cambria" w:cstheme="minorBidi"/>
      <w:b/>
      <w:sz w:val="20"/>
      <w:szCs w:val="22"/>
    </w:rPr>
  </w:style>
  <w:style w:type="table" w:styleId="GridTable5Dark">
    <w:name w:val="Grid Table 5 Dark"/>
    <w:basedOn w:val="TableNormal"/>
    <w:uiPriority w:val="50"/>
    <w:rsid w:val="009A08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MediumShading2-Accent1">
    <w:name w:val="Medium Shading 2 Accent 1"/>
    <w:basedOn w:val="TableNormal"/>
    <w:uiPriority w:val="64"/>
    <w:rsid w:val="009A08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link w:val="NoSpacingChar"/>
    <w:uiPriority w:val="1"/>
    <w:qFormat/>
    <w:rsid w:val="00E91A0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91A06"/>
    <w:rPr>
      <w:rFonts w:eastAsiaTheme="minorEastAsia"/>
      <w:lang w:val="en-US"/>
    </w:rPr>
  </w:style>
  <w:style w:type="table" w:styleId="GridTable5Dark-Accent5">
    <w:name w:val="Grid Table 5 Dark Accent 5"/>
    <w:basedOn w:val="TableNormal"/>
    <w:uiPriority w:val="50"/>
    <w:rsid w:val="00857B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2">
    <w:name w:val="Grid Table 4 Accent 2"/>
    <w:basedOn w:val="TableNormal"/>
    <w:uiPriority w:val="49"/>
    <w:rsid w:val="00857B5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5Char">
    <w:name w:val="Heading 5 Char"/>
    <w:basedOn w:val="DefaultParagraphFont"/>
    <w:link w:val="Heading5"/>
    <w:uiPriority w:val="9"/>
    <w:rsid w:val="004D0F57"/>
    <w:rPr>
      <w:rFonts w:asciiTheme="majorHAnsi" w:eastAsiaTheme="majorEastAsia" w:hAnsiTheme="majorHAnsi" w:cstheme="majorBidi"/>
      <w:color w:val="2F5496" w:themeColor="accent1" w:themeShade="BF"/>
      <w:szCs w:val="24"/>
    </w:rPr>
  </w:style>
  <w:style w:type="table" w:styleId="GridTable5Dark-Accent3">
    <w:name w:val="Grid Table 5 Dark Accent 3"/>
    <w:basedOn w:val="TableNormal"/>
    <w:uiPriority w:val="50"/>
    <w:rsid w:val="00B53D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Heading6Char">
    <w:name w:val="Heading 6 Char"/>
    <w:basedOn w:val="DefaultParagraphFont"/>
    <w:link w:val="Heading6"/>
    <w:uiPriority w:val="9"/>
    <w:rsid w:val="00B71232"/>
    <w:rPr>
      <w:rFonts w:asciiTheme="majorHAnsi" w:eastAsiaTheme="majorEastAsia" w:hAnsiTheme="majorHAnsi" w:cstheme="majorBidi"/>
      <w:color w:val="1F3763" w:themeColor="accent1" w:themeShade="7F"/>
      <w:szCs w:val="24"/>
    </w:rPr>
  </w:style>
  <w:style w:type="character" w:customStyle="1" w:styleId="Heading7Char">
    <w:name w:val="Heading 7 Char"/>
    <w:basedOn w:val="DefaultParagraphFont"/>
    <w:link w:val="Heading7"/>
    <w:uiPriority w:val="9"/>
    <w:rsid w:val="00B71232"/>
    <w:rPr>
      <w:rFonts w:asciiTheme="majorHAnsi" w:eastAsiaTheme="majorEastAsia" w:hAnsiTheme="majorHAnsi" w:cstheme="majorBidi"/>
      <w:i/>
      <w:iCs/>
      <w:color w:val="1F3763" w:themeColor="accent1" w:themeShade="7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30">
      <w:bodyDiv w:val="1"/>
      <w:marLeft w:val="0"/>
      <w:marRight w:val="0"/>
      <w:marTop w:val="0"/>
      <w:marBottom w:val="0"/>
      <w:divBdr>
        <w:top w:val="none" w:sz="0" w:space="0" w:color="auto"/>
        <w:left w:val="none" w:sz="0" w:space="0" w:color="auto"/>
        <w:bottom w:val="none" w:sz="0" w:space="0" w:color="auto"/>
        <w:right w:val="none" w:sz="0" w:space="0" w:color="auto"/>
      </w:divBdr>
    </w:div>
    <w:div w:id="3477689">
      <w:bodyDiv w:val="1"/>
      <w:marLeft w:val="0"/>
      <w:marRight w:val="0"/>
      <w:marTop w:val="0"/>
      <w:marBottom w:val="0"/>
      <w:divBdr>
        <w:top w:val="none" w:sz="0" w:space="0" w:color="auto"/>
        <w:left w:val="none" w:sz="0" w:space="0" w:color="auto"/>
        <w:bottom w:val="none" w:sz="0" w:space="0" w:color="auto"/>
        <w:right w:val="none" w:sz="0" w:space="0" w:color="auto"/>
      </w:divBdr>
    </w:div>
    <w:div w:id="5132282">
      <w:bodyDiv w:val="1"/>
      <w:marLeft w:val="0"/>
      <w:marRight w:val="0"/>
      <w:marTop w:val="0"/>
      <w:marBottom w:val="0"/>
      <w:divBdr>
        <w:top w:val="none" w:sz="0" w:space="0" w:color="auto"/>
        <w:left w:val="none" w:sz="0" w:space="0" w:color="auto"/>
        <w:bottom w:val="none" w:sz="0" w:space="0" w:color="auto"/>
        <w:right w:val="none" w:sz="0" w:space="0" w:color="auto"/>
      </w:divBdr>
    </w:div>
    <w:div w:id="7682200">
      <w:bodyDiv w:val="1"/>
      <w:marLeft w:val="0"/>
      <w:marRight w:val="0"/>
      <w:marTop w:val="0"/>
      <w:marBottom w:val="0"/>
      <w:divBdr>
        <w:top w:val="none" w:sz="0" w:space="0" w:color="auto"/>
        <w:left w:val="none" w:sz="0" w:space="0" w:color="auto"/>
        <w:bottom w:val="none" w:sz="0" w:space="0" w:color="auto"/>
        <w:right w:val="none" w:sz="0" w:space="0" w:color="auto"/>
      </w:divBdr>
    </w:div>
    <w:div w:id="9063517">
      <w:bodyDiv w:val="1"/>
      <w:marLeft w:val="0"/>
      <w:marRight w:val="0"/>
      <w:marTop w:val="0"/>
      <w:marBottom w:val="0"/>
      <w:divBdr>
        <w:top w:val="none" w:sz="0" w:space="0" w:color="auto"/>
        <w:left w:val="none" w:sz="0" w:space="0" w:color="auto"/>
        <w:bottom w:val="none" w:sz="0" w:space="0" w:color="auto"/>
        <w:right w:val="none" w:sz="0" w:space="0" w:color="auto"/>
      </w:divBdr>
    </w:div>
    <w:div w:id="9533403">
      <w:bodyDiv w:val="1"/>
      <w:marLeft w:val="0"/>
      <w:marRight w:val="0"/>
      <w:marTop w:val="0"/>
      <w:marBottom w:val="0"/>
      <w:divBdr>
        <w:top w:val="none" w:sz="0" w:space="0" w:color="auto"/>
        <w:left w:val="none" w:sz="0" w:space="0" w:color="auto"/>
        <w:bottom w:val="none" w:sz="0" w:space="0" w:color="auto"/>
        <w:right w:val="none" w:sz="0" w:space="0" w:color="auto"/>
      </w:divBdr>
    </w:div>
    <w:div w:id="12072962">
      <w:bodyDiv w:val="1"/>
      <w:marLeft w:val="0"/>
      <w:marRight w:val="0"/>
      <w:marTop w:val="0"/>
      <w:marBottom w:val="0"/>
      <w:divBdr>
        <w:top w:val="none" w:sz="0" w:space="0" w:color="auto"/>
        <w:left w:val="none" w:sz="0" w:space="0" w:color="auto"/>
        <w:bottom w:val="none" w:sz="0" w:space="0" w:color="auto"/>
        <w:right w:val="none" w:sz="0" w:space="0" w:color="auto"/>
      </w:divBdr>
    </w:div>
    <w:div w:id="14889596">
      <w:bodyDiv w:val="1"/>
      <w:marLeft w:val="0"/>
      <w:marRight w:val="0"/>
      <w:marTop w:val="0"/>
      <w:marBottom w:val="0"/>
      <w:divBdr>
        <w:top w:val="none" w:sz="0" w:space="0" w:color="auto"/>
        <w:left w:val="none" w:sz="0" w:space="0" w:color="auto"/>
        <w:bottom w:val="none" w:sz="0" w:space="0" w:color="auto"/>
        <w:right w:val="none" w:sz="0" w:space="0" w:color="auto"/>
      </w:divBdr>
    </w:div>
    <w:div w:id="16078103">
      <w:bodyDiv w:val="1"/>
      <w:marLeft w:val="0"/>
      <w:marRight w:val="0"/>
      <w:marTop w:val="0"/>
      <w:marBottom w:val="0"/>
      <w:divBdr>
        <w:top w:val="none" w:sz="0" w:space="0" w:color="auto"/>
        <w:left w:val="none" w:sz="0" w:space="0" w:color="auto"/>
        <w:bottom w:val="none" w:sz="0" w:space="0" w:color="auto"/>
        <w:right w:val="none" w:sz="0" w:space="0" w:color="auto"/>
      </w:divBdr>
    </w:div>
    <w:div w:id="17778810">
      <w:bodyDiv w:val="1"/>
      <w:marLeft w:val="0"/>
      <w:marRight w:val="0"/>
      <w:marTop w:val="0"/>
      <w:marBottom w:val="0"/>
      <w:divBdr>
        <w:top w:val="none" w:sz="0" w:space="0" w:color="auto"/>
        <w:left w:val="none" w:sz="0" w:space="0" w:color="auto"/>
        <w:bottom w:val="none" w:sz="0" w:space="0" w:color="auto"/>
        <w:right w:val="none" w:sz="0" w:space="0" w:color="auto"/>
      </w:divBdr>
    </w:div>
    <w:div w:id="18286387">
      <w:bodyDiv w:val="1"/>
      <w:marLeft w:val="0"/>
      <w:marRight w:val="0"/>
      <w:marTop w:val="0"/>
      <w:marBottom w:val="0"/>
      <w:divBdr>
        <w:top w:val="none" w:sz="0" w:space="0" w:color="auto"/>
        <w:left w:val="none" w:sz="0" w:space="0" w:color="auto"/>
        <w:bottom w:val="none" w:sz="0" w:space="0" w:color="auto"/>
        <w:right w:val="none" w:sz="0" w:space="0" w:color="auto"/>
      </w:divBdr>
    </w:div>
    <w:div w:id="18707361">
      <w:bodyDiv w:val="1"/>
      <w:marLeft w:val="0"/>
      <w:marRight w:val="0"/>
      <w:marTop w:val="0"/>
      <w:marBottom w:val="0"/>
      <w:divBdr>
        <w:top w:val="none" w:sz="0" w:space="0" w:color="auto"/>
        <w:left w:val="none" w:sz="0" w:space="0" w:color="auto"/>
        <w:bottom w:val="none" w:sz="0" w:space="0" w:color="auto"/>
        <w:right w:val="none" w:sz="0" w:space="0" w:color="auto"/>
      </w:divBdr>
    </w:div>
    <w:div w:id="20670859">
      <w:bodyDiv w:val="1"/>
      <w:marLeft w:val="0"/>
      <w:marRight w:val="0"/>
      <w:marTop w:val="0"/>
      <w:marBottom w:val="0"/>
      <w:divBdr>
        <w:top w:val="none" w:sz="0" w:space="0" w:color="auto"/>
        <w:left w:val="none" w:sz="0" w:space="0" w:color="auto"/>
        <w:bottom w:val="none" w:sz="0" w:space="0" w:color="auto"/>
        <w:right w:val="none" w:sz="0" w:space="0" w:color="auto"/>
      </w:divBdr>
    </w:div>
    <w:div w:id="24870235">
      <w:bodyDiv w:val="1"/>
      <w:marLeft w:val="0"/>
      <w:marRight w:val="0"/>
      <w:marTop w:val="0"/>
      <w:marBottom w:val="0"/>
      <w:divBdr>
        <w:top w:val="none" w:sz="0" w:space="0" w:color="auto"/>
        <w:left w:val="none" w:sz="0" w:space="0" w:color="auto"/>
        <w:bottom w:val="none" w:sz="0" w:space="0" w:color="auto"/>
        <w:right w:val="none" w:sz="0" w:space="0" w:color="auto"/>
      </w:divBdr>
    </w:div>
    <w:div w:id="27685352">
      <w:bodyDiv w:val="1"/>
      <w:marLeft w:val="0"/>
      <w:marRight w:val="0"/>
      <w:marTop w:val="0"/>
      <w:marBottom w:val="0"/>
      <w:divBdr>
        <w:top w:val="none" w:sz="0" w:space="0" w:color="auto"/>
        <w:left w:val="none" w:sz="0" w:space="0" w:color="auto"/>
        <w:bottom w:val="none" w:sz="0" w:space="0" w:color="auto"/>
        <w:right w:val="none" w:sz="0" w:space="0" w:color="auto"/>
      </w:divBdr>
    </w:div>
    <w:div w:id="32274430">
      <w:bodyDiv w:val="1"/>
      <w:marLeft w:val="0"/>
      <w:marRight w:val="0"/>
      <w:marTop w:val="0"/>
      <w:marBottom w:val="0"/>
      <w:divBdr>
        <w:top w:val="none" w:sz="0" w:space="0" w:color="auto"/>
        <w:left w:val="none" w:sz="0" w:space="0" w:color="auto"/>
        <w:bottom w:val="none" w:sz="0" w:space="0" w:color="auto"/>
        <w:right w:val="none" w:sz="0" w:space="0" w:color="auto"/>
      </w:divBdr>
    </w:div>
    <w:div w:id="35931821">
      <w:bodyDiv w:val="1"/>
      <w:marLeft w:val="0"/>
      <w:marRight w:val="0"/>
      <w:marTop w:val="0"/>
      <w:marBottom w:val="0"/>
      <w:divBdr>
        <w:top w:val="none" w:sz="0" w:space="0" w:color="auto"/>
        <w:left w:val="none" w:sz="0" w:space="0" w:color="auto"/>
        <w:bottom w:val="none" w:sz="0" w:space="0" w:color="auto"/>
        <w:right w:val="none" w:sz="0" w:space="0" w:color="auto"/>
      </w:divBdr>
    </w:div>
    <w:div w:id="36395427">
      <w:bodyDiv w:val="1"/>
      <w:marLeft w:val="0"/>
      <w:marRight w:val="0"/>
      <w:marTop w:val="0"/>
      <w:marBottom w:val="0"/>
      <w:divBdr>
        <w:top w:val="none" w:sz="0" w:space="0" w:color="auto"/>
        <w:left w:val="none" w:sz="0" w:space="0" w:color="auto"/>
        <w:bottom w:val="none" w:sz="0" w:space="0" w:color="auto"/>
        <w:right w:val="none" w:sz="0" w:space="0" w:color="auto"/>
      </w:divBdr>
    </w:div>
    <w:div w:id="36973798">
      <w:bodyDiv w:val="1"/>
      <w:marLeft w:val="0"/>
      <w:marRight w:val="0"/>
      <w:marTop w:val="0"/>
      <w:marBottom w:val="0"/>
      <w:divBdr>
        <w:top w:val="none" w:sz="0" w:space="0" w:color="auto"/>
        <w:left w:val="none" w:sz="0" w:space="0" w:color="auto"/>
        <w:bottom w:val="none" w:sz="0" w:space="0" w:color="auto"/>
        <w:right w:val="none" w:sz="0" w:space="0" w:color="auto"/>
      </w:divBdr>
    </w:div>
    <w:div w:id="48503665">
      <w:bodyDiv w:val="1"/>
      <w:marLeft w:val="0"/>
      <w:marRight w:val="0"/>
      <w:marTop w:val="0"/>
      <w:marBottom w:val="0"/>
      <w:divBdr>
        <w:top w:val="none" w:sz="0" w:space="0" w:color="auto"/>
        <w:left w:val="none" w:sz="0" w:space="0" w:color="auto"/>
        <w:bottom w:val="none" w:sz="0" w:space="0" w:color="auto"/>
        <w:right w:val="none" w:sz="0" w:space="0" w:color="auto"/>
      </w:divBdr>
    </w:div>
    <w:div w:id="50690344">
      <w:bodyDiv w:val="1"/>
      <w:marLeft w:val="0"/>
      <w:marRight w:val="0"/>
      <w:marTop w:val="0"/>
      <w:marBottom w:val="0"/>
      <w:divBdr>
        <w:top w:val="none" w:sz="0" w:space="0" w:color="auto"/>
        <w:left w:val="none" w:sz="0" w:space="0" w:color="auto"/>
        <w:bottom w:val="none" w:sz="0" w:space="0" w:color="auto"/>
        <w:right w:val="none" w:sz="0" w:space="0" w:color="auto"/>
      </w:divBdr>
    </w:div>
    <w:div w:id="51082303">
      <w:bodyDiv w:val="1"/>
      <w:marLeft w:val="0"/>
      <w:marRight w:val="0"/>
      <w:marTop w:val="0"/>
      <w:marBottom w:val="0"/>
      <w:divBdr>
        <w:top w:val="none" w:sz="0" w:space="0" w:color="auto"/>
        <w:left w:val="none" w:sz="0" w:space="0" w:color="auto"/>
        <w:bottom w:val="none" w:sz="0" w:space="0" w:color="auto"/>
        <w:right w:val="none" w:sz="0" w:space="0" w:color="auto"/>
      </w:divBdr>
    </w:div>
    <w:div w:id="51588131">
      <w:bodyDiv w:val="1"/>
      <w:marLeft w:val="0"/>
      <w:marRight w:val="0"/>
      <w:marTop w:val="0"/>
      <w:marBottom w:val="0"/>
      <w:divBdr>
        <w:top w:val="none" w:sz="0" w:space="0" w:color="auto"/>
        <w:left w:val="none" w:sz="0" w:space="0" w:color="auto"/>
        <w:bottom w:val="none" w:sz="0" w:space="0" w:color="auto"/>
        <w:right w:val="none" w:sz="0" w:space="0" w:color="auto"/>
      </w:divBdr>
    </w:div>
    <w:div w:id="52431075">
      <w:bodyDiv w:val="1"/>
      <w:marLeft w:val="0"/>
      <w:marRight w:val="0"/>
      <w:marTop w:val="0"/>
      <w:marBottom w:val="0"/>
      <w:divBdr>
        <w:top w:val="none" w:sz="0" w:space="0" w:color="auto"/>
        <w:left w:val="none" w:sz="0" w:space="0" w:color="auto"/>
        <w:bottom w:val="none" w:sz="0" w:space="0" w:color="auto"/>
        <w:right w:val="none" w:sz="0" w:space="0" w:color="auto"/>
      </w:divBdr>
    </w:div>
    <w:div w:id="54400707">
      <w:bodyDiv w:val="1"/>
      <w:marLeft w:val="0"/>
      <w:marRight w:val="0"/>
      <w:marTop w:val="0"/>
      <w:marBottom w:val="0"/>
      <w:divBdr>
        <w:top w:val="none" w:sz="0" w:space="0" w:color="auto"/>
        <w:left w:val="none" w:sz="0" w:space="0" w:color="auto"/>
        <w:bottom w:val="none" w:sz="0" w:space="0" w:color="auto"/>
        <w:right w:val="none" w:sz="0" w:space="0" w:color="auto"/>
      </w:divBdr>
    </w:div>
    <w:div w:id="54862327">
      <w:bodyDiv w:val="1"/>
      <w:marLeft w:val="0"/>
      <w:marRight w:val="0"/>
      <w:marTop w:val="0"/>
      <w:marBottom w:val="0"/>
      <w:divBdr>
        <w:top w:val="none" w:sz="0" w:space="0" w:color="auto"/>
        <w:left w:val="none" w:sz="0" w:space="0" w:color="auto"/>
        <w:bottom w:val="none" w:sz="0" w:space="0" w:color="auto"/>
        <w:right w:val="none" w:sz="0" w:space="0" w:color="auto"/>
      </w:divBdr>
    </w:div>
    <w:div w:id="58604060">
      <w:bodyDiv w:val="1"/>
      <w:marLeft w:val="0"/>
      <w:marRight w:val="0"/>
      <w:marTop w:val="0"/>
      <w:marBottom w:val="0"/>
      <w:divBdr>
        <w:top w:val="none" w:sz="0" w:space="0" w:color="auto"/>
        <w:left w:val="none" w:sz="0" w:space="0" w:color="auto"/>
        <w:bottom w:val="none" w:sz="0" w:space="0" w:color="auto"/>
        <w:right w:val="none" w:sz="0" w:space="0" w:color="auto"/>
      </w:divBdr>
    </w:div>
    <w:div w:id="62067226">
      <w:bodyDiv w:val="1"/>
      <w:marLeft w:val="0"/>
      <w:marRight w:val="0"/>
      <w:marTop w:val="0"/>
      <w:marBottom w:val="0"/>
      <w:divBdr>
        <w:top w:val="none" w:sz="0" w:space="0" w:color="auto"/>
        <w:left w:val="none" w:sz="0" w:space="0" w:color="auto"/>
        <w:bottom w:val="none" w:sz="0" w:space="0" w:color="auto"/>
        <w:right w:val="none" w:sz="0" w:space="0" w:color="auto"/>
      </w:divBdr>
    </w:div>
    <w:div w:id="67774031">
      <w:bodyDiv w:val="1"/>
      <w:marLeft w:val="0"/>
      <w:marRight w:val="0"/>
      <w:marTop w:val="0"/>
      <w:marBottom w:val="0"/>
      <w:divBdr>
        <w:top w:val="none" w:sz="0" w:space="0" w:color="auto"/>
        <w:left w:val="none" w:sz="0" w:space="0" w:color="auto"/>
        <w:bottom w:val="none" w:sz="0" w:space="0" w:color="auto"/>
        <w:right w:val="none" w:sz="0" w:space="0" w:color="auto"/>
      </w:divBdr>
    </w:div>
    <w:div w:id="68355014">
      <w:bodyDiv w:val="1"/>
      <w:marLeft w:val="0"/>
      <w:marRight w:val="0"/>
      <w:marTop w:val="0"/>
      <w:marBottom w:val="0"/>
      <w:divBdr>
        <w:top w:val="none" w:sz="0" w:space="0" w:color="auto"/>
        <w:left w:val="none" w:sz="0" w:space="0" w:color="auto"/>
        <w:bottom w:val="none" w:sz="0" w:space="0" w:color="auto"/>
        <w:right w:val="none" w:sz="0" w:space="0" w:color="auto"/>
      </w:divBdr>
    </w:div>
    <w:div w:id="69473096">
      <w:bodyDiv w:val="1"/>
      <w:marLeft w:val="0"/>
      <w:marRight w:val="0"/>
      <w:marTop w:val="0"/>
      <w:marBottom w:val="0"/>
      <w:divBdr>
        <w:top w:val="none" w:sz="0" w:space="0" w:color="auto"/>
        <w:left w:val="none" w:sz="0" w:space="0" w:color="auto"/>
        <w:bottom w:val="none" w:sz="0" w:space="0" w:color="auto"/>
        <w:right w:val="none" w:sz="0" w:space="0" w:color="auto"/>
      </w:divBdr>
    </w:div>
    <w:div w:id="72317474">
      <w:bodyDiv w:val="1"/>
      <w:marLeft w:val="0"/>
      <w:marRight w:val="0"/>
      <w:marTop w:val="0"/>
      <w:marBottom w:val="0"/>
      <w:divBdr>
        <w:top w:val="none" w:sz="0" w:space="0" w:color="auto"/>
        <w:left w:val="none" w:sz="0" w:space="0" w:color="auto"/>
        <w:bottom w:val="none" w:sz="0" w:space="0" w:color="auto"/>
        <w:right w:val="none" w:sz="0" w:space="0" w:color="auto"/>
      </w:divBdr>
    </w:div>
    <w:div w:id="75907006">
      <w:bodyDiv w:val="1"/>
      <w:marLeft w:val="0"/>
      <w:marRight w:val="0"/>
      <w:marTop w:val="0"/>
      <w:marBottom w:val="0"/>
      <w:divBdr>
        <w:top w:val="none" w:sz="0" w:space="0" w:color="auto"/>
        <w:left w:val="none" w:sz="0" w:space="0" w:color="auto"/>
        <w:bottom w:val="none" w:sz="0" w:space="0" w:color="auto"/>
        <w:right w:val="none" w:sz="0" w:space="0" w:color="auto"/>
      </w:divBdr>
    </w:div>
    <w:div w:id="76438628">
      <w:bodyDiv w:val="1"/>
      <w:marLeft w:val="0"/>
      <w:marRight w:val="0"/>
      <w:marTop w:val="0"/>
      <w:marBottom w:val="0"/>
      <w:divBdr>
        <w:top w:val="none" w:sz="0" w:space="0" w:color="auto"/>
        <w:left w:val="none" w:sz="0" w:space="0" w:color="auto"/>
        <w:bottom w:val="none" w:sz="0" w:space="0" w:color="auto"/>
        <w:right w:val="none" w:sz="0" w:space="0" w:color="auto"/>
      </w:divBdr>
    </w:div>
    <w:div w:id="76484270">
      <w:bodyDiv w:val="1"/>
      <w:marLeft w:val="0"/>
      <w:marRight w:val="0"/>
      <w:marTop w:val="0"/>
      <w:marBottom w:val="0"/>
      <w:divBdr>
        <w:top w:val="none" w:sz="0" w:space="0" w:color="auto"/>
        <w:left w:val="none" w:sz="0" w:space="0" w:color="auto"/>
        <w:bottom w:val="none" w:sz="0" w:space="0" w:color="auto"/>
        <w:right w:val="none" w:sz="0" w:space="0" w:color="auto"/>
      </w:divBdr>
    </w:div>
    <w:div w:id="81537155">
      <w:bodyDiv w:val="1"/>
      <w:marLeft w:val="0"/>
      <w:marRight w:val="0"/>
      <w:marTop w:val="0"/>
      <w:marBottom w:val="0"/>
      <w:divBdr>
        <w:top w:val="none" w:sz="0" w:space="0" w:color="auto"/>
        <w:left w:val="none" w:sz="0" w:space="0" w:color="auto"/>
        <w:bottom w:val="none" w:sz="0" w:space="0" w:color="auto"/>
        <w:right w:val="none" w:sz="0" w:space="0" w:color="auto"/>
      </w:divBdr>
    </w:div>
    <w:div w:id="82844051">
      <w:bodyDiv w:val="1"/>
      <w:marLeft w:val="0"/>
      <w:marRight w:val="0"/>
      <w:marTop w:val="0"/>
      <w:marBottom w:val="0"/>
      <w:divBdr>
        <w:top w:val="none" w:sz="0" w:space="0" w:color="auto"/>
        <w:left w:val="none" w:sz="0" w:space="0" w:color="auto"/>
        <w:bottom w:val="none" w:sz="0" w:space="0" w:color="auto"/>
        <w:right w:val="none" w:sz="0" w:space="0" w:color="auto"/>
      </w:divBdr>
    </w:div>
    <w:div w:id="83108381">
      <w:bodyDiv w:val="1"/>
      <w:marLeft w:val="0"/>
      <w:marRight w:val="0"/>
      <w:marTop w:val="0"/>
      <w:marBottom w:val="0"/>
      <w:divBdr>
        <w:top w:val="none" w:sz="0" w:space="0" w:color="auto"/>
        <w:left w:val="none" w:sz="0" w:space="0" w:color="auto"/>
        <w:bottom w:val="none" w:sz="0" w:space="0" w:color="auto"/>
        <w:right w:val="none" w:sz="0" w:space="0" w:color="auto"/>
      </w:divBdr>
    </w:div>
    <w:div w:id="83452552">
      <w:bodyDiv w:val="1"/>
      <w:marLeft w:val="0"/>
      <w:marRight w:val="0"/>
      <w:marTop w:val="0"/>
      <w:marBottom w:val="0"/>
      <w:divBdr>
        <w:top w:val="none" w:sz="0" w:space="0" w:color="auto"/>
        <w:left w:val="none" w:sz="0" w:space="0" w:color="auto"/>
        <w:bottom w:val="none" w:sz="0" w:space="0" w:color="auto"/>
        <w:right w:val="none" w:sz="0" w:space="0" w:color="auto"/>
      </w:divBdr>
    </w:div>
    <w:div w:id="86771266">
      <w:bodyDiv w:val="1"/>
      <w:marLeft w:val="0"/>
      <w:marRight w:val="0"/>
      <w:marTop w:val="0"/>
      <w:marBottom w:val="0"/>
      <w:divBdr>
        <w:top w:val="none" w:sz="0" w:space="0" w:color="auto"/>
        <w:left w:val="none" w:sz="0" w:space="0" w:color="auto"/>
        <w:bottom w:val="none" w:sz="0" w:space="0" w:color="auto"/>
        <w:right w:val="none" w:sz="0" w:space="0" w:color="auto"/>
      </w:divBdr>
    </w:div>
    <w:div w:id="87166737">
      <w:bodyDiv w:val="1"/>
      <w:marLeft w:val="0"/>
      <w:marRight w:val="0"/>
      <w:marTop w:val="0"/>
      <w:marBottom w:val="0"/>
      <w:divBdr>
        <w:top w:val="none" w:sz="0" w:space="0" w:color="auto"/>
        <w:left w:val="none" w:sz="0" w:space="0" w:color="auto"/>
        <w:bottom w:val="none" w:sz="0" w:space="0" w:color="auto"/>
        <w:right w:val="none" w:sz="0" w:space="0" w:color="auto"/>
      </w:divBdr>
    </w:div>
    <w:div w:id="93019026">
      <w:bodyDiv w:val="1"/>
      <w:marLeft w:val="0"/>
      <w:marRight w:val="0"/>
      <w:marTop w:val="0"/>
      <w:marBottom w:val="0"/>
      <w:divBdr>
        <w:top w:val="none" w:sz="0" w:space="0" w:color="auto"/>
        <w:left w:val="none" w:sz="0" w:space="0" w:color="auto"/>
        <w:bottom w:val="none" w:sz="0" w:space="0" w:color="auto"/>
        <w:right w:val="none" w:sz="0" w:space="0" w:color="auto"/>
      </w:divBdr>
    </w:div>
    <w:div w:id="93132284">
      <w:bodyDiv w:val="1"/>
      <w:marLeft w:val="0"/>
      <w:marRight w:val="0"/>
      <w:marTop w:val="0"/>
      <w:marBottom w:val="0"/>
      <w:divBdr>
        <w:top w:val="none" w:sz="0" w:space="0" w:color="auto"/>
        <w:left w:val="none" w:sz="0" w:space="0" w:color="auto"/>
        <w:bottom w:val="none" w:sz="0" w:space="0" w:color="auto"/>
        <w:right w:val="none" w:sz="0" w:space="0" w:color="auto"/>
      </w:divBdr>
    </w:div>
    <w:div w:id="93399887">
      <w:bodyDiv w:val="1"/>
      <w:marLeft w:val="0"/>
      <w:marRight w:val="0"/>
      <w:marTop w:val="0"/>
      <w:marBottom w:val="0"/>
      <w:divBdr>
        <w:top w:val="none" w:sz="0" w:space="0" w:color="auto"/>
        <w:left w:val="none" w:sz="0" w:space="0" w:color="auto"/>
        <w:bottom w:val="none" w:sz="0" w:space="0" w:color="auto"/>
        <w:right w:val="none" w:sz="0" w:space="0" w:color="auto"/>
      </w:divBdr>
    </w:div>
    <w:div w:id="95950912">
      <w:bodyDiv w:val="1"/>
      <w:marLeft w:val="0"/>
      <w:marRight w:val="0"/>
      <w:marTop w:val="0"/>
      <w:marBottom w:val="0"/>
      <w:divBdr>
        <w:top w:val="none" w:sz="0" w:space="0" w:color="auto"/>
        <w:left w:val="none" w:sz="0" w:space="0" w:color="auto"/>
        <w:bottom w:val="none" w:sz="0" w:space="0" w:color="auto"/>
        <w:right w:val="none" w:sz="0" w:space="0" w:color="auto"/>
      </w:divBdr>
    </w:div>
    <w:div w:id="96482185">
      <w:bodyDiv w:val="1"/>
      <w:marLeft w:val="0"/>
      <w:marRight w:val="0"/>
      <w:marTop w:val="0"/>
      <w:marBottom w:val="0"/>
      <w:divBdr>
        <w:top w:val="none" w:sz="0" w:space="0" w:color="auto"/>
        <w:left w:val="none" w:sz="0" w:space="0" w:color="auto"/>
        <w:bottom w:val="none" w:sz="0" w:space="0" w:color="auto"/>
        <w:right w:val="none" w:sz="0" w:space="0" w:color="auto"/>
      </w:divBdr>
    </w:div>
    <w:div w:id="99958407">
      <w:bodyDiv w:val="1"/>
      <w:marLeft w:val="0"/>
      <w:marRight w:val="0"/>
      <w:marTop w:val="0"/>
      <w:marBottom w:val="0"/>
      <w:divBdr>
        <w:top w:val="none" w:sz="0" w:space="0" w:color="auto"/>
        <w:left w:val="none" w:sz="0" w:space="0" w:color="auto"/>
        <w:bottom w:val="none" w:sz="0" w:space="0" w:color="auto"/>
        <w:right w:val="none" w:sz="0" w:space="0" w:color="auto"/>
      </w:divBdr>
    </w:div>
    <w:div w:id="101074820">
      <w:bodyDiv w:val="1"/>
      <w:marLeft w:val="0"/>
      <w:marRight w:val="0"/>
      <w:marTop w:val="0"/>
      <w:marBottom w:val="0"/>
      <w:divBdr>
        <w:top w:val="none" w:sz="0" w:space="0" w:color="auto"/>
        <w:left w:val="none" w:sz="0" w:space="0" w:color="auto"/>
        <w:bottom w:val="none" w:sz="0" w:space="0" w:color="auto"/>
        <w:right w:val="none" w:sz="0" w:space="0" w:color="auto"/>
      </w:divBdr>
    </w:div>
    <w:div w:id="102312187">
      <w:bodyDiv w:val="1"/>
      <w:marLeft w:val="0"/>
      <w:marRight w:val="0"/>
      <w:marTop w:val="0"/>
      <w:marBottom w:val="0"/>
      <w:divBdr>
        <w:top w:val="none" w:sz="0" w:space="0" w:color="auto"/>
        <w:left w:val="none" w:sz="0" w:space="0" w:color="auto"/>
        <w:bottom w:val="none" w:sz="0" w:space="0" w:color="auto"/>
        <w:right w:val="none" w:sz="0" w:space="0" w:color="auto"/>
      </w:divBdr>
    </w:div>
    <w:div w:id="102963487">
      <w:bodyDiv w:val="1"/>
      <w:marLeft w:val="0"/>
      <w:marRight w:val="0"/>
      <w:marTop w:val="0"/>
      <w:marBottom w:val="0"/>
      <w:divBdr>
        <w:top w:val="none" w:sz="0" w:space="0" w:color="auto"/>
        <w:left w:val="none" w:sz="0" w:space="0" w:color="auto"/>
        <w:bottom w:val="none" w:sz="0" w:space="0" w:color="auto"/>
        <w:right w:val="none" w:sz="0" w:space="0" w:color="auto"/>
      </w:divBdr>
    </w:div>
    <w:div w:id="105278454">
      <w:bodyDiv w:val="1"/>
      <w:marLeft w:val="0"/>
      <w:marRight w:val="0"/>
      <w:marTop w:val="0"/>
      <w:marBottom w:val="0"/>
      <w:divBdr>
        <w:top w:val="none" w:sz="0" w:space="0" w:color="auto"/>
        <w:left w:val="none" w:sz="0" w:space="0" w:color="auto"/>
        <w:bottom w:val="none" w:sz="0" w:space="0" w:color="auto"/>
        <w:right w:val="none" w:sz="0" w:space="0" w:color="auto"/>
      </w:divBdr>
    </w:div>
    <w:div w:id="108473344">
      <w:bodyDiv w:val="1"/>
      <w:marLeft w:val="0"/>
      <w:marRight w:val="0"/>
      <w:marTop w:val="0"/>
      <w:marBottom w:val="0"/>
      <w:divBdr>
        <w:top w:val="none" w:sz="0" w:space="0" w:color="auto"/>
        <w:left w:val="none" w:sz="0" w:space="0" w:color="auto"/>
        <w:bottom w:val="none" w:sz="0" w:space="0" w:color="auto"/>
        <w:right w:val="none" w:sz="0" w:space="0" w:color="auto"/>
      </w:divBdr>
    </w:div>
    <w:div w:id="111478416">
      <w:bodyDiv w:val="1"/>
      <w:marLeft w:val="0"/>
      <w:marRight w:val="0"/>
      <w:marTop w:val="0"/>
      <w:marBottom w:val="0"/>
      <w:divBdr>
        <w:top w:val="none" w:sz="0" w:space="0" w:color="auto"/>
        <w:left w:val="none" w:sz="0" w:space="0" w:color="auto"/>
        <w:bottom w:val="none" w:sz="0" w:space="0" w:color="auto"/>
        <w:right w:val="none" w:sz="0" w:space="0" w:color="auto"/>
      </w:divBdr>
    </w:div>
    <w:div w:id="113714133">
      <w:bodyDiv w:val="1"/>
      <w:marLeft w:val="0"/>
      <w:marRight w:val="0"/>
      <w:marTop w:val="0"/>
      <w:marBottom w:val="0"/>
      <w:divBdr>
        <w:top w:val="none" w:sz="0" w:space="0" w:color="auto"/>
        <w:left w:val="none" w:sz="0" w:space="0" w:color="auto"/>
        <w:bottom w:val="none" w:sz="0" w:space="0" w:color="auto"/>
        <w:right w:val="none" w:sz="0" w:space="0" w:color="auto"/>
      </w:divBdr>
    </w:div>
    <w:div w:id="114257542">
      <w:bodyDiv w:val="1"/>
      <w:marLeft w:val="0"/>
      <w:marRight w:val="0"/>
      <w:marTop w:val="0"/>
      <w:marBottom w:val="0"/>
      <w:divBdr>
        <w:top w:val="none" w:sz="0" w:space="0" w:color="auto"/>
        <w:left w:val="none" w:sz="0" w:space="0" w:color="auto"/>
        <w:bottom w:val="none" w:sz="0" w:space="0" w:color="auto"/>
        <w:right w:val="none" w:sz="0" w:space="0" w:color="auto"/>
      </w:divBdr>
    </w:div>
    <w:div w:id="114957070">
      <w:bodyDiv w:val="1"/>
      <w:marLeft w:val="0"/>
      <w:marRight w:val="0"/>
      <w:marTop w:val="0"/>
      <w:marBottom w:val="0"/>
      <w:divBdr>
        <w:top w:val="none" w:sz="0" w:space="0" w:color="auto"/>
        <w:left w:val="none" w:sz="0" w:space="0" w:color="auto"/>
        <w:bottom w:val="none" w:sz="0" w:space="0" w:color="auto"/>
        <w:right w:val="none" w:sz="0" w:space="0" w:color="auto"/>
      </w:divBdr>
    </w:div>
    <w:div w:id="115805379">
      <w:bodyDiv w:val="1"/>
      <w:marLeft w:val="0"/>
      <w:marRight w:val="0"/>
      <w:marTop w:val="0"/>
      <w:marBottom w:val="0"/>
      <w:divBdr>
        <w:top w:val="none" w:sz="0" w:space="0" w:color="auto"/>
        <w:left w:val="none" w:sz="0" w:space="0" w:color="auto"/>
        <w:bottom w:val="none" w:sz="0" w:space="0" w:color="auto"/>
        <w:right w:val="none" w:sz="0" w:space="0" w:color="auto"/>
      </w:divBdr>
    </w:div>
    <w:div w:id="116603846">
      <w:bodyDiv w:val="1"/>
      <w:marLeft w:val="0"/>
      <w:marRight w:val="0"/>
      <w:marTop w:val="0"/>
      <w:marBottom w:val="0"/>
      <w:divBdr>
        <w:top w:val="none" w:sz="0" w:space="0" w:color="auto"/>
        <w:left w:val="none" w:sz="0" w:space="0" w:color="auto"/>
        <w:bottom w:val="none" w:sz="0" w:space="0" w:color="auto"/>
        <w:right w:val="none" w:sz="0" w:space="0" w:color="auto"/>
      </w:divBdr>
    </w:div>
    <w:div w:id="117378479">
      <w:bodyDiv w:val="1"/>
      <w:marLeft w:val="0"/>
      <w:marRight w:val="0"/>
      <w:marTop w:val="0"/>
      <w:marBottom w:val="0"/>
      <w:divBdr>
        <w:top w:val="none" w:sz="0" w:space="0" w:color="auto"/>
        <w:left w:val="none" w:sz="0" w:space="0" w:color="auto"/>
        <w:bottom w:val="none" w:sz="0" w:space="0" w:color="auto"/>
        <w:right w:val="none" w:sz="0" w:space="0" w:color="auto"/>
      </w:divBdr>
    </w:div>
    <w:div w:id="117995571">
      <w:bodyDiv w:val="1"/>
      <w:marLeft w:val="0"/>
      <w:marRight w:val="0"/>
      <w:marTop w:val="0"/>
      <w:marBottom w:val="0"/>
      <w:divBdr>
        <w:top w:val="none" w:sz="0" w:space="0" w:color="auto"/>
        <w:left w:val="none" w:sz="0" w:space="0" w:color="auto"/>
        <w:bottom w:val="none" w:sz="0" w:space="0" w:color="auto"/>
        <w:right w:val="none" w:sz="0" w:space="0" w:color="auto"/>
      </w:divBdr>
    </w:div>
    <w:div w:id="118839979">
      <w:bodyDiv w:val="1"/>
      <w:marLeft w:val="0"/>
      <w:marRight w:val="0"/>
      <w:marTop w:val="0"/>
      <w:marBottom w:val="0"/>
      <w:divBdr>
        <w:top w:val="none" w:sz="0" w:space="0" w:color="auto"/>
        <w:left w:val="none" w:sz="0" w:space="0" w:color="auto"/>
        <w:bottom w:val="none" w:sz="0" w:space="0" w:color="auto"/>
        <w:right w:val="none" w:sz="0" w:space="0" w:color="auto"/>
      </w:divBdr>
    </w:div>
    <w:div w:id="124350338">
      <w:bodyDiv w:val="1"/>
      <w:marLeft w:val="0"/>
      <w:marRight w:val="0"/>
      <w:marTop w:val="0"/>
      <w:marBottom w:val="0"/>
      <w:divBdr>
        <w:top w:val="none" w:sz="0" w:space="0" w:color="auto"/>
        <w:left w:val="none" w:sz="0" w:space="0" w:color="auto"/>
        <w:bottom w:val="none" w:sz="0" w:space="0" w:color="auto"/>
        <w:right w:val="none" w:sz="0" w:space="0" w:color="auto"/>
      </w:divBdr>
    </w:div>
    <w:div w:id="127165031">
      <w:bodyDiv w:val="1"/>
      <w:marLeft w:val="0"/>
      <w:marRight w:val="0"/>
      <w:marTop w:val="0"/>
      <w:marBottom w:val="0"/>
      <w:divBdr>
        <w:top w:val="none" w:sz="0" w:space="0" w:color="auto"/>
        <w:left w:val="none" w:sz="0" w:space="0" w:color="auto"/>
        <w:bottom w:val="none" w:sz="0" w:space="0" w:color="auto"/>
        <w:right w:val="none" w:sz="0" w:space="0" w:color="auto"/>
      </w:divBdr>
    </w:div>
    <w:div w:id="127212139">
      <w:bodyDiv w:val="1"/>
      <w:marLeft w:val="0"/>
      <w:marRight w:val="0"/>
      <w:marTop w:val="0"/>
      <w:marBottom w:val="0"/>
      <w:divBdr>
        <w:top w:val="none" w:sz="0" w:space="0" w:color="auto"/>
        <w:left w:val="none" w:sz="0" w:space="0" w:color="auto"/>
        <w:bottom w:val="none" w:sz="0" w:space="0" w:color="auto"/>
        <w:right w:val="none" w:sz="0" w:space="0" w:color="auto"/>
      </w:divBdr>
    </w:div>
    <w:div w:id="128481426">
      <w:bodyDiv w:val="1"/>
      <w:marLeft w:val="0"/>
      <w:marRight w:val="0"/>
      <w:marTop w:val="0"/>
      <w:marBottom w:val="0"/>
      <w:divBdr>
        <w:top w:val="none" w:sz="0" w:space="0" w:color="auto"/>
        <w:left w:val="none" w:sz="0" w:space="0" w:color="auto"/>
        <w:bottom w:val="none" w:sz="0" w:space="0" w:color="auto"/>
        <w:right w:val="none" w:sz="0" w:space="0" w:color="auto"/>
      </w:divBdr>
    </w:div>
    <w:div w:id="131287137">
      <w:bodyDiv w:val="1"/>
      <w:marLeft w:val="0"/>
      <w:marRight w:val="0"/>
      <w:marTop w:val="0"/>
      <w:marBottom w:val="0"/>
      <w:divBdr>
        <w:top w:val="none" w:sz="0" w:space="0" w:color="auto"/>
        <w:left w:val="none" w:sz="0" w:space="0" w:color="auto"/>
        <w:bottom w:val="none" w:sz="0" w:space="0" w:color="auto"/>
        <w:right w:val="none" w:sz="0" w:space="0" w:color="auto"/>
      </w:divBdr>
    </w:div>
    <w:div w:id="133108930">
      <w:bodyDiv w:val="1"/>
      <w:marLeft w:val="0"/>
      <w:marRight w:val="0"/>
      <w:marTop w:val="0"/>
      <w:marBottom w:val="0"/>
      <w:divBdr>
        <w:top w:val="none" w:sz="0" w:space="0" w:color="auto"/>
        <w:left w:val="none" w:sz="0" w:space="0" w:color="auto"/>
        <w:bottom w:val="none" w:sz="0" w:space="0" w:color="auto"/>
        <w:right w:val="none" w:sz="0" w:space="0" w:color="auto"/>
      </w:divBdr>
    </w:div>
    <w:div w:id="138429171">
      <w:bodyDiv w:val="1"/>
      <w:marLeft w:val="0"/>
      <w:marRight w:val="0"/>
      <w:marTop w:val="0"/>
      <w:marBottom w:val="0"/>
      <w:divBdr>
        <w:top w:val="none" w:sz="0" w:space="0" w:color="auto"/>
        <w:left w:val="none" w:sz="0" w:space="0" w:color="auto"/>
        <w:bottom w:val="none" w:sz="0" w:space="0" w:color="auto"/>
        <w:right w:val="none" w:sz="0" w:space="0" w:color="auto"/>
      </w:divBdr>
    </w:div>
    <w:div w:id="140002635">
      <w:bodyDiv w:val="1"/>
      <w:marLeft w:val="0"/>
      <w:marRight w:val="0"/>
      <w:marTop w:val="0"/>
      <w:marBottom w:val="0"/>
      <w:divBdr>
        <w:top w:val="none" w:sz="0" w:space="0" w:color="auto"/>
        <w:left w:val="none" w:sz="0" w:space="0" w:color="auto"/>
        <w:bottom w:val="none" w:sz="0" w:space="0" w:color="auto"/>
        <w:right w:val="none" w:sz="0" w:space="0" w:color="auto"/>
      </w:divBdr>
    </w:div>
    <w:div w:id="140467492">
      <w:bodyDiv w:val="1"/>
      <w:marLeft w:val="0"/>
      <w:marRight w:val="0"/>
      <w:marTop w:val="0"/>
      <w:marBottom w:val="0"/>
      <w:divBdr>
        <w:top w:val="none" w:sz="0" w:space="0" w:color="auto"/>
        <w:left w:val="none" w:sz="0" w:space="0" w:color="auto"/>
        <w:bottom w:val="none" w:sz="0" w:space="0" w:color="auto"/>
        <w:right w:val="none" w:sz="0" w:space="0" w:color="auto"/>
      </w:divBdr>
    </w:div>
    <w:div w:id="140779591">
      <w:bodyDiv w:val="1"/>
      <w:marLeft w:val="0"/>
      <w:marRight w:val="0"/>
      <w:marTop w:val="0"/>
      <w:marBottom w:val="0"/>
      <w:divBdr>
        <w:top w:val="none" w:sz="0" w:space="0" w:color="auto"/>
        <w:left w:val="none" w:sz="0" w:space="0" w:color="auto"/>
        <w:bottom w:val="none" w:sz="0" w:space="0" w:color="auto"/>
        <w:right w:val="none" w:sz="0" w:space="0" w:color="auto"/>
      </w:divBdr>
    </w:div>
    <w:div w:id="142544721">
      <w:bodyDiv w:val="1"/>
      <w:marLeft w:val="0"/>
      <w:marRight w:val="0"/>
      <w:marTop w:val="0"/>
      <w:marBottom w:val="0"/>
      <w:divBdr>
        <w:top w:val="none" w:sz="0" w:space="0" w:color="auto"/>
        <w:left w:val="none" w:sz="0" w:space="0" w:color="auto"/>
        <w:bottom w:val="none" w:sz="0" w:space="0" w:color="auto"/>
        <w:right w:val="none" w:sz="0" w:space="0" w:color="auto"/>
      </w:divBdr>
    </w:div>
    <w:div w:id="143545253">
      <w:bodyDiv w:val="1"/>
      <w:marLeft w:val="0"/>
      <w:marRight w:val="0"/>
      <w:marTop w:val="0"/>
      <w:marBottom w:val="0"/>
      <w:divBdr>
        <w:top w:val="none" w:sz="0" w:space="0" w:color="auto"/>
        <w:left w:val="none" w:sz="0" w:space="0" w:color="auto"/>
        <w:bottom w:val="none" w:sz="0" w:space="0" w:color="auto"/>
        <w:right w:val="none" w:sz="0" w:space="0" w:color="auto"/>
      </w:divBdr>
    </w:div>
    <w:div w:id="144929574">
      <w:bodyDiv w:val="1"/>
      <w:marLeft w:val="0"/>
      <w:marRight w:val="0"/>
      <w:marTop w:val="0"/>
      <w:marBottom w:val="0"/>
      <w:divBdr>
        <w:top w:val="none" w:sz="0" w:space="0" w:color="auto"/>
        <w:left w:val="none" w:sz="0" w:space="0" w:color="auto"/>
        <w:bottom w:val="none" w:sz="0" w:space="0" w:color="auto"/>
        <w:right w:val="none" w:sz="0" w:space="0" w:color="auto"/>
      </w:divBdr>
    </w:div>
    <w:div w:id="145826365">
      <w:bodyDiv w:val="1"/>
      <w:marLeft w:val="0"/>
      <w:marRight w:val="0"/>
      <w:marTop w:val="0"/>
      <w:marBottom w:val="0"/>
      <w:divBdr>
        <w:top w:val="none" w:sz="0" w:space="0" w:color="auto"/>
        <w:left w:val="none" w:sz="0" w:space="0" w:color="auto"/>
        <w:bottom w:val="none" w:sz="0" w:space="0" w:color="auto"/>
        <w:right w:val="none" w:sz="0" w:space="0" w:color="auto"/>
      </w:divBdr>
    </w:div>
    <w:div w:id="148405252">
      <w:bodyDiv w:val="1"/>
      <w:marLeft w:val="0"/>
      <w:marRight w:val="0"/>
      <w:marTop w:val="0"/>
      <w:marBottom w:val="0"/>
      <w:divBdr>
        <w:top w:val="none" w:sz="0" w:space="0" w:color="auto"/>
        <w:left w:val="none" w:sz="0" w:space="0" w:color="auto"/>
        <w:bottom w:val="none" w:sz="0" w:space="0" w:color="auto"/>
        <w:right w:val="none" w:sz="0" w:space="0" w:color="auto"/>
      </w:divBdr>
    </w:div>
    <w:div w:id="151409614">
      <w:bodyDiv w:val="1"/>
      <w:marLeft w:val="0"/>
      <w:marRight w:val="0"/>
      <w:marTop w:val="0"/>
      <w:marBottom w:val="0"/>
      <w:divBdr>
        <w:top w:val="none" w:sz="0" w:space="0" w:color="auto"/>
        <w:left w:val="none" w:sz="0" w:space="0" w:color="auto"/>
        <w:bottom w:val="none" w:sz="0" w:space="0" w:color="auto"/>
        <w:right w:val="none" w:sz="0" w:space="0" w:color="auto"/>
      </w:divBdr>
    </w:div>
    <w:div w:id="151485174">
      <w:bodyDiv w:val="1"/>
      <w:marLeft w:val="0"/>
      <w:marRight w:val="0"/>
      <w:marTop w:val="0"/>
      <w:marBottom w:val="0"/>
      <w:divBdr>
        <w:top w:val="none" w:sz="0" w:space="0" w:color="auto"/>
        <w:left w:val="none" w:sz="0" w:space="0" w:color="auto"/>
        <w:bottom w:val="none" w:sz="0" w:space="0" w:color="auto"/>
        <w:right w:val="none" w:sz="0" w:space="0" w:color="auto"/>
      </w:divBdr>
    </w:div>
    <w:div w:id="151606310">
      <w:bodyDiv w:val="1"/>
      <w:marLeft w:val="0"/>
      <w:marRight w:val="0"/>
      <w:marTop w:val="0"/>
      <w:marBottom w:val="0"/>
      <w:divBdr>
        <w:top w:val="none" w:sz="0" w:space="0" w:color="auto"/>
        <w:left w:val="none" w:sz="0" w:space="0" w:color="auto"/>
        <w:bottom w:val="none" w:sz="0" w:space="0" w:color="auto"/>
        <w:right w:val="none" w:sz="0" w:space="0" w:color="auto"/>
      </w:divBdr>
    </w:div>
    <w:div w:id="154149865">
      <w:bodyDiv w:val="1"/>
      <w:marLeft w:val="0"/>
      <w:marRight w:val="0"/>
      <w:marTop w:val="0"/>
      <w:marBottom w:val="0"/>
      <w:divBdr>
        <w:top w:val="none" w:sz="0" w:space="0" w:color="auto"/>
        <w:left w:val="none" w:sz="0" w:space="0" w:color="auto"/>
        <w:bottom w:val="none" w:sz="0" w:space="0" w:color="auto"/>
        <w:right w:val="none" w:sz="0" w:space="0" w:color="auto"/>
      </w:divBdr>
    </w:div>
    <w:div w:id="155195570">
      <w:bodyDiv w:val="1"/>
      <w:marLeft w:val="0"/>
      <w:marRight w:val="0"/>
      <w:marTop w:val="0"/>
      <w:marBottom w:val="0"/>
      <w:divBdr>
        <w:top w:val="none" w:sz="0" w:space="0" w:color="auto"/>
        <w:left w:val="none" w:sz="0" w:space="0" w:color="auto"/>
        <w:bottom w:val="none" w:sz="0" w:space="0" w:color="auto"/>
        <w:right w:val="none" w:sz="0" w:space="0" w:color="auto"/>
      </w:divBdr>
    </w:div>
    <w:div w:id="158425395">
      <w:bodyDiv w:val="1"/>
      <w:marLeft w:val="0"/>
      <w:marRight w:val="0"/>
      <w:marTop w:val="0"/>
      <w:marBottom w:val="0"/>
      <w:divBdr>
        <w:top w:val="none" w:sz="0" w:space="0" w:color="auto"/>
        <w:left w:val="none" w:sz="0" w:space="0" w:color="auto"/>
        <w:bottom w:val="none" w:sz="0" w:space="0" w:color="auto"/>
        <w:right w:val="none" w:sz="0" w:space="0" w:color="auto"/>
      </w:divBdr>
    </w:div>
    <w:div w:id="159468990">
      <w:bodyDiv w:val="1"/>
      <w:marLeft w:val="0"/>
      <w:marRight w:val="0"/>
      <w:marTop w:val="0"/>
      <w:marBottom w:val="0"/>
      <w:divBdr>
        <w:top w:val="none" w:sz="0" w:space="0" w:color="auto"/>
        <w:left w:val="none" w:sz="0" w:space="0" w:color="auto"/>
        <w:bottom w:val="none" w:sz="0" w:space="0" w:color="auto"/>
        <w:right w:val="none" w:sz="0" w:space="0" w:color="auto"/>
      </w:divBdr>
    </w:div>
    <w:div w:id="159470753">
      <w:bodyDiv w:val="1"/>
      <w:marLeft w:val="0"/>
      <w:marRight w:val="0"/>
      <w:marTop w:val="0"/>
      <w:marBottom w:val="0"/>
      <w:divBdr>
        <w:top w:val="none" w:sz="0" w:space="0" w:color="auto"/>
        <w:left w:val="none" w:sz="0" w:space="0" w:color="auto"/>
        <w:bottom w:val="none" w:sz="0" w:space="0" w:color="auto"/>
        <w:right w:val="none" w:sz="0" w:space="0" w:color="auto"/>
      </w:divBdr>
    </w:div>
    <w:div w:id="163018003">
      <w:bodyDiv w:val="1"/>
      <w:marLeft w:val="0"/>
      <w:marRight w:val="0"/>
      <w:marTop w:val="0"/>
      <w:marBottom w:val="0"/>
      <w:divBdr>
        <w:top w:val="none" w:sz="0" w:space="0" w:color="auto"/>
        <w:left w:val="none" w:sz="0" w:space="0" w:color="auto"/>
        <w:bottom w:val="none" w:sz="0" w:space="0" w:color="auto"/>
        <w:right w:val="none" w:sz="0" w:space="0" w:color="auto"/>
      </w:divBdr>
    </w:div>
    <w:div w:id="170150018">
      <w:bodyDiv w:val="1"/>
      <w:marLeft w:val="0"/>
      <w:marRight w:val="0"/>
      <w:marTop w:val="0"/>
      <w:marBottom w:val="0"/>
      <w:divBdr>
        <w:top w:val="none" w:sz="0" w:space="0" w:color="auto"/>
        <w:left w:val="none" w:sz="0" w:space="0" w:color="auto"/>
        <w:bottom w:val="none" w:sz="0" w:space="0" w:color="auto"/>
        <w:right w:val="none" w:sz="0" w:space="0" w:color="auto"/>
      </w:divBdr>
    </w:div>
    <w:div w:id="170798425">
      <w:bodyDiv w:val="1"/>
      <w:marLeft w:val="0"/>
      <w:marRight w:val="0"/>
      <w:marTop w:val="0"/>
      <w:marBottom w:val="0"/>
      <w:divBdr>
        <w:top w:val="none" w:sz="0" w:space="0" w:color="auto"/>
        <w:left w:val="none" w:sz="0" w:space="0" w:color="auto"/>
        <w:bottom w:val="none" w:sz="0" w:space="0" w:color="auto"/>
        <w:right w:val="none" w:sz="0" w:space="0" w:color="auto"/>
      </w:divBdr>
    </w:div>
    <w:div w:id="177542629">
      <w:bodyDiv w:val="1"/>
      <w:marLeft w:val="0"/>
      <w:marRight w:val="0"/>
      <w:marTop w:val="0"/>
      <w:marBottom w:val="0"/>
      <w:divBdr>
        <w:top w:val="none" w:sz="0" w:space="0" w:color="auto"/>
        <w:left w:val="none" w:sz="0" w:space="0" w:color="auto"/>
        <w:bottom w:val="none" w:sz="0" w:space="0" w:color="auto"/>
        <w:right w:val="none" w:sz="0" w:space="0" w:color="auto"/>
      </w:divBdr>
    </w:div>
    <w:div w:id="178661889">
      <w:bodyDiv w:val="1"/>
      <w:marLeft w:val="0"/>
      <w:marRight w:val="0"/>
      <w:marTop w:val="0"/>
      <w:marBottom w:val="0"/>
      <w:divBdr>
        <w:top w:val="none" w:sz="0" w:space="0" w:color="auto"/>
        <w:left w:val="none" w:sz="0" w:space="0" w:color="auto"/>
        <w:bottom w:val="none" w:sz="0" w:space="0" w:color="auto"/>
        <w:right w:val="none" w:sz="0" w:space="0" w:color="auto"/>
      </w:divBdr>
    </w:div>
    <w:div w:id="179854159">
      <w:bodyDiv w:val="1"/>
      <w:marLeft w:val="0"/>
      <w:marRight w:val="0"/>
      <w:marTop w:val="0"/>
      <w:marBottom w:val="0"/>
      <w:divBdr>
        <w:top w:val="none" w:sz="0" w:space="0" w:color="auto"/>
        <w:left w:val="none" w:sz="0" w:space="0" w:color="auto"/>
        <w:bottom w:val="none" w:sz="0" w:space="0" w:color="auto"/>
        <w:right w:val="none" w:sz="0" w:space="0" w:color="auto"/>
      </w:divBdr>
    </w:div>
    <w:div w:id="180317035">
      <w:bodyDiv w:val="1"/>
      <w:marLeft w:val="0"/>
      <w:marRight w:val="0"/>
      <w:marTop w:val="0"/>
      <w:marBottom w:val="0"/>
      <w:divBdr>
        <w:top w:val="none" w:sz="0" w:space="0" w:color="auto"/>
        <w:left w:val="none" w:sz="0" w:space="0" w:color="auto"/>
        <w:bottom w:val="none" w:sz="0" w:space="0" w:color="auto"/>
        <w:right w:val="none" w:sz="0" w:space="0" w:color="auto"/>
      </w:divBdr>
    </w:div>
    <w:div w:id="182016505">
      <w:bodyDiv w:val="1"/>
      <w:marLeft w:val="0"/>
      <w:marRight w:val="0"/>
      <w:marTop w:val="0"/>
      <w:marBottom w:val="0"/>
      <w:divBdr>
        <w:top w:val="none" w:sz="0" w:space="0" w:color="auto"/>
        <w:left w:val="none" w:sz="0" w:space="0" w:color="auto"/>
        <w:bottom w:val="none" w:sz="0" w:space="0" w:color="auto"/>
        <w:right w:val="none" w:sz="0" w:space="0" w:color="auto"/>
      </w:divBdr>
    </w:div>
    <w:div w:id="183596562">
      <w:bodyDiv w:val="1"/>
      <w:marLeft w:val="0"/>
      <w:marRight w:val="0"/>
      <w:marTop w:val="0"/>
      <w:marBottom w:val="0"/>
      <w:divBdr>
        <w:top w:val="none" w:sz="0" w:space="0" w:color="auto"/>
        <w:left w:val="none" w:sz="0" w:space="0" w:color="auto"/>
        <w:bottom w:val="none" w:sz="0" w:space="0" w:color="auto"/>
        <w:right w:val="none" w:sz="0" w:space="0" w:color="auto"/>
      </w:divBdr>
    </w:div>
    <w:div w:id="185603031">
      <w:bodyDiv w:val="1"/>
      <w:marLeft w:val="0"/>
      <w:marRight w:val="0"/>
      <w:marTop w:val="0"/>
      <w:marBottom w:val="0"/>
      <w:divBdr>
        <w:top w:val="none" w:sz="0" w:space="0" w:color="auto"/>
        <w:left w:val="none" w:sz="0" w:space="0" w:color="auto"/>
        <w:bottom w:val="none" w:sz="0" w:space="0" w:color="auto"/>
        <w:right w:val="none" w:sz="0" w:space="0" w:color="auto"/>
      </w:divBdr>
    </w:div>
    <w:div w:id="190267596">
      <w:bodyDiv w:val="1"/>
      <w:marLeft w:val="0"/>
      <w:marRight w:val="0"/>
      <w:marTop w:val="0"/>
      <w:marBottom w:val="0"/>
      <w:divBdr>
        <w:top w:val="none" w:sz="0" w:space="0" w:color="auto"/>
        <w:left w:val="none" w:sz="0" w:space="0" w:color="auto"/>
        <w:bottom w:val="none" w:sz="0" w:space="0" w:color="auto"/>
        <w:right w:val="none" w:sz="0" w:space="0" w:color="auto"/>
      </w:divBdr>
    </w:div>
    <w:div w:id="190579598">
      <w:bodyDiv w:val="1"/>
      <w:marLeft w:val="0"/>
      <w:marRight w:val="0"/>
      <w:marTop w:val="0"/>
      <w:marBottom w:val="0"/>
      <w:divBdr>
        <w:top w:val="none" w:sz="0" w:space="0" w:color="auto"/>
        <w:left w:val="none" w:sz="0" w:space="0" w:color="auto"/>
        <w:bottom w:val="none" w:sz="0" w:space="0" w:color="auto"/>
        <w:right w:val="none" w:sz="0" w:space="0" w:color="auto"/>
      </w:divBdr>
    </w:div>
    <w:div w:id="191185771">
      <w:bodyDiv w:val="1"/>
      <w:marLeft w:val="0"/>
      <w:marRight w:val="0"/>
      <w:marTop w:val="0"/>
      <w:marBottom w:val="0"/>
      <w:divBdr>
        <w:top w:val="none" w:sz="0" w:space="0" w:color="auto"/>
        <w:left w:val="none" w:sz="0" w:space="0" w:color="auto"/>
        <w:bottom w:val="none" w:sz="0" w:space="0" w:color="auto"/>
        <w:right w:val="none" w:sz="0" w:space="0" w:color="auto"/>
      </w:divBdr>
    </w:div>
    <w:div w:id="192155862">
      <w:bodyDiv w:val="1"/>
      <w:marLeft w:val="0"/>
      <w:marRight w:val="0"/>
      <w:marTop w:val="0"/>
      <w:marBottom w:val="0"/>
      <w:divBdr>
        <w:top w:val="none" w:sz="0" w:space="0" w:color="auto"/>
        <w:left w:val="none" w:sz="0" w:space="0" w:color="auto"/>
        <w:bottom w:val="none" w:sz="0" w:space="0" w:color="auto"/>
        <w:right w:val="none" w:sz="0" w:space="0" w:color="auto"/>
      </w:divBdr>
    </w:div>
    <w:div w:id="196281048">
      <w:bodyDiv w:val="1"/>
      <w:marLeft w:val="0"/>
      <w:marRight w:val="0"/>
      <w:marTop w:val="0"/>
      <w:marBottom w:val="0"/>
      <w:divBdr>
        <w:top w:val="none" w:sz="0" w:space="0" w:color="auto"/>
        <w:left w:val="none" w:sz="0" w:space="0" w:color="auto"/>
        <w:bottom w:val="none" w:sz="0" w:space="0" w:color="auto"/>
        <w:right w:val="none" w:sz="0" w:space="0" w:color="auto"/>
      </w:divBdr>
    </w:div>
    <w:div w:id="198320321">
      <w:bodyDiv w:val="1"/>
      <w:marLeft w:val="0"/>
      <w:marRight w:val="0"/>
      <w:marTop w:val="0"/>
      <w:marBottom w:val="0"/>
      <w:divBdr>
        <w:top w:val="none" w:sz="0" w:space="0" w:color="auto"/>
        <w:left w:val="none" w:sz="0" w:space="0" w:color="auto"/>
        <w:bottom w:val="none" w:sz="0" w:space="0" w:color="auto"/>
        <w:right w:val="none" w:sz="0" w:space="0" w:color="auto"/>
      </w:divBdr>
    </w:div>
    <w:div w:id="199440287">
      <w:bodyDiv w:val="1"/>
      <w:marLeft w:val="0"/>
      <w:marRight w:val="0"/>
      <w:marTop w:val="0"/>
      <w:marBottom w:val="0"/>
      <w:divBdr>
        <w:top w:val="none" w:sz="0" w:space="0" w:color="auto"/>
        <w:left w:val="none" w:sz="0" w:space="0" w:color="auto"/>
        <w:bottom w:val="none" w:sz="0" w:space="0" w:color="auto"/>
        <w:right w:val="none" w:sz="0" w:space="0" w:color="auto"/>
      </w:divBdr>
    </w:div>
    <w:div w:id="201402850">
      <w:bodyDiv w:val="1"/>
      <w:marLeft w:val="0"/>
      <w:marRight w:val="0"/>
      <w:marTop w:val="0"/>
      <w:marBottom w:val="0"/>
      <w:divBdr>
        <w:top w:val="none" w:sz="0" w:space="0" w:color="auto"/>
        <w:left w:val="none" w:sz="0" w:space="0" w:color="auto"/>
        <w:bottom w:val="none" w:sz="0" w:space="0" w:color="auto"/>
        <w:right w:val="none" w:sz="0" w:space="0" w:color="auto"/>
      </w:divBdr>
    </w:div>
    <w:div w:id="202206755">
      <w:bodyDiv w:val="1"/>
      <w:marLeft w:val="0"/>
      <w:marRight w:val="0"/>
      <w:marTop w:val="0"/>
      <w:marBottom w:val="0"/>
      <w:divBdr>
        <w:top w:val="none" w:sz="0" w:space="0" w:color="auto"/>
        <w:left w:val="none" w:sz="0" w:space="0" w:color="auto"/>
        <w:bottom w:val="none" w:sz="0" w:space="0" w:color="auto"/>
        <w:right w:val="none" w:sz="0" w:space="0" w:color="auto"/>
      </w:divBdr>
    </w:div>
    <w:div w:id="202793665">
      <w:bodyDiv w:val="1"/>
      <w:marLeft w:val="0"/>
      <w:marRight w:val="0"/>
      <w:marTop w:val="0"/>
      <w:marBottom w:val="0"/>
      <w:divBdr>
        <w:top w:val="none" w:sz="0" w:space="0" w:color="auto"/>
        <w:left w:val="none" w:sz="0" w:space="0" w:color="auto"/>
        <w:bottom w:val="none" w:sz="0" w:space="0" w:color="auto"/>
        <w:right w:val="none" w:sz="0" w:space="0" w:color="auto"/>
      </w:divBdr>
    </w:div>
    <w:div w:id="203910779">
      <w:bodyDiv w:val="1"/>
      <w:marLeft w:val="0"/>
      <w:marRight w:val="0"/>
      <w:marTop w:val="0"/>
      <w:marBottom w:val="0"/>
      <w:divBdr>
        <w:top w:val="none" w:sz="0" w:space="0" w:color="auto"/>
        <w:left w:val="none" w:sz="0" w:space="0" w:color="auto"/>
        <w:bottom w:val="none" w:sz="0" w:space="0" w:color="auto"/>
        <w:right w:val="none" w:sz="0" w:space="0" w:color="auto"/>
      </w:divBdr>
    </w:div>
    <w:div w:id="203952107">
      <w:bodyDiv w:val="1"/>
      <w:marLeft w:val="0"/>
      <w:marRight w:val="0"/>
      <w:marTop w:val="0"/>
      <w:marBottom w:val="0"/>
      <w:divBdr>
        <w:top w:val="none" w:sz="0" w:space="0" w:color="auto"/>
        <w:left w:val="none" w:sz="0" w:space="0" w:color="auto"/>
        <w:bottom w:val="none" w:sz="0" w:space="0" w:color="auto"/>
        <w:right w:val="none" w:sz="0" w:space="0" w:color="auto"/>
      </w:divBdr>
    </w:div>
    <w:div w:id="204367011">
      <w:bodyDiv w:val="1"/>
      <w:marLeft w:val="0"/>
      <w:marRight w:val="0"/>
      <w:marTop w:val="0"/>
      <w:marBottom w:val="0"/>
      <w:divBdr>
        <w:top w:val="none" w:sz="0" w:space="0" w:color="auto"/>
        <w:left w:val="none" w:sz="0" w:space="0" w:color="auto"/>
        <w:bottom w:val="none" w:sz="0" w:space="0" w:color="auto"/>
        <w:right w:val="none" w:sz="0" w:space="0" w:color="auto"/>
      </w:divBdr>
    </w:div>
    <w:div w:id="210775405">
      <w:bodyDiv w:val="1"/>
      <w:marLeft w:val="0"/>
      <w:marRight w:val="0"/>
      <w:marTop w:val="0"/>
      <w:marBottom w:val="0"/>
      <w:divBdr>
        <w:top w:val="none" w:sz="0" w:space="0" w:color="auto"/>
        <w:left w:val="none" w:sz="0" w:space="0" w:color="auto"/>
        <w:bottom w:val="none" w:sz="0" w:space="0" w:color="auto"/>
        <w:right w:val="none" w:sz="0" w:space="0" w:color="auto"/>
      </w:divBdr>
    </w:div>
    <w:div w:id="213857832">
      <w:bodyDiv w:val="1"/>
      <w:marLeft w:val="0"/>
      <w:marRight w:val="0"/>
      <w:marTop w:val="0"/>
      <w:marBottom w:val="0"/>
      <w:divBdr>
        <w:top w:val="none" w:sz="0" w:space="0" w:color="auto"/>
        <w:left w:val="none" w:sz="0" w:space="0" w:color="auto"/>
        <w:bottom w:val="none" w:sz="0" w:space="0" w:color="auto"/>
        <w:right w:val="none" w:sz="0" w:space="0" w:color="auto"/>
      </w:divBdr>
    </w:div>
    <w:div w:id="215239116">
      <w:bodyDiv w:val="1"/>
      <w:marLeft w:val="0"/>
      <w:marRight w:val="0"/>
      <w:marTop w:val="0"/>
      <w:marBottom w:val="0"/>
      <w:divBdr>
        <w:top w:val="none" w:sz="0" w:space="0" w:color="auto"/>
        <w:left w:val="none" w:sz="0" w:space="0" w:color="auto"/>
        <w:bottom w:val="none" w:sz="0" w:space="0" w:color="auto"/>
        <w:right w:val="none" w:sz="0" w:space="0" w:color="auto"/>
      </w:divBdr>
    </w:div>
    <w:div w:id="215313655">
      <w:bodyDiv w:val="1"/>
      <w:marLeft w:val="0"/>
      <w:marRight w:val="0"/>
      <w:marTop w:val="0"/>
      <w:marBottom w:val="0"/>
      <w:divBdr>
        <w:top w:val="none" w:sz="0" w:space="0" w:color="auto"/>
        <w:left w:val="none" w:sz="0" w:space="0" w:color="auto"/>
        <w:bottom w:val="none" w:sz="0" w:space="0" w:color="auto"/>
        <w:right w:val="none" w:sz="0" w:space="0" w:color="auto"/>
      </w:divBdr>
    </w:div>
    <w:div w:id="215430446">
      <w:bodyDiv w:val="1"/>
      <w:marLeft w:val="0"/>
      <w:marRight w:val="0"/>
      <w:marTop w:val="0"/>
      <w:marBottom w:val="0"/>
      <w:divBdr>
        <w:top w:val="none" w:sz="0" w:space="0" w:color="auto"/>
        <w:left w:val="none" w:sz="0" w:space="0" w:color="auto"/>
        <w:bottom w:val="none" w:sz="0" w:space="0" w:color="auto"/>
        <w:right w:val="none" w:sz="0" w:space="0" w:color="auto"/>
      </w:divBdr>
    </w:div>
    <w:div w:id="215551916">
      <w:bodyDiv w:val="1"/>
      <w:marLeft w:val="0"/>
      <w:marRight w:val="0"/>
      <w:marTop w:val="0"/>
      <w:marBottom w:val="0"/>
      <w:divBdr>
        <w:top w:val="none" w:sz="0" w:space="0" w:color="auto"/>
        <w:left w:val="none" w:sz="0" w:space="0" w:color="auto"/>
        <w:bottom w:val="none" w:sz="0" w:space="0" w:color="auto"/>
        <w:right w:val="none" w:sz="0" w:space="0" w:color="auto"/>
      </w:divBdr>
    </w:div>
    <w:div w:id="216555690">
      <w:bodyDiv w:val="1"/>
      <w:marLeft w:val="0"/>
      <w:marRight w:val="0"/>
      <w:marTop w:val="0"/>
      <w:marBottom w:val="0"/>
      <w:divBdr>
        <w:top w:val="none" w:sz="0" w:space="0" w:color="auto"/>
        <w:left w:val="none" w:sz="0" w:space="0" w:color="auto"/>
        <w:bottom w:val="none" w:sz="0" w:space="0" w:color="auto"/>
        <w:right w:val="none" w:sz="0" w:space="0" w:color="auto"/>
      </w:divBdr>
    </w:div>
    <w:div w:id="220140306">
      <w:bodyDiv w:val="1"/>
      <w:marLeft w:val="0"/>
      <w:marRight w:val="0"/>
      <w:marTop w:val="0"/>
      <w:marBottom w:val="0"/>
      <w:divBdr>
        <w:top w:val="none" w:sz="0" w:space="0" w:color="auto"/>
        <w:left w:val="none" w:sz="0" w:space="0" w:color="auto"/>
        <w:bottom w:val="none" w:sz="0" w:space="0" w:color="auto"/>
        <w:right w:val="none" w:sz="0" w:space="0" w:color="auto"/>
      </w:divBdr>
    </w:div>
    <w:div w:id="220796812">
      <w:bodyDiv w:val="1"/>
      <w:marLeft w:val="0"/>
      <w:marRight w:val="0"/>
      <w:marTop w:val="0"/>
      <w:marBottom w:val="0"/>
      <w:divBdr>
        <w:top w:val="none" w:sz="0" w:space="0" w:color="auto"/>
        <w:left w:val="none" w:sz="0" w:space="0" w:color="auto"/>
        <w:bottom w:val="none" w:sz="0" w:space="0" w:color="auto"/>
        <w:right w:val="none" w:sz="0" w:space="0" w:color="auto"/>
      </w:divBdr>
    </w:div>
    <w:div w:id="222837279">
      <w:bodyDiv w:val="1"/>
      <w:marLeft w:val="0"/>
      <w:marRight w:val="0"/>
      <w:marTop w:val="0"/>
      <w:marBottom w:val="0"/>
      <w:divBdr>
        <w:top w:val="none" w:sz="0" w:space="0" w:color="auto"/>
        <w:left w:val="none" w:sz="0" w:space="0" w:color="auto"/>
        <w:bottom w:val="none" w:sz="0" w:space="0" w:color="auto"/>
        <w:right w:val="none" w:sz="0" w:space="0" w:color="auto"/>
      </w:divBdr>
    </w:div>
    <w:div w:id="224682950">
      <w:bodyDiv w:val="1"/>
      <w:marLeft w:val="0"/>
      <w:marRight w:val="0"/>
      <w:marTop w:val="0"/>
      <w:marBottom w:val="0"/>
      <w:divBdr>
        <w:top w:val="none" w:sz="0" w:space="0" w:color="auto"/>
        <w:left w:val="none" w:sz="0" w:space="0" w:color="auto"/>
        <w:bottom w:val="none" w:sz="0" w:space="0" w:color="auto"/>
        <w:right w:val="none" w:sz="0" w:space="0" w:color="auto"/>
      </w:divBdr>
    </w:div>
    <w:div w:id="226691690">
      <w:bodyDiv w:val="1"/>
      <w:marLeft w:val="0"/>
      <w:marRight w:val="0"/>
      <w:marTop w:val="0"/>
      <w:marBottom w:val="0"/>
      <w:divBdr>
        <w:top w:val="none" w:sz="0" w:space="0" w:color="auto"/>
        <w:left w:val="none" w:sz="0" w:space="0" w:color="auto"/>
        <w:bottom w:val="none" w:sz="0" w:space="0" w:color="auto"/>
        <w:right w:val="none" w:sz="0" w:space="0" w:color="auto"/>
      </w:divBdr>
    </w:div>
    <w:div w:id="227234307">
      <w:bodyDiv w:val="1"/>
      <w:marLeft w:val="0"/>
      <w:marRight w:val="0"/>
      <w:marTop w:val="0"/>
      <w:marBottom w:val="0"/>
      <w:divBdr>
        <w:top w:val="none" w:sz="0" w:space="0" w:color="auto"/>
        <w:left w:val="none" w:sz="0" w:space="0" w:color="auto"/>
        <w:bottom w:val="none" w:sz="0" w:space="0" w:color="auto"/>
        <w:right w:val="none" w:sz="0" w:space="0" w:color="auto"/>
      </w:divBdr>
    </w:div>
    <w:div w:id="228804085">
      <w:bodyDiv w:val="1"/>
      <w:marLeft w:val="0"/>
      <w:marRight w:val="0"/>
      <w:marTop w:val="0"/>
      <w:marBottom w:val="0"/>
      <w:divBdr>
        <w:top w:val="none" w:sz="0" w:space="0" w:color="auto"/>
        <w:left w:val="none" w:sz="0" w:space="0" w:color="auto"/>
        <w:bottom w:val="none" w:sz="0" w:space="0" w:color="auto"/>
        <w:right w:val="none" w:sz="0" w:space="0" w:color="auto"/>
      </w:divBdr>
    </w:div>
    <w:div w:id="230232573">
      <w:bodyDiv w:val="1"/>
      <w:marLeft w:val="0"/>
      <w:marRight w:val="0"/>
      <w:marTop w:val="0"/>
      <w:marBottom w:val="0"/>
      <w:divBdr>
        <w:top w:val="none" w:sz="0" w:space="0" w:color="auto"/>
        <w:left w:val="none" w:sz="0" w:space="0" w:color="auto"/>
        <w:bottom w:val="none" w:sz="0" w:space="0" w:color="auto"/>
        <w:right w:val="none" w:sz="0" w:space="0" w:color="auto"/>
      </w:divBdr>
    </w:div>
    <w:div w:id="231932503">
      <w:bodyDiv w:val="1"/>
      <w:marLeft w:val="0"/>
      <w:marRight w:val="0"/>
      <w:marTop w:val="0"/>
      <w:marBottom w:val="0"/>
      <w:divBdr>
        <w:top w:val="none" w:sz="0" w:space="0" w:color="auto"/>
        <w:left w:val="none" w:sz="0" w:space="0" w:color="auto"/>
        <w:bottom w:val="none" w:sz="0" w:space="0" w:color="auto"/>
        <w:right w:val="none" w:sz="0" w:space="0" w:color="auto"/>
      </w:divBdr>
    </w:div>
    <w:div w:id="232010672">
      <w:bodyDiv w:val="1"/>
      <w:marLeft w:val="0"/>
      <w:marRight w:val="0"/>
      <w:marTop w:val="0"/>
      <w:marBottom w:val="0"/>
      <w:divBdr>
        <w:top w:val="none" w:sz="0" w:space="0" w:color="auto"/>
        <w:left w:val="none" w:sz="0" w:space="0" w:color="auto"/>
        <w:bottom w:val="none" w:sz="0" w:space="0" w:color="auto"/>
        <w:right w:val="none" w:sz="0" w:space="0" w:color="auto"/>
      </w:divBdr>
    </w:div>
    <w:div w:id="232592573">
      <w:bodyDiv w:val="1"/>
      <w:marLeft w:val="0"/>
      <w:marRight w:val="0"/>
      <w:marTop w:val="0"/>
      <w:marBottom w:val="0"/>
      <w:divBdr>
        <w:top w:val="none" w:sz="0" w:space="0" w:color="auto"/>
        <w:left w:val="none" w:sz="0" w:space="0" w:color="auto"/>
        <w:bottom w:val="none" w:sz="0" w:space="0" w:color="auto"/>
        <w:right w:val="none" w:sz="0" w:space="0" w:color="auto"/>
      </w:divBdr>
    </w:div>
    <w:div w:id="233511556">
      <w:bodyDiv w:val="1"/>
      <w:marLeft w:val="0"/>
      <w:marRight w:val="0"/>
      <w:marTop w:val="0"/>
      <w:marBottom w:val="0"/>
      <w:divBdr>
        <w:top w:val="none" w:sz="0" w:space="0" w:color="auto"/>
        <w:left w:val="none" w:sz="0" w:space="0" w:color="auto"/>
        <w:bottom w:val="none" w:sz="0" w:space="0" w:color="auto"/>
        <w:right w:val="none" w:sz="0" w:space="0" w:color="auto"/>
      </w:divBdr>
    </w:div>
    <w:div w:id="233705102">
      <w:bodyDiv w:val="1"/>
      <w:marLeft w:val="0"/>
      <w:marRight w:val="0"/>
      <w:marTop w:val="0"/>
      <w:marBottom w:val="0"/>
      <w:divBdr>
        <w:top w:val="none" w:sz="0" w:space="0" w:color="auto"/>
        <w:left w:val="none" w:sz="0" w:space="0" w:color="auto"/>
        <w:bottom w:val="none" w:sz="0" w:space="0" w:color="auto"/>
        <w:right w:val="none" w:sz="0" w:space="0" w:color="auto"/>
      </w:divBdr>
    </w:div>
    <w:div w:id="238562824">
      <w:bodyDiv w:val="1"/>
      <w:marLeft w:val="0"/>
      <w:marRight w:val="0"/>
      <w:marTop w:val="0"/>
      <w:marBottom w:val="0"/>
      <w:divBdr>
        <w:top w:val="none" w:sz="0" w:space="0" w:color="auto"/>
        <w:left w:val="none" w:sz="0" w:space="0" w:color="auto"/>
        <w:bottom w:val="none" w:sz="0" w:space="0" w:color="auto"/>
        <w:right w:val="none" w:sz="0" w:space="0" w:color="auto"/>
      </w:divBdr>
    </w:div>
    <w:div w:id="238830431">
      <w:bodyDiv w:val="1"/>
      <w:marLeft w:val="0"/>
      <w:marRight w:val="0"/>
      <w:marTop w:val="0"/>
      <w:marBottom w:val="0"/>
      <w:divBdr>
        <w:top w:val="none" w:sz="0" w:space="0" w:color="auto"/>
        <w:left w:val="none" w:sz="0" w:space="0" w:color="auto"/>
        <w:bottom w:val="none" w:sz="0" w:space="0" w:color="auto"/>
        <w:right w:val="none" w:sz="0" w:space="0" w:color="auto"/>
      </w:divBdr>
    </w:div>
    <w:div w:id="239216896">
      <w:bodyDiv w:val="1"/>
      <w:marLeft w:val="0"/>
      <w:marRight w:val="0"/>
      <w:marTop w:val="0"/>
      <w:marBottom w:val="0"/>
      <w:divBdr>
        <w:top w:val="none" w:sz="0" w:space="0" w:color="auto"/>
        <w:left w:val="none" w:sz="0" w:space="0" w:color="auto"/>
        <w:bottom w:val="none" w:sz="0" w:space="0" w:color="auto"/>
        <w:right w:val="none" w:sz="0" w:space="0" w:color="auto"/>
      </w:divBdr>
    </w:div>
    <w:div w:id="241985052">
      <w:bodyDiv w:val="1"/>
      <w:marLeft w:val="0"/>
      <w:marRight w:val="0"/>
      <w:marTop w:val="0"/>
      <w:marBottom w:val="0"/>
      <w:divBdr>
        <w:top w:val="none" w:sz="0" w:space="0" w:color="auto"/>
        <w:left w:val="none" w:sz="0" w:space="0" w:color="auto"/>
        <w:bottom w:val="none" w:sz="0" w:space="0" w:color="auto"/>
        <w:right w:val="none" w:sz="0" w:space="0" w:color="auto"/>
      </w:divBdr>
    </w:div>
    <w:div w:id="242378737">
      <w:bodyDiv w:val="1"/>
      <w:marLeft w:val="0"/>
      <w:marRight w:val="0"/>
      <w:marTop w:val="0"/>
      <w:marBottom w:val="0"/>
      <w:divBdr>
        <w:top w:val="none" w:sz="0" w:space="0" w:color="auto"/>
        <w:left w:val="none" w:sz="0" w:space="0" w:color="auto"/>
        <w:bottom w:val="none" w:sz="0" w:space="0" w:color="auto"/>
        <w:right w:val="none" w:sz="0" w:space="0" w:color="auto"/>
      </w:divBdr>
    </w:div>
    <w:div w:id="243808355">
      <w:bodyDiv w:val="1"/>
      <w:marLeft w:val="0"/>
      <w:marRight w:val="0"/>
      <w:marTop w:val="0"/>
      <w:marBottom w:val="0"/>
      <w:divBdr>
        <w:top w:val="none" w:sz="0" w:space="0" w:color="auto"/>
        <w:left w:val="none" w:sz="0" w:space="0" w:color="auto"/>
        <w:bottom w:val="none" w:sz="0" w:space="0" w:color="auto"/>
        <w:right w:val="none" w:sz="0" w:space="0" w:color="auto"/>
      </w:divBdr>
    </w:div>
    <w:div w:id="244540002">
      <w:bodyDiv w:val="1"/>
      <w:marLeft w:val="0"/>
      <w:marRight w:val="0"/>
      <w:marTop w:val="0"/>
      <w:marBottom w:val="0"/>
      <w:divBdr>
        <w:top w:val="none" w:sz="0" w:space="0" w:color="auto"/>
        <w:left w:val="none" w:sz="0" w:space="0" w:color="auto"/>
        <w:bottom w:val="none" w:sz="0" w:space="0" w:color="auto"/>
        <w:right w:val="none" w:sz="0" w:space="0" w:color="auto"/>
      </w:divBdr>
    </w:div>
    <w:div w:id="246236126">
      <w:bodyDiv w:val="1"/>
      <w:marLeft w:val="0"/>
      <w:marRight w:val="0"/>
      <w:marTop w:val="0"/>
      <w:marBottom w:val="0"/>
      <w:divBdr>
        <w:top w:val="none" w:sz="0" w:space="0" w:color="auto"/>
        <w:left w:val="none" w:sz="0" w:space="0" w:color="auto"/>
        <w:bottom w:val="none" w:sz="0" w:space="0" w:color="auto"/>
        <w:right w:val="none" w:sz="0" w:space="0" w:color="auto"/>
      </w:divBdr>
    </w:div>
    <w:div w:id="249697770">
      <w:bodyDiv w:val="1"/>
      <w:marLeft w:val="0"/>
      <w:marRight w:val="0"/>
      <w:marTop w:val="0"/>
      <w:marBottom w:val="0"/>
      <w:divBdr>
        <w:top w:val="none" w:sz="0" w:space="0" w:color="auto"/>
        <w:left w:val="none" w:sz="0" w:space="0" w:color="auto"/>
        <w:bottom w:val="none" w:sz="0" w:space="0" w:color="auto"/>
        <w:right w:val="none" w:sz="0" w:space="0" w:color="auto"/>
      </w:divBdr>
    </w:div>
    <w:div w:id="257831681">
      <w:bodyDiv w:val="1"/>
      <w:marLeft w:val="0"/>
      <w:marRight w:val="0"/>
      <w:marTop w:val="0"/>
      <w:marBottom w:val="0"/>
      <w:divBdr>
        <w:top w:val="none" w:sz="0" w:space="0" w:color="auto"/>
        <w:left w:val="none" w:sz="0" w:space="0" w:color="auto"/>
        <w:bottom w:val="none" w:sz="0" w:space="0" w:color="auto"/>
        <w:right w:val="none" w:sz="0" w:space="0" w:color="auto"/>
      </w:divBdr>
    </w:div>
    <w:div w:id="259917373">
      <w:bodyDiv w:val="1"/>
      <w:marLeft w:val="0"/>
      <w:marRight w:val="0"/>
      <w:marTop w:val="0"/>
      <w:marBottom w:val="0"/>
      <w:divBdr>
        <w:top w:val="none" w:sz="0" w:space="0" w:color="auto"/>
        <w:left w:val="none" w:sz="0" w:space="0" w:color="auto"/>
        <w:bottom w:val="none" w:sz="0" w:space="0" w:color="auto"/>
        <w:right w:val="none" w:sz="0" w:space="0" w:color="auto"/>
      </w:divBdr>
    </w:div>
    <w:div w:id="260185608">
      <w:bodyDiv w:val="1"/>
      <w:marLeft w:val="0"/>
      <w:marRight w:val="0"/>
      <w:marTop w:val="0"/>
      <w:marBottom w:val="0"/>
      <w:divBdr>
        <w:top w:val="none" w:sz="0" w:space="0" w:color="auto"/>
        <w:left w:val="none" w:sz="0" w:space="0" w:color="auto"/>
        <w:bottom w:val="none" w:sz="0" w:space="0" w:color="auto"/>
        <w:right w:val="none" w:sz="0" w:space="0" w:color="auto"/>
      </w:divBdr>
    </w:div>
    <w:div w:id="260571298">
      <w:bodyDiv w:val="1"/>
      <w:marLeft w:val="0"/>
      <w:marRight w:val="0"/>
      <w:marTop w:val="0"/>
      <w:marBottom w:val="0"/>
      <w:divBdr>
        <w:top w:val="none" w:sz="0" w:space="0" w:color="auto"/>
        <w:left w:val="none" w:sz="0" w:space="0" w:color="auto"/>
        <w:bottom w:val="none" w:sz="0" w:space="0" w:color="auto"/>
        <w:right w:val="none" w:sz="0" w:space="0" w:color="auto"/>
      </w:divBdr>
    </w:div>
    <w:div w:id="260992607">
      <w:bodyDiv w:val="1"/>
      <w:marLeft w:val="0"/>
      <w:marRight w:val="0"/>
      <w:marTop w:val="0"/>
      <w:marBottom w:val="0"/>
      <w:divBdr>
        <w:top w:val="none" w:sz="0" w:space="0" w:color="auto"/>
        <w:left w:val="none" w:sz="0" w:space="0" w:color="auto"/>
        <w:bottom w:val="none" w:sz="0" w:space="0" w:color="auto"/>
        <w:right w:val="none" w:sz="0" w:space="0" w:color="auto"/>
      </w:divBdr>
    </w:div>
    <w:div w:id="261110516">
      <w:bodyDiv w:val="1"/>
      <w:marLeft w:val="0"/>
      <w:marRight w:val="0"/>
      <w:marTop w:val="0"/>
      <w:marBottom w:val="0"/>
      <w:divBdr>
        <w:top w:val="none" w:sz="0" w:space="0" w:color="auto"/>
        <w:left w:val="none" w:sz="0" w:space="0" w:color="auto"/>
        <w:bottom w:val="none" w:sz="0" w:space="0" w:color="auto"/>
        <w:right w:val="none" w:sz="0" w:space="0" w:color="auto"/>
      </w:divBdr>
    </w:div>
    <w:div w:id="261577109">
      <w:bodyDiv w:val="1"/>
      <w:marLeft w:val="0"/>
      <w:marRight w:val="0"/>
      <w:marTop w:val="0"/>
      <w:marBottom w:val="0"/>
      <w:divBdr>
        <w:top w:val="none" w:sz="0" w:space="0" w:color="auto"/>
        <w:left w:val="none" w:sz="0" w:space="0" w:color="auto"/>
        <w:bottom w:val="none" w:sz="0" w:space="0" w:color="auto"/>
        <w:right w:val="none" w:sz="0" w:space="0" w:color="auto"/>
      </w:divBdr>
    </w:div>
    <w:div w:id="262497693">
      <w:bodyDiv w:val="1"/>
      <w:marLeft w:val="0"/>
      <w:marRight w:val="0"/>
      <w:marTop w:val="0"/>
      <w:marBottom w:val="0"/>
      <w:divBdr>
        <w:top w:val="none" w:sz="0" w:space="0" w:color="auto"/>
        <w:left w:val="none" w:sz="0" w:space="0" w:color="auto"/>
        <w:bottom w:val="none" w:sz="0" w:space="0" w:color="auto"/>
        <w:right w:val="none" w:sz="0" w:space="0" w:color="auto"/>
      </w:divBdr>
    </w:div>
    <w:div w:id="264919706">
      <w:bodyDiv w:val="1"/>
      <w:marLeft w:val="0"/>
      <w:marRight w:val="0"/>
      <w:marTop w:val="0"/>
      <w:marBottom w:val="0"/>
      <w:divBdr>
        <w:top w:val="none" w:sz="0" w:space="0" w:color="auto"/>
        <w:left w:val="none" w:sz="0" w:space="0" w:color="auto"/>
        <w:bottom w:val="none" w:sz="0" w:space="0" w:color="auto"/>
        <w:right w:val="none" w:sz="0" w:space="0" w:color="auto"/>
      </w:divBdr>
    </w:div>
    <w:div w:id="265160319">
      <w:bodyDiv w:val="1"/>
      <w:marLeft w:val="0"/>
      <w:marRight w:val="0"/>
      <w:marTop w:val="0"/>
      <w:marBottom w:val="0"/>
      <w:divBdr>
        <w:top w:val="none" w:sz="0" w:space="0" w:color="auto"/>
        <w:left w:val="none" w:sz="0" w:space="0" w:color="auto"/>
        <w:bottom w:val="none" w:sz="0" w:space="0" w:color="auto"/>
        <w:right w:val="none" w:sz="0" w:space="0" w:color="auto"/>
      </w:divBdr>
    </w:div>
    <w:div w:id="267549047">
      <w:bodyDiv w:val="1"/>
      <w:marLeft w:val="0"/>
      <w:marRight w:val="0"/>
      <w:marTop w:val="0"/>
      <w:marBottom w:val="0"/>
      <w:divBdr>
        <w:top w:val="none" w:sz="0" w:space="0" w:color="auto"/>
        <w:left w:val="none" w:sz="0" w:space="0" w:color="auto"/>
        <w:bottom w:val="none" w:sz="0" w:space="0" w:color="auto"/>
        <w:right w:val="none" w:sz="0" w:space="0" w:color="auto"/>
      </w:divBdr>
    </w:div>
    <w:div w:id="268124261">
      <w:bodyDiv w:val="1"/>
      <w:marLeft w:val="0"/>
      <w:marRight w:val="0"/>
      <w:marTop w:val="0"/>
      <w:marBottom w:val="0"/>
      <w:divBdr>
        <w:top w:val="none" w:sz="0" w:space="0" w:color="auto"/>
        <w:left w:val="none" w:sz="0" w:space="0" w:color="auto"/>
        <w:bottom w:val="none" w:sz="0" w:space="0" w:color="auto"/>
        <w:right w:val="none" w:sz="0" w:space="0" w:color="auto"/>
      </w:divBdr>
    </w:div>
    <w:div w:id="270479235">
      <w:bodyDiv w:val="1"/>
      <w:marLeft w:val="0"/>
      <w:marRight w:val="0"/>
      <w:marTop w:val="0"/>
      <w:marBottom w:val="0"/>
      <w:divBdr>
        <w:top w:val="none" w:sz="0" w:space="0" w:color="auto"/>
        <w:left w:val="none" w:sz="0" w:space="0" w:color="auto"/>
        <w:bottom w:val="none" w:sz="0" w:space="0" w:color="auto"/>
        <w:right w:val="none" w:sz="0" w:space="0" w:color="auto"/>
      </w:divBdr>
    </w:div>
    <w:div w:id="271207238">
      <w:bodyDiv w:val="1"/>
      <w:marLeft w:val="0"/>
      <w:marRight w:val="0"/>
      <w:marTop w:val="0"/>
      <w:marBottom w:val="0"/>
      <w:divBdr>
        <w:top w:val="none" w:sz="0" w:space="0" w:color="auto"/>
        <w:left w:val="none" w:sz="0" w:space="0" w:color="auto"/>
        <w:bottom w:val="none" w:sz="0" w:space="0" w:color="auto"/>
        <w:right w:val="none" w:sz="0" w:space="0" w:color="auto"/>
      </w:divBdr>
    </w:div>
    <w:div w:id="272328430">
      <w:bodyDiv w:val="1"/>
      <w:marLeft w:val="0"/>
      <w:marRight w:val="0"/>
      <w:marTop w:val="0"/>
      <w:marBottom w:val="0"/>
      <w:divBdr>
        <w:top w:val="none" w:sz="0" w:space="0" w:color="auto"/>
        <w:left w:val="none" w:sz="0" w:space="0" w:color="auto"/>
        <w:bottom w:val="none" w:sz="0" w:space="0" w:color="auto"/>
        <w:right w:val="none" w:sz="0" w:space="0" w:color="auto"/>
      </w:divBdr>
    </w:div>
    <w:div w:id="277765393">
      <w:bodyDiv w:val="1"/>
      <w:marLeft w:val="0"/>
      <w:marRight w:val="0"/>
      <w:marTop w:val="0"/>
      <w:marBottom w:val="0"/>
      <w:divBdr>
        <w:top w:val="none" w:sz="0" w:space="0" w:color="auto"/>
        <w:left w:val="none" w:sz="0" w:space="0" w:color="auto"/>
        <w:bottom w:val="none" w:sz="0" w:space="0" w:color="auto"/>
        <w:right w:val="none" w:sz="0" w:space="0" w:color="auto"/>
      </w:divBdr>
    </w:div>
    <w:div w:id="278486972">
      <w:bodyDiv w:val="1"/>
      <w:marLeft w:val="0"/>
      <w:marRight w:val="0"/>
      <w:marTop w:val="0"/>
      <w:marBottom w:val="0"/>
      <w:divBdr>
        <w:top w:val="none" w:sz="0" w:space="0" w:color="auto"/>
        <w:left w:val="none" w:sz="0" w:space="0" w:color="auto"/>
        <w:bottom w:val="none" w:sz="0" w:space="0" w:color="auto"/>
        <w:right w:val="none" w:sz="0" w:space="0" w:color="auto"/>
      </w:divBdr>
    </w:div>
    <w:div w:id="278610341">
      <w:bodyDiv w:val="1"/>
      <w:marLeft w:val="0"/>
      <w:marRight w:val="0"/>
      <w:marTop w:val="0"/>
      <w:marBottom w:val="0"/>
      <w:divBdr>
        <w:top w:val="none" w:sz="0" w:space="0" w:color="auto"/>
        <w:left w:val="none" w:sz="0" w:space="0" w:color="auto"/>
        <w:bottom w:val="none" w:sz="0" w:space="0" w:color="auto"/>
        <w:right w:val="none" w:sz="0" w:space="0" w:color="auto"/>
      </w:divBdr>
    </w:div>
    <w:div w:id="279802292">
      <w:bodyDiv w:val="1"/>
      <w:marLeft w:val="0"/>
      <w:marRight w:val="0"/>
      <w:marTop w:val="0"/>
      <w:marBottom w:val="0"/>
      <w:divBdr>
        <w:top w:val="none" w:sz="0" w:space="0" w:color="auto"/>
        <w:left w:val="none" w:sz="0" w:space="0" w:color="auto"/>
        <w:bottom w:val="none" w:sz="0" w:space="0" w:color="auto"/>
        <w:right w:val="none" w:sz="0" w:space="0" w:color="auto"/>
      </w:divBdr>
    </w:div>
    <w:div w:id="279849373">
      <w:bodyDiv w:val="1"/>
      <w:marLeft w:val="0"/>
      <w:marRight w:val="0"/>
      <w:marTop w:val="0"/>
      <w:marBottom w:val="0"/>
      <w:divBdr>
        <w:top w:val="none" w:sz="0" w:space="0" w:color="auto"/>
        <w:left w:val="none" w:sz="0" w:space="0" w:color="auto"/>
        <w:bottom w:val="none" w:sz="0" w:space="0" w:color="auto"/>
        <w:right w:val="none" w:sz="0" w:space="0" w:color="auto"/>
      </w:divBdr>
    </w:div>
    <w:div w:id="281689008">
      <w:bodyDiv w:val="1"/>
      <w:marLeft w:val="0"/>
      <w:marRight w:val="0"/>
      <w:marTop w:val="0"/>
      <w:marBottom w:val="0"/>
      <w:divBdr>
        <w:top w:val="none" w:sz="0" w:space="0" w:color="auto"/>
        <w:left w:val="none" w:sz="0" w:space="0" w:color="auto"/>
        <w:bottom w:val="none" w:sz="0" w:space="0" w:color="auto"/>
        <w:right w:val="none" w:sz="0" w:space="0" w:color="auto"/>
      </w:divBdr>
    </w:div>
    <w:div w:id="284120038">
      <w:bodyDiv w:val="1"/>
      <w:marLeft w:val="0"/>
      <w:marRight w:val="0"/>
      <w:marTop w:val="0"/>
      <w:marBottom w:val="0"/>
      <w:divBdr>
        <w:top w:val="none" w:sz="0" w:space="0" w:color="auto"/>
        <w:left w:val="none" w:sz="0" w:space="0" w:color="auto"/>
        <w:bottom w:val="none" w:sz="0" w:space="0" w:color="auto"/>
        <w:right w:val="none" w:sz="0" w:space="0" w:color="auto"/>
      </w:divBdr>
    </w:div>
    <w:div w:id="286131544">
      <w:bodyDiv w:val="1"/>
      <w:marLeft w:val="0"/>
      <w:marRight w:val="0"/>
      <w:marTop w:val="0"/>
      <w:marBottom w:val="0"/>
      <w:divBdr>
        <w:top w:val="none" w:sz="0" w:space="0" w:color="auto"/>
        <w:left w:val="none" w:sz="0" w:space="0" w:color="auto"/>
        <w:bottom w:val="none" w:sz="0" w:space="0" w:color="auto"/>
        <w:right w:val="none" w:sz="0" w:space="0" w:color="auto"/>
      </w:divBdr>
    </w:div>
    <w:div w:id="287013419">
      <w:bodyDiv w:val="1"/>
      <w:marLeft w:val="0"/>
      <w:marRight w:val="0"/>
      <w:marTop w:val="0"/>
      <w:marBottom w:val="0"/>
      <w:divBdr>
        <w:top w:val="none" w:sz="0" w:space="0" w:color="auto"/>
        <w:left w:val="none" w:sz="0" w:space="0" w:color="auto"/>
        <w:bottom w:val="none" w:sz="0" w:space="0" w:color="auto"/>
        <w:right w:val="none" w:sz="0" w:space="0" w:color="auto"/>
      </w:divBdr>
    </w:div>
    <w:div w:id="287860551">
      <w:bodyDiv w:val="1"/>
      <w:marLeft w:val="0"/>
      <w:marRight w:val="0"/>
      <w:marTop w:val="0"/>
      <w:marBottom w:val="0"/>
      <w:divBdr>
        <w:top w:val="none" w:sz="0" w:space="0" w:color="auto"/>
        <w:left w:val="none" w:sz="0" w:space="0" w:color="auto"/>
        <w:bottom w:val="none" w:sz="0" w:space="0" w:color="auto"/>
        <w:right w:val="none" w:sz="0" w:space="0" w:color="auto"/>
      </w:divBdr>
    </w:div>
    <w:div w:id="290208120">
      <w:bodyDiv w:val="1"/>
      <w:marLeft w:val="0"/>
      <w:marRight w:val="0"/>
      <w:marTop w:val="0"/>
      <w:marBottom w:val="0"/>
      <w:divBdr>
        <w:top w:val="none" w:sz="0" w:space="0" w:color="auto"/>
        <w:left w:val="none" w:sz="0" w:space="0" w:color="auto"/>
        <w:bottom w:val="none" w:sz="0" w:space="0" w:color="auto"/>
        <w:right w:val="none" w:sz="0" w:space="0" w:color="auto"/>
      </w:divBdr>
    </w:div>
    <w:div w:id="290330060">
      <w:bodyDiv w:val="1"/>
      <w:marLeft w:val="0"/>
      <w:marRight w:val="0"/>
      <w:marTop w:val="0"/>
      <w:marBottom w:val="0"/>
      <w:divBdr>
        <w:top w:val="none" w:sz="0" w:space="0" w:color="auto"/>
        <w:left w:val="none" w:sz="0" w:space="0" w:color="auto"/>
        <w:bottom w:val="none" w:sz="0" w:space="0" w:color="auto"/>
        <w:right w:val="none" w:sz="0" w:space="0" w:color="auto"/>
      </w:divBdr>
    </w:div>
    <w:div w:id="290941542">
      <w:bodyDiv w:val="1"/>
      <w:marLeft w:val="0"/>
      <w:marRight w:val="0"/>
      <w:marTop w:val="0"/>
      <w:marBottom w:val="0"/>
      <w:divBdr>
        <w:top w:val="none" w:sz="0" w:space="0" w:color="auto"/>
        <w:left w:val="none" w:sz="0" w:space="0" w:color="auto"/>
        <w:bottom w:val="none" w:sz="0" w:space="0" w:color="auto"/>
        <w:right w:val="none" w:sz="0" w:space="0" w:color="auto"/>
      </w:divBdr>
    </w:div>
    <w:div w:id="293759326">
      <w:bodyDiv w:val="1"/>
      <w:marLeft w:val="0"/>
      <w:marRight w:val="0"/>
      <w:marTop w:val="0"/>
      <w:marBottom w:val="0"/>
      <w:divBdr>
        <w:top w:val="none" w:sz="0" w:space="0" w:color="auto"/>
        <w:left w:val="none" w:sz="0" w:space="0" w:color="auto"/>
        <w:bottom w:val="none" w:sz="0" w:space="0" w:color="auto"/>
        <w:right w:val="none" w:sz="0" w:space="0" w:color="auto"/>
      </w:divBdr>
    </w:div>
    <w:div w:id="295842161">
      <w:bodyDiv w:val="1"/>
      <w:marLeft w:val="0"/>
      <w:marRight w:val="0"/>
      <w:marTop w:val="0"/>
      <w:marBottom w:val="0"/>
      <w:divBdr>
        <w:top w:val="none" w:sz="0" w:space="0" w:color="auto"/>
        <w:left w:val="none" w:sz="0" w:space="0" w:color="auto"/>
        <w:bottom w:val="none" w:sz="0" w:space="0" w:color="auto"/>
        <w:right w:val="none" w:sz="0" w:space="0" w:color="auto"/>
      </w:divBdr>
    </w:div>
    <w:div w:id="303050600">
      <w:bodyDiv w:val="1"/>
      <w:marLeft w:val="0"/>
      <w:marRight w:val="0"/>
      <w:marTop w:val="0"/>
      <w:marBottom w:val="0"/>
      <w:divBdr>
        <w:top w:val="none" w:sz="0" w:space="0" w:color="auto"/>
        <w:left w:val="none" w:sz="0" w:space="0" w:color="auto"/>
        <w:bottom w:val="none" w:sz="0" w:space="0" w:color="auto"/>
        <w:right w:val="none" w:sz="0" w:space="0" w:color="auto"/>
      </w:divBdr>
    </w:div>
    <w:div w:id="305624030">
      <w:bodyDiv w:val="1"/>
      <w:marLeft w:val="0"/>
      <w:marRight w:val="0"/>
      <w:marTop w:val="0"/>
      <w:marBottom w:val="0"/>
      <w:divBdr>
        <w:top w:val="none" w:sz="0" w:space="0" w:color="auto"/>
        <w:left w:val="none" w:sz="0" w:space="0" w:color="auto"/>
        <w:bottom w:val="none" w:sz="0" w:space="0" w:color="auto"/>
        <w:right w:val="none" w:sz="0" w:space="0" w:color="auto"/>
      </w:divBdr>
    </w:div>
    <w:div w:id="308873379">
      <w:bodyDiv w:val="1"/>
      <w:marLeft w:val="0"/>
      <w:marRight w:val="0"/>
      <w:marTop w:val="0"/>
      <w:marBottom w:val="0"/>
      <w:divBdr>
        <w:top w:val="none" w:sz="0" w:space="0" w:color="auto"/>
        <w:left w:val="none" w:sz="0" w:space="0" w:color="auto"/>
        <w:bottom w:val="none" w:sz="0" w:space="0" w:color="auto"/>
        <w:right w:val="none" w:sz="0" w:space="0" w:color="auto"/>
      </w:divBdr>
    </w:div>
    <w:div w:id="309558376">
      <w:bodyDiv w:val="1"/>
      <w:marLeft w:val="0"/>
      <w:marRight w:val="0"/>
      <w:marTop w:val="0"/>
      <w:marBottom w:val="0"/>
      <w:divBdr>
        <w:top w:val="none" w:sz="0" w:space="0" w:color="auto"/>
        <w:left w:val="none" w:sz="0" w:space="0" w:color="auto"/>
        <w:bottom w:val="none" w:sz="0" w:space="0" w:color="auto"/>
        <w:right w:val="none" w:sz="0" w:space="0" w:color="auto"/>
      </w:divBdr>
    </w:div>
    <w:div w:id="309990020">
      <w:bodyDiv w:val="1"/>
      <w:marLeft w:val="0"/>
      <w:marRight w:val="0"/>
      <w:marTop w:val="0"/>
      <w:marBottom w:val="0"/>
      <w:divBdr>
        <w:top w:val="none" w:sz="0" w:space="0" w:color="auto"/>
        <w:left w:val="none" w:sz="0" w:space="0" w:color="auto"/>
        <w:bottom w:val="none" w:sz="0" w:space="0" w:color="auto"/>
        <w:right w:val="none" w:sz="0" w:space="0" w:color="auto"/>
      </w:divBdr>
    </w:div>
    <w:div w:id="313141997">
      <w:bodyDiv w:val="1"/>
      <w:marLeft w:val="0"/>
      <w:marRight w:val="0"/>
      <w:marTop w:val="0"/>
      <w:marBottom w:val="0"/>
      <w:divBdr>
        <w:top w:val="none" w:sz="0" w:space="0" w:color="auto"/>
        <w:left w:val="none" w:sz="0" w:space="0" w:color="auto"/>
        <w:bottom w:val="none" w:sz="0" w:space="0" w:color="auto"/>
        <w:right w:val="none" w:sz="0" w:space="0" w:color="auto"/>
      </w:divBdr>
    </w:div>
    <w:div w:id="314065315">
      <w:bodyDiv w:val="1"/>
      <w:marLeft w:val="0"/>
      <w:marRight w:val="0"/>
      <w:marTop w:val="0"/>
      <w:marBottom w:val="0"/>
      <w:divBdr>
        <w:top w:val="none" w:sz="0" w:space="0" w:color="auto"/>
        <w:left w:val="none" w:sz="0" w:space="0" w:color="auto"/>
        <w:bottom w:val="none" w:sz="0" w:space="0" w:color="auto"/>
        <w:right w:val="none" w:sz="0" w:space="0" w:color="auto"/>
      </w:divBdr>
    </w:div>
    <w:div w:id="315845455">
      <w:bodyDiv w:val="1"/>
      <w:marLeft w:val="0"/>
      <w:marRight w:val="0"/>
      <w:marTop w:val="0"/>
      <w:marBottom w:val="0"/>
      <w:divBdr>
        <w:top w:val="none" w:sz="0" w:space="0" w:color="auto"/>
        <w:left w:val="none" w:sz="0" w:space="0" w:color="auto"/>
        <w:bottom w:val="none" w:sz="0" w:space="0" w:color="auto"/>
        <w:right w:val="none" w:sz="0" w:space="0" w:color="auto"/>
      </w:divBdr>
    </w:div>
    <w:div w:id="316420779">
      <w:bodyDiv w:val="1"/>
      <w:marLeft w:val="0"/>
      <w:marRight w:val="0"/>
      <w:marTop w:val="0"/>
      <w:marBottom w:val="0"/>
      <w:divBdr>
        <w:top w:val="none" w:sz="0" w:space="0" w:color="auto"/>
        <w:left w:val="none" w:sz="0" w:space="0" w:color="auto"/>
        <w:bottom w:val="none" w:sz="0" w:space="0" w:color="auto"/>
        <w:right w:val="none" w:sz="0" w:space="0" w:color="auto"/>
      </w:divBdr>
    </w:div>
    <w:div w:id="317194935">
      <w:bodyDiv w:val="1"/>
      <w:marLeft w:val="0"/>
      <w:marRight w:val="0"/>
      <w:marTop w:val="0"/>
      <w:marBottom w:val="0"/>
      <w:divBdr>
        <w:top w:val="none" w:sz="0" w:space="0" w:color="auto"/>
        <w:left w:val="none" w:sz="0" w:space="0" w:color="auto"/>
        <w:bottom w:val="none" w:sz="0" w:space="0" w:color="auto"/>
        <w:right w:val="none" w:sz="0" w:space="0" w:color="auto"/>
      </w:divBdr>
    </w:div>
    <w:div w:id="319312161">
      <w:bodyDiv w:val="1"/>
      <w:marLeft w:val="0"/>
      <w:marRight w:val="0"/>
      <w:marTop w:val="0"/>
      <w:marBottom w:val="0"/>
      <w:divBdr>
        <w:top w:val="none" w:sz="0" w:space="0" w:color="auto"/>
        <w:left w:val="none" w:sz="0" w:space="0" w:color="auto"/>
        <w:bottom w:val="none" w:sz="0" w:space="0" w:color="auto"/>
        <w:right w:val="none" w:sz="0" w:space="0" w:color="auto"/>
      </w:divBdr>
    </w:div>
    <w:div w:id="320548106">
      <w:bodyDiv w:val="1"/>
      <w:marLeft w:val="0"/>
      <w:marRight w:val="0"/>
      <w:marTop w:val="0"/>
      <w:marBottom w:val="0"/>
      <w:divBdr>
        <w:top w:val="none" w:sz="0" w:space="0" w:color="auto"/>
        <w:left w:val="none" w:sz="0" w:space="0" w:color="auto"/>
        <w:bottom w:val="none" w:sz="0" w:space="0" w:color="auto"/>
        <w:right w:val="none" w:sz="0" w:space="0" w:color="auto"/>
      </w:divBdr>
    </w:div>
    <w:div w:id="321080308">
      <w:bodyDiv w:val="1"/>
      <w:marLeft w:val="0"/>
      <w:marRight w:val="0"/>
      <w:marTop w:val="0"/>
      <w:marBottom w:val="0"/>
      <w:divBdr>
        <w:top w:val="none" w:sz="0" w:space="0" w:color="auto"/>
        <w:left w:val="none" w:sz="0" w:space="0" w:color="auto"/>
        <w:bottom w:val="none" w:sz="0" w:space="0" w:color="auto"/>
        <w:right w:val="none" w:sz="0" w:space="0" w:color="auto"/>
      </w:divBdr>
    </w:div>
    <w:div w:id="322393269">
      <w:bodyDiv w:val="1"/>
      <w:marLeft w:val="0"/>
      <w:marRight w:val="0"/>
      <w:marTop w:val="0"/>
      <w:marBottom w:val="0"/>
      <w:divBdr>
        <w:top w:val="none" w:sz="0" w:space="0" w:color="auto"/>
        <w:left w:val="none" w:sz="0" w:space="0" w:color="auto"/>
        <w:bottom w:val="none" w:sz="0" w:space="0" w:color="auto"/>
        <w:right w:val="none" w:sz="0" w:space="0" w:color="auto"/>
      </w:divBdr>
    </w:div>
    <w:div w:id="323357846">
      <w:bodyDiv w:val="1"/>
      <w:marLeft w:val="0"/>
      <w:marRight w:val="0"/>
      <w:marTop w:val="0"/>
      <w:marBottom w:val="0"/>
      <w:divBdr>
        <w:top w:val="none" w:sz="0" w:space="0" w:color="auto"/>
        <w:left w:val="none" w:sz="0" w:space="0" w:color="auto"/>
        <w:bottom w:val="none" w:sz="0" w:space="0" w:color="auto"/>
        <w:right w:val="none" w:sz="0" w:space="0" w:color="auto"/>
      </w:divBdr>
    </w:div>
    <w:div w:id="324549025">
      <w:bodyDiv w:val="1"/>
      <w:marLeft w:val="0"/>
      <w:marRight w:val="0"/>
      <w:marTop w:val="0"/>
      <w:marBottom w:val="0"/>
      <w:divBdr>
        <w:top w:val="none" w:sz="0" w:space="0" w:color="auto"/>
        <w:left w:val="none" w:sz="0" w:space="0" w:color="auto"/>
        <w:bottom w:val="none" w:sz="0" w:space="0" w:color="auto"/>
        <w:right w:val="none" w:sz="0" w:space="0" w:color="auto"/>
      </w:divBdr>
    </w:div>
    <w:div w:id="324668661">
      <w:bodyDiv w:val="1"/>
      <w:marLeft w:val="0"/>
      <w:marRight w:val="0"/>
      <w:marTop w:val="0"/>
      <w:marBottom w:val="0"/>
      <w:divBdr>
        <w:top w:val="none" w:sz="0" w:space="0" w:color="auto"/>
        <w:left w:val="none" w:sz="0" w:space="0" w:color="auto"/>
        <w:bottom w:val="none" w:sz="0" w:space="0" w:color="auto"/>
        <w:right w:val="none" w:sz="0" w:space="0" w:color="auto"/>
      </w:divBdr>
    </w:div>
    <w:div w:id="325133432">
      <w:bodyDiv w:val="1"/>
      <w:marLeft w:val="0"/>
      <w:marRight w:val="0"/>
      <w:marTop w:val="0"/>
      <w:marBottom w:val="0"/>
      <w:divBdr>
        <w:top w:val="none" w:sz="0" w:space="0" w:color="auto"/>
        <w:left w:val="none" w:sz="0" w:space="0" w:color="auto"/>
        <w:bottom w:val="none" w:sz="0" w:space="0" w:color="auto"/>
        <w:right w:val="none" w:sz="0" w:space="0" w:color="auto"/>
      </w:divBdr>
    </w:div>
    <w:div w:id="326789435">
      <w:bodyDiv w:val="1"/>
      <w:marLeft w:val="0"/>
      <w:marRight w:val="0"/>
      <w:marTop w:val="0"/>
      <w:marBottom w:val="0"/>
      <w:divBdr>
        <w:top w:val="none" w:sz="0" w:space="0" w:color="auto"/>
        <w:left w:val="none" w:sz="0" w:space="0" w:color="auto"/>
        <w:bottom w:val="none" w:sz="0" w:space="0" w:color="auto"/>
        <w:right w:val="none" w:sz="0" w:space="0" w:color="auto"/>
      </w:divBdr>
    </w:div>
    <w:div w:id="327369456">
      <w:bodyDiv w:val="1"/>
      <w:marLeft w:val="0"/>
      <w:marRight w:val="0"/>
      <w:marTop w:val="0"/>
      <w:marBottom w:val="0"/>
      <w:divBdr>
        <w:top w:val="none" w:sz="0" w:space="0" w:color="auto"/>
        <w:left w:val="none" w:sz="0" w:space="0" w:color="auto"/>
        <w:bottom w:val="none" w:sz="0" w:space="0" w:color="auto"/>
        <w:right w:val="none" w:sz="0" w:space="0" w:color="auto"/>
      </w:divBdr>
    </w:div>
    <w:div w:id="328676629">
      <w:bodyDiv w:val="1"/>
      <w:marLeft w:val="0"/>
      <w:marRight w:val="0"/>
      <w:marTop w:val="0"/>
      <w:marBottom w:val="0"/>
      <w:divBdr>
        <w:top w:val="none" w:sz="0" w:space="0" w:color="auto"/>
        <w:left w:val="none" w:sz="0" w:space="0" w:color="auto"/>
        <w:bottom w:val="none" w:sz="0" w:space="0" w:color="auto"/>
        <w:right w:val="none" w:sz="0" w:space="0" w:color="auto"/>
      </w:divBdr>
    </w:div>
    <w:div w:id="329144038">
      <w:bodyDiv w:val="1"/>
      <w:marLeft w:val="0"/>
      <w:marRight w:val="0"/>
      <w:marTop w:val="0"/>
      <w:marBottom w:val="0"/>
      <w:divBdr>
        <w:top w:val="none" w:sz="0" w:space="0" w:color="auto"/>
        <w:left w:val="none" w:sz="0" w:space="0" w:color="auto"/>
        <w:bottom w:val="none" w:sz="0" w:space="0" w:color="auto"/>
        <w:right w:val="none" w:sz="0" w:space="0" w:color="auto"/>
      </w:divBdr>
    </w:div>
    <w:div w:id="329646673">
      <w:bodyDiv w:val="1"/>
      <w:marLeft w:val="0"/>
      <w:marRight w:val="0"/>
      <w:marTop w:val="0"/>
      <w:marBottom w:val="0"/>
      <w:divBdr>
        <w:top w:val="none" w:sz="0" w:space="0" w:color="auto"/>
        <w:left w:val="none" w:sz="0" w:space="0" w:color="auto"/>
        <w:bottom w:val="none" w:sz="0" w:space="0" w:color="auto"/>
        <w:right w:val="none" w:sz="0" w:space="0" w:color="auto"/>
      </w:divBdr>
    </w:div>
    <w:div w:id="330449773">
      <w:bodyDiv w:val="1"/>
      <w:marLeft w:val="0"/>
      <w:marRight w:val="0"/>
      <w:marTop w:val="0"/>
      <w:marBottom w:val="0"/>
      <w:divBdr>
        <w:top w:val="none" w:sz="0" w:space="0" w:color="auto"/>
        <w:left w:val="none" w:sz="0" w:space="0" w:color="auto"/>
        <w:bottom w:val="none" w:sz="0" w:space="0" w:color="auto"/>
        <w:right w:val="none" w:sz="0" w:space="0" w:color="auto"/>
      </w:divBdr>
    </w:div>
    <w:div w:id="330839541">
      <w:bodyDiv w:val="1"/>
      <w:marLeft w:val="0"/>
      <w:marRight w:val="0"/>
      <w:marTop w:val="0"/>
      <w:marBottom w:val="0"/>
      <w:divBdr>
        <w:top w:val="none" w:sz="0" w:space="0" w:color="auto"/>
        <w:left w:val="none" w:sz="0" w:space="0" w:color="auto"/>
        <w:bottom w:val="none" w:sz="0" w:space="0" w:color="auto"/>
        <w:right w:val="none" w:sz="0" w:space="0" w:color="auto"/>
      </w:divBdr>
    </w:div>
    <w:div w:id="332151078">
      <w:bodyDiv w:val="1"/>
      <w:marLeft w:val="0"/>
      <w:marRight w:val="0"/>
      <w:marTop w:val="0"/>
      <w:marBottom w:val="0"/>
      <w:divBdr>
        <w:top w:val="none" w:sz="0" w:space="0" w:color="auto"/>
        <w:left w:val="none" w:sz="0" w:space="0" w:color="auto"/>
        <w:bottom w:val="none" w:sz="0" w:space="0" w:color="auto"/>
        <w:right w:val="none" w:sz="0" w:space="0" w:color="auto"/>
      </w:divBdr>
    </w:div>
    <w:div w:id="332729137">
      <w:bodyDiv w:val="1"/>
      <w:marLeft w:val="0"/>
      <w:marRight w:val="0"/>
      <w:marTop w:val="0"/>
      <w:marBottom w:val="0"/>
      <w:divBdr>
        <w:top w:val="none" w:sz="0" w:space="0" w:color="auto"/>
        <w:left w:val="none" w:sz="0" w:space="0" w:color="auto"/>
        <w:bottom w:val="none" w:sz="0" w:space="0" w:color="auto"/>
        <w:right w:val="none" w:sz="0" w:space="0" w:color="auto"/>
      </w:divBdr>
    </w:div>
    <w:div w:id="332998800">
      <w:bodyDiv w:val="1"/>
      <w:marLeft w:val="0"/>
      <w:marRight w:val="0"/>
      <w:marTop w:val="0"/>
      <w:marBottom w:val="0"/>
      <w:divBdr>
        <w:top w:val="none" w:sz="0" w:space="0" w:color="auto"/>
        <w:left w:val="none" w:sz="0" w:space="0" w:color="auto"/>
        <w:bottom w:val="none" w:sz="0" w:space="0" w:color="auto"/>
        <w:right w:val="none" w:sz="0" w:space="0" w:color="auto"/>
      </w:divBdr>
    </w:div>
    <w:div w:id="333001415">
      <w:bodyDiv w:val="1"/>
      <w:marLeft w:val="0"/>
      <w:marRight w:val="0"/>
      <w:marTop w:val="0"/>
      <w:marBottom w:val="0"/>
      <w:divBdr>
        <w:top w:val="none" w:sz="0" w:space="0" w:color="auto"/>
        <w:left w:val="none" w:sz="0" w:space="0" w:color="auto"/>
        <w:bottom w:val="none" w:sz="0" w:space="0" w:color="auto"/>
        <w:right w:val="none" w:sz="0" w:space="0" w:color="auto"/>
      </w:divBdr>
    </w:div>
    <w:div w:id="334964875">
      <w:bodyDiv w:val="1"/>
      <w:marLeft w:val="0"/>
      <w:marRight w:val="0"/>
      <w:marTop w:val="0"/>
      <w:marBottom w:val="0"/>
      <w:divBdr>
        <w:top w:val="none" w:sz="0" w:space="0" w:color="auto"/>
        <w:left w:val="none" w:sz="0" w:space="0" w:color="auto"/>
        <w:bottom w:val="none" w:sz="0" w:space="0" w:color="auto"/>
        <w:right w:val="none" w:sz="0" w:space="0" w:color="auto"/>
      </w:divBdr>
    </w:div>
    <w:div w:id="335151421">
      <w:bodyDiv w:val="1"/>
      <w:marLeft w:val="0"/>
      <w:marRight w:val="0"/>
      <w:marTop w:val="0"/>
      <w:marBottom w:val="0"/>
      <w:divBdr>
        <w:top w:val="none" w:sz="0" w:space="0" w:color="auto"/>
        <w:left w:val="none" w:sz="0" w:space="0" w:color="auto"/>
        <w:bottom w:val="none" w:sz="0" w:space="0" w:color="auto"/>
        <w:right w:val="none" w:sz="0" w:space="0" w:color="auto"/>
      </w:divBdr>
    </w:div>
    <w:div w:id="335815902">
      <w:bodyDiv w:val="1"/>
      <w:marLeft w:val="0"/>
      <w:marRight w:val="0"/>
      <w:marTop w:val="0"/>
      <w:marBottom w:val="0"/>
      <w:divBdr>
        <w:top w:val="none" w:sz="0" w:space="0" w:color="auto"/>
        <w:left w:val="none" w:sz="0" w:space="0" w:color="auto"/>
        <w:bottom w:val="none" w:sz="0" w:space="0" w:color="auto"/>
        <w:right w:val="none" w:sz="0" w:space="0" w:color="auto"/>
      </w:divBdr>
    </w:div>
    <w:div w:id="336154902">
      <w:bodyDiv w:val="1"/>
      <w:marLeft w:val="0"/>
      <w:marRight w:val="0"/>
      <w:marTop w:val="0"/>
      <w:marBottom w:val="0"/>
      <w:divBdr>
        <w:top w:val="none" w:sz="0" w:space="0" w:color="auto"/>
        <w:left w:val="none" w:sz="0" w:space="0" w:color="auto"/>
        <w:bottom w:val="none" w:sz="0" w:space="0" w:color="auto"/>
        <w:right w:val="none" w:sz="0" w:space="0" w:color="auto"/>
      </w:divBdr>
    </w:div>
    <w:div w:id="338122217">
      <w:bodyDiv w:val="1"/>
      <w:marLeft w:val="0"/>
      <w:marRight w:val="0"/>
      <w:marTop w:val="0"/>
      <w:marBottom w:val="0"/>
      <w:divBdr>
        <w:top w:val="none" w:sz="0" w:space="0" w:color="auto"/>
        <w:left w:val="none" w:sz="0" w:space="0" w:color="auto"/>
        <w:bottom w:val="none" w:sz="0" w:space="0" w:color="auto"/>
        <w:right w:val="none" w:sz="0" w:space="0" w:color="auto"/>
      </w:divBdr>
    </w:div>
    <w:div w:id="342249182">
      <w:bodyDiv w:val="1"/>
      <w:marLeft w:val="0"/>
      <w:marRight w:val="0"/>
      <w:marTop w:val="0"/>
      <w:marBottom w:val="0"/>
      <w:divBdr>
        <w:top w:val="none" w:sz="0" w:space="0" w:color="auto"/>
        <w:left w:val="none" w:sz="0" w:space="0" w:color="auto"/>
        <w:bottom w:val="none" w:sz="0" w:space="0" w:color="auto"/>
        <w:right w:val="none" w:sz="0" w:space="0" w:color="auto"/>
      </w:divBdr>
    </w:div>
    <w:div w:id="343243591">
      <w:bodyDiv w:val="1"/>
      <w:marLeft w:val="0"/>
      <w:marRight w:val="0"/>
      <w:marTop w:val="0"/>
      <w:marBottom w:val="0"/>
      <w:divBdr>
        <w:top w:val="none" w:sz="0" w:space="0" w:color="auto"/>
        <w:left w:val="none" w:sz="0" w:space="0" w:color="auto"/>
        <w:bottom w:val="none" w:sz="0" w:space="0" w:color="auto"/>
        <w:right w:val="none" w:sz="0" w:space="0" w:color="auto"/>
      </w:divBdr>
    </w:div>
    <w:div w:id="344745416">
      <w:bodyDiv w:val="1"/>
      <w:marLeft w:val="0"/>
      <w:marRight w:val="0"/>
      <w:marTop w:val="0"/>
      <w:marBottom w:val="0"/>
      <w:divBdr>
        <w:top w:val="none" w:sz="0" w:space="0" w:color="auto"/>
        <w:left w:val="none" w:sz="0" w:space="0" w:color="auto"/>
        <w:bottom w:val="none" w:sz="0" w:space="0" w:color="auto"/>
        <w:right w:val="none" w:sz="0" w:space="0" w:color="auto"/>
      </w:divBdr>
    </w:div>
    <w:div w:id="346979581">
      <w:bodyDiv w:val="1"/>
      <w:marLeft w:val="0"/>
      <w:marRight w:val="0"/>
      <w:marTop w:val="0"/>
      <w:marBottom w:val="0"/>
      <w:divBdr>
        <w:top w:val="none" w:sz="0" w:space="0" w:color="auto"/>
        <w:left w:val="none" w:sz="0" w:space="0" w:color="auto"/>
        <w:bottom w:val="none" w:sz="0" w:space="0" w:color="auto"/>
        <w:right w:val="none" w:sz="0" w:space="0" w:color="auto"/>
      </w:divBdr>
    </w:div>
    <w:div w:id="347873151">
      <w:bodyDiv w:val="1"/>
      <w:marLeft w:val="0"/>
      <w:marRight w:val="0"/>
      <w:marTop w:val="0"/>
      <w:marBottom w:val="0"/>
      <w:divBdr>
        <w:top w:val="none" w:sz="0" w:space="0" w:color="auto"/>
        <w:left w:val="none" w:sz="0" w:space="0" w:color="auto"/>
        <w:bottom w:val="none" w:sz="0" w:space="0" w:color="auto"/>
        <w:right w:val="none" w:sz="0" w:space="0" w:color="auto"/>
      </w:divBdr>
    </w:div>
    <w:div w:id="348264389">
      <w:bodyDiv w:val="1"/>
      <w:marLeft w:val="0"/>
      <w:marRight w:val="0"/>
      <w:marTop w:val="0"/>
      <w:marBottom w:val="0"/>
      <w:divBdr>
        <w:top w:val="none" w:sz="0" w:space="0" w:color="auto"/>
        <w:left w:val="none" w:sz="0" w:space="0" w:color="auto"/>
        <w:bottom w:val="none" w:sz="0" w:space="0" w:color="auto"/>
        <w:right w:val="none" w:sz="0" w:space="0" w:color="auto"/>
      </w:divBdr>
    </w:div>
    <w:div w:id="353192619">
      <w:bodyDiv w:val="1"/>
      <w:marLeft w:val="0"/>
      <w:marRight w:val="0"/>
      <w:marTop w:val="0"/>
      <w:marBottom w:val="0"/>
      <w:divBdr>
        <w:top w:val="none" w:sz="0" w:space="0" w:color="auto"/>
        <w:left w:val="none" w:sz="0" w:space="0" w:color="auto"/>
        <w:bottom w:val="none" w:sz="0" w:space="0" w:color="auto"/>
        <w:right w:val="none" w:sz="0" w:space="0" w:color="auto"/>
      </w:divBdr>
    </w:div>
    <w:div w:id="353532744">
      <w:bodyDiv w:val="1"/>
      <w:marLeft w:val="0"/>
      <w:marRight w:val="0"/>
      <w:marTop w:val="0"/>
      <w:marBottom w:val="0"/>
      <w:divBdr>
        <w:top w:val="none" w:sz="0" w:space="0" w:color="auto"/>
        <w:left w:val="none" w:sz="0" w:space="0" w:color="auto"/>
        <w:bottom w:val="none" w:sz="0" w:space="0" w:color="auto"/>
        <w:right w:val="none" w:sz="0" w:space="0" w:color="auto"/>
      </w:divBdr>
    </w:div>
    <w:div w:id="356542812">
      <w:bodyDiv w:val="1"/>
      <w:marLeft w:val="0"/>
      <w:marRight w:val="0"/>
      <w:marTop w:val="0"/>
      <w:marBottom w:val="0"/>
      <w:divBdr>
        <w:top w:val="none" w:sz="0" w:space="0" w:color="auto"/>
        <w:left w:val="none" w:sz="0" w:space="0" w:color="auto"/>
        <w:bottom w:val="none" w:sz="0" w:space="0" w:color="auto"/>
        <w:right w:val="none" w:sz="0" w:space="0" w:color="auto"/>
      </w:divBdr>
    </w:div>
    <w:div w:id="358314393">
      <w:bodyDiv w:val="1"/>
      <w:marLeft w:val="0"/>
      <w:marRight w:val="0"/>
      <w:marTop w:val="0"/>
      <w:marBottom w:val="0"/>
      <w:divBdr>
        <w:top w:val="none" w:sz="0" w:space="0" w:color="auto"/>
        <w:left w:val="none" w:sz="0" w:space="0" w:color="auto"/>
        <w:bottom w:val="none" w:sz="0" w:space="0" w:color="auto"/>
        <w:right w:val="none" w:sz="0" w:space="0" w:color="auto"/>
      </w:divBdr>
    </w:div>
    <w:div w:id="358707725">
      <w:bodyDiv w:val="1"/>
      <w:marLeft w:val="0"/>
      <w:marRight w:val="0"/>
      <w:marTop w:val="0"/>
      <w:marBottom w:val="0"/>
      <w:divBdr>
        <w:top w:val="none" w:sz="0" w:space="0" w:color="auto"/>
        <w:left w:val="none" w:sz="0" w:space="0" w:color="auto"/>
        <w:bottom w:val="none" w:sz="0" w:space="0" w:color="auto"/>
        <w:right w:val="none" w:sz="0" w:space="0" w:color="auto"/>
      </w:divBdr>
    </w:div>
    <w:div w:id="358746842">
      <w:bodyDiv w:val="1"/>
      <w:marLeft w:val="0"/>
      <w:marRight w:val="0"/>
      <w:marTop w:val="0"/>
      <w:marBottom w:val="0"/>
      <w:divBdr>
        <w:top w:val="none" w:sz="0" w:space="0" w:color="auto"/>
        <w:left w:val="none" w:sz="0" w:space="0" w:color="auto"/>
        <w:bottom w:val="none" w:sz="0" w:space="0" w:color="auto"/>
        <w:right w:val="none" w:sz="0" w:space="0" w:color="auto"/>
      </w:divBdr>
    </w:div>
    <w:div w:id="360207962">
      <w:bodyDiv w:val="1"/>
      <w:marLeft w:val="0"/>
      <w:marRight w:val="0"/>
      <w:marTop w:val="0"/>
      <w:marBottom w:val="0"/>
      <w:divBdr>
        <w:top w:val="none" w:sz="0" w:space="0" w:color="auto"/>
        <w:left w:val="none" w:sz="0" w:space="0" w:color="auto"/>
        <w:bottom w:val="none" w:sz="0" w:space="0" w:color="auto"/>
        <w:right w:val="none" w:sz="0" w:space="0" w:color="auto"/>
      </w:divBdr>
    </w:div>
    <w:div w:id="360402472">
      <w:bodyDiv w:val="1"/>
      <w:marLeft w:val="0"/>
      <w:marRight w:val="0"/>
      <w:marTop w:val="0"/>
      <w:marBottom w:val="0"/>
      <w:divBdr>
        <w:top w:val="none" w:sz="0" w:space="0" w:color="auto"/>
        <w:left w:val="none" w:sz="0" w:space="0" w:color="auto"/>
        <w:bottom w:val="none" w:sz="0" w:space="0" w:color="auto"/>
        <w:right w:val="none" w:sz="0" w:space="0" w:color="auto"/>
      </w:divBdr>
    </w:div>
    <w:div w:id="363285866">
      <w:bodyDiv w:val="1"/>
      <w:marLeft w:val="0"/>
      <w:marRight w:val="0"/>
      <w:marTop w:val="0"/>
      <w:marBottom w:val="0"/>
      <w:divBdr>
        <w:top w:val="none" w:sz="0" w:space="0" w:color="auto"/>
        <w:left w:val="none" w:sz="0" w:space="0" w:color="auto"/>
        <w:bottom w:val="none" w:sz="0" w:space="0" w:color="auto"/>
        <w:right w:val="none" w:sz="0" w:space="0" w:color="auto"/>
      </w:divBdr>
    </w:div>
    <w:div w:id="368143811">
      <w:bodyDiv w:val="1"/>
      <w:marLeft w:val="0"/>
      <w:marRight w:val="0"/>
      <w:marTop w:val="0"/>
      <w:marBottom w:val="0"/>
      <w:divBdr>
        <w:top w:val="none" w:sz="0" w:space="0" w:color="auto"/>
        <w:left w:val="none" w:sz="0" w:space="0" w:color="auto"/>
        <w:bottom w:val="none" w:sz="0" w:space="0" w:color="auto"/>
        <w:right w:val="none" w:sz="0" w:space="0" w:color="auto"/>
      </w:divBdr>
    </w:div>
    <w:div w:id="368460103">
      <w:bodyDiv w:val="1"/>
      <w:marLeft w:val="0"/>
      <w:marRight w:val="0"/>
      <w:marTop w:val="0"/>
      <w:marBottom w:val="0"/>
      <w:divBdr>
        <w:top w:val="none" w:sz="0" w:space="0" w:color="auto"/>
        <w:left w:val="none" w:sz="0" w:space="0" w:color="auto"/>
        <w:bottom w:val="none" w:sz="0" w:space="0" w:color="auto"/>
        <w:right w:val="none" w:sz="0" w:space="0" w:color="auto"/>
      </w:divBdr>
    </w:div>
    <w:div w:id="369766641">
      <w:bodyDiv w:val="1"/>
      <w:marLeft w:val="0"/>
      <w:marRight w:val="0"/>
      <w:marTop w:val="0"/>
      <w:marBottom w:val="0"/>
      <w:divBdr>
        <w:top w:val="none" w:sz="0" w:space="0" w:color="auto"/>
        <w:left w:val="none" w:sz="0" w:space="0" w:color="auto"/>
        <w:bottom w:val="none" w:sz="0" w:space="0" w:color="auto"/>
        <w:right w:val="none" w:sz="0" w:space="0" w:color="auto"/>
      </w:divBdr>
    </w:div>
    <w:div w:id="375473468">
      <w:bodyDiv w:val="1"/>
      <w:marLeft w:val="0"/>
      <w:marRight w:val="0"/>
      <w:marTop w:val="0"/>
      <w:marBottom w:val="0"/>
      <w:divBdr>
        <w:top w:val="none" w:sz="0" w:space="0" w:color="auto"/>
        <w:left w:val="none" w:sz="0" w:space="0" w:color="auto"/>
        <w:bottom w:val="none" w:sz="0" w:space="0" w:color="auto"/>
        <w:right w:val="none" w:sz="0" w:space="0" w:color="auto"/>
      </w:divBdr>
    </w:div>
    <w:div w:id="375735414">
      <w:bodyDiv w:val="1"/>
      <w:marLeft w:val="0"/>
      <w:marRight w:val="0"/>
      <w:marTop w:val="0"/>
      <w:marBottom w:val="0"/>
      <w:divBdr>
        <w:top w:val="none" w:sz="0" w:space="0" w:color="auto"/>
        <w:left w:val="none" w:sz="0" w:space="0" w:color="auto"/>
        <w:bottom w:val="none" w:sz="0" w:space="0" w:color="auto"/>
        <w:right w:val="none" w:sz="0" w:space="0" w:color="auto"/>
      </w:divBdr>
    </w:div>
    <w:div w:id="376198137">
      <w:bodyDiv w:val="1"/>
      <w:marLeft w:val="0"/>
      <w:marRight w:val="0"/>
      <w:marTop w:val="0"/>
      <w:marBottom w:val="0"/>
      <w:divBdr>
        <w:top w:val="none" w:sz="0" w:space="0" w:color="auto"/>
        <w:left w:val="none" w:sz="0" w:space="0" w:color="auto"/>
        <w:bottom w:val="none" w:sz="0" w:space="0" w:color="auto"/>
        <w:right w:val="none" w:sz="0" w:space="0" w:color="auto"/>
      </w:divBdr>
    </w:div>
    <w:div w:id="378936865">
      <w:bodyDiv w:val="1"/>
      <w:marLeft w:val="0"/>
      <w:marRight w:val="0"/>
      <w:marTop w:val="0"/>
      <w:marBottom w:val="0"/>
      <w:divBdr>
        <w:top w:val="none" w:sz="0" w:space="0" w:color="auto"/>
        <w:left w:val="none" w:sz="0" w:space="0" w:color="auto"/>
        <w:bottom w:val="none" w:sz="0" w:space="0" w:color="auto"/>
        <w:right w:val="none" w:sz="0" w:space="0" w:color="auto"/>
      </w:divBdr>
    </w:div>
    <w:div w:id="379406292">
      <w:bodyDiv w:val="1"/>
      <w:marLeft w:val="0"/>
      <w:marRight w:val="0"/>
      <w:marTop w:val="0"/>
      <w:marBottom w:val="0"/>
      <w:divBdr>
        <w:top w:val="none" w:sz="0" w:space="0" w:color="auto"/>
        <w:left w:val="none" w:sz="0" w:space="0" w:color="auto"/>
        <w:bottom w:val="none" w:sz="0" w:space="0" w:color="auto"/>
        <w:right w:val="none" w:sz="0" w:space="0" w:color="auto"/>
      </w:divBdr>
    </w:div>
    <w:div w:id="381254256">
      <w:bodyDiv w:val="1"/>
      <w:marLeft w:val="0"/>
      <w:marRight w:val="0"/>
      <w:marTop w:val="0"/>
      <w:marBottom w:val="0"/>
      <w:divBdr>
        <w:top w:val="none" w:sz="0" w:space="0" w:color="auto"/>
        <w:left w:val="none" w:sz="0" w:space="0" w:color="auto"/>
        <w:bottom w:val="none" w:sz="0" w:space="0" w:color="auto"/>
        <w:right w:val="none" w:sz="0" w:space="0" w:color="auto"/>
      </w:divBdr>
    </w:div>
    <w:div w:id="382026998">
      <w:bodyDiv w:val="1"/>
      <w:marLeft w:val="0"/>
      <w:marRight w:val="0"/>
      <w:marTop w:val="0"/>
      <w:marBottom w:val="0"/>
      <w:divBdr>
        <w:top w:val="none" w:sz="0" w:space="0" w:color="auto"/>
        <w:left w:val="none" w:sz="0" w:space="0" w:color="auto"/>
        <w:bottom w:val="none" w:sz="0" w:space="0" w:color="auto"/>
        <w:right w:val="none" w:sz="0" w:space="0" w:color="auto"/>
      </w:divBdr>
    </w:div>
    <w:div w:id="388498458">
      <w:bodyDiv w:val="1"/>
      <w:marLeft w:val="0"/>
      <w:marRight w:val="0"/>
      <w:marTop w:val="0"/>
      <w:marBottom w:val="0"/>
      <w:divBdr>
        <w:top w:val="none" w:sz="0" w:space="0" w:color="auto"/>
        <w:left w:val="none" w:sz="0" w:space="0" w:color="auto"/>
        <w:bottom w:val="none" w:sz="0" w:space="0" w:color="auto"/>
        <w:right w:val="none" w:sz="0" w:space="0" w:color="auto"/>
      </w:divBdr>
    </w:div>
    <w:div w:id="389695438">
      <w:bodyDiv w:val="1"/>
      <w:marLeft w:val="0"/>
      <w:marRight w:val="0"/>
      <w:marTop w:val="0"/>
      <w:marBottom w:val="0"/>
      <w:divBdr>
        <w:top w:val="none" w:sz="0" w:space="0" w:color="auto"/>
        <w:left w:val="none" w:sz="0" w:space="0" w:color="auto"/>
        <w:bottom w:val="none" w:sz="0" w:space="0" w:color="auto"/>
        <w:right w:val="none" w:sz="0" w:space="0" w:color="auto"/>
      </w:divBdr>
    </w:div>
    <w:div w:id="392777395">
      <w:bodyDiv w:val="1"/>
      <w:marLeft w:val="0"/>
      <w:marRight w:val="0"/>
      <w:marTop w:val="0"/>
      <w:marBottom w:val="0"/>
      <w:divBdr>
        <w:top w:val="none" w:sz="0" w:space="0" w:color="auto"/>
        <w:left w:val="none" w:sz="0" w:space="0" w:color="auto"/>
        <w:bottom w:val="none" w:sz="0" w:space="0" w:color="auto"/>
        <w:right w:val="none" w:sz="0" w:space="0" w:color="auto"/>
      </w:divBdr>
    </w:div>
    <w:div w:id="395013116">
      <w:bodyDiv w:val="1"/>
      <w:marLeft w:val="0"/>
      <w:marRight w:val="0"/>
      <w:marTop w:val="0"/>
      <w:marBottom w:val="0"/>
      <w:divBdr>
        <w:top w:val="none" w:sz="0" w:space="0" w:color="auto"/>
        <w:left w:val="none" w:sz="0" w:space="0" w:color="auto"/>
        <w:bottom w:val="none" w:sz="0" w:space="0" w:color="auto"/>
        <w:right w:val="none" w:sz="0" w:space="0" w:color="auto"/>
      </w:divBdr>
    </w:div>
    <w:div w:id="395325001">
      <w:bodyDiv w:val="1"/>
      <w:marLeft w:val="0"/>
      <w:marRight w:val="0"/>
      <w:marTop w:val="0"/>
      <w:marBottom w:val="0"/>
      <w:divBdr>
        <w:top w:val="none" w:sz="0" w:space="0" w:color="auto"/>
        <w:left w:val="none" w:sz="0" w:space="0" w:color="auto"/>
        <w:bottom w:val="none" w:sz="0" w:space="0" w:color="auto"/>
        <w:right w:val="none" w:sz="0" w:space="0" w:color="auto"/>
      </w:divBdr>
    </w:div>
    <w:div w:id="397291913">
      <w:bodyDiv w:val="1"/>
      <w:marLeft w:val="0"/>
      <w:marRight w:val="0"/>
      <w:marTop w:val="0"/>
      <w:marBottom w:val="0"/>
      <w:divBdr>
        <w:top w:val="none" w:sz="0" w:space="0" w:color="auto"/>
        <w:left w:val="none" w:sz="0" w:space="0" w:color="auto"/>
        <w:bottom w:val="none" w:sz="0" w:space="0" w:color="auto"/>
        <w:right w:val="none" w:sz="0" w:space="0" w:color="auto"/>
      </w:divBdr>
    </w:div>
    <w:div w:id="399979920">
      <w:bodyDiv w:val="1"/>
      <w:marLeft w:val="0"/>
      <w:marRight w:val="0"/>
      <w:marTop w:val="0"/>
      <w:marBottom w:val="0"/>
      <w:divBdr>
        <w:top w:val="none" w:sz="0" w:space="0" w:color="auto"/>
        <w:left w:val="none" w:sz="0" w:space="0" w:color="auto"/>
        <w:bottom w:val="none" w:sz="0" w:space="0" w:color="auto"/>
        <w:right w:val="none" w:sz="0" w:space="0" w:color="auto"/>
      </w:divBdr>
    </w:div>
    <w:div w:id="402489123">
      <w:bodyDiv w:val="1"/>
      <w:marLeft w:val="0"/>
      <w:marRight w:val="0"/>
      <w:marTop w:val="0"/>
      <w:marBottom w:val="0"/>
      <w:divBdr>
        <w:top w:val="none" w:sz="0" w:space="0" w:color="auto"/>
        <w:left w:val="none" w:sz="0" w:space="0" w:color="auto"/>
        <w:bottom w:val="none" w:sz="0" w:space="0" w:color="auto"/>
        <w:right w:val="none" w:sz="0" w:space="0" w:color="auto"/>
      </w:divBdr>
    </w:div>
    <w:div w:id="405687081">
      <w:bodyDiv w:val="1"/>
      <w:marLeft w:val="0"/>
      <w:marRight w:val="0"/>
      <w:marTop w:val="0"/>
      <w:marBottom w:val="0"/>
      <w:divBdr>
        <w:top w:val="none" w:sz="0" w:space="0" w:color="auto"/>
        <w:left w:val="none" w:sz="0" w:space="0" w:color="auto"/>
        <w:bottom w:val="none" w:sz="0" w:space="0" w:color="auto"/>
        <w:right w:val="none" w:sz="0" w:space="0" w:color="auto"/>
      </w:divBdr>
    </w:div>
    <w:div w:id="405999461">
      <w:bodyDiv w:val="1"/>
      <w:marLeft w:val="0"/>
      <w:marRight w:val="0"/>
      <w:marTop w:val="0"/>
      <w:marBottom w:val="0"/>
      <w:divBdr>
        <w:top w:val="none" w:sz="0" w:space="0" w:color="auto"/>
        <w:left w:val="none" w:sz="0" w:space="0" w:color="auto"/>
        <w:bottom w:val="none" w:sz="0" w:space="0" w:color="auto"/>
        <w:right w:val="none" w:sz="0" w:space="0" w:color="auto"/>
      </w:divBdr>
    </w:div>
    <w:div w:id="406073566">
      <w:bodyDiv w:val="1"/>
      <w:marLeft w:val="0"/>
      <w:marRight w:val="0"/>
      <w:marTop w:val="0"/>
      <w:marBottom w:val="0"/>
      <w:divBdr>
        <w:top w:val="none" w:sz="0" w:space="0" w:color="auto"/>
        <w:left w:val="none" w:sz="0" w:space="0" w:color="auto"/>
        <w:bottom w:val="none" w:sz="0" w:space="0" w:color="auto"/>
        <w:right w:val="none" w:sz="0" w:space="0" w:color="auto"/>
      </w:divBdr>
    </w:div>
    <w:div w:id="406270948">
      <w:bodyDiv w:val="1"/>
      <w:marLeft w:val="0"/>
      <w:marRight w:val="0"/>
      <w:marTop w:val="0"/>
      <w:marBottom w:val="0"/>
      <w:divBdr>
        <w:top w:val="none" w:sz="0" w:space="0" w:color="auto"/>
        <w:left w:val="none" w:sz="0" w:space="0" w:color="auto"/>
        <w:bottom w:val="none" w:sz="0" w:space="0" w:color="auto"/>
        <w:right w:val="none" w:sz="0" w:space="0" w:color="auto"/>
      </w:divBdr>
    </w:div>
    <w:div w:id="407582269">
      <w:bodyDiv w:val="1"/>
      <w:marLeft w:val="0"/>
      <w:marRight w:val="0"/>
      <w:marTop w:val="0"/>
      <w:marBottom w:val="0"/>
      <w:divBdr>
        <w:top w:val="none" w:sz="0" w:space="0" w:color="auto"/>
        <w:left w:val="none" w:sz="0" w:space="0" w:color="auto"/>
        <w:bottom w:val="none" w:sz="0" w:space="0" w:color="auto"/>
        <w:right w:val="none" w:sz="0" w:space="0" w:color="auto"/>
      </w:divBdr>
    </w:div>
    <w:div w:id="408771236">
      <w:bodyDiv w:val="1"/>
      <w:marLeft w:val="0"/>
      <w:marRight w:val="0"/>
      <w:marTop w:val="0"/>
      <w:marBottom w:val="0"/>
      <w:divBdr>
        <w:top w:val="none" w:sz="0" w:space="0" w:color="auto"/>
        <w:left w:val="none" w:sz="0" w:space="0" w:color="auto"/>
        <w:bottom w:val="none" w:sz="0" w:space="0" w:color="auto"/>
        <w:right w:val="none" w:sz="0" w:space="0" w:color="auto"/>
      </w:divBdr>
    </w:div>
    <w:div w:id="410084938">
      <w:bodyDiv w:val="1"/>
      <w:marLeft w:val="0"/>
      <w:marRight w:val="0"/>
      <w:marTop w:val="0"/>
      <w:marBottom w:val="0"/>
      <w:divBdr>
        <w:top w:val="none" w:sz="0" w:space="0" w:color="auto"/>
        <w:left w:val="none" w:sz="0" w:space="0" w:color="auto"/>
        <w:bottom w:val="none" w:sz="0" w:space="0" w:color="auto"/>
        <w:right w:val="none" w:sz="0" w:space="0" w:color="auto"/>
      </w:divBdr>
    </w:div>
    <w:div w:id="414211113">
      <w:bodyDiv w:val="1"/>
      <w:marLeft w:val="0"/>
      <w:marRight w:val="0"/>
      <w:marTop w:val="0"/>
      <w:marBottom w:val="0"/>
      <w:divBdr>
        <w:top w:val="none" w:sz="0" w:space="0" w:color="auto"/>
        <w:left w:val="none" w:sz="0" w:space="0" w:color="auto"/>
        <w:bottom w:val="none" w:sz="0" w:space="0" w:color="auto"/>
        <w:right w:val="none" w:sz="0" w:space="0" w:color="auto"/>
      </w:divBdr>
    </w:div>
    <w:div w:id="414593694">
      <w:bodyDiv w:val="1"/>
      <w:marLeft w:val="0"/>
      <w:marRight w:val="0"/>
      <w:marTop w:val="0"/>
      <w:marBottom w:val="0"/>
      <w:divBdr>
        <w:top w:val="none" w:sz="0" w:space="0" w:color="auto"/>
        <w:left w:val="none" w:sz="0" w:space="0" w:color="auto"/>
        <w:bottom w:val="none" w:sz="0" w:space="0" w:color="auto"/>
        <w:right w:val="none" w:sz="0" w:space="0" w:color="auto"/>
      </w:divBdr>
    </w:div>
    <w:div w:id="418528095">
      <w:bodyDiv w:val="1"/>
      <w:marLeft w:val="0"/>
      <w:marRight w:val="0"/>
      <w:marTop w:val="0"/>
      <w:marBottom w:val="0"/>
      <w:divBdr>
        <w:top w:val="none" w:sz="0" w:space="0" w:color="auto"/>
        <w:left w:val="none" w:sz="0" w:space="0" w:color="auto"/>
        <w:bottom w:val="none" w:sz="0" w:space="0" w:color="auto"/>
        <w:right w:val="none" w:sz="0" w:space="0" w:color="auto"/>
      </w:divBdr>
    </w:div>
    <w:div w:id="420610534">
      <w:bodyDiv w:val="1"/>
      <w:marLeft w:val="0"/>
      <w:marRight w:val="0"/>
      <w:marTop w:val="0"/>
      <w:marBottom w:val="0"/>
      <w:divBdr>
        <w:top w:val="none" w:sz="0" w:space="0" w:color="auto"/>
        <w:left w:val="none" w:sz="0" w:space="0" w:color="auto"/>
        <w:bottom w:val="none" w:sz="0" w:space="0" w:color="auto"/>
        <w:right w:val="none" w:sz="0" w:space="0" w:color="auto"/>
      </w:divBdr>
    </w:div>
    <w:div w:id="420763879">
      <w:bodyDiv w:val="1"/>
      <w:marLeft w:val="0"/>
      <w:marRight w:val="0"/>
      <w:marTop w:val="0"/>
      <w:marBottom w:val="0"/>
      <w:divBdr>
        <w:top w:val="none" w:sz="0" w:space="0" w:color="auto"/>
        <w:left w:val="none" w:sz="0" w:space="0" w:color="auto"/>
        <w:bottom w:val="none" w:sz="0" w:space="0" w:color="auto"/>
        <w:right w:val="none" w:sz="0" w:space="0" w:color="auto"/>
      </w:divBdr>
    </w:div>
    <w:div w:id="421074564">
      <w:bodyDiv w:val="1"/>
      <w:marLeft w:val="0"/>
      <w:marRight w:val="0"/>
      <w:marTop w:val="0"/>
      <w:marBottom w:val="0"/>
      <w:divBdr>
        <w:top w:val="none" w:sz="0" w:space="0" w:color="auto"/>
        <w:left w:val="none" w:sz="0" w:space="0" w:color="auto"/>
        <w:bottom w:val="none" w:sz="0" w:space="0" w:color="auto"/>
        <w:right w:val="none" w:sz="0" w:space="0" w:color="auto"/>
      </w:divBdr>
    </w:div>
    <w:div w:id="422655267">
      <w:bodyDiv w:val="1"/>
      <w:marLeft w:val="0"/>
      <w:marRight w:val="0"/>
      <w:marTop w:val="0"/>
      <w:marBottom w:val="0"/>
      <w:divBdr>
        <w:top w:val="none" w:sz="0" w:space="0" w:color="auto"/>
        <w:left w:val="none" w:sz="0" w:space="0" w:color="auto"/>
        <w:bottom w:val="none" w:sz="0" w:space="0" w:color="auto"/>
        <w:right w:val="none" w:sz="0" w:space="0" w:color="auto"/>
      </w:divBdr>
    </w:div>
    <w:div w:id="424572121">
      <w:bodyDiv w:val="1"/>
      <w:marLeft w:val="0"/>
      <w:marRight w:val="0"/>
      <w:marTop w:val="0"/>
      <w:marBottom w:val="0"/>
      <w:divBdr>
        <w:top w:val="none" w:sz="0" w:space="0" w:color="auto"/>
        <w:left w:val="none" w:sz="0" w:space="0" w:color="auto"/>
        <w:bottom w:val="none" w:sz="0" w:space="0" w:color="auto"/>
        <w:right w:val="none" w:sz="0" w:space="0" w:color="auto"/>
      </w:divBdr>
    </w:div>
    <w:div w:id="426344034">
      <w:bodyDiv w:val="1"/>
      <w:marLeft w:val="0"/>
      <w:marRight w:val="0"/>
      <w:marTop w:val="0"/>
      <w:marBottom w:val="0"/>
      <w:divBdr>
        <w:top w:val="none" w:sz="0" w:space="0" w:color="auto"/>
        <w:left w:val="none" w:sz="0" w:space="0" w:color="auto"/>
        <w:bottom w:val="none" w:sz="0" w:space="0" w:color="auto"/>
        <w:right w:val="none" w:sz="0" w:space="0" w:color="auto"/>
      </w:divBdr>
    </w:div>
    <w:div w:id="433400288">
      <w:bodyDiv w:val="1"/>
      <w:marLeft w:val="0"/>
      <w:marRight w:val="0"/>
      <w:marTop w:val="0"/>
      <w:marBottom w:val="0"/>
      <w:divBdr>
        <w:top w:val="none" w:sz="0" w:space="0" w:color="auto"/>
        <w:left w:val="none" w:sz="0" w:space="0" w:color="auto"/>
        <w:bottom w:val="none" w:sz="0" w:space="0" w:color="auto"/>
        <w:right w:val="none" w:sz="0" w:space="0" w:color="auto"/>
      </w:divBdr>
    </w:div>
    <w:div w:id="434834603">
      <w:bodyDiv w:val="1"/>
      <w:marLeft w:val="0"/>
      <w:marRight w:val="0"/>
      <w:marTop w:val="0"/>
      <w:marBottom w:val="0"/>
      <w:divBdr>
        <w:top w:val="none" w:sz="0" w:space="0" w:color="auto"/>
        <w:left w:val="none" w:sz="0" w:space="0" w:color="auto"/>
        <w:bottom w:val="none" w:sz="0" w:space="0" w:color="auto"/>
        <w:right w:val="none" w:sz="0" w:space="0" w:color="auto"/>
      </w:divBdr>
    </w:div>
    <w:div w:id="441609942">
      <w:bodyDiv w:val="1"/>
      <w:marLeft w:val="0"/>
      <w:marRight w:val="0"/>
      <w:marTop w:val="0"/>
      <w:marBottom w:val="0"/>
      <w:divBdr>
        <w:top w:val="none" w:sz="0" w:space="0" w:color="auto"/>
        <w:left w:val="none" w:sz="0" w:space="0" w:color="auto"/>
        <w:bottom w:val="none" w:sz="0" w:space="0" w:color="auto"/>
        <w:right w:val="none" w:sz="0" w:space="0" w:color="auto"/>
      </w:divBdr>
    </w:div>
    <w:div w:id="444037939">
      <w:bodyDiv w:val="1"/>
      <w:marLeft w:val="0"/>
      <w:marRight w:val="0"/>
      <w:marTop w:val="0"/>
      <w:marBottom w:val="0"/>
      <w:divBdr>
        <w:top w:val="none" w:sz="0" w:space="0" w:color="auto"/>
        <w:left w:val="none" w:sz="0" w:space="0" w:color="auto"/>
        <w:bottom w:val="none" w:sz="0" w:space="0" w:color="auto"/>
        <w:right w:val="none" w:sz="0" w:space="0" w:color="auto"/>
      </w:divBdr>
    </w:div>
    <w:div w:id="444429974">
      <w:bodyDiv w:val="1"/>
      <w:marLeft w:val="0"/>
      <w:marRight w:val="0"/>
      <w:marTop w:val="0"/>
      <w:marBottom w:val="0"/>
      <w:divBdr>
        <w:top w:val="none" w:sz="0" w:space="0" w:color="auto"/>
        <w:left w:val="none" w:sz="0" w:space="0" w:color="auto"/>
        <w:bottom w:val="none" w:sz="0" w:space="0" w:color="auto"/>
        <w:right w:val="none" w:sz="0" w:space="0" w:color="auto"/>
      </w:divBdr>
    </w:div>
    <w:div w:id="444662621">
      <w:bodyDiv w:val="1"/>
      <w:marLeft w:val="0"/>
      <w:marRight w:val="0"/>
      <w:marTop w:val="0"/>
      <w:marBottom w:val="0"/>
      <w:divBdr>
        <w:top w:val="none" w:sz="0" w:space="0" w:color="auto"/>
        <w:left w:val="none" w:sz="0" w:space="0" w:color="auto"/>
        <w:bottom w:val="none" w:sz="0" w:space="0" w:color="auto"/>
        <w:right w:val="none" w:sz="0" w:space="0" w:color="auto"/>
      </w:divBdr>
    </w:div>
    <w:div w:id="444693922">
      <w:bodyDiv w:val="1"/>
      <w:marLeft w:val="0"/>
      <w:marRight w:val="0"/>
      <w:marTop w:val="0"/>
      <w:marBottom w:val="0"/>
      <w:divBdr>
        <w:top w:val="none" w:sz="0" w:space="0" w:color="auto"/>
        <w:left w:val="none" w:sz="0" w:space="0" w:color="auto"/>
        <w:bottom w:val="none" w:sz="0" w:space="0" w:color="auto"/>
        <w:right w:val="none" w:sz="0" w:space="0" w:color="auto"/>
      </w:divBdr>
    </w:div>
    <w:div w:id="445009874">
      <w:bodyDiv w:val="1"/>
      <w:marLeft w:val="0"/>
      <w:marRight w:val="0"/>
      <w:marTop w:val="0"/>
      <w:marBottom w:val="0"/>
      <w:divBdr>
        <w:top w:val="none" w:sz="0" w:space="0" w:color="auto"/>
        <w:left w:val="none" w:sz="0" w:space="0" w:color="auto"/>
        <w:bottom w:val="none" w:sz="0" w:space="0" w:color="auto"/>
        <w:right w:val="none" w:sz="0" w:space="0" w:color="auto"/>
      </w:divBdr>
    </w:div>
    <w:div w:id="450128117">
      <w:bodyDiv w:val="1"/>
      <w:marLeft w:val="0"/>
      <w:marRight w:val="0"/>
      <w:marTop w:val="0"/>
      <w:marBottom w:val="0"/>
      <w:divBdr>
        <w:top w:val="none" w:sz="0" w:space="0" w:color="auto"/>
        <w:left w:val="none" w:sz="0" w:space="0" w:color="auto"/>
        <w:bottom w:val="none" w:sz="0" w:space="0" w:color="auto"/>
        <w:right w:val="none" w:sz="0" w:space="0" w:color="auto"/>
      </w:divBdr>
    </w:div>
    <w:div w:id="450901727">
      <w:bodyDiv w:val="1"/>
      <w:marLeft w:val="0"/>
      <w:marRight w:val="0"/>
      <w:marTop w:val="0"/>
      <w:marBottom w:val="0"/>
      <w:divBdr>
        <w:top w:val="none" w:sz="0" w:space="0" w:color="auto"/>
        <w:left w:val="none" w:sz="0" w:space="0" w:color="auto"/>
        <w:bottom w:val="none" w:sz="0" w:space="0" w:color="auto"/>
        <w:right w:val="none" w:sz="0" w:space="0" w:color="auto"/>
      </w:divBdr>
    </w:div>
    <w:div w:id="452677422">
      <w:bodyDiv w:val="1"/>
      <w:marLeft w:val="0"/>
      <w:marRight w:val="0"/>
      <w:marTop w:val="0"/>
      <w:marBottom w:val="0"/>
      <w:divBdr>
        <w:top w:val="none" w:sz="0" w:space="0" w:color="auto"/>
        <w:left w:val="none" w:sz="0" w:space="0" w:color="auto"/>
        <w:bottom w:val="none" w:sz="0" w:space="0" w:color="auto"/>
        <w:right w:val="none" w:sz="0" w:space="0" w:color="auto"/>
      </w:divBdr>
    </w:div>
    <w:div w:id="454064042">
      <w:bodyDiv w:val="1"/>
      <w:marLeft w:val="0"/>
      <w:marRight w:val="0"/>
      <w:marTop w:val="0"/>
      <w:marBottom w:val="0"/>
      <w:divBdr>
        <w:top w:val="none" w:sz="0" w:space="0" w:color="auto"/>
        <w:left w:val="none" w:sz="0" w:space="0" w:color="auto"/>
        <w:bottom w:val="none" w:sz="0" w:space="0" w:color="auto"/>
        <w:right w:val="none" w:sz="0" w:space="0" w:color="auto"/>
      </w:divBdr>
    </w:div>
    <w:div w:id="455027897">
      <w:bodyDiv w:val="1"/>
      <w:marLeft w:val="0"/>
      <w:marRight w:val="0"/>
      <w:marTop w:val="0"/>
      <w:marBottom w:val="0"/>
      <w:divBdr>
        <w:top w:val="none" w:sz="0" w:space="0" w:color="auto"/>
        <w:left w:val="none" w:sz="0" w:space="0" w:color="auto"/>
        <w:bottom w:val="none" w:sz="0" w:space="0" w:color="auto"/>
        <w:right w:val="none" w:sz="0" w:space="0" w:color="auto"/>
      </w:divBdr>
    </w:div>
    <w:div w:id="456686679">
      <w:bodyDiv w:val="1"/>
      <w:marLeft w:val="0"/>
      <w:marRight w:val="0"/>
      <w:marTop w:val="0"/>
      <w:marBottom w:val="0"/>
      <w:divBdr>
        <w:top w:val="none" w:sz="0" w:space="0" w:color="auto"/>
        <w:left w:val="none" w:sz="0" w:space="0" w:color="auto"/>
        <w:bottom w:val="none" w:sz="0" w:space="0" w:color="auto"/>
        <w:right w:val="none" w:sz="0" w:space="0" w:color="auto"/>
      </w:divBdr>
    </w:div>
    <w:div w:id="463043033">
      <w:bodyDiv w:val="1"/>
      <w:marLeft w:val="0"/>
      <w:marRight w:val="0"/>
      <w:marTop w:val="0"/>
      <w:marBottom w:val="0"/>
      <w:divBdr>
        <w:top w:val="none" w:sz="0" w:space="0" w:color="auto"/>
        <w:left w:val="none" w:sz="0" w:space="0" w:color="auto"/>
        <w:bottom w:val="none" w:sz="0" w:space="0" w:color="auto"/>
        <w:right w:val="none" w:sz="0" w:space="0" w:color="auto"/>
      </w:divBdr>
    </w:div>
    <w:div w:id="464466213">
      <w:bodyDiv w:val="1"/>
      <w:marLeft w:val="0"/>
      <w:marRight w:val="0"/>
      <w:marTop w:val="0"/>
      <w:marBottom w:val="0"/>
      <w:divBdr>
        <w:top w:val="none" w:sz="0" w:space="0" w:color="auto"/>
        <w:left w:val="none" w:sz="0" w:space="0" w:color="auto"/>
        <w:bottom w:val="none" w:sz="0" w:space="0" w:color="auto"/>
        <w:right w:val="none" w:sz="0" w:space="0" w:color="auto"/>
      </w:divBdr>
    </w:div>
    <w:div w:id="467472899">
      <w:bodyDiv w:val="1"/>
      <w:marLeft w:val="0"/>
      <w:marRight w:val="0"/>
      <w:marTop w:val="0"/>
      <w:marBottom w:val="0"/>
      <w:divBdr>
        <w:top w:val="none" w:sz="0" w:space="0" w:color="auto"/>
        <w:left w:val="none" w:sz="0" w:space="0" w:color="auto"/>
        <w:bottom w:val="none" w:sz="0" w:space="0" w:color="auto"/>
        <w:right w:val="none" w:sz="0" w:space="0" w:color="auto"/>
      </w:divBdr>
    </w:div>
    <w:div w:id="469715573">
      <w:bodyDiv w:val="1"/>
      <w:marLeft w:val="0"/>
      <w:marRight w:val="0"/>
      <w:marTop w:val="0"/>
      <w:marBottom w:val="0"/>
      <w:divBdr>
        <w:top w:val="none" w:sz="0" w:space="0" w:color="auto"/>
        <w:left w:val="none" w:sz="0" w:space="0" w:color="auto"/>
        <w:bottom w:val="none" w:sz="0" w:space="0" w:color="auto"/>
        <w:right w:val="none" w:sz="0" w:space="0" w:color="auto"/>
      </w:divBdr>
    </w:div>
    <w:div w:id="469910129">
      <w:bodyDiv w:val="1"/>
      <w:marLeft w:val="0"/>
      <w:marRight w:val="0"/>
      <w:marTop w:val="0"/>
      <w:marBottom w:val="0"/>
      <w:divBdr>
        <w:top w:val="none" w:sz="0" w:space="0" w:color="auto"/>
        <w:left w:val="none" w:sz="0" w:space="0" w:color="auto"/>
        <w:bottom w:val="none" w:sz="0" w:space="0" w:color="auto"/>
        <w:right w:val="none" w:sz="0" w:space="0" w:color="auto"/>
      </w:divBdr>
    </w:div>
    <w:div w:id="472723781">
      <w:bodyDiv w:val="1"/>
      <w:marLeft w:val="0"/>
      <w:marRight w:val="0"/>
      <w:marTop w:val="0"/>
      <w:marBottom w:val="0"/>
      <w:divBdr>
        <w:top w:val="none" w:sz="0" w:space="0" w:color="auto"/>
        <w:left w:val="none" w:sz="0" w:space="0" w:color="auto"/>
        <w:bottom w:val="none" w:sz="0" w:space="0" w:color="auto"/>
        <w:right w:val="none" w:sz="0" w:space="0" w:color="auto"/>
      </w:divBdr>
    </w:div>
    <w:div w:id="474030913">
      <w:bodyDiv w:val="1"/>
      <w:marLeft w:val="0"/>
      <w:marRight w:val="0"/>
      <w:marTop w:val="0"/>
      <w:marBottom w:val="0"/>
      <w:divBdr>
        <w:top w:val="none" w:sz="0" w:space="0" w:color="auto"/>
        <w:left w:val="none" w:sz="0" w:space="0" w:color="auto"/>
        <w:bottom w:val="none" w:sz="0" w:space="0" w:color="auto"/>
        <w:right w:val="none" w:sz="0" w:space="0" w:color="auto"/>
      </w:divBdr>
    </w:div>
    <w:div w:id="484008235">
      <w:bodyDiv w:val="1"/>
      <w:marLeft w:val="0"/>
      <w:marRight w:val="0"/>
      <w:marTop w:val="0"/>
      <w:marBottom w:val="0"/>
      <w:divBdr>
        <w:top w:val="none" w:sz="0" w:space="0" w:color="auto"/>
        <w:left w:val="none" w:sz="0" w:space="0" w:color="auto"/>
        <w:bottom w:val="none" w:sz="0" w:space="0" w:color="auto"/>
        <w:right w:val="none" w:sz="0" w:space="0" w:color="auto"/>
      </w:divBdr>
    </w:div>
    <w:div w:id="484055790">
      <w:bodyDiv w:val="1"/>
      <w:marLeft w:val="0"/>
      <w:marRight w:val="0"/>
      <w:marTop w:val="0"/>
      <w:marBottom w:val="0"/>
      <w:divBdr>
        <w:top w:val="none" w:sz="0" w:space="0" w:color="auto"/>
        <w:left w:val="none" w:sz="0" w:space="0" w:color="auto"/>
        <w:bottom w:val="none" w:sz="0" w:space="0" w:color="auto"/>
        <w:right w:val="none" w:sz="0" w:space="0" w:color="auto"/>
      </w:divBdr>
    </w:div>
    <w:div w:id="485316282">
      <w:bodyDiv w:val="1"/>
      <w:marLeft w:val="0"/>
      <w:marRight w:val="0"/>
      <w:marTop w:val="0"/>
      <w:marBottom w:val="0"/>
      <w:divBdr>
        <w:top w:val="none" w:sz="0" w:space="0" w:color="auto"/>
        <w:left w:val="none" w:sz="0" w:space="0" w:color="auto"/>
        <w:bottom w:val="none" w:sz="0" w:space="0" w:color="auto"/>
        <w:right w:val="none" w:sz="0" w:space="0" w:color="auto"/>
      </w:divBdr>
    </w:div>
    <w:div w:id="485560556">
      <w:bodyDiv w:val="1"/>
      <w:marLeft w:val="0"/>
      <w:marRight w:val="0"/>
      <w:marTop w:val="0"/>
      <w:marBottom w:val="0"/>
      <w:divBdr>
        <w:top w:val="none" w:sz="0" w:space="0" w:color="auto"/>
        <w:left w:val="none" w:sz="0" w:space="0" w:color="auto"/>
        <w:bottom w:val="none" w:sz="0" w:space="0" w:color="auto"/>
        <w:right w:val="none" w:sz="0" w:space="0" w:color="auto"/>
      </w:divBdr>
    </w:div>
    <w:div w:id="485778865">
      <w:bodyDiv w:val="1"/>
      <w:marLeft w:val="0"/>
      <w:marRight w:val="0"/>
      <w:marTop w:val="0"/>
      <w:marBottom w:val="0"/>
      <w:divBdr>
        <w:top w:val="none" w:sz="0" w:space="0" w:color="auto"/>
        <w:left w:val="none" w:sz="0" w:space="0" w:color="auto"/>
        <w:bottom w:val="none" w:sz="0" w:space="0" w:color="auto"/>
        <w:right w:val="none" w:sz="0" w:space="0" w:color="auto"/>
      </w:divBdr>
    </w:div>
    <w:div w:id="485783643">
      <w:bodyDiv w:val="1"/>
      <w:marLeft w:val="0"/>
      <w:marRight w:val="0"/>
      <w:marTop w:val="0"/>
      <w:marBottom w:val="0"/>
      <w:divBdr>
        <w:top w:val="none" w:sz="0" w:space="0" w:color="auto"/>
        <w:left w:val="none" w:sz="0" w:space="0" w:color="auto"/>
        <w:bottom w:val="none" w:sz="0" w:space="0" w:color="auto"/>
        <w:right w:val="none" w:sz="0" w:space="0" w:color="auto"/>
      </w:divBdr>
    </w:div>
    <w:div w:id="486632107">
      <w:bodyDiv w:val="1"/>
      <w:marLeft w:val="0"/>
      <w:marRight w:val="0"/>
      <w:marTop w:val="0"/>
      <w:marBottom w:val="0"/>
      <w:divBdr>
        <w:top w:val="none" w:sz="0" w:space="0" w:color="auto"/>
        <w:left w:val="none" w:sz="0" w:space="0" w:color="auto"/>
        <w:bottom w:val="none" w:sz="0" w:space="0" w:color="auto"/>
        <w:right w:val="none" w:sz="0" w:space="0" w:color="auto"/>
      </w:divBdr>
    </w:div>
    <w:div w:id="487794824">
      <w:bodyDiv w:val="1"/>
      <w:marLeft w:val="0"/>
      <w:marRight w:val="0"/>
      <w:marTop w:val="0"/>
      <w:marBottom w:val="0"/>
      <w:divBdr>
        <w:top w:val="none" w:sz="0" w:space="0" w:color="auto"/>
        <w:left w:val="none" w:sz="0" w:space="0" w:color="auto"/>
        <w:bottom w:val="none" w:sz="0" w:space="0" w:color="auto"/>
        <w:right w:val="none" w:sz="0" w:space="0" w:color="auto"/>
      </w:divBdr>
    </w:div>
    <w:div w:id="489637078">
      <w:bodyDiv w:val="1"/>
      <w:marLeft w:val="0"/>
      <w:marRight w:val="0"/>
      <w:marTop w:val="0"/>
      <w:marBottom w:val="0"/>
      <w:divBdr>
        <w:top w:val="none" w:sz="0" w:space="0" w:color="auto"/>
        <w:left w:val="none" w:sz="0" w:space="0" w:color="auto"/>
        <w:bottom w:val="none" w:sz="0" w:space="0" w:color="auto"/>
        <w:right w:val="none" w:sz="0" w:space="0" w:color="auto"/>
      </w:divBdr>
    </w:div>
    <w:div w:id="492718203">
      <w:bodyDiv w:val="1"/>
      <w:marLeft w:val="0"/>
      <w:marRight w:val="0"/>
      <w:marTop w:val="0"/>
      <w:marBottom w:val="0"/>
      <w:divBdr>
        <w:top w:val="none" w:sz="0" w:space="0" w:color="auto"/>
        <w:left w:val="none" w:sz="0" w:space="0" w:color="auto"/>
        <w:bottom w:val="none" w:sz="0" w:space="0" w:color="auto"/>
        <w:right w:val="none" w:sz="0" w:space="0" w:color="auto"/>
      </w:divBdr>
    </w:div>
    <w:div w:id="495078197">
      <w:bodyDiv w:val="1"/>
      <w:marLeft w:val="0"/>
      <w:marRight w:val="0"/>
      <w:marTop w:val="0"/>
      <w:marBottom w:val="0"/>
      <w:divBdr>
        <w:top w:val="none" w:sz="0" w:space="0" w:color="auto"/>
        <w:left w:val="none" w:sz="0" w:space="0" w:color="auto"/>
        <w:bottom w:val="none" w:sz="0" w:space="0" w:color="auto"/>
        <w:right w:val="none" w:sz="0" w:space="0" w:color="auto"/>
      </w:divBdr>
    </w:div>
    <w:div w:id="498882956">
      <w:bodyDiv w:val="1"/>
      <w:marLeft w:val="0"/>
      <w:marRight w:val="0"/>
      <w:marTop w:val="0"/>
      <w:marBottom w:val="0"/>
      <w:divBdr>
        <w:top w:val="none" w:sz="0" w:space="0" w:color="auto"/>
        <w:left w:val="none" w:sz="0" w:space="0" w:color="auto"/>
        <w:bottom w:val="none" w:sz="0" w:space="0" w:color="auto"/>
        <w:right w:val="none" w:sz="0" w:space="0" w:color="auto"/>
      </w:divBdr>
    </w:div>
    <w:div w:id="500464874">
      <w:bodyDiv w:val="1"/>
      <w:marLeft w:val="0"/>
      <w:marRight w:val="0"/>
      <w:marTop w:val="0"/>
      <w:marBottom w:val="0"/>
      <w:divBdr>
        <w:top w:val="none" w:sz="0" w:space="0" w:color="auto"/>
        <w:left w:val="none" w:sz="0" w:space="0" w:color="auto"/>
        <w:bottom w:val="none" w:sz="0" w:space="0" w:color="auto"/>
        <w:right w:val="none" w:sz="0" w:space="0" w:color="auto"/>
      </w:divBdr>
    </w:div>
    <w:div w:id="500506511">
      <w:bodyDiv w:val="1"/>
      <w:marLeft w:val="0"/>
      <w:marRight w:val="0"/>
      <w:marTop w:val="0"/>
      <w:marBottom w:val="0"/>
      <w:divBdr>
        <w:top w:val="none" w:sz="0" w:space="0" w:color="auto"/>
        <w:left w:val="none" w:sz="0" w:space="0" w:color="auto"/>
        <w:bottom w:val="none" w:sz="0" w:space="0" w:color="auto"/>
        <w:right w:val="none" w:sz="0" w:space="0" w:color="auto"/>
      </w:divBdr>
    </w:div>
    <w:div w:id="502359254">
      <w:bodyDiv w:val="1"/>
      <w:marLeft w:val="0"/>
      <w:marRight w:val="0"/>
      <w:marTop w:val="0"/>
      <w:marBottom w:val="0"/>
      <w:divBdr>
        <w:top w:val="none" w:sz="0" w:space="0" w:color="auto"/>
        <w:left w:val="none" w:sz="0" w:space="0" w:color="auto"/>
        <w:bottom w:val="none" w:sz="0" w:space="0" w:color="auto"/>
        <w:right w:val="none" w:sz="0" w:space="0" w:color="auto"/>
      </w:divBdr>
    </w:div>
    <w:div w:id="503860094">
      <w:bodyDiv w:val="1"/>
      <w:marLeft w:val="0"/>
      <w:marRight w:val="0"/>
      <w:marTop w:val="0"/>
      <w:marBottom w:val="0"/>
      <w:divBdr>
        <w:top w:val="none" w:sz="0" w:space="0" w:color="auto"/>
        <w:left w:val="none" w:sz="0" w:space="0" w:color="auto"/>
        <w:bottom w:val="none" w:sz="0" w:space="0" w:color="auto"/>
        <w:right w:val="none" w:sz="0" w:space="0" w:color="auto"/>
      </w:divBdr>
    </w:div>
    <w:div w:id="504324276">
      <w:bodyDiv w:val="1"/>
      <w:marLeft w:val="0"/>
      <w:marRight w:val="0"/>
      <w:marTop w:val="0"/>
      <w:marBottom w:val="0"/>
      <w:divBdr>
        <w:top w:val="none" w:sz="0" w:space="0" w:color="auto"/>
        <w:left w:val="none" w:sz="0" w:space="0" w:color="auto"/>
        <w:bottom w:val="none" w:sz="0" w:space="0" w:color="auto"/>
        <w:right w:val="none" w:sz="0" w:space="0" w:color="auto"/>
      </w:divBdr>
    </w:div>
    <w:div w:id="504521371">
      <w:bodyDiv w:val="1"/>
      <w:marLeft w:val="0"/>
      <w:marRight w:val="0"/>
      <w:marTop w:val="0"/>
      <w:marBottom w:val="0"/>
      <w:divBdr>
        <w:top w:val="none" w:sz="0" w:space="0" w:color="auto"/>
        <w:left w:val="none" w:sz="0" w:space="0" w:color="auto"/>
        <w:bottom w:val="none" w:sz="0" w:space="0" w:color="auto"/>
        <w:right w:val="none" w:sz="0" w:space="0" w:color="auto"/>
      </w:divBdr>
    </w:div>
    <w:div w:id="504980952">
      <w:bodyDiv w:val="1"/>
      <w:marLeft w:val="0"/>
      <w:marRight w:val="0"/>
      <w:marTop w:val="0"/>
      <w:marBottom w:val="0"/>
      <w:divBdr>
        <w:top w:val="none" w:sz="0" w:space="0" w:color="auto"/>
        <w:left w:val="none" w:sz="0" w:space="0" w:color="auto"/>
        <w:bottom w:val="none" w:sz="0" w:space="0" w:color="auto"/>
        <w:right w:val="none" w:sz="0" w:space="0" w:color="auto"/>
      </w:divBdr>
    </w:div>
    <w:div w:id="506287320">
      <w:bodyDiv w:val="1"/>
      <w:marLeft w:val="0"/>
      <w:marRight w:val="0"/>
      <w:marTop w:val="0"/>
      <w:marBottom w:val="0"/>
      <w:divBdr>
        <w:top w:val="none" w:sz="0" w:space="0" w:color="auto"/>
        <w:left w:val="none" w:sz="0" w:space="0" w:color="auto"/>
        <w:bottom w:val="none" w:sz="0" w:space="0" w:color="auto"/>
        <w:right w:val="none" w:sz="0" w:space="0" w:color="auto"/>
      </w:divBdr>
    </w:div>
    <w:div w:id="510025425">
      <w:bodyDiv w:val="1"/>
      <w:marLeft w:val="0"/>
      <w:marRight w:val="0"/>
      <w:marTop w:val="0"/>
      <w:marBottom w:val="0"/>
      <w:divBdr>
        <w:top w:val="none" w:sz="0" w:space="0" w:color="auto"/>
        <w:left w:val="none" w:sz="0" w:space="0" w:color="auto"/>
        <w:bottom w:val="none" w:sz="0" w:space="0" w:color="auto"/>
        <w:right w:val="none" w:sz="0" w:space="0" w:color="auto"/>
      </w:divBdr>
    </w:div>
    <w:div w:id="516818472">
      <w:bodyDiv w:val="1"/>
      <w:marLeft w:val="0"/>
      <w:marRight w:val="0"/>
      <w:marTop w:val="0"/>
      <w:marBottom w:val="0"/>
      <w:divBdr>
        <w:top w:val="none" w:sz="0" w:space="0" w:color="auto"/>
        <w:left w:val="none" w:sz="0" w:space="0" w:color="auto"/>
        <w:bottom w:val="none" w:sz="0" w:space="0" w:color="auto"/>
        <w:right w:val="none" w:sz="0" w:space="0" w:color="auto"/>
      </w:divBdr>
    </w:div>
    <w:div w:id="517239237">
      <w:bodyDiv w:val="1"/>
      <w:marLeft w:val="0"/>
      <w:marRight w:val="0"/>
      <w:marTop w:val="0"/>
      <w:marBottom w:val="0"/>
      <w:divBdr>
        <w:top w:val="none" w:sz="0" w:space="0" w:color="auto"/>
        <w:left w:val="none" w:sz="0" w:space="0" w:color="auto"/>
        <w:bottom w:val="none" w:sz="0" w:space="0" w:color="auto"/>
        <w:right w:val="none" w:sz="0" w:space="0" w:color="auto"/>
      </w:divBdr>
    </w:div>
    <w:div w:id="517890316">
      <w:bodyDiv w:val="1"/>
      <w:marLeft w:val="0"/>
      <w:marRight w:val="0"/>
      <w:marTop w:val="0"/>
      <w:marBottom w:val="0"/>
      <w:divBdr>
        <w:top w:val="none" w:sz="0" w:space="0" w:color="auto"/>
        <w:left w:val="none" w:sz="0" w:space="0" w:color="auto"/>
        <w:bottom w:val="none" w:sz="0" w:space="0" w:color="auto"/>
        <w:right w:val="none" w:sz="0" w:space="0" w:color="auto"/>
      </w:divBdr>
    </w:div>
    <w:div w:id="520974666">
      <w:bodyDiv w:val="1"/>
      <w:marLeft w:val="0"/>
      <w:marRight w:val="0"/>
      <w:marTop w:val="0"/>
      <w:marBottom w:val="0"/>
      <w:divBdr>
        <w:top w:val="none" w:sz="0" w:space="0" w:color="auto"/>
        <w:left w:val="none" w:sz="0" w:space="0" w:color="auto"/>
        <w:bottom w:val="none" w:sz="0" w:space="0" w:color="auto"/>
        <w:right w:val="none" w:sz="0" w:space="0" w:color="auto"/>
      </w:divBdr>
    </w:div>
    <w:div w:id="522018094">
      <w:bodyDiv w:val="1"/>
      <w:marLeft w:val="0"/>
      <w:marRight w:val="0"/>
      <w:marTop w:val="0"/>
      <w:marBottom w:val="0"/>
      <w:divBdr>
        <w:top w:val="none" w:sz="0" w:space="0" w:color="auto"/>
        <w:left w:val="none" w:sz="0" w:space="0" w:color="auto"/>
        <w:bottom w:val="none" w:sz="0" w:space="0" w:color="auto"/>
        <w:right w:val="none" w:sz="0" w:space="0" w:color="auto"/>
      </w:divBdr>
    </w:div>
    <w:div w:id="524102962">
      <w:bodyDiv w:val="1"/>
      <w:marLeft w:val="0"/>
      <w:marRight w:val="0"/>
      <w:marTop w:val="0"/>
      <w:marBottom w:val="0"/>
      <w:divBdr>
        <w:top w:val="none" w:sz="0" w:space="0" w:color="auto"/>
        <w:left w:val="none" w:sz="0" w:space="0" w:color="auto"/>
        <w:bottom w:val="none" w:sz="0" w:space="0" w:color="auto"/>
        <w:right w:val="none" w:sz="0" w:space="0" w:color="auto"/>
      </w:divBdr>
    </w:div>
    <w:div w:id="525364714">
      <w:bodyDiv w:val="1"/>
      <w:marLeft w:val="0"/>
      <w:marRight w:val="0"/>
      <w:marTop w:val="0"/>
      <w:marBottom w:val="0"/>
      <w:divBdr>
        <w:top w:val="none" w:sz="0" w:space="0" w:color="auto"/>
        <w:left w:val="none" w:sz="0" w:space="0" w:color="auto"/>
        <w:bottom w:val="none" w:sz="0" w:space="0" w:color="auto"/>
        <w:right w:val="none" w:sz="0" w:space="0" w:color="auto"/>
      </w:divBdr>
    </w:div>
    <w:div w:id="529758743">
      <w:bodyDiv w:val="1"/>
      <w:marLeft w:val="0"/>
      <w:marRight w:val="0"/>
      <w:marTop w:val="0"/>
      <w:marBottom w:val="0"/>
      <w:divBdr>
        <w:top w:val="none" w:sz="0" w:space="0" w:color="auto"/>
        <w:left w:val="none" w:sz="0" w:space="0" w:color="auto"/>
        <w:bottom w:val="none" w:sz="0" w:space="0" w:color="auto"/>
        <w:right w:val="none" w:sz="0" w:space="0" w:color="auto"/>
      </w:divBdr>
    </w:div>
    <w:div w:id="532040704">
      <w:bodyDiv w:val="1"/>
      <w:marLeft w:val="0"/>
      <w:marRight w:val="0"/>
      <w:marTop w:val="0"/>
      <w:marBottom w:val="0"/>
      <w:divBdr>
        <w:top w:val="none" w:sz="0" w:space="0" w:color="auto"/>
        <w:left w:val="none" w:sz="0" w:space="0" w:color="auto"/>
        <w:bottom w:val="none" w:sz="0" w:space="0" w:color="auto"/>
        <w:right w:val="none" w:sz="0" w:space="0" w:color="auto"/>
      </w:divBdr>
    </w:div>
    <w:div w:id="539830088">
      <w:bodyDiv w:val="1"/>
      <w:marLeft w:val="0"/>
      <w:marRight w:val="0"/>
      <w:marTop w:val="0"/>
      <w:marBottom w:val="0"/>
      <w:divBdr>
        <w:top w:val="none" w:sz="0" w:space="0" w:color="auto"/>
        <w:left w:val="none" w:sz="0" w:space="0" w:color="auto"/>
        <w:bottom w:val="none" w:sz="0" w:space="0" w:color="auto"/>
        <w:right w:val="none" w:sz="0" w:space="0" w:color="auto"/>
      </w:divBdr>
    </w:div>
    <w:div w:id="540633029">
      <w:bodyDiv w:val="1"/>
      <w:marLeft w:val="0"/>
      <w:marRight w:val="0"/>
      <w:marTop w:val="0"/>
      <w:marBottom w:val="0"/>
      <w:divBdr>
        <w:top w:val="none" w:sz="0" w:space="0" w:color="auto"/>
        <w:left w:val="none" w:sz="0" w:space="0" w:color="auto"/>
        <w:bottom w:val="none" w:sz="0" w:space="0" w:color="auto"/>
        <w:right w:val="none" w:sz="0" w:space="0" w:color="auto"/>
      </w:divBdr>
    </w:div>
    <w:div w:id="543103877">
      <w:bodyDiv w:val="1"/>
      <w:marLeft w:val="0"/>
      <w:marRight w:val="0"/>
      <w:marTop w:val="0"/>
      <w:marBottom w:val="0"/>
      <w:divBdr>
        <w:top w:val="none" w:sz="0" w:space="0" w:color="auto"/>
        <w:left w:val="none" w:sz="0" w:space="0" w:color="auto"/>
        <w:bottom w:val="none" w:sz="0" w:space="0" w:color="auto"/>
        <w:right w:val="none" w:sz="0" w:space="0" w:color="auto"/>
      </w:divBdr>
    </w:div>
    <w:div w:id="543104050">
      <w:bodyDiv w:val="1"/>
      <w:marLeft w:val="0"/>
      <w:marRight w:val="0"/>
      <w:marTop w:val="0"/>
      <w:marBottom w:val="0"/>
      <w:divBdr>
        <w:top w:val="none" w:sz="0" w:space="0" w:color="auto"/>
        <w:left w:val="none" w:sz="0" w:space="0" w:color="auto"/>
        <w:bottom w:val="none" w:sz="0" w:space="0" w:color="auto"/>
        <w:right w:val="none" w:sz="0" w:space="0" w:color="auto"/>
      </w:divBdr>
    </w:div>
    <w:div w:id="543445959">
      <w:bodyDiv w:val="1"/>
      <w:marLeft w:val="0"/>
      <w:marRight w:val="0"/>
      <w:marTop w:val="0"/>
      <w:marBottom w:val="0"/>
      <w:divBdr>
        <w:top w:val="none" w:sz="0" w:space="0" w:color="auto"/>
        <w:left w:val="none" w:sz="0" w:space="0" w:color="auto"/>
        <w:bottom w:val="none" w:sz="0" w:space="0" w:color="auto"/>
        <w:right w:val="none" w:sz="0" w:space="0" w:color="auto"/>
      </w:divBdr>
    </w:div>
    <w:div w:id="544098360">
      <w:bodyDiv w:val="1"/>
      <w:marLeft w:val="0"/>
      <w:marRight w:val="0"/>
      <w:marTop w:val="0"/>
      <w:marBottom w:val="0"/>
      <w:divBdr>
        <w:top w:val="none" w:sz="0" w:space="0" w:color="auto"/>
        <w:left w:val="none" w:sz="0" w:space="0" w:color="auto"/>
        <w:bottom w:val="none" w:sz="0" w:space="0" w:color="auto"/>
        <w:right w:val="none" w:sz="0" w:space="0" w:color="auto"/>
      </w:divBdr>
    </w:div>
    <w:div w:id="544610084">
      <w:bodyDiv w:val="1"/>
      <w:marLeft w:val="0"/>
      <w:marRight w:val="0"/>
      <w:marTop w:val="0"/>
      <w:marBottom w:val="0"/>
      <w:divBdr>
        <w:top w:val="none" w:sz="0" w:space="0" w:color="auto"/>
        <w:left w:val="none" w:sz="0" w:space="0" w:color="auto"/>
        <w:bottom w:val="none" w:sz="0" w:space="0" w:color="auto"/>
        <w:right w:val="none" w:sz="0" w:space="0" w:color="auto"/>
      </w:divBdr>
    </w:div>
    <w:div w:id="549338802">
      <w:bodyDiv w:val="1"/>
      <w:marLeft w:val="0"/>
      <w:marRight w:val="0"/>
      <w:marTop w:val="0"/>
      <w:marBottom w:val="0"/>
      <w:divBdr>
        <w:top w:val="none" w:sz="0" w:space="0" w:color="auto"/>
        <w:left w:val="none" w:sz="0" w:space="0" w:color="auto"/>
        <w:bottom w:val="none" w:sz="0" w:space="0" w:color="auto"/>
        <w:right w:val="none" w:sz="0" w:space="0" w:color="auto"/>
      </w:divBdr>
    </w:div>
    <w:div w:id="549457213">
      <w:bodyDiv w:val="1"/>
      <w:marLeft w:val="0"/>
      <w:marRight w:val="0"/>
      <w:marTop w:val="0"/>
      <w:marBottom w:val="0"/>
      <w:divBdr>
        <w:top w:val="none" w:sz="0" w:space="0" w:color="auto"/>
        <w:left w:val="none" w:sz="0" w:space="0" w:color="auto"/>
        <w:bottom w:val="none" w:sz="0" w:space="0" w:color="auto"/>
        <w:right w:val="none" w:sz="0" w:space="0" w:color="auto"/>
      </w:divBdr>
    </w:div>
    <w:div w:id="551427256">
      <w:bodyDiv w:val="1"/>
      <w:marLeft w:val="0"/>
      <w:marRight w:val="0"/>
      <w:marTop w:val="0"/>
      <w:marBottom w:val="0"/>
      <w:divBdr>
        <w:top w:val="none" w:sz="0" w:space="0" w:color="auto"/>
        <w:left w:val="none" w:sz="0" w:space="0" w:color="auto"/>
        <w:bottom w:val="none" w:sz="0" w:space="0" w:color="auto"/>
        <w:right w:val="none" w:sz="0" w:space="0" w:color="auto"/>
      </w:divBdr>
    </w:div>
    <w:div w:id="555431029">
      <w:bodyDiv w:val="1"/>
      <w:marLeft w:val="0"/>
      <w:marRight w:val="0"/>
      <w:marTop w:val="0"/>
      <w:marBottom w:val="0"/>
      <w:divBdr>
        <w:top w:val="none" w:sz="0" w:space="0" w:color="auto"/>
        <w:left w:val="none" w:sz="0" w:space="0" w:color="auto"/>
        <w:bottom w:val="none" w:sz="0" w:space="0" w:color="auto"/>
        <w:right w:val="none" w:sz="0" w:space="0" w:color="auto"/>
      </w:divBdr>
    </w:div>
    <w:div w:id="558323371">
      <w:bodyDiv w:val="1"/>
      <w:marLeft w:val="0"/>
      <w:marRight w:val="0"/>
      <w:marTop w:val="0"/>
      <w:marBottom w:val="0"/>
      <w:divBdr>
        <w:top w:val="none" w:sz="0" w:space="0" w:color="auto"/>
        <w:left w:val="none" w:sz="0" w:space="0" w:color="auto"/>
        <w:bottom w:val="none" w:sz="0" w:space="0" w:color="auto"/>
        <w:right w:val="none" w:sz="0" w:space="0" w:color="auto"/>
      </w:divBdr>
    </w:div>
    <w:div w:id="561603749">
      <w:bodyDiv w:val="1"/>
      <w:marLeft w:val="0"/>
      <w:marRight w:val="0"/>
      <w:marTop w:val="0"/>
      <w:marBottom w:val="0"/>
      <w:divBdr>
        <w:top w:val="none" w:sz="0" w:space="0" w:color="auto"/>
        <w:left w:val="none" w:sz="0" w:space="0" w:color="auto"/>
        <w:bottom w:val="none" w:sz="0" w:space="0" w:color="auto"/>
        <w:right w:val="none" w:sz="0" w:space="0" w:color="auto"/>
      </w:divBdr>
    </w:div>
    <w:div w:id="563949267">
      <w:bodyDiv w:val="1"/>
      <w:marLeft w:val="0"/>
      <w:marRight w:val="0"/>
      <w:marTop w:val="0"/>
      <w:marBottom w:val="0"/>
      <w:divBdr>
        <w:top w:val="none" w:sz="0" w:space="0" w:color="auto"/>
        <w:left w:val="none" w:sz="0" w:space="0" w:color="auto"/>
        <w:bottom w:val="none" w:sz="0" w:space="0" w:color="auto"/>
        <w:right w:val="none" w:sz="0" w:space="0" w:color="auto"/>
      </w:divBdr>
    </w:div>
    <w:div w:id="565186909">
      <w:bodyDiv w:val="1"/>
      <w:marLeft w:val="0"/>
      <w:marRight w:val="0"/>
      <w:marTop w:val="0"/>
      <w:marBottom w:val="0"/>
      <w:divBdr>
        <w:top w:val="none" w:sz="0" w:space="0" w:color="auto"/>
        <w:left w:val="none" w:sz="0" w:space="0" w:color="auto"/>
        <w:bottom w:val="none" w:sz="0" w:space="0" w:color="auto"/>
        <w:right w:val="none" w:sz="0" w:space="0" w:color="auto"/>
      </w:divBdr>
    </w:div>
    <w:div w:id="567502483">
      <w:bodyDiv w:val="1"/>
      <w:marLeft w:val="0"/>
      <w:marRight w:val="0"/>
      <w:marTop w:val="0"/>
      <w:marBottom w:val="0"/>
      <w:divBdr>
        <w:top w:val="none" w:sz="0" w:space="0" w:color="auto"/>
        <w:left w:val="none" w:sz="0" w:space="0" w:color="auto"/>
        <w:bottom w:val="none" w:sz="0" w:space="0" w:color="auto"/>
        <w:right w:val="none" w:sz="0" w:space="0" w:color="auto"/>
      </w:divBdr>
    </w:div>
    <w:div w:id="567611070">
      <w:bodyDiv w:val="1"/>
      <w:marLeft w:val="0"/>
      <w:marRight w:val="0"/>
      <w:marTop w:val="0"/>
      <w:marBottom w:val="0"/>
      <w:divBdr>
        <w:top w:val="none" w:sz="0" w:space="0" w:color="auto"/>
        <w:left w:val="none" w:sz="0" w:space="0" w:color="auto"/>
        <w:bottom w:val="none" w:sz="0" w:space="0" w:color="auto"/>
        <w:right w:val="none" w:sz="0" w:space="0" w:color="auto"/>
      </w:divBdr>
    </w:div>
    <w:div w:id="571815214">
      <w:bodyDiv w:val="1"/>
      <w:marLeft w:val="0"/>
      <w:marRight w:val="0"/>
      <w:marTop w:val="0"/>
      <w:marBottom w:val="0"/>
      <w:divBdr>
        <w:top w:val="none" w:sz="0" w:space="0" w:color="auto"/>
        <w:left w:val="none" w:sz="0" w:space="0" w:color="auto"/>
        <w:bottom w:val="none" w:sz="0" w:space="0" w:color="auto"/>
        <w:right w:val="none" w:sz="0" w:space="0" w:color="auto"/>
      </w:divBdr>
    </w:div>
    <w:div w:id="571819556">
      <w:bodyDiv w:val="1"/>
      <w:marLeft w:val="0"/>
      <w:marRight w:val="0"/>
      <w:marTop w:val="0"/>
      <w:marBottom w:val="0"/>
      <w:divBdr>
        <w:top w:val="none" w:sz="0" w:space="0" w:color="auto"/>
        <w:left w:val="none" w:sz="0" w:space="0" w:color="auto"/>
        <w:bottom w:val="none" w:sz="0" w:space="0" w:color="auto"/>
        <w:right w:val="none" w:sz="0" w:space="0" w:color="auto"/>
      </w:divBdr>
    </w:div>
    <w:div w:id="573586031">
      <w:bodyDiv w:val="1"/>
      <w:marLeft w:val="0"/>
      <w:marRight w:val="0"/>
      <w:marTop w:val="0"/>
      <w:marBottom w:val="0"/>
      <w:divBdr>
        <w:top w:val="none" w:sz="0" w:space="0" w:color="auto"/>
        <w:left w:val="none" w:sz="0" w:space="0" w:color="auto"/>
        <w:bottom w:val="none" w:sz="0" w:space="0" w:color="auto"/>
        <w:right w:val="none" w:sz="0" w:space="0" w:color="auto"/>
      </w:divBdr>
    </w:div>
    <w:div w:id="574516826">
      <w:bodyDiv w:val="1"/>
      <w:marLeft w:val="0"/>
      <w:marRight w:val="0"/>
      <w:marTop w:val="0"/>
      <w:marBottom w:val="0"/>
      <w:divBdr>
        <w:top w:val="none" w:sz="0" w:space="0" w:color="auto"/>
        <w:left w:val="none" w:sz="0" w:space="0" w:color="auto"/>
        <w:bottom w:val="none" w:sz="0" w:space="0" w:color="auto"/>
        <w:right w:val="none" w:sz="0" w:space="0" w:color="auto"/>
      </w:divBdr>
    </w:div>
    <w:div w:id="574517156">
      <w:bodyDiv w:val="1"/>
      <w:marLeft w:val="0"/>
      <w:marRight w:val="0"/>
      <w:marTop w:val="0"/>
      <w:marBottom w:val="0"/>
      <w:divBdr>
        <w:top w:val="none" w:sz="0" w:space="0" w:color="auto"/>
        <w:left w:val="none" w:sz="0" w:space="0" w:color="auto"/>
        <w:bottom w:val="none" w:sz="0" w:space="0" w:color="auto"/>
        <w:right w:val="none" w:sz="0" w:space="0" w:color="auto"/>
      </w:divBdr>
    </w:div>
    <w:div w:id="576981079">
      <w:bodyDiv w:val="1"/>
      <w:marLeft w:val="0"/>
      <w:marRight w:val="0"/>
      <w:marTop w:val="0"/>
      <w:marBottom w:val="0"/>
      <w:divBdr>
        <w:top w:val="none" w:sz="0" w:space="0" w:color="auto"/>
        <w:left w:val="none" w:sz="0" w:space="0" w:color="auto"/>
        <w:bottom w:val="none" w:sz="0" w:space="0" w:color="auto"/>
        <w:right w:val="none" w:sz="0" w:space="0" w:color="auto"/>
      </w:divBdr>
    </w:div>
    <w:div w:id="578175063">
      <w:bodyDiv w:val="1"/>
      <w:marLeft w:val="0"/>
      <w:marRight w:val="0"/>
      <w:marTop w:val="0"/>
      <w:marBottom w:val="0"/>
      <w:divBdr>
        <w:top w:val="none" w:sz="0" w:space="0" w:color="auto"/>
        <w:left w:val="none" w:sz="0" w:space="0" w:color="auto"/>
        <w:bottom w:val="none" w:sz="0" w:space="0" w:color="auto"/>
        <w:right w:val="none" w:sz="0" w:space="0" w:color="auto"/>
      </w:divBdr>
    </w:div>
    <w:div w:id="578902984">
      <w:bodyDiv w:val="1"/>
      <w:marLeft w:val="0"/>
      <w:marRight w:val="0"/>
      <w:marTop w:val="0"/>
      <w:marBottom w:val="0"/>
      <w:divBdr>
        <w:top w:val="none" w:sz="0" w:space="0" w:color="auto"/>
        <w:left w:val="none" w:sz="0" w:space="0" w:color="auto"/>
        <w:bottom w:val="none" w:sz="0" w:space="0" w:color="auto"/>
        <w:right w:val="none" w:sz="0" w:space="0" w:color="auto"/>
      </w:divBdr>
    </w:div>
    <w:div w:id="579829187">
      <w:bodyDiv w:val="1"/>
      <w:marLeft w:val="0"/>
      <w:marRight w:val="0"/>
      <w:marTop w:val="0"/>
      <w:marBottom w:val="0"/>
      <w:divBdr>
        <w:top w:val="none" w:sz="0" w:space="0" w:color="auto"/>
        <w:left w:val="none" w:sz="0" w:space="0" w:color="auto"/>
        <w:bottom w:val="none" w:sz="0" w:space="0" w:color="auto"/>
        <w:right w:val="none" w:sz="0" w:space="0" w:color="auto"/>
      </w:divBdr>
    </w:div>
    <w:div w:id="581721886">
      <w:bodyDiv w:val="1"/>
      <w:marLeft w:val="0"/>
      <w:marRight w:val="0"/>
      <w:marTop w:val="0"/>
      <w:marBottom w:val="0"/>
      <w:divBdr>
        <w:top w:val="none" w:sz="0" w:space="0" w:color="auto"/>
        <w:left w:val="none" w:sz="0" w:space="0" w:color="auto"/>
        <w:bottom w:val="none" w:sz="0" w:space="0" w:color="auto"/>
        <w:right w:val="none" w:sz="0" w:space="0" w:color="auto"/>
      </w:divBdr>
    </w:div>
    <w:div w:id="581795512">
      <w:bodyDiv w:val="1"/>
      <w:marLeft w:val="0"/>
      <w:marRight w:val="0"/>
      <w:marTop w:val="0"/>
      <w:marBottom w:val="0"/>
      <w:divBdr>
        <w:top w:val="none" w:sz="0" w:space="0" w:color="auto"/>
        <w:left w:val="none" w:sz="0" w:space="0" w:color="auto"/>
        <w:bottom w:val="none" w:sz="0" w:space="0" w:color="auto"/>
        <w:right w:val="none" w:sz="0" w:space="0" w:color="auto"/>
      </w:divBdr>
    </w:div>
    <w:div w:id="586160466">
      <w:bodyDiv w:val="1"/>
      <w:marLeft w:val="0"/>
      <w:marRight w:val="0"/>
      <w:marTop w:val="0"/>
      <w:marBottom w:val="0"/>
      <w:divBdr>
        <w:top w:val="none" w:sz="0" w:space="0" w:color="auto"/>
        <w:left w:val="none" w:sz="0" w:space="0" w:color="auto"/>
        <w:bottom w:val="none" w:sz="0" w:space="0" w:color="auto"/>
        <w:right w:val="none" w:sz="0" w:space="0" w:color="auto"/>
      </w:divBdr>
    </w:div>
    <w:div w:id="587496896">
      <w:bodyDiv w:val="1"/>
      <w:marLeft w:val="0"/>
      <w:marRight w:val="0"/>
      <w:marTop w:val="0"/>
      <w:marBottom w:val="0"/>
      <w:divBdr>
        <w:top w:val="none" w:sz="0" w:space="0" w:color="auto"/>
        <w:left w:val="none" w:sz="0" w:space="0" w:color="auto"/>
        <w:bottom w:val="none" w:sz="0" w:space="0" w:color="auto"/>
        <w:right w:val="none" w:sz="0" w:space="0" w:color="auto"/>
      </w:divBdr>
    </w:div>
    <w:div w:id="587688801">
      <w:bodyDiv w:val="1"/>
      <w:marLeft w:val="0"/>
      <w:marRight w:val="0"/>
      <w:marTop w:val="0"/>
      <w:marBottom w:val="0"/>
      <w:divBdr>
        <w:top w:val="none" w:sz="0" w:space="0" w:color="auto"/>
        <w:left w:val="none" w:sz="0" w:space="0" w:color="auto"/>
        <w:bottom w:val="none" w:sz="0" w:space="0" w:color="auto"/>
        <w:right w:val="none" w:sz="0" w:space="0" w:color="auto"/>
      </w:divBdr>
    </w:div>
    <w:div w:id="588391315">
      <w:bodyDiv w:val="1"/>
      <w:marLeft w:val="0"/>
      <w:marRight w:val="0"/>
      <w:marTop w:val="0"/>
      <w:marBottom w:val="0"/>
      <w:divBdr>
        <w:top w:val="none" w:sz="0" w:space="0" w:color="auto"/>
        <w:left w:val="none" w:sz="0" w:space="0" w:color="auto"/>
        <w:bottom w:val="none" w:sz="0" w:space="0" w:color="auto"/>
        <w:right w:val="none" w:sz="0" w:space="0" w:color="auto"/>
      </w:divBdr>
    </w:div>
    <w:div w:id="588542854">
      <w:bodyDiv w:val="1"/>
      <w:marLeft w:val="0"/>
      <w:marRight w:val="0"/>
      <w:marTop w:val="0"/>
      <w:marBottom w:val="0"/>
      <w:divBdr>
        <w:top w:val="none" w:sz="0" w:space="0" w:color="auto"/>
        <w:left w:val="none" w:sz="0" w:space="0" w:color="auto"/>
        <w:bottom w:val="none" w:sz="0" w:space="0" w:color="auto"/>
        <w:right w:val="none" w:sz="0" w:space="0" w:color="auto"/>
      </w:divBdr>
    </w:div>
    <w:div w:id="590284376">
      <w:bodyDiv w:val="1"/>
      <w:marLeft w:val="0"/>
      <w:marRight w:val="0"/>
      <w:marTop w:val="0"/>
      <w:marBottom w:val="0"/>
      <w:divBdr>
        <w:top w:val="none" w:sz="0" w:space="0" w:color="auto"/>
        <w:left w:val="none" w:sz="0" w:space="0" w:color="auto"/>
        <w:bottom w:val="none" w:sz="0" w:space="0" w:color="auto"/>
        <w:right w:val="none" w:sz="0" w:space="0" w:color="auto"/>
      </w:divBdr>
    </w:div>
    <w:div w:id="590623922">
      <w:bodyDiv w:val="1"/>
      <w:marLeft w:val="0"/>
      <w:marRight w:val="0"/>
      <w:marTop w:val="0"/>
      <w:marBottom w:val="0"/>
      <w:divBdr>
        <w:top w:val="none" w:sz="0" w:space="0" w:color="auto"/>
        <w:left w:val="none" w:sz="0" w:space="0" w:color="auto"/>
        <w:bottom w:val="none" w:sz="0" w:space="0" w:color="auto"/>
        <w:right w:val="none" w:sz="0" w:space="0" w:color="auto"/>
      </w:divBdr>
    </w:div>
    <w:div w:id="590965765">
      <w:bodyDiv w:val="1"/>
      <w:marLeft w:val="0"/>
      <w:marRight w:val="0"/>
      <w:marTop w:val="0"/>
      <w:marBottom w:val="0"/>
      <w:divBdr>
        <w:top w:val="none" w:sz="0" w:space="0" w:color="auto"/>
        <w:left w:val="none" w:sz="0" w:space="0" w:color="auto"/>
        <w:bottom w:val="none" w:sz="0" w:space="0" w:color="auto"/>
        <w:right w:val="none" w:sz="0" w:space="0" w:color="auto"/>
      </w:divBdr>
    </w:div>
    <w:div w:id="592587556">
      <w:bodyDiv w:val="1"/>
      <w:marLeft w:val="0"/>
      <w:marRight w:val="0"/>
      <w:marTop w:val="0"/>
      <w:marBottom w:val="0"/>
      <w:divBdr>
        <w:top w:val="none" w:sz="0" w:space="0" w:color="auto"/>
        <w:left w:val="none" w:sz="0" w:space="0" w:color="auto"/>
        <w:bottom w:val="none" w:sz="0" w:space="0" w:color="auto"/>
        <w:right w:val="none" w:sz="0" w:space="0" w:color="auto"/>
      </w:divBdr>
    </w:div>
    <w:div w:id="594674449">
      <w:bodyDiv w:val="1"/>
      <w:marLeft w:val="0"/>
      <w:marRight w:val="0"/>
      <w:marTop w:val="0"/>
      <w:marBottom w:val="0"/>
      <w:divBdr>
        <w:top w:val="none" w:sz="0" w:space="0" w:color="auto"/>
        <w:left w:val="none" w:sz="0" w:space="0" w:color="auto"/>
        <w:bottom w:val="none" w:sz="0" w:space="0" w:color="auto"/>
        <w:right w:val="none" w:sz="0" w:space="0" w:color="auto"/>
      </w:divBdr>
    </w:div>
    <w:div w:id="596331555">
      <w:bodyDiv w:val="1"/>
      <w:marLeft w:val="0"/>
      <w:marRight w:val="0"/>
      <w:marTop w:val="0"/>
      <w:marBottom w:val="0"/>
      <w:divBdr>
        <w:top w:val="none" w:sz="0" w:space="0" w:color="auto"/>
        <w:left w:val="none" w:sz="0" w:space="0" w:color="auto"/>
        <w:bottom w:val="none" w:sz="0" w:space="0" w:color="auto"/>
        <w:right w:val="none" w:sz="0" w:space="0" w:color="auto"/>
      </w:divBdr>
    </w:div>
    <w:div w:id="598415540">
      <w:bodyDiv w:val="1"/>
      <w:marLeft w:val="0"/>
      <w:marRight w:val="0"/>
      <w:marTop w:val="0"/>
      <w:marBottom w:val="0"/>
      <w:divBdr>
        <w:top w:val="none" w:sz="0" w:space="0" w:color="auto"/>
        <w:left w:val="none" w:sz="0" w:space="0" w:color="auto"/>
        <w:bottom w:val="none" w:sz="0" w:space="0" w:color="auto"/>
        <w:right w:val="none" w:sz="0" w:space="0" w:color="auto"/>
      </w:divBdr>
    </w:div>
    <w:div w:id="600376793">
      <w:bodyDiv w:val="1"/>
      <w:marLeft w:val="0"/>
      <w:marRight w:val="0"/>
      <w:marTop w:val="0"/>
      <w:marBottom w:val="0"/>
      <w:divBdr>
        <w:top w:val="none" w:sz="0" w:space="0" w:color="auto"/>
        <w:left w:val="none" w:sz="0" w:space="0" w:color="auto"/>
        <w:bottom w:val="none" w:sz="0" w:space="0" w:color="auto"/>
        <w:right w:val="none" w:sz="0" w:space="0" w:color="auto"/>
      </w:divBdr>
    </w:div>
    <w:div w:id="602881725">
      <w:bodyDiv w:val="1"/>
      <w:marLeft w:val="0"/>
      <w:marRight w:val="0"/>
      <w:marTop w:val="0"/>
      <w:marBottom w:val="0"/>
      <w:divBdr>
        <w:top w:val="none" w:sz="0" w:space="0" w:color="auto"/>
        <w:left w:val="none" w:sz="0" w:space="0" w:color="auto"/>
        <w:bottom w:val="none" w:sz="0" w:space="0" w:color="auto"/>
        <w:right w:val="none" w:sz="0" w:space="0" w:color="auto"/>
      </w:divBdr>
    </w:div>
    <w:div w:id="603852642">
      <w:bodyDiv w:val="1"/>
      <w:marLeft w:val="0"/>
      <w:marRight w:val="0"/>
      <w:marTop w:val="0"/>
      <w:marBottom w:val="0"/>
      <w:divBdr>
        <w:top w:val="none" w:sz="0" w:space="0" w:color="auto"/>
        <w:left w:val="none" w:sz="0" w:space="0" w:color="auto"/>
        <w:bottom w:val="none" w:sz="0" w:space="0" w:color="auto"/>
        <w:right w:val="none" w:sz="0" w:space="0" w:color="auto"/>
      </w:divBdr>
    </w:div>
    <w:div w:id="605043703">
      <w:bodyDiv w:val="1"/>
      <w:marLeft w:val="0"/>
      <w:marRight w:val="0"/>
      <w:marTop w:val="0"/>
      <w:marBottom w:val="0"/>
      <w:divBdr>
        <w:top w:val="none" w:sz="0" w:space="0" w:color="auto"/>
        <w:left w:val="none" w:sz="0" w:space="0" w:color="auto"/>
        <w:bottom w:val="none" w:sz="0" w:space="0" w:color="auto"/>
        <w:right w:val="none" w:sz="0" w:space="0" w:color="auto"/>
      </w:divBdr>
    </w:div>
    <w:div w:id="606739919">
      <w:bodyDiv w:val="1"/>
      <w:marLeft w:val="0"/>
      <w:marRight w:val="0"/>
      <w:marTop w:val="0"/>
      <w:marBottom w:val="0"/>
      <w:divBdr>
        <w:top w:val="none" w:sz="0" w:space="0" w:color="auto"/>
        <w:left w:val="none" w:sz="0" w:space="0" w:color="auto"/>
        <w:bottom w:val="none" w:sz="0" w:space="0" w:color="auto"/>
        <w:right w:val="none" w:sz="0" w:space="0" w:color="auto"/>
      </w:divBdr>
    </w:div>
    <w:div w:id="607547998">
      <w:bodyDiv w:val="1"/>
      <w:marLeft w:val="0"/>
      <w:marRight w:val="0"/>
      <w:marTop w:val="0"/>
      <w:marBottom w:val="0"/>
      <w:divBdr>
        <w:top w:val="none" w:sz="0" w:space="0" w:color="auto"/>
        <w:left w:val="none" w:sz="0" w:space="0" w:color="auto"/>
        <w:bottom w:val="none" w:sz="0" w:space="0" w:color="auto"/>
        <w:right w:val="none" w:sz="0" w:space="0" w:color="auto"/>
      </w:divBdr>
    </w:div>
    <w:div w:id="608704838">
      <w:bodyDiv w:val="1"/>
      <w:marLeft w:val="0"/>
      <w:marRight w:val="0"/>
      <w:marTop w:val="0"/>
      <w:marBottom w:val="0"/>
      <w:divBdr>
        <w:top w:val="none" w:sz="0" w:space="0" w:color="auto"/>
        <w:left w:val="none" w:sz="0" w:space="0" w:color="auto"/>
        <w:bottom w:val="none" w:sz="0" w:space="0" w:color="auto"/>
        <w:right w:val="none" w:sz="0" w:space="0" w:color="auto"/>
      </w:divBdr>
    </w:div>
    <w:div w:id="609320184">
      <w:bodyDiv w:val="1"/>
      <w:marLeft w:val="0"/>
      <w:marRight w:val="0"/>
      <w:marTop w:val="0"/>
      <w:marBottom w:val="0"/>
      <w:divBdr>
        <w:top w:val="none" w:sz="0" w:space="0" w:color="auto"/>
        <w:left w:val="none" w:sz="0" w:space="0" w:color="auto"/>
        <w:bottom w:val="none" w:sz="0" w:space="0" w:color="auto"/>
        <w:right w:val="none" w:sz="0" w:space="0" w:color="auto"/>
      </w:divBdr>
    </w:div>
    <w:div w:id="611595183">
      <w:bodyDiv w:val="1"/>
      <w:marLeft w:val="0"/>
      <w:marRight w:val="0"/>
      <w:marTop w:val="0"/>
      <w:marBottom w:val="0"/>
      <w:divBdr>
        <w:top w:val="none" w:sz="0" w:space="0" w:color="auto"/>
        <w:left w:val="none" w:sz="0" w:space="0" w:color="auto"/>
        <w:bottom w:val="none" w:sz="0" w:space="0" w:color="auto"/>
        <w:right w:val="none" w:sz="0" w:space="0" w:color="auto"/>
      </w:divBdr>
    </w:div>
    <w:div w:id="614287842">
      <w:bodyDiv w:val="1"/>
      <w:marLeft w:val="0"/>
      <w:marRight w:val="0"/>
      <w:marTop w:val="0"/>
      <w:marBottom w:val="0"/>
      <w:divBdr>
        <w:top w:val="none" w:sz="0" w:space="0" w:color="auto"/>
        <w:left w:val="none" w:sz="0" w:space="0" w:color="auto"/>
        <w:bottom w:val="none" w:sz="0" w:space="0" w:color="auto"/>
        <w:right w:val="none" w:sz="0" w:space="0" w:color="auto"/>
      </w:divBdr>
    </w:div>
    <w:div w:id="615018854">
      <w:bodyDiv w:val="1"/>
      <w:marLeft w:val="0"/>
      <w:marRight w:val="0"/>
      <w:marTop w:val="0"/>
      <w:marBottom w:val="0"/>
      <w:divBdr>
        <w:top w:val="none" w:sz="0" w:space="0" w:color="auto"/>
        <w:left w:val="none" w:sz="0" w:space="0" w:color="auto"/>
        <w:bottom w:val="none" w:sz="0" w:space="0" w:color="auto"/>
        <w:right w:val="none" w:sz="0" w:space="0" w:color="auto"/>
      </w:divBdr>
    </w:div>
    <w:div w:id="615988836">
      <w:bodyDiv w:val="1"/>
      <w:marLeft w:val="0"/>
      <w:marRight w:val="0"/>
      <w:marTop w:val="0"/>
      <w:marBottom w:val="0"/>
      <w:divBdr>
        <w:top w:val="none" w:sz="0" w:space="0" w:color="auto"/>
        <w:left w:val="none" w:sz="0" w:space="0" w:color="auto"/>
        <w:bottom w:val="none" w:sz="0" w:space="0" w:color="auto"/>
        <w:right w:val="none" w:sz="0" w:space="0" w:color="auto"/>
      </w:divBdr>
    </w:div>
    <w:div w:id="617562759">
      <w:bodyDiv w:val="1"/>
      <w:marLeft w:val="0"/>
      <w:marRight w:val="0"/>
      <w:marTop w:val="0"/>
      <w:marBottom w:val="0"/>
      <w:divBdr>
        <w:top w:val="none" w:sz="0" w:space="0" w:color="auto"/>
        <w:left w:val="none" w:sz="0" w:space="0" w:color="auto"/>
        <w:bottom w:val="none" w:sz="0" w:space="0" w:color="auto"/>
        <w:right w:val="none" w:sz="0" w:space="0" w:color="auto"/>
      </w:divBdr>
    </w:div>
    <w:div w:id="617683411">
      <w:bodyDiv w:val="1"/>
      <w:marLeft w:val="0"/>
      <w:marRight w:val="0"/>
      <w:marTop w:val="0"/>
      <w:marBottom w:val="0"/>
      <w:divBdr>
        <w:top w:val="none" w:sz="0" w:space="0" w:color="auto"/>
        <w:left w:val="none" w:sz="0" w:space="0" w:color="auto"/>
        <w:bottom w:val="none" w:sz="0" w:space="0" w:color="auto"/>
        <w:right w:val="none" w:sz="0" w:space="0" w:color="auto"/>
      </w:divBdr>
    </w:div>
    <w:div w:id="621158902">
      <w:bodyDiv w:val="1"/>
      <w:marLeft w:val="0"/>
      <w:marRight w:val="0"/>
      <w:marTop w:val="0"/>
      <w:marBottom w:val="0"/>
      <w:divBdr>
        <w:top w:val="none" w:sz="0" w:space="0" w:color="auto"/>
        <w:left w:val="none" w:sz="0" w:space="0" w:color="auto"/>
        <w:bottom w:val="none" w:sz="0" w:space="0" w:color="auto"/>
        <w:right w:val="none" w:sz="0" w:space="0" w:color="auto"/>
      </w:divBdr>
    </w:div>
    <w:div w:id="622660201">
      <w:bodyDiv w:val="1"/>
      <w:marLeft w:val="0"/>
      <w:marRight w:val="0"/>
      <w:marTop w:val="0"/>
      <w:marBottom w:val="0"/>
      <w:divBdr>
        <w:top w:val="none" w:sz="0" w:space="0" w:color="auto"/>
        <w:left w:val="none" w:sz="0" w:space="0" w:color="auto"/>
        <w:bottom w:val="none" w:sz="0" w:space="0" w:color="auto"/>
        <w:right w:val="none" w:sz="0" w:space="0" w:color="auto"/>
      </w:divBdr>
    </w:div>
    <w:div w:id="624312550">
      <w:bodyDiv w:val="1"/>
      <w:marLeft w:val="0"/>
      <w:marRight w:val="0"/>
      <w:marTop w:val="0"/>
      <w:marBottom w:val="0"/>
      <w:divBdr>
        <w:top w:val="none" w:sz="0" w:space="0" w:color="auto"/>
        <w:left w:val="none" w:sz="0" w:space="0" w:color="auto"/>
        <w:bottom w:val="none" w:sz="0" w:space="0" w:color="auto"/>
        <w:right w:val="none" w:sz="0" w:space="0" w:color="auto"/>
      </w:divBdr>
    </w:div>
    <w:div w:id="624628951">
      <w:bodyDiv w:val="1"/>
      <w:marLeft w:val="0"/>
      <w:marRight w:val="0"/>
      <w:marTop w:val="0"/>
      <w:marBottom w:val="0"/>
      <w:divBdr>
        <w:top w:val="none" w:sz="0" w:space="0" w:color="auto"/>
        <w:left w:val="none" w:sz="0" w:space="0" w:color="auto"/>
        <w:bottom w:val="none" w:sz="0" w:space="0" w:color="auto"/>
        <w:right w:val="none" w:sz="0" w:space="0" w:color="auto"/>
      </w:divBdr>
    </w:div>
    <w:div w:id="626619114">
      <w:bodyDiv w:val="1"/>
      <w:marLeft w:val="0"/>
      <w:marRight w:val="0"/>
      <w:marTop w:val="0"/>
      <w:marBottom w:val="0"/>
      <w:divBdr>
        <w:top w:val="none" w:sz="0" w:space="0" w:color="auto"/>
        <w:left w:val="none" w:sz="0" w:space="0" w:color="auto"/>
        <w:bottom w:val="none" w:sz="0" w:space="0" w:color="auto"/>
        <w:right w:val="none" w:sz="0" w:space="0" w:color="auto"/>
      </w:divBdr>
    </w:div>
    <w:div w:id="626934645">
      <w:bodyDiv w:val="1"/>
      <w:marLeft w:val="0"/>
      <w:marRight w:val="0"/>
      <w:marTop w:val="0"/>
      <w:marBottom w:val="0"/>
      <w:divBdr>
        <w:top w:val="none" w:sz="0" w:space="0" w:color="auto"/>
        <w:left w:val="none" w:sz="0" w:space="0" w:color="auto"/>
        <w:bottom w:val="none" w:sz="0" w:space="0" w:color="auto"/>
        <w:right w:val="none" w:sz="0" w:space="0" w:color="auto"/>
      </w:divBdr>
    </w:div>
    <w:div w:id="627319333">
      <w:bodyDiv w:val="1"/>
      <w:marLeft w:val="0"/>
      <w:marRight w:val="0"/>
      <w:marTop w:val="0"/>
      <w:marBottom w:val="0"/>
      <w:divBdr>
        <w:top w:val="none" w:sz="0" w:space="0" w:color="auto"/>
        <w:left w:val="none" w:sz="0" w:space="0" w:color="auto"/>
        <w:bottom w:val="none" w:sz="0" w:space="0" w:color="auto"/>
        <w:right w:val="none" w:sz="0" w:space="0" w:color="auto"/>
      </w:divBdr>
    </w:div>
    <w:div w:id="632953754">
      <w:bodyDiv w:val="1"/>
      <w:marLeft w:val="0"/>
      <w:marRight w:val="0"/>
      <w:marTop w:val="0"/>
      <w:marBottom w:val="0"/>
      <w:divBdr>
        <w:top w:val="none" w:sz="0" w:space="0" w:color="auto"/>
        <w:left w:val="none" w:sz="0" w:space="0" w:color="auto"/>
        <w:bottom w:val="none" w:sz="0" w:space="0" w:color="auto"/>
        <w:right w:val="none" w:sz="0" w:space="0" w:color="auto"/>
      </w:divBdr>
    </w:div>
    <w:div w:id="633949595">
      <w:bodyDiv w:val="1"/>
      <w:marLeft w:val="0"/>
      <w:marRight w:val="0"/>
      <w:marTop w:val="0"/>
      <w:marBottom w:val="0"/>
      <w:divBdr>
        <w:top w:val="none" w:sz="0" w:space="0" w:color="auto"/>
        <w:left w:val="none" w:sz="0" w:space="0" w:color="auto"/>
        <w:bottom w:val="none" w:sz="0" w:space="0" w:color="auto"/>
        <w:right w:val="none" w:sz="0" w:space="0" w:color="auto"/>
      </w:divBdr>
    </w:div>
    <w:div w:id="634263162">
      <w:bodyDiv w:val="1"/>
      <w:marLeft w:val="0"/>
      <w:marRight w:val="0"/>
      <w:marTop w:val="0"/>
      <w:marBottom w:val="0"/>
      <w:divBdr>
        <w:top w:val="none" w:sz="0" w:space="0" w:color="auto"/>
        <w:left w:val="none" w:sz="0" w:space="0" w:color="auto"/>
        <w:bottom w:val="none" w:sz="0" w:space="0" w:color="auto"/>
        <w:right w:val="none" w:sz="0" w:space="0" w:color="auto"/>
      </w:divBdr>
    </w:div>
    <w:div w:id="634682834">
      <w:bodyDiv w:val="1"/>
      <w:marLeft w:val="0"/>
      <w:marRight w:val="0"/>
      <w:marTop w:val="0"/>
      <w:marBottom w:val="0"/>
      <w:divBdr>
        <w:top w:val="none" w:sz="0" w:space="0" w:color="auto"/>
        <w:left w:val="none" w:sz="0" w:space="0" w:color="auto"/>
        <w:bottom w:val="none" w:sz="0" w:space="0" w:color="auto"/>
        <w:right w:val="none" w:sz="0" w:space="0" w:color="auto"/>
      </w:divBdr>
    </w:div>
    <w:div w:id="635260681">
      <w:bodyDiv w:val="1"/>
      <w:marLeft w:val="0"/>
      <w:marRight w:val="0"/>
      <w:marTop w:val="0"/>
      <w:marBottom w:val="0"/>
      <w:divBdr>
        <w:top w:val="none" w:sz="0" w:space="0" w:color="auto"/>
        <w:left w:val="none" w:sz="0" w:space="0" w:color="auto"/>
        <w:bottom w:val="none" w:sz="0" w:space="0" w:color="auto"/>
        <w:right w:val="none" w:sz="0" w:space="0" w:color="auto"/>
      </w:divBdr>
    </w:div>
    <w:div w:id="638414481">
      <w:bodyDiv w:val="1"/>
      <w:marLeft w:val="0"/>
      <w:marRight w:val="0"/>
      <w:marTop w:val="0"/>
      <w:marBottom w:val="0"/>
      <w:divBdr>
        <w:top w:val="none" w:sz="0" w:space="0" w:color="auto"/>
        <w:left w:val="none" w:sz="0" w:space="0" w:color="auto"/>
        <w:bottom w:val="none" w:sz="0" w:space="0" w:color="auto"/>
        <w:right w:val="none" w:sz="0" w:space="0" w:color="auto"/>
      </w:divBdr>
    </w:div>
    <w:div w:id="639113073">
      <w:bodyDiv w:val="1"/>
      <w:marLeft w:val="0"/>
      <w:marRight w:val="0"/>
      <w:marTop w:val="0"/>
      <w:marBottom w:val="0"/>
      <w:divBdr>
        <w:top w:val="none" w:sz="0" w:space="0" w:color="auto"/>
        <w:left w:val="none" w:sz="0" w:space="0" w:color="auto"/>
        <w:bottom w:val="none" w:sz="0" w:space="0" w:color="auto"/>
        <w:right w:val="none" w:sz="0" w:space="0" w:color="auto"/>
      </w:divBdr>
    </w:div>
    <w:div w:id="641545107">
      <w:bodyDiv w:val="1"/>
      <w:marLeft w:val="0"/>
      <w:marRight w:val="0"/>
      <w:marTop w:val="0"/>
      <w:marBottom w:val="0"/>
      <w:divBdr>
        <w:top w:val="none" w:sz="0" w:space="0" w:color="auto"/>
        <w:left w:val="none" w:sz="0" w:space="0" w:color="auto"/>
        <w:bottom w:val="none" w:sz="0" w:space="0" w:color="auto"/>
        <w:right w:val="none" w:sz="0" w:space="0" w:color="auto"/>
      </w:divBdr>
    </w:div>
    <w:div w:id="643196985">
      <w:bodyDiv w:val="1"/>
      <w:marLeft w:val="0"/>
      <w:marRight w:val="0"/>
      <w:marTop w:val="0"/>
      <w:marBottom w:val="0"/>
      <w:divBdr>
        <w:top w:val="none" w:sz="0" w:space="0" w:color="auto"/>
        <w:left w:val="none" w:sz="0" w:space="0" w:color="auto"/>
        <w:bottom w:val="none" w:sz="0" w:space="0" w:color="auto"/>
        <w:right w:val="none" w:sz="0" w:space="0" w:color="auto"/>
      </w:divBdr>
    </w:div>
    <w:div w:id="643435006">
      <w:bodyDiv w:val="1"/>
      <w:marLeft w:val="0"/>
      <w:marRight w:val="0"/>
      <w:marTop w:val="0"/>
      <w:marBottom w:val="0"/>
      <w:divBdr>
        <w:top w:val="none" w:sz="0" w:space="0" w:color="auto"/>
        <w:left w:val="none" w:sz="0" w:space="0" w:color="auto"/>
        <w:bottom w:val="none" w:sz="0" w:space="0" w:color="auto"/>
        <w:right w:val="none" w:sz="0" w:space="0" w:color="auto"/>
      </w:divBdr>
    </w:div>
    <w:div w:id="649018587">
      <w:bodyDiv w:val="1"/>
      <w:marLeft w:val="0"/>
      <w:marRight w:val="0"/>
      <w:marTop w:val="0"/>
      <w:marBottom w:val="0"/>
      <w:divBdr>
        <w:top w:val="none" w:sz="0" w:space="0" w:color="auto"/>
        <w:left w:val="none" w:sz="0" w:space="0" w:color="auto"/>
        <w:bottom w:val="none" w:sz="0" w:space="0" w:color="auto"/>
        <w:right w:val="none" w:sz="0" w:space="0" w:color="auto"/>
      </w:divBdr>
    </w:div>
    <w:div w:id="652565161">
      <w:bodyDiv w:val="1"/>
      <w:marLeft w:val="0"/>
      <w:marRight w:val="0"/>
      <w:marTop w:val="0"/>
      <w:marBottom w:val="0"/>
      <w:divBdr>
        <w:top w:val="none" w:sz="0" w:space="0" w:color="auto"/>
        <w:left w:val="none" w:sz="0" w:space="0" w:color="auto"/>
        <w:bottom w:val="none" w:sz="0" w:space="0" w:color="auto"/>
        <w:right w:val="none" w:sz="0" w:space="0" w:color="auto"/>
      </w:divBdr>
    </w:div>
    <w:div w:id="654378518">
      <w:bodyDiv w:val="1"/>
      <w:marLeft w:val="0"/>
      <w:marRight w:val="0"/>
      <w:marTop w:val="0"/>
      <w:marBottom w:val="0"/>
      <w:divBdr>
        <w:top w:val="none" w:sz="0" w:space="0" w:color="auto"/>
        <w:left w:val="none" w:sz="0" w:space="0" w:color="auto"/>
        <w:bottom w:val="none" w:sz="0" w:space="0" w:color="auto"/>
        <w:right w:val="none" w:sz="0" w:space="0" w:color="auto"/>
      </w:divBdr>
    </w:div>
    <w:div w:id="655458280">
      <w:bodyDiv w:val="1"/>
      <w:marLeft w:val="0"/>
      <w:marRight w:val="0"/>
      <w:marTop w:val="0"/>
      <w:marBottom w:val="0"/>
      <w:divBdr>
        <w:top w:val="none" w:sz="0" w:space="0" w:color="auto"/>
        <w:left w:val="none" w:sz="0" w:space="0" w:color="auto"/>
        <w:bottom w:val="none" w:sz="0" w:space="0" w:color="auto"/>
        <w:right w:val="none" w:sz="0" w:space="0" w:color="auto"/>
      </w:divBdr>
    </w:div>
    <w:div w:id="661003968">
      <w:bodyDiv w:val="1"/>
      <w:marLeft w:val="0"/>
      <w:marRight w:val="0"/>
      <w:marTop w:val="0"/>
      <w:marBottom w:val="0"/>
      <w:divBdr>
        <w:top w:val="none" w:sz="0" w:space="0" w:color="auto"/>
        <w:left w:val="none" w:sz="0" w:space="0" w:color="auto"/>
        <w:bottom w:val="none" w:sz="0" w:space="0" w:color="auto"/>
        <w:right w:val="none" w:sz="0" w:space="0" w:color="auto"/>
      </w:divBdr>
    </w:div>
    <w:div w:id="661084828">
      <w:bodyDiv w:val="1"/>
      <w:marLeft w:val="0"/>
      <w:marRight w:val="0"/>
      <w:marTop w:val="0"/>
      <w:marBottom w:val="0"/>
      <w:divBdr>
        <w:top w:val="none" w:sz="0" w:space="0" w:color="auto"/>
        <w:left w:val="none" w:sz="0" w:space="0" w:color="auto"/>
        <w:bottom w:val="none" w:sz="0" w:space="0" w:color="auto"/>
        <w:right w:val="none" w:sz="0" w:space="0" w:color="auto"/>
      </w:divBdr>
    </w:div>
    <w:div w:id="662779506">
      <w:bodyDiv w:val="1"/>
      <w:marLeft w:val="0"/>
      <w:marRight w:val="0"/>
      <w:marTop w:val="0"/>
      <w:marBottom w:val="0"/>
      <w:divBdr>
        <w:top w:val="none" w:sz="0" w:space="0" w:color="auto"/>
        <w:left w:val="none" w:sz="0" w:space="0" w:color="auto"/>
        <w:bottom w:val="none" w:sz="0" w:space="0" w:color="auto"/>
        <w:right w:val="none" w:sz="0" w:space="0" w:color="auto"/>
      </w:divBdr>
    </w:div>
    <w:div w:id="663247112">
      <w:bodyDiv w:val="1"/>
      <w:marLeft w:val="0"/>
      <w:marRight w:val="0"/>
      <w:marTop w:val="0"/>
      <w:marBottom w:val="0"/>
      <w:divBdr>
        <w:top w:val="none" w:sz="0" w:space="0" w:color="auto"/>
        <w:left w:val="none" w:sz="0" w:space="0" w:color="auto"/>
        <w:bottom w:val="none" w:sz="0" w:space="0" w:color="auto"/>
        <w:right w:val="none" w:sz="0" w:space="0" w:color="auto"/>
      </w:divBdr>
    </w:div>
    <w:div w:id="663975540">
      <w:bodyDiv w:val="1"/>
      <w:marLeft w:val="0"/>
      <w:marRight w:val="0"/>
      <w:marTop w:val="0"/>
      <w:marBottom w:val="0"/>
      <w:divBdr>
        <w:top w:val="none" w:sz="0" w:space="0" w:color="auto"/>
        <w:left w:val="none" w:sz="0" w:space="0" w:color="auto"/>
        <w:bottom w:val="none" w:sz="0" w:space="0" w:color="auto"/>
        <w:right w:val="none" w:sz="0" w:space="0" w:color="auto"/>
      </w:divBdr>
    </w:div>
    <w:div w:id="664359273">
      <w:bodyDiv w:val="1"/>
      <w:marLeft w:val="0"/>
      <w:marRight w:val="0"/>
      <w:marTop w:val="0"/>
      <w:marBottom w:val="0"/>
      <w:divBdr>
        <w:top w:val="none" w:sz="0" w:space="0" w:color="auto"/>
        <w:left w:val="none" w:sz="0" w:space="0" w:color="auto"/>
        <w:bottom w:val="none" w:sz="0" w:space="0" w:color="auto"/>
        <w:right w:val="none" w:sz="0" w:space="0" w:color="auto"/>
      </w:divBdr>
    </w:div>
    <w:div w:id="665939099">
      <w:bodyDiv w:val="1"/>
      <w:marLeft w:val="0"/>
      <w:marRight w:val="0"/>
      <w:marTop w:val="0"/>
      <w:marBottom w:val="0"/>
      <w:divBdr>
        <w:top w:val="none" w:sz="0" w:space="0" w:color="auto"/>
        <w:left w:val="none" w:sz="0" w:space="0" w:color="auto"/>
        <w:bottom w:val="none" w:sz="0" w:space="0" w:color="auto"/>
        <w:right w:val="none" w:sz="0" w:space="0" w:color="auto"/>
      </w:divBdr>
    </w:div>
    <w:div w:id="666327376">
      <w:bodyDiv w:val="1"/>
      <w:marLeft w:val="0"/>
      <w:marRight w:val="0"/>
      <w:marTop w:val="0"/>
      <w:marBottom w:val="0"/>
      <w:divBdr>
        <w:top w:val="none" w:sz="0" w:space="0" w:color="auto"/>
        <w:left w:val="none" w:sz="0" w:space="0" w:color="auto"/>
        <w:bottom w:val="none" w:sz="0" w:space="0" w:color="auto"/>
        <w:right w:val="none" w:sz="0" w:space="0" w:color="auto"/>
      </w:divBdr>
    </w:div>
    <w:div w:id="668143763">
      <w:bodyDiv w:val="1"/>
      <w:marLeft w:val="0"/>
      <w:marRight w:val="0"/>
      <w:marTop w:val="0"/>
      <w:marBottom w:val="0"/>
      <w:divBdr>
        <w:top w:val="none" w:sz="0" w:space="0" w:color="auto"/>
        <w:left w:val="none" w:sz="0" w:space="0" w:color="auto"/>
        <w:bottom w:val="none" w:sz="0" w:space="0" w:color="auto"/>
        <w:right w:val="none" w:sz="0" w:space="0" w:color="auto"/>
      </w:divBdr>
    </w:div>
    <w:div w:id="669525396">
      <w:bodyDiv w:val="1"/>
      <w:marLeft w:val="0"/>
      <w:marRight w:val="0"/>
      <w:marTop w:val="0"/>
      <w:marBottom w:val="0"/>
      <w:divBdr>
        <w:top w:val="none" w:sz="0" w:space="0" w:color="auto"/>
        <w:left w:val="none" w:sz="0" w:space="0" w:color="auto"/>
        <w:bottom w:val="none" w:sz="0" w:space="0" w:color="auto"/>
        <w:right w:val="none" w:sz="0" w:space="0" w:color="auto"/>
      </w:divBdr>
    </w:div>
    <w:div w:id="669677901">
      <w:bodyDiv w:val="1"/>
      <w:marLeft w:val="0"/>
      <w:marRight w:val="0"/>
      <w:marTop w:val="0"/>
      <w:marBottom w:val="0"/>
      <w:divBdr>
        <w:top w:val="none" w:sz="0" w:space="0" w:color="auto"/>
        <w:left w:val="none" w:sz="0" w:space="0" w:color="auto"/>
        <w:bottom w:val="none" w:sz="0" w:space="0" w:color="auto"/>
        <w:right w:val="none" w:sz="0" w:space="0" w:color="auto"/>
      </w:divBdr>
    </w:div>
    <w:div w:id="671643447">
      <w:bodyDiv w:val="1"/>
      <w:marLeft w:val="0"/>
      <w:marRight w:val="0"/>
      <w:marTop w:val="0"/>
      <w:marBottom w:val="0"/>
      <w:divBdr>
        <w:top w:val="none" w:sz="0" w:space="0" w:color="auto"/>
        <w:left w:val="none" w:sz="0" w:space="0" w:color="auto"/>
        <w:bottom w:val="none" w:sz="0" w:space="0" w:color="auto"/>
        <w:right w:val="none" w:sz="0" w:space="0" w:color="auto"/>
      </w:divBdr>
    </w:div>
    <w:div w:id="673801949">
      <w:bodyDiv w:val="1"/>
      <w:marLeft w:val="0"/>
      <w:marRight w:val="0"/>
      <w:marTop w:val="0"/>
      <w:marBottom w:val="0"/>
      <w:divBdr>
        <w:top w:val="none" w:sz="0" w:space="0" w:color="auto"/>
        <w:left w:val="none" w:sz="0" w:space="0" w:color="auto"/>
        <w:bottom w:val="none" w:sz="0" w:space="0" w:color="auto"/>
        <w:right w:val="none" w:sz="0" w:space="0" w:color="auto"/>
      </w:divBdr>
    </w:div>
    <w:div w:id="674042710">
      <w:bodyDiv w:val="1"/>
      <w:marLeft w:val="0"/>
      <w:marRight w:val="0"/>
      <w:marTop w:val="0"/>
      <w:marBottom w:val="0"/>
      <w:divBdr>
        <w:top w:val="none" w:sz="0" w:space="0" w:color="auto"/>
        <w:left w:val="none" w:sz="0" w:space="0" w:color="auto"/>
        <w:bottom w:val="none" w:sz="0" w:space="0" w:color="auto"/>
        <w:right w:val="none" w:sz="0" w:space="0" w:color="auto"/>
      </w:divBdr>
    </w:div>
    <w:div w:id="674574990">
      <w:bodyDiv w:val="1"/>
      <w:marLeft w:val="0"/>
      <w:marRight w:val="0"/>
      <w:marTop w:val="0"/>
      <w:marBottom w:val="0"/>
      <w:divBdr>
        <w:top w:val="none" w:sz="0" w:space="0" w:color="auto"/>
        <w:left w:val="none" w:sz="0" w:space="0" w:color="auto"/>
        <w:bottom w:val="none" w:sz="0" w:space="0" w:color="auto"/>
        <w:right w:val="none" w:sz="0" w:space="0" w:color="auto"/>
      </w:divBdr>
    </w:div>
    <w:div w:id="674917281">
      <w:bodyDiv w:val="1"/>
      <w:marLeft w:val="0"/>
      <w:marRight w:val="0"/>
      <w:marTop w:val="0"/>
      <w:marBottom w:val="0"/>
      <w:divBdr>
        <w:top w:val="none" w:sz="0" w:space="0" w:color="auto"/>
        <w:left w:val="none" w:sz="0" w:space="0" w:color="auto"/>
        <w:bottom w:val="none" w:sz="0" w:space="0" w:color="auto"/>
        <w:right w:val="none" w:sz="0" w:space="0" w:color="auto"/>
      </w:divBdr>
    </w:div>
    <w:div w:id="675772003">
      <w:bodyDiv w:val="1"/>
      <w:marLeft w:val="0"/>
      <w:marRight w:val="0"/>
      <w:marTop w:val="0"/>
      <w:marBottom w:val="0"/>
      <w:divBdr>
        <w:top w:val="none" w:sz="0" w:space="0" w:color="auto"/>
        <w:left w:val="none" w:sz="0" w:space="0" w:color="auto"/>
        <w:bottom w:val="none" w:sz="0" w:space="0" w:color="auto"/>
        <w:right w:val="none" w:sz="0" w:space="0" w:color="auto"/>
      </w:divBdr>
    </w:div>
    <w:div w:id="677193457">
      <w:bodyDiv w:val="1"/>
      <w:marLeft w:val="0"/>
      <w:marRight w:val="0"/>
      <w:marTop w:val="0"/>
      <w:marBottom w:val="0"/>
      <w:divBdr>
        <w:top w:val="none" w:sz="0" w:space="0" w:color="auto"/>
        <w:left w:val="none" w:sz="0" w:space="0" w:color="auto"/>
        <w:bottom w:val="none" w:sz="0" w:space="0" w:color="auto"/>
        <w:right w:val="none" w:sz="0" w:space="0" w:color="auto"/>
      </w:divBdr>
    </w:div>
    <w:div w:id="678504703">
      <w:bodyDiv w:val="1"/>
      <w:marLeft w:val="0"/>
      <w:marRight w:val="0"/>
      <w:marTop w:val="0"/>
      <w:marBottom w:val="0"/>
      <w:divBdr>
        <w:top w:val="none" w:sz="0" w:space="0" w:color="auto"/>
        <w:left w:val="none" w:sz="0" w:space="0" w:color="auto"/>
        <w:bottom w:val="none" w:sz="0" w:space="0" w:color="auto"/>
        <w:right w:val="none" w:sz="0" w:space="0" w:color="auto"/>
      </w:divBdr>
    </w:div>
    <w:div w:id="678508263">
      <w:bodyDiv w:val="1"/>
      <w:marLeft w:val="0"/>
      <w:marRight w:val="0"/>
      <w:marTop w:val="0"/>
      <w:marBottom w:val="0"/>
      <w:divBdr>
        <w:top w:val="none" w:sz="0" w:space="0" w:color="auto"/>
        <w:left w:val="none" w:sz="0" w:space="0" w:color="auto"/>
        <w:bottom w:val="none" w:sz="0" w:space="0" w:color="auto"/>
        <w:right w:val="none" w:sz="0" w:space="0" w:color="auto"/>
      </w:divBdr>
    </w:div>
    <w:div w:id="681705807">
      <w:bodyDiv w:val="1"/>
      <w:marLeft w:val="0"/>
      <w:marRight w:val="0"/>
      <w:marTop w:val="0"/>
      <w:marBottom w:val="0"/>
      <w:divBdr>
        <w:top w:val="none" w:sz="0" w:space="0" w:color="auto"/>
        <w:left w:val="none" w:sz="0" w:space="0" w:color="auto"/>
        <w:bottom w:val="none" w:sz="0" w:space="0" w:color="auto"/>
        <w:right w:val="none" w:sz="0" w:space="0" w:color="auto"/>
      </w:divBdr>
    </w:div>
    <w:div w:id="684212573">
      <w:bodyDiv w:val="1"/>
      <w:marLeft w:val="0"/>
      <w:marRight w:val="0"/>
      <w:marTop w:val="0"/>
      <w:marBottom w:val="0"/>
      <w:divBdr>
        <w:top w:val="none" w:sz="0" w:space="0" w:color="auto"/>
        <w:left w:val="none" w:sz="0" w:space="0" w:color="auto"/>
        <w:bottom w:val="none" w:sz="0" w:space="0" w:color="auto"/>
        <w:right w:val="none" w:sz="0" w:space="0" w:color="auto"/>
      </w:divBdr>
    </w:div>
    <w:div w:id="684480794">
      <w:bodyDiv w:val="1"/>
      <w:marLeft w:val="0"/>
      <w:marRight w:val="0"/>
      <w:marTop w:val="0"/>
      <w:marBottom w:val="0"/>
      <w:divBdr>
        <w:top w:val="none" w:sz="0" w:space="0" w:color="auto"/>
        <w:left w:val="none" w:sz="0" w:space="0" w:color="auto"/>
        <w:bottom w:val="none" w:sz="0" w:space="0" w:color="auto"/>
        <w:right w:val="none" w:sz="0" w:space="0" w:color="auto"/>
      </w:divBdr>
    </w:div>
    <w:div w:id="685637864">
      <w:bodyDiv w:val="1"/>
      <w:marLeft w:val="0"/>
      <w:marRight w:val="0"/>
      <w:marTop w:val="0"/>
      <w:marBottom w:val="0"/>
      <w:divBdr>
        <w:top w:val="none" w:sz="0" w:space="0" w:color="auto"/>
        <w:left w:val="none" w:sz="0" w:space="0" w:color="auto"/>
        <w:bottom w:val="none" w:sz="0" w:space="0" w:color="auto"/>
        <w:right w:val="none" w:sz="0" w:space="0" w:color="auto"/>
      </w:divBdr>
    </w:div>
    <w:div w:id="686755199">
      <w:bodyDiv w:val="1"/>
      <w:marLeft w:val="0"/>
      <w:marRight w:val="0"/>
      <w:marTop w:val="0"/>
      <w:marBottom w:val="0"/>
      <w:divBdr>
        <w:top w:val="none" w:sz="0" w:space="0" w:color="auto"/>
        <w:left w:val="none" w:sz="0" w:space="0" w:color="auto"/>
        <w:bottom w:val="none" w:sz="0" w:space="0" w:color="auto"/>
        <w:right w:val="none" w:sz="0" w:space="0" w:color="auto"/>
      </w:divBdr>
    </w:div>
    <w:div w:id="689455691">
      <w:bodyDiv w:val="1"/>
      <w:marLeft w:val="0"/>
      <w:marRight w:val="0"/>
      <w:marTop w:val="0"/>
      <w:marBottom w:val="0"/>
      <w:divBdr>
        <w:top w:val="none" w:sz="0" w:space="0" w:color="auto"/>
        <w:left w:val="none" w:sz="0" w:space="0" w:color="auto"/>
        <w:bottom w:val="none" w:sz="0" w:space="0" w:color="auto"/>
        <w:right w:val="none" w:sz="0" w:space="0" w:color="auto"/>
      </w:divBdr>
    </w:div>
    <w:div w:id="691102808">
      <w:bodyDiv w:val="1"/>
      <w:marLeft w:val="0"/>
      <w:marRight w:val="0"/>
      <w:marTop w:val="0"/>
      <w:marBottom w:val="0"/>
      <w:divBdr>
        <w:top w:val="none" w:sz="0" w:space="0" w:color="auto"/>
        <w:left w:val="none" w:sz="0" w:space="0" w:color="auto"/>
        <w:bottom w:val="none" w:sz="0" w:space="0" w:color="auto"/>
        <w:right w:val="none" w:sz="0" w:space="0" w:color="auto"/>
      </w:divBdr>
    </w:div>
    <w:div w:id="692192223">
      <w:bodyDiv w:val="1"/>
      <w:marLeft w:val="0"/>
      <w:marRight w:val="0"/>
      <w:marTop w:val="0"/>
      <w:marBottom w:val="0"/>
      <w:divBdr>
        <w:top w:val="none" w:sz="0" w:space="0" w:color="auto"/>
        <w:left w:val="none" w:sz="0" w:space="0" w:color="auto"/>
        <w:bottom w:val="none" w:sz="0" w:space="0" w:color="auto"/>
        <w:right w:val="none" w:sz="0" w:space="0" w:color="auto"/>
      </w:divBdr>
    </w:div>
    <w:div w:id="694697325">
      <w:bodyDiv w:val="1"/>
      <w:marLeft w:val="0"/>
      <w:marRight w:val="0"/>
      <w:marTop w:val="0"/>
      <w:marBottom w:val="0"/>
      <w:divBdr>
        <w:top w:val="none" w:sz="0" w:space="0" w:color="auto"/>
        <w:left w:val="none" w:sz="0" w:space="0" w:color="auto"/>
        <w:bottom w:val="none" w:sz="0" w:space="0" w:color="auto"/>
        <w:right w:val="none" w:sz="0" w:space="0" w:color="auto"/>
      </w:divBdr>
    </w:div>
    <w:div w:id="697852757">
      <w:bodyDiv w:val="1"/>
      <w:marLeft w:val="0"/>
      <w:marRight w:val="0"/>
      <w:marTop w:val="0"/>
      <w:marBottom w:val="0"/>
      <w:divBdr>
        <w:top w:val="none" w:sz="0" w:space="0" w:color="auto"/>
        <w:left w:val="none" w:sz="0" w:space="0" w:color="auto"/>
        <w:bottom w:val="none" w:sz="0" w:space="0" w:color="auto"/>
        <w:right w:val="none" w:sz="0" w:space="0" w:color="auto"/>
      </w:divBdr>
    </w:div>
    <w:div w:id="697925210">
      <w:bodyDiv w:val="1"/>
      <w:marLeft w:val="0"/>
      <w:marRight w:val="0"/>
      <w:marTop w:val="0"/>
      <w:marBottom w:val="0"/>
      <w:divBdr>
        <w:top w:val="none" w:sz="0" w:space="0" w:color="auto"/>
        <w:left w:val="none" w:sz="0" w:space="0" w:color="auto"/>
        <w:bottom w:val="none" w:sz="0" w:space="0" w:color="auto"/>
        <w:right w:val="none" w:sz="0" w:space="0" w:color="auto"/>
      </w:divBdr>
    </w:div>
    <w:div w:id="698118591">
      <w:bodyDiv w:val="1"/>
      <w:marLeft w:val="0"/>
      <w:marRight w:val="0"/>
      <w:marTop w:val="0"/>
      <w:marBottom w:val="0"/>
      <w:divBdr>
        <w:top w:val="none" w:sz="0" w:space="0" w:color="auto"/>
        <w:left w:val="none" w:sz="0" w:space="0" w:color="auto"/>
        <w:bottom w:val="none" w:sz="0" w:space="0" w:color="auto"/>
        <w:right w:val="none" w:sz="0" w:space="0" w:color="auto"/>
      </w:divBdr>
    </w:div>
    <w:div w:id="702942845">
      <w:bodyDiv w:val="1"/>
      <w:marLeft w:val="0"/>
      <w:marRight w:val="0"/>
      <w:marTop w:val="0"/>
      <w:marBottom w:val="0"/>
      <w:divBdr>
        <w:top w:val="none" w:sz="0" w:space="0" w:color="auto"/>
        <w:left w:val="none" w:sz="0" w:space="0" w:color="auto"/>
        <w:bottom w:val="none" w:sz="0" w:space="0" w:color="auto"/>
        <w:right w:val="none" w:sz="0" w:space="0" w:color="auto"/>
      </w:divBdr>
    </w:div>
    <w:div w:id="706225977">
      <w:bodyDiv w:val="1"/>
      <w:marLeft w:val="0"/>
      <w:marRight w:val="0"/>
      <w:marTop w:val="0"/>
      <w:marBottom w:val="0"/>
      <w:divBdr>
        <w:top w:val="none" w:sz="0" w:space="0" w:color="auto"/>
        <w:left w:val="none" w:sz="0" w:space="0" w:color="auto"/>
        <w:bottom w:val="none" w:sz="0" w:space="0" w:color="auto"/>
        <w:right w:val="none" w:sz="0" w:space="0" w:color="auto"/>
      </w:divBdr>
    </w:div>
    <w:div w:id="707877244">
      <w:bodyDiv w:val="1"/>
      <w:marLeft w:val="0"/>
      <w:marRight w:val="0"/>
      <w:marTop w:val="0"/>
      <w:marBottom w:val="0"/>
      <w:divBdr>
        <w:top w:val="none" w:sz="0" w:space="0" w:color="auto"/>
        <w:left w:val="none" w:sz="0" w:space="0" w:color="auto"/>
        <w:bottom w:val="none" w:sz="0" w:space="0" w:color="auto"/>
        <w:right w:val="none" w:sz="0" w:space="0" w:color="auto"/>
      </w:divBdr>
    </w:div>
    <w:div w:id="709497475">
      <w:bodyDiv w:val="1"/>
      <w:marLeft w:val="0"/>
      <w:marRight w:val="0"/>
      <w:marTop w:val="0"/>
      <w:marBottom w:val="0"/>
      <w:divBdr>
        <w:top w:val="none" w:sz="0" w:space="0" w:color="auto"/>
        <w:left w:val="none" w:sz="0" w:space="0" w:color="auto"/>
        <w:bottom w:val="none" w:sz="0" w:space="0" w:color="auto"/>
        <w:right w:val="none" w:sz="0" w:space="0" w:color="auto"/>
      </w:divBdr>
    </w:div>
    <w:div w:id="710572759">
      <w:bodyDiv w:val="1"/>
      <w:marLeft w:val="0"/>
      <w:marRight w:val="0"/>
      <w:marTop w:val="0"/>
      <w:marBottom w:val="0"/>
      <w:divBdr>
        <w:top w:val="none" w:sz="0" w:space="0" w:color="auto"/>
        <w:left w:val="none" w:sz="0" w:space="0" w:color="auto"/>
        <w:bottom w:val="none" w:sz="0" w:space="0" w:color="auto"/>
        <w:right w:val="none" w:sz="0" w:space="0" w:color="auto"/>
      </w:divBdr>
    </w:div>
    <w:div w:id="713848494">
      <w:bodyDiv w:val="1"/>
      <w:marLeft w:val="0"/>
      <w:marRight w:val="0"/>
      <w:marTop w:val="0"/>
      <w:marBottom w:val="0"/>
      <w:divBdr>
        <w:top w:val="none" w:sz="0" w:space="0" w:color="auto"/>
        <w:left w:val="none" w:sz="0" w:space="0" w:color="auto"/>
        <w:bottom w:val="none" w:sz="0" w:space="0" w:color="auto"/>
        <w:right w:val="none" w:sz="0" w:space="0" w:color="auto"/>
      </w:divBdr>
    </w:div>
    <w:div w:id="719089883">
      <w:bodyDiv w:val="1"/>
      <w:marLeft w:val="0"/>
      <w:marRight w:val="0"/>
      <w:marTop w:val="0"/>
      <w:marBottom w:val="0"/>
      <w:divBdr>
        <w:top w:val="none" w:sz="0" w:space="0" w:color="auto"/>
        <w:left w:val="none" w:sz="0" w:space="0" w:color="auto"/>
        <w:bottom w:val="none" w:sz="0" w:space="0" w:color="auto"/>
        <w:right w:val="none" w:sz="0" w:space="0" w:color="auto"/>
      </w:divBdr>
    </w:div>
    <w:div w:id="720516585">
      <w:bodyDiv w:val="1"/>
      <w:marLeft w:val="0"/>
      <w:marRight w:val="0"/>
      <w:marTop w:val="0"/>
      <w:marBottom w:val="0"/>
      <w:divBdr>
        <w:top w:val="none" w:sz="0" w:space="0" w:color="auto"/>
        <w:left w:val="none" w:sz="0" w:space="0" w:color="auto"/>
        <w:bottom w:val="none" w:sz="0" w:space="0" w:color="auto"/>
        <w:right w:val="none" w:sz="0" w:space="0" w:color="auto"/>
      </w:divBdr>
    </w:div>
    <w:div w:id="723791291">
      <w:bodyDiv w:val="1"/>
      <w:marLeft w:val="0"/>
      <w:marRight w:val="0"/>
      <w:marTop w:val="0"/>
      <w:marBottom w:val="0"/>
      <w:divBdr>
        <w:top w:val="none" w:sz="0" w:space="0" w:color="auto"/>
        <w:left w:val="none" w:sz="0" w:space="0" w:color="auto"/>
        <w:bottom w:val="none" w:sz="0" w:space="0" w:color="auto"/>
        <w:right w:val="none" w:sz="0" w:space="0" w:color="auto"/>
      </w:divBdr>
    </w:div>
    <w:div w:id="724449234">
      <w:bodyDiv w:val="1"/>
      <w:marLeft w:val="0"/>
      <w:marRight w:val="0"/>
      <w:marTop w:val="0"/>
      <w:marBottom w:val="0"/>
      <w:divBdr>
        <w:top w:val="none" w:sz="0" w:space="0" w:color="auto"/>
        <w:left w:val="none" w:sz="0" w:space="0" w:color="auto"/>
        <w:bottom w:val="none" w:sz="0" w:space="0" w:color="auto"/>
        <w:right w:val="none" w:sz="0" w:space="0" w:color="auto"/>
      </w:divBdr>
    </w:div>
    <w:div w:id="725639917">
      <w:bodyDiv w:val="1"/>
      <w:marLeft w:val="0"/>
      <w:marRight w:val="0"/>
      <w:marTop w:val="0"/>
      <w:marBottom w:val="0"/>
      <w:divBdr>
        <w:top w:val="none" w:sz="0" w:space="0" w:color="auto"/>
        <w:left w:val="none" w:sz="0" w:space="0" w:color="auto"/>
        <w:bottom w:val="none" w:sz="0" w:space="0" w:color="auto"/>
        <w:right w:val="none" w:sz="0" w:space="0" w:color="auto"/>
      </w:divBdr>
    </w:div>
    <w:div w:id="729961051">
      <w:bodyDiv w:val="1"/>
      <w:marLeft w:val="0"/>
      <w:marRight w:val="0"/>
      <w:marTop w:val="0"/>
      <w:marBottom w:val="0"/>
      <w:divBdr>
        <w:top w:val="none" w:sz="0" w:space="0" w:color="auto"/>
        <w:left w:val="none" w:sz="0" w:space="0" w:color="auto"/>
        <w:bottom w:val="none" w:sz="0" w:space="0" w:color="auto"/>
        <w:right w:val="none" w:sz="0" w:space="0" w:color="auto"/>
      </w:divBdr>
    </w:div>
    <w:div w:id="733089040">
      <w:bodyDiv w:val="1"/>
      <w:marLeft w:val="0"/>
      <w:marRight w:val="0"/>
      <w:marTop w:val="0"/>
      <w:marBottom w:val="0"/>
      <w:divBdr>
        <w:top w:val="none" w:sz="0" w:space="0" w:color="auto"/>
        <w:left w:val="none" w:sz="0" w:space="0" w:color="auto"/>
        <w:bottom w:val="none" w:sz="0" w:space="0" w:color="auto"/>
        <w:right w:val="none" w:sz="0" w:space="0" w:color="auto"/>
      </w:divBdr>
    </w:div>
    <w:div w:id="733357561">
      <w:bodyDiv w:val="1"/>
      <w:marLeft w:val="0"/>
      <w:marRight w:val="0"/>
      <w:marTop w:val="0"/>
      <w:marBottom w:val="0"/>
      <w:divBdr>
        <w:top w:val="none" w:sz="0" w:space="0" w:color="auto"/>
        <w:left w:val="none" w:sz="0" w:space="0" w:color="auto"/>
        <w:bottom w:val="none" w:sz="0" w:space="0" w:color="auto"/>
        <w:right w:val="none" w:sz="0" w:space="0" w:color="auto"/>
      </w:divBdr>
    </w:div>
    <w:div w:id="734545091">
      <w:bodyDiv w:val="1"/>
      <w:marLeft w:val="0"/>
      <w:marRight w:val="0"/>
      <w:marTop w:val="0"/>
      <w:marBottom w:val="0"/>
      <w:divBdr>
        <w:top w:val="none" w:sz="0" w:space="0" w:color="auto"/>
        <w:left w:val="none" w:sz="0" w:space="0" w:color="auto"/>
        <w:bottom w:val="none" w:sz="0" w:space="0" w:color="auto"/>
        <w:right w:val="none" w:sz="0" w:space="0" w:color="auto"/>
      </w:divBdr>
    </w:div>
    <w:div w:id="735400644">
      <w:bodyDiv w:val="1"/>
      <w:marLeft w:val="0"/>
      <w:marRight w:val="0"/>
      <w:marTop w:val="0"/>
      <w:marBottom w:val="0"/>
      <w:divBdr>
        <w:top w:val="none" w:sz="0" w:space="0" w:color="auto"/>
        <w:left w:val="none" w:sz="0" w:space="0" w:color="auto"/>
        <w:bottom w:val="none" w:sz="0" w:space="0" w:color="auto"/>
        <w:right w:val="none" w:sz="0" w:space="0" w:color="auto"/>
      </w:divBdr>
    </w:div>
    <w:div w:id="735711348">
      <w:bodyDiv w:val="1"/>
      <w:marLeft w:val="0"/>
      <w:marRight w:val="0"/>
      <w:marTop w:val="0"/>
      <w:marBottom w:val="0"/>
      <w:divBdr>
        <w:top w:val="none" w:sz="0" w:space="0" w:color="auto"/>
        <w:left w:val="none" w:sz="0" w:space="0" w:color="auto"/>
        <w:bottom w:val="none" w:sz="0" w:space="0" w:color="auto"/>
        <w:right w:val="none" w:sz="0" w:space="0" w:color="auto"/>
      </w:divBdr>
    </w:div>
    <w:div w:id="736512542">
      <w:bodyDiv w:val="1"/>
      <w:marLeft w:val="0"/>
      <w:marRight w:val="0"/>
      <w:marTop w:val="0"/>
      <w:marBottom w:val="0"/>
      <w:divBdr>
        <w:top w:val="none" w:sz="0" w:space="0" w:color="auto"/>
        <w:left w:val="none" w:sz="0" w:space="0" w:color="auto"/>
        <w:bottom w:val="none" w:sz="0" w:space="0" w:color="auto"/>
        <w:right w:val="none" w:sz="0" w:space="0" w:color="auto"/>
      </w:divBdr>
    </w:div>
    <w:div w:id="740714455">
      <w:bodyDiv w:val="1"/>
      <w:marLeft w:val="0"/>
      <w:marRight w:val="0"/>
      <w:marTop w:val="0"/>
      <w:marBottom w:val="0"/>
      <w:divBdr>
        <w:top w:val="none" w:sz="0" w:space="0" w:color="auto"/>
        <w:left w:val="none" w:sz="0" w:space="0" w:color="auto"/>
        <w:bottom w:val="none" w:sz="0" w:space="0" w:color="auto"/>
        <w:right w:val="none" w:sz="0" w:space="0" w:color="auto"/>
      </w:divBdr>
    </w:div>
    <w:div w:id="740785990">
      <w:bodyDiv w:val="1"/>
      <w:marLeft w:val="0"/>
      <w:marRight w:val="0"/>
      <w:marTop w:val="0"/>
      <w:marBottom w:val="0"/>
      <w:divBdr>
        <w:top w:val="none" w:sz="0" w:space="0" w:color="auto"/>
        <w:left w:val="none" w:sz="0" w:space="0" w:color="auto"/>
        <w:bottom w:val="none" w:sz="0" w:space="0" w:color="auto"/>
        <w:right w:val="none" w:sz="0" w:space="0" w:color="auto"/>
      </w:divBdr>
    </w:div>
    <w:div w:id="742262664">
      <w:bodyDiv w:val="1"/>
      <w:marLeft w:val="0"/>
      <w:marRight w:val="0"/>
      <w:marTop w:val="0"/>
      <w:marBottom w:val="0"/>
      <w:divBdr>
        <w:top w:val="none" w:sz="0" w:space="0" w:color="auto"/>
        <w:left w:val="none" w:sz="0" w:space="0" w:color="auto"/>
        <w:bottom w:val="none" w:sz="0" w:space="0" w:color="auto"/>
        <w:right w:val="none" w:sz="0" w:space="0" w:color="auto"/>
      </w:divBdr>
    </w:div>
    <w:div w:id="744372957">
      <w:bodyDiv w:val="1"/>
      <w:marLeft w:val="0"/>
      <w:marRight w:val="0"/>
      <w:marTop w:val="0"/>
      <w:marBottom w:val="0"/>
      <w:divBdr>
        <w:top w:val="none" w:sz="0" w:space="0" w:color="auto"/>
        <w:left w:val="none" w:sz="0" w:space="0" w:color="auto"/>
        <w:bottom w:val="none" w:sz="0" w:space="0" w:color="auto"/>
        <w:right w:val="none" w:sz="0" w:space="0" w:color="auto"/>
      </w:divBdr>
    </w:div>
    <w:div w:id="748774507">
      <w:bodyDiv w:val="1"/>
      <w:marLeft w:val="0"/>
      <w:marRight w:val="0"/>
      <w:marTop w:val="0"/>
      <w:marBottom w:val="0"/>
      <w:divBdr>
        <w:top w:val="none" w:sz="0" w:space="0" w:color="auto"/>
        <w:left w:val="none" w:sz="0" w:space="0" w:color="auto"/>
        <w:bottom w:val="none" w:sz="0" w:space="0" w:color="auto"/>
        <w:right w:val="none" w:sz="0" w:space="0" w:color="auto"/>
      </w:divBdr>
    </w:div>
    <w:div w:id="749230947">
      <w:bodyDiv w:val="1"/>
      <w:marLeft w:val="0"/>
      <w:marRight w:val="0"/>
      <w:marTop w:val="0"/>
      <w:marBottom w:val="0"/>
      <w:divBdr>
        <w:top w:val="none" w:sz="0" w:space="0" w:color="auto"/>
        <w:left w:val="none" w:sz="0" w:space="0" w:color="auto"/>
        <w:bottom w:val="none" w:sz="0" w:space="0" w:color="auto"/>
        <w:right w:val="none" w:sz="0" w:space="0" w:color="auto"/>
      </w:divBdr>
    </w:div>
    <w:div w:id="756287966">
      <w:bodyDiv w:val="1"/>
      <w:marLeft w:val="0"/>
      <w:marRight w:val="0"/>
      <w:marTop w:val="0"/>
      <w:marBottom w:val="0"/>
      <w:divBdr>
        <w:top w:val="none" w:sz="0" w:space="0" w:color="auto"/>
        <w:left w:val="none" w:sz="0" w:space="0" w:color="auto"/>
        <w:bottom w:val="none" w:sz="0" w:space="0" w:color="auto"/>
        <w:right w:val="none" w:sz="0" w:space="0" w:color="auto"/>
      </w:divBdr>
    </w:div>
    <w:div w:id="756749707">
      <w:bodyDiv w:val="1"/>
      <w:marLeft w:val="0"/>
      <w:marRight w:val="0"/>
      <w:marTop w:val="0"/>
      <w:marBottom w:val="0"/>
      <w:divBdr>
        <w:top w:val="none" w:sz="0" w:space="0" w:color="auto"/>
        <w:left w:val="none" w:sz="0" w:space="0" w:color="auto"/>
        <w:bottom w:val="none" w:sz="0" w:space="0" w:color="auto"/>
        <w:right w:val="none" w:sz="0" w:space="0" w:color="auto"/>
      </w:divBdr>
    </w:div>
    <w:div w:id="757213399">
      <w:bodyDiv w:val="1"/>
      <w:marLeft w:val="0"/>
      <w:marRight w:val="0"/>
      <w:marTop w:val="0"/>
      <w:marBottom w:val="0"/>
      <w:divBdr>
        <w:top w:val="none" w:sz="0" w:space="0" w:color="auto"/>
        <w:left w:val="none" w:sz="0" w:space="0" w:color="auto"/>
        <w:bottom w:val="none" w:sz="0" w:space="0" w:color="auto"/>
        <w:right w:val="none" w:sz="0" w:space="0" w:color="auto"/>
      </w:divBdr>
    </w:div>
    <w:div w:id="757216223">
      <w:bodyDiv w:val="1"/>
      <w:marLeft w:val="0"/>
      <w:marRight w:val="0"/>
      <w:marTop w:val="0"/>
      <w:marBottom w:val="0"/>
      <w:divBdr>
        <w:top w:val="none" w:sz="0" w:space="0" w:color="auto"/>
        <w:left w:val="none" w:sz="0" w:space="0" w:color="auto"/>
        <w:bottom w:val="none" w:sz="0" w:space="0" w:color="auto"/>
        <w:right w:val="none" w:sz="0" w:space="0" w:color="auto"/>
      </w:divBdr>
    </w:div>
    <w:div w:id="760299767">
      <w:bodyDiv w:val="1"/>
      <w:marLeft w:val="0"/>
      <w:marRight w:val="0"/>
      <w:marTop w:val="0"/>
      <w:marBottom w:val="0"/>
      <w:divBdr>
        <w:top w:val="none" w:sz="0" w:space="0" w:color="auto"/>
        <w:left w:val="none" w:sz="0" w:space="0" w:color="auto"/>
        <w:bottom w:val="none" w:sz="0" w:space="0" w:color="auto"/>
        <w:right w:val="none" w:sz="0" w:space="0" w:color="auto"/>
      </w:divBdr>
    </w:div>
    <w:div w:id="760761631">
      <w:bodyDiv w:val="1"/>
      <w:marLeft w:val="0"/>
      <w:marRight w:val="0"/>
      <w:marTop w:val="0"/>
      <w:marBottom w:val="0"/>
      <w:divBdr>
        <w:top w:val="none" w:sz="0" w:space="0" w:color="auto"/>
        <w:left w:val="none" w:sz="0" w:space="0" w:color="auto"/>
        <w:bottom w:val="none" w:sz="0" w:space="0" w:color="auto"/>
        <w:right w:val="none" w:sz="0" w:space="0" w:color="auto"/>
      </w:divBdr>
    </w:div>
    <w:div w:id="761489896">
      <w:bodyDiv w:val="1"/>
      <w:marLeft w:val="0"/>
      <w:marRight w:val="0"/>
      <w:marTop w:val="0"/>
      <w:marBottom w:val="0"/>
      <w:divBdr>
        <w:top w:val="none" w:sz="0" w:space="0" w:color="auto"/>
        <w:left w:val="none" w:sz="0" w:space="0" w:color="auto"/>
        <w:bottom w:val="none" w:sz="0" w:space="0" w:color="auto"/>
        <w:right w:val="none" w:sz="0" w:space="0" w:color="auto"/>
      </w:divBdr>
    </w:div>
    <w:div w:id="762065375">
      <w:bodyDiv w:val="1"/>
      <w:marLeft w:val="0"/>
      <w:marRight w:val="0"/>
      <w:marTop w:val="0"/>
      <w:marBottom w:val="0"/>
      <w:divBdr>
        <w:top w:val="none" w:sz="0" w:space="0" w:color="auto"/>
        <w:left w:val="none" w:sz="0" w:space="0" w:color="auto"/>
        <w:bottom w:val="none" w:sz="0" w:space="0" w:color="auto"/>
        <w:right w:val="none" w:sz="0" w:space="0" w:color="auto"/>
      </w:divBdr>
    </w:div>
    <w:div w:id="765492738">
      <w:bodyDiv w:val="1"/>
      <w:marLeft w:val="0"/>
      <w:marRight w:val="0"/>
      <w:marTop w:val="0"/>
      <w:marBottom w:val="0"/>
      <w:divBdr>
        <w:top w:val="none" w:sz="0" w:space="0" w:color="auto"/>
        <w:left w:val="none" w:sz="0" w:space="0" w:color="auto"/>
        <w:bottom w:val="none" w:sz="0" w:space="0" w:color="auto"/>
        <w:right w:val="none" w:sz="0" w:space="0" w:color="auto"/>
      </w:divBdr>
    </w:div>
    <w:div w:id="766194543">
      <w:bodyDiv w:val="1"/>
      <w:marLeft w:val="0"/>
      <w:marRight w:val="0"/>
      <w:marTop w:val="0"/>
      <w:marBottom w:val="0"/>
      <w:divBdr>
        <w:top w:val="none" w:sz="0" w:space="0" w:color="auto"/>
        <w:left w:val="none" w:sz="0" w:space="0" w:color="auto"/>
        <w:bottom w:val="none" w:sz="0" w:space="0" w:color="auto"/>
        <w:right w:val="none" w:sz="0" w:space="0" w:color="auto"/>
      </w:divBdr>
    </w:div>
    <w:div w:id="767312557">
      <w:bodyDiv w:val="1"/>
      <w:marLeft w:val="0"/>
      <w:marRight w:val="0"/>
      <w:marTop w:val="0"/>
      <w:marBottom w:val="0"/>
      <w:divBdr>
        <w:top w:val="none" w:sz="0" w:space="0" w:color="auto"/>
        <w:left w:val="none" w:sz="0" w:space="0" w:color="auto"/>
        <w:bottom w:val="none" w:sz="0" w:space="0" w:color="auto"/>
        <w:right w:val="none" w:sz="0" w:space="0" w:color="auto"/>
      </w:divBdr>
    </w:div>
    <w:div w:id="767894607">
      <w:bodyDiv w:val="1"/>
      <w:marLeft w:val="0"/>
      <w:marRight w:val="0"/>
      <w:marTop w:val="0"/>
      <w:marBottom w:val="0"/>
      <w:divBdr>
        <w:top w:val="none" w:sz="0" w:space="0" w:color="auto"/>
        <w:left w:val="none" w:sz="0" w:space="0" w:color="auto"/>
        <w:bottom w:val="none" w:sz="0" w:space="0" w:color="auto"/>
        <w:right w:val="none" w:sz="0" w:space="0" w:color="auto"/>
      </w:divBdr>
    </w:div>
    <w:div w:id="771124066">
      <w:bodyDiv w:val="1"/>
      <w:marLeft w:val="0"/>
      <w:marRight w:val="0"/>
      <w:marTop w:val="0"/>
      <w:marBottom w:val="0"/>
      <w:divBdr>
        <w:top w:val="none" w:sz="0" w:space="0" w:color="auto"/>
        <w:left w:val="none" w:sz="0" w:space="0" w:color="auto"/>
        <w:bottom w:val="none" w:sz="0" w:space="0" w:color="auto"/>
        <w:right w:val="none" w:sz="0" w:space="0" w:color="auto"/>
      </w:divBdr>
    </w:div>
    <w:div w:id="773356450">
      <w:bodyDiv w:val="1"/>
      <w:marLeft w:val="0"/>
      <w:marRight w:val="0"/>
      <w:marTop w:val="0"/>
      <w:marBottom w:val="0"/>
      <w:divBdr>
        <w:top w:val="none" w:sz="0" w:space="0" w:color="auto"/>
        <w:left w:val="none" w:sz="0" w:space="0" w:color="auto"/>
        <w:bottom w:val="none" w:sz="0" w:space="0" w:color="auto"/>
        <w:right w:val="none" w:sz="0" w:space="0" w:color="auto"/>
      </w:divBdr>
    </w:div>
    <w:div w:id="774329170">
      <w:bodyDiv w:val="1"/>
      <w:marLeft w:val="0"/>
      <w:marRight w:val="0"/>
      <w:marTop w:val="0"/>
      <w:marBottom w:val="0"/>
      <w:divBdr>
        <w:top w:val="none" w:sz="0" w:space="0" w:color="auto"/>
        <w:left w:val="none" w:sz="0" w:space="0" w:color="auto"/>
        <w:bottom w:val="none" w:sz="0" w:space="0" w:color="auto"/>
        <w:right w:val="none" w:sz="0" w:space="0" w:color="auto"/>
      </w:divBdr>
    </w:div>
    <w:div w:id="775829570">
      <w:bodyDiv w:val="1"/>
      <w:marLeft w:val="0"/>
      <w:marRight w:val="0"/>
      <w:marTop w:val="0"/>
      <w:marBottom w:val="0"/>
      <w:divBdr>
        <w:top w:val="none" w:sz="0" w:space="0" w:color="auto"/>
        <w:left w:val="none" w:sz="0" w:space="0" w:color="auto"/>
        <w:bottom w:val="none" w:sz="0" w:space="0" w:color="auto"/>
        <w:right w:val="none" w:sz="0" w:space="0" w:color="auto"/>
      </w:divBdr>
    </w:div>
    <w:div w:id="775977712">
      <w:bodyDiv w:val="1"/>
      <w:marLeft w:val="0"/>
      <w:marRight w:val="0"/>
      <w:marTop w:val="0"/>
      <w:marBottom w:val="0"/>
      <w:divBdr>
        <w:top w:val="none" w:sz="0" w:space="0" w:color="auto"/>
        <w:left w:val="none" w:sz="0" w:space="0" w:color="auto"/>
        <w:bottom w:val="none" w:sz="0" w:space="0" w:color="auto"/>
        <w:right w:val="none" w:sz="0" w:space="0" w:color="auto"/>
      </w:divBdr>
    </w:div>
    <w:div w:id="776216064">
      <w:bodyDiv w:val="1"/>
      <w:marLeft w:val="0"/>
      <w:marRight w:val="0"/>
      <w:marTop w:val="0"/>
      <w:marBottom w:val="0"/>
      <w:divBdr>
        <w:top w:val="none" w:sz="0" w:space="0" w:color="auto"/>
        <w:left w:val="none" w:sz="0" w:space="0" w:color="auto"/>
        <w:bottom w:val="none" w:sz="0" w:space="0" w:color="auto"/>
        <w:right w:val="none" w:sz="0" w:space="0" w:color="auto"/>
      </w:divBdr>
    </w:div>
    <w:div w:id="779840711">
      <w:bodyDiv w:val="1"/>
      <w:marLeft w:val="0"/>
      <w:marRight w:val="0"/>
      <w:marTop w:val="0"/>
      <w:marBottom w:val="0"/>
      <w:divBdr>
        <w:top w:val="none" w:sz="0" w:space="0" w:color="auto"/>
        <w:left w:val="none" w:sz="0" w:space="0" w:color="auto"/>
        <w:bottom w:val="none" w:sz="0" w:space="0" w:color="auto"/>
        <w:right w:val="none" w:sz="0" w:space="0" w:color="auto"/>
      </w:divBdr>
    </w:div>
    <w:div w:id="781001615">
      <w:bodyDiv w:val="1"/>
      <w:marLeft w:val="0"/>
      <w:marRight w:val="0"/>
      <w:marTop w:val="0"/>
      <w:marBottom w:val="0"/>
      <w:divBdr>
        <w:top w:val="none" w:sz="0" w:space="0" w:color="auto"/>
        <w:left w:val="none" w:sz="0" w:space="0" w:color="auto"/>
        <w:bottom w:val="none" w:sz="0" w:space="0" w:color="auto"/>
        <w:right w:val="none" w:sz="0" w:space="0" w:color="auto"/>
      </w:divBdr>
    </w:div>
    <w:div w:id="783890210">
      <w:bodyDiv w:val="1"/>
      <w:marLeft w:val="0"/>
      <w:marRight w:val="0"/>
      <w:marTop w:val="0"/>
      <w:marBottom w:val="0"/>
      <w:divBdr>
        <w:top w:val="none" w:sz="0" w:space="0" w:color="auto"/>
        <w:left w:val="none" w:sz="0" w:space="0" w:color="auto"/>
        <w:bottom w:val="none" w:sz="0" w:space="0" w:color="auto"/>
        <w:right w:val="none" w:sz="0" w:space="0" w:color="auto"/>
      </w:divBdr>
    </w:div>
    <w:div w:id="790242930">
      <w:bodyDiv w:val="1"/>
      <w:marLeft w:val="0"/>
      <w:marRight w:val="0"/>
      <w:marTop w:val="0"/>
      <w:marBottom w:val="0"/>
      <w:divBdr>
        <w:top w:val="none" w:sz="0" w:space="0" w:color="auto"/>
        <w:left w:val="none" w:sz="0" w:space="0" w:color="auto"/>
        <w:bottom w:val="none" w:sz="0" w:space="0" w:color="auto"/>
        <w:right w:val="none" w:sz="0" w:space="0" w:color="auto"/>
      </w:divBdr>
    </w:div>
    <w:div w:id="796530709">
      <w:bodyDiv w:val="1"/>
      <w:marLeft w:val="0"/>
      <w:marRight w:val="0"/>
      <w:marTop w:val="0"/>
      <w:marBottom w:val="0"/>
      <w:divBdr>
        <w:top w:val="none" w:sz="0" w:space="0" w:color="auto"/>
        <w:left w:val="none" w:sz="0" w:space="0" w:color="auto"/>
        <w:bottom w:val="none" w:sz="0" w:space="0" w:color="auto"/>
        <w:right w:val="none" w:sz="0" w:space="0" w:color="auto"/>
      </w:divBdr>
    </w:div>
    <w:div w:id="797260270">
      <w:bodyDiv w:val="1"/>
      <w:marLeft w:val="0"/>
      <w:marRight w:val="0"/>
      <w:marTop w:val="0"/>
      <w:marBottom w:val="0"/>
      <w:divBdr>
        <w:top w:val="none" w:sz="0" w:space="0" w:color="auto"/>
        <w:left w:val="none" w:sz="0" w:space="0" w:color="auto"/>
        <w:bottom w:val="none" w:sz="0" w:space="0" w:color="auto"/>
        <w:right w:val="none" w:sz="0" w:space="0" w:color="auto"/>
      </w:divBdr>
    </w:div>
    <w:div w:id="797842202">
      <w:bodyDiv w:val="1"/>
      <w:marLeft w:val="0"/>
      <w:marRight w:val="0"/>
      <w:marTop w:val="0"/>
      <w:marBottom w:val="0"/>
      <w:divBdr>
        <w:top w:val="none" w:sz="0" w:space="0" w:color="auto"/>
        <w:left w:val="none" w:sz="0" w:space="0" w:color="auto"/>
        <w:bottom w:val="none" w:sz="0" w:space="0" w:color="auto"/>
        <w:right w:val="none" w:sz="0" w:space="0" w:color="auto"/>
      </w:divBdr>
    </w:div>
    <w:div w:id="798912200">
      <w:bodyDiv w:val="1"/>
      <w:marLeft w:val="0"/>
      <w:marRight w:val="0"/>
      <w:marTop w:val="0"/>
      <w:marBottom w:val="0"/>
      <w:divBdr>
        <w:top w:val="none" w:sz="0" w:space="0" w:color="auto"/>
        <w:left w:val="none" w:sz="0" w:space="0" w:color="auto"/>
        <w:bottom w:val="none" w:sz="0" w:space="0" w:color="auto"/>
        <w:right w:val="none" w:sz="0" w:space="0" w:color="auto"/>
      </w:divBdr>
    </w:div>
    <w:div w:id="800994958">
      <w:bodyDiv w:val="1"/>
      <w:marLeft w:val="0"/>
      <w:marRight w:val="0"/>
      <w:marTop w:val="0"/>
      <w:marBottom w:val="0"/>
      <w:divBdr>
        <w:top w:val="none" w:sz="0" w:space="0" w:color="auto"/>
        <w:left w:val="none" w:sz="0" w:space="0" w:color="auto"/>
        <w:bottom w:val="none" w:sz="0" w:space="0" w:color="auto"/>
        <w:right w:val="none" w:sz="0" w:space="0" w:color="auto"/>
      </w:divBdr>
    </w:div>
    <w:div w:id="801388622">
      <w:bodyDiv w:val="1"/>
      <w:marLeft w:val="0"/>
      <w:marRight w:val="0"/>
      <w:marTop w:val="0"/>
      <w:marBottom w:val="0"/>
      <w:divBdr>
        <w:top w:val="none" w:sz="0" w:space="0" w:color="auto"/>
        <w:left w:val="none" w:sz="0" w:space="0" w:color="auto"/>
        <w:bottom w:val="none" w:sz="0" w:space="0" w:color="auto"/>
        <w:right w:val="none" w:sz="0" w:space="0" w:color="auto"/>
      </w:divBdr>
    </w:div>
    <w:div w:id="803087178">
      <w:bodyDiv w:val="1"/>
      <w:marLeft w:val="0"/>
      <w:marRight w:val="0"/>
      <w:marTop w:val="0"/>
      <w:marBottom w:val="0"/>
      <w:divBdr>
        <w:top w:val="none" w:sz="0" w:space="0" w:color="auto"/>
        <w:left w:val="none" w:sz="0" w:space="0" w:color="auto"/>
        <w:bottom w:val="none" w:sz="0" w:space="0" w:color="auto"/>
        <w:right w:val="none" w:sz="0" w:space="0" w:color="auto"/>
      </w:divBdr>
    </w:div>
    <w:div w:id="810708983">
      <w:bodyDiv w:val="1"/>
      <w:marLeft w:val="0"/>
      <w:marRight w:val="0"/>
      <w:marTop w:val="0"/>
      <w:marBottom w:val="0"/>
      <w:divBdr>
        <w:top w:val="none" w:sz="0" w:space="0" w:color="auto"/>
        <w:left w:val="none" w:sz="0" w:space="0" w:color="auto"/>
        <w:bottom w:val="none" w:sz="0" w:space="0" w:color="auto"/>
        <w:right w:val="none" w:sz="0" w:space="0" w:color="auto"/>
      </w:divBdr>
    </w:div>
    <w:div w:id="811942047">
      <w:bodyDiv w:val="1"/>
      <w:marLeft w:val="0"/>
      <w:marRight w:val="0"/>
      <w:marTop w:val="0"/>
      <w:marBottom w:val="0"/>
      <w:divBdr>
        <w:top w:val="none" w:sz="0" w:space="0" w:color="auto"/>
        <w:left w:val="none" w:sz="0" w:space="0" w:color="auto"/>
        <w:bottom w:val="none" w:sz="0" w:space="0" w:color="auto"/>
        <w:right w:val="none" w:sz="0" w:space="0" w:color="auto"/>
      </w:divBdr>
    </w:div>
    <w:div w:id="814564448">
      <w:bodyDiv w:val="1"/>
      <w:marLeft w:val="0"/>
      <w:marRight w:val="0"/>
      <w:marTop w:val="0"/>
      <w:marBottom w:val="0"/>
      <w:divBdr>
        <w:top w:val="none" w:sz="0" w:space="0" w:color="auto"/>
        <w:left w:val="none" w:sz="0" w:space="0" w:color="auto"/>
        <w:bottom w:val="none" w:sz="0" w:space="0" w:color="auto"/>
        <w:right w:val="none" w:sz="0" w:space="0" w:color="auto"/>
      </w:divBdr>
    </w:div>
    <w:div w:id="816459336">
      <w:bodyDiv w:val="1"/>
      <w:marLeft w:val="0"/>
      <w:marRight w:val="0"/>
      <w:marTop w:val="0"/>
      <w:marBottom w:val="0"/>
      <w:divBdr>
        <w:top w:val="none" w:sz="0" w:space="0" w:color="auto"/>
        <w:left w:val="none" w:sz="0" w:space="0" w:color="auto"/>
        <w:bottom w:val="none" w:sz="0" w:space="0" w:color="auto"/>
        <w:right w:val="none" w:sz="0" w:space="0" w:color="auto"/>
      </w:divBdr>
    </w:div>
    <w:div w:id="817039251">
      <w:bodyDiv w:val="1"/>
      <w:marLeft w:val="0"/>
      <w:marRight w:val="0"/>
      <w:marTop w:val="0"/>
      <w:marBottom w:val="0"/>
      <w:divBdr>
        <w:top w:val="none" w:sz="0" w:space="0" w:color="auto"/>
        <w:left w:val="none" w:sz="0" w:space="0" w:color="auto"/>
        <w:bottom w:val="none" w:sz="0" w:space="0" w:color="auto"/>
        <w:right w:val="none" w:sz="0" w:space="0" w:color="auto"/>
      </w:divBdr>
    </w:div>
    <w:div w:id="817260488">
      <w:bodyDiv w:val="1"/>
      <w:marLeft w:val="0"/>
      <w:marRight w:val="0"/>
      <w:marTop w:val="0"/>
      <w:marBottom w:val="0"/>
      <w:divBdr>
        <w:top w:val="none" w:sz="0" w:space="0" w:color="auto"/>
        <w:left w:val="none" w:sz="0" w:space="0" w:color="auto"/>
        <w:bottom w:val="none" w:sz="0" w:space="0" w:color="auto"/>
        <w:right w:val="none" w:sz="0" w:space="0" w:color="auto"/>
      </w:divBdr>
    </w:div>
    <w:div w:id="817570123">
      <w:bodyDiv w:val="1"/>
      <w:marLeft w:val="0"/>
      <w:marRight w:val="0"/>
      <w:marTop w:val="0"/>
      <w:marBottom w:val="0"/>
      <w:divBdr>
        <w:top w:val="none" w:sz="0" w:space="0" w:color="auto"/>
        <w:left w:val="none" w:sz="0" w:space="0" w:color="auto"/>
        <w:bottom w:val="none" w:sz="0" w:space="0" w:color="auto"/>
        <w:right w:val="none" w:sz="0" w:space="0" w:color="auto"/>
      </w:divBdr>
    </w:div>
    <w:div w:id="821888642">
      <w:bodyDiv w:val="1"/>
      <w:marLeft w:val="0"/>
      <w:marRight w:val="0"/>
      <w:marTop w:val="0"/>
      <w:marBottom w:val="0"/>
      <w:divBdr>
        <w:top w:val="none" w:sz="0" w:space="0" w:color="auto"/>
        <w:left w:val="none" w:sz="0" w:space="0" w:color="auto"/>
        <w:bottom w:val="none" w:sz="0" w:space="0" w:color="auto"/>
        <w:right w:val="none" w:sz="0" w:space="0" w:color="auto"/>
      </w:divBdr>
    </w:div>
    <w:div w:id="822896816">
      <w:bodyDiv w:val="1"/>
      <w:marLeft w:val="0"/>
      <w:marRight w:val="0"/>
      <w:marTop w:val="0"/>
      <w:marBottom w:val="0"/>
      <w:divBdr>
        <w:top w:val="none" w:sz="0" w:space="0" w:color="auto"/>
        <w:left w:val="none" w:sz="0" w:space="0" w:color="auto"/>
        <w:bottom w:val="none" w:sz="0" w:space="0" w:color="auto"/>
        <w:right w:val="none" w:sz="0" w:space="0" w:color="auto"/>
      </w:divBdr>
    </w:div>
    <w:div w:id="824971842">
      <w:bodyDiv w:val="1"/>
      <w:marLeft w:val="0"/>
      <w:marRight w:val="0"/>
      <w:marTop w:val="0"/>
      <w:marBottom w:val="0"/>
      <w:divBdr>
        <w:top w:val="none" w:sz="0" w:space="0" w:color="auto"/>
        <w:left w:val="none" w:sz="0" w:space="0" w:color="auto"/>
        <w:bottom w:val="none" w:sz="0" w:space="0" w:color="auto"/>
        <w:right w:val="none" w:sz="0" w:space="0" w:color="auto"/>
      </w:divBdr>
    </w:div>
    <w:div w:id="824972080">
      <w:bodyDiv w:val="1"/>
      <w:marLeft w:val="0"/>
      <w:marRight w:val="0"/>
      <w:marTop w:val="0"/>
      <w:marBottom w:val="0"/>
      <w:divBdr>
        <w:top w:val="none" w:sz="0" w:space="0" w:color="auto"/>
        <w:left w:val="none" w:sz="0" w:space="0" w:color="auto"/>
        <w:bottom w:val="none" w:sz="0" w:space="0" w:color="auto"/>
        <w:right w:val="none" w:sz="0" w:space="0" w:color="auto"/>
      </w:divBdr>
    </w:div>
    <w:div w:id="826286881">
      <w:bodyDiv w:val="1"/>
      <w:marLeft w:val="0"/>
      <w:marRight w:val="0"/>
      <w:marTop w:val="0"/>
      <w:marBottom w:val="0"/>
      <w:divBdr>
        <w:top w:val="none" w:sz="0" w:space="0" w:color="auto"/>
        <w:left w:val="none" w:sz="0" w:space="0" w:color="auto"/>
        <w:bottom w:val="none" w:sz="0" w:space="0" w:color="auto"/>
        <w:right w:val="none" w:sz="0" w:space="0" w:color="auto"/>
      </w:divBdr>
    </w:div>
    <w:div w:id="830215019">
      <w:bodyDiv w:val="1"/>
      <w:marLeft w:val="0"/>
      <w:marRight w:val="0"/>
      <w:marTop w:val="0"/>
      <w:marBottom w:val="0"/>
      <w:divBdr>
        <w:top w:val="none" w:sz="0" w:space="0" w:color="auto"/>
        <w:left w:val="none" w:sz="0" w:space="0" w:color="auto"/>
        <w:bottom w:val="none" w:sz="0" w:space="0" w:color="auto"/>
        <w:right w:val="none" w:sz="0" w:space="0" w:color="auto"/>
      </w:divBdr>
    </w:div>
    <w:div w:id="834297456">
      <w:bodyDiv w:val="1"/>
      <w:marLeft w:val="0"/>
      <w:marRight w:val="0"/>
      <w:marTop w:val="0"/>
      <w:marBottom w:val="0"/>
      <w:divBdr>
        <w:top w:val="none" w:sz="0" w:space="0" w:color="auto"/>
        <w:left w:val="none" w:sz="0" w:space="0" w:color="auto"/>
        <w:bottom w:val="none" w:sz="0" w:space="0" w:color="auto"/>
        <w:right w:val="none" w:sz="0" w:space="0" w:color="auto"/>
      </w:divBdr>
    </w:div>
    <w:div w:id="835606418">
      <w:bodyDiv w:val="1"/>
      <w:marLeft w:val="0"/>
      <w:marRight w:val="0"/>
      <w:marTop w:val="0"/>
      <w:marBottom w:val="0"/>
      <w:divBdr>
        <w:top w:val="none" w:sz="0" w:space="0" w:color="auto"/>
        <w:left w:val="none" w:sz="0" w:space="0" w:color="auto"/>
        <w:bottom w:val="none" w:sz="0" w:space="0" w:color="auto"/>
        <w:right w:val="none" w:sz="0" w:space="0" w:color="auto"/>
      </w:divBdr>
    </w:div>
    <w:div w:id="842281837">
      <w:bodyDiv w:val="1"/>
      <w:marLeft w:val="0"/>
      <w:marRight w:val="0"/>
      <w:marTop w:val="0"/>
      <w:marBottom w:val="0"/>
      <w:divBdr>
        <w:top w:val="none" w:sz="0" w:space="0" w:color="auto"/>
        <w:left w:val="none" w:sz="0" w:space="0" w:color="auto"/>
        <w:bottom w:val="none" w:sz="0" w:space="0" w:color="auto"/>
        <w:right w:val="none" w:sz="0" w:space="0" w:color="auto"/>
      </w:divBdr>
    </w:div>
    <w:div w:id="846675122">
      <w:bodyDiv w:val="1"/>
      <w:marLeft w:val="0"/>
      <w:marRight w:val="0"/>
      <w:marTop w:val="0"/>
      <w:marBottom w:val="0"/>
      <w:divBdr>
        <w:top w:val="none" w:sz="0" w:space="0" w:color="auto"/>
        <w:left w:val="none" w:sz="0" w:space="0" w:color="auto"/>
        <w:bottom w:val="none" w:sz="0" w:space="0" w:color="auto"/>
        <w:right w:val="none" w:sz="0" w:space="0" w:color="auto"/>
      </w:divBdr>
    </w:div>
    <w:div w:id="847134814">
      <w:bodyDiv w:val="1"/>
      <w:marLeft w:val="0"/>
      <w:marRight w:val="0"/>
      <w:marTop w:val="0"/>
      <w:marBottom w:val="0"/>
      <w:divBdr>
        <w:top w:val="none" w:sz="0" w:space="0" w:color="auto"/>
        <w:left w:val="none" w:sz="0" w:space="0" w:color="auto"/>
        <w:bottom w:val="none" w:sz="0" w:space="0" w:color="auto"/>
        <w:right w:val="none" w:sz="0" w:space="0" w:color="auto"/>
      </w:divBdr>
    </w:div>
    <w:div w:id="848328072">
      <w:bodyDiv w:val="1"/>
      <w:marLeft w:val="0"/>
      <w:marRight w:val="0"/>
      <w:marTop w:val="0"/>
      <w:marBottom w:val="0"/>
      <w:divBdr>
        <w:top w:val="none" w:sz="0" w:space="0" w:color="auto"/>
        <w:left w:val="none" w:sz="0" w:space="0" w:color="auto"/>
        <w:bottom w:val="none" w:sz="0" w:space="0" w:color="auto"/>
        <w:right w:val="none" w:sz="0" w:space="0" w:color="auto"/>
      </w:divBdr>
    </w:div>
    <w:div w:id="851263521">
      <w:bodyDiv w:val="1"/>
      <w:marLeft w:val="0"/>
      <w:marRight w:val="0"/>
      <w:marTop w:val="0"/>
      <w:marBottom w:val="0"/>
      <w:divBdr>
        <w:top w:val="none" w:sz="0" w:space="0" w:color="auto"/>
        <w:left w:val="none" w:sz="0" w:space="0" w:color="auto"/>
        <w:bottom w:val="none" w:sz="0" w:space="0" w:color="auto"/>
        <w:right w:val="none" w:sz="0" w:space="0" w:color="auto"/>
      </w:divBdr>
    </w:div>
    <w:div w:id="852181853">
      <w:bodyDiv w:val="1"/>
      <w:marLeft w:val="0"/>
      <w:marRight w:val="0"/>
      <w:marTop w:val="0"/>
      <w:marBottom w:val="0"/>
      <w:divBdr>
        <w:top w:val="none" w:sz="0" w:space="0" w:color="auto"/>
        <w:left w:val="none" w:sz="0" w:space="0" w:color="auto"/>
        <w:bottom w:val="none" w:sz="0" w:space="0" w:color="auto"/>
        <w:right w:val="none" w:sz="0" w:space="0" w:color="auto"/>
      </w:divBdr>
    </w:div>
    <w:div w:id="857353416">
      <w:bodyDiv w:val="1"/>
      <w:marLeft w:val="0"/>
      <w:marRight w:val="0"/>
      <w:marTop w:val="0"/>
      <w:marBottom w:val="0"/>
      <w:divBdr>
        <w:top w:val="none" w:sz="0" w:space="0" w:color="auto"/>
        <w:left w:val="none" w:sz="0" w:space="0" w:color="auto"/>
        <w:bottom w:val="none" w:sz="0" w:space="0" w:color="auto"/>
        <w:right w:val="none" w:sz="0" w:space="0" w:color="auto"/>
      </w:divBdr>
    </w:div>
    <w:div w:id="860436555">
      <w:bodyDiv w:val="1"/>
      <w:marLeft w:val="0"/>
      <w:marRight w:val="0"/>
      <w:marTop w:val="0"/>
      <w:marBottom w:val="0"/>
      <w:divBdr>
        <w:top w:val="none" w:sz="0" w:space="0" w:color="auto"/>
        <w:left w:val="none" w:sz="0" w:space="0" w:color="auto"/>
        <w:bottom w:val="none" w:sz="0" w:space="0" w:color="auto"/>
        <w:right w:val="none" w:sz="0" w:space="0" w:color="auto"/>
      </w:divBdr>
    </w:div>
    <w:div w:id="863641372">
      <w:bodyDiv w:val="1"/>
      <w:marLeft w:val="0"/>
      <w:marRight w:val="0"/>
      <w:marTop w:val="0"/>
      <w:marBottom w:val="0"/>
      <w:divBdr>
        <w:top w:val="none" w:sz="0" w:space="0" w:color="auto"/>
        <w:left w:val="none" w:sz="0" w:space="0" w:color="auto"/>
        <w:bottom w:val="none" w:sz="0" w:space="0" w:color="auto"/>
        <w:right w:val="none" w:sz="0" w:space="0" w:color="auto"/>
      </w:divBdr>
    </w:div>
    <w:div w:id="867375277">
      <w:bodyDiv w:val="1"/>
      <w:marLeft w:val="0"/>
      <w:marRight w:val="0"/>
      <w:marTop w:val="0"/>
      <w:marBottom w:val="0"/>
      <w:divBdr>
        <w:top w:val="none" w:sz="0" w:space="0" w:color="auto"/>
        <w:left w:val="none" w:sz="0" w:space="0" w:color="auto"/>
        <w:bottom w:val="none" w:sz="0" w:space="0" w:color="auto"/>
        <w:right w:val="none" w:sz="0" w:space="0" w:color="auto"/>
      </w:divBdr>
    </w:div>
    <w:div w:id="868227350">
      <w:bodyDiv w:val="1"/>
      <w:marLeft w:val="0"/>
      <w:marRight w:val="0"/>
      <w:marTop w:val="0"/>
      <w:marBottom w:val="0"/>
      <w:divBdr>
        <w:top w:val="none" w:sz="0" w:space="0" w:color="auto"/>
        <w:left w:val="none" w:sz="0" w:space="0" w:color="auto"/>
        <w:bottom w:val="none" w:sz="0" w:space="0" w:color="auto"/>
        <w:right w:val="none" w:sz="0" w:space="0" w:color="auto"/>
      </w:divBdr>
    </w:div>
    <w:div w:id="870386910">
      <w:bodyDiv w:val="1"/>
      <w:marLeft w:val="0"/>
      <w:marRight w:val="0"/>
      <w:marTop w:val="0"/>
      <w:marBottom w:val="0"/>
      <w:divBdr>
        <w:top w:val="none" w:sz="0" w:space="0" w:color="auto"/>
        <w:left w:val="none" w:sz="0" w:space="0" w:color="auto"/>
        <w:bottom w:val="none" w:sz="0" w:space="0" w:color="auto"/>
        <w:right w:val="none" w:sz="0" w:space="0" w:color="auto"/>
      </w:divBdr>
    </w:div>
    <w:div w:id="870873939">
      <w:bodyDiv w:val="1"/>
      <w:marLeft w:val="0"/>
      <w:marRight w:val="0"/>
      <w:marTop w:val="0"/>
      <w:marBottom w:val="0"/>
      <w:divBdr>
        <w:top w:val="none" w:sz="0" w:space="0" w:color="auto"/>
        <w:left w:val="none" w:sz="0" w:space="0" w:color="auto"/>
        <w:bottom w:val="none" w:sz="0" w:space="0" w:color="auto"/>
        <w:right w:val="none" w:sz="0" w:space="0" w:color="auto"/>
      </w:divBdr>
    </w:div>
    <w:div w:id="872958897">
      <w:bodyDiv w:val="1"/>
      <w:marLeft w:val="0"/>
      <w:marRight w:val="0"/>
      <w:marTop w:val="0"/>
      <w:marBottom w:val="0"/>
      <w:divBdr>
        <w:top w:val="none" w:sz="0" w:space="0" w:color="auto"/>
        <w:left w:val="none" w:sz="0" w:space="0" w:color="auto"/>
        <w:bottom w:val="none" w:sz="0" w:space="0" w:color="auto"/>
        <w:right w:val="none" w:sz="0" w:space="0" w:color="auto"/>
      </w:divBdr>
    </w:div>
    <w:div w:id="873692170">
      <w:bodyDiv w:val="1"/>
      <w:marLeft w:val="0"/>
      <w:marRight w:val="0"/>
      <w:marTop w:val="0"/>
      <w:marBottom w:val="0"/>
      <w:divBdr>
        <w:top w:val="none" w:sz="0" w:space="0" w:color="auto"/>
        <w:left w:val="none" w:sz="0" w:space="0" w:color="auto"/>
        <w:bottom w:val="none" w:sz="0" w:space="0" w:color="auto"/>
        <w:right w:val="none" w:sz="0" w:space="0" w:color="auto"/>
      </w:divBdr>
    </w:div>
    <w:div w:id="876085675">
      <w:bodyDiv w:val="1"/>
      <w:marLeft w:val="0"/>
      <w:marRight w:val="0"/>
      <w:marTop w:val="0"/>
      <w:marBottom w:val="0"/>
      <w:divBdr>
        <w:top w:val="none" w:sz="0" w:space="0" w:color="auto"/>
        <w:left w:val="none" w:sz="0" w:space="0" w:color="auto"/>
        <w:bottom w:val="none" w:sz="0" w:space="0" w:color="auto"/>
        <w:right w:val="none" w:sz="0" w:space="0" w:color="auto"/>
      </w:divBdr>
    </w:div>
    <w:div w:id="877207588">
      <w:bodyDiv w:val="1"/>
      <w:marLeft w:val="0"/>
      <w:marRight w:val="0"/>
      <w:marTop w:val="0"/>
      <w:marBottom w:val="0"/>
      <w:divBdr>
        <w:top w:val="none" w:sz="0" w:space="0" w:color="auto"/>
        <w:left w:val="none" w:sz="0" w:space="0" w:color="auto"/>
        <w:bottom w:val="none" w:sz="0" w:space="0" w:color="auto"/>
        <w:right w:val="none" w:sz="0" w:space="0" w:color="auto"/>
      </w:divBdr>
    </w:div>
    <w:div w:id="877669200">
      <w:bodyDiv w:val="1"/>
      <w:marLeft w:val="0"/>
      <w:marRight w:val="0"/>
      <w:marTop w:val="0"/>
      <w:marBottom w:val="0"/>
      <w:divBdr>
        <w:top w:val="none" w:sz="0" w:space="0" w:color="auto"/>
        <w:left w:val="none" w:sz="0" w:space="0" w:color="auto"/>
        <w:bottom w:val="none" w:sz="0" w:space="0" w:color="auto"/>
        <w:right w:val="none" w:sz="0" w:space="0" w:color="auto"/>
      </w:divBdr>
    </w:div>
    <w:div w:id="877814774">
      <w:bodyDiv w:val="1"/>
      <w:marLeft w:val="0"/>
      <w:marRight w:val="0"/>
      <w:marTop w:val="0"/>
      <w:marBottom w:val="0"/>
      <w:divBdr>
        <w:top w:val="none" w:sz="0" w:space="0" w:color="auto"/>
        <w:left w:val="none" w:sz="0" w:space="0" w:color="auto"/>
        <w:bottom w:val="none" w:sz="0" w:space="0" w:color="auto"/>
        <w:right w:val="none" w:sz="0" w:space="0" w:color="auto"/>
      </w:divBdr>
    </w:div>
    <w:div w:id="878276768">
      <w:bodyDiv w:val="1"/>
      <w:marLeft w:val="0"/>
      <w:marRight w:val="0"/>
      <w:marTop w:val="0"/>
      <w:marBottom w:val="0"/>
      <w:divBdr>
        <w:top w:val="none" w:sz="0" w:space="0" w:color="auto"/>
        <w:left w:val="none" w:sz="0" w:space="0" w:color="auto"/>
        <w:bottom w:val="none" w:sz="0" w:space="0" w:color="auto"/>
        <w:right w:val="none" w:sz="0" w:space="0" w:color="auto"/>
      </w:divBdr>
    </w:div>
    <w:div w:id="879315740">
      <w:bodyDiv w:val="1"/>
      <w:marLeft w:val="0"/>
      <w:marRight w:val="0"/>
      <w:marTop w:val="0"/>
      <w:marBottom w:val="0"/>
      <w:divBdr>
        <w:top w:val="none" w:sz="0" w:space="0" w:color="auto"/>
        <w:left w:val="none" w:sz="0" w:space="0" w:color="auto"/>
        <w:bottom w:val="none" w:sz="0" w:space="0" w:color="auto"/>
        <w:right w:val="none" w:sz="0" w:space="0" w:color="auto"/>
      </w:divBdr>
    </w:div>
    <w:div w:id="880361503">
      <w:bodyDiv w:val="1"/>
      <w:marLeft w:val="0"/>
      <w:marRight w:val="0"/>
      <w:marTop w:val="0"/>
      <w:marBottom w:val="0"/>
      <w:divBdr>
        <w:top w:val="none" w:sz="0" w:space="0" w:color="auto"/>
        <w:left w:val="none" w:sz="0" w:space="0" w:color="auto"/>
        <w:bottom w:val="none" w:sz="0" w:space="0" w:color="auto"/>
        <w:right w:val="none" w:sz="0" w:space="0" w:color="auto"/>
      </w:divBdr>
    </w:div>
    <w:div w:id="881554834">
      <w:bodyDiv w:val="1"/>
      <w:marLeft w:val="0"/>
      <w:marRight w:val="0"/>
      <w:marTop w:val="0"/>
      <w:marBottom w:val="0"/>
      <w:divBdr>
        <w:top w:val="none" w:sz="0" w:space="0" w:color="auto"/>
        <w:left w:val="none" w:sz="0" w:space="0" w:color="auto"/>
        <w:bottom w:val="none" w:sz="0" w:space="0" w:color="auto"/>
        <w:right w:val="none" w:sz="0" w:space="0" w:color="auto"/>
      </w:divBdr>
    </w:div>
    <w:div w:id="882601023">
      <w:bodyDiv w:val="1"/>
      <w:marLeft w:val="0"/>
      <w:marRight w:val="0"/>
      <w:marTop w:val="0"/>
      <w:marBottom w:val="0"/>
      <w:divBdr>
        <w:top w:val="none" w:sz="0" w:space="0" w:color="auto"/>
        <w:left w:val="none" w:sz="0" w:space="0" w:color="auto"/>
        <w:bottom w:val="none" w:sz="0" w:space="0" w:color="auto"/>
        <w:right w:val="none" w:sz="0" w:space="0" w:color="auto"/>
      </w:divBdr>
    </w:div>
    <w:div w:id="887301147">
      <w:bodyDiv w:val="1"/>
      <w:marLeft w:val="0"/>
      <w:marRight w:val="0"/>
      <w:marTop w:val="0"/>
      <w:marBottom w:val="0"/>
      <w:divBdr>
        <w:top w:val="none" w:sz="0" w:space="0" w:color="auto"/>
        <w:left w:val="none" w:sz="0" w:space="0" w:color="auto"/>
        <w:bottom w:val="none" w:sz="0" w:space="0" w:color="auto"/>
        <w:right w:val="none" w:sz="0" w:space="0" w:color="auto"/>
      </w:divBdr>
    </w:div>
    <w:div w:id="892501460">
      <w:bodyDiv w:val="1"/>
      <w:marLeft w:val="0"/>
      <w:marRight w:val="0"/>
      <w:marTop w:val="0"/>
      <w:marBottom w:val="0"/>
      <w:divBdr>
        <w:top w:val="none" w:sz="0" w:space="0" w:color="auto"/>
        <w:left w:val="none" w:sz="0" w:space="0" w:color="auto"/>
        <w:bottom w:val="none" w:sz="0" w:space="0" w:color="auto"/>
        <w:right w:val="none" w:sz="0" w:space="0" w:color="auto"/>
      </w:divBdr>
    </w:div>
    <w:div w:id="894894474">
      <w:bodyDiv w:val="1"/>
      <w:marLeft w:val="0"/>
      <w:marRight w:val="0"/>
      <w:marTop w:val="0"/>
      <w:marBottom w:val="0"/>
      <w:divBdr>
        <w:top w:val="none" w:sz="0" w:space="0" w:color="auto"/>
        <w:left w:val="none" w:sz="0" w:space="0" w:color="auto"/>
        <w:bottom w:val="none" w:sz="0" w:space="0" w:color="auto"/>
        <w:right w:val="none" w:sz="0" w:space="0" w:color="auto"/>
      </w:divBdr>
    </w:div>
    <w:div w:id="899245282">
      <w:bodyDiv w:val="1"/>
      <w:marLeft w:val="0"/>
      <w:marRight w:val="0"/>
      <w:marTop w:val="0"/>
      <w:marBottom w:val="0"/>
      <w:divBdr>
        <w:top w:val="none" w:sz="0" w:space="0" w:color="auto"/>
        <w:left w:val="none" w:sz="0" w:space="0" w:color="auto"/>
        <w:bottom w:val="none" w:sz="0" w:space="0" w:color="auto"/>
        <w:right w:val="none" w:sz="0" w:space="0" w:color="auto"/>
      </w:divBdr>
    </w:div>
    <w:div w:id="902909093">
      <w:bodyDiv w:val="1"/>
      <w:marLeft w:val="0"/>
      <w:marRight w:val="0"/>
      <w:marTop w:val="0"/>
      <w:marBottom w:val="0"/>
      <w:divBdr>
        <w:top w:val="none" w:sz="0" w:space="0" w:color="auto"/>
        <w:left w:val="none" w:sz="0" w:space="0" w:color="auto"/>
        <w:bottom w:val="none" w:sz="0" w:space="0" w:color="auto"/>
        <w:right w:val="none" w:sz="0" w:space="0" w:color="auto"/>
      </w:divBdr>
    </w:div>
    <w:div w:id="903493768">
      <w:bodyDiv w:val="1"/>
      <w:marLeft w:val="0"/>
      <w:marRight w:val="0"/>
      <w:marTop w:val="0"/>
      <w:marBottom w:val="0"/>
      <w:divBdr>
        <w:top w:val="none" w:sz="0" w:space="0" w:color="auto"/>
        <w:left w:val="none" w:sz="0" w:space="0" w:color="auto"/>
        <w:bottom w:val="none" w:sz="0" w:space="0" w:color="auto"/>
        <w:right w:val="none" w:sz="0" w:space="0" w:color="auto"/>
      </w:divBdr>
    </w:div>
    <w:div w:id="904725997">
      <w:bodyDiv w:val="1"/>
      <w:marLeft w:val="0"/>
      <w:marRight w:val="0"/>
      <w:marTop w:val="0"/>
      <w:marBottom w:val="0"/>
      <w:divBdr>
        <w:top w:val="none" w:sz="0" w:space="0" w:color="auto"/>
        <w:left w:val="none" w:sz="0" w:space="0" w:color="auto"/>
        <w:bottom w:val="none" w:sz="0" w:space="0" w:color="auto"/>
        <w:right w:val="none" w:sz="0" w:space="0" w:color="auto"/>
      </w:divBdr>
    </w:div>
    <w:div w:id="905719933">
      <w:bodyDiv w:val="1"/>
      <w:marLeft w:val="0"/>
      <w:marRight w:val="0"/>
      <w:marTop w:val="0"/>
      <w:marBottom w:val="0"/>
      <w:divBdr>
        <w:top w:val="none" w:sz="0" w:space="0" w:color="auto"/>
        <w:left w:val="none" w:sz="0" w:space="0" w:color="auto"/>
        <w:bottom w:val="none" w:sz="0" w:space="0" w:color="auto"/>
        <w:right w:val="none" w:sz="0" w:space="0" w:color="auto"/>
      </w:divBdr>
    </w:div>
    <w:div w:id="906501248">
      <w:bodyDiv w:val="1"/>
      <w:marLeft w:val="0"/>
      <w:marRight w:val="0"/>
      <w:marTop w:val="0"/>
      <w:marBottom w:val="0"/>
      <w:divBdr>
        <w:top w:val="none" w:sz="0" w:space="0" w:color="auto"/>
        <w:left w:val="none" w:sz="0" w:space="0" w:color="auto"/>
        <w:bottom w:val="none" w:sz="0" w:space="0" w:color="auto"/>
        <w:right w:val="none" w:sz="0" w:space="0" w:color="auto"/>
      </w:divBdr>
    </w:div>
    <w:div w:id="909146833">
      <w:bodyDiv w:val="1"/>
      <w:marLeft w:val="0"/>
      <w:marRight w:val="0"/>
      <w:marTop w:val="0"/>
      <w:marBottom w:val="0"/>
      <w:divBdr>
        <w:top w:val="none" w:sz="0" w:space="0" w:color="auto"/>
        <w:left w:val="none" w:sz="0" w:space="0" w:color="auto"/>
        <w:bottom w:val="none" w:sz="0" w:space="0" w:color="auto"/>
        <w:right w:val="none" w:sz="0" w:space="0" w:color="auto"/>
      </w:divBdr>
    </w:div>
    <w:div w:id="909343086">
      <w:bodyDiv w:val="1"/>
      <w:marLeft w:val="0"/>
      <w:marRight w:val="0"/>
      <w:marTop w:val="0"/>
      <w:marBottom w:val="0"/>
      <w:divBdr>
        <w:top w:val="none" w:sz="0" w:space="0" w:color="auto"/>
        <w:left w:val="none" w:sz="0" w:space="0" w:color="auto"/>
        <w:bottom w:val="none" w:sz="0" w:space="0" w:color="auto"/>
        <w:right w:val="none" w:sz="0" w:space="0" w:color="auto"/>
      </w:divBdr>
    </w:div>
    <w:div w:id="909391097">
      <w:bodyDiv w:val="1"/>
      <w:marLeft w:val="0"/>
      <w:marRight w:val="0"/>
      <w:marTop w:val="0"/>
      <w:marBottom w:val="0"/>
      <w:divBdr>
        <w:top w:val="none" w:sz="0" w:space="0" w:color="auto"/>
        <w:left w:val="none" w:sz="0" w:space="0" w:color="auto"/>
        <w:bottom w:val="none" w:sz="0" w:space="0" w:color="auto"/>
        <w:right w:val="none" w:sz="0" w:space="0" w:color="auto"/>
      </w:divBdr>
    </w:div>
    <w:div w:id="911238689">
      <w:bodyDiv w:val="1"/>
      <w:marLeft w:val="0"/>
      <w:marRight w:val="0"/>
      <w:marTop w:val="0"/>
      <w:marBottom w:val="0"/>
      <w:divBdr>
        <w:top w:val="none" w:sz="0" w:space="0" w:color="auto"/>
        <w:left w:val="none" w:sz="0" w:space="0" w:color="auto"/>
        <w:bottom w:val="none" w:sz="0" w:space="0" w:color="auto"/>
        <w:right w:val="none" w:sz="0" w:space="0" w:color="auto"/>
      </w:divBdr>
    </w:div>
    <w:div w:id="911547544">
      <w:bodyDiv w:val="1"/>
      <w:marLeft w:val="0"/>
      <w:marRight w:val="0"/>
      <w:marTop w:val="0"/>
      <w:marBottom w:val="0"/>
      <w:divBdr>
        <w:top w:val="none" w:sz="0" w:space="0" w:color="auto"/>
        <w:left w:val="none" w:sz="0" w:space="0" w:color="auto"/>
        <w:bottom w:val="none" w:sz="0" w:space="0" w:color="auto"/>
        <w:right w:val="none" w:sz="0" w:space="0" w:color="auto"/>
      </w:divBdr>
    </w:div>
    <w:div w:id="913860590">
      <w:bodyDiv w:val="1"/>
      <w:marLeft w:val="0"/>
      <w:marRight w:val="0"/>
      <w:marTop w:val="0"/>
      <w:marBottom w:val="0"/>
      <w:divBdr>
        <w:top w:val="none" w:sz="0" w:space="0" w:color="auto"/>
        <w:left w:val="none" w:sz="0" w:space="0" w:color="auto"/>
        <w:bottom w:val="none" w:sz="0" w:space="0" w:color="auto"/>
        <w:right w:val="none" w:sz="0" w:space="0" w:color="auto"/>
      </w:divBdr>
    </w:div>
    <w:div w:id="913931720">
      <w:bodyDiv w:val="1"/>
      <w:marLeft w:val="0"/>
      <w:marRight w:val="0"/>
      <w:marTop w:val="0"/>
      <w:marBottom w:val="0"/>
      <w:divBdr>
        <w:top w:val="none" w:sz="0" w:space="0" w:color="auto"/>
        <w:left w:val="none" w:sz="0" w:space="0" w:color="auto"/>
        <w:bottom w:val="none" w:sz="0" w:space="0" w:color="auto"/>
        <w:right w:val="none" w:sz="0" w:space="0" w:color="auto"/>
      </w:divBdr>
    </w:div>
    <w:div w:id="916403051">
      <w:bodyDiv w:val="1"/>
      <w:marLeft w:val="0"/>
      <w:marRight w:val="0"/>
      <w:marTop w:val="0"/>
      <w:marBottom w:val="0"/>
      <w:divBdr>
        <w:top w:val="none" w:sz="0" w:space="0" w:color="auto"/>
        <w:left w:val="none" w:sz="0" w:space="0" w:color="auto"/>
        <w:bottom w:val="none" w:sz="0" w:space="0" w:color="auto"/>
        <w:right w:val="none" w:sz="0" w:space="0" w:color="auto"/>
      </w:divBdr>
    </w:div>
    <w:div w:id="916405420">
      <w:bodyDiv w:val="1"/>
      <w:marLeft w:val="0"/>
      <w:marRight w:val="0"/>
      <w:marTop w:val="0"/>
      <w:marBottom w:val="0"/>
      <w:divBdr>
        <w:top w:val="none" w:sz="0" w:space="0" w:color="auto"/>
        <w:left w:val="none" w:sz="0" w:space="0" w:color="auto"/>
        <w:bottom w:val="none" w:sz="0" w:space="0" w:color="auto"/>
        <w:right w:val="none" w:sz="0" w:space="0" w:color="auto"/>
      </w:divBdr>
    </w:div>
    <w:div w:id="916522889">
      <w:bodyDiv w:val="1"/>
      <w:marLeft w:val="0"/>
      <w:marRight w:val="0"/>
      <w:marTop w:val="0"/>
      <w:marBottom w:val="0"/>
      <w:divBdr>
        <w:top w:val="none" w:sz="0" w:space="0" w:color="auto"/>
        <w:left w:val="none" w:sz="0" w:space="0" w:color="auto"/>
        <w:bottom w:val="none" w:sz="0" w:space="0" w:color="auto"/>
        <w:right w:val="none" w:sz="0" w:space="0" w:color="auto"/>
      </w:divBdr>
    </w:div>
    <w:div w:id="918831635">
      <w:bodyDiv w:val="1"/>
      <w:marLeft w:val="0"/>
      <w:marRight w:val="0"/>
      <w:marTop w:val="0"/>
      <w:marBottom w:val="0"/>
      <w:divBdr>
        <w:top w:val="none" w:sz="0" w:space="0" w:color="auto"/>
        <w:left w:val="none" w:sz="0" w:space="0" w:color="auto"/>
        <w:bottom w:val="none" w:sz="0" w:space="0" w:color="auto"/>
        <w:right w:val="none" w:sz="0" w:space="0" w:color="auto"/>
      </w:divBdr>
    </w:div>
    <w:div w:id="921523385">
      <w:bodyDiv w:val="1"/>
      <w:marLeft w:val="0"/>
      <w:marRight w:val="0"/>
      <w:marTop w:val="0"/>
      <w:marBottom w:val="0"/>
      <w:divBdr>
        <w:top w:val="none" w:sz="0" w:space="0" w:color="auto"/>
        <w:left w:val="none" w:sz="0" w:space="0" w:color="auto"/>
        <w:bottom w:val="none" w:sz="0" w:space="0" w:color="auto"/>
        <w:right w:val="none" w:sz="0" w:space="0" w:color="auto"/>
      </w:divBdr>
    </w:div>
    <w:div w:id="921793674">
      <w:bodyDiv w:val="1"/>
      <w:marLeft w:val="0"/>
      <w:marRight w:val="0"/>
      <w:marTop w:val="0"/>
      <w:marBottom w:val="0"/>
      <w:divBdr>
        <w:top w:val="none" w:sz="0" w:space="0" w:color="auto"/>
        <w:left w:val="none" w:sz="0" w:space="0" w:color="auto"/>
        <w:bottom w:val="none" w:sz="0" w:space="0" w:color="auto"/>
        <w:right w:val="none" w:sz="0" w:space="0" w:color="auto"/>
      </w:divBdr>
    </w:div>
    <w:div w:id="921794025">
      <w:bodyDiv w:val="1"/>
      <w:marLeft w:val="0"/>
      <w:marRight w:val="0"/>
      <w:marTop w:val="0"/>
      <w:marBottom w:val="0"/>
      <w:divBdr>
        <w:top w:val="none" w:sz="0" w:space="0" w:color="auto"/>
        <w:left w:val="none" w:sz="0" w:space="0" w:color="auto"/>
        <w:bottom w:val="none" w:sz="0" w:space="0" w:color="auto"/>
        <w:right w:val="none" w:sz="0" w:space="0" w:color="auto"/>
      </w:divBdr>
    </w:div>
    <w:div w:id="923997006">
      <w:bodyDiv w:val="1"/>
      <w:marLeft w:val="0"/>
      <w:marRight w:val="0"/>
      <w:marTop w:val="0"/>
      <w:marBottom w:val="0"/>
      <w:divBdr>
        <w:top w:val="none" w:sz="0" w:space="0" w:color="auto"/>
        <w:left w:val="none" w:sz="0" w:space="0" w:color="auto"/>
        <w:bottom w:val="none" w:sz="0" w:space="0" w:color="auto"/>
        <w:right w:val="none" w:sz="0" w:space="0" w:color="auto"/>
      </w:divBdr>
    </w:div>
    <w:div w:id="927009276">
      <w:bodyDiv w:val="1"/>
      <w:marLeft w:val="0"/>
      <w:marRight w:val="0"/>
      <w:marTop w:val="0"/>
      <w:marBottom w:val="0"/>
      <w:divBdr>
        <w:top w:val="none" w:sz="0" w:space="0" w:color="auto"/>
        <w:left w:val="none" w:sz="0" w:space="0" w:color="auto"/>
        <w:bottom w:val="none" w:sz="0" w:space="0" w:color="auto"/>
        <w:right w:val="none" w:sz="0" w:space="0" w:color="auto"/>
      </w:divBdr>
    </w:div>
    <w:div w:id="929896183">
      <w:bodyDiv w:val="1"/>
      <w:marLeft w:val="0"/>
      <w:marRight w:val="0"/>
      <w:marTop w:val="0"/>
      <w:marBottom w:val="0"/>
      <w:divBdr>
        <w:top w:val="none" w:sz="0" w:space="0" w:color="auto"/>
        <w:left w:val="none" w:sz="0" w:space="0" w:color="auto"/>
        <w:bottom w:val="none" w:sz="0" w:space="0" w:color="auto"/>
        <w:right w:val="none" w:sz="0" w:space="0" w:color="auto"/>
      </w:divBdr>
    </w:div>
    <w:div w:id="935136687">
      <w:bodyDiv w:val="1"/>
      <w:marLeft w:val="0"/>
      <w:marRight w:val="0"/>
      <w:marTop w:val="0"/>
      <w:marBottom w:val="0"/>
      <w:divBdr>
        <w:top w:val="none" w:sz="0" w:space="0" w:color="auto"/>
        <w:left w:val="none" w:sz="0" w:space="0" w:color="auto"/>
        <w:bottom w:val="none" w:sz="0" w:space="0" w:color="auto"/>
        <w:right w:val="none" w:sz="0" w:space="0" w:color="auto"/>
      </w:divBdr>
    </w:div>
    <w:div w:id="936718690">
      <w:bodyDiv w:val="1"/>
      <w:marLeft w:val="0"/>
      <w:marRight w:val="0"/>
      <w:marTop w:val="0"/>
      <w:marBottom w:val="0"/>
      <w:divBdr>
        <w:top w:val="none" w:sz="0" w:space="0" w:color="auto"/>
        <w:left w:val="none" w:sz="0" w:space="0" w:color="auto"/>
        <w:bottom w:val="none" w:sz="0" w:space="0" w:color="auto"/>
        <w:right w:val="none" w:sz="0" w:space="0" w:color="auto"/>
      </w:divBdr>
    </w:div>
    <w:div w:id="939028356">
      <w:bodyDiv w:val="1"/>
      <w:marLeft w:val="0"/>
      <w:marRight w:val="0"/>
      <w:marTop w:val="0"/>
      <w:marBottom w:val="0"/>
      <w:divBdr>
        <w:top w:val="none" w:sz="0" w:space="0" w:color="auto"/>
        <w:left w:val="none" w:sz="0" w:space="0" w:color="auto"/>
        <w:bottom w:val="none" w:sz="0" w:space="0" w:color="auto"/>
        <w:right w:val="none" w:sz="0" w:space="0" w:color="auto"/>
      </w:divBdr>
    </w:div>
    <w:div w:id="939601894">
      <w:bodyDiv w:val="1"/>
      <w:marLeft w:val="0"/>
      <w:marRight w:val="0"/>
      <w:marTop w:val="0"/>
      <w:marBottom w:val="0"/>
      <w:divBdr>
        <w:top w:val="none" w:sz="0" w:space="0" w:color="auto"/>
        <w:left w:val="none" w:sz="0" w:space="0" w:color="auto"/>
        <w:bottom w:val="none" w:sz="0" w:space="0" w:color="auto"/>
        <w:right w:val="none" w:sz="0" w:space="0" w:color="auto"/>
      </w:divBdr>
    </w:div>
    <w:div w:id="940458638">
      <w:bodyDiv w:val="1"/>
      <w:marLeft w:val="0"/>
      <w:marRight w:val="0"/>
      <w:marTop w:val="0"/>
      <w:marBottom w:val="0"/>
      <w:divBdr>
        <w:top w:val="none" w:sz="0" w:space="0" w:color="auto"/>
        <w:left w:val="none" w:sz="0" w:space="0" w:color="auto"/>
        <w:bottom w:val="none" w:sz="0" w:space="0" w:color="auto"/>
        <w:right w:val="none" w:sz="0" w:space="0" w:color="auto"/>
      </w:divBdr>
    </w:div>
    <w:div w:id="941456247">
      <w:bodyDiv w:val="1"/>
      <w:marLeft w:val="0"/>
      <w:marRight w:val="0"/>
      <w:marTop w:val="0"/>
      <w:marBottom w:val="0"/>
      <w:divBdr>
        <w:top w:val="none" w:sz="0" w:space="0" w:color="auto"/>
        <w:left w:val="none" w:sz="0" w:space="0" w:color="auto"/>
        <w:bottom w:val="none" w:sz="0" w:space="0" w:color="auto"/>
        <w:right w:val="none" w:sz="0" w:space="0" w:color="auto"/>
      </w:divBdr>
    </w:div>
    <w:div w:id="942301838">
      <w:bodyDiv w:val="1"/>
      <w:marLeft w:val="0"/>
      <w:marRight w:val="0"/>
      <w:marTop w:val="0"/>
      <w:marBottom w:val="0"/>
      <w:divBdr>
        <w:top w:val="none" w:sz="0" w:space="0" w:color="auto"/>
        <w:left w:val="none" w:sz="0" w:space="0" w:color="auto"/>
        <w:bottom w:val="none" w:sz="0" w:space="0" w:color="auto"/>
        <w:right w:val="none" w:sz="0" w:space="0" w:color="auto"/>
      </w:divBdr>
    </w:div>
    <w:div w:id="942304407">
      <w:bodyDiv w:val="1"/>
      <w:marLeft w:val="0"/>
      <w:marRight w:val="0"/>
      <w:marTop w:val="0"/>
      <w:marBottom w:val="0"/>
      <w:divBdr>
        <w:top w:val="none" w:sz="0" w:space="0" w:color="auto"/>
        <w:left w:val="none" w:sz="0" w:space="0" w:color="auto"/>
        <w:bottom w:val="none" w:sz="0" w:space="0" w:color="auto"/>
        <w:right w:val="none" w:sz="0" w:space="0" w:color="auto"/>
      </w:divBdr>
    </w:div>
    <w:div w:id="944578996">
      <w:bodyDiv w:val="1"/>
      <w:marLeft w:val="0"/>
      <w:marRight w:val="0"/>
      <w:marTop w:val="0"/>
      <w:marBottom w:val="0"/>
      <w:divBdr>
        <w:top w:val="none" w:sz="0" w:space="0" w:color="auto"/>
        <w:left w:val="none" w:sz="0" w:space="0" w:color="auto"/>
        <w:bottom w:val="none" w:sz="0" w:space="0" w:color="auto"/>
        <w:right w:val="none" w:sz="0" w:space="0" w:color="auto"/>
      </w:divBdr>
    </w:div>
    <w:div w:id="946696383">
      <w:bodyDiv w:val="1"/>
      <w:marLeft w:val="0"/>
      <w:marRight w:val="0"/>
      <w:marTop w:val="0"/>
      <w:marBottom w:val="0"/>
      <w:divBdr>
        <w:top w:val="none" w:sz="0" w:space="0" w:color="auto"/>
        <w:left w:val="none" w:sz="0" w:space="0" w:color="auto"/>
        <w:bottom w:val="none" w:sz="0" w:space="0" w:color="auto"/>
        <w:right w:val="none" w:sz="0" w:space="0" w:color="auto"/>
      </w:divBdr>
    </w:div>
    <w:div w:id="949700893">
      <w:bodyDiv w:val="1"/>
      <w:marLeft w:val="0"/>
      <w:marRight w:val="0"/>
      <w:marTop w:val="0"/>
      <w:marBottom w:val="0"/>
      <w:divBdr>
        <w:top w:val="none" w:sz="0" w:space="0" w:color="auto"/>
        <w:left w:val="none" w:sz="0" w:space="0" w:color="auto"/>
        <w:bottom w:val="none" w:sz="0" w:space="0" w:color="auto"/>
        <w:right w:val="none" w:sz="0" w:space="0" w:color="auto"/>
      </w:divBdr>
    </w:div>
    <w:div w:id="951321062">
      <w:bodyDiv w:val="1"/>
      <w:marLeft w:val="0"/>
      <w:marRight w:val="0"/>
      <w:marTop w:val="0"/>
      <w:marBottom w:val="0"/>
      <w:divBdr>
        <w:top w:val="none" w:sz="0" w:space="0" w:color="auto"/>
        <w:left w:val="none" w:sz="0" w:space="0" w:color="auto"/>
        <w:bottom w:val="none" w:sz="0" w:space="0" w:color="auto"/>
        <w:right w:val="none" w:sz="0" w:space="0" w:color="auto"/>
      </w:divBdr>
    </w:div>
    <w:div w:id="951982752">
      <w:bodyDiv w:val="1"/>
      <w:marLeft w:val="0"/>
      <w:marRight w:val="0"/>
      <w:marTop w:val="0"/>
      <w:marBottom w:val="0"/>
      <w:divBdr>
        <w:top w:val="none" w:sz="0" w:space="0" w:color="auto"/>
        <w:left w:val="none" w:sz="0" w:space="0" w:color="auto"/>
        <w:bottom w:val="none" w:sz="0" w:space="0" w:color="auto"/>
        <w:right w:val="none" w:sz="0" w:space="0" w:color="auto"/>
      </w:divBdr>
    </w:div>
    <w:div w:id="954943061">
      <w:bodyDiv w:val="1"/>
      <w:marLeft w:val="0"/>
      <w:marRight w:val="0"/>
      <w:marTop w:val="0"/>
      <w:marBottom w:val="0"/>
      <w:divBdr>
        <w:top w:val="none" w:sz="0" w:space="0" w:color="auto"/>
        <w:left w:val="none" w:sz="0" w:space="0" w:color="auto"/>
        <w:bottom w:val="none" w:sz="0" w:space="0" w:color="auto"/>
        <w:right w:val="none" w:sz="0" w:space="0" w:color="auto"/>
      </w:divBdr>
    </w:div>
    <w:div w:id="958146892">
      <w:bodyDiv w:val="1"/>
      <w:marLeft w:val="0"/>
      <w:marRight w:val="0"/>
      <w:marTop w:val="0"/>
      <w:marBottom w:val="0"/>
      <w:divBdr>
        <w:top w:val="none" w:sz="0" w:space="0" w:color="auto"/>
        <w:left w:val="none" w:sz="0" w:space="0" w:color="auto"/>
        <w:bottom w:val="none" w:sz="0" w:space="0" w:color="auto"/>
        <w:right w:val="none" w:sz="0" w:space="0" w:color="auto"/>
      </w:divBdr>
    </w:div>
    <w:div w:id="958605732">
      <w:bodyDiv w:val="1"/>
      <w:marLeft w:val="0"/>
      <w:marRight w:val="0"/>
      <w:marTop w:val="0"/>
      <w:marBottom w:val="0"/>
      <w:divBdr>
        <w:top w:val="none" w:sz="0" w:space="0" w:color="auto"/>
        <w:left w:val="none" w:sz="0" w:space="0" w:color="auto"/>
        <w:bottom w:val="none" w:sz="0" w:space="0" w:color="auto"/>
        <w:right w:val="none" w:sz="0" w:space="0" w:color="auto"/>
      </w:divBdr>
    </w:div>
    <w:div w:id="959460224">
      <w:bodyDiv w:val="1"/>
      <w:marLeft w:val="0"/>
      <w:marRight w:val="0"/>
      <w:marTop w:val="0"/>
      <w:marBottom w:val="0"/>
      <w:divBdr>
        <w:top w:val="none" w:sz="0" w:space="0" w:color="auto"/>
        <w:left w:val="none" w:sz="0" w:space="0" w:color="auto"/>
        <w:bottom w:val="none" w:sz="0" w:space="0" w:color="auto"/>
        <w:right w:val="none" w:sz="0" w:space="0" w:color="auto"/>
      </w:divBdr>
    </w:div>
    <w:div w:id="960182939">
      <w:bodyDiv w:val="1"/>
      <w:marLeft w:val="0"/>
      <w:marRight w:val="0"/>
      <w:marTop w:val="0"/>
      <w:marBottom w:val="0"/>
      <w:divBdr>
        <w:top w:val="none" w:sz="0" w:space="0" w:color="auto"/>
        <w:left w:val="none" w:sz="0" w:space="0" w:color="auto"/>
        <w:bottom w:val="none" w:sz="0" w:space="0" w:color="auto"/>
        <w:right w:val="none" w:sz="0" w:space="0" w:color="auto"/>
      </w:divBdr>
    </w:div>
    <w:div w:id="961231607">
      <w:bodyDiv w:val="1"/>
      <w:marLeft w:val="0"/>
      <w:marRight w:val="0"/>
      <w:marTop w:val="0"/>
      <w:marBottom w:val="0"/>
      <w:divBdr>
        <w:top w:val="none" w:sz="0" w:space="0" w:color="auto"/>
        <w:left w:val="none" w:sz="0" w:space="0" w:color="auto"/>
        <w:bottom w:val="none" w:sz="0" w:space="0" w:color="auto"/>
        <w:right w:val="none" w:sz="0" w:space="0" w:color="auto"/>
      </w:divBdr>
    </w:div>
    <w:div w:id="961418559">
      <w:bodyDiv w:val="1"/>
      <w:marLeft w:val="0"/>
      <w:marRight w:val="0"/>
      <w:marTop w:val="0"/>
      <w:marBottom w:val="0"/>
      <w:divBdr>
        <w:top w:val="none" w:sz="0" w:space="0" w:color="auto"/>
        <w:left w:val="none" w:sz="0" w:space="0" w:color="auto"/>
        <w:bottom w:val="none" w:sz="0" w:space="0" w:color="auto"/>
        <w:right w:val="none" w:sz="0" w:space="0" w:color="auto"/>
      </w:divBdr>
    </w:div>
    <w:div w:id="967709476">
      <w:bodyDiv w:val="1"/>
      <w:marLeft w:val="0"/>
      <w:marRight w:val="0"/>
      <w:marTop w:val="0"/>
      <w:marBottom w:val="0"/>
      <w:divBdr>
        <w:top w:val="none" w:sz="0" w:space="0" w:color="auto"/>
        <w:left w:val="none" w:sz="0" w:space="0" w:color="auto"/>
        <w:bottom w:val="none" w:sz="0" w:space="0" w:color="auto"/>
        <w:right w:val="none" w:sz="0" w:space="0" w:color="auto"/>
      </w:divBdr>
    </w:div>
    <w:div w:id="971055050">
      <w:bodyDiv w:val="1"/>
      <w:marLeft w:val="0"/>
      <w:marRight w:val="0"/>
      <w:marTop w:val="0"/>
      <w:marBottom w:val="0"/>
      <w:divBdr>
        <w:top w:val="none" w:sz="0" w:space="0" w:color="auto"/>
        <w:left w:val="none" w:sz="0" w:space="0" w:color="auto"/>
        <w:bottom w:val="none" w:sz="0" w:space="0" w:color="auto"/>
        <w:right w:val="none" w:sz="0" w:space="0" w:color="auto"/>
      </w:divBdr>
    </w:div>
    <w:div w:id="971058810">
      <w:bodyDiv w:val="1"/>
      <w:marLeft w:val="0"/>
      <w:marRight w:val="0"/>
      <w:marTop w:val="0"/>
      <w:marBottom w:val="0"/>
      <w:divBdr>
        <w:top w:val="none" w:sz="0" w:space="0" w:color="auto"/>
        <w:left w:val="none" w:sz="0" w:space="0" w:color="auto"/>
        <w:bottom w:val="none" w:sz="0" w:space="0" w:color="auto"/>
        <w:right w:val="none" w:sz="0" w:space="0" w:color="auto"/>
      </w:divBdr>
    </w:div>
    <w:div w:id="972633648">
      <w:bodyDiv w:val="1"/>
      <w:marLeft w:val="0"/>
      <w:marRight w:val="0"/>
      <w:marTop w:val="0"/>
      <w:marBottom w:val="0"/>
      <w:divBdr>
        <w:top w:val="none" w:sz="0" w:space="0" w:color="auto"/>
        <w:left w:val="none" w:sz="0" w:space="0" w:color="auto"/>
        <w:bottom w:val="none" w:sz="0" w:space="0" w:color="auto"/>
        <w:right w:val="none" w:sz="0" w:space="0" w:color="auto"/>
      </w:divBdr>
    </w:div>
    <w:div w:id="973023409">
      <w:bodyDiv w:val="1"/>
      <w:marLeft w:val="0"/>
      <w:marRight w:val="0"/>
      <w:marTop w:val="0"/>
      <w:marBottom w:val="0"/>
      <w:divBdr>
        <w:top w:val="none" w:sz="0" w:space="0" w:color="auto"/>
        <w:left w:val="none" w:sz="0" w:space="0" w:color="auto"/>
        <w:bottom w:val="none" w:sz="0" w:space="0" w:color="auto"/>
        <w:right w:val="none" w:sz="0" w:space="0" w:color="auto"/>
      </w:divBdr>
    </w:div>
    <w:div w:id="974722782">
      <w:bodyDiv w:val="1"/>
      <w:marLeft w:val="0"/>
      <w:marRight w:val="0"/>
      <w:marTop w:val="0"/>
      <w:marBottom w:val="0"/>
      <w:divBdr>
        <w:top w:val="none" w:sz="0" w:space="0" w:color="auto"/>
        <w:left w:val="none" w:sz="0" w:space="0" w:color="auto"/>
        <w:bottom w:val="none" w:sz="0" w:space="0" w:color="auto"/>
        <w:right w:val="none" w:sz="0" w:space="0" w:color="auto"/>
      </w:divBdr>
    </w:div>
    <w:div w:id="975645565">
      <w:bodyDiv w:val="1"/>
      <w:marLeft w:val="0"/>
      <w:marRight w:val="0"/>
      <w:marTop w:val="0"/>
      <w:marBottom w:val="0"/>
      <w:divBdr>
        <w:top w:val="none" w:sz="0" w:space="0" w:color="auto"/>
        <w:left w:val="none" w:sz="0" w:space="0" w:color="auto"/>
        <w:bottom w:val="none" w:sz="0" w:space="0" w:color="auto"/>
        <w:right w:val="none" w:sz="0" w:space="0" w:color="auto"/>
      </w:divBdr>
    </w:div>
    <w:div w:id="976029064">
      <w:bodyDiv w:val="1"/>
      <w:marLeft w:val="0"/>
      <w:marRight w:val="0"/>
      <w:marTop w:val="0"/>
      <w:marBottom w:val="0"/>
      <w:divBdr>
        <w:top w:val="none" w:sz="0" w:space="0" w:color="auto"/>
        <w:left w:val="none" w:sz="0" w:space="0" w:color="auto"/>
        <w:bottom w:val="none" w:sz="0" w:space="0" w:color="auto"/>
        <w:right w:val="none" w:sz="0" w:space="0" w:color="auto"/>
      </w:divBdr>
    </w:div>
    <w:div w:id="978075209">
      <w:bodyDiv w:val="1"/>
      <w:marLeft w:val="0"/>
      <w:marRight w:val="0"/>
      <w:marTop w:val="0"/>
      <w:marBottom w:val="0"/>
      <w:divBdr>
        <w:top w:val="none" w:sz="0" w:space="0" w:color="auto"/>
        <w:left w:val="none" w:sz="0" w:space="0" w:color="auto"/>
        <w:bottom w:val="none" w:sz="0" w:space="0" w:color="auto"/>
        <w:right w:val="none" w:sz="0" w:space="0" w:color="auto"/>
      </w:divBdr>
    </w:div>
    <w:div w:id="983512957">
      <w:bodyDiv w:val="1"/>
      <w:marLeft w:val="0"/>
      <w:marRight w:val="0"/>
      <w:marTop w:val="0"/>
      <w:marBottom w:val="0"/>
      <w:divBdr>
        <w:top w:val="none" w:sz="0" w:space="0" w:color="auto"/>
        <w:left w:val="none" w:sz="0" w:space="0" w:color="auto"/>
        <w:bottom w:val="none" w:sz="0" w:space="0" w:color="auto"/>
        <w:right w:val="none" w:sz="0" w:space="0" w:color="auto"/>
      </w:divBdr>
    </w:div>
    <w:div w:id="987437017">
      <w:bodyDiv w:val="1"/>
      <w:marLeft w:val="0"/>
      <w:marRight w:val="0"/>
      <w:marTop w:val="0"/>
      <w:marBottom w:val="0"/>
      <w:divBdr>
        <w:top w:val="none" w:sz="0" w:space="0" w:color="auto"/>
        <w:left w:val="none" w:sz="0" w:space="0" w:color="auto"/>
        <w:bottom w:val="none" w:sz="0" w:space="0" w:color="auto"/>
        <w:right w:val="none" w:sz="0" w:space="0" w:color="auto"/>
      </w:divBdr>
    </w:div>
    <w:div w:id="987974330">
      <w:bodyDiv w:val="1"/>
      <w:marLeft w:val="0"/>
      <w:marRight w:val="0"/>
      <w:marTop w:val="0"/>
      <w:marBottom w:val="0"/>
      <w:divBdr>
        <w:top w:val="none" w:sz="0" w:space="0" w:color="auto"/>
        <w:left w:val="none" w:sz="0" w:space="0" w:color="auto"/>
        <w:bottom w:val="none" w:sz="0" w:space="0" w:color="auto"/>
        <w:right w:val="none" w:sz="0" w:space="0" w:color="auto"/>
      </w:divBdr>
    </w:div>
    <w:div w:id="993681421">
      <w:bodyDiv w:val="1"/>
      <w:marLeft w:val="0"/>
      <w:marRight w:val="0"/>
      <w:marTop w:val="0"/>
      <w:marBottom w:val="0"/>
      <w:divBdr>
        <w:top w:val="none" w:sz="0" w:space="0" w:color="auto"/>
        <w:left w:val="none" w:sz="0" w:space="0" w:color="auto"/>
        <w:bottom w:val="none" w:sz="0" w:space="0" w:color="auto"/>
        <w:right w:val="none" w:sz="0" w:space="0" w:color="auto"/>
      </w:divBdr>
    </w:div>
    <w:div w:id="996691329">
      <w:bodyDiv w:val="1"/>
      <w:marLeft w:val="0"/>
      <w:marRight w:val="0"/>
      <w:marTop w:val="0"/>
      <w:marBottom w:val="0"/>
      <w:divBdr>
        <w:top w:val="none" w:sz="0" w:space="0" w:color="auto"/>
        <w:left w:val="none" w:sz="0" w:space="0" w:color="auto"/>
        <w:bottom w:val="none" w:sz="0" w:space="0" w:color="auto"/>
        <w:right w:val="none" w:sz="0" w:space="0" w:color="auto"/>
      </w:divBdr>
    </w:div>
    <w:div w:id="997926134">
      <w:bodyDiv w:val="1"/>
      <w:marLeft w:val="0"/>
      <w:marRight w:val="0"/>
      <w:marTop w:val="0"/>
      <w:marBottom w:val="0"/>
      <w:divBdr>
        <w:top w:val="none" w:sz="0" w:space="0" w:color="auto"/>
        <w:left w:val="none" w:sz="0" w:space="0" w:color="auto"/>
        <w:bottom w:val="none" w:sz="0" w:space="0" w:color="auto"/>
        <w:right w:val="none" w:sz="0" w:space="0" w:color="auto"/>
      </w:divBdr>
    </w:div>
    <w:div w:id="1000085359">
      <w:bodyDiv w:val="1"/>
      <w:marLeft w:val="0"/>
      <w:marRight w:val="0"/>
      <w:marTop w:val="0"/>
      <w:marBottom w:val="0"/>
      <w:divBdr>
        <w:top w:val="none" w:sz="0" w:space="0" w:color="auto"/>
        <w:left w:val="none" w:sz="0" w:space="0" w:color="auto"/>
        <w:bottom w:val="none" w:sz="0" w:space="0" w:color="auto"/>
        <w:right w:val="none" w:sz="0" w:space="0" w:color="auto"/>
      </w:divBdr>
    </w:div>
    <w:div w:id="1001347687">
      <w:bodyDiv w:val="1"/>
      <w:marLeft w:val="0"/>
      <w:marRight w:val="0"/>
      <w:marTop w:val="0"/>
      <w:marBottom w:val="0"/>
      <w:divBdr>
        <w:top w:val="none" w:sz="0" w:space="0" w:color="auto"/>
        <w:left w:val="none" w:sz="0" w:space="0" w:color="auto"/>
        <w:bottom w:val="none" w:sz="0" w:space="0" w:color="auto"/>
        <w:right w:val="none" w:sz="0" w:space="0" w:color="auto"/>
      </w:divBdr>
    </w:div>
    <w:div w:id="1003045589">
      <w:bodyDiv w:val="1"/>
      <w:marLeft w:val="0"/>
      <w:marRight w:val="0"/>
      <w:marTop w:val="0"/>
      <w:marBottom w:val="0"/>
      <w:divBdr>
        <w:top w:val="none" w:sz="0" w:space="0" w:color="auto"/>
        <w:left w:val="none" w:sz="0" w:space="0" w:color="auto"/>
        <w:bottom w:val="none" w:sz="0" w:space="0" w:color="auto"/>
        <w:right w:val="none" w:sz="0" w:space="0" w:color="auto"/>
      </w:divBdr>
    </w:div>
    <w:div w:id="1006596061">
      <w:bodyDiv w:val="1"/>
      <w:marLeft w:val="0"/>
      <w:marRight w:val="0"/>
      <w:marTop w:val="0"/>
      <w:marBottom w:val="0"/>
      <w:divBdr>
        <w:top w:val="none" w:sz="0" w:space="0" w:color="auto"/>
        <w:left w:val="none" w:sz="0" w:space="0" w:color="auto"/>
        <w:bottom w:val="none" w:sz="0" w:space="0" w:color="auto"/>
        <w:right w:val="none" w:sz="0" w:space="0" w:color="auto"/>
      </w:divBdr>
    </w:div>
    <w:div w:id="1007057433">
      <w:bodyDiv w:val="1"/>
      <w:marLeft w:val="0"/>
      <w:marRight w:val="0"/>
      <w:marTop w:val="0"/>
      <w:marBottom w:val="0"/>
      <w:divBdr>
        <w:top w:val="none" w:sz="0" w:space="0" w:color="auto"/>
        <w:left w:val="none" w:sz="0" w:space="0" w:color="auto"/>
        <w:bottom w:val="none" w:sz="0" w:space="0" w:color="auto"/>
        <w:right w:val="none" w:sz="0" w:space="0" w:color="auto"/>
      </w:divBdr>
    </w:div>
    <w:div w:id="1010303644">
      <w:bodyDiv w:val="1"/>
      <w:marLeft w:val="0"/>
      <w:marRight w:val="0"/>
      <w:marTop w:val="0"/>
      <w:marBottom w:val="0"/>
      <w:divBdr>
        <w:top w:val="none" w:sz="0" w:space="0" w:color="auto"/>
        <w:left w:val="none" w:sz="0" w:space="0" w:color="auto"/>
        <w:bottom w:val="none" w:sz="0" w:space="0" w:color="auto"/>
        <w:right w:val="none" w:sz="0" w:space="0" w:color="auto"/>
      </w:divBdr>
    </w:div>
    <w:div w:id="1011496054">
      <w:bodyDiv w:val="1"/>
      <w:marLeft w:val="0"/>
      <w:marRight w:val="0"/>
      <w:marTop w:val="0"/>
      <w:marBottom w:val="0"/>
      <w:divBdr>
        <w:top w:val="none" w:sz="0" w:space="0" w:color="auto"/>
        <w:left w:val="none" w:sz="0" w:space="0" w:color="auto"/>
        <w:bottom w:val="none" w:sz="0" w:space="0" w:color="auto"/>
        <w:right w:val="none" w:sz="0" w:space="0" w:color="auto"/>
      </w:divBdr>
    </w:div>
    <w:div w:id="1011570212">
      <w:bodyDiv w:val="1"/>
      <w:marLeft w:val="0"/>
      <w:marRight w:val="0"/>
      <w:marTop w:val="0"/>
      <w:marBottom w:val="0"/>
      <w:divBdr>
        <w:top w:val="none" w:sz="0" w:space="0" w:color="auto"/>
        <w:left w:val="none" w:sz="0" w:space="0" w:color="auto"/>
        <w:bottom w:val="none" w:sz="0" w:space="0" w:color="auto"/>
        <w:right w:val="none" w:sz="0" w:space="0" w:color="auto"/>
      </w:divBdr>
    </w:div>
    <w:div w:id="1012991110">
      <w:bodyDiv w:val="1"/>
      <w:marLeft w:val="0"/>
      <w:marRight w:val="0"/>
      <w:marTop w:val="0"/>
      <w:marBottom w:val="0"/>
      <w:divBdr>
        <w:top w:val="none" w:sz="0" w:space="0" w:color="auto"/>
        <w:left w:val="none" w:sz="0" w:space="0" w:color="auto"/>
        <w:bottom w:val="none" w:sz="0" w:space="0" w:color="auto"/>
        <w:right w:val="none" w:sz="0" w:space="0" w:color="auto"/>
      </w:divBdr>
    </w:div>
    <w:div w:id="1015301200">
      <w:bodyDiv w:val="1"/>
      <w:marLeft w:val="0"/>
      <w:marRight w:val="0"/>
      <w:marTop w:val="0"/>
      <w:marBottom w:val="0"/>
      <w:divBdr>
        <w:top w:val="none" w:sz="0" w:space="0" w:color="auto"/>
        <w:left w:val="none" w:sz="0" w:space="0" w:color="auto"/>
        <w:bottom w:val="none" w:sz="0" w:space="0" w:color="auto"/>
        <w:right w:val="none" w:sz="0" w:space="0" w:color="auto"/>
      </w:divBdr>
    </w:div>
    <w:div w:id="1017586164">
      <w:bodyDiv w:val="1"/>
      <w:marLeft w:val="0"/>
      <w:marRight w:val="0"/>
      <w:marTop w:val="0"/>
      <w:marBottom w:val="0"/>
      <w:divBdr>
        <w:top w:val="none" w:sz="0" w:space="0" w:color="auto"/>
        <w:left w:val="none" w:sz="0" w:space="0" w:color="auto"/>
        <w:bottom w:val="none" w:sz="0" w:space="0" w:color="auto"/>
        <w:right w:val="none" w:sz="0" w:space="0" w:color="auto"/>
      </w:divBdr>
    </w:div>
    <w:div w:id="1026756893">
      <w:bodyDiv w:val="1"/>
      <w:marLeft w:val="0"/>
      <w:marRight w:val="0"/>
      <w:marTop w:val="0"/>
      <w:marBottom w:val="0"/>
      <w:divBdr>
        <w:top w:val="none" w:sz="0" w:space="0" w:color="auto"/>
        <w:left w:val="none" w:sz="0" w:space="0" w:color="auto"/>
        <w:bottom w:val="none" w:sz="0" w:space="0" w:color="auto"/>
        <w:right w:val="none" w:sz="0" w:space="0" w:color="auto"/>
      </w:divBdr>
    </w:div>
    <w:div w:id="1026910425">
      <w:bodyDiv w:val="1"/>
      <w:marLeft w:val="0"/>
      <w:marRight w:val="0"/>
      <w:marTop w:val="0"/>
      <w:marBottom w:val="0"/>
      <w:divBdr>
        <w:top w:val="none" w:sz="0" w:space="0" w:color="auto"/>
        <w:left w:val="none" w:sz="0" w:space="0" w:color="auto"/>
        <w:bottom w:val="none" w:sz="0" w:space="0" w:color="auto"/>
        <w:right w:val="none" w:sz="0" w:space="0" w:color="auto"/>
      </w:divBdr>
    </w:div>
    <w:div w:id="1030304332">
      <w:bodyDiv w:val="1"/>
      <w:marLeft w:val="0"/>
      <w:marRight w:val="0"/>
      <w:marTop w:val="0"/>
      <w:marBottom w:val="0"/>
      <w:divBdr>
        <w:top w:val="none" w:sz="0" w:space="0" w:color="auto"/>
        <w:left w:val="none" w:sz="0" w:space="0" w:color="auto"/>
        <w:bottom w:val="none" w:sz="0" w:space="0" w:color="auto"/>
        <w:right w:val="none" w:sz="0" w:space="0" w:color="auto"/>
      </w:divBdr>
    </w:div>
    <w:div w:id="1030566069">
      <w:bodyDiv w:val="1"/>
      <w:marLeft w:val="0"/>
      <w:marRight w:val="0"/>
      <w:marTop w:val="0"/>
      <w:marBottom w:val="0"/>
      <w:divBdr>
        <w:top w:val="none" w:sz="0" w:space="0" w:color="auto"/>
        <w:left w:val="none" w:sz="0" w:space="0" w:color="auto"/>
        <w:bottom w:val="none" w:sz="0" w:space="0" w:color="auto"/>
        <w:right w:val="none" w:sz="0" w:space="0" w:color="auto"/>
      </w:divBdr>
    </w:div>
    <w:div w:id="1031958005">
      <w:bodyDiv w:val="1"/>
      <w:marLeft w:val="0"/>
      <w:marRight w:val="0"/>
      <w:marTop w:val="0"/>
      <w:marBottom w:val="0"/>
      <w:divBdr>
        <w:top w:val="none" w:sz="0" w:space="0" w:color="auto"/>
        <w:left w:val="none" w:sz="0" w:space="0" w:color="auto"/>
        <w:bottom w:val="none" w:sz="0" w:space="0" w:color="auto"/>
        <w:right w:val="none" w:sz="0" w:space="0" w:color="auto"/>
      </w:divBdr>
    </w:div>
    <w:div w:id="1037319732">
      <w:bodyDiv w:val="1"/>
      <w:marLeft w:val="0"/>
      <w:marRight w:val="0"/>
      <w:marTop w:val="0"/>
      <w:marBottom w:val="0"/>
      <w:divBdr>
        <w:top w:val="none" w:sz="0" w:space="0" w:color="auto"/>
        <w:left w:val="none" w:sz="0" w:space="0" w:color="auto"/>
        <w:bottom w:val="none" w:sz="0" w:space="0" w:color="auto"/>
        <w:right w:val="none" w:sz="0" w:space="0" w:color="auto"/>
      </w:divBdr>
    </w:div>
    <w:div w:id="1040780554">
      <w:bodyDiv w:val="1"/>
      <w:marLeft w:val="0"/>
      <w:marRight w:val="0"/>
      <w:marTop w:val="0"/>
      <w:marBottom w:val="0"/>
      <w:divBdr>
        <w:top w:val="none" w:sz="0" w:space="0" w:color="auto"/>
        <w:left w:val="none" w:sz="0" w:space="0" w:color="auto"/>
        <w:bottom w:val="none" w:sz="0" w:space="0" w:color="auto"/>
        <w:right w:val="none" w:sz="0" w:space="0" w:color="auto"/>
      </w:divBdr>
    </w:div>
    <w:div w:id="1041520568">
      <w:bodyDiv w:val="1"/>
      <w:marLeft w:val="0"/>
      <w:marRight w:val="0"/>
      <w:marTop w:val="0"/>
      <w:marBottom w:val="0"/>
      <w:divBdr>
        <w:top w:val="none" w:sz="0" w:space="0" w:color="auto"/>
        <w:left w:val="none" w:sz="0" w:space="0" w:color="auto"/>
        <w:bottom w:val="none" w:sz="0" w:space="0" w:color="auto"/>
        <w:right w:val="none" w:sz="0" w:space="0" w:color="auto"/>
      </w:divBdr>
    </w:div>
    <w:div w:id="1043750994">
      <w:bodyDiv w:val="1"/>
      <w:marLeft w:val="0"/>
      <w:marRight w:val="0"/>
      <w:marTop w:val="0"/>
      <w:marBottom w:val="0"/>
      <w:divBdr>
        <w:top w:val="none" w:sz="0" w:space="0" w:color="auto"/>
        <w:left w:val="none" w:sz="0" w:space="0" w:color="auto"/>
        <w:bottom w:val="none" w:sz="0" w:space="0" w:color="auto"/>
        <w:right w:val="none" w:sz="0" w:space="0" w:color="auto"/>
      </w:divBdr>
    </w:div>
    <w:div w:id="1043947537">
      <w:bodyDiv w:val="1"/>
      <w:marLeft w:val="0"/>
      <w:marRight w:val="0"/>
      <w:marTop w:val="0"/>
      <w:marBottom w:val="0"/>
      <w:divBdr>
        <w:top w:val="none" w:sz="0" w:space="0" w:color="auto"/>
        <w:left w:val="none" w:sz="0" w:space="0" w:color="auto"/>
        <w:bottom w:val="none" w:sz="0" w:space="0" w:color="auto"/>
        <w:right w:val="none" w:sz="0" w:space="0" w:color="auto"/>
      </w:divBdr>
    </w:div>
    <w:div w:id="1044065036">
      <w:bodyDiv w:val="1"/>
      <w:marLeft w:val="0"/>
      <w:marRight w:val="0"/>
      <w:marTop w:val="0"/>
      <w:marBottom w:val="0"/>
      <w:divBdr>
        <w:top w:val="none" w:sz="0" w:space="0" w:color="auto"/>
        <w:left w:val="none" w:sz="0" w:space="0" w:color="auto"/>
        <w:bottom w:val="none" w:sz="0" w:space="0" w:color="auto"/>
        <w:right w:val="none" w:sz="0" w:space="0" w:color="auto"/>
      </w:divBdr>
    </w:div>
    <w:div w:id="1044985791">
      <w:bodyDiv w:val="1"/>
      <w:marLeft w:val="0"/>
      <w:marRight w:val="0"/>
      <w:marTop w:val="0"/>
      <w:marBottom w:val="0"/>
      <w:divBdr>
        <w:top w:val="none" w:sz="0" w:space="0" w:color="auto"/>
        <w:left w:val="none" w:sz="0" w:space="0" w:color="auto"/>
        <w:bottom w:val="none" w:sz="0" w:space="0" w:color="auto"/>
        <w:right w:val="none" w:sz="0" w:space="0" w:color="auto"/>
      </w:divBdr>
    </w:div>
    <w:div w:id="1046484707">
      <w:bodyDiv w:val="1"/>
      <w:marLeft w:val="0"/>
      <w:marRight w:val="0"/>
      <w:marTop w:val="0"/>
      <w:marBottom w:val="0"/>
      <w:divBdr>
        <w:top w:val="none" w:sz="0" w:space="0" w:color="auto"/>
        <w:left w:val="none" w:sz="0" w:space="0" w:color="auto"/>
        <w:bottom w:val="none" w:sz="0" w:space="0" w:color="auto"/>
        <w:right w:val="none" w:sz="0" w:space="0" w:color="auto"/>
      </w:divBdr>
    </w:div>
    <w:div w:id="1046684172">
      <w:bodyDiv w:val="1"/>
      <w:marLeft w:val="0"/>
      <w:marRight w:val="0"/>
      <w:marTop w:val="0"/>
      <w:marBottom w:val="0"/>
      <w:divBdr>
        <w:top w:val="none" w:sz="0" w:space="0" w:color="auto"/>
        <w:left w:val="none" w:sz="0" w:space="0" w:color="auto"/>
        <w:bottom w:val="none" w:sz="0" w:space="0" w:color="auto"/>
        <w:right w:val="none" w:sz="0" w:space="0" w:color="auto"/>
      </w:divBdr>
    </w:div>
    <w:div w:id="1049764690">
      <w:bodyDiv w:val="1"/>
      <w:marLeft w:val="0"/>
      <w:marRight w:val="0"/>
      <w:marTop w:val="0"/>
      <w:marBottom w:val="0"/>
      <w:divBdr>
        <w:top w:val="none" w:sz="0" w:space="0" w:color="auto"/>
        <w:left w:val="none" w:sz="0" w:space="0" w:color="auto"/>
        <w:bottom w:val="none" w:sz="0" w:space="0" w:color="auto"/>
        <w:right w:val="none" w:sz="0" w:space="0" w:color="auto"/>
      </w:divBdr>
    </w:div>
    <w:div w:id="1051155040">
      <w:bodyDiv w:val="1"/>
      <w:marLeft w:val="0"/>
      <w:marRight w:val="0"/>
      <w:marTop w:val="0"/>
      <w:marBottom w:val="0"/>
      <w:divBdr>
        <w:top w:val="none" w:sz="0" w:space="0" w:color="auto"/>
        <w:left w:val="none" w:sz="0" w:space="0" w:color="auto"/>
        <w:bottom w:val="none" w:sz="0" w:space="0" w:color="auto"/>
        <w:right w:val="none" w:sz="0" w:space="0" w:color="auto"/>
      </w:divBdr>
    </w:div>
    <w:div w:id="1052772867">
      <w:bodyDiv w:val="1"/>
      <w:marLeft w:val="0"/>
      <w:marRight w:val="0"/>
      <w:marTop w:val="0"/>
      <w:marBottom w:val="0"/>
      <w:divBdr>
        <w:top w:val="none" w:sz="0" w:space="0" w:color="auto"/>
        <w:left w:val="none" w:sz="0" w:space="0" w:color="auto"/>
        <w:bottom w:val="none" w:sz="0" w:space="0" w:color="auto"/>
        <w:right w:val="none" w:sz="0" w:space="0" w:color="auto"/>
      </w:divBdr>
    </w:div>
    <w:div w:id="1053844979">
      <w:bodyDiv w:val="1"/>
      <w:marLeft w:val="0"/>
      <w:marRight w:val="0"/>
      <w:marTop w:val="0"/>
      <w:marBottom w:val="0"/>
      <w:divBdr>
        <w:top w:val="none" w:sz="0" w:space="0" w:color="auto"/>
        <w:left w:val="none" w:sz="0" w:space="0" w:color="auto"/>
        <w:bottom w:val="none" w:sz="0" w:space="0" w:color="auto"/>
        <w:right w:val="none" w:sz="0" w:space="0" w:color="auto"/>
      </w:divBdr>
    </w:div>
    <w:div w:id="1056508170">
      <w:bodyDiv w:val="1"/>
      <w:marLeft w:val="0"/>
      <w:marRight w:val="0"/>
      <w:marTop w:val="0"/>
      <w:marBottom w:val="0"/>
      <w:divBdr>
        <w:top w:val="none" w:sz="0" w:space="0" w:color="auto"/>
        <w:left w:val="none" w:sz="0" w:space="0" w:color="auto"/>
        <w:bottom w:val="none" w:sz="0" w:space="0" w:color="auto"/>
        <w:right w:val="none" w:sz="0" w:space="0" w:color="auto"/>
      </w:divBdr>
    </w:div>
    <w:div w:id="1058167791">
      <w:bodyDiv w:val="1"/>
      <w:marLeft w:val="0"/>
      <w:marRight w:val="0"/>
      <w:marTop w:val="0"/>
      <w:marBottom w:val="0"/>
      <w:divBdr>
        <w:top w:val="none" w:sz="0" w:space="0" w:color="auto"/>
        <w:left w:val="none" w:sz="0" w:space="0" w:color="auto"/>
        <w:bottom w:val="none" w:sz="0" w:space="0" w:color="auto"/>
        <w:right w:val="none" w:sz="0" w:space="0" w:color="auto"/>
      </w:divBdr>
    </w:div>
    <w:div w:id="1059861509">
      <w:bodyDiv w:val="1"/>
      <w:marLeft w:val="0"/>
      <w:marRight w:val="0"/>
      <w:marTop w:val="0"/>
      <w:marBottom w:val="0"/>
      <w:divBdr>
        <w:top w:val="none" w:sz="0" w:space="0" w:color="auto"/>
        <w:left w:val="none" w:sz="0" w:space="0" w:color="auto"/>
        <w:bottom w:val="none" w:sz="0" w:space="0" w:color="auto"/>
        <w:right w:val="none" w:sz="0" w:space="0" w:color="auto"/>
      </w:divBdr>
    </w:div>
    <w:div w:id="1062677052">
      <w:bodyDiv w:val="1"/>
      <w:marLeft w:val="0"/>
      <w:marRight w:val="0"/>
      <w:marTop w:val="0"/>
      <w:marBottom w:val="0"/>
      <w:divBdr>
        <w:top w:val="none" w:sz="0" w:space="0" w:color="auto"/>
        <w:left w:val="none" w:sz="0" w:space="0" w:color="auto"/>
        <w:bottom w:val="none" w:sz="0" w:space="0" w:color="auto"/>
        <w:right w:val="none" w:sz="0" w:space="0" w:color="auto"/>
      </w:divBdr>
    </w:div>
    <w:div w:id="1062825710">
      <w:bodyDiv w:val="1"/>
      <w:marLeft w:val="0"/>
      <w:marRight w:val="0"/>
      <w:marTop w:val="0"/>
      <w:marBottom w:val="0"/>
      <w:divBdr>
        <w:top w:val="none" w:sz="0" w:space="0" w:color="auto"/>
        <w:left w:val="none" w:sz="0" w:space="0" w:color="auto"/>
        <w:bottom w:val="none" w:sz="0" w:space="0" w:color="auto"/>
        <w:right w:val="none" w:sz="0" w:space="0" w:color="auto"/>
      </w:divBdr>
    </w:div>
    <w:div w:id="1065178698">
      <w:bodyDiv w:val="1"/>
      <w:marLeft w:val="0"/>
      <w:marRight w:val="0"/>
      <w:marTop w:val="0"/>
      <w:marBottom w:val="0"/>
      <w:divBdr>
        <w:top w:val="none" w:sz="0" w:space="0" w:color="auto"/>
        <w:left w:val="none" w:sz="0" w:space="0" w:color="auto"/>
        <w:bottom w:val="none" w:sz="0" w:space="0" w:color="auto"/>
        <w:right w:val="none" w:sz="0" w:space="0" w:color="auto"/>
      </w:divBdr>
    </w:div>
    <w:div w:id="1065226253">
      <w:bodyDiv w:val="1"/>
      <w:marLeft w:val="0"/>
      <w:marRight w:val="0"/>
      <w:marTop w:val="0"/>
      <w:marBottom w:val="0"/>
      <w:divBdr>
        <w:top w:val="none" w:sz="0" w:space="0" w:color="auto"/>
        <w:left w:val="none" w:sz="0" w:space="0" w:color="auto"/>
        <w:bottom w:val="none" w:sz="0" w:space="0" w:color="auto"/>
        <w:right w:val="none" w:sz="0" w:space="0" w:color="auto"/>
      </w:divBdr>
    </w:div>
    <w:div w:id="1065760781">
      <w:bodyDiv w:val="1"/>
      <w:marLeft w:val="0"/>
      <w:marRight w:val="0"/>
      <w:marTop w:val="0"/>
      <w:marBottom w:val="0"/>
      <w:divBdr>
        <w:top w:val="none" w:sz="0" w:space="0" w:color="auto"/>
        <w:left w:val="none" w:sz="0" w:space="0" w:color="auto"/>
        <w:bottom w:val="none" w:sz="0" w:space="0" w:color="auto"/>
        <w:right w:val="none" w:sz="0" w:space="0" w:color="auto"/>
      </w:divBdr>
    </w:div>
    <w:div w:id="1067455045">
      <w:bodyDiv w:val="1"/>
      <w:marLeft w:val="0"/>
      <w:marRight w:val="0"/>
      <w:marTop w:val="0"/>
      <w:marBottom w:val="0"/>
      <w:divBdr>
        <w:top w:val="none" w:sz="0" w:space="0" w:color="auto"/>
        <w:left w:val="none" w:sz="0" w:space="0" w:color="auto"/>
        <w:bottom w:val="none" w:sz="0" w:space="0" w:color="auto"/>
        <w:right w:val="none" w:sz="0" w:space="0" w:color="auto"/>
      </w:divBdr>
    </w:div>
    <w:div w:id="1070494025">
      <w:bodyDiv w:val="1"/>
      <w:marLeft w:val="0"/>
      <w:marRight w:val="0"/>
      <w:marTop w:val="0"/>
      <w:marBottom w:val="0"/>
      <w:divBdr>
        <w:top w:val="none" w:sz="0" w:space="0" w:color="auto"/>
        <w:left w:val="none" w:sz="0" w:space="0" w:color="auto"/>
        <w:bottom w:val="none" w:sz="0" w:space="0" w:color="auto"/>
        <w:right w:val="none" w:sz="0" w:space="0" w:color="auto"/>
      </w:divBdr>
    </w:div>
    <w:div w:id="1071394513">
      <w:bodyDiv w:val="1"/>
      <w:marLeft w:val="0"/>
      <w:marRight w:val="0"/>
      <w:marTop w:val="0"/>
      <w:marBottom w:val="0"/>
      <w:divBdr>
        <w:top w:val="none" w:sz="0" w:space="0" w:color="auto"/>
        <w:left w:val="none" w:sz="0" w:space="0" w:color="auto"/>
        <w:bottom w:val="none" w:sz="0" w:space="0" w:color="auto"/>
        <w:right w:val="none" w:sz="0" w:space="0" w:color="auto"/>
      </w:divBdr>
    </w:div>
    <w:div w:id="1072194627">
      <w:bodyDiv w:val="1"/>
      <w:marLeft w:val="0"/>
      <w:marRight w:val="0"/>
      <w:marTop w:val="0"/>
      <w:marBottom w:val="0"/>
      <w:divBdr>
        <w:top w:val="none" w:sz="0" w:space="0" w:color="auto"/>
        <w:left w:val="none" w:sz="0" w:space="0" w:color="auto"/>
        <w:bottom w:val="none" w:sz="0" w:space="0" w:color="auto"/>
        <w:right w:val="none" w:sz="0" w:space="0" w:color="auto"/>
      </w:divBdr>
    </w:div>
    <w:div w:id="1073359798">
      <w:bodyDiv w:val="1"/>
      <w:marLeft w:val="0"/>
      <w:marRight w:val="0"/>
      <w:marTop w:val="0"/>
      <w:marBottom w:val="0"/>
      <w:divBdr>
        <w:top w:val="none" w:sz="0" w:space="0" w:color="auto"/>
        <w:left w:val="none" w:sz="0" w:space="0" w:color="auto"/>
        <w:bottom w:val="none" w:sz="0" w:space="0" w:color="auto"/>
        <w:right w:val="none" w:sz="0" w:space="0" w:color="auto"/>
      </w:divBdr>
    </w:div>
    <w:div w:id="1075471174">
      <w:bodyDiv w:val="1"/>
      <w:marLeft w:val="0"/>
      <w:marRight w:val="0"/>
      <w:marTop w:val="0"/>
      <w:marBottom w:val="0"/>
      <w:divBdr>
        <w:top w:val="none" w:sz="0" w:space="0" w:color="auto"/>
        <w:left w:val="none" w:sz="0" w:space="0" w:color="auto"/>
        <w:bottom w:val="none" w:sz="0" w:space="0" w:color="auto"/>
        <w:right w:val="none" w:sz="0" w:space="0" w:color="auto"/>
      </w:divBdr>
    </w:div>
    <w:div w:id="1075474951">
      <w:bodyDiv w:val="1"/>
      <w:marLeft w:val="0"/>
      <w:marRight w:val="0"/>
      <w:marTop w:val="0"/>
      <w:marBottom w:val="0"/>
      <w:divBdr>
        <w:top w:val="none" w:sz="0" w:space="0" w:color="auto"/>
        <w:left w:val="none" w:sz="0" w:space="0" w:color="auto"/>
        <w:bottom w:val="none" w:sz="0" w:space="0" w:color="auto"/>
        <w:right w:val="none" w:sz="0" w:space="0" w:color="auto"/>
      </w:divBdr>
    </w:div>
    <w:div w:id="1076321091">
      <w:bodyDiv w:val="1"/>
      <w:marLeft w:val="0"/>
      <w:marRight w:val="0"/>
      <w:marTop w:val="0"/>
      <w:marBottom w:val="0"/>
      <w:divBdr>
        <w:top w:val="none" w:sz="0" w:space="0" w:color="auto"/>
        <w:left w:val="none" w:sz="0" w:space="0" w:color="auto"/>
        <w:bottom w:val="none" w:sz="0" w:space="0" w:color="auto"/>
        <w:right w:val="none" w:sz="0" w:space="0" w:color="auto"/>
      </w:divBdr>
    </w:div>
    <w:div w:id="1077098666">
      <w:bodyDiv w:val="1"/>
      <w:marLeft w:val="0"/>
      <w:marRight w:val="0"/>
      <w:marTop w:val="0"/>
      <w:marBottom w:val="0"/>
      <w:divBdr>
        <w:top w:val="none" w:sz="0" w:space="0" w:color="auto"/>
        <w:left w:val="none" w:sz="0" w:space="0" w:color="auto"/>
        <w:bottom w:val="none" w:sz="0" w:space="0" w:color="auto"/>
        <w:right w:val="none" w:sz="0" w:space="0" w:color="auto"/>
      </w:divBdr>
    </w:div>
    <w:div w:id="1078670388">
      <w:bodyDiv w:val="1"/>
      <w:marLeft w:val="0"/>
      <w:marRight w:val="0"/>
      <w:marTop w:val="0"/>
      <w:marBottom w:val="0"/>
      <w:divBdr>
        <w:top w:val="none" w:sz="0" w:space="0" w:color="auto"/>
        <w:left w:val="none" w:sz="0" w:space="0" w:color="auto"/>
        <w:bottom w:val="none" w:sz="0" w:space="0" w:color="auto"/>
        <w:right w:val="none" w:sz="0" w:space="0" w:color="auto"/>
      </w:divBdr>
    </w:div>
    <w:div w:id="1082066800">
      <w:bodyDiv w:val="1"/>
      <w:marLeft w:val="0"/>
      <w:marRight w:val="0"/>
      <w:marTop w:val="0"/>
      <w:marBottom w:val="0"/>
      <w:divBdr>
        <w:top w:val="none" w:sz="0" w:space="0" w:color="auto"/>
        <w:left w:val="none" w:sz="0" w:space="0" w:color="auto"/>
        <w:bottom w:val="none" w:sz="0" w:space="0" w:color="auto"/>
        <w:right w:val="none" w:sz="0" w:space="0" w:color="auto"/>
      </w:divBdr>
    </w:div>
    <w:div w:id="1084692873">
      <w:bodyDiv w:val="1"/>
      <w:marLeft w:val="0"/>
      <w:marRight w:val="0"/>
      <w:marTop w:val="0"/>
      <w:marBottom w:val="0"/>
      <w:divBdr>
        <w:top w:val="none" w:sz="0" w:space="0" w:color="auto"/>
        <w:left w:val="none" w:sz="0" w:space="0" w:color="auto"/>
        <w:bottom w:val="none" w:sz="0" w:space="0" w:color="auto"/>
        <w:right w:val="none" w:sz="0" w:space="0" w:color="auto"/>
      </w:divBdr>
    </w:div>
    <w:div w:id="1085033769">
      <w:bodyDiv w:val="1"/>
      <w:marLeft w:val="0"/>
      <w:marRight w:val="0"/>
      <w:marTop w:val="0"/>
      <w:marBottom w:val="0"/>
      <w:divBdr>
        <w:top w:val="none" w:sz="0" w:space="0" w:color="auto"/>
        <w:left w:val="none" w:sz="0" w:space="0" w:color="auto"/>
        <w:bottom w:val="none" w:sz="0" w:space="0" w:color="auto"/>
        <w:right w:val="none" w:sz="0" w:space="0" w:color="auto"/>
      </w:divBdr>
    </w:div>
    <w:div w:id="1085105398">
      <w:bodyDiv w:val="1"/>
      <w:marLeft w:val="0"/>
      <w:marRight w:val="0"/>
      <w:marTop w:val="0"/>
      <w:marBottom w:val="0"/>
      <w:divBdr>
        <w:top w:val="none" w:sz="0" w:space="0" w:color="auto"/>
        <w:left w:val="none" w:sz="0" w:space="0" w:color="auto"/>
        <w:bottom w:val="none" w:sz="0" w:space="0" w:color="auto"/>
        <w:right w:val="none" w:sz="0" w:space="0" w:color="auto"/>
      </w:divBdr>
    </w:div>
    <w:div w:id="1085305959">
      <w:bodyDiv w:val="1"/>
      <w:marLeft w:val="0"/>
      <w:marRight w:val="0"/>
      <w:marTop w:val="0"/>
      <w:marBottom w:val="0"/>
      <w:divBdr>
        <w:top w:val="none" w:sz="0" w:space="0" w:color="auto"/>
        <w:left w:val="none" w:sz="0" w:space="0" w:color="auto"/>
        <w:bottom w:val="none" w:sz="0" w:space="0" w:color="auto"/>
        <w:right w:val="none" w:sz="0" w:space="0" w:color="auto"/>
      </w:divBdr>
    </w:div>
    <w:div w:id="1089275827">
      <w:bodyDiv w:val="1"/>
      <w:marLeft w:val="0"/>
      <w:marRight w:val="0"/>
      <w:marTop w:val="0"/>
      <w:marBottom w:val="0"/>
      <w:divBdr>
        <w:top w:val="none" w:sz="0" w:space="0" w:color="auto"/>
        <w:left w:val="none" w:sz="0" w:space="0" w:color="auto"/>
        <w:bottom w:val="none" w:sz="0" w:space="0" w:color="auto"/>
        <w:right w:val="none" w:sz="0" w:space="0" w:color="auto"/>
      </w:divBdr>
    </w:div>
    <w:div w:id="1090470187">
      <w:bodyDiv w:val="1"/>
      <w:marLeft w:val="0"/>
      <w:marRight w:val="0"/>
      <w:marTop w:val="0"/>
      <w:marBottom w:val="0"/>
      <w:divBdr>
        <w:top w:val="none" w:sz="0" w:space="0" w:color="auto"/>
        <w:left w:val="none" w:sz="0" w:space="0" w:color="auto"/>
        <w:bottom w:val="none" w:sz="0" w:space="0" w:color="auto"/>
        <w:right w:val="none" w:sz="0" w:space="0" w:color="auto"/>
      </w:divBdr>
    </w:div>
    <w:div w:id="1094865757">
      <w:bodyDiv w:val="1"/>
      <w:marLeft w:val="0"/>
      <w:marRight w:val="0"/>
      <w:marTop w:val="0"/>
      <w:marBottom w:val="0"/>
      <w:divBdr>
        <w:top w:val="none" w:sz="0" w:space="0" w:color="auto"/>
        <w:left w:val="none" w:sz="0" w:space="0" w:color="auto"/>
        <w:bottom w:val="none" w:sz="0" w:space="0" w:color="auto"/>
        <w:right w:val="none" w:sz="0" w:space="0" w:color="auto"/>
      </w:divBdr>
    </w:div>
    <w:div w:id="1095785601">
      <w:bodyDiv w:val="1"/>
      <w:marLeft w:val="0"/>
      <w:marRight w:val="0"/>
      <w:marTop w:val="0"/>
      <w:marBottom w:val="0"/>
      <w:divBdr>
        <w:top w:val="none" w:sz="0" w:space="0" w:color="auto"/>
        <w:left w:val="none" w:sz="0" w:space="0" w:color="auto"/>
        <w:bottom w:val="none" w:sz="0" w:space="0" w:color="auto"/>
        <w:right w:val="none" w:sz="0" w:space="0" w:color="auto"/>
      </w:divBdr>
    </w:div>
    <w:div w:id="1096169919">
      <w:bodyDiv w:val="1"/>
      <w:marLeft w:val="0"/>
      <w:marRight w:val="0"/>
      <w:marTop w:val="0"/>
      <w:marBottom w:val="0"/>
      <w:divBdr>
        <w:top w:val="none" w:sz="0" w:space="0" w:color="auto"/>
        <w:left w:val="none" w:sz="0" w:space="0" w:color="auto"/>
        <w:bottom w:val="none" w:sz="0" w:space="0" w:color="auto"/>
        <w:right w:val="none" w:sz="0" w:space="0" w:color="auto"/>
      </w:divBdr>
    </w:div>
    <w:div w:id="1097562833">
      <w:bodyDiv w:val="1"/>
      <w:marLeft w:val="0"/>
      <w:marRight w:val="0"/>
      <w:marTop w:val="0"/>
      <w:marBottom w:val="0"/>
      <w:divBdr>
        <w:top w:val="none" w:sz="0" w:space="0" w:color="auto"/>
        <w:left w:val="none" w:sz="0" w:space="0" w:color="auto"/>
        <w:bottom w:val="none" w:sz="0" w:space="0" w:color="auto"/>
        <w:right w:val="none" w:sz="0" w:space="0" w:color="auto"/>
      </w:divBdr>
    </w:div>
    <w:div w:id="1107696220">
      <w:bodyDiv w:val="1"/>
      <w:marLeft w:val="0"/>
      <w:marRight w:val="0"/>
      <w:marTop w:val="0"/>
      <w:marBottom w:val="0"/>
      <w:divBdr>
        <w:top w:val="none" w:sz="0" w:space="0" w:color="auto"/>
        <w:left w:val="none" w:sz="0" w:space="0" w:color="auto"/>
        <w:bottom w:val="none" w:sz="0" w:space="0" w:color="auto"/>
        <w:right w:val="none" w:sz="0" w:space="0" w:color="auto"/>
      </w:divBdr>
    </w:div>
    <w:div w:id="1108700935">
      <w:bodyDiv w:val="1"/>
      <w:marLeft w:val="0"/>
      <w:marRight w:val="0"/>
      <w:marTop w:val="0"/>
      <w:marBottom w:val="0"/>
      <w:divBdr>
        <w:top w:val="none" w:sz="0" w:space="0" w:color="auto"/>
        <w:left w:val="none" w:sz="0" w:space="0" w:color="auto"/>
        <w:bottom w:val="none" w:sz="0" w:space="0" w:color="auto"/>
        <w:right w:val="none" w:sz="0" w:space="0" w:color="auto"/>
      </w:divBdr>
    </w:div>
    <w:div w:id="1111707319">
      <w:bodyDiv w:val="1"/>
      <w:marLeft w:val="0"/>
      <w:marRight w:val="0"/>
      <w:marTop w:val="0"/>
      <w:marBottom w:val="0"/>
      <w:divBdr>
        <w:top w:val="none" w:sz="0" w:space="0" w:color="auto"/>
        <w:left w:val="none" w:sz="0" w:space="0" w:color="auto"/>
        <w:bottom w:val="none" w:sz="0" w:space="0" w:color="auto"/>
        <w:right w:val="none" w:sz="0" w:space="0" w:color="auto"/>
      </w:divBdr>
    </w:div>
    <w:div w:id="1113211516">
      <w:bodyDiv w:val="1"/>
      <w:marLeft w:val="0"/>
      <w:marRight w:val="0"/>
      <w:marTop w:val="0"/>
      <w:marBottom w:val="0"/>
      <w:divBdr>
        <w:top w:val="none" w:sz="0" w:space="0" w:color="auto"/>
        <w:left w:val="none" w:sz="0" w:space="0" w:color="auto"/>
        <w:bottom w:val="none" w:sz="0" w:space="0" w:color="auto"/>
        <w:right w:val="none" w:sz="0" w:space="0" w:color="auto"/>
      </w:divBdr>
    </w:div>
    <w:div w:id="1113481981">
      <w:bodyDiv w:val="1"/>
      <w:marLeft w:val="0"/>
      <w:marRight w:val="0"/>
      <w:marTop w:val="0"/>
      <w:marBottom w:val="0"/>
      <w:divBdr>
        <w:top w:val="none" w:sz="0" w:space="0" w:color="auto"/>
        <w:left w:val="none" w:sz="0" w:space="0" w:color="auto"/>
        <w:bottom w:val="none" w:sz="0" w:space="0" w:color="auto"/>
        <w:right w:val="none" w:sz="0" w:space="0" w:color="auto"/>
      </w:divBdr>
    </w:div>
    <w:div w:id="1115253182">
      <w:bodyDiv w:val="1"/>
      <w:marLeft w:val="0"/>
      <w:marRight w:val="0"/>
      <w:marTop w:val="0"/>
      <w:marBottom w:val="0"/>
      <w:divBdr>
        <w:top w:val="none" w:sz="0" w:space="0" w:color="auto"/>
        <w:left w:val="none" w:sz="0" w:space="0" w:color="auto"/>
        <w:bottom w:val="none" w:sz="0" w:space="0" w:color="auto"/>
        <w:right w:val="none" w:sz="0" w:space="0" w:color="auto"/>
      </w:divBdr>
    </w:div>
    <w:div w:id="1117262446">
      <w:bodyDiv w:val="1"/>
      <w:marLeft w:val="0"/>
      <w:marRight w:val="0"/>
      <w:marTop w:val="0"/>
      <w:marBottom w:val="0"/>
      <w:divBdr>
        <w:top w:val="none" w:sz="0" w:space="0" w:color="auto"/>
        <w:left w:val="none" w:sz="0" w:space="0" w:color="auto"/>
        <w:bottom w:val="none" w:sz="0" w:space="0" w:color="auto"/>
        <w:right w:val="none" w:sz="0" w:space="0" w:color="auto"/>
      </w:divBdr>
    </w:div>
    <w:div w:id="1118911134">
      <w:bodyDiv w:val="1"/>
      <w:marLeft w:val="0"/>
      <w:marRight w:val="0"/>
      <w:marTop w:val="0"/>
      <w:marBottom w:val="0"/>
      <w:divBdr>
        <w:top w:val="none" w:sz="0" w:space="0" w:color="auto"/>
        <w:left w:val="none" w:sz="0" w:space="0" w:color="auto"/>
        <w:bottom w:val="none" w:sz="0" w:space="0" w:color="auto"/>
        <w:right w:val="none" w:sz="0" w:space="0" w:color="auto"/>
      </w:divBdr>
    </w:div>
    <w:div w:id="1120076326">
      <w:bodyDiv w:val="1"/>
      <w:marLeft w:val="0"/>
      <w:marRight w:val="0"/>
      <w:marTop w:val="0"/>
      <w:marBottom w:val="0"/>
      <w:divBdr>
        <w:top w:val="none" w:sz="0" w:space="0" w:color="auto"/>
        <w:left w:val="none" w:sz="0" w:space="0" w:color="auto"/>
        <w:bottom w:val="none" w:sz="0" w:space="0" w:color="auto"/>
        <w:right w:val="none" w:sz="0" w:space="0" w:color="auto"/>
      </w:divBdr>
    </w:div>
    <w:div w:id="1122386664">
      <w:bodyDiv w:val="1"/>
      <w:marLeft w:val="0"/>
      <w:marRight w:val="0"/>
      <w:marTop w:val="0"/>
      <w:marBottom w:val="0"/>
      <w:divBdr>
        <w:top w:val="none" w:sz="0" w:space="0" w:color="auto"/>
        <w:left w:val="none" w:sz="0" w:space="0" w:color="auto"/>
        <w:bottom w:val="none" w:sz="0" w:space="0" w:color="auto"/>
        <w:right w:val="none" w:sz="0" w:space="0" w:color="auto"/>
      </w:divBdr>
    </w:div>
    <w:div w:id="1122579735">
      <w:bodyDiv w:val="1"/>
      <w:marLeft w:val="0"/>
      <w:marRight w:val="0"/>
      <w:marTop w:val="0"/>
      <w:marBottom w:val="0"/>
      <w:divBdr>
        <w:top w:val="none" w:sz="0" w:space="0" w:color="auto"/>
        <w:left w:val="none" w:sz="0" w:space="0" w:color="auto"/>
        <w:bottom w:val="none" w:sz="0" w:space="0" w:color="auto"/>
        <w:right w:val="none" w:sz="0" w:space="0" w:color="auto"/>
      </w:divBdr>
    </w:div>
    <w:div w:id="1124154214">
      <w:bodyDiv w:val="1"/>
      <w:marLeft w:val="0"/>
      <w:marRight w:val="0"/>
      <w:marTop w:val="0"/>
      <w:marBottom w:val="0"/>
      <w:divBdr>
        <w:top w:val="none" w:sz="0" w:space="0" w:color="auto"/>
        <w:left w:val="none" w:sz="0" w:space="0" w:color="auto"/>
        <w:bottom w:val="none" w:sz="0" w:space="0" w:color="auto"/>
        <w:right w:val="none" w:sz="0" w:space="0" w:color="auto"/>
      </w:divBdr>
    </w:div>
    <w:div w:id="1128473089">
      <w:bodyDiv w:val="1"/>
      <w:marLeft w:val="0"/>
      <w:marRight w:val="0"/>
      <w:marTop w:val="0"/>
      <w:marBottom w:val="0"/>
      <w:divBdr>
        <w:top w:val="none" w:sz="0" w:space="0" w:color="auto"/>
        <w:left w:val="none" w:sz="0" w:space="0" w:color="auto"/>
        <w:bottom w:val="none" w:sz="0" w:space="0" w:color="auto"/>
        <w:right w:val="none" w:sz="0" w:space="0" w:color="auto"/>
      </w:divBdr>
    </w:div>
    <w:div w:id="1129010085">
      <w:bodyDiv w:val="1"/>
      <w:marLeft w:val="0"/>
      <w:marRight w:val="0"/>
      <w:marTop w:val="0"/>
      <w:marBottom w:val="0"/>
      <w:divBdr>
        <w:top w:val="none" w:sz="0" w:space="0" w:color="auto"/>
        <w:left w:val="none" w:sz="0" w:space="0" w:color="auto"/>
        <w:bottom w:val="none" w:sz="0" w:space="0" w:color="auto"/>
        <w:right w:val="none" w:sz="0" w:space="0" w:color="auto"/>
      </w:divBdr>
    </w:div>
    <w:div w:id="1129545174">
      <w:bodyDiv w:val="1"/>
      <w:marLeft w:val="0"/>
      <w:marRight w:val="0"/>
      <w:marTop w:val="0"/>
      <w:marBottom w:val="0"/>
      <w:divBdr>
        <w:top w:val="none" w:sz="0" w:space="0" w:color="auto"/>
        <w:left w:val="none" w:sz="0" w:space="0" w:color="auto"/>
        <w:bottom w:val="none" w:sz="0" w:space="0" w:color="auto"/>
        <w:right w:val="none" w:sz="0" w:space="0" w:color="auto"/>
      </w:divBdr>
    </w:div>
    <w:div w:id="1132403542">
      <w:bodyDiv w:val="1"/>
      <w:marLeft w:val="0"/>
      <w:marRight w:val="0"/>
      <w:marTop w:val="0"/>
      <w:marBottom w:val="0"/>
      <w:divBdr>
        <w:top w:val="none" w:sz="0" w:space="0" w:color="auto"/>
        <w:left w:val="none" w:sz="0" w:space="0" w:color="auto"/>
        <w:bottom w:val="none" w:sz="0" w:space="0" w:color="auto"/>
        <w:right w:val="none" w:sz="0" w:space="0" w:color="auto"/>
      </w:divBdr>
    </w:div>
    <w:div w:id="1138455521">
      <w:bodyDiv w:val="1"/>
      <w:marLeft w:val="0"/>
      <w:marRight w:val="0"/>
      <w:marTop w:val="0"/>
      <w:marBottom w:val="0"/>
      <w:divBdr>
        <w:top w:val="none" w:sz="0" w:space="0" w:color="auto"/>
        <w:left w:val="none" w:sz="0" w:space="0" w:color="auto"/>
        <w:bottom w:val="none" w:sz="0" w:space="0" w:color="auto"/>
        <w:right w:val="none" w:sz="0" w:space="0" w:color="auto"/>
      </w:divBdr>
    </w:div>
    <w:div w:id="1144808400">
      <w:bodyDiv w:val="1"/>
      <w:marLeft w:val="0"/>
      <w:marRight w:val="0"/>
      <w:marTop w:val="0"/>
      <w:marBottom w:val="0"/>
      <w:divBdr>
        <w:top w:val="none" w:sz="0" w:space="0" w:color="auto"/>
        <w:left w:val="none" w:sz="0" w:space="0" w:color="auto"/>
        <w:bottom w:val="none" w:sz="0" w:space="0" w:color="auto"/>
        <w:right w:val="none" w:sz="0" w:space="0" w:color="auto"/>
      </w:divBdr>
    </w:div>
    <w:div w:id="1145319003">
      <w:bodyDiv w:val="1"/>
      <w:marLeft w:val="0"/>
      <w:marRight w:val="0"/>
      <w:marTop w:val="0"/>
      <w:marBottom w:val="0"/>
      <w:divBdr>
        <w:top w:val="none" w:sz="0" w:space="0" w:color="auto"/>
        <w:left w:val="none" w:sz="0" w:space="0" w:color="auto"/>
        <w:bottom w:val="none" w:sz="0" w:space="0" w:color="auto"/>
        <w:right w:val="none" w:sz="0" w:space="0" w:color="auto"/>
      </w:divBdr>
    </w:div>
    <w:div w:id="1150098988">
      <w:bodyDiv w:val="1"/>
      <w:marLeft w:val="0"/>
      <w:marRight w:val="0"/>
      <w:marTop w:val="0"/>
      <w:marBottom w:val="0"/>
      <w:divBdr>
        <w:top w:val="none" w:sz="0" w:space="0" w:color="auto"/>
        <w:left w:val="none" w:sz="0" w:space="0" w:color="auto"/>
        <w:bottom w:val="none" w:sz="0" w:space="0" w:color="auto"/>
        <w:right w:val="none" w:sz="0" w:space="0" w:color="auto"/>
      </w:divBdr>
    </w:div>
    <w:div w:id="1151367508">
      <w:bodyDiv w:val="1"/>
      <w:marLeft w:val="0"/>
      <w:marRight w:val="0"/>
      <w:marTop w:val="0"/>
      <w:marBottom w:val="0"/>
      <w:divBdr>
        <w:top w:val="none" w:sz="0" w:space="0" w:color="auto"/>
        <w:left w:val="none" w:sz="0" w:space="0" w:color="auto"/>
        <w:bottom w:val="none" w:sz="0" w:space="0" w:color="auto"/>
        <w:right w:val="none" w:sz="0" w:space="0" w:color="auto"/>
      </w:divBdr>
    </w:div>
    <w:div w:id="1151797073">
      <w:bodyDiv w:val="1"/>
      <w:marLeft w:val="0"/>
      <w:marRight w:val="0"/>
      <w:marTop w:val="0"/>
      <w:marBottom w:val="0"/>
      <w:divBdr>
        <w:top w:val="none" w:sz="0" w:space="0" w:color="auto"/>
        <w:left w:val="none" w:sz="0" w:space="0" w:color="auto"/>
        <w:bottom w:val="none" w:sz="0" w:space="0" w:color="auto"/>
        <w:right w:val="none" w:sz="0" w:space="0" w:color="auto"/>
      </w:divBdr>
    </w:div>
    <w:div w:id="1151798682">
      <w:bodyDiv w:val="1"/>
      <w:marLeft w:val="0"/>
      <w:marRight w:val="0"/>
      <w:marTop w:val="0"/>
      <w:marBottom w:val="0"/>
      <w:divBdr>
        <w:top w:val="none" w:sz="0" w:space="0" w:color="auto"/>
        <w:left w:val="none" w:sz="0" w:space="0" w:color="auto"/>
        <w:bottom w:val="none" w:sz="0" w:space="0" w:color="auto"/>
        <w:right w:val="none" w:sz="0" w:space="0" w:color="auto"/>
      </w:divBdr>
    </w:div>
    <w:div w:id="1151946909">
      <w:bodyDiv w:val="1"/>
      <w:marLeft w:val="0"/>
      <w:marRight w:val="0"/>
      <w:marTop w:val="0"/>
      <w:marBottom w:val="0"/>
      <w:divBdr>
        <w:top w:val="none" w:sz="0" w:space="0" w:color="auto"/>
        <w:left w:val="none" w:sz="0" w:space="0" w:color="auto"/>
        <w:bottom w:val="none" w:sz="0" w:space="0" w:color="auto"/>
        <w:right w:val="none" w:sz="0" w:space="0" w:color="auto"/>
      </w:divBdr>
    </w:div>
    <w:div w:id="1155026665">
      <w:bodyDiv w:val="1"/>
      <w:marLeft w:val="0"/>
      <w:marRight w:val="0"/>
      <w:marTop w:val="0"/>
      <w:marBottom w:val="0"/>
      <w:divBdr>
        <w:top w:val="none" w:sz="0" w:space="0" w:color="auto"/>
        <w:left w:val="none" w:sz="0" w:space="0" w:color="auto"/>
        <w:bottom w:val="none" w:sz="0" w:space="0" w:color="auto"/>
        <w:right w:val="none" w:sz="0" w:space="0" w:color="auto"/>
      </w:divBdr>
    </w:div>
    <w:div w:id="1156265752">
      <w:bodyDiv w:val="1"/>
      <w:marLeft w:val="0"/>
      <w:marRight w:val="0"/>
      <w:marTop w:val="0"/>
      <w:marBottom w:val="0"/>
      <w:divBdr>
        <w:top w:val="none" w:sz="0" w:space="0" w:color="auto"/>
        <w:left w:val="none" w:sz="0" w:space="0" w:color="auto"/>
        <w:bottom w:val="none" w:sz="0" w:space="0" w:color="auto"/>
        <w:right w:val="none" w:sz="0" w:space="0" w:color="auto"/>
      </w:divBdr>
    </w:div>
    <w:div w:id="1157916878">
      <w:bodyDiv w:val="1"/>
      <w:marLeft w:val="0"/>
      <w:marRight w:val="0"/>
      <w:marTop w:val="0"/>
      <w:marBottom w:val="0"/>
      <w:divBdr>
        <w:top w:val="none" w:sz="0" w:space="0" w:color="auto"/>
        <w:left w:val="none" w:sz="0" w:space="0" w:color="auto"/>
        <w:bottom w:val="none" w:sz="0" w:space="0" w:color="auto"/>
        <w:right w:val="none" w:sz="0" w:space="0" w:color="auto"/>
      </w:divBdr>
    </w:div>
    <w:div w:id="1158811140">
      <w:bodyDiv w:val="1"/>
      <w:marLeft w:val="0"/>
      <w:marRight w:val="0"/>
      <w:marTop w:val="0"/>
      <w:marBottom w:val="0"/>
      <w:divBdr>
        <w:top w:val="none" w:sz="0" w:space="0" w:color="auto"/>
        <w:left w:val="none" w:sz="0" w:space="0" w:color="auto"/>
        <w:bottom w:val="none" w:sz="0" w:space="0" w:color="auto"/>
        <w:right w:val="none" w:sz="0" w:space="0" w:color="auto"/>
      </w:divBdr>
    </w:div>
    <w:div w:id="1159930900">
      <w:bodyDiv w:val="1"/>
      <w:marLeft w:val="0"/>
      <w:marRight w:val="0"/>
      <w:marTop w:val="0"/>
      <w:marBottom w:val="0"/>
      <w:divBdr>
        <w:top w:val="none" w:sz="0" w:space="0" w:color="auto"/>
        <w:left w:val="none" w:sz="0" w:space="0" w:color="auto"/>
        <w:bottom w:val="none" w:sz="0" w:space="0" w:color="auto"/>
        <w:right w:val="none" w:sz="0" w:space="0" w:color="auto"/>
      </w:divBdr>
    </w:div>
    <w:div w:id="1160006292">
      <w:bodyDiv w:val="1"/>
      <w:marLeft w:val="0"/>
      <w:marRight w:val="0"/>
      <w:marTop w:val="0"/>
      <w:marBottom w:val="0"/>
      <w:divBdr>
        <w:top w:val="none" w:sz="0" w:space="0" w:color="auto"/>
        <w:left w:val="none" w:sz="0" w:space="0" w:color="auto"/>
        <w:bottom w:val="none" w:sz="0" w:space="0" w:color="auto"/>
        <w:right w:val="none" w:sz="0" w:space="0" w:color="auto"/>
      </w:divBdr>
    </w:div>
    <w:div w:id="1161390681">
      <w:bodyDiv w:val="1"/>
      <w:marLeft w:val="0"/>
      <w:marRight w:val="0"/>
      <w:marTop w:val="0"/>
      <w:marBottom w:val="0"/>
      <w:divBdr>
        <w:top w:val="none" w:sz="0" w:space="0" w:color="auto"/>
        <w:left w:val="none" w:sz="0" w:space="0" w:color="auto"/>
        <w:bottom w:val="none" w:sz="0" w:space="0" w:color="auto"/>
        <w:right w:val="none" w:sz="0" w:space="0" w:color="auto"/>
      </w:divBdr>
    </w:div>
    <w:div w:id="1162311894">
      <w:bodyDiv w:val="1"/>
      <w:marLeft w:val="0"/>
      <w:marRight w:val="0"/>
      <w:marTop w:val="0"/>
      <w:marBottom w:val="0"/>
      <w:divBdr>
        <w:top w:val="none" w:sz="0" w:space="0" w:color="auto"/>
        <w:left w:val="none" w:sz="0" w:space="0" w:color="auto"/>
        <w:bottom w:val="none" w:sz="0" w:space="0" w:color="auto"/>
        <w:right w:val="none" w:sz="0" w:space="0" w:color="auto"/>
      </w:divBdr>
    </w:div>
    <w:div w:id="1164473396">
      <w:bodyDiv w:val="1"/>
      <w:marLeft w:val="0"/>
      <w:marRight w:val="0"/>
      <w:marTop w:val="0"/>
      <w:marBottom w:val="0"/>
      <w:divBdr>
        <w:top w:val="none" w:sz="0" w:space="0" w:color="auto"/>
        <w:left w:val="none" w:sz="0" w:space="0" w:color="auto"/>
        <w:bottom w:val="none" w:sz="0" w:space="0" w:color="auto"/>
        <w:right w:val="none" w:sz="0" w:space="0" w:color="auto"/>
      </w:divBdr>
    </w:div>
    <w:div w:id="1165583224">
      <w:bodyDiv w:val="1"/>
      <w:marLeft w:val="0"/>
      <w:marRight w:val="0"/>
      <w:marTop w:val="0"/>
      <w:marBottom w:val="0"/>
      <w:divBdr>
        <w:top w:val="none" w:sz="0" w:space="0" w:color="auto"/>
        <w:left w:val="none" w:sz="0" w:space="0" w:color="auto"/>
        <w:bottom w:val="none" w:sz="0" w:space="0" w:color="auto"/>
        <w:right w:val="none" w:sz="0" w:space="0" w:color="auto"/>
      </w:divBdr>
    </w:div>
    <w:div w:id="1170564760">
      <w:bodyDiv w:val="1"/>
      <w:marLeft w:val="0"/>
      <w:marRight w:val="0"/>
      <w:marTop w:val="0"/>
      <w:marBottom w:val="0"/>
      <w:divBdr>
        <w:top w:val="none" w:sz="0" w:space="0" w:color="auto"/>
        <w:left w:val="none" w:sz="0" w:space="0" w:color="auto"/>
        <w:bottom w:val="none" w:sz="0" w:space="0" w:color="auto"/>
        <w:right w:val="none" w:sz="0" w:space="0" w:color="auto"/>
      </w:divBdr>
    </w:div>
    <w:div w:id="1173182351">
      <w:bodyDiv w:val="1"/>
      <w:marLeft w:val="0"/>
      <w:marRight w:val="0"/>
      <w:marTop w:val="0"/>
      <w:marBottom w:val="0"/>
      <w:divBdr>
        <w:top w:val="none" w:sz="0" w:space="0" w:color="auto"/>
        <w:left w:val="none" w:sz="0" w:space="0" w:color="auto"/>
        <w:bottom w:val="none" w:sz="0" w:space="0" w:color="auto"/>
        <w:right w:val="none" w:sz="0" w:space="0" w:color="auto"/>
      </w:divBdr>
    </w:div>
    <w:div w:id="1173305043">
      <w:bodyDiv w:val="1"/>
      <w:marLeft w:val="0"/>
      <w:marRight w:val="0"/>
      <w:marTop w:val="0"/>
      <w:marBottom w:val="0"/>
      <w:divBdr>
        <w:top w:val="none" w:sz="0" w:space="0" w:color="auto"/>
        <w:left w:val="none" w:sz="0" w:space="0" w:color="auto"/>
        <w:bottom w:val="none" w:sz="0" w:space="0" w:color="auto"/>
        <w:right w:val="none" w:sz="0" w:space="0" w:color="auto"/>
      </w:divBdr>
    </w:div>
    <w:div w:id="1176110268">
      <w:bodyDiv w:val="1"/>
      <w:marLeft w:val="0"/>
      <w:marRight w:val="0"/>
      <w:marTop w:val="0"/>
      <w:marBottom w:val="0"/>
      <w:divBdr>
        <w:top w:val="none" w:sz="0" w:space="0" w:color="auto"/>
        <w:left w:val="none" w:sz="0" w:space="0" w:color="auto"/>
        <w:bottom w:val="none" w:sz="0" w:space="0" w:color="auto"/>
        <w:right w:val="none" w:sz="0" w:space="0" w:color="auto"/>
      </w:divBdr>
    </w:div>
    <w:div w:id="1179076450">
      <w:bodyDiv w:val="1"/>
      <w:marLeft w:val="0"/>
      <w:marRight w:val="0"/>
      <w:marTop w:val="0"/>
      <w:marBottom w:val="0"/>
      <w:divBdr>
        <w:top w:val="none" w:sz="0" w:space="0" w:color="auto"/>
        <w:left w:val="none" w:sz="0" w:space="0" w:color="auto"/>
        <w:bottom w:val="none" w:sz="0" w:space="0" w:color="auto"/>
        <w:right w:val="none" w:sz="0" w:space="0" w:color="auto"/>
      </w:divBdr>
    </w:div>
    <w:div w:id="1180198013">
      <w:bodyDiv w:val="1"/>
      <w:marLeft w:val="0"/>
      <w:marRight w:val="0"/>
      <w:marTop w:val="0"/>
      <w:marBottom w:val="0"/>
      <w:divBdr>
        <w:top w:val="none" w:sz="0" w:space="0" w:color="auto"/>
        <w:left w:val="none" w:sz="0" w:space="0" w:color="auto"/>
        <w:bottom w:val="none" w:sz="0" w:space="0" w:color="auto"/>
        <w:right w:val="none" w:sz="0" w:space="0" w:color="auto"/>
      </w:divBdr>
    </w:div>
    <w:div w:id="1185243403">
      <w:bodyDiv w:val="1"/>
      <w:marLeft w:val="0"/>
      <w:marRight w:val="0"/>
      <w:marTop w:val="0"/>
      <w:marBottom w:val="0"/>
      <w:divBdr>
        <w:top w:val="none" w:sz="0" w:space="0" w:color="auto"/>
        <w:left w:val="none" w:sz="0" w:space="0" w:color="auto"/>
        <w:bottom w:val="none" w:sz="0" w:space="0" w:color="auto"/>
        <w:right w:val="none" w:sz="0" w:space="0" w:color="auto"/>
      </w:divBdr>
    </w:div>
    <w:div w:id="1185435003">
      <w:bodyDiv w:val="1"/>
      <w:marLeft w:val="0"/>
      <w:marRight w:val="0"/>
      <w:marTop w:val="0"/>
      <w:marBottom w:val="0"/>
      <w:divBdr>
        <w:top w:val="none" w:sz="0" w:space="0" w:color="auto"/>
        <w:left w:val="none" w:sz="0" w:space="0" w:color="auto"/>
        <w:bottom w:val="none" w:sz="0" w:space="0" w:color="auto"/>
        <w:right w:val="none" w:sz="0" w:space="0" w:color="auto"/>
      </w:divBdr>
    </w:div>
    <w:div w:id="1188568493">
      <w:bodyDiv w:val="1"/>
      <w:marLeft w:val="0"/>
      <w:marRight w:val="0"/>
      <w:marTop w:val="0"/>
      <w:marBottom w:val="0"/>
      <w:divBdr>
        <w:top w:val="none" w:sz="0" w:space="0" w:color="auto"/>
        <w:left w:val="none" w:sz="0" w:space="0" w:color="auto"/>
        <w:bottom w:val="none" w:sz="0" w:space="0" w:color="auto"/>
        <w:right w:val="none" w:sz="0" w:space="0" w:color="auto"/>
      </w:divBdr>
    </w:div>
    <w:div w:id="1191605983">
      <w:bodyDiv w:val="1"/>
      <w:marLeft w:val="0"/>
      <w:marRight w:val="0"/>
      <w:marTop w:val="0"/>
      <w:marBottom w:val="0"/>
      <w:divBdr>
        <w:top w:val="none" w:sz="0" w:space="0" w:color="auto"/>
        <w:left w:val="none" w:sz="0" w:space="0" w:color="auto"/>
        <w:bottom w:val="none" w:sz="0" w:space="0" w:color="auto"/>
        <w:right w:val="none" w:sz="0" w:space="0" w:color="auto"/>
      </w:divBdr>
    </w:div>
    <w:div w:id="1193226563">
      <w:bodyDiv w:val="1"/>
      <w:marLeft w:val="0"/>
      <w:marRight w:val="0"/>
      <w:marTop w:val="0"/>
      <w:marBottom w:val="0"/>
      <w:divBdr>
        <w:top w:val="none" w:sz="0" w:space="0" w:color="auto"/>
        <w:left w:val="none" w:sz="0" w:space="0" w:color="auto"/>
        <w:bottom w:val="none" w:sz="0" w:space="0" w:color="auto"/>
        <w:right w:val="none" w:sz="0" w:space="0" w:color="auto"/>
      </w:divBdr>
    </w:div>
    <w:div w:id="1195189065">
      <w:bodyDiv w:val="1"/>
      <w:marLeft w:val="0"/>
      <w:marRight w:val="0"/>
      <w:marTop w:val="0"/>
      <w:marBottom w:val="0"/>
      <w:divBdr>
        <w:top w:val="none" w:sz="0" w:space="0" w:color="auto"/>
        <w:left w:val="none" w:sz="0" w:space="0" w:color="auto"/>
        <w:bottom w:val="none" w:sz="0" w:space="0" w:color="auto"/>
        <w:right w:val="none" w:sz="0" w:space="0" w:color="auto"/>
      </w:divBdr>
    </w:div>
    <w:div w:id="1195922737">
      <w:bodyDiv w:val="1"/>
      <w:marLeft w:val="0"/>
      <w:marRight w:val="0"/>
      <w:marTop w:val="0"/>
      <w:marBottom w:val="0"/>
      <w:divBdr>
        <w:top w:val="none" w:sz="0" w:space="0" w:color="auto"/>
        <w:left w:val="none" w:sz="0" w:space="0" w:color="auto"/>
        <w:bottom w:val="none" w:sz="0" w:space="0" w:color="auto"/>
        <w:right w:val="none" w:sz="0" w:space="0" w:color="auto"/>
      </w:divBdr>
    </w:div>
    <w:div w:id="1196238341">
      <w:bodyDiv w:val="1"/>
      <w:marLeft w:val="0"/>
      <w:marRight w:val="0"/>
      <w:marTop w:val="0"/>
      <w:marBottom w:val="0"/>
      <w:divBdr>
        <w:top w:val="none" w:sz="0" w:space="0" w:color="auto"/>
        <w:left w:val="none" w:sz="0" w:space="0" w:color="auto"/>
        <w:bottom w:val="none" w:sz="0" w:space="0" w:color="auto"/>
        <w:right w:val="none" w:sz="0" w:space="0" w:color="auto"/>
      </w:divBdr>
    </w:div>
    <w:div w:id="1197309822">
      <w:bodyDiv w:val="1"/>
      <w:marLeft w:val="0"/>
      <w:marRight w:val="0"/>
      <w:marTop w:val="0"/>
      <w:marBottom w:val="0"/>
      <w:divBdr>
        <w:top w:val="none" w:sz="0" w:space="0" w:color="auto"/>
        <w:left w:val="none" w:sz="0" w:space="0" w:color="auto"/>
        <w:bottom w:val="none" w:sz="0" w:space="0" w:color="auto"/>
        <w:right w:val="none" w:sz="0" w:space="0" w:color="auto"/>
      </w:divBdr>
    </w:div>
    <w:div w:id="1197355478">
      <w:bodyDiv w:val="1"/>
      <w:marLeft w:val="0"/>
      <w:marRight w:val="0"/>
      <w:marTop w:val="0"/>
      <w:marBottom w:val="0"/>
      <w:divBdr>
        <w:top w:val="none" w:sz="0" w:space="0" w:color="auto"/>
        <w:left w:val="none" w:sz="0" w:space="0" w:color="auto"/>
        <w:bottom w:val="none" w:sz="0" w:space="0" w:color="auto"/>
        <w:right w:val="none" w:sz="0" w:space="0" w:color="auto"/>
      </w:divBdr>
    </w:div>
    <w:div w:id="1197616756">
      <w:bodyDiv w:val="1"/>
      <w:marLeft w:val="0"/>
      <w:marRight w:val="0"/>
      <w:marTop w:val="0"/>
      <w:marBottom w:val="0"/>
      <w:divBdr>
        <w:top w:val="none" w:sz="0" w:space="0" w:color="auto"/>
        <w:left w:val="none" w:sz="0" w:space="0" w:color="auto"/>
        <w:bottom w:val="none" w:sz="0" w:space="0" w:color="auto"/>
        <w:right w:val="none" w:sz="0" w:space="0" w:color="auto"/>
      </w:divBdr>
    </w:div>
    <w:div w:id="1198815905">
      <w:bodyDiv w:val="1"/>
      <w:marLeft w:val="0"/>
      <w:marRight w:val="0"/>
      <w:marTop w:val="0"/>
      <w:marBottom w:val="0"/>
      <w:divBdr>
        <w:top w:val="none" w:sz="0" w:space="0" w:color="auto"/>
        <w:left w:val="none" w:sz="0" w:space="0" w:color="auto"/>
        <w:bottom w:val="none" w:sz="0" w:space="0" w:color="auto"/>
        <w:right w:val="none" w:sz="0" w:space="0" w:color="auto"/>
      </w:divBdr>
    </w:div>
    <w:div w:id="1199706657">
      <w:bodyDiv w:val="1"/>
      <w:marLeft w:val="0"/>
      <w:marRight w:val="0"/>
      <w:marTop w:val="0"/>
      <w:marBottom w:val="0"/>
      <w:divBdr>
        <w:top w:val="none" w:sz="0" w:space="0" w:color="auto"/>
        <w:left w:val="none" w:sz="0" w:space="0" w:color="auto"/>
        <w:bottom w:val="none" w:sz="0" w:space="0" w:color="auto"/>
        <w:right w:val="none" w:sz="0" w:space="0" w:color="auto"/>
      </w:divBdr>
    </w:div>
    <w:div w:id="1201094285">
      <w:bodyDiv w:val="1"/>
      <w:marLeft w:val="0"/>
      <w:marRight w:val="0"/>
      <w:marTop w:val="0"/>
      <w:marBottom w:val="0"/>
      <w:divBdr>
        <w:top w:val="none" w:sz="0" w:space="0" w:color="auto"/>
        <w:left w:val="none" w:sz="0" w:space="0" w:color="auto"/>
        <w:bottom w:val="none" w:sz="0" w:space="0" w:color="auto"/>
        <w:right w:val="none" w:sz="0" w:space="0" w:color="auto"/>
      </w:divBdr>
    </w:div>
    <w:div w:id="1204369492">
      <w:bodyDiv w:val="1"/>
      <w:marLeft w:val="0"/>
      <w:marRight w:val="0"/>
      <w:marTop w:val="0"/>
      <w:marBottom w:val="0"/>
      <w:divBdr>
        <w:top w:val="none" w:sz="0" w:space="0" w:color="auto"/>
        <w:left w:val="none" w:sz="0" w:space="0" w:color="auto"/>
        <w:bottom w:val="none" w:sz="0" w:space="0" w:color="auto"/>
        <w:right w:val="none" w:sz="0" w:space="0" w:color="auto"/>
      </w:divBdr>
    </w:div>
    <w:div w:id="1205217762">
      <w:bodyDiv w:val="1"/>
      <w:marLeft w:val="0"/>
      <w:marRight w:val="0"/>
      <w:marTop w:val="0"/>
      <w:marBottom w:val="0"/>
      <w:divBdr>
        <w:top w:val="none" w:sz="0" w:space="0" w:color="auto"/>
        <w:left w:val="none" w:sz="0" w:space="0" w:color="auto"/>
        <w:bottom w:val="none" w:sz="0" w:space="0" w:color="auto"/>
        <w:right w:val="none" w:sz="0" w:space="0" w:color="auto"/>
      </w:divBdr>
    </w:div>
    <w:div w:id="1205292224">
      <w:bodyDiv w:val="1"/>
      <w:marLeft w:val="0"/>
      <w:marRight w:val="0"/>
      <w:marTop w:val="0"/>
      <w:marBottom w:val="0"/>
      <w:divBdr>
        <w:top w:val="none" w:sz="0" w:space="0" w:color="auto"/>
        <w:left w:val="none" w:sz="0" w:space="0" w:color="auto"/>
        <w:bottom w:val="none" w:sz="0" w:space="0" w:color="auto"/>
        <w:right w:val="none" w:sz="0" w:space="0" w:color="auto"/>
      </w:divBdr>
    </w:div>
    <w:div w:id="1205869437">
      <w:bodyDiv w:val="1"/>
      <w:marLeft w:val="0"/>
      <w:marRight w:val="0"/>
      <w:marTop w:val="0"/>
      <w:marBottom w:val="0"/>
      <w:divBdr>
        <w:top w:val="none" w:sz="0" w:space="0" w:color="auto"/>
        <w:left w:val="none" w:sz="0" w:space="0" w:color="auto"/>
        <w:bottom w:val="none" w:sz="0" w:space="0" w:color="auto"/>
        <w:right w:val="none" w:sz="0" w:space="0" w:color="auto"/>
      </w:divBdr>
    </w:div>
    <w:div w:id="1210219459">
      <w:bodyDiv w:val="1"/>
      <w:marLeft w:val="0"/>
      <w:marRight w:val="0"/>
      <w:marTop w:val="0"/>
      <w:marBottom w:val="0"/>
      <w:divBdr>
        <w:top w:val="none" w:sz="0" w:space="0" w:color="auto"/>
        <w:left w:val="none" w:sz="0" w:space="0" w:color="auto"/>
        <w:bottom w:val="none" w:sz="0" w:space="0" w:color="auto"/>
        <w:right w:val="none" w:sz="0" w:space="0" w:color="auto"/>
      </w:divBdr>
    </w:div>
    <w:div w:id="1211530401">
      <w:bodyDiv w:val="1"/>
      <w:marLeft w:val="0"/>
      <w:marRight w:val="0"/>
      <w:marTop w:val="0"/>
      <w:marBottom w:val="0"/>
      <w:divBdr>
        <w:top w:val="none" w:sz="0" w:space="0" w:color="auto"/>
        <w:left w:val="none" w:sz="0" w:space="0" w:color="auto"/>
        <w:bottom w:val="none" w:sz="0" w:space="0" w:color="auto"/>
        <w:right w:val="none" w:sz="0" w:space="0" w:color="auto"/>
      </w:divBdr>
    </w:div>
    <w:div w:id="1211959399">
      <w:bodyDiv w:val="1"/>
      <w:marLeft w:val="0"/>
      <w:marRight w:val="0"/>
      <w:marTop w:val="0"/>
      <w:marBottom w:val="0"/>
      <w:divBdr>
        <w:top w:val="none" w:sz="0" w:space="0" w:color="auto"/>
        <w:left w:val="none" w:sz="0" w:space="0" w:color="auto"/>
        <w:bottom w:val="none" w:sz="0" w:space="0" w:color="auto"/>
        <w:right w:val="none" w:sz="0" w:space="0" w:color="auto"/>
      </w:divBdr>
    </w:div>
    <w:div w:id="1216551662">
      <w:bodyDiv w:val="1"/>
      <w:marLeft w:val="0"/>
      <w:marRight w:val="0"/>
      <w:marTop w:val="0"/>
      <w:marBottom w:val="0"/>
      <w:divBdr>
        <w:top w:val="none" w:sz="0" w:space="0" w:color="auto"/>
        <w:left w:val="none" w:sz="0" w:space="0" w:color="auto"/>
        <w:bottom w:val="none" w:sz="0" w:space="0" w:color="auto"/>
        <w:right w:val="none" w:sz="0" w:space="0" w:color="auto"/>
      </w:divBdr>
    </w:div>
    <w:div w:id="1221401732">
      <w:bodyDiv w:val="1"/>
      <w:marLeft w:val="0"/>
      <w:marRight w:val="0"/>
      <w:marTop w:val="0"/>
      <w:marBottom w:val="0"/>
      <w:divBdr>
        <w:top w:val="none" w:sz="0" w:space="0" w:color="auto"/>
        <w:left w:val="none" w:sz="0" w:space="0" w:color="auto"/>
        <w:bottom w:val="none" w:sz="0" w:space="0" w:color="auto"/>
        <w:right w:val="none" w:sz="0" w:space="0" w:color="auto"/>
      </w:divBdr>
    </w:div>
    <w:div w:id="1221554347">
      <w:bodyDiv w:val="1"/>
      <w:marLeft w:val="0"/>
      <w:marRight w:val="0"/>
      <w:marTop w:val="0"/>
      <w:marBottom w:val="0"/>
      <w:divBdr>
        <w:top w:val="none" w:sz="0" w:space="0" w:color="auto"/>
        <w:left w:val="none" w:sz="0" w:space="0" w:color="auto"/>
        <w:bottom w:val="none" w:sz="0" w:space="0" w:color="auto"/>
        <w:right w:val="none" w:sz="0" w:space="0" w:color="auto"/>
      </w:divBdr>
    </w:div>
    <w:div w:id="1221862421">
      <w:bodyDiv w:val="1"/>
      <w:marLeft w:val="0"/>
      <w:marRight w:val="0"/>
      <w:marTop w:val="0"/>
      <w:marBottom w:val="0"/>
      <w:divBdr>
        <w:top w:val="none" w:sz="0" w:space="0" w:color="auto"/>
        <w:left w:val="none" w:sz="0" w:space="0" w:color="auto"/>
        <w:bottom w:val="none" w:sz="0" w:space="0" w:color="auto"/>
        <w:right w:val="none" w:sz="0" w:space="0" w:color="auto"/>
      </w:divBdr>
    </w:div>
    <w:div w:id="1222789811">
      <w:bodyDiv w:val="1"/>
      <w:marLeft w:val="0"/>
      <w:marRight w:val="0"/>
      <w:marTop w:val="0"/>
      <w:marBottom w:val="0"/>
      <w:divBdr>
        <w:top w:val="none" w:sz="0" w:space="0" w:color="auto"/>
        <w:left w:val="none" w:sz="0" w:space="0" w:color="auto"/>
        <w:bottom w:val="none" w:sz="0" w:space="0" w:color="auto"/>
        <w:right w:val="none" w:sz="0" w:space="0" w:color="auto"/>
      </w:divBdr>
    </w:div>
    <w:div w:id="1225993679">
      <w:bodyDiv w:val="1"/>
      <w:marLeft w:val="0"/>
      <w:marRight w:val="0"/>
      <w:marTop w:val="0"/>
      <w:marBottom w:val="0"/>
      <w:divBdr>
        <w:top w:val="none" w:sz="0" w:space="0" w:color="auto"/>
        <w:left w:val="none" w:sz="0" w:space="0" w:color="auto"/>
        <w:bottom w:val="none" w:sz="0" w:space="0" w:color="auto"/>
        <w:right w:val="none" w:sz="0" w:space="0" w:color="auto"/>
      </w:divBdr>
    </w:div>
    <w:div w:id="1227423885">
      <w:bodyDiv w:val="1"/>
      <w:marLeft w:val="0"/>
      <w:marRight w:val="0"/>
      <w:marTop w:val="0"/>
      <w:marBottom w:val="0"/>
      <w:divBdr>
        <w:top w:val="none" w:sz="0" w:space="0" w:color="auto"/>
        <w:left w:val="none" w:sz="0" w:space="0" w:color="auto"/>
        <w:bottom w:val="none" w:sz="0" w:space="0" w:color="auto"/>
        <w:right w:val="none" w:sz="0" w:space="0" w:color="auto"/>
      </w:divBdr>
    </w:div>
    <w:div w:id="1228346146">
      <w:bodyDiv w:val="1"/>
      <w:marLeft w:val="0"/>
      <w:marRight w:val="0"/>
      <w:marTop w:val="0"/>
      <w:marBottom w:val="0"/>
      <w:divBdr>
        <w:top w:val="none" w:sz="0" w:space="0" w:color="auto"/>
        <w:left w:val="none" w:sz="0" w:space="0" w:color="auto"/>
        <w:bottom w:val="none" w:sz="0" w:space="0" w:color="auto"/>
        <w:right w:val="none" w:sz="0" w:space="0" w:color="auto"/>
      </w:divBdr>
    </w:div>
    <w:div w:id="1228492180">
      <w:bodyDiv w:val="1"/>
      <w:marLeft w:val="0"/>
      <w:marRight w:val="0"/>
      <w:marTop w:val="0"/>
      <w:marBottom w:val="0"/>
      <w:divBdr>
        <w:top w:val="none" w:sz="0" w:space="0" w:color="auto"/>
        <w:left w:val="none" w:sz="0" w:space="0" w:color="auto"/>
        <w:bottom w:val="none" w:sz="0" w:space="0" w:color="auto"/>
        <w:right w:val="none" w:sz="0" w:space="0" w:color="auto"/>
      </w:divBdr>
    </w:div>
    <w:div w:id="1231454033">
      <w:bodyDiv w:val="1"/>
      <w:marLeft w:val="0"/>
      <w:marRight w:val="0"/>
      <w:marTop w:val="0"/>
      <w:marBottom w:val="0"/>
      <w:divBdr>
        <w:top w:val="none" w:sz="0" w:space="0" w:color="auto"/>
        <w:left w:val="none" w:sz="0" w:space="0" w:color="auto"/>
        <w:bottom w:val="none" w:sz="0" w:space="0" w:color="auto"/>
        <w:right w:val="none" w:sz="0" w:space="0" w:color="auto"/>
      </w:divBdr>
    </w:div>
    <w:div w:id="1232036256">
      <w:bodyDiv w:val="1"/>
      <w:marLeft w:val="0"/>
      <w:marRight w:val="0"/>
      <w:marTop w:val="0"/>
      <w:marBottom w:val="0"/>
      <w:divBdr>
        <w:top w:val="none" w:sz="0" w:space="0" w:color="auto"/>
        <w:left w:val="none" w:sz="0" w:space="0" w:color="auto"/>
        <w:bottom w:val="none" w:sz="0" w:space="0" w:color="auto"/>
        <w:right w:val="none" w:sz="0" w:space="0" w:color="auto"/>
      </w:divBdr>
    </w:div>
    <w:div w:id="1232539228">
      <w:bodyDiv w:val="1"/>
      <w:marLeft w:val="0"/>
      <w:marRight w:val="0"/>
      <w:marTop w:val="0"/>
      <w:marBottom w:val="0"/>
      <w:divBdr>
        <w:top w:val="none" w:sz="0" w:space="0" w:color="auto"/>
        <w:left w:val="none" w:sz="0" w:space="0" w:color="auto"/>
        <w:bottom w:val="none" w:sz="0" w:space="0" w:color="auto"/>
        <w:right w:val="none" w:sz="0" w:space="0" w:color="auto"/>
      </w:divBdr>
    </w:div>
    <w:div w:id="1235319965">
      <w:bodyDiv w:val="1"/>
      <w:marLeft w:val="0"/>
      <w:marRight w:val="0"/>
      <w:marTop w:val="0"/>
      <w:marBottom w:val="0"/>
      <w:divBdr>
        <w:top w:val="none" w:sz="0" w:space="0" w:color="auto"/>
        <w:left w:val="none" w:sz="0" w:space="0" w:color="auto"/>
        <w:bottom w:val="none" w:sz="0" w:space="0" w:color="auto"/>
        <w:right w:val="none" w:sz="0" w:space="0" w:color="auto"/>
      </w:divBdr>
    </w:div>
    <w:div w:id="1237320368">
      <w:bodyDiv w:val="1"/>
      <w:marLeft w:val="0"/>
      <w:marRight w:val="0"/>
      <w:marTop w:val="0"/>
      <w:marBottom w:val="0"/>
      <w:divBdr>
        <w:top w:val="none" w:sz="0" w:space="0" w:color="auto"/>
        <w:left w:val="none" w:sz="0" w:space="0" w:color="auto"/>
        <w:bottom w:val="none" w:sz="0" w:space="0" w:color="auto"/>
        <w:right w:val="none" w:sz="0" w:space="0" w:color="auto"/>
      </w:divBdr>
    </w:div>
    <w:div w:id="1237397711">
      <w:bodyDiv w:val="1"/>
      <w:marLeft w:val="0"/>
      <w:marRight w:val="0"/>
      <w:marTop w:val="0"/>
      <w:marBottom w:val="0"/>
      <w:divBdr>
        <w:top w:val="none" w:sz="0" w:space="0" w:color="auto"/>
        <w:left w:val="none" w:sz="0" w:space="0" w:color="auto"/>
        <w:bottom w:val="none" w:sz="0" w:space="0" w:color="auto"/>
        <w:right w:val="none" w:sz="0" w:space="0" w:color="auto"/>
      </w:divBdr>
    </w:div>
    <w:div w:id="1242713056">
      <w:bodyDiv w:val="1"/>
      <w:marLeft w:val="0"/>
      <w:marRight w:val="0"/>
      <w:marTop w:val="0"/>
      <w:marBottom w:val="0"/>
      <w:divBdr>
        <w:top w:val="none" w:sz="0" w:space="0" w:color="auto"/>
        <w:left w:val="none" w:sz="0" w:space="0" w:color="auto"/>
        <w:bottom w:val="none" w:sz="0" w:space="0" w:color="auto"/>
        <w:right w:val="none" w:sz="0" w:space="0" w:color="auto"/>
      </w:divBdr>
    </w:div>
    <w:div w:id="1246450657">
      <w:bodyDiv w:val="1"/>
      <w:marLeft w:val="0"/>
      <w:marRight w:val="0"/>
      <w:marTop w:val="0"/>
      <w:marBottom w:val="0"/>
      <w:divBdr>
        <w:top w:val="none" w:sz="0" w:space="0" w:color="auto"/>
        <w:left w:val="none" w:sz="0" w:space="0" w:color="auto"/>
        <w:bottom w:val="none" w:sz="0" w:space="0" w:color="auto"/>
        <w:right w:val="none" w:sz="0" w:space="0" w:color="auto"/>
      </w:divBdr>
    </w:div>
    <w:div w:id="1247150794">
      <w:bodyDiv w:val="1"/>
      <w:marLeft w:val="0"/>
      <w:marRight w:val="0"/>
      <w:marTop w:val="0"/>
      <w:marBottom w:val="0"/>
      <w:divBdr>
        <w:top w:val="none" w:sz="0" w:space="0" w:color="auto"/>
        <w:left w:val="none" w:sz="0" w:space="0" w:color="auto"/>
        <w:bottom w:val="none" w:sz="0" w:space="0" w:color="auto"/>
        <w:right w:val="none" w:sz="0" w:space="0" w:color="auto"/>
      </w:divBdr>
    </w:div>
    <w:div w:id="1249078934">
      <w:bodyDiv w:val="1"/>
      <w:marLeft w:val="0"/>
      <w:marRight w:val="0"/>
      <w:marTop w:val="0"/>
      <w:marBottom w:val="0"/>
      <w:divBdr>
        <w:top w:val="none" w:sz="0" w:space="0" w:color="auto"/>
        <w:left w:val="none" w:sz="0" w:space="0" w:color="auto"/>
        <w:bottom w:val="none" w:sz="0" w:space="0" w:color="auto"/>
        <w:right w:val="none" w:sz="0" w:space="0" w:color="auto"/>
      </w:divBdr>
    </w:div>
    <w:div w:id="1250113973">
      <w:bodyDiv w:val="1"/>
      <w:marLeft w:val="0"/>
      <w:marRight w:val="0"/>
      <w:marTop w:val="0"/>
      <w:marBottom w:val="0"/>
      <w:divBdr>
        <w:top w:val="none" w:sz="0" w:space="0" w:color="auto"/>
        <w:left w:val="none" w:sz="0" w:space="0" w:color="auto"/>
        <w:bottom w:val="none" w:sz="0" w:space="0" w:color="auto"/>
        <w:right w:val="none" w:sz="0" w:space="0" w:color="auto"/>
      </w:divBdr>
    </w:div>
    <w:div w:id="1251237909">
      <w:bodyDiv w:val="1"/>
      <w:marLeft w:val="0"/>
      <w:marRight w:val="0"/>
      <w:marTop w:val="0"/>
      <w:marBottom w:val="0"/>
      <w:divBdr>
        <w:top w:val="none" w:sz="0" w:space="0" w:color="auto"/>
        <w:left w:val="none" w:sz="0" w:space="0" w:color="auto"/>
        <w:bottom w:val="none" w:sz="0" w:space="0" w:color="auto"/>
        <w:right w:val="none" w:sz="0" w:space="0" w:color="auto"/>
      </w:divBdr>
    </w:div>
    <w:div w:id="1251811096">
      <w:bodyDiv w:val="1"/>
      <w:marLeft w:val="0"/>
      <w:marRight w:val="0"/>
      <w:marTop w:val="0"/>
      <w:marBottom w:val="0"/>
      <w:divBdr>
        <w:top w:val="none" w:sz="0" w:space="0" w:color="auto"/>
        <w:left w:val="none" w:sz="0" w:space="0" w:color="auto"/>
        <w:bottom w:val="none" w:sz="0" w:space="0" w:color="auto"/>
        <w:right w:val="none" w:sz="0" w:space="0" w:color="auto"/>
      </w:divBdr>
    </w:div>
    <w:div w:id="1252589684">
      <w:bodyDiv w:val="1"/>
      <w:marLeft w:val="0"/>
      <w:marRight w:val="0"/>
      <w:marTop w:val="0"/>
      <w:marBottom w:val="0"/>
      <w:divBdr>
        <w:top w:val="none" w:sz="0" w:space="0" w:color="auto"/>
        <w:left w:val="none" w:sz="0" w:space="0" w:color="auto"/>
        <w:bottom w:val="none" w:sz="0" w:space="0" w:color="auto"/>
        <w:right w:val="none" w:sz="0" w:space="0" w:color="auto"/>
      </w:divBdr>
    </w:div>
    <w:div w:id="1252857499">
      <w:bodyDiv w:val="1"/>
      <w:marLeft w:val="0"/>
      <w:marRight w:val="0"/>
      <w:marTop w:val="0"/>
      <w:marBottom w:val="0"/>
      <w:divBdr>
        <w:top w:val="none" w:sz="0" w:space="0" w:color="auto"/>
        <w:left w:val="none" w:sz="0" w:space="0" w:color="auto"/>
        <w:bottom w:val="none" w:sz="0" w:space="0" w:color="auto"/>
        <w:right w:val="none" w:sz="0" w:space="0" w:color="auto"/>
      </w:divBdr>
    </w:div>
    <w:div w:id="1252927560">
      <w:bodyDiv w:val="1"/>
      <w:marLeft w:val="0"/>
      <w:marRight w:val="0"/>
      <w:marTop w:val="0"/>
      <w:marBottom w:val="0"/>
      <w:divBdr>
        <w:top w:val="none" w:sz="0" w:space="0" w:color="auto"/>
        <w:left w:val="none" w:sz="0" w:space="0" w:color="auto"/>
        <w:bottom w:val="none" w:sz="0" w:space="0" w:color="auto"/>
        <w:right w:val="none" w:sz="0" w:space="0" w:color="auto"/>
      </w:divBdr>
    </w:div>
    <w:div w:id="1259144577">
      <w:bodyDiv w:val="1"/>
      <w:marLeft w:val="0"/>
      <w:marRight w:val="0"/>
      <w:marTop w:val="0"/>
      <w:marBottom w:val="0"/>
      <w:divBdr>
        <w:top w:val="none" w:sz="0" w:space="0" w:color="auto"/>
        <w:left w:val="none" w:sz="0" w:space="0" w:color="auto"/>
        <w:bottom w:val="none" w:sz="0" w:space="0" w:color="auto"/>
        <w:right w:val="none" w:sz="0" w:space="0" w:color="auto"/>
      </w:divBdr>
    </w:div>
    <w:div w:id="1261641161">
      <w:bodyDiv w:val="1"/>
      <w:marLeft w:val="0"/>
      <w:marRight w:val="0"/>
      <w:marTop w:val="0"/>
      <w:marBottom w:val="0"/>
      <w:divBdr>
        <w:top w:val="none" w:sz="0" w:space="0" w:color="auto"/>
        <w:left w:val="none" w:sz="0" w:space="0" w:color="auto"/>
        <w:bottom w:val="none" w:sz="0" w:space="0" w:color="auto"/>
        <w:right w:val="none" w:sz="0" w:space="0" w:color="auto"/>
      </w:divBdr>
    </w:div>
    <w:div w:id="1265961047">
      <w:bodyDiv w:val="1"/>
      <w:marLeft w:val="0"/>
      <w:marRight w:val="0"/>
      <w:marTop w:val="0"/>
      <w:marBottom w:val="0"/>
      <w:divBdr>
        <w:top w:val="none" w:sz="0" w:space="0" w:color="auto"/>
        <w:left w:val="none" w:sz="0" w:space="0" w:color="auto"/>
        <w:bottom w:val="none" w:sz="0" w:space="0" w:color="auto"/>
        <w:right w:val="none" w:sz="0" w:space="0" w:color="auto"/>
      </w:divBdr>
    </w:div>
    <w:div w:id="1266228620">
      <w:bodyDiv w:val="1"/>
      <w:marLeft w:val="0"/>
      <w:marRight w:val="0"/>
      <w:marTop w:val="0"/>
      <w:marBottom w:val="0"/>
      <w:divBdr>
        <w:top w:val="none" w:sz="0" w:space="0" w:color="auto"/>
        <w:left w:val="none" w:sz="0" w:space="0" w:color="auto"/>
        <w:bottom w:val="none" w:sz="0" w:space="0" w:color="auto"/>
        <w:right w:val="none" w:sz="0" w:space="0" w:color="auto"/>
      </w:divBdr>
    </w:div>
    <w:div w:id="1268805240">
      <w:bodyDiv w:val="1"/>
      <w:marLeft w:val="0"/>
      <w:marRight w:val="0"/>
      <w:marTop w:val="0"/>
      <w:marBottom w:val="0"/>
      <w:divBdr>
        <w:top w:val="none" w:sz="0" w:space="0" w:color="auto"/>
        <w:left w:val="none" w:sz="0" w:space="0" w:color="auto"/>
        <w:bottom w:val="none" w:sz="0" w:space="0" w:color="auto"/>
        <w:right w:val="none" w:sz="0" w:space="0" w:color="auto"/>
      </w:divBdr>
    </w:div>
    <w:div w:id="1272785660">
      <w:bodyDiv w:val="1"/>
      <w:marLeft w:val="0"/>
      <w:marRight w:val="0"/>
      <w:marTop w:val="0"/>
      <w:marBottom w:val="0"/>
      <w:divBdr>
        <w:top w:val="none" w:sz="0" w:space="0" w:color="auto"/>
        <w:left w:val="none" w:sz="0" w:space="0" w:color="auto"/>
        <w:bottom w:val="none" w:sz="0" w:space="0" w:color="auto"/>
        <w:right w:val="none" w:sz="0" w:space="0" w:color="auto"/>
      </w:divBdr>
    </w:div>
    <w:div w:id="1275134854">
      <w:bodyDiv w:val="1"/>
      <w:marLeft w:val="0"/>
      <w:marRight w:val="0"/>
      <w:marTop w:val="0"/>
      <w:marBottom w:val="0"/>
      <w:divBdr>
        <w:top w:val="none" w:sz="0" w:space="0" w:color="auto"/>
        <w:left w:val="none" w:sz="0" w:space="0" w:color="auto"/>
        <w:bottom w:val="none" w:sz="0" w:space="0" w:color="auto"/>
        <w:right w:val="none" w:sz="0" w:space="0" w:color="auto"/>
      </w:divBdr>
    </w:div>
    <w:div w:id="1277131913">
      <w:bodyDiv w:val="1"/>
      <w:marLeft w:val="0"/>
      <w:marRight w:val="0"/>
      <w:marTop w:val="0"/>
      <w:marBottom w:val="0"/>
      <w:divBdr>
        <w:top w:val="none" w:sz="0" w:space="0" w:color="auto"/>
        <w:left w:val="none" w:sz="0" w:space="0" w:color="auto"/>
        <w:bottom w:val="none" w:sz="0" w:space="0" w:color="auto"/>
        <w:right w:val="none" w:sz="0" w:space="0" w:color="auto"/>
      </w:divBdr>
    </w:div>
    <w:div w:id="1277176235">
      <w:bodyDiv w:val="1"/>
      <w:marLeft w:val="0"/>
      <w:marRight w:val="0"/>
      <w:marTop w:val="0"/>
      <w:marBottom w:val="0"/>
      <w:divBdr>
        <w:top w:val="none" w:sz="0" w:space="0" w:color="auto"/>
        <w:left w:val="none" w:sz="0" w:space="0" w:color="auto"/>
        <w:bottom w:val="none" w:sz="0" w:space="0" w:color="auto"/>
        <w:right w:val="none" w:sz="0" w:space="0" w:color="auto"/>
      </w:divBdr>
    </w:div>
    <w:div w:id="1281303254">
      <w:bodyDiv w:val="1"/>
      <w:marLeft w:val="0"/>
      <w:marRight w:val="0"/>
      <w:marTop w:val="0"/>
      <w:marBottom w:val="0"/>
      <w:divBdr>
        <w:top w:val="none" w:sz="0" w:space="0" w:color="auto"/>
        <w:left w:val="none" w:sz="0" w:space="0" w:color="auto"/>
        <w:bottom w:val="none" w:sz="0" w:space="0" w:color="auto"/>
        <w:right w:val="none" w:sz="0" w:space="0" w:color="auto"/>
      </w:divBdr>
    </w:div>
    <w:div w:id="1282419088">
      <w:bodyDiv w:val="1"/>
      <w:marLeft w:val="0"/>
      <w:marRight w:val="0"/>
      <w:marTop w:val="0"/>
      <w:marBottom w:val="0"/>
      <w:divBdr>
        <w:top w:val="none" w:sz="0" w:space="0" w:color="auto"/>
        <w:left w:val="none" w:sz="0" w:space="0" w:color="auto"/>
        <w:bottom w:val="none" w:sz="0" w:space="0" w:color="auto"/>
        <w:right w:val="none" w:sz="0" w:space="0" w:color="auto"/>
      </w:divBdr>
    </w:div>
    <w:div w:id="1287739914">
      <w:bodyDiv w:val="1"/>
      <w:marLeft w:val="0"/>
      <w:marRight w:val="0"/>
      <w:marTop w:val="0"/>
      <w:marBottom w:val="0"/>
      <w:divBdr>
        <w:top w:val="none" w:sz="0" w:space="0" w:color="auto"/>
        <w:left w:val="none" w:sz="0" w:space="0" w:color="auto"/>
        <w:bottom w:val="none" w:sz="0" w:space="0" w:color="auto"/>
        <w:right w:val="none" w:sz="0" w:space="0" w:color="auto"/>
      </w:divBdr>
    </w:div>
    <w:div w:id="1287854604">
      <w:bodyDiv w:val="1"/>
      <w:marLeft w:val="0"/>
      <w:marRight w:val="0"/>
      <w:marTop w:val="0"/>
      <w:marBottom w:val="0"/>
      <w:divBdr>
        <w:top w:val="none" w:sz="0" w:space="0" w:color="auto"/>
        <w:left w:val="none" w:sz="0" w:space="0" w:color="auto"/>
        <w:bottom w:val="none" w:sz="0" w:space="0" w:color="auto"/>
        <w:right w:val="none" w:sz="0" w:space="0" w:color="auto"/>
      </w:divBdr>
    </w:div>
    <w:div w:id="1290043196">
      <w:bodyDiv w:val="1"/>
      <w:marLeft w:val="0"/>
      <w:marRight w:val="0"/>
      <w:marTop w:val="0"/>
      <w:marBottom w:val="0"/>
      <w:divBdr>
        <w:top w:val="none" w:sz="0" w:space="0" w:color="auto"/>
        <w:left w:val="none" w:sz="0" w:space="0" w:color="auto"/>
        <w:bottom w:val="none" w:sz="0" w:space="0" w:color="auto"/>
        <w:right w:val="none" w:sz="0" w:space="0" w:color="auto"/>
      </w:divBdr>
    </w:div>
    <w:div w:id="1291592844">
      <w:bodyDiv w:val="1"/>
      <w:marLeft w:val="0"/>
      <w:marRight w:val="0"/>
      <w:marTop w:val="0"/>
      <w:marBottom w:val="0"/>
      <w:divBdr>
        <w:top w:val="none" w:sz="0" w:space="0" w:color="auto"/>
        <w:left w:val="none" w:sz="0" w:space="0" w:color="auto"/>
        <w:bottom w:val="none" w:sz="0" w:space="0" w:color="auto"/>
        <w:right w:val="none" w:sz="0" w:space="0" w:color="auto"/>
      </w:divBdr>
    </w:div>
    <w:div w:id="1292901240">
      <w:bodyDiv w:val="1"/>
      <w:marLeft w:val="0"/>
      <w:marRight w:val="0"/>
      <w:marTop w:val="0"/>
      <w:marBottom w:val="0"/>
      <w:divBdr>
        <w:top w:val="none" w:sz="0" w:space="0" w:color="auto"/>
        <w:left w:val="none" w:sz="0" w:space="0" w:color="auto"/>
        <w:bottom w:val="none" w:sz="0" w:space="0" w:color="auto"/>
        <w:right w:val="none" w:sz="0" w:space="0" w:color="auto"/>
      </w:divBdr>
    </w:div>
    <w:div w:id="1296793580">
      <w:bodyDiv w:val="1"/>
      <w:marLeft w:val="0"/>
      <w:marRight w:val="0"/>
      <w:marTop w:val="0"/>
      <w:marBottom w:val="0"/>
      <w:divBdr>
        <w:top w:val="none" w:sz="0" w:space="0" w:color="auto"/>
        <w:left w:val="none" w:sz="0" w:space="0" w:color="auto"/>
        <w:bottom w:val="none" w:sz="0" w:space="0" w:color="auto"/>
        <w:right w:val="none" w:sz="0" w:space="0" w:color="auto"/>
      </w:divBdr>
    </w:div>
    <w:div w:id="1300502822">
      <w:bodyDiv w:val="1"/>
      <w:marLeft w:val="0"/>
      <w:marRight w:val="0"/>
      <w:marTop w:val="0"/>
      <w:marBottom w:val="0"/>
      <w:divBdr>
        <w:top w:val="none" w:sz="0" w:space="0" w:color="auto"/>
        <w:left w:val="none" w:sz="0" w:space="0" w:color="auto"/>
        <w:bottom w:val="none" w:sz="0" w:space="0" w:color="auto"/>
        <w:right w:val="none" w:sz="0" w:space="0" w:color="auto"/>
      </w:divBdr>
    </w:div>
    <w:div w:id="1303541756">
      <w:bodyDiv w:val="1"/>
      <w:marLeft w:val="0"/>
      <w:marRight w:val="0"/>
      <w:marTop w:val="0"/>
      <w:marBottom w:val="0"/>
      <w:divBdr>
        <w:top w:val="none" w:sz="0" w:space="0" w:color="auto"/>
        <w:left w:val="none" w:sz="0" w:space="0" w:color="auto"/>
        <w:bottom w:val="none" w:sz="0" w:space="0" w:color="auto"/>
        <w:right w:val="none" w:sz="0" w:space="0" w:color="auto"/>
      </w:divBdr>
    </w:div>
    <w:div w:id="1304309651">
      <w:bodyDiv w:val="1"/>
      <w:marLeft w:val="0"/>
      <w:marRight w:val="0"/>
      <w:marTop w:val="0"/>
      <w:marBottom w:val="0"/>
      <w:divBdr>
        <w:top w:val="none" w:sz="0" w:space="0" w:color="auto"/>
        <w:left w:val="none" w:sz="0" w:space="0" w:color="auto"/>
        <w:bottom w:val="none" w:sz="0" w:space="0" w:color="auto"/>
        <w:right w:val="none" w:sz="0" w:space="0" w:color="auto"/>
      </w:divBdr>
    </w:div>
    <w:div w:id="1306278757">
      <w:bodyDiv w:val="1"/>
      <w:marLeft w:val="0"/>
      <w:marRight w:val="0"/>
      <w:marTop w:val="0"/>
      <w:marBottom w:val="0"/>
      <w:divBdr>
        <w:top w:val="none" w:sz="0" w:space="0" w:color="auto"/>
        <w:left w:val="none" w:sz="0" w:space="0" w:color="auto"/>
        <w:bottom w:val="none" w:sz="0" w:space="0" w:color="auto"/>
        <w:right w:val="none" w:sz="0" w:space="0" w:color="auto"/>
      </w:divBdr>
    </w:div>
    <w:div w:id="1308825859">
      <w:bodyDiv w:val="1"/>
      <w:marLeft w:val="0"/>
      <w:marRight w:val="0"/>
      <w:marTop w:val="0"/>
      <w:marBottom w:val="0"/>
      <w:divBdr>
        <w:top w:val="none" w:sz="0" w:space="0" w:color="auto"/>
        <w:left w:val="none" w:sz="0" w:space="0" w:color="auto"/>
        <w:bottom w:val="none" w:sz="0" w:space="0" w:color="auto"/>
        <w:right w:val="none" w:sz="0" w:space="0" w:color="auto"/>
      </w:divBdr>
    </w:div>
    <w:div w:id="1309749118">
      <w:bodyDiv w:val="1"/>
      <w:marLeft w:val="0"/>
      <w:marRight w:val="0"/>
      <w:marTop w:val="0"/>
      <w:marBottom w:val="0"/>
      <w:divBdr>
        <w:top w:val="none" w:sz="0" w:space="0" w:color="auto"/>
        <w:left w:val="none" w:sz="0" w:space="0" w:color="auto"/>
        <w:bottom w:val="none" w:sz="0" w:space="0" w:color="auto"/>
        <w:right w:val="none" w:sz="0" w:space="0" w:color="auto"/>
      </w:divBdr>
    </w:div>
    <w:div w:id="1310131305">
      <w:bodyDiv w:val="1"/>
      <w:marLeft w:val="0"/>
      <w:marRight w:val="0"/>
      <w:marTop w:val="0"/>
      <w:marBottom w:val="0"/>
      <w:divBdr>
        <w:top w:val="none" w:sz="0" w:space="0" w:color="auto"/>
        <w:left w:val="none" w:sz="0" w:space="0" w:color="auto"/>
        <w:bottom w:val="none" w:sz="0" w:space="0" w:color="auto"/>
        <w:right w:val="none" w:sz="0" w:space="0" w:color="auto"/>
      </w:divBdr>
    </w:div>
    <w:div w:id="1311908665">
      <w:bodyDiv w:val="1"/>
      <w:marLeft w:val="0"/>
      <w:marRight w:val="0"/>
      <w:marTop w:val="0"/>
      <w:marBottom w:val="0"/>
      <w:divBdr>
        <w:top w:val="none" w:sz="0" w:space="0" w:color="auto"/>
        <w:left w:val="none" w:sz="0" w:space="0" w:color="auto"/>
        <w:bottom w:val="none" w:sz="0" w:space="0" w:color="auto"/>
        <w:right w:val="none" w:sz="0" w:space="0" w:color="auto"/>
      </w:divBdr>
    </w:div>
    <w:div w:id="1311909988">
      <w:bodyDiv w:val="1"/>
      <w:marLeft w:val="0"/>
      <w:marRight w:val="0"/>
      <w:marTop w:val="0"/>
      <w:marBottom w:val="0"/>
      <w:divBdr>
        <w:top w:val="none" w:sz="0" w:space="0" w:color="auto"/>
        <w:left w:val="none" w:sz="0" w:space="0" w:color="auto"/>
        <w:bottom w:val="none" w:sz="0" w:space="0" w:color="auto"/>
        <w:right w:val="none" w:sz="0" w:space="0" w:color="auto"/>
      </w:divBdr>
    </w:div>
    <w:div w:id="1312712595">
      <w:bodyDiv w:val="1"/>
      <w:marLeft w:val="0"/>
      <w:marRight w:val="0"/>
      <w:marTop w:val="0"/>
      <w:marBottom w:val="0"/>
      <w:divBdr>
        <w:top w:val="none" w:sz="0" w:space="0" w:color="auto"/>
        <w:left w:val="none" w:sz="0" w:space="0" w:color="auto"/>
        <w:bottom w:val="none" w:sz="0" w:space="0" w:color="auto"/>
        <w:right w:val="none" w:sz="0" w:space="0" w:color="auto"/>
      </w:divBdr>
    </w:div>
    <w:div w:id="1314942813">
      <w:bodyDiv w:val="1"/>
      <w:marLeft w:val="0"/>
      <w:marRight w:val="0"/>
      <w:marTop w:val="0"/>
      <w:marBottom w:val="0"/>
      <w:divBdr>
        <w:top w:val="none" w:sz="0" w:space="0" w:color="auto"/>
        <w:left w:val="none" w:sz="0" w:space="0" w:color="auto"/>
        <w:bottom w:val="none" w:sz="0" w:space="0" w:color="auto"/>
        <w:right w:val="none" w:sz="0" w:space="0" w:color="auto"/>
      </w:divBdr>
    </w:div>
    <w:div w:id="1323659101">
      <w:bodyDiv w:val="1"/>
      <w:marLeft w:val="0"/>
      <w:marRight w:val="0"/>
      <w:marTop w:val="0"/>
      <w:marBottom w:val="0"/>
      <w:divBdr>
        <w:top w:val="none" w:sz="0" w:space="0" w:color="auto"/>
        <w:left w:val="none" w:sz="0" w:space="0" w:color="auto"/>
        <w:bottom w:val="none" w:sz="0" w:space="0" w:color="auto"/>
        <w:right w:val="none" w:sz="0" w:space="0" w:color="auto"/>
      </w:divBdr>
    </w:div>
    <w:div w:id="1324889157">
      <w:bodyDiv w:val="1"/>
      <w:marLeft w:val="0"/>
      <w:marRight w:val="0"/>
      <w:marTop w:val="0"/>
      <w:marBottom w:val="0"/>
      <w:divBdr>
        <w:top w:val="none" w:sz="0" w:space="0" w:color="auto"/>
        <w:left w:val="none" w:sz="0" w:space="0" w:color="auto"/>
        <w:bottom w:val="none" w:sz="0" w:space="0" w:color="auto"/>
        <w:right w:val="none" w:sz="0" w:space="0" w:color="auto"/>
      </w:divBdr>
    </w:div>
    <w:div w:id="1325166524">
      <w:bodyDiv w:val="1"/>
      <w:marLeft w:val="0"/>
      <w:marRight w:val="0"/>
      <w:marTop w:val="0"/>
      <w:marBottom w:val="0"/>
      <w:divBdr>
        <w:top w:val="none" w:sz="0" w:space="0" w:color="auto"/>
        <w:left w:val="none" w:sz="0" w:space="0" w:color="auto"/>
        <w:bottom w:val="none" w:sz="0" w:space="0" w:color="auto"/>
        <w:right w:val="none" w:sz="0" w:space="0" w:color="auto"/>
      </w:divBdr>
    </w:div>
    <w:div w:id="1326081938">
      <w:bodyDiv w:val="1"/>
      <w:marLeft w:val="0"/>
      <w:marRight w:val="0"/>
      <w:marTop w:val="0"/>
      <w:marBottom w:val="0"/>
      <w:divBdr>
        <w:top w:val="none" w:sz="0" w:space="0" w:color="auto"/>
        <w:left w:val="none" w:sz="0" w:space="0" w:color="auto"/>
        <w:bottom w:val="none" w:sz="0" w:space="0" w:color="auto"/>
        <w:right w:val="none" w:sz="0" w:space="0" w:color="auto"/>
      </w:divBdr>
    </w:div>
    <w:div w:id="1330013514">
      <w:bodyDiv w:val="1"/>
      <w:marLeft w:val="0"/>
      <w:marRight w:val="0"/>
      <w:marTop w:val="0"/>
      <w:marBottom w:val="0"/>
      <w:divBdr>
        <w:top w:val="none" w:sz="0" w:space="0" w:color="auto"/>
        <w:left w:val="none" w:sz="0" w:space="0" w:color="auto"/>
        <w:bottom w:val="none" w:sz="0" w:space="0" w:color="auto"/>
        <w:right w:val="none" w:sz="0" w:space="0" w:color="auto"/>
      </w:divBdr>
    </w:div>
    <w:div w:id="1331104851">
      <w:bodyDiv w:val="1"/>
      <w:marLeft w:val="0"/>
      <w:marRight w:val="0"/>
      <w:marTop w:val="0"/>
      <w:marBottom w:val="0"/>
      <w:divBdr>
        <w:top w:val="none" w:sz="0" w:space="0" w:color="auto"/>
        <w:left w:val="none" w:sz="0" w:space="0" w:color="auto"/>
        <w:bottom w:val="none" w:sz="0" w:space="0" w:color="auto"/>
        <w:right w:val="none" w:sz="0" w:space="0" w:color="auto"/>
      </w:divBdr>
    </w:div>
    <w:div w:id="1335493480">
      <w:bodyDiv w:val="1"/>
      <w:marLeft w:val="0"/>
      <w:marRight w:val="0"/>
      <w:marTop w:val="0"/>
      <w:marBottom w:val="0"/>
      <w:divBdr>
        <w:top w:val="none" w:sz="0" w:space="0" w:color="auto"/>
        <w:left w:val="none" w:sz="0" w:space="0" w:color="auto"/>
        <w:bottom w:val="none" w:sz="0" w:space="0" w:color="auto"/>
        <w:right w:val="none" w:sz="0" w:space="0" w:color="auto"/>
      </w:divBdr>
    </w:div>
    <w:div w:id="1336179518">
      <w:bodyDiv w:val="1"/>
      <w:marLeft w:val="0"/>
      <w:marRight w:val="0"/>
      <w:marTop w:val="0"/>
      <w:marBottom w:val="0"/>
      <w:divBdr>
        <w:top w:val="none" w:sz="0" w:space="0" w:color="auto"/>
        <w:left w:val="none" w:sz="0" w:space="0" w:color="auto"/>
        <w:bottom w:val="none" w:sz="0" w:space="0" w:color="auto"/>
        <w:right w:val="none" w:sz="0" w:space="0" w:color="auto"/>
      </w:divBdr>
    </w:div>
    <w:div w:id="1337532566">
      <w:bodyDiv w:val="1"/>
      <w:marLeft w:val="0"/>
      <w:marRight w:val="0"/>
      <w:marTop w:val="0"/>
      <w:marBottom w:val="0"/>
      <w:divBdr>
        <w:top w:val="none" w:sz="0" w:space="0" w:color="auto"/>
        <w:left w:val="none" w:sz="0" w:space="0" w:color="auto"/>
        <w:bottom w:val="none" w:sz="0" w:space="0" w:color="auto"/>
        <w:right w:val="none" w:sz="0" w:space="0" w:color="auto"/>
      </w:divBdr>
    </w:div>
    <w:div w:id="1343431929">
      <w:bodyDiv w:val="1"/>
      <w:marLeft w:val="0"/>
      <w:marRight w:val="0"/>
      <w:marTop w:val="0"/>
      <w:marBottom w:val="0"/>
      <w:divBdr>
        <w:top w:val="none" w:sz="0" w:space="0" w:color="auto"/>
        <w:left w:val="none" w:sz="0" w:space="0" w:color="auto"/>
        <w:bottom w:val="none" w:sz="0" w:space="0" w:color="auto"/>
        <w:right w:val="none" w:sz="0" w:space="0" w:color="auto"/>
      </w:divBdr>
    </w:div>
    <w:div w:id="1348943268">
      <w:bodyDiv w:val="1"/>
      <w:marLeft w:val="0"/>
      <w:marRight w:val="0"/>
      <w:marTop w:val="0"/>
      <w:marBottom w:val="0"/>
      <w:divBdr>
        <w:top w:val="none" w:sz="0" w:space="0" w:color="auto"/>
        <w:left w:val="none" w:sz="0" w:space="0" w:color="auto"/>
        <w:bottom w:val="none" w:sz="0" w:space="0" w:color="auto"/>
        <w:right w:val="none" w:sz="0" w:space="0" w:color="auto"/>
      </w:divBdr>
    </w:div>
    <w:div w:id="1354695697">
      <w:bodyDiv w:val="1"/>
      <w:marLeft w:val="0"/>
      <w:marRight w:val="0"/>
      <w:marTop w:val="0"/>
      <w:marBottom w:val="0"/>
      <w:divBdr>
        <w:top w:val="none" w:sz="0" w:space="0" w:color="auto"/>
        <w:left w:val="none" w:sz="0" w:space="0" w:color="auto"/>
        <w:bottom w:val="none" w:sz="0" w:space="0" w:color="auto"/>
        <w:right w:val="none" w:sz="0" w:space="0" w:color="auto"/>
      </w:divBdr>
    </w:div>
    <w:div w:id="1355613298">
      <w:bodyDiv w:val="1"/>
      <w:marLeft w:val="0"/>
      <w:marRight w:val="0"/>
      <w:marTop w:val="0"/>
      <w:marBottom w:val="0"/>
      <w:divBdr>
        <w:top w:val="none" w:sz="0" w:space="0" w:color="auto"/>
        <w:left w:val="none" w:sz="0" w:space="0" w:color="auto"/>
        <w:bottom w:val="none" w:sz="0" w:space="0" w:color="auto"/>
        <w:right w:val="none" w:sz="0" w:space="0" w:color="auto"/>
      </w:divBdr>
    </w:div>
    <w:div w:id="1364861342">
      <w:bodyDiv w:val="1"/>
      <w:marLeft w:val="0"/>
      <w:marRight w:val="0"/>
      <w:marTop w:val="0"/>
      <w:marBottom w:val="0"/>
      <w:divBdr>
        <w:top w:val="none" w:sz="0" w:space="0" w:color="auto"/>
        <w:left w:val="none" w:sz="0" w:space="0" w:color="auto"/>
        <w:bottom w:val="none" w:sz="0" w:space="0" w:color="auto"/>
        <w:right w:val="none" w:sz="0" w:space="0" w:color="auto"/>
      </w:divBdr>
    </w:div>
    <w:div w:id="1367363791">
      <w:bodyDiv w:val="1"/>
      <w:marLeft w:val="0"/>
      <w:marRight w:val="0"/>
      <w:marTop w:val="0"/>
      <w:marBottom w:val="0"/>
      <w:divBdr>
        <w:top w:val="none" w:sz="0" w:space="0" w:color="auto"/>
        <w:left w:val="none" w:sz="0" w:space="0" w:color="auto"/>
        <w:bottom w:val="none" w:sz="0" w:space="0" w:color="auto"/>
        <w:right w:val="none" w:sz="0" w:space="0" w:color="auto"/>
      </w:divBdr>
    </w:div>
    <w:div w:id="1367562107">
      <w:bodyDiv w:val="1"/>
      <w:marLeft w:val="0"/>
      <w:marRight w:val="0"/>
      <w:marTop w:val="0"/>
      <w:marBottom w:val="0"/>
      <w:divBdr>
        <w:top w:val="none" w:sz="0" w:space="0" w:color="auto"/>
        <w:left w:val="none" w:sz="0" w:space="0" w:color="auto"/>
        <w:bottom w:val="none" w:sz="0" w:space="0" w:color="auto"/>
        <w:right w:val="none" w:sz="0" w:space="0" w:color="auto"/>
      </w:divBdr>
    </w:div>
    <w:div w:id="1369180224">
      <w:bodyDiv w:val="1"/>
      <w:marLeft w:val="0"/>
      <w:marRight w:val="0"/>
      <w:marTop w:val="0"/>
      <w:marBottom w:val="0"/>
      <w:divBdr>
        <w:top w:val="none" w:sz="0" w:space="0" w:color="auto"/>
        <w:left w:val="none" w:sz="0" w:space="0" w:color="auto"/>
        <w:bottom w:val="none" w:sz="0" w:space="0" w:color="auto"/>
        <w:right w:val="none" w:sz="0" w:space="0" w:color="auto"/>
      </w:divBdr>
    </w:div>
    <w:div w:id="1373388429">
      <w:bodyDiv w:val="1"/>
      <w:marLeft w:val="0"/>
      <w:marRight w:val="0"/>
      <w:marTop w:val="0"/>
      <w:marBottom w:val="0"/>
      <w:divBdr>
        <w:top w:val="none" w:sz="0" w:space="0" w:color="auto"/>
        <w:left w:val="none" w:sz="0" w:space="0" w:color="auto"/>
        <w:bottom w:val="none" w:sz="0" w:space="0" w:color="auto"/>
        <w:right w:val="none" w:sz="0" w:space="0" w:color="auto"/>
      </w:divBdr>
    </w:div>
    <w:div w:id="1377199958">
      <w:bodyDiv w:val="1"/>
      <w:marLeft w:val="0"/>
      <w:marRight w:val="0"/>
      <w:marTop w:val="0"/>
      <w:marBottom w:val="0"/>
      <w:divBdr>
        <w:top w:val="none" w:sz="0" w:space="0" w:color="auto"/>
        <w:left w:val="none" w:sz="0" w:space="0" w:color="auto"/>
        <w:bottom w:val="none" w:sz="0" w:space="0" w:color="auto"/>
        <w:right w:val="none" w:sz="0" w:space="0" w:color="auto"/>
      </w:divBdr>
    </w:div>
    <w:div w:id="1377466594">
      <w:bodyDiv w:val="1"/>
      <w:marLeft w:val="0"/>
      <w:marRight w:val="0"/>
      <w:marTop w:val="0"/>
      <w:marBottom w:val="0"/>
      <w:divBdr>
        <w:top w:val="none" w:sz="0" w:space="0" w:color="auto"/>
        <w:left w:val="none" w:sz="0" w:space="0" w:color="auto"/>
        <w:bottom w:val="none" w:sz="0" w:space="0" w:color="auto"/>
        <w:right w:val="none" w:sz="0" w:space="0" w:color="auto"/>
      </w:divBdr>
    </w:div>
    <w:div w:id="1378706014">
      <w:bodyDiv w:val="1"/>
      <w:marLeft w:val="0"/>
      <w:marRight w:val="0"/>
      <w:marTop w:val="0"/>
      <w:marBottom w:val="0"/>
      <w:divBdr>
        <w:top w:val="none" w:sz="0" w:space="0" w:color="auto"/>
        <w:left w:val="none" w:sz="0" w:space="0" w:color="auto"/>
        <w:bottom w:val="none" w:sz="0" w:space="0" w:color="auto"/>
        <w:right w:val="none" w:sz="0" w:space="0" w:color="auto"/>
      </w:divBdr>
    </w:div>
    <w:div w:id="1379864823">
      <w:bodyDiv w:val="1"/>
      <w:marLeft w:val="0"/>
      <w:marRight w:val="0"/>
      <w:marTop w:val="0"/>
      <w:marBottom w:val="0"/>
      <w:divBdr>
        <w:top w:val="none" w:sz="0" w:space="0" w:color="auto"/>
        <w:left w:val="none" w:sz="0" w:space="0" w:color="auto"/>
        <w:bottom w:val="none" w:sz="0" w:space="0" w:color="auto"/>
        <w:right w:val="none" w:sz="0" w:space="0" w:color="auto"/>
      </w:divBdr>
    </w:div>
    <w:div w:id="1385253922">
      <w:bodyDiv w:val="1"/>
      <w:marLeft w:val="0"/>
      <w:marRight w:val="0"/>
      <w:marTop w:val="0"/>
      <w:marBottom w:val="0"/>
      <w:divBdr>
        <w:top w:val="none" w:sz="0" w:space="0" w:color="auto"/>
        <w:left w:val="none" w:sz="0" w:space="0" w:color="auto"/>
        <w:bottom w:val="none" w:sz="0" w:space="0" w:color="auto"/>
        <w:right w:val="none" w:sz="0" w:space="0" w:color="auto"/>
      </w:divBdr>
    </w:div>
    <w:div w:id="1386249196">
      <w:bodyDiv w:val="1"/>
      <w:marLeft w:val="0"/>
      <w:marRight w:val="0"/>
      <w:marTop w:val="0"/>
      <w:marBottom w:val="0"/>
      <w:divBdr>
        <w:top w:val="none" w:sz="0" w:space="0" w:color="auto"/>
        <w:left w:val="none" w:sz="0" w:space="0" w:color="auto"/>
        <w:bottom w:val="none" w:sz="0" w:space="0" w:color="auto"/>
        <w:right w:val="none" w:sz="0" w:space="0" w:color="auto"/>
      </w:divBdr>
    </w:div>
    <w:div w:id="1388577188">
      <w:bodyDiv w:val="1"/>
      <w:marLeft w:val="0"/>
      <w:marRight w:val="0"/>
      <w:marTop w:val="0"/>
      <w:marBottom w:val="0"/>
      <w:divBdr>
        <w:top w:val="none" w:sz="0" w:space="0" w:color="auto"/>
        <w:left w:val="none" w:sz="0" w:space="0" w:color="auto"/>
        <w:bottom w:val="none" w:sz="0" w:space="0" w:color="auto"/>
        <w:right w:val="none" w:sz="0" w:space="0" w:color="auto"/>
      </w:divBdr>
    </w:div>
    <w:div w:id="1390110249">
      <w:bodyDiv w:val="1"/>
      <w:marLeft w:val="0"/>
      <w:marRight w:val="0"/>
      <w:marTop w:val="0"/>
      <w:marBottom w:val="0"/>
      <w:divBdr>
        <w:top w:val="none" w:sz="0" w:space="0" w:color="auto"/>
        <w:left w:val="none" w:sz="0" w:space="0" w:color="auto"/>
        <w:bottom w:val="none" w:sz="0" w:space="0" w:color="auto"/>
        <w:right w:val="none" w:sz="0" w:space="0" w:color="auto"/>
      </w:divBdr>
    </w:div>
    <w:div w:id="1390760838">
      <w:bodyDiv w:val="1"/>
      <w:marLeft w:val="0"/>
      <w:marRight w:val="0"/>
      <w:marTop w:val="0"/>
      <w:marBottom w:val="0"/>
      <w:divBdr>
        <w:top w:val="none" w:sz="0" w:space="0" w:color="auto"/>
        <w:left w:val="none" w:sz="0" w:space="0" w:color="auto"/>
        <w:bottom w:val="none" w:sz="0" w:space="0" w:color="auto"/>
        <w:right w:val="none" w:sz="0" w:space="0" w:color="auto"/>
      </w:divBdr>
    </w:div>
    <w:div w:id="1391539467">
      <w:bodyDiv w:val="1"/>
      <w:marLeft w:val="0"/>
      <w:marRight w:val="0"/>
      <w:marTop w:val="0"/>
      <w:marBottom w:val="0"/>
      <w:divBdr>
        <w:top w:val="none" w:sz="0" w:space="0" w:color="auto"/>
        <w:left w:val="none" w:sz="0" w:space="0" w:color="auto"/>
        <w:bottom w:val="none" w:sz="0" w:space="0" w:color="auto"/>
        <w:right w:val="none" w:sz="0" w:space="0" w:color="auto"/>
      </w:divBdr>
    </w:div>
    <w:div w:id="1394617123">
      <w:bodyDiv w:val="1"/>
      <w:marLeft w:val="0"/>
      <w:marRight w:val="0"/>
      <w:marTop w:val="0"/>
      <w:marBottom w:val="0"/>
      <w:divBdr>
        <w:top w:val="none" w:sz="0" w:space="0" w:color="auto"/>
        <w:left w:val="none" w:sz="0" w:space="0" w:color="auto"/>
        <w:bottom w:val="none" w:sz="0" w:space="0" w:color="auto"/>
        <w:right w:val="none" w:sz="0" w:space="0" w:color="auto"/>
      </w:divBdr>
    </w:div>
    <w:div w:id="1396314308">
      <w:bodyDiv w:val="1"/>
      <w:marLeft w:val="0"/>
      <w:marRight w:val="0"/>
      <w:marTop w:val="0"/>
      <w:marBottom w:val="0"/>
      <w:divBdr>
        <w:top w:val="none" w:sz="0" w:space="0" w:color="auto"/>
        <w:left w:val="none" w:sz="0" w:space="0" w:color="auto"/>
        <w:bottom w:val="none" w:sz="0" w:space="0" w:color="auto"/>
        <w:right w:val="none" w:sz="0" w:space="0" w:color="auto"/>
      </w:divBdr>
    </w:div>
    <w:div w:id="1396735890">
      <w:bodyDiv w:val="1"/>
      <w:marLeft w:val="0"/>
      <w:marRight w:val="0"/>
      <w:marTop w:val="0"/>
      <w:marBottom w:val="0"/>
      <w:divBdr>
        <w:top w:val="none" w:sz="0" w:space="0" w:color="auto"/>
        <w:left w:val="none" w:sz="0" w:space="0" w:color="auto"/>
        <w:bottom w:val="none" w:sz="0" w:space="0" w:color="auto"/>
        <w:right w:val="none" w:sz="0" w:space="0" w:color="auto"/>
      </w:divBdr>
    </w:div>
    <w:div w:id="1397318441">
      <w:bodyDiv w:val="1"/>
      <w:marLeft w:val="0"/>
      <w:marRight w:val="0"/>
      <w:marTop w:val="0"/>
      <w:marBottom w:val="0"/>
      <w:divBdr>
        <w:top w:val="none" w:sz="0" w:space="0" w:color="auto"/>
        <w:left w:val="none" w:sz="0" w:space="0" w:color="auto"/>
        <w:bottom w:val="none" w:sz="0" w:space="0" w:color="auto"/>
        <w:right w:val="none" w:sz="0" w:space="0" w:color="auto"/>
      </w:divBdr>
    </w:div>
    <w:div w:id="1397364201">
      <w:bodyDiv w:val="1"/>
      <w:marLeft w:val="0"/>
      <w:marRight w:val="0"/>
      <w:marTop w:val="0"/>
      <w:marBottom w:val="0"/>
      <w:divBdr>
        <w:top w:val="none" w:sz="0" w:space="0" w:color="auto"/>
        <w:left w:val="none" w:sz="0" w:space="0" w:color="auto"/>
        <w:bottom w:val="none" w:sz="0" w:space="0" w:color="auto"/>
        <w:right w:val="none" w:sz="0" w:space="0" w:color="auto"/>
      </w:divBdr>
    </w:div>
    <w:div w:id="1403941219">
      <w:bodyDiv w:val="1"/>
      <w:marLeft w:val="0"/>
      <w:marRight w:val="0"/>
      <w:marTop w:val="0"/>
      <w:marBottom w:val="0"/>
      <w:divBdr>
        <w:top w:val="none" w:sz="0" w:space="0" w:color="auto"/>
        <w:left w:val="none" w:sz="0" w:space="0" w:color="auto"/>
        <w:bottom w:val="none" w:sz="0" w:space="0" w:color="auto"/>
        <w:right w:val="none" w:sz="0" w:space="0" w:color="auto"/>
      </w:divBdr>
    </w:div>
    <w:div w:id="1405375675">
      <w:bodyDiv w:val="1"/>
      <w:marLeft w:val="0"/>
      <w:marRight w:val="0"/>
      <w:marTop w:val="0"/>
      <w:marBottom w:val="0"/>
      <w:divBdr>
        <w:top w:val="none" w:sz="0" w:space="0" w:color="auto"/>
        <w:left w:val="none" w:sz="0" w:space="0" w:color="auto"/>
        <w:bottom w:val="none" w:sz="0" w:space="0" w:color="auto"/>
        <w:right w:val="none" w:sz="0" w:space="0" w:color="auto"/>
      </w:divBdr>
    </w:div>
    <w:div w:id="1406495464">
      <w:bodyDiv w:val="1"/>
      <w:marLeft w:val="0"/>
      <w:marRight w:val="0"/>
      <w:marTop w:val="0"/>
      <w:marBottom w:val="0"/>
      <w:divBdr>
        <w:top w:val="none" w:sz="0" w:space="0" w:color="auto"/>
        <w:left w:val="none" w:sz="0" w:space="0" w:color="auto"/>
        <w:bottom w:val="none" w:sz="0" w:space="0" w:color="auto"/>
        <w:right w:val="none" w:sz="0" w:space="0" w:color="auto"/>
      </w:divBdr>
    </w:div>
    <w:div w:id="1409116460">
      <w:bodyDiv w:val="1"/>
      <w:marLeft w:val="0"/>
      <w:marRight w:val="0"/>
      <w:marTop w:val="0"/>
      <w:marBottom w:val="0"/>
      <w:divBdr>
        <w:top w:val="none" w:sz="0" w:space="0" w:color="auto"/>
        <w:left w:val="none" w:sz="0" w:space="0" w:color="auto"/>
        <w:bottom w:val="none" w:sz="0" w:space="0" w:color="auto"/>
        <w:right w:val="none" w:sz="0" w:space="0" w:color="auto"/>
      </w:divBdr>
    </w:div>
    <w:div w:id="1410038332">
      <w:bodyDiv w:val="1"/>
      <w:marLeft w:val="0"/>
      <w:marRight w:val="0"/>
      <w:marTop w:val="0"/>
      <w:marBottom w:val="0"/>
      <w:divBdr>
        <w:top w:val="none" w:sz="0" w:space="0" w:color="auto"/>
        <w:left w:val="none" w:sz="0" w:space="0" w:color="auto"/>
        <w:bottom w:val="none" w:sz="0" w:space="0" w:color="auto"/>
        <w:right w:val="none" w:sz="0" w:space="0" w:color="auto"/>
      </w:divBdr>
    </w:div>
    <w:div w:id="1410420506">
      <w:bodyDiv w:val="1"/>
      <w:marLeft w:val="0"/>
      <w:marRight w:val="0"/>
      <w:marTop w:val="0"/>
      <w:marBottom w:val="0"/>
      <w:divBdr>
        <w:top w:val="none" w:sz="0" w:space="0" w:color="auto"/>
        <w:left w:val="none" w:sz="0" w:space="0" w:color="auto"/>
        <w:bottom w:val="none" w:sz="0" w:space="0" w:color="auto"/>
        <w:right w:val="none" w:sz="0" w:space="0" w:color="auto"/>
      </w:divBdr>
    </w:div>
    <w:div w:id="1411806812">
      <w:bodyDiv w:val="1"/>
      <w:marLeft w:val="0"/>
      <w:marRight w:val="0"/>
      <w:marTop w:val="0"/>
      <w:marBottom w:val="0"/>
      <w:divBdr>
        <w:top w:val="none" w:sz="0" w:space="0" w:color="auto"/>
        <w:left w:val="none" w:sz="0" w:space="0" w:color="auto"/>
        <w:bottom w:val="none" w:sz="0" w:space="0" w:color="auto"/>
        <w:right w:val="none" w:sz="0" w:space="0" w:color="auto"/>
      </w:divBdr>
    </w:div>
    <w:div w:id="1415274209">
      <w:bodyDiv w:val="1"/>
      <w:marLeft w:val="0"/>
      <w:marRight w:val="0"/>
      <w:marTop w:val="0"/>
      <w:marBottom w:val="0"/>
      <w:divBdr>
        <w:top w:val="none" w:sz="0" w:space="0" w:color="auto"/>
        <w:left w:val="none" w:sz="0" w:space="0" w:color="auto"/>
        <w:bottom w:val="none" w:sz="0" w:space="0" w:color="auto"/>
        <w:right w:val="none" w:sz="0" w:space="0" w:color="auto"/>
      </w:divBdr>
    </w:div>
    <w:div w:id="1415276143">
      <w:bodyDiv w:val="1"/>
      <w:marLeft w:val="0"/>
      <w:marRight w:val="0"/>
      <w:marTop w:val="0"/>
      <w:marBottom w:val="0"/>
      <w:divBdr>
        <w:top w:val="none" w:sz="0" w:space="0" w:color="auto"/>
        <w:left w:val="none" w:sz="0" w:space="0" w:color="auto"/>
        <w:bottom w:val="none" w:sz="0" w:space="0" w:color="auto"/>
        <w:right w:val="none" w:sz="0" w:space="0" w:color="auto"/>
      </w:divBdr>
    </w:div>
    <w:div w:id="1415514374">
      <w:bodyDiv w:val="1"/>
      <w:marLeft w:val="0"/>
      <w:marRight w:val="0"/>
      <w:marTop w:val="0"/>
      <w:marBottom w:val="0"/>
      <w:divBdr>
        <w:top w:val="none" w:sz="0" w:space="0" w:color="auto"/>
        <w:left w:val="none" w:sz="0" w:space="0" w:color="auto"/>
        <w:bottom w:val="none" w:sz="0" w:space="0" w:color="auto"/>
        <w:right w:val="none" w:sz="0" w:space="0" w:color="auto"/>
      </w:divBdr>
    </w:div>
    <w:div w:id="1417438512">
      <w:bodyDiv w:val="1"/>
      <w:marLeft w:val="0"/>
      <w:marRight w:val="0"/>
      <w:marTop w:val="0"/>
      <w:marBottom w:val="0"/>
      <w:divBdr>
        <w:top w:val="none" w:sz="0" w:space="0" w:color="auto"/>
        <w:left w:val="none" w:sz="0" w:space="0" w:color="auto"/>
        <w:bottom w:val="none" w:sz="0" w:space="0" w:color="auto"/>
        <w:right w:val="none" w:sz="0" w:space="0" w:color="auto"/>
      </w:divBdr>
    </w:div>
    <w:div w:id="1417938923">
      <w:bodyDiv w:val="1"/>
      <w:marLeft w:val="0"/>
      <w:marRight w:val="0"/>
      <w:marTop w:val="0"/>
      <w:marBottom w:val="0"/>
      <w:divBdr>
        <w:top w:val="none" w:sz="0" w:space="0" w:color="auto"/>
        <w:left w:val="none" w:sz="0" w:space="0" w:color="auto"/>
        <w:bottom w:val="none" w:sz="0" w:space="0" w:color="auto"/>
        <w:right w:val="none" w:sz="0" w:space="0" w:color="auto"/>
      </w:divBdr>
    </w:div>
    <w:div w:id="1418018709">
      <w:bodyDiv w:val="1"/>
      <w:marLeft w:val="0"/>
      <w:marRight w:val="0"/>
      <w:marTop w:val="0"/>
      <w:marBottom w:val="0"/>
      <w:divBdr>
        <w:top w:val="none" w:sz="0" w:space="0" w:color="auto"/>
        <w:left w:val="none" w:sz="0" w:space="0" w:color="auto"/>
        <w:bottom w:val="none" w:sz="0" w:space="0" w:color="auto"/>
        <w:right w:val="none" w:sz="0" w:space="0" w:color="auto"/>
      </w:divBdr>
    </w:div>
    <w:div w:id="1421410485">
      <w:bodyDiv w:val="1"/>
      <w:marLeft w:val="0"/>
      <w:marRight w:val="0"/>
      <w:marTop w:val="0"/>
      <w:marBottom w:val="0"/>
      <w:divBdr>
        <w:top w:val="none" w:sz="0" w:space="0" w:color="auto"/>
        <w:left w:val="none" w:sz="0" w:space="0" w:color="auto"/>
        <w:bottom w:val="none" w:sz="0" w:space="0" w:color="auto"/>
        <w:right w:val="none" w:sz="0" w:space="0" w:color="auto"/>
      </w:divBdr>
    </w:div>
    <w:div w:id="1421758645">
      <w:bodyDiv w:val="1"/>
      <w:marLeft w:val="0"/>
      <w:marRight w:val="0"/>
      <w:marTop w:val="0"/>
      <w:marBottom w:val="0"/>
      <w:divBdr>
        <w:top w:val="none" w:sz="0" w:space="0" w:color="auto"/>
        <w:left w:val="none" w:sz="0" w:space="0" w:color="auto"/>
        <w:bottom w:val="none" w:sz="0" w:space="0" w:color="auto"/>
        <w:right w:val="none" w:sz="0" w:space="0" w:color="auto"/>
      </w:divBdr>
    </w:div>
    <w:div w:id="1422530326">
      <w:bodyDiv w:val="1"/>
      <w:marLeft w:val="0"/>
      <w:marRight w:val="0"/>
      <w:marTop w:val="0"/>
      <w:marBottom w:val="0"/>
      <w:divBdr>
        <w:top w:val="none" w:sz="0" w:space="0" w:color="auto"/>
        <w:left w:val="none" w:sz="0" w:space="0" w:color="auto"/>
        <w:bottom w:val="none" w:sz="0" w:space="0" w:color="auto"/>
        <w:right w:val="none" w:sz="0" w:space="0" w:color="auto"/>
      </w:divBdr>
    </w:div>
    <w:div w:id="1422603702">
      <w:bodyDiv w:val="1"/>
      <w:marLeft w:val="0"/>
      <w:marRight w:val="0"/>
      <w:marTop w:val="0"/>
      <w:marBottom w:val="0"/>
      <w:divBdr>
        <w:top w:val="none" w:sz="0" w:space="0" w:color="auto"/>
        <w:left w:val="none" w:sz="0" w:space="0" w:color="auto"/>
        <w:bottom w:val="none" w:sz="0" w:space="0" w:color="auto"/>
        <w:right w:val="none" w:sz="0" w:space="0" w:color="auto"/>
      </w:divBdr>
    </w:div>
    <w:div w:id="1423795189">
      <w:bodyDiv w:val="1"/>
      <w:marLeft w:val="0"/>
      <w:marRight w:val="0"/>
      <w:marTop w:val="0"/>
      <w:marBottom w:val="0"/>
      <w:divBdr>
        <w:top w:val="none" w:sz="0" w:space="0" w:color="auto"/>
        <w:left w:val="none" w:sz="0" w:space="0" w:color="auto"/>
        <w:bottom w:val="none" w:sz="0" w:space="0" w:color="auto"/>
        <w:right w:val="none" w:sz="0" w:space="0" w:color="auto"/>
      </w:divBdr>
    </w:div>
    <w:div w:id="1424958279">
      <w:bodyDiv w:val="1"/>
      <w:marLeft w:val="0"/>
      <w:marRight w:val="0"/>
      <w:marTop w:val="0"/>
      <w:marBottom w:val="0"/>
      <w:divBdr>
        <w:top w:val="none" w:sz="0" w:space="0" w:color="auto"/>
        <w:left w:val="none" w:sz="0" w:space="0" w:color="auto"/>
        <w:bottom w:val="none" w:sz="0" w:space="0" w:color="auto"/>
        <w:right w:val="none" w:sz="0" w:space="0" w:color="auto"/>
      </w:divBdr>
    </w:div>
    <w:div w:id="1427191895">
      <w:bodyDiv w:val="1"/>
      <w:marLeft w:val="0"/>
      <w:marRight w:val="0"/>
      <w:marTop w:val="0"/>
      <w:marBottom w:val="0"/>
      <w:divBdr>
        <w:top w:val="none" w:sz="0" w:space="0" w:color="auto"/>
        <w:left w:val="none" w:sz="0" w:space="0" w:color="auto"/>
        <w:bottom w:val="none" w:sz="0" w:space="0" w:color="auto"/>
        <w:right w:val="none" w:sz="0" w:space="0" w:color="auto"/>
      </w:divBdr>
    </w:div>
    <w:div w:id="1428848457">
      <w:bodyDiv w:val="1"/>
      <w:marLeft w:val="0"/>
      <w:marRight w:val="0"/>
      <w:marTop w:val="0"/>
      <w:marBottom w:val="0"/>
      <w:divBdr>
        <w:top w:val="none" w:sz="0" w:space="0" w:color="auto"/>
        <w:left w:val="none" w:sz="0" w:space="0" w:color="auto"/>
        <w:bottom w:val="none" w:sz="0" w:space="0" w:color="auto"/>
        <w:right w:val="none" w:sz="0" w:space="0" w:color="auto"/>
      </w:divBdr>
    </w:div>
    <w:div w:id="1432161838">
      <w:bodyDiv w:val="1"/>
      <w:marLeft w:val="0"/>
      <w:marRight w:val="0"/>
      <w:marTop w:val="0"/>
      <w:marBottom w:val="0"/>
      <w:divBdr>
        <w:top w:val="none" w:sz="0" w:space="0" w:color="auto"/>
        <w:left w:val="none" w:sz="0" w:space="0" w:color="auto"/>
        <w:bottom w:val="none" w:sz="0" w:space="0" w:color="auto"/>
        <w:right w:val="none" w:sz="0" w:space="0" w:color="auto"/>
      </w:divBdr>
    </w:div>
    <w:div w:id="1439177316">
      <w:bodyDiv w:val="1"/>
      <w:marLeft w:val="0"/>
      <w:marRight w:val="0"/>
      <w:marTop w:val="0"/>
      <w:marBottom w:val="0"/>
      <w:divBdr>
        <w:top w:val="none" w:sz="0" w:space="0" w:color="auto"/>
        <w:left w:val="none" w:sz="0" w:space="0" w:color="auto"/>
        <w:bottom w:val="none" w:sz="0" w:space="0" w:color="auto"/>
        <w:right w:val="none" w:sz="0" w:space="0" w:color="auto"/>
      </w:divBdr>
    </w:div>
    <w:div w:id="1443110897">
      <w:bodyDiv w:val="1"/>
      <w:marLeft w:val="0"/>
      <w:marRight w:val="0"/>
      <w:marTop w:val="0"/>
      <w:marBottom w:val="0"/>
      <w:divBdr>
        <w:top w:val="none" w:sz="0" w:space="0" w:color="auto"/>
        <w:left w:val="none" w:sz="0" w:space="0" w:color="auto"/>
        <w:bottom w:val="none" w:sz="0" w:space="0" w:color="auto"/>
        <w:right w:val="none" w:sz="0" w:space="0" w:color="auto"/>
      </w:divBdr>
    </w:div>
    <w:div w:id="1447190238">
      <w:bodyDiv w:val="1"/>
      <w:marLeft w:val="0"/>
      <w:marRight w:val="0"/>
      <w:marTop w:val="0"/>
      <w:marBottom w:val="0"/>
      <w:divBdr>
        <w:top w:val="none" w:sz="0" w:space="0" w:color="auto"/>
        <w:left w:val="none" w:sz="0" w:space="0" w:color="auto"/>
        <w:bottom w:val="none" w:sz="0" w:space="0" w:color="auto"/>
        <w:right w:val="none" w:sz="0" w:space="0" w:color="auto"/>
      </w:divBdr>
    </w:div>
    <w:div w:id="1447237522">
      <w:bodyDiv w:val="1"/>
      <w:marLeft w:val="0"/>
      <w:marRight w:val="0"/>
      <w:marTop w:val="0"/>
      <w:marBottom w:val="0"/>
      <w:divBdr>
        <w:top w:val="none" w:sz="0" w:space="0" w:color="auto"/>
        <w:left w:val="none" w:sz="0" w:space="0" w:color="auto"/>
        <w:bottom w:val="none" w:sz="0" w:space="0" w:color="auto"/>
        <w:right w:val="none" w:sz="0" w:space="0" w:color="auto"/>
      </w:divBdr>
    </w:div>
    <w:div w:id="1447890504">
      <w:bodyDiv w:val="1"/>
      <w:marLeft w:val="0"/>
      <w:marRight w:val="0"/>
      <w:marTop w:val="0"/>
      <w:marBottom w:val="0"/>
      <w:divBdr>
        <w:top w:val="none" w:sz="0" w:space="0" w:color="auto"/>
        <w:left w:val="none" w:sz="0" w:space="0" w:color="auto"/>
        <w:bottom w:val="none" w:sz="0" w:space="0" w:color="auto"/>
        <w:right w:val="none" w:sz="0" w:space="0" w:color="auto"/>
      </w:divBdr>
    </w:div>
    <w:div w:id="1449469130">
      <w:bodyDiv w:val="1"/>
      <w:marLeft w:val="0"/>
      <w:marRight w:val="0"/>
      <w:marTop w:val="0"/>
      <w:marBottom w:val="0"/>
      <w:divBdr>
        <w:top w:val="none" w:sz="0" w:space="0" w:color="auto"/>
        <w:left w:val="none" w:sz="0" w:space="0" w:color="auto"/>
        <w:bottom w:val="none" w:sz="0" w:space="0" w:color="auto"/>
        <w:right w:val="none" w:sz="0" w:space="0" w:color="auto"/>
      </w:divBdr>
    </w:div>
    <w:div w:id="1451167595">
      <w:bodyDiv w:val="1"/>
      <w:marLeft w:val="0"/>
      <w:marRight w:val="0"/>
      <w:marTop w:val="0"/>
      <w:marBottom w:val="0"/>
      <w:divBdr>
        <w:top w:val="none" w:sz="0" w:space="0" w:color="auto"/>
        <w:left w:val="none" w:sz="0" w:space="0" w:color="auto"/>
        <w:bottom w:val="none" w:sz="0" w:space="0" w:color="auto"/>
        <w:right w:val="none" w:sz="0" w:space="0" w:color="auto"/>
      </w:divBdr>
    </w:div>
    <w:div w:id="1451388611">
      <w:bodyDiv w:val="1"/>
      <w:marLeft w:val="0"/>
      <w:marRight w:val="0"/>
      <w:marTop w:val="0"/>
      <w:marBottom w:val="0"/>
      <w:divBdr>
        <w:top w:val="none" w:sz="0" w:space="0" w:color="auto"/>
        <w:left w:val="none" w:sz="0" w:space="0" w:color="auto"/>
        <w:bottom w:val="none" w:sz="0" w:space="0" w:color="auto"/>
        <w:right w:val="none" w:sz="0" w:space="0" w:color="auto"/>
      </w:divBdr>
    </w:div>
    <w:div w:id="1453397579">
      <w:bodyDiv w:val="1"/>
      <w:marLeft w:val="0"/>
      <w:marRight w:val="0"/>
      <w:marTop w:val="0"/>
      <w:marBottom w:val="0"/>
      <w:divBdr>
        <w:top w:val="none" w:sz="0" w:space="0" w:color="auto"/>
        <w:left w:val="none" w:sz="0" w:space="0" w:color="auto"/>
        <w:bottom w:val="none" w:sz="0" w:space="0" w:color="auto"/>
        <w:right w:val="none" w:sz="0" w:space="0" w:color="auto"/>
      </w:divBdr>
    </w:div>
    <w:div w:id="1453479400">
      <w:bodyDiv w:val="1"/>
      <w:marLeft w:val="0"/>
      <w:marRight w:val="0"/>
      <w:marTop w:val="0"/>
      <w:marBottom w:val="0"/>
      <w:divBdr>
        <w:top w:val="none" w:sz="0" w:space="0" w:color="auto"/>
        <w:left w:val="none" w:sz="0" w:space="0" w:color="auto"/>
        <w:bottom w:val="none" w:sz="0" w:space="0" w:color="auto"/>
        <w:right w:val="none" w:sz="0" w:space="0" w:color="auto"/>
      </w:divBdr>
    </w:div>
    <w:div w:id="1455293061">
      <w:bodyDiv w:val="1"/>
      <w:marLeft w:val="0"/>
      <w:marRight w:val="0"/>
      <w:marTop w:val="0"/>
      <w:marBottom w:val="0"/>
      <w:divBdr>
        <w:top w:val="none" w:sz="0" w:space="0" w:color="auto"/>
        <w:left w:val="none" w:sz="0" w:space="0" w:color="auto"/>
        <w:bottom w:val="none" w:sz="0" w:space="0" w:color="auto"/>
        <w:right w:val="none" w:sz="0" w:space="0" w:color="auto"/>
      </w:divBdr>
    </w:div>
    <w:div w:id="1455515798">
      <w:bodyDiv w:val="1"/>
      <w:marLeft w:val="0"/>
      <w:marRight w:val="0"/>
      <w:marTop w:val="0"/>
      <w:marBottom w:val="0"/>
      <w:divBdr>
        <w:top w:val="none" w:sz="0" w:space="0" w:color="auto"/>
        <w:left w:val="none" w:sz="0" w:space="0" w:color="auto"/>
        <w:bottom w:val="none" w:sz="0" w:space="0" w:color="auto"/>
        <w:right w:val="none" w:sz="0" w:space="0" w:color="auto"/>
      </w:divBdr>
    </w:div>
    <w:div w:id="1465154500">
      <w:bodyDiv w:val="1"/>
      <w:marLeft w:val="0"/>
      <w:marRight w:val="0"/>
      <w:marTop w:val="0"/>
      <w:marBottom w:val="0"/>
      <w:divBdr>
        <w:top w:val="none" w:sz="0" w:space="0" w:color="auto"/>
        <w:left w:val="none" w:sz="0" w:space="0" w:color="auto"/>
        <w:bottom w:val="none" w:sz="0" w:space="0" w:color="auto"/>
        <w:right w:val="none" w:sz="0" w:space="0" w:color="auto"/>
      </w:divBdr>
    </w:div>
    <w:div w:id="1468159122">
      <w:bodyDiv w:val="1"/>
      <w:marLeft w:val="0"/>
      <w:marRight w:val="0"/>
      <w:marTop w:val="0"/>
      <w:marBottom w:val="0"/>
      <w:divBdr>
        <w:top w:val="none" w:sz="0" w:space="0" w:color="auto"/>
        <w:left w:val="none" w:sz="0" w:space="0" w:color="auto"/>
        <w:bottom w:val="none" w:sz="0" w:space="0" w:color="auto"/>
        <w:right w:val="none" w:sz="0" w:space="0" w:color="auto"/>
      </w:divBdr>
    </w:div>
    <w:div w:id="1472362721">
      <w:bodyDiv w:val="1"/>
      <w:marLeft w:val="0"/>
      <w:marRight w:val="0"/>
      <w:marTop w:val="0"/>
      <w:marBottom w:val="0"/>
      <w:divBdr>
        <w:top w:val="none" w:sz="0" w:space="0" w:color="auto"/>
        <w:left w:val="none" w:sz="0" w:space="0" w:color="auto"/>
        <w:bottom w:val="none" w:sz="0" w:space="0" w:color="auto"/>
        <w:right w:val="none" w:sz="0" w:space="0" w:color="auto"/>
      </w:divBdr>
    </w:div>
    <w:div w:id="1472409044">
      <w:bodyDiv w:val="1"/>
      <w:marLeft w:val="0"/>
      <w:marRight w:val="0"/>
      <w:marTop w:val="0"/>
      <w:marBottom w:val="0"/>
      <w:divBdr>
        <w:top w:val="none" w:sz="0" w:space="0" w:color="auto"/>
        <w:left w:val="none" w:sz="0" w:space="0" w:color="auto"/>
        <w:bottom w:val="none" w:sz="0" w:space="0" w:color="auto"/>
        <w:right w:val="none" w:sz="0" w:space="0" w:color="auto"/>
      </w:divBdr>
    </w:div>
    <w:div w:id="1474640677">
      <w:bodyDiv w:val="1"/>
      <w:marLeft w:val="0"/>
      <w:marRight w:val="0"/>
      <w:marTop w:val="0"/>
      <w:marBottom w:val="0"/>
      <w:divBdr>
        <w:top w:val="none" w:sz="0" w:space="0" w:color="auto"/>
        <w:left w:val="none" w:sz="0" w:space="0" w:color="auto"/>
        <w:bottom w:val="none" w:sz="0" w:space="0" w:color="auto"/>
        <w:right w:val="none" w:sz="0" w:space="0" w:color="auto"/>
      </w:divBdr>
    </w:div>
    <w:div w:id="1481731704">
      <w:bodyDiv w:val="1"/>
      <w:marLeft w:val="0"/>
      <w:marRight w:val="0"/>
      <w:marTop w:val="0"/>
      <w:marBottom w:val="0"/>
      <w:divBdr>
        <w:top w:val="none" w:sz="0" w:space="0" w:color="auto"/>
        <w:left w:val="none" w:sz="0" w:space="0" w:color="auto"/>
        <w:bottom w:val="none" w:sz="0" w:space="0" w:color="auto"/>
        <w:right w:val="none" w:sz="0" w:space="0" w:color="auto"/>
      </w:divBdr>
    </w:div>
    <w:div w:id="1483421739">
      <w:bodyDiv w:val="1"/>
      <w:marLeft w:val="0"/>
      <w:marRight w:val="0"/>
      <w:marTop w:val="0"/>
      <w:marBottom w:val="0"/>
      <w:divBdr>
        <w:top w:val="none" w:sz="0" w:space="0" w:color="auto"/>
        <w:left w:val="none" w:sz="0" w:space="0" w:color="auto"/>
        <w:bottom w:val="none" w:sz="0" w:space="0" w:color="auto"/>
        <w:right w:val="none" w:sz="0" w:space="0" w:color="auto"/>
      </w:divBdr>
    </w:div>
    <w:div w:id="1485898903">
      <w:bodyDiv w:val="1"/>
      <w:marLeft w:val="0"/>
      <w:marRight w:val="0"/>
      <w:marTop w:val="0"/>
      <w:marBottom w:val="0"/>
      <w:divBdr>
        <w:top w:val="none" w:sz="0" w:space="0" w:color="auto"/>
        <w:left w:val="none" w:sz="0" w:space="0" w:color="auto"/>
        <w:bottom w:val="none" w:sz="0" w:space="0" w:color="auto"/>
        <w:right w:val="none" w:sz="0" w:space="0" w:color="auto"/>
      </w:divBdr>
    </w:div>
    <w:div w:id="1491286999">
      <w:bodyDiv w:val="1"/>
      <w:marLeft w:val="0"/>
      <w:marRight w:val="0"/>
      <w:marTop w:val="0"/>
      <w:marBottom w:val="0"/>
      <w:divBdr>
        <w:top w:val="none" w:sz="0" w:space="0" w:color="auto"/>
        <w:left w:val="none" w:sz="0" w:space="0" w:color="auto"/>
        <w:bottom w:val="none" w:sz="0" w:space="0" w:color="auto"/>
        <w:right w:val="none" w:sz="0" w:space="0" w:color="auto"/>
      </w:divBdr>
    </w:div>
    <w:div w:id="1491361208">
      <w:bodyDiv w:val="1"/>
      <w:marLeft w:val="0"/>
      <w:marRight w:val="0"/>
      <w:marTop w:val="0"/>
      <w:marBottom w:val="0"/>
      <w:divBdr>
        <w:top w:val="none" w:sz="0" w:space="0" w:color="auto"/>
        <w:left w:val="none" w:sz="0" w:space="0" w:color="auto"/>
        <w:bottom w:val="none" w:sz="0" w:space="0" w:color="auto"/>
        <w:right w:val="none" w:sz="0" w:space="0" w:color="auto"/>
      </w:divBdr>
    </w:div>
    <w:div w:id="1495225121">
      <w:bodyDiv w:val="1"/>
      <w:marLeft w:val="0"/>
      <w:marRight w:val="0"/>
      <w:marTop w:val="0"/>
      <w:marBottom w:val="0"/>
      <w:divBdr>
        <w:top w:val="none" w:sz="0" w:space="0" w:color="auto"/>
        <w:left w:val="none" w:sz="0" w:space="0" w:color="auto"/>
        <w:bottom w:val="none" w:sz="0" w:space="0" w:color="auto"/>
        <w:right w:val="none" w:sz="0" w:space="0" w:color="auto"/>
      </w:divBdr>
    </w:div>
    <w:div w:id="1496534019">
      <w:bodyDiv w:val="1"/>
      <w:marLeft w:val="0"/>
      <w:marRight w:val="0"/>
      <w:marTop w:val="0"/>
      <w:marBottom w:val="0"/>
      <w:divBdr>
        <w:top w:val="none" w:sz="0" w:space="0" w:color="auto"/>
        <w:left w:val="none" w:sz="0" w:space="0" w:color="auto"/>
        <w:bottom w:val="none" w:sz="0" w:space="0" w:color="auto"/>
        <w:right w:val="none" w:sz="0" w:space="0" w:color="auto"/>
      </w:divBdr>
    </w:div>
    <w:div w:id="1497070912">
      <w:bodyDiv w:val="1"/>
      <w:marLeft w:val="0"/>
      <w:marRight w:val="0"/>
      <w:marTop w:val="0"/>
      <w:marBottom w:val="0"/>
      <w:divBdr>
        <w:top w:val="none" w:sz="0" w:space="0" w:color="auto"/>
        <w:left w:val="none" w:sz="0" w:space="0" w:color="auto"/>
        <w:bottom w:val="none" w:sz="0" w:space="0" w:color="auto"/>
        <w:right w:val="none" w:sz="0" w:space="0" w:color="auto"/>
      </w:divBdr>
    </w:div>
    <w:div w:id="1499538406">
      <w:bodyDiv w:val="1"/>
      <w:marLeft w:val="0"/>
      <w:marRight w:val="0"/>
      <w:marTop w:val="0"/>
      <w:marBottom w:val="0"/>
      <w:divBdr>
        <w:top w:val="none" w:sz="0" w:space="0" w:color="auto"/>
        <w:left w:val="none" w:sz="0" w:space="0" w:color="auto"/>
        <w:bottom w:val="none" w:sz="0" w:space="0" w:color="auto"/>
        <w:right w:val="none" w:sz="0" w:space="0" w:color="auto"/>
      </w:divBdr>
    </w:div>
    <w:div w:id="1501657333">
      <w:bodyDiv w:val="1"/>
      <w:marLeft w:val="0"/>
      <w:marRight w:val="0"/>
      <w:marTop w:val="0"/>
      <w:marBottom w:val="0"/>
      <w:divBdr>
        <w:top w:val="none" w:sz="0" w:space="0" w:color="auto"/>
        <w:left w:val="none" w:sz="0" w:space="0" w:color="auto"/>
        <w:bottom w:val="none" w:sz="0" w:space="0" w:color="auto"/>
        <w:right w:val="none" w:sz="0" w:space="0" w:color="auto"/>
      </w:divBdr>
    </w:div>
    <w:div w:id="1502307744">
      <w:bodyDiv w:val="1"/>
      <w:marLeft w:val="0"/>
      <w:marRight w:val="0"/>
      <w:marTop w:val="0"/>
      <w:marBottom w:val="0"/>
      <w:divBdr>
        <w:top w:val="none" w:sz="0" w:space="0" w:color="auto"/>
        <w:left w:val="none" w:sz="0" w:space="0" w:color="auto"/>
        <w:bottom w:val="none" w:sz="0" w:space="0" w:color="auto"/>
        <w:right w:val="none" w:sz="0" w:space="0" w:color="auto"/>
      </w:divBdr>
    </w:div>
    <w:div w:id="1503928111">
      <w:bodyDiv w:val="1"/>
      <w:marLeft w:val="0"/>
      <w:marRight w:val="0"/>
      <w:marTop w:val="0"/>
      <w:marBottom w:val="0"/>
      <w:divBdr>
        <w:top w:val="none" w:sz="0" w:space="0" w:color="auto"/>
        <w:left w:val="none" w:sz="0" w:space="0" w:color="auto"/>
        <w:bottom w:val="none" w:sz="0" w:space="0" w:color="auto"/>
        <w:right w:val="none" w:sz="0" w:space="0" w:color="auto"/>
      </w:divBdr>
    </w:div>
    <w:div w:id="1505362823">
      <w:bodyDiv w:val="1"/>
      <w:marLeft w:val="0"/>
      <w:marRight w:val="0"/>
      <w:marTop w:val="0"/>
      <w:marBottom w:val="0"/>
      <w:divBdr>
        <w:top w:val="none" w:sz="0" w:space="0" w:color="auto"/>
        <w:left w:val="none" w:sz="0" w:space="0" w:color="auto"/>
        <w:bottom w:val="none" w:sz="0" w:space="0" w:color="auto"/>
        <w:right w:val="none" w:sz="0" w:space="0" w:color="auto"/>
      </w:divBdr>
    </w:div>
    <w:div w:id="1505896604">
      <w:bodyDiv w:val="1"/>
      <w:marLeft w:val="0"/>
      <w:marRight w:val="0"/>
      <w:marTop w:val="0"/>
      <w:marBottom w:val="0"/>
      <w:divBdr>
        <w:top w:val="none" w:sz="0" w:space="0" w:color="auto"/>
        <w:left w:val="none" w:sz="0" w:space="0" w:color="auto"/>
        <w:bottom w:val="none" w:sz="0" w:space="0" w:color="auto"/>
        <w:right w:val="none" w:sz="0" w:space="0" w:color="auto"/>
      </w:divBdr>
    </w:div>
    <w:div w:id="1508134839">
      <w:bodyDiv w:val="1"/>
      <w:marLeft w:val="0"/>
      <w:marRight w:val="0"/>
      <w:marTop w:val="0"/>
      <w:marBottom w:val="0"/>
      <w:divBdr>
        <w:top w:val="none" w:sz="0" w:space="0" w:color="auto"/>
        <w:left w:val="none" w:sz="0" w:space="0" w:color="auto"/>
        <w:bottom w:val="none" w:sz="0" w:space="0" w:color="auto"/>
        <w:right w:val="none" w:sz="0" w:space="0" w:color="auto"/>
      </w:divBdr>
    </w:div>
    <w:div w:id="1509756808">
      <w:bodyDiv w:val="1"/>
      <w:marLeft w:val="0"/>
      <w:marRight w:val="0"/>
      <w:marTop w:val="0"/>
      <w:marBottom w:val="0"/>
      <w:divBdr>
        <w:top w:val="none" w:sz="0" w:space="0" w:color="auto"/>
        <w:left w:val="none" w:sz="0" w:space="0" w:color="auto"/>
        <w:bottom w:val="none" w:sz="0" w:space="0" w:color="auto"/>
        <w:right w:val="none" w:sz="0" w:space="0" w:color="auto"/>
      </w:divBdr>
    </w:div>
    <w:div w:id="1509759049">
      <w:bodyDiv w:val="1"/>
      <w:marLeft w:val="0"/>
      <w:marRight w:val="0"/>
      <w:marTop w:val="0"/>
      <w:marBottom w:val="0"/>
      <w:divBdr>
        <w:top w:val="none" w:sz="0" w:space="0" w:color="auto"/>
        <w:left w:val="none" w:sz="0" w:space="0" w:color="auto"/>
        <w:bottom w:val="none" w:sz="0" w:space="0" w:color="auto"/>
        <w:right w:val="none" w:sz="0" w:space="0" w:color="auto"/>
      </w:divBdr>
    </w:div>
    <w:div w:id="1511214943">
      <w:bodyDiv w:val="1"/>
      <w:marLeft w:val="0"/>
      <w:marRight w:val="0"/>
      <w:marTop w:val="0"/>
      <w:marBottom w:val="0"/>
      <w:divBdr>
        <w:top w:val="none" w:sz="0" w:space="0" w:color="auto"/>
        <w:left w:val="none" w:sz="0" w:space="0" w:color="auto"/>
        <w:bottom w:val="none" w:sz="0" w:space="0" w:color="auto"/>
        <w:right w:val="none" w:sz="0" w:space="0" w:color="auto"/>
      </w:divBdr>
    </w:div>
    <w:div w:id="1512187544">
      <w:bodyDiv w:val="1"/>
      <w:marLeft w:val="0"/>
      <w:marRight w:val="0"/>
      <w:marTop w:val="0"/>
      <w:marBottom w:val="0"/>
      <w:divBdr>
        <w:top w:val="none" w:sz="0" w:space="0" w:color="auto"/>
        <w:left w:val="none" w:sz="0" w:space="0" w:color="auto"/>
        <w:bottom w:val="none" w:sz="0" w:space="0" w:color="auto"/>
        <w:right w:val="none" w:sz="0" w:space="0" w:color="auto"/>
      </w:divBdr>
    </w:div>
    <w:div w:id="1514682901">
      <w:bodyDiv w:val="1"/>
      <w:marLeft w:val="0"/>
      <w:marRight w:val="0"/>
      <w:marTop w:val="0"/>
      <w:marBottom w:val="0"/>
      <w:divBdr>
        <w:top w:val="none" w:sz="0" w:space="0" w:color="auto"/>
        <w:left w:val="none" w:sz="0" w:space="0" w:color="auto"/>
        <w:bottom w:val="none" w:sz="0" w:space="0" w:color="auto"/>
        <w:right w:val="none" w:sz="0" w:space="0" w:color="auto"/>
      </w:divBdr>
    </w:div>
    <w:div w:id="1516844012">
      <w:bodyDiv w:val="1"/>
      <w:marLeft w:val="0"/>
      <w:marRight w:val="0"/>
      <w:marTop w:val="0"/>
      <w:marBottom w:val="0"/>
      <w:divBdr>
        <w:top w:val="none" w:sz="0" w:space="0" w:color="auto"/>
        <w:left w:val="none" w:sz="0" w:space="0" w:color="auto"/>
        <w:bottom w:val="none" w:sz="0" w:space="0" w:color="auto"/>
        <w:right w:val="none" w:sz="0" w:space="0" w:color="auto"/>
      </w:divBdr>
    </w:div>
    <w:div w:id="1516924194">
      <w:bodyDiv w:val="1"/>
      <w:marLeft w:val="0"/>
      <w:marRight w:val="0"/>
      <w:marTop w:val="0"/>
      <w:marBottom w:val="0"/>
      <w:divBdr>
        <w:top w:val="none" w:sz="0" w:space="0" w:color="auto"/>
        <w:left w:val="none" w:sz="0" w:space="0" w:color="auto"/>
        <w:bottom w:val="none" w:sz="0" w:space="0" w:color="auto"/>
        <w:right w:val="none" w:sz="0" w:space="0" w:color="auto"/>
      </w:divBdr>
    </w:div>
    <w:div w:id="1517038946">
      <w:bodyDiv w:val="1"/>
      <w:marLeft w:val="0"/>
      <w:marRight w:val="0"/>
      <w:marTop w:val="0"/>
      <w:marBottom w:val="0"/>
      <w:divBdr>
        <w:top w:val="none" w:sz="0" w:space="0" w:color="auto"/>
        <w:left w:val="none" w:sz="0" w:space="0" w:color="auto"/>
        <w:bottom w:val="none" w:sz="0" w:space="0" w:color="auto"/>
        <w:right w:val="none" w:sz="0" w:space="0" w:color="auto"/>
      </w:divBdr>
    </w:div>
    <w:div w:id="1517235656">
      <w:bodyDiv w:val="1"/>
      <w:marLeft w:val="0"/>
      <w:marRight w:val="0"/>
      <w:marTop w:val="0"/>
      <w:marBottom w:val="0"/>
      <w:divBdr>
        <w:top w:val="none" w:sz="0" w:space="0" w:color="auto"/>
        <w:left w:val="none" w:sz="0" w:space="0" w:color="auto"/>
        <w:bottom w:val="none" w:sz="0" w:space="0" w:color="auto"/>
        <w:right w:val="none" w:sz="0" w:space="0" w:color="auto"/>
      </w:divBdr>
    </w:div>
    <w:div w:id="1518731593">
      <w:bodyDiv w:val="1"/>
      <w:marLeft w:val="0"/>
      <w:marRight w:val="0"/>
      <w:marTop w:val="0"/>
      <w:marBottom w:val="0"/>
      <w:divBdr>
        <w:top w:val="none" w:sz="0" w:space="0" w:color="auto"/>
        <w:left w:val="none" w:sz="0" w:space="0" w:color="auto"/>
        <w:bottom w:val="none" w:sz="0" w:space="0" w:color="auto"/>
        <w:right w:val="none" w:sz="0" w:space="0" w:color="auto"/>
      </w:divBdr>
    </w:div>
    <w:div w:id="1519612463">
      <w:bodyDiv w:val="1"/>
      <w:marLeft w:val="0"/>
      <w:marRight w:val="0"/>
      <w:marTop w:val="0"/>
      <w:marBottom w:val="0"/>
      <w:divBdr>
        <w:top w:val="none" w:sz="0" w:space="0" w:color="auto"/>
        <w:left w:val="none" w:sz="0" w:space="0" w:color="auto"/>
        <w:bottom w:val="none" w:sz="0" w:space="0" w:color="auto"/>
        <w:right w:val="none" w:sz="0" w:space="0" w:color="auto"/>
      </w:divBdr>
    </w:div>
    <w:div w:id="1522426260">
      <w:bodyDiv w:val="1"/>
      <w:marLeft w:val="0"/>
      <w:marRight w:val="0"/>
      <w:marTop w:val="0"/>
      <w:marBottom w:val="0"/>
      <w:divBdr>
        <w:top w:val="none" w:sz="0" w:space="0" w:color="auto"/>
        <w:left w:val="none" w:sz="0" w:space="0" w:color="auto"/>
        <w:bottom w:val="none" w:sz="0" w:space="0" w:color="auto"/>
        <w:right w:val="none" w:sz="0" w:space="0" w:color="auto"/>
      </w:divBdr>
    </w:div>
    <w:div w:id="1528448643">
      <w:bodyDiv w:val="1"/>
      <w:marLeft w:val="0"/>
      <w:marRight w:val="0"/>
      <w:marTop w:val="0"/>
      <w:marBottom w:val="0"/>
      <w:divBdr>
        <w:top w:val="none" w:sz="0" w:space="0" w:color="auto"/>
        <w:left w:val="none" w:sz="0" w:space="0" w:color="auto"/>
        <w:bottom w:val="none" w:sz="0" w:space="0" w:color="auto"/>
        <w:right w:val="none" w:sz="0" w:space="0" w:color="auto"/>
      </w:divBdr>
    </w:div>
    <w:div w:id="1528593062">
      <w:bodyDiv w:val="1"/>
      <w:marLeft w:val="0"/>
      <w:marRight w:val="0"/>
      <w:marTop w:val="0"/>
      <w:marBottom w:val="0"/>
      <w:divBdr>
        <w:top w:val="none" w:sz="0" w:space="0" w:color="auto"/>
        <w:left w:val="none" w:sz="0" w:space="0" w:color="auto"/>
        <w:bottom w:val="none" w:sz="0" w:space="0" w:color="auto"/>
        <w:right w:val="none" w:sz="0" w:space="0" w:color="auto"/>
      </w:divBdr>
    </w:div>
    <w:div w:id="1530223616">
      <w:bodyDiv w:val="1"/>
      <w:marLeft w:val="0"/>
      <w:marRight w:val="0"/>
      <w:marTop w:val="0"/>
      <w:marBottom w:val="0"/>
      <w:divBdr>
        <w:top w:val="none" w:sz="0" w:space="0" w:color="auto"/>
        <w:left w:val="none" w:sz="0" w:space="0" w:color="auto"/>
        <w:bottom w:val="none" w:sz="0" w:space="0" w:color="auto"/>
        <w:right w:val="none" w:sz="0" w:space="0" w:color="auto"/>
      </w:divBdr>
    </w:div>
    <w:div w:id="1536192901">
      <w:bodyDiv w:val="1"/>
      <w:marLeft w:val="0"/>
      <w:marRight w:val="0"/>
      <w:marTop w:val="0"/>
      <w:marBottom w:val="0"/>
      <w:divBdr>
        <w:top w:val="none" w:sz="0" w:space="0" w:color="auto"/>
        <w:left w:val="none" w:sz="0" w:space="0" w:color="auto"/>
        <w:bottom w:val="none" w:sz="0" w:space="0" w:color="auto"/>
        <w:right w:val="none" w:sz="0" w:space="0" w:color="auto"/>
      </w:divBdr>
    </w:div>
    <w:div w:id="1536380445">
      <w:bodyDiv w:val="1"/>
      <w:marLeft w:val="0"/>
      <w:marRight w:val="0"/>
      <w:marTop w:val="0"/>
      <w:marBottom w:val="0"/>
      <w:divBdr>
        <w:top w:val="none" w:sz="0" w:space="0" w:color="auto"/>
        <w:left w:val="none" w:sz="0" w:space="0" w:color="auto"/>
        <w:bottom w:val="none" w:sz="0" w:space="0" w:color="auto"/>
        <w:right w:val="none" w:sz="0" w:space="0" w:color="auto"/>
      </w:divBdr>
    </w:div>
    <w:div w:id="1536652511">
      <w:bodyDiv w:val="1"/>
      <w:marLeft w:val="0"/>
      <w:marRight w:val="0"/>
      <w:marTop w:val="0"/>
      <w:marBottom w:val="0"/>
      <w:divBdr>
        <w:top w:val="none" w:sz="0" w:space="0" w:color="auto"/>
        <w:left w:val="none" w:sz="0" w:space="0" w:color="auto"/>
        <w:bottom w:val="none" w:sz="0" w:space="0" w:color="auto"/>
        <w:right w:val="none" w:sz="0" w:space="0" w:color="auto"/>
      </w:divBdr>
    </w:div>
    <w:div w:id="1538156787">
      <w:bodyDiv w:val="1"/>
      <w:marLeft w:val="0"/>
      <w:marRight w:val="0"/>
      <w:marTop w:val="0"/>
      <w:marBottom w:val="0"/>
      <w:divBdr>
        <w:top w:val="none" w:sz="0" w:space="0" w:color="auto"/>
        <w:left w:val="none" w:sz="0" w:space="0" w:color="auto"/>
        <w:bottom w:val="none" w:sz="0" w:space="0" w:color="auto"/>
        <w:right w:val="none" w:sz="0" w:space="0" w:color="auto"/>
      </w:divBdr>
    </w:div>
    <w:div w:id="1539538867">
      <w:bodyDiv w:val="1"/>
      <w:marLeft w:val="0"/>
      <w:marRight w:val="0"/>
      <w:marTop w:val="0"/>
      <w:marBottom w:val="0"/>
      <w:divBdr>
        <w:top w:val="none" w:sz="0" w:space="0" w:color="auto"/>
        <w:left w:val="none" w:sz="0" w:space="0" w:color="auto"/>
        <w:bottom w:val="none" w:sz="0" w:space="0" w:color="auto"/>
        <w:right w:val="none" w:sz="0" w:space="0" w:color="auto"/>
      </w:divBdr>
    </w:div>
    <w:div w:id="1542354945">
      <w:bodyDiv w:val="1"/>
      <w:marLeft w:val="0"/>
      <w:marRight w:val="0"/>
      <w:marTop w:val="0"/>
      <w:marBottom w:val="0"/>
      <w:divBdr>
        <w:top w:val="none" w:sz="0" w:space="0" w:color="auto"/>
        <w:left w:val="none" w:sz="0" w:space="0" w:color="auto"/>
        <w:bottom w:val="none" w:sz="0" w:space="0" w:color="auto"/>
        <w:right w:val="none" w:sz="0" w:space="0" w:color="auto"/>
      </w:divBdr>
    </w:div>
    <w:div w:id="1543250177">
      <w:bodyDiv w:val="1"/>
      <w:marLeft w:val="0"/>
      <w:marRight w:val="0"/>
      <w:marTop w:val="0"/>
      <w:marBottom w:val="0"/>
      <w:divBdr>
        <w:top w:val="none" w:sz="0" w:space="0" w:color="auto"/>
        <w:left w:val="none" w:sz="0" w:space="0" w:color="auto"/>
        <w:bottom w:val="none" w:sz="0" w:space="0" w:color="auto"/>
        <w:right w:val="none" w:sz="0" w:space="0" w:color="auto"/>
      </w:divBdr>
    </w:div>
    <w:div w:id="1544251243">
      <w:bodyDiv w:val="1"/>
      <w:marLeft w:val="0"/>
      <w:marRight w:val="0"/>
      <w:marTop w:val="0"/>
      <w:marBottom w:val="0"/>
      <w:divBdr>
        <w:top w:val="none" w:sz="0" w:space="0" w:color="auto"/>
        <w:left w:val="none" w:sz="0" w:space="0" w:color="auto"/>
        <w:bottom w:val="none" w:sz="0" w:space="0" w:color="auto"/>
        <w:right w:val="none" w:sz="0" w:space="0" w:color="auto"/>
      </w:divBdr>
    </w:div>
    <w:div w:id="1547641283">
      <w:bodyDiv w:val="1"/>
      <w:marLeft w:val="0"/>
      <w:marRight w:val="0"/>
      <w:marTop w:val="0"/>
      <w:marBottom w:val="0"/>
      <w:divBdr>
        <w:top w:val="none" w:sz="0" w:space="0" w:color="auto"/>
        <w:left w:val="none" w:sz="0" w:space="0" w:color="auto"/>
        <w:bottom w:val="none" w:sz="0" w:space="0" w:color="auto"/>
        <w:right w:val="none" w:sz="0" w:space="0" w:color="auto"/>
      </w:divBdr>
    </w:div>
    <w:div w:id="1548949833">
      <w:bodyDiv w:val="1"/>
      <w:marLeft w:val="0"/>
      <w:marRight w:val="0"/>
      <w:marTop w:val="0"/>
      <w:marBottom w:val="0"/>
      <w:divBdr>
        <w:top w:val="none" w:sz="0" w:space="0" w:color="auto"/>
        <w:left w:val="none" w:sz="0" w:space="0" w:color="auto"/>
        <w:bottom w:val="none" w:sz="0" w:space="0" w:color="auto"/>
        <w:right w:val="none" w:sz="0" w:space="0" w:color="auto"/>
      </w:divBdr>
    </w:div>
    <w:div w:id="1550796234">
      <w:bodyDiv w:val="1"/>
      <w:marLeft w:val="0"/>
      <w:marRight w:val="0"/>
      <w:marTop w:val="0"/>
      <w:marBottom w:val="0"/>
      <w:divBdr>
        <w:top w:val="none" w:sz="0" w:space="0" w:color="auto"/>
        <w:left w:val="none" w:sz="0" w:space="0" w:color="auto"/>
        <w:bottom w:val="none" w:sz="0" w:space="0" w:color="auto"/>
        <w:right w:val="none" w:sz="0" w:space="0" w:color="auto"/>
      </w:divBdr>
    </w:div>
    <w:div w:id="1551108296">
      <w:bodyDiv w:val="1"/>
      <w:marLeft w:val="0"/>
      <w:marRight w:val="0"/>
      <w:marTop w:val="0"/>
      <w:marBottom w:val="0"/>
      <w:divBdr>
        <w:top w:val="none" w:sz="0" w:space="0" w:color="auto"/>
        <w:left w:val="none" w:sz="0" w:space="0" w:color="auto"/>
        <w:bottom w:val="none" w:sz="0" w:space="0" w:color="auto"/>
        <w:right w:val="none" w:sz="0" w:space="0" w:color="auto"/>
      </w:divBdr>
    </w:div>
    <w:div w:id="1551452080">
      <w:bodyDiv w:val="1"/>
      <w:marLeft w:val="0"/>
      <w:marRight w:val="0"/>
      <w:marTop w:val="0"/>
      <w:marBottom w:val="0"/>
      <w:divBdr>
        <w:top w:val="none" w:sz="0" w:space="0" w:color="auto"/>
        <w:left w:val="none" w:sz="0" w:space="0" w:color="auto"/>
        <w:bottom w:val="none" w:sz="0" w:space="0" w:color="auto"/>
        <w:right w:val="none" w:sz="0" w:space="0" w:color="auto"/>
      </w:divBdr>
    </w:div>
    <w:div w:id="1552695466">
      <w:bodyDiv w:val="1"/>
      <w:marLeft w:val="0"/>
      <w:marRight w:val="0"/>
      <w:marTop w:val="0"/>
      <w:marBottom w:val="0"/>
      <w:divBdr>
        <w:top w:val="none" w:sz="0" w:space="0" w:color="auto"/>
        <w:left w:val="none" w:sz="0" w:space="0" w:color="auto"/>
        <w:bottom w:val="none" w:sz="0" w:space="0" w:color="auto"/>
        <w:right w:val="none" w:sz="0" w:space="0" w:color="auto"/>
      </w:divBdr>
    </w:div>
    <w:div w:id="1553152233">
      <w:bodyDiv w:val="1"/>
      <w:marLeft w:val="0"/>
      <w:marRight w:val="0"/>
      <w:marTop w:val="0"/>
      <w:marBottom w:val="0"/>
      <w:divBdr>
        <w:top w:val="none" w:sz="0" w:space="0" w:color="auto"/>
        <w:left w:val="none" w:sz="0" w:space="0" w:color="auto"/>
        <w:bottom w:val="none" w:sz="0" w:space="0" w:color="auto"/>
        <w:right w:val="none" w:sz="0" w:space="0" w:color="auto"/>
      </w:divBdr>
    </w:div>
    <w:div w:id="1553418403">
      <w:bodyDiv w:val="1"/>
      <w:marLeft w:val="0"/>
      <w:marRight w:val="0"/>
      <w:marTop w:val="0"/>
      <w:marBottom w:val="0"/>
      <w:divBdr>
        <w:top w:val="none" w:sz="0" w:space="0" w:color="auto"/>
        <w:left w:val="none" w:sz="0" w:space="0" w:color="auto"/>
        <w:bottom w:val="none" w:sz="0" w:space="0" w:color="auto"/>
        <w:right w:val="none" w:sz="0" w:space="0" w:color="auto"/>
      </w:divBdr>
    </w:div>
    <w:div w:id="1553418719">
      <w:bodyDiv w:val="1"/>
      <w:marLeft w:val="0"/>
      <w:marRight w:val="0"/>
      <w:marTop w:val="0"/>
      <w:marBottom w:val="0"/>
      <w:divBdr>
        <w:top w:val="none" w:sz="0" w:space="0" w:color="auto"/>
        <w:left w:val="none" w:sz="0" w:space="0" w:color="auto"/>
        <w:bottom w:val="none" w:sz="0" w:space="0" w:color="auto"/>
        <w:right w:val="none" w:sz="0" w:space="0" w:color="auto"/>
      </w:divBdr>
    </w:div>
    <w:div w:id="1554584806">
      <w:bodyDiv w:val="1"/>
      <w:marLeft w:val="0"/>
      <w:marRight w:val="0"/>
      <w:marTop w:val="0"/>
      <w:marBottom w:val="0"/>
      <w:divBdr>
        <w:top w:val="none" w:sz="0" w:space="0" w:color="auto"/>
        <w:left w:val="none" w:sz="0" w:space="0" w:color="auto"/>
        <w:bottom w:val="none" w:sz="0" w:space="0" w:color="auto"/>
        <w:right w:val="none" w:sz="0" w:space="0" w:color="auto"/>
      </w:divBdr>
    </w:div>
    <w:div w:id="1560818809">
      <w:bodyDiv w:val="1"/>
      <w:marLeft w:val="0"/>
      <w:marRight w:val="0"/>
      <w:marTop w:val="0"/>
      <w:marBottom w:val="0"/>
      <w:divBdr>
        <w:top w:val="none" w:sz="0" w:space="0" w:color="auto"/>
        <w:left w:val="none" w:sz="0" w:space="0" w:color="auto"/>
        <w:bottom w:val="none" w:sz="0" w:space="0" w:color="auto"/>
        <w:right w:val="none" w:sz="0" w:space="0" w:color="auto"/>
      </w:divBdr>
    </w:div>
    <w:div w:id="1564564913">
      <w:bodyDiv w:val="1"/>
      <w:marLeft w:val="0"/>
      <w:marRight w:val="0"/>
      <w:marTop w:val="0"/>
      <w:marBottom w:val="0"/>
      <w:divBdr>
        <w:top w:val="none" w:sz="0" w:space="0" w:color="auto"/>
        <w:left w:val="none" w:sz="0" w:space="0" w:color="auto"/>
        <w:bottom w:val="none" w:sz="0" w:space="0" w:color="auto"/>
        <w:right w:val="none" w:sz="0" w:space="0" w:color="auto"/>
      </w:divBdr>
    </w:div>
    <w:div w:id="1570536149">
      <w:bodyDiv w:val="1"/>
      <w:marLeft w:val="0"/>
      <w:marRight w:val="0"/>
      <w:marTop w:val="0"/>
      <w:marBottom w:val="0"/>
      <w:divBdr>
        <w:top w:val="none" w:sz="0" w:space="0" w:color="auto"/>
        <w:left w:val="none" w:sz="0" w:space="0" w:color="auto"/>
        <w:bottom w:val="none" w:sz="0" w:space="0" w:color="auto"/>
        <w:right w:val="none" w:sz="0" w:space="0" w:color="auto"/>
      </w:divBdr>
    </w:div>
    <w:div w:id="1573856336">
      <w:bodyDiv w:val="1"/>
      <w:marLeft w:val="0"/>
      <w:marRight w:val="0"/>
      <w:marTop w:val="0"/>
      <w:marBottom w:val="0"/>
      <w:divBdr>
        <w:top w:val="none" w:sz="0" w:space="0" w:color="auto"/>
        <w:left w:val="none" w:sz="0" w:space="0" w:color="auto"/>
        <w:bottom w:val="none" w:sz="0" w:space="0" w:color="auto"/>
        <w:right w:val="none" w:sz="0" w:space="0" w:color="auto"/>
      </w:divBdr>
    </w:div>
    <w:div w:id="1573924175">
      <w:bodyDiv w:val="1"/>
      <w:marLeft w:val="0"/>
      <w:marRight w:val="0"/>
      <w:marTop w:val="0"/>
      <w:marBottom w:val="0"/>
      <w:divBdr>
        <w:top w:val="none" w:sz="0" w:space="0" w:color="auto"/>
        <w:left w:val="none" w:sz="0" w:space="0" w:color="auto"/>
        <w:bottom w:val="none" w:sz="0" w:space="0" w:color="auto"/>
        <w:right w:val="none" w:sz="0" w:space="0" w:color="auto"/>
      </w:divBdr>
    </w:div>
    <w:div w:id="1575318389">
      <w:bodyDiv w:val="1"/>
      <w:marLeft w:val="0"/>
      <w:marRight w:val="0"/>
      <w:marTop w:val="0"/>
      <w:marBottom w:val="0"/>
      <w:divBdr>
        <w:top w:val="none" w:sz="0" w:space="0" w:color="auto"/>
        <w:left w:val="none" w:sz="0" w:space="0" w:color="auto"/>
        <w:bottom w:val="none" w:sz="0" w:space="0" w:color="auto"/>
        <w:right w:val="none" w:sz="0" w:space="0" w:color="auto"/>
      </w:divBdr>
    </w:div>
    <w:div w:id="1576863423">
      <w:bodyDiv w:val="1"/>
      <w:marLeft w:val="0"/>
      <w:marRight w:val="0"/>
      <w:marTop w:val="0"/>
      <w:marBottom w:val="0"/>
      <w:divBdr>
        <w:top w:val="none" w:sz="0" w:space="0" w:color="auto"/>
        <w:left w:val="none" w:sz="0" w:space="0" w:color="auto"/>
        <w:bottom w:val="none" w:sz="0" w:space="0" w:color="auto"/>
        <w:right w:val="none" w:sz="0" w:space="0" w:color="auto"/>
      </w:divBdr>
    </w:div>
    <w:div w:id="1577130877">
      <w:bodyDiv w:val="1"/>
      <w:marLeft w:val="0"/>
      <w:marRight w:val="0"/>
      <w:marTop w:val="0"/>
      <w:marBottom w:val="0"/>
      <w:divBdr>
        <w:top w:val="none" w:sz="0" w:space="0" w:color="auto"/>
        <w:left w:val="none" w:sz="0" w:space="0" w:color="auto"/>
        <w:bottom w:val="none" w:sz="0" w:space="0" w:color="auto"/>
        <w:right w:val="none" w:sz="0" w:space="0" w:color="auto"/>
      </w:divBdr>
    </w:div>
    <w:div w:id="1579249063">
      <w:bodyDiv w:val="1"/>
      <w:marLeft w:val="0"/>
      <w:marRight w:val="0"/>
      <w:marTop w:val="0"/>
      <w:marBottom w:val="0"/>
      <w:divBdr>
        <w:top w:val="none" w:sz="0" w:space="0" w:color="auto"/>
        <w:left w:val="none" w:sz="0" w:space="0" w:color="auto"/>
        <w:bottom w:val="none" w:sz="0" w:space="0" w:color="auto"/>
        <w:right w:val="none" w:sz="0" w:space="0" w:color="auto"/>
      </w:divBdr>
    </w:div>
    <w:div w:id="1579554088">
      <w:bodyDiv w:val="1"/>
      <w:marLeft w:val="0"/>
      <w:marRight w:val="0"/>
      <w:marTop w:val="0"/>
      <w:marBottom w:val="0"/>
      <w:divBdr>
        <w:top w:val="none" w:sz="0" w:space="0" w:color="auto"/>
        <w:left w:val="none" w:sz="0" w:space="0" w:color="auto"/>
        <w:bottom w:val="none" w:sz="0" w:space="0" w:color="auto"/>
        <w:right w:val="none" w:sz="0" w:space="0" w:color="auto"/>
      </w:divBdr>
    </w:div>
    <w:div w:id="1579633056">
      <w:bodyDiv w:val="1"/>
      <w:marLeft w:val="0"/>
      <w:marRight w:val="0"/>
      <w:marTop w:val="0"/>
      <w:marBottom w:val="0"/>
      <w:divBdr>
        <w:top w:val="none" w:sz="0" w:space="0" w:color="auto"/>
        <w:left w:val="none" w:sz="0" w:space="0" w:color="auto"/>
        <w:bottom w:val="none" w:sz="0" w:space="0" w:color="auto"/>
        <w:right w:val="none" w:sz="0" w:space="0" w:color="auto"/>
      </w:divBdr>
    </w:div>
    <w:div w:id="1580556928">
      <w:bodyDiv w:val="1"/>
      <w:marLeft w:val="0"/>
      <w:marRight w:val="0"/>
      <w:marTop w:val="0"/>
      <w:marBottom w:val="0"/>
      <w:divBdr>
        <w:top w:val="none" w:sz="0" w:space="0" w:color="auto"/>
        <w:left w:val="none" w:sz="0" w:space="0" w:color="auto"/>
        <w:bottom w:val="none" w:sz="0" w:space="0" w:color="auto"/>
        <w:right w:val="none" w:sz="0" w:space="0" w:color="auto"/>
      </w:divBdr>
    </w:div>
    <w:div w:id="1583952208">
      <w:bodyDiv w:val="1"/>
      <w:marLeft w:val="0"/>
      <w:marRight w:val="0"/>
      <w:marTop w:val="0"/>
      <w:marBottom w:val="0"/>
      <w:divBdr>
        <w:top w:val="none" w:sz="0" w:space="0" w:color="auto"/>
        <w:left w:val="none" w:sz="0" w:space="0" w:color="auto"/>
        <w:bottom w:val="none" w:sz="0" w:space="0" w:color="auto"/>
        <w:right w:val="none" w:sz="0" w:space="0" w:color="auto"/>
      </w:divBdr>
    </w:div>
    <w:div w:id="1585648244">
      <w:bodyDiv w:val="1"/>
      <w:marLeft w:val="0"/>
      <w:marRight w:val="0"/>
      <w:marTop w:val="0"/>
      <w:marBottom w:val="0"/>
      <w:divBdr>
        <w:top w:val="none" w:sz="0" w:space="0" w:color="auto"/>
        <w:left w:val="none" w:sz="0" w:space="0" w:color="auto"/>
        <w:bottom w:val="none" w:sz="0" w:space="0" w:color="auto"/>
        <w:right w:val="none" w:sz="0" w:space="0" w:color="auto"/>
      </w:divBdr>
    </w:div>
    <w:div w:id="1591501058">
      <w:bodyDiv w:val="1"/>
      <w:marLeft w:val="0"/>
      <w:marRight w:val="0"/>
      <w:marTop w:val="0"/>
      <w:marBottom w:val="0"/>
      <w:divBdr>
        <w:top w:val="none" w:sz="0" w:space="0" w:color="auto"/>
        <w:left w:val="none" w:sz="0" w:space="0" w:color="auto"/>
        <w:bottom w:val="none" w:sz="0" w:space="0" w:color="auto"/>
        <w:right w:val="none" w:sz="0" w:space="0" w:color="auto"/>
      </w:divBdr>
    </w:div>
    <w:div w:id="1591813870">
      <w:bodyDiv w:val="1"/>
      <w:marLeft w:val="0"/>
      <w:marRight w:val="0"/>
      <w:marTop w:val="0"/>
      <w:marBottom w:val="0"/>
      <w:divBdr>
        <w:top w:val="none" w:sz="0" w:space="0" w:color="auto"/>
        <w:left w:val="none" w:sz="0" w:space="0" w:color="auto"/>
        <w:bottom w:val="none" w:sz="0" w:space="0" w:color="auto"/>
        <w:right w:val="none" w:sz="0" w:space="0" w:color="auto"/>
      </w:divBdr>
    </w:div>
    <w:div w:id="1592228761">
      <w:bodyDiv w:val="1"/>
      <w:marLeft w:val="0"/>
      <w:marRight w:val="0"/>
      <w:marTop w:val="0"/>
      <w:marBottom w:val="0"/>
      <w:divBdr>
        <w:top w:val="none" w:sz="0" w:space="0" w:color="auto"/>
        <w:left w:val="none" w:sz="0" w:space="0" w:color="auto"/>
        <w:bottom w:val="none" w:sz="0" w:space="0" w:color="auto"/>
        <w:right w:val="none" w:sz="0" w:space="0" w:color="auto"/>
      </w:divBdr>
    </w:div>
    <w:div w:id="1592426186">
      <w:bodyDiv w:val="1"/>
      <w:marLeft w:val="0"/>
      <w:marRight w:val="0"/>
      <w:marTop w:val="0"/>
      <w:marBottom w:val="0"/>
      <w:divBdr>
        <w:top w:val="none" w:sz="0" w:space="0" w:color="auto"/>
        <w:left w:val="none" w:sz="0" w:space="0" w:color="auto"/>
        <w:bottom w:val="none" w:sz="0" w:space="0" w:color="auto"/>
        <w:right w:val="none" w:sz="0" w:space="0" w:color="auto"/>
      </w:divBdr>
    </w:div>
    <w:div w:id="1592666601">
      <w:bodyDiv w:val="1"/>
      <w:marLeft w:val="0"/>
      <w:marRight w:val="0"/>
      <w:marTop w:val="0"/>
      <w:marBottom w:val="0"/>
      <w:divBdr>
        <w:top w:val="none" w:sz="0" w:space="0" w:color="auto"/>
        <w:left w:val="none" w:sz="0" w:space="0" w:color="auto"/>
        <w:bottom w:val="none" w:sz="0" w:space="0" w:color="auto"/>
        <w:right w:val="none" w:sz="0" w:space="0" w:color="auto"/>
      </w:divBdr>
    </w:div>
    <w:div w:id="1592934379">
      <w:bodyDiv w:val="1"/>
      <w:marLeft w:val="0"/>
      <w:marRight w:val="0"/>
      <w:marTop w:val="0"/>
      <w:marBottom w:val="0"/>
      <w:divBdr>
        <w:top w:val="none" w:sz="0" w:space="0" w:color="auto"/>
        <w:left w:val="none" w:sz="0" w:space="0" w:color="auto"/>
        <w:bottom w:val="none" w:sz="0" w:space="0" w:color="auto"/>
        <w:right w:val="none" w:sz="0" w:space="0" w:color="auto"/>
      </w:divBdr>
    </w:div>
    <w:div w:id="1595089035">
      <w:bodyDiv w:val="1"/>
      <w:marLeft w:val="0"/>
      <w:marRight w:val="0"/>
      <w:marTop w:val="0"/>
      <w:marBottom w:val="0"/>
      <w:divBdr>
        <w:top w:val="none" w:sz="0" w:space="0" w:color="auto"/>
        <w:left w:val="none" w:sz="0" w:space="0" w:color="auto"/>
        <w:bottom w:val="none" w:sz="0" w:space="0" w:color="auto"/>
        <w:right w:val="none" w:sz="0" w:space="0" w:color="auto"/>
      </w:divBdr>
    </w:div>
    <w:div w:id="1595629891">
      <w:bodyDiv w:val="1"/>
      <w:marLeft w:val="0"/>
      <w:marRight w:val="0"/>
      <w:marTop w:val="0"/>
      <w:marBottom w:val="0"/>
      <w:divBdr>
        <w:top w:val="none" w:sz="0" w:space="0" w:color="auto"/>
        <w:left w:val="none" w:sz="0" w:space="0" w:color="auto"/>
        <w:bottom w:val="none" w:sz="0" w:space="0" w:color="auto"/>
        <w:right w:val="none" w:sz="0" w:space="0" w:color="auto"/>
      </w:divBdr>
    </w:div>
    <w:div w:id="1596940356">
      <w:bodyDiv w:val="1"/>
      <w:marLeft w:val="0"/>
      <w:marRight w:val="0"/>
      <w:marTop w:val="0"/>
      <w:marBottom w:val="0"/>
      <w:divBdr>
        <w:top w:val="none" w:sz="0" w:space="0" w:color="auto"/>
        <w:left w:val="none" w:sz="0" w:space="0" w:color="auto"/>
        <w:bottom w:val="none" w:sz="0" w:space="0" w:color="auto"/>
        <w:right w:val="none" w:sz="0" w:space="0" w:color="auto"/>
      </w:divBdr>
    </w:div>
    <w:div w:id="1597060859">
      <w:bodyDiv w:val="1"/>
      <w:marLeft w:val="0"/>
      <w:marRight w:val="0"/>
      <w:marTop w:val="0"/>
      <w:marBottom w:val="0"/>
      <w:divBdr>
        <w:top w:val="none" w:sz="0" w:space="0" w:color="auto"/>
        <w:left w:val="none" w:sz="0" w:space="0" w:color="auto"/>
        <w:bottom w:val="none" w:sz="0" w:space="0" w:color="auto"/>
        <w:right w:val="none" w:sz="0" w:space="0" w:color="auto"/>
      </w:divBdr>
    </w:div>
    <w:div w:id="1597714567">
      <w:bodyDiv w:val="1"/>
      <w:marLeft w:val="0"/>
      <w:marRight w:val="0"/>
      <w:marTop w:val="0"/>
      <w:marBottom w:val="0"/>
      <w:divBdr>
        <w:top w:val="none" w:sz="0" w:space="0" w:color="auto"/>
        <w:left w:val="none" w:sz="0" w:space="0" w:color="auto"/>
        <w:bottom w:val="none" w:sz="0" w:space="0" w:color="auto"/>
        <w:right w:val="none" w:sz="0" w:space="0" w:color="auto"/>
      </w:divBdr>
    </w:div>
    <w:div w:id="1598633823">
      <w:bodyDiv w:val="1"/>
      <w:marLeft w:val="0"/>
      <w:marRight w:val="0"/>
      <w:marTop w:val="0"/>
      <w:marBottom w:val="0"/>
      <w:divBdr>
        <w:top w:val="none" w:sz="0" w:space="0" w:color="auto"/>
        <w:left w:val="none" w:sz="0" w:space="0" w:color="auto"/>
        <w:bottom w:val="none" w:sz="0" w:space="0" w:color="auto"/>
        <w:right w:val="none" w:sz="0" w:space="0" w:color="auto"/>
      </w:divBdr>
    </w:div>
    <w:div w:id="1599094823">
      <w:bodyDiv w:val="1"/>
      <w:marLeft w:val="0"/>
      <w:marRight w:val="0"/>
      <w:marTop w:val="0"/>
      <w:marBottom w:val="0"/>
      <w:divBdr>
        <w:top w:val="none" w:sz="0" w:space="0" w:color="auto"/>
        <w:left w:val="none" w:sz="0" w:space="0" w:color="auto"/>
        <w:bottom w:val="none" w:sz="0" w:space="0" w:color="auto"/>
        <w:right w:val="none" w:sz="0" w:space="0" w:color="auto"/>
      </w:divBdr>
    </w:div>
    <w:div w:id="1599554863">
      <w:bodyDiv w:val="1"/>
      <w:marLeft w:val="0"/>
      <w:marRight w:val="0"/>
      <w:marTop w:val="0"/>
      <w:marBottom w:val="0"/>
      <w:divBdr>
        <w:top w:val="none" w:sz="0" w:space="0" w:color="auto"/>
        <w:left w:val="none" w:sz="0" w:space="0" w:color="auto"/>
        <w:bottom w:val="none" w:sz="0" w:space="0" w:color="auto"/>
        <w:right w:val="none" w:sz="0" w:space="0" w:color="auto"/>
      </w:divBdr>
    </w:div>
    <w:div w:id="1600409892">
      <w:bodyDiv w:val="1"/>
      <w:marLeft w:val="0"/>
      <w:marRight w:val="0"/>
      <w:marTop w:val="0"/>
      <w:marBottom w:val="0"/>
      <w:divBdr>
        <w:top w:val="none" w:sz="0" w:space="0" w:color="auto"/>
        <w:left w:val="none" w:sz="0" w:space="0" w:color="auto"/>
        <w:bottom w:val="none" w:sz="0" w:space="0" w:color="auto"/>
        <w:right w:val="none" w:sz="0" w:space="0" w:color="auto"/>
      </w:divBdr>
    </w:div>
    <w:div w:id="1602831432">
      <w:bodyDiv w:val="1"/>
      <w:marLeft w:val="0"/>
      <w:marRight w:val="0"/>
      <w:marTop w:val="0"/>
      <w:marBottom w:val="0"/>
      <w:divBdr>
        <w:top w:val="none" w:sz="0" w:space="0" w:color="auto"/>
        <w:left w:val="none" w:sz="0" w:space="0" w:color="auto"/>
        <w:bottom w:val="none" w:sz="0" w:space="0" w:color="auto"/>
        <w:right w:val="none" w:sz="0" w:space="0" w:color="auto"/>
      </w:divBdr>
    </w:div>
    <w:div w:id="1604261418">
      <w:bodyDiv w:val="1"/>
      <w:marLeft w:val="0"/>
      <w:marRight w:val="0"/>
      <w:marTop w:val="0"/>
      <w:marBottom w:val="0"/>
      <w:divBdr>
        <w:top w:val="none" w:sz="0" w:space="0" w:color="auto"/>
        <w:left w:val="none" w:sz="0" w:space="0" w:color="auto"/>
        <w:bottom w:val="none" w:sz="0" w:space="0" w:color="auto"/>
        <w:right w:val="none" w:sz="0" w:space="0" w:color="auto"/>
      </w:divBdr>
    </w:div>
    <w:div w:id="1606569328">
      <w:bodyDiv w:val="1"/>
      <w:marLeft w:val="0"/>
      <w:marRight w:val="0"/>
      <w:marTop w:val="0"/>
      <w:marBottom w:val="0"/>
      <w:divBdr>
        <w:top w:val="none" w:sz="0" w:space="0" w:color="auto"/>
        <w:left w:val="none" w:sz="0" w:space="0" w:color="auto"/>
        <w:bottom w:val="none" w:sz="0" w:space="0" w:color="auto"/>
        <w:right w:val="none" w:sz="0" w:space="0" w:color="auto"/>
      </w:divBdr>
    </w:div>
    <w:div w:id="1608998826">
      <w:bodyDiv w:val="1"/>
      <w:marLeft w:val="0"/>
      <w:marRight w:val="0"/>
      <w:marTop w:val="0"/>
      <w:marBottom w:val="0"/>
      <w:divBdr>
        <w:top w:val="none" w:sz="0" w:space="0" w:color="auto"/>
        <w:left w:val="none" w:sz="0" w:space="0" w:color="auto"/>
        <w:bottom w:val="none" w:sz="0" w:space="0" w:color="auto"/>
        <w:right w:val="none" w:sz="0" w:space="0" w:color="auto"/>
      </w:divBdr>
    </w:div>
    <w:div w:id="1609509392">
      <w:bodyDiv w:val="1"/>
      <w:marLeft w:val="0"/>
      <w:marRight w:val="0"/>
      <w:marTop w:val="0"/>
      <w:marBottom w:val="0"/>
      <w:divBdr>
        <w:top w:val="none" w:sz="0" w:space="0" w:color="auto"/>
        <w:left w:val="none" w:sz="0" w:space="0" w:color="auto"/>
        <w:bottom w:val="none" w:sz="0" w:space="0" w:color="auto"/>
        <w:right w:val="none" w:sz="0" w:space="0" w:color="auto"/>
      </w:divBdr>
    </w:div>
    <w:div w:id="1609582122">
      <w:bodyDiv w:val="1"/>
      <w:marLeft w:val="0"/>
      <w:marRight w:val="0"/>
      <w:marTop w:val="0"/>
      <w:marBottom w:val="0"/>
      <w:divBdr>
        <w:top w:val="none" w:sz="0" w:space="0" w:color="auto"/>
        <w:left w:val="none" w:sz="0" w:space="0" w:color="auto"/>
        <w:bottom w:val="none" w:sz="0" w:space="0" w:color="auto"/>
        <w:right w:val="none" w:sz="0" w:space="0" w:color="auto"/>
      </w:divBdr>
    </w:div>
    <w:div w:id="1614903324">
      <w:bodyDiv w:val="1"/>
      <w:marLeft w:val="0"/>
      <w:marRight w:val="0"/>
      <w:marTop w:val="0"/>
      <w:marBottom w:val="0"/>
      <w:divBdr>
        <w:top w:val="none" w:sz="0" w:space="0" w:color="auto"/>
        <w:left w:val="none" w:sz="0" w:space="0" w:color="auto"/>
        <w:bottom w:val="none" w:sz="0" w:space="0" w:color="auto"/>
        <w:right w:val="none" w:sz="0" w:space="0" w:color="auto"/>
      </w:divBdr>
    </w:div>
    <w:div w:id="1615671149">
      <w:bodyDiv w:val="1"/>
      <w:marLeft w:val="0"/>
      <w:marRight w:val="0"/>
      <w:marTop w:val="0"/>
      <w:marBottom w:val="0"/>
      <w:divBdr>
        <w:top w:val="none" w:sz="0" w:space="0" w:color="auto"/>
        <w:left w:val="none" w:sz="0" w:space="0" w:color="auto"/>
        <w:bottom w:val="none" w:sz="0" w:space="0" w:color="auto"/>
        <w:right w:val="none" w:sz="0" w:space="0" w:color="auto"/>
      </w:divBdr>
    </w:div>
    <w:div w:id="1616213982">
      <w:bodyDiv w:val="1"/>
      <w:marLeft w:val="0"/>
      <w:marRight w:val="0"/>
      <w:marTop w:val="0"/>
      <w:marBottom w:val="0"/>
      <w:divBdr>
        <w:top w:val="none" w:sz="0" w:space="0" w:color="auto"/>
        <w:left w:val="none" w:sz="0" w:space="0" w:color="auto"/>
        <w:bottom w:val="none" w:sz="0" w:space="0" w:color="auto"/>
        <w:right w:val="none" w:sz="0" w:space="0" w:color="auto"/>
      </w:divBdr>
    </w:div>
    <w:div w:id="1617063368">
      <w:bodyDiv w:val="1"/>
      <w:marLeft w:val="0"/>
      <w:marRight w:val="0"/>
      <w:marTop w:val="0"/>
      <w:marBottom w:val="0"/>
      <w:divBdr>
        <w:top w:val="none" w:sz="0" w:space="0" w:color="auto"/>
        <w:left w:val="none" w:sz="0" w:space="0" w:color="auto"/>
        <w:bottom w:val="none" w:sz="0" w:space="0" w:color="auto"/>
        <w:right w:val="none" w:sz="0" w:space="0" w:color="auto"/>
      </w:divBdr>
    </w:div>
    <w:div w:id="1617250154">
      <w:bodyDiv w:val="1"/>
      <w:marLeft w:val="0"/>
      <w:marRight w:val="0"/>
      <w:marTop w:val="0"/>
      <w:marBottom w:val="0"/>
      <w:divBdr>
        <w:top w:val="none" w:sz="0" w:space="0" w:color="auto"/>
        <w:left w:val="none" w:sz="0" w:space="0" w:color="auto"/>
        <w:bottom w:val="none" w:sz="0" w:space="0" w:color="auto"/>
        <w:right w:val="none" w:sz="0" w:space="0" w:color="auto"/>
      </w:divBdr>
    </w:div>
    <w:div w:id="1619022546">
      <w:bodyDiv w:val="1"/>
      <w:marLeft w:val="0"/>
      <w:marRight w:val="0"/>
      <w:marTop w:val="0"/>
      <w:marBottom w:val="0"/>
      <w:divBdr>
        <w:top w:val="none" w:sz="0" w:space="0" w:color="auto"/>
        <w:left w:val="none" w:sz="0" w:space="0" w:color="auto"/>
        <w:bottom w:val="none" w:sz="0" w:space="0" w:color="auto"/>
        <w:right w:val="none" w:sz="0" w:space="0" w:color="auto"/>
      </w:divBdr>
    </w:div>
    <w:div w:id="1620450632">
      <w:bodyDiv w:val="1"/>
      <w:marLeft w:val="0"/>
      <w:marRight w:val="0"/>
      <w:marTop w:val="0"/>
      <w:marBottom w:val="0"/>
      <w:divBdr>
        <w:top w:val="none" w:sz="0" w:space="0" w:color="auto"/>
        <w:left w:val="none" w:sz="0" w:space="0" w:color="auto"/>
        <w:bottom w:val="none" w:sz="0" w:space="0" w:color="auto"/>
        <w:right w:val="none" w:sz="0" w:space="0" w:color="auto"/>
      </w:divBdr>
    </w:div>
    <w:div w:id="1623028054">
      <w:bodyDiv w:val="1"/>
      <w:marLeft w:val="0"/>
      <w:marRight w:val="0"/>
      <w:marTop w:val="0"/>
      <w:marBottom w:val="0"/>
      <w:divBdr>
        <w:top w:val="none" w:sz="0" w:space="0" w:color="auto"/>
        <w:left w:val="none" w:sz="0" w:space="0" w:color="auto"/>
        <w:bottom w:val="none" w:sz="0" w:space="0" w:color="auto"/>
        <w:right w:val="none" w:sz="0" w:space="0" w:color="auto"/>
      </w:divBdr>
    </w:div>
    <w:div w:id="1625228457">
      <w:bodyDiv w:val="1"/>
      <w:marLeft w:val="0"/>
      <w:marRight w:val="0"/>
      <w:marTop w:val="0"/>
      <w:marBottom w:val="0"/>
      <w:divBdr>
        <w:top w:val="none" w:sz="0" w:space="0" w:color="auto"/>
        <w:left w:val="none" w:sz="0" w:space="0" w:color="auto"/>
        <w:bottom w:val="none" w:sz="0" w:space="0" w:color="auto"/>
        <w:right w:val="none" w:sz="0" w:space="0" w:color="auto"/>
      </w:divBdr>
    </w:div>
    <w:div w:id="1625232978">
      <w:bodyDiv w:val="1"/>
      <w:marLeft w:val="0"/>
      <w:marRight w:val="0"/>
      <w:marTop w:val="0"/>
      <w:marBottom w:val="0"/>
      <w:divBdr>
        <w:top w:val="none" w:sz="0" w:space="0" w:color="auto"/>
        <w:left w:val="none" w:sz="0" w:space="0" w:color="auto"/>
        <w:bottom w:val="none" w:sz="0" w:space="0" w:color="auto"/>
        <w:right w:val="none" w:sz="0" w:space="0" w:color="auto"/>
      </w:divBdr>
    </w:div>
    <w:div w:id="1626623043">
      <w:bodyDiv w:val="1"/>
      <w:marLeft w:val="0"/>
      <w:marRight w:val="0"/>
      <w:marTop w:val="0"/>
      <w:marBottom w:val="0"/>
      <w:divBdr>
        <w:top w:val="none" w:sz="0" w:space="0" w:color="auto"/>
        <w:left w:val="none" w:sz="0" w:space="0" w:color="auto"/>
        <w:bottom w:val="none" w:sz="0" w:space="0" w:color="auto"/>
        <w:right w:val="none" w:sz="0" w:space="0" w:color="auto"/>
      </w:divBdr>
    </w:div>
    <w:div w:id="1627852552">
      <w:bodyDiv w:val="1"/>
      <w:marLeft w:val="0"/>
      <w:marRight w:val="0"/>
      <w:marTop w:val="0"/>
      <w:marBottom w:val="0"/>
      <w:divBdr>
        <w:top w:val="none" w:sz="0" w:space="0" w:color="auto"/>
        <w:left w:val="none" w:sz="0" w:space="0" w:color="auto"/>
        <w:bottom w:val="none" w:sz="0" w:space="0" w:color="auto"/>
        <w:right w:val="none" w:sz="0" w:space="0" w:color="auto"/>
      </w:divBdr>
    </w:div>
    <w:div w:id="1631474480">
      <w:bodyDiv w:val="1"/>
      <w:marLeft w:val="0"/>
      <w:marRight w:val="0"/>
      <w:marTop w:val="0"/>
      <w:marBottom w:val="0"/>
      <w:divBdr>
        <w:top w:val="none" w:sz="0" w:space="0" w:color="auto"/>
        <w:left w:val="none" w:sz="0" w:space="0" w:color="auto"/>
        <w:bottom w:val="none" w:sz="0" w:space="0" w:color="auto"/>
        <w:right w:val="none" w:sz="0" w:space="0" w:color="auto"/>
      </w:divBdr>
    </w:div>
    <w:div w:id="1634825194">
      <w:bodyDiv w:val="1"/>
      <w:marLeft w:val="0"/>
      <w:marRight w:val="0"/>
      <w:marTop w:val="0"/>
      <w:marBottom w:val="0"/>
      <w:divBdr>
        <w:top w:val="none" w:sz="0" w:space="0" w:color="auto"/>
        <w:left w:val="none" w:sz="0" w:space="0" w:color="auto"/>
        <w:bottom w:val="none" w:sz="0" w:space="0" w:color="auto"/>
        <w:right w:val="none" w:sz="0" w:space="0" w:color="auto"/>
      </w:divBdr>
    </w:div>
    <w:div w:id="1636255617">
      <w:bodyDiv w:val="1"/>
      <w:marLeft w:val="0"/>
      <w:marRight w:val="0"/>
      <w:marTop w:val="0"/>
      <w:marBottom w:val="0"/>
      <w:divBdr>
        <w:top w:val="none" w:sz="0" w:space="0" w:color="auto"/>
        <w:left w:val="none" w:sz="0" w:space="0" w:color="auto"/>
        <w:bottom w:val="none" w:sz="0" w:space="0" w:color="auto"/>
        <w:right w:val="none" w:sz="0" w:space="0" w:color="auto"/>
      </w:divBdr>
    </w:div>
    <w:div w:id="1638611296">
      <w:bodyDiv w:val="1"/>
      <w:marLeft w:val="0"/>
      <w:marRight w:val="0"/>
      <w:marTop w:val="0"/>
      <w:marBottom w:val="0"/>
      <w:divBdr>
        <w:top w:val="none" w:sz="0" w:space="0" w:color="auto"/>
        <w:left w:val="none" w:sz="0" w:space="0" w:color="auto"/>
        <w:bottom w:val="none" w:sz="0" w:space="0" w:color="auto"/>
        <w:right w:val="none" w:sz="0" w:space="0" w:color="auto"/>
      </w:divBdr>
    </w:div>
    <w:div w:id="1639649172">
      <w:bodyDiv w:val="1"/>
      <w:marLeft w:val="0"/>
      <w:marRight w:val="0"/>
      <w:marTop w:val="0"/>
      <w:marBottom w:val="0"/>
      <w:divBdr>
        <w:top w:val="none" w:sz="0" w:space="0" w:color="auto"/>
        <w:left w:val="none" w:sz="0" w:space="0" w:color="auto"/>
        <w:bottom w:val="none" w:sz="0" w:space="0" w:color="auto"/>
        <w:right w:val="none" w:sz="0" w:space="0" w:color="auto"/>
      </w:divBdr>
    </w:div>
    <w:div w:id="1640452317">
      <w:bodyDiv w:val="1"/>
      <w:marLeft w:val="0"/>
      <w:marRight w:val="0"/>
      <w:marTop w:val="0"/>
      <w:marBottom w:val="0"/>
      <w:divBdr>
        <w:top w:val="none" w:sz="0" w:space="0" w:color="auto"/>
        <w:left w:val="none" w:sz="0" w:space="0" w:color="auto"/>
        <w:bottom w:val="none" w:sz="0" w:space="0" w:color="auto"/>
        <w:right w:val="none" w:sz="0" w:space="0" w:color="auto"/>
      </w:divBdr>
    </w:div>
    <w:div w:id="1641576056">
      <w:bodyDiv w:val="1"/>
      <w:marLeft w:val="0"/>
      <w:marRight w:val="0"/>
      <w:marTop w:val="0"/>
      <w:marBottom w:val="0"/>
      <w:divBdr>
        <w:top w:val="none" w:sz="0" w:space="0" w:color="auto"/>
        <w:left w:val="none" w:sz="0" w:space="0" w:color="auto"/>
        <w:bottom w:val="none" w:sz="0" w:space="0" w:color="auto"/>
        <w:right w:val="none" w:sz="0" w:space="0" w:color="auto"/>
      </w:divBdr>
    </w:div>
    <w:div w:id="1641614274">
      <w:bodyDiv w:val="1"/>
      <w:marLeft w:val="0"/>
      <w:marRight w:val="0"/>
      <w:marTop w:val="0"/>
      <w:marBottom w:val="0"/>
      <w:divBdr>
        <w:top w:val="none" w:sz="0" w:space="0" w:color="auto"/>
        <w:left w:val="none" w:sz="0" w:space="0" w:color="auto"/>
        <w:bottom w:val="none" w:sz="0" w:space="0" w:color="auto"/>
        <w:right w:val="none" w:sz="0" w:space="0" w:color="auto"/>
      </w:divBdr>
    </w:div>
    <w:div w:id="1642687686">
      <w:bodyDiv w:val="1"/>
      <w:marLeft w:val="0"/>
      <w:marRight w:val="0"/>
      <w:marTop w:val="0"/>
      <w:marBottom w:val="0"/>
      <w:divBdr>
        <w:top w:val="none" w:sz="0" w:space="0" w:color="auto"/>
        <w:left w:val="none" w:sz="0" w:space="0" w:color="auto"/>
        <w:bottom w:val="none" w:sz="0" w:space="0" w:color="auto"/>
        <w:right w:val="none" w:sz="0" w:space="0" w:color="auto"/>
      </w:divBdr>
    </w:div>
    <w:div w:id="1643844694">
      <w:bodyDiv w:val="1"/>
      <w:marLeft w:val="0"/>
      <w:marRight w:val="0"/>
      <w:marTop w:val="0"/>
      <w:marBottom w:val="0"/>
      <w:divBdr>
        <w:top w:val="none" w:sz="0" w:space="0" w:color="auto"/>
        <w:left w:val="none" w:sz="0" w:space="0" w:color="auto"/>
        <w:bottom w:val="none" w:sz="0" w:space="0" w:color="auto"/>
        <w:right w:val="none" w:sz="0" w:space="0" w:color="auto"/>
      </w:divBdr>
    </w:div>
    <w:div w:id="1645351457">
      <w:bodyDiv w:val="1"/>
      <w:marLeft w:val="0"/>
      <w:marRight w:val="0"/>
      <w:marTop w:val="0"/>
      <w:marBottom w:val="0"/>
      <w:divBdr>
        <w:top w:val="none" w:sz="0" w:space="0" w:color="auto"/>
        <w:left w:val="none" w:sz="0" w:space="0" w:color="auto"/>
        <w:bottom w:val="none" w:sz="0" w:space="0" w:color="auto"/>
        <w:right w:val="none" w:sz="0" w:space="0" w:color="auto"/>
      </w:divBdr>
    </w:div>
    <w:div w:id="1646012417">
      <w:bodyDiv w:val="1"/>
      <w:marLeft w:val="0"/>
      <w:marRight w:val="0"/>
      <w:marTop w:val="0"/>
      <w:marBottom w:val="0"/>
      <w:divBdr>
        <w:top w:val="none" w:sz="0" w:space="0" w:color="auto"/>
        <w:left w:val="none" w:sz="0" w:space="0" w:color="auto"/>
        <w:bottom w:val="none" w:sz="0" w:space="0" w:color="auto"/>
        <w:right w:val="none" w:sz="0" w:space="0" w:color="auto"/>
      </w:divBdr>
    </w:div>
    <w:div w:id="1646663035">
      <w:bodyDiv w:val="1"/>
      <w:marLeft w:val="0"/>
      <w:marRight w:val="0"/>
      <w:marTop w:val="0"/>
      <w:marBottom w:val="0"/>
      <w:divBdr>
        <w:top w:val="none" w:sz="0" w:space="0" w:color="auto"/>
        <w:left w:val="none" w:sz="0" w:space="0" w:color="auto"/>
        <w:bottom w:val="none" w:sz="0" w:space="0" w:color="auto"/>
        <w:right w:val="none" w:sz="0" w:space="0" w:color="auto"/>
      </w:divBdr>
    </w:div>
    <w:div w:id="1648589006">
      <w:bodyDiv w:val="1"/>
      <w:marLeft w:val="0"/>
      <w:marRight w:val="0"/>
      <w:marTop w:val="0"/>
      <w:marBottom w:val="0"/>
      <w:divBdr>
        <w:top w:val="none" w:sz="0" w:space="0" w:color="auto"/>
        <w:left w:val="none" w:sz="0" w:space="0" w:color="auto"/>
        <w:bottom w:val="none" w:sz="0" w:space="0" w:color="auto"/>
        <w:right w:val="none" w:sz="0" w:space="0" w:color="auto"/>
      </w:divBdr>
    </w:div>
    <w:div w:id="1654329204">
      <w:bodyDiv w:val="1"/>
      <w:marLeft w:val="0"/>
      <w:marRight w:val="0"/>
      <w:marTop w:val="0"/>
      <w:marBottom w:val="0"/>
      <w:divBdr>
        <w:top w:val="none" w:sz="0" w:space="0" w:color="auto"/>
        <w:left w:val="none" w:sz="0" w:space="0" w:color="auto"/>
        <w:bottom w:val="none" w:sz="0" w:space="0" w:color="auto"/>
        <w:right w:val="none" w:sz="0" w:space="0" w:color="auto"/>
      </w:divBdr>
    </w:div>
    <w:div w:id="1656836811">
      <w:bodyDiv w:val="1"/>
      <w:marLeft w:val="0"/>
      <w:marRight w:val="0"/>
      <w:marTop w:val="0"/>
      <w:marBottom w:val="0"/>
      <w:divBdr>
        <w:top w:val="none" w:sz="0" w:space="0" w:color="auto"/>
        <w:left w:val="none" w:sz="0" w:space="0" w:color="auto"/>
        <w:bottom w:val="none" w:sz="0" w:space="0" w:color="auto"/>
        <w:right w:val="none" w:sz="0" w:space="0" w:color="auto"/>
      </w:divBdr>
    </w:div>
    <w:div w:id="1658260532">
      <w:bodyDiv w:val="1"/>
      <w:marLeft w:val="0"/>
      <w:marRight w:val="0"/>
      <w:marTop w:val="0"/>
      <w:marBottom w:val="0"/>
      <w:divBdr>
        <w:top w:val="none" w:sz="0" w:space="0" w:color="auto"/>
        <w:left w:val="none" w:sz="0" w:space="0" w:color="auto"/>
        <w:bottom w:val="none" w:sz="0" w:space="0" w:color="auto"/>
        <w:right w:val="none" w:sz="0" w:space="0" w:color="auto"/>
      </w:divBdr>
    </w:div>
    <w:div w:id="1660036457">
      <w:bodyDiv w:val="1"/>
      <w:marLeft w:val="0"/>
      <w:marRight w:val="0"/>
      <w:marTop w:val="0"/>
      <w:marBottom w:val="0"/>
      <w:divBdr>
        <w:top w:val="none" w:sz="0" w:space="0" w:color="auto"/>
        <w:left w:val="none" w:sz="0" w:space="0" w:color="auto"/>
        <w:bottom w:val="none" w:sz="0" w:space="0" w:color="auto"/>
        <w:right w:val="none" w:sz="0" w:space="0" w:color="auto"/>
      </w:divBdr>
    </w:div>
    <w:div w:id="1666010035">
      <w:bodyDiv w:val="1"/>
      <w:marLeft w:val="0"/>
      <w:marRight w:val="0"/>
      <w:marTop w:val="0"/>
      <w:marBottom w:val="0"/>
      <w:divBdr>
        <w:top w:val="none" w:sz="0" w:space="0" w:color="auto"/>
        <w:left w:val="none" w:sz="0" w:space="0" w:color="auto"/>
        <w:bottom w:val="none" w:sz="0" w:space="0" w:color="auto"/>
        <w:right w:val="none" w:sz="0" w:space="0" w:color="auto"/>
      </w:divBdr>
    </w:div>
    <w:div w:id="1666125819">
      <w:bodyDiv w:val="1"/>
      <w:marLeft w:val="0"/>
      <w:marRight w:val="0"/>
      <w:marTop w:val="0"/>
      <w:marBottom w:val="0"/>
      <w:divBdr>
        <w:top w:val="none" w:sz="0" w:space="0" w:color="auto"/>
        <w:left w:val="none" w:sz="0" w:space="0" w:color="auto"/>
        <w:bottom w:val="none" w:sz="0" w:space="0" w:color="auto"/>
        <w:right w:val="none" w:sz="0" w:space="0" w:color="auto"/>
      </w:divBdr>
    </w:div>
    <w:div w:id="1666787817">
      <w:bodyDiv w:val="1"/>
      <w:marLeft w:val="0"/>
      <w:marRight w:val="0"/>
      <w:marTop w:val="0"/>
      <w:marBottom w:val="0"/>
      <w:divBdr>
        <w:top w:val="none" w:sz="0" w:space="0" w:color="auto"/>
        <w:left w:val="none" w:sz="0" w:space="0" w:color="auto"/>
        <w:bottom w:val="none" w:sz="0" w:space="0" w:color="auto"/>
        <w:right w:val="none" w:sz="0" w:space="0" w:color="auto"/>
      </w:divBdr>
    </w:div>
    <w:div w:id="1672440945">
      <w:bodyDiv w:val="1"/>
      <w:marLeft w:val="0"/>
      <w:marRight w:val="0"/>
      <w:marTop w:val="0"/>
      <w:marBottom w:val="0"/>
      <w:divBdr>
        <w:top w:val="none" w:sz="0" w:space="0" w:color="auto"/>
        <w:left w:val="none" w:sz="0" w:space="0" w:color="auto"/>
        <w:bottom w:val="none" w:sz="0" w:space="0" w:color="auto"/>
        <w:right w:val="none" w:sz="0" w:space="0" w:color="auto"/>
      </w:divBdr>
    </w:div>
    <w:div w:id="1675449772">
      <w:bodyDiv w:val="1"/>
      <w:marLeft w:val="0"/>
      <w:marRight w:val="0"/>
      <w:marTop w:val="0"/>
      <w:marBottom w:val="0"/>
      <w:divBdr>
        <w:top w:val="none" w:sz="0" w:space="0" w:color="auto"/>
        <w:left w:val="none" w:sz="0" w:space="0" w:color="auto"/>
        <w:bottom w:val="none" w:sz="0" w:space="0" w:color="auto"/>
        <w:right w:val="none" w:sz="0" w:space="0" w:color="auto"/>
      </w:divBdr>
    </w:div>
    <w:div w:id="1684014255">
      <w:bodyDiv w:val="1"/>
      <w:marLeft w:val="0"/>
      <w:marRight w:val="0"/>
      <w:marTop w:val="0"/>
      <w:marBottom w:val="0"/>
      <w:divBdr>
        <w:top w:val="none" w:sz="0" w:space="0" w:color="auto"/>
        <w:left w:val="none" w:sz="0" w:space="0" w:color="auto"/>
        <w:bottom w:val="none" w:sz="0" w:space="0" w:color="auto"/>
        <w:right w:val="none" w:sz="0" w:space="0" w:color="auto"/>
      </w:divBdr>
    </w:div>
    <w:div w:id="1684435354">
      <w:bodyDiv w:val="1"/>
      <w:marLeft w:val="0"/>
      <w:marRight w:val="0"/>
      <w:marTop w:val="0"/>
      <w:marBottom w:val="0"/>
      <w:divBdr>
        <w:top w:val="none" w:sz="0" w:space="0" w:color="auto"/>
        <w:left w:val="none" w:sz="0" w:space="0" w:color="auto"/>
        <w:bottom w:val="none" w:sz="0" w:space="0" w:color="auto"/>
        <w:right w:val="none" w:sz="0" w:space="0" w:color="auto"/>
      </w:divBdr>
    </w:div>
    <w:div w:id="1684554123">
      <w:bodyDiv w:val="1"/>
      <w:marLeft w:val="0"/>
      <w:marRight w:val="0"/>
      <w:marTop w:val="0"/>
      <w:marBottom w:val="0"/>
      <w:divBdr>
        <w:top w:val="none" w:sz="0" w:space="0" w:color="auto"/>
        <w:left w:val="none" w:sz="0" w:space="0" w:color="auto"/>
        <w:bottom w:val="none" w:sz="0" w:space="0" w:color="auto"/>
        <w:right w:val="none" w:sz="0" w:space="0" w:color="auto"/>
      </w:divBdr>
    </w:div>
    <w:div w:id="1685864149">
      <w:bodyDiv w:val="1"/>
      <w:marLeft w:val="0"/>
      <w:marRight w:val="0"/>
      <w:marTop w:val="0"/>
      <w:marBottom w:val="0"/>
      <w:divBdr>
        <w:top w:val="none" w:sz="0" w:space="0" w:color="auto"/>
        <w:left w:val="none" w:sz="0" w:space="0" w:color="auto"/>
        <w:bottom w:val="none" w:sz="0" w:space="0" w:color="auto"/>
        <w:right w:val="none" w:sz="0" w:space="0" w:color="auto"/>
      </w:divBdr>
    </w:div>
    <w:div w:id="1687755442">
      <w:bodyDiv w:val="1"/>
      <w:marLeft w:val="0"/>
      <w:marRight w:val="0"/>
      <w:marTop w:val="0"/>
      <w:marBottom w:val="0"/>
      <w:divBdr>
        <w:top w:val="none" w:sz="0" w:space="0" w:color="auto"/>
        <w:left w:val="none" w:sz="0" w:space="0" w:color="auto"/>
        <w:bottom w:val="none" w:sz="0" w:space="0" w:color="auto"/>
        <w:right w:val="none" w:sz="0" w:space="0" w:color="auto"/>
      </w:divBdr>
    </w:div>
    <w:div w:id="1689213148">
      <w:bodyDiv w:val="1"/>
      <w:marLeft w:val="0"/>
      <w:marRight w:val="0"/>
      <w:marTop w:val="0"/>
      <w:marBottom w:val="0"/>
      <w:divBdr>
        <w:top w:val="none" w:sz="0" w:space="0" w:color="auto"/>
        <w:left w:val="none" w:sz="0" w:space="0" w:color="auto"/>
        <w:bottom w:val="none" w:sz="0" w:space="0" w:color="auto"/>
        <w:right w:val="none" w:sz="0" w:space="0" w:color="auto"/>
      </w:divBdr>
    </w:div>
    <w:div w:id="1691293476">
      <w:bodyDiv w:val="1"/>
      <w:marLeft w:val="0"/>
      <w:marRight w:val="0"/>
      <w:marTop w:val="0"/>
      <w:marBottom w:val="0"/>
      <w:divBdr>
        <w:top w:val="none" w:sz="0" w:space="0" w:color="auto"/>
        <w:left w:val="none" w:sz="0" w:space="0" w:color="auto"/>
        <w:bottom w:val="none" w:sz="0" w:space="0" w:color="auto"/>
        <w:right w:val="none" w:sz="0" w:space="0" w:color="auto"/>
      </w:divBdr>
    </w:div>
    <w:div w:id="1691881373">
      <w:bodyDiv w:val="1"/>
      <w:marLeft w:val="0"/>
      <w:marRight w:val="0"/>
      <w:marTop w:val="0"/>
      <w:marBottom w:val="0"/>
      <w:divBdr>
        <w:top w:val="none" w:sz="0" w:space="0" w:color="auto"/>
        <w:left w:val="none" w:sz="0" w:space="0" w:color="auto"/>
        <w:bottom w:val="none" w:sz="0" w:space="0" w:color="auto"/>
        <w:right w:val="none" w:sz="0" w:space="0" w:color="auto"/>
      </w:divBdr>
    </w:div>
    <w:div w:id="1698264995">
      <w:bodyDiv w:val="1"/>
      <w:marLeft w:val="0"/>
      <w:marRight w:val="0"/>
      <w:marTop w:val="0"/>
      <w:marBottom w:val="0"/>
      <w:divBdr>
        <w:top w:val="none" w:sz="0" w:space="0" w:color="auto"/>
        <w:left w:val="none" w:sz="0" w:space="0" w:color="auto"/>
        <w:bottom w:val="none" w:sz="0" w:space="0" w:color="auto"/>
        <w:right w:val="none" w:sz="0" w:space="0" w:color="auto"/>
      </w:divBdr>
    </w:div>
    <w:div w:id="1699623567">
      <w:bodyDiv w:val="1"/>
      <w:marLeft w:val="0"/>
      <w:marRight w:val="0"/>
      <w:marTop w:val="0"/>
      <w:marBottom w:val="0"/>
      <w:divBdr>
        <w:top w:val="none" w:sz="0" w:space="0" w:color="auto"/>
        <w:left w:val="none" w:sz="0" w:space="0" w:color="auto"/>
        <w:bottom w:val="none" w:sz="0" w:space="0" w:color="auto"/>
        <w:right w:val="none" w:sz="0" w:space="0" w:color="auto"/>
      </w:divBdr>
    </w:div>
    <w:div w:id="1704094261">
      <w:bodyDiv w:val="1"/>
      <w:marLeft w:val="0"/>
      <w:marRight w:val="0"/>
      <w:marTop w:val="0"/>
      <w:marBottom w:val="0"/>
      <w:divBdr>
        <w:top w:val="none" w:sz="0" w:space="0" w:color="auto"/>
        <w:left w:val="none" w:sz="0" w:space="0" w:color="auto"/>
        <w:bottom w:val="none" w:sz="0" w:space="0" w:color="auto"/>
        <w:right w:val="none" w:sz="0" w:space="0" w:color="auto"/>
      </w:divBdr>
    </w:div>
    <w:div w:id="1705596337">
      <w:bodyDiv w:val="1"/>
      <w:marLeft w:val="0"/>
      <w:marRight w:val="0"/>
      <w:marTop w:val="0"/>
      <w:marBottom w:val="0"/>
      <w:divBdr>
        <w:top w:val="none" w:sz="0" w:space="0" w:color="auto"/>
        <w:left w:val="none" w:sz="0" w:space="0" w:color="auto"/>
        <w:bottom w:val="none" w:sz="0" w:space="0" w:color="auto"/>
        <w:right w:val="none" w:sz="0" w:space="0" w:color="auto"/>
      </w:divBdr>
    </w:div>
    <w:div w:id="1708024099">
      <w:bodyDiv w:val="1"/>
      <w:marLeft w:val="0"/>
      <w:marRight w:val="0"/>
      <w:marTop w:val="0"/>
      <w:marBottom w:val="0"/>
      <w:divBdr>
        <w:top w:val="none" w:sz="0" w:space="0" w:color="auto"/>
        <w:left w:val="none" w:sz="0" w:space="0" w:color="auto"/>
        <w:bottom w:val="none" w:sz="0" w:space="0" w:color="auto"/>
        <w:right w:val="none" w:sz="0" w:space="0" w:color="auto"/>
      </w:divBdr>
    </w:div>
    <w:div w:id="1709522957">
      <w:bodyDiv w:val="1"/>
      <w:marLeft w:val="0"/>
      <w:marRight w:val="0"/>
      <w:marTop w:val="0"/>
      <w:marBottom w:val="0"/>
      <w:divBdr>
        <w:top w:val="none" w:sz="0" w:space="0" w:color="auto"/>
        <w:left w:val="none" w:sz="0" w:space="0" w:color="auto"/>
        <w:bottom w:val="none" w:sz="0" w:space="0" w:color="auto"/>
        <w:right w:val="none" w:sz="0" w:space="0" w:color="auto"/>
      </w:divBdr>
    </w:div>
    <w:div w:id="1711764187">
      <w:bodyDiv w:val="1"/>
      <w:marLeft w:val="0"/>
      <w:marRight w:val="0"/>
      <w:marTop w:val="0"/>
      <w:marBottom w:val="0"/>
      <w:divBdr>
        <w:top w:val="none" w:sz="0" w:space="0" w:color="auto"/>
        <w:left w:val="none" w:sz="0" w:space="0" w:color="auto"/>
        <w:bottom w:val="none" w:sz="0" w:space="0" w:color="auto"/>
        <w:right w:val="none" w:sz="0" w:space="0" w:color="auto"/>
      </w:divBdr>
    </w:div>
    <w:div w:id="1711800886">
      <w:bodyDiv w:val="1"/>
      <w:marLeft w:val="0"/>
      <w:marRight w:val="0"/>
      <w:marTop w:val="0"/>
      <w:marBottom w:val="0"/>
      <w:divBdr>
        <w:top w:val="none" w:sz="0" w:space="0" w:color="auto"/>
        <w:left w:val="none" w:sz="0" w:space="0" w:color="auto"/>
        <w:bottom w:val="none" w:sz="0" w:space="0" w:color="auto"/>
        <w:right w:val="none" w:sz="0" w:space="0" w:color="auto"/>
      </w:divBdr>
    </w:div>
    <w:div w:id="1713379632">
      <w:bodyDiv w:val="1"/>
      <w:marLeft w:val="0"/>
      <w:marRight w:val="0"/>
      <w:marTop w:val="0"/>
      <w:marBottom w:val="0"/>
      <w:divBdr>
        <w:top w:val="none" w:sz="0" w:space="0" w:color="auto"/>
        <w:left w:val="none" w:sz="0" w:space="0" w:color="auto"/>
        <w:bottom w:val="none" w:sz="0" w:space="0" w:color="auto"/>
        <w:right w:val="none" w:sz="0" w:space="0" w:color="auto"/>
      </w:divBdr>
    </w:div>
    <w:div w:id="1716736025">
      <w:bodyDiv w:val="1"/>
      <w:marLeft w:val="0"/>
      <w:marRight w:val="0"/>
      <w:marTop w:val="0"/>
      <w:marBottom w:val="0"/>
      <w:divBdr>
        <w:top w:val="none" w:sz="0" w:space="0" w:color="auto"/>
        <w:left w:val="none" w:sz="0" w:space="0" w:color="auto"/>
        <w:bottom w:val="none" w:sz="0" w:space="0" w:color="auto"/>
        <w:right w:val="none" w:sz="0" w:space="0" w:color="auto"/>
      </w:divBdr>
    </w:div>
    <w:div w:id="1718580725">
      <w:bodyDiv w:val="1"/>
      <w:marLeft w:val="0"/>
      <w:marRight w:val="0"/>
      <w:marTop w:val="0"/>
      <w:marBottom w:val="0"/>
      <w:divBdr>
        <w:top w:val="none" w:sz="0" w:space="0" w:color="auto"/>
        <w:left w:val="none" w:sz="0" w:space="0" w:color="auto"/>
        <w:bottom w:val="none" w:sz="0" w:space="0" w:color="auto"/>
        <w:right w:val="none" w:sz="0" w:space="0" w:color="auto"/>
      </w:divBdr>
    </w:div>
    <w:div w:id="1720203236">
      <w:bodyDiv w:val="1"/>
      <w:marLeft w:val="0"/>
      <w:marRight w:val="0"/>
      <w:marTop w:val="0"/>
      <w:marBottom w:val="0"/>
      <w:divBdr>
        <w:top w:val="none" w:sz="0" w:space="0" w:color="auto"/>
        <w:left w:val="none" w:sz="0" w:space="0" w:color="auto"/>
        <w:bottom w:val="none" w:sz="0" w:space="0" w:color="auto"/>
        <w:right w:val="none" w:sz="0" w:space="0" w:color="auto"/>
      </w:divBdr>
    </w:div>
    <w:div w:id="1724602841">
      <w:bodyDiv w:val="1"/>
      <w:marLeft w:val="0"/>
      <w:marRight w:val="0"/>
      <w:marTop w:val="0"/>
      <w:marBottom w:val="0"/>
      <w:divBdr>
        <w:top w:val="none" w:sz="0" w:space="0" w:color="auto"/>
        <w:left w:val="none" w:sz="0" w:space="0" w:color="auto"/>
        <w:bottom w:val="none" w:sz="0" w:space="0" w:color="auto"/>
        <w:right w:val="none" w:sz="0" w:space="0" w:color="auto"/>
      </w:divBdr>
    </w:div>
    <w:div w:id="1726640784">
      <w:bodyDiv w:val="1"/>
      <w:marLeft w:val="0"/>
      <w:marRight w:val="0"/>
      <w:marTop w:val="0"/>
      <w:marBottom w:val="0"/>
      <w:divBdr>
        <w:top w:val="none" w:sz="0" w:space="0" w:color="auto"/>
        <w:left w:val="none" w:sz="0" w:space="0" w:color="auto"/>
        <w:bottom w:val="none" w:sz="0" w:space="0" w:color="auto"/>
        <w:right w:val="none" w:sz="0" w:space="0" w:color="auto"/>
      </w:divBdr>
    </w:div>
    <w:div w:id="1730154208">
      <w:bodyDiv w:val="1"/>
      <w:marLeft w:val="0"/>
      <w:marRight w:val="0"/>
      <w:marTop w:val="0"/>
      <w:marBottom w:val="0"/>
      <w:divBdr>
        <w:top w:val="none" w:sz="0" w:space="0" w:color="auto"/>
        <w:left w:val="none" w:sz="0" w:space="0" w:color="auto"/>
        <w:bottom w:val="none" w:sz="0" w:space="0" w:color="auto"/>
        <w:right w:val="none" w:sz="0" w:space="0" w:color="auto"/>
      </w:divBdr>
    </w:div>
    <w:div w:id="1730226342">
      <w:bodyDiv w:val="1"/>
      <w:marLeft w:val="0"/>
      <w:marRight w:val="0"/>
      <w:marTop w:val="0"/>
      <w:marBottom w:val="0"/>
      <w:divBdr>
        <w:top w:val="none" w:sz="0" w:space="0" w:color="auto"/>
        <w:left w:val="none" w:sz="0" w:space="0" w:color="auto"/>
        <w:bottom w:val="none" w:sz="0" w:space="0" w:color="auto"/>
        <w:right w:val="none" w:sz="0" w:space="0" w:color="auto"/>
      </w:divBdr>
    </w:div>
    <w:div w:id="1734739637">
      <w:bodyDiv w:val="1"/>
      <w:marLeft w:val="0"/>
      <w:marRight w:val="0"/>
      <w:marTop w:val="0"/>
      <w:marBottom w:val="0"/>
      <w:divBdr>
        <w:top w:val="none" w:sz="0" w:space="0" w:color="auto"/>
        <w:left w:val="none" w:sz="0" w:space="0" w:color="auto"/>
        <w:bottom w:val="none" w:sz="0" w:space="0" w:color="auto"/>
        <w:right w:val="none" w:sz="0" w:space="0" w:color="auto"/>
      </w:divBdr>
    </w:div>
    <w:div w:id="1735010778">
      <w:bodyDiv w:val="1"/>
      <w:marLeft w:val="0"/>
      <w:marRight w:val="0"/>
      <w:marTop w:val="0"/>
      <w:marBottom w:val="0"/>
      <w:divBdr>
        <w:top w:val="none" w:sz="0" w:space="0" w:color="auto"/>
        <w:left w:val="none" w:sz="0" w:space="0" w:color="auto"/>
        <w:bottom w:val="none" w:sz="0" w:space="0" w:color="auto"/>
        <w:right w:val="none" w:sz="0" w:space="0" w:color="auto"/>
      </w:divBdr>
    </w:div>
    <w:div w:id="1736317209">
      <w:bodyDiv w:val="1"/>
      <w:marLeft w:val="0"/>
      <w:marRight w:val="0"/>
      <w:marTop w:val="0"/>
      <w:marBottom w:val="0"/>
      <w:divBdr>
        <w:top w:val="none" w:sz="0" w:space="0" w:color="auto"/>
        <w:left w:val="none" w:sz="0" w:space="0" w:color="auto"/>
        <w:bottom w:val="none" w:sz="0" w:space="0" w:color="auto"/>
        <w:right w:val="none" w:sz="0" w:space="0" w:color="auto"/>
      </w:divBdr>
    </w:div>
    <w:div w:id="1737360140">
      <w:bodyDiv w:val="1"/>
      <w:marLeft w:val="0"/>
      <w:marRight w:val="0"/>
      <w:marTop w:val="0"/>
      <w:marBottom w:val="0"/>
      <w:divBdr>
        <w:top w:val="none" w:sz="0" w:space="0" w:color="auto"/>
        <w:left w:val="none" w:sz="0" w:space="0" w:color="auto"/>
        <w:bottom w:val="none" w:sz="0" w:space="0" w:color="auto"/>
        <w:right w:val="none" w:sz="0" w:space="0" w:color="auto"/>
      </w:divBdr>
    </w:div>
    <w:div w:id="1743404427">
      <w:bodyDiv w:val="1"/>
      <w:marLeft w:val="0"/>
      <w:marRight w:val="0"/>
      <w:marTop w:val="0"/>
      <w:marBottom w:val="0"/>
      <w:divBdr>
        <w:top w:val="none" w:sz="0" w:space="0" w:color="auto"/>
        <w:left w:val="none" w:sz="0" w:space="0" w:color="auto"/>
        <w:bottom w:val="none" w:sz="0" w:space="0" w:color="auto"/>
        <w:right w:val="none" w:sz="0" w:space="0" w:color="auto"/>
      </w:divBdr>
    </w:div>
    <w:div w:id="1743747867">
      <w:bodyDiv w:val="1"/>
      <w:marLeft w:val="0"/>
      <w:marRight w:val="0"/>
      <w:marTop w:val="0"/>
      <w:marBottom w:val="0"/>
      <w:divBdr>
        <w:top w:val="none" w:sz="0" w:space="0" w:color="auto"/>
        <w:left w:val="none" w:sz="0" w:space="0" w:color="auto"/>
        <w:bottom w:val="none" w:sz="0" w:space="0" w:color="auto"/>
        <w:right w:val="none" w:sz="0" w:space="0" w:color="auto"/>
      </w:divBdr>
    </w:div>
    <w:div w:id="1744402794">
      <w:bodyDiv w:val="1"/>
      <w:marLeft w:val="0"/>
      <w:marRight w:val="0"/>
      <w:marTop w:val="0"/>
      <w:marBottom w:val="0"/>
      <w:divBdr>
        <w:top w:val="none" w:sz="0" w:space="0" w:color="auto"/>
        <w:left w:val="none" w:sz="0" w:space="0" w:color="auto"/>
        <w:bottom w:val="none" w:sz="0" w:space="0" w:color="auto"/>
        <w:right w:val="none" w:sz="0" w:space="0" w:color="auto"/>
      </w:divBdr>
    </w:div>
    <w:div w:id="1746028254">
      <w:bodyDiv w:val="1"/>
      <w:marLeft w:val="0"/>
      <w:marRight w:val="0"/>
      <w:marTop w:val="0"/>
      <w:marBottom w:val="0"/>
      <w:divBdr>
        <w:top w:val="none" w:sz="0" w:space="0" w:color="auto"/>
        <w:left w:val="none" w:sz="0" w:space="0" w:color="auto"/>
        <w:bottom w:val="none" w:sz="0" w:space="0" w:color="auto"/>
        <w:right w:val="none" w:sz="0" w:space="0" w:color="auto"/>
      </w:divBdr>
    </w:div>
    <w:div w:id="1747457598">
      <w:bodyDiv w:val="1"/>
      <w:marLeft w:val="0"/>
      <w:marRight w:val="0"/>
      <w:marTop w:val="0"/>
      <w:marBottom w:val="0"/>
      <w:divBdr>
        <w:top w:val="none" w:sz="0" w:space="0" w:color="auto"/>
        <w:left w:val="none" w:sz="0" w:space="0" w:color="auto"/>
        <w:bottom w:val="none" w:sz="0" w:space="0" w:color="auto"/>
        <w:right w:val="none" w:sz="0" w:space="0" w:color="auto"/>
      </w:divBdr>
    </w:div>
    <w:div w:id="1748917923">
      <w:bodyDiv w:val="1"/>
      <w:marLeft w:val="0"/>
      <w:marRight w:val="0"/>
      <w:marTop w:val="0"/>
      <w:marBottom w:val="0"/>
      <w:divBdr>
        <w:top w:val="none" w:sz="0" w:space="0" w:color="auto"/>
        <w:left w:val="none" w:sz="0" w:space="0" w:color="auto"/>
        <w:bottom w:val="none" w:sz="0" w:space="0" w:color="auto"/>
        <w:right w:val="none" w:sz="0" w:space="0" w:color="auto"/>
      </w:divBdr>
    </w:div>
    <w:div w:id="1753316589">
      <w:bodyDiv w:val="1"/>
      <w:marLeft w:val="0"/>
      <w:marRight w:val="0"/>
      <w:marTop w:val="0"/>
      <w:marBottom w:val="0"/>
      <w:divBdr>
        <w:top w:val="none" w:sz="0" w:space="0" w:color="auto"/>
        <w:left w:val="none" w:sz="0" w:space="0" w:color="auto"/>
        <w:bottom w:val="none" w:sz="0" w:space="0" w:color="auto"/>
        <w:right w:val="none" w:sz="0" w:space="0" w:color="auto"/>
      </w:divBdr>
    </w:div>
    <w:div w:id="1755317531">
      <w:bodyDiv w:val="1"/>
      <w:marLeft w:val="0"/>
      <w:marRight w:val="0"/>
      <w:marTop w:val="0"/>
      <w:marBottom w:val="0"/>
      <w:divBdr>
        <w:top w:val="none" w:sz="0" w:space="0" w:color="auto"/>
        <w:left w:val="none" w:sz="0" w:space="0" w:color="auto"/>
        <w:bottom w:val="none" w:sz="0" w:space="0" w:color="auto"/>
        <w:right w:val="none" w:sz="0" w:space="0" w:color="auto"/>
      </w:divBdr>
    </w:div>
    <w:div w:id="1755663687">
      <w:bodyDiv w:val="1"/>
      <w:marLeft w:val="0"/>
      <w:marRight w:val="0"/>
      <w:marTop w:val="0"/>
      <w:marBottom w:val="0"/>
      <w:divBdr>
        <w:top w:val="none" w:sz="0" w:space="0" w:color="auto"/>
        <w:left w:val="none" w:sz="0" w:space="0" w:color="auto"/>
        <w:bottom w:val="none" w:sz="0" w:space="0" w:color="auto"/>
        <w:right w:val="none" w:sz="0" w:space="0" w:color="auto"/>
      </w:divBdr>
    </w:div>
    <w:div w:id="1756366463">
      <w:bodyDiv w:val="1"/>
      <w:marLeft w:val="0"/>
      <w:marRight w:val="0"/>
      <w:marTop w:val="0"/>
      <w:marBottom w:val="0"/>
      <w:divBdr>
        <w:top w:val="none" w:sz="0" w:space="0" w:color="auto"/>
        <w:left w:val="none" w:sz="0" w:space="0" w:color="auto"/>
        <w:bottom w:val="none" w:sz="0" w:space="0" w:color="auto"/>
        <w:right w:val="none" w:sz="0" w:space="0" w:color="auto"/>
      </w:divBdr>
    </w:div>
    <w:div w:id="1759597276">
      <w:bodyDiv w:val="1"/>
      <w:marLeft w:val="0"/>
      <w:marRight w:val="0"/>
      <w:marTop w:val="0"/>
      <w:marBottom w:val="0"/>
      <w:divBdr>
        <w:top w:val="none" w:sz="0" w:space="0" w:color="auto"/>
        <w:left w:val="none" w:sz="0" w:space="0" w:color="auto"/>
        <w:bottom w:val="none" w:sz="0" w:space="0" w:color="auto"/>
        <w:right w:val="none" w:sz="0" w:space="0" w:color="auto"/>
      </w:divBdr>
    </w:div>
    <w:div w:id="1761946963">
      <w:bodyDiv w:val="1"/>
      <w:marLeft w:val="0"/>
      <w:marRight w:val="0"/>
      <w:marTop w:val="0"/>
      <w:marBottom w:val="0"/>
      <w:divBdr>
        <w:top w:val="none" w:sz="0" w:space="0" w:color="auto"/>
        <w:left w:val="none" w:sz="0" w:space="0" w:color="auto"/>
        <w:bottom w:val="none" w:sz="0" w:space="0" w:color="auto"/>
        <w:right w:val="none" w:sz="0" w:space="0" w:color="auto"/>
      </w:divBdr>
    </w:div>
    <w:div w:id="1763646467">
      <w:bodyDiv w:val="1"/>
      <w:marLeft w:val="0"/>
      <w:marRight w:val="0"/>
      <w:marTop w:val="0"/>
      <w:marBottom w:val="0"/>
      <w:divBdr>
        <w:top w:val="none" w:sz="0" w:space="0" w:color="auto"/>
        <w:left w:val="none" w:sz="0" w:space="0" w:color="auto"/>
        <w:bottom w:val="none" w:sz="0" w:space="0" w:color="auto"/>
        <w:right w:val="none" w:sz="0" w:space="0" w:color="auto"/>
      </w:divBdr>
    </w:div>
    <w:div w:id="1764060177">
      <w:bodyDiv w:val="1"/>
      <w:marLeft w:val="0"/>
      <w:marRight w:val="0"/>
      <w:marTop w:val="0"/>
      <w:marBottom w:val="0"/>
      <w:divBdr>
        <w:top w:val="none" w:sz="0" w:space="0" w:color="auto"/>
        <w:left w:val="none" w:sz="0" w:space="0" w:color="auto"/>
        <w:bottom w:val="none" w:sz="0" w:space="0" w:color="auto"/>
        <w:right w:val="none" w:sz="0" w:space="0" w:color="auto"/>
      </w:divBdr>
    </w:div>
    <w:div w:id="1764493210">
      <w:bodyDiv w:val="1"/>
      <w:marLeft w:val="0"/>
      <w:marRight w:val="0"/>
      <w:marTop w:val="0"/>
      <w:marBottom w:val="0"/>
      <w:divBdr>
        <w:top w:val="none" w:sz="0" w:space="0" w:color="auto"/>
        <w:left w:val="none" w:sz="0" w:space="0" w:color="auto"/>
        <w:bottom w:val="none" w:sz="0" w:space="0" w:color="auto"/>
        <w:right w:val="none" w:sz="0" w:space="0" w:color="auto"/>
      </w:divBdr>
    </w:div>
    <w:div w:id="1765565511">
      <w:bodyDiv w:val="1"/>
      <w:marLeft w:val="0"/>
      <w:marRight w:val="0"/>
      <w:marTop w:val="0"/>
      <w:marBottom w:val="0"/>
      <w:divBdr>
        <w:top w:val="none" w:sz="0" w:space="0" w:color="auto"/>
        <w:left w:val="none" w:sz="0" w:space="0" w:color="auto"/>
        <w:bottom w:val="none" w:sz="0" w:space="0" w:color="auto"/>
        <w:right w:val="none" w:sz="0" w:space="0" w:color="auto"/>
      </w:divBdr>
    </w:div>
    <w:div w:id="1769539570">
      <w:bodyDiv w:val="1"/>
      <w:marLeft w:val="0"/>
      <w:marRight w:val="0"/>
      <w:marTop w:val="0"/>
      <w:marBottom w:val="0"/>
      <w:divBdr>
        <w:top w:val="none" w:sz="0" w:space="0" w:color="auto"/>
        <w:left w:val="none" w:sz="0" w:space="0" w:color="auto"/>
        <w:bottom w:val="none" w:sz="0" w:space="0" w:color="auto"/>
        <w:right w:val="none" w:sz="0" w:space="0" w:color="auto"/>
      </w:divBdr>
    </w:div>
    <w:div w:id="1770469042">
      <w:bodyDiv w:val="1"/>
      <w:marLeft w:val="0"/>
      <w:marRight w:val="0"/>
      <w:marTop w:val="0"/>
      <w:marBottom w:val="0"/>
      <w:divBdr>
        <w:top w:val="none" w:sz="0" w:space="0" w:color="auto"/>
        <w:left w:val="none" w:sz="0" w:space="0" w:color="auto"/>
        <w:bottom w:val="none" w:sz="0" w:space="0" w:color="auto"/>
        <w:right w:val="none" w:sz="0" w:space="0" w:color="auto"/>
      </w:divBdr>
    </w:div>
    <w:div w:id="1772045477">
      <w:bodyDiv w:val="1"/>
      <w:marLeft w:val="0"/>
      <w:marRight w:val="0"/>
      <w:marTop w:val="0"/>
      <w:marBottom w:val="0"/>
      <w:divBdr>
        <w:top w:val="none" w:sz="0" w:space="0" w:color="auto"/>
        <w:left w:val="none" w:sz="0" w:space="0" w:color="auto"/>
        <w:bottom w:val="none" w:sz="0" w:space="0" w:color="auto"/>
        <w:right w:val="none" w:sz="0" w:space="0" w:color="auto"/>
      </w:divBdr>
    </w:div>
    <w:div w:id="1772781080">
      <w:bodyDiv w:val="1"/>
      <w:marLeft w:val="0"/>
      <w:marRight w:val="0"/>
      <w:marTop w:val="0"/>
      <w:marBottom w:val="0"/>
      <w:divBdr>
        <w:top w:val="none" w:sz="0" w:space="0" w:color="auto"/>
        <w:left w:val="none" w:sz="0" w:space="0" w:color="auto"/>
        <w:bottom w:val="none" w:sz="0" w:space="0" w:color="auto"/>
        <w:right w:val="none" w:sz="0" w:space="0" w:color="auto"/>
      </w:divBdr>
    </w:div>
    <w:div w:id="1774933691">
      <w:bodyDiv w:val="1"/>
      <w:marLeft w:val="0"/>
      <w:marRight w:val="0"/>
      <w:marTop w:val="0"/>
      <w:marBottom w:val="0"/>
      <w:divBdr>
        <w:top w:val="none" w:sz="0" w:space="0" w:color="auto"/>
        <w:left w:val="none" w:sz="0" w:space="0" w:color="auto"/>
        <w:bottom w:val="none" w:sz="0" w:space="0" w:color="auto"/>
        <w:right w:val="none" w:sz="0" w:space="0" w:color="auto"/>
      </w:divBdr>
    </w:div>
    <w:div w:id="1776317519">
      <w:bodyDiv w:val="1"/>
      <w:marLeft w:val="0"/>
      <w:marRight w:val="0"/>
      <w:marTop w:val="0"/>
      <w:marBottom w:val="0"/>
      <w:divBdr>
        <w:top w:val="none" w:sz="0" w:space="0" w:color="auto"/>
        <w:left w:val="none" w:sz="0" w:space="0" w:color="auto"/>
        <w:bottom w:val="none" w:sz="0" w:space="0" w:color="auto"/>
        <w:right w:val="none" w:sz="0" w:space="0" w:color="auto"/>
      </w:divBdr>
    </w:div>
    <w:div w:id="1779183246">
      <w:bodyDiv w:val="1"/>
      <w:marLeft w:val="0"/>
      <w:marRight w:val="0"/>
      <w:marTop w:val="0"/>
      <w:marBottom w:val="0"/>
      <w:divBdr>
        <w:top w:val="none" w:sz="0" w:space="0" w:color="auto"/>
        <w:left w:val="none" w:sz="0" w:space="0" w:color="auto"/>
        <w:bottom w:val="none" w:sz="0" w:space="0" w:color="auto"/>
        <w:right w:val="none" w:sz="0" w:space="0" w:color="auto"/>
      </w:divBdr>
    </w:div>
    <w:div w:id="1780106781">
      <w:bodyDiv w:val="1"/>
      <w:marLeft w:val="0"/>
      <w:marRight w:val="0"/>
      <w:marTop w:val="0"/>
      <w:marBottom w:val="0"/>
      <w:divBdr>
        <w:top w:val="none" w:sz="0" w:space="0" w:color="auto"/>
        <w:left w:val="none" w:sz="0" w:space="0" w:color="auto"/>
        <w:bottom w:val="none" w:sz="0" w:space="0" w:color="auto"/>
        <w:right w:val="none" w:sz="0" w:space="0" w:color="auto"/>
      </w:divBdr>
    </w:div>
    <w:div w:id="1784885946">
      <w:bodyDiv w:val="1"/>
      <w:marLeft w:val="0"/>
      <w:marRight w:val="0"/>
      <w:marTop w:val="0"/>
      <w:marBottom w:val="0"/>
      <w:divBdr>
        <w:top w:val="none" w:sz="0" w:space="0" w:color="auto"/>
        <w:left w:val="none" w:sz="0" w:space="0" w:color="auto"/>
        <w:bottom w:val="none" w:sz="0" w:space="0" w:color="auto"/>
        <w:right w:val="none" w:sz="0" w:space="0" w:color="auto"/>
      </w:divBdr>
    </w:div>
    <w:div w:id="1785617578">
      <w:bodyDiv w:val="1"/>
      <w:marLeft w:val="0"/>
      <w:marRight w:val="0"/>
      <w:marTop w:val="0"/>
      <w:marBottom w:val="0"/>
      <w:divBdr>
        <w:top w:val="none" w:sz="0" w:space="0" w:color="auto"/>
        <w:left w:val="none" w:sz="0" w:space="0" w:color="auto"/>
        <w:bottom w:val="none" w:sz="0" w:space="0" w:color="auto"/>
        <w:right w:val="none" w:sz="0" w:space="0" w:color="auto"/>
      </w:divBdr>
    </w:div>
    <w:div w:id="1785883139">
      <w:bodyDiv w:val="1"/>
      <w:marLeft w:val="0"/>
      <w:marRight w:val="0"/>
      <w:marTop w:val="0"/>
      <w:marBottom w:val="0"/>
      <w:divBdr>
        <w:top w:val="none" w:sz="0" w:space="0" w:color="auto"/>
        <w:left w:val="none" w:sz="0" w:space="0" w:color="auto"/>
        <w:bottom w:val="none" w:sz="0" w:space="0" w:color="auto"/>
        <w:right w:val="none" w:sz="0" w:space="0" w:color="auto"/>
      </w:divBdr>
    </w:div>
    <w:div w:id="1787238765">
      <w:bodyDiv w:val="1"/>
      <w:marLeft w:val="0"/>
      <w:marRight w:val="0"/>
      <w:marTop w:val="0"/>
      <w:marBottom w:val="0"/>
      <w:divBdr>
        <w:top w:val="none" w:sz="0" w:space="0" w:color="auto"/>
        <w:left w:val="none" w:sz="0" w:space="0" w:color="auto"/>
        <w:bottom w:val="none" w:sz="0" w:space="0" w:color="auto"/>
        <w:right w:val="none" w:sz="0" w:space="0" w:color="auto"/>
      </w:divBdr>
    </w:div>
    <w:div w:id="1788430856">
      <w:bodyDiv w:val="1"/>
      <w:marLeft w:val="0"/>
      <w:marRight w:val="0"/>
      <w:marTop w:val="0"/>
      <w:marBottom w:val="0"/>
      <w:divBdr>
        <w:top w:val="none" w:sz="0" w:space="0" w:color="auto"/>
        <w:left w:val="none" w:sz="0" w:space="0" w:color="auto"/>
        <w:bottom w:val="none" w:sz="0" w:space="0" w:color="auto"/>
        <w:right w:val="none" w:sz="0" w:space="0" w:color="auto"/>
      </w:divBdr>
    </w:div>
    <w:div w:id="1789810323">
      <w:bodyDiv w:val="1"/>
      <w:marLeft w:val="0"/>
      <w:marRight w:val="0"/>
      <w:marTop w:val="0"/>
      <w:marBottom w:val="0"/>
      <w:divBdr>
        <w:top w:val="none" w:sz="0" w:space="0" w:color="auto"/>
        <w:left w:val="none" w:sz="0" w:space="0" w:color="auto"/>
        <w:bottom w:val="none" w:sz="0" w:space="0" w:color="auto"/>
        <w:right w:val="none" w:sz="0" w:space="0" w:color="auto"/>
      </w:divBdr>
    </w:div>
    <w:div w:id="1792943304">
      <w:bodyDiv w:val="1"/>
      <w:marLeft w:val="0"/>
      <w:marRight w:val="0"/>
      <w:marTop w:val="0"/>
      <w:marBottom w:val="0"/>
      <w:divBdr>
        <w:top w:val="none" w:sz="0" w:space="0" w:color="auto"/>
        <w:left w:val="none" w:sz="0" w:space="0" w:color="auto"/>
        <w:bottom w:val="none" w:sz="0" w:space="0" w:color="auto"/>
        <w:right w:val="none" w:sz="0" w:space="0" w:color="auto"/>
      </w:divBdr>
    </w:div>
    <w:div w:id="1793204998">
      <w:bodyDiv w:val="1"/>
      <w:marLeft w:val="0"/>
      <w:marRight w:val="0"/>
      <w:marTop w:val="0"/>
      <w:marBottom w:val="0"/>
      <w:divBdr>
        <w:top w:val="none" w:sz="0" w:space="0" w:color="auto"/>
        <w:left w:val="none" w:sz="0" w:space="0" w:color="auto"/>
        <w:bottom w:val="none" w:sz="0" w:space="0" w:color="auto"/>
        <w:right w:val="none" w:sz="0" w:space="0" w:color="auto"/>
      </w:divBdr>
    </w:div>
    <w:div w:id="1794597939">
      <w:bodyDiv w:val="1"/>
      <w:marLeft w:val="0"/>
      <w:marRight w:val="0"/>
      <w:marTop w:val="0"/>
      <w:marBottom w:val="0"/>
      <w:divBdr>
        <w:top w:val="none" w:sz="0" w:space="0" w:color="auto"/>
        <w:left w:val="none" w:sz="0" w:space="0" w:color="auto"/>
        <w:bottom w:val="none" w:sz="0" w:space="0" w:color="auto"/>
        <w:right w:val="none" w:sz="0" w:space="0" w:color="auto"/>
      </w:divBdr>
    </w:div>
    <w:div w:id="1796488086">
      <w:bodyDiv w:val="1"/>
      <w:marLeft w:val="0"/>
      <w:marRight w:val="0"/>
      <w:marTop w:val="0"/>
      <w:marBottom w:val="0"/>
      <w:divBdr>
        <w:top w:val="none" w:sz="0" w:space="0" w:color="auto"/>
        <w:left w:val="none" w:sz="0" w:space="0" w:color="auto"/>
        <w:bottom w:val="none" w:sz="0" w:space="0" w:color="auto"/>
        <w:right w:val="none" w:sz="0" w:space="0" w:color="auto"/>
      </w:divBdr>
    </w:div>
    <w:div w:id="1798529831">
      <w:bodyDiv w:val="1"/>
      <w:marLeft w:val="0"/>
      <w:marRight w:val="0"/>
      <w:marTop w:val="0"/>
      <w:marBottom w:val="0"/>
      <w:divBdr>
        <w:top w:val="none" w:sz="0" w:space="0" w:color="auto"/>
        <w:left w:val="none" w:sz="0" w:space="0" w:color="auto"/>
        <w:bottom w:val="none" w:sz="0" w:space="0" w:color="auto"/>
        <w:right w:val="none" w:sz="0" w:space="0" w:color="auto"/>
      </w:divBdr>
    </w:div>
    <w:div w:id="1799835801">
      <w:bodyDiv w:val="1"/>
      <w:marLeft w:val="0"/>
      <w:marRight w:val="0"/>
      <w:marTop w:val="0"/>
      <w:marBottom w:val="0"/>
      <w:divBdr>
        <w:top w:val="none" w:sz="0" w:space="0" w:color="auto"/>
        <w:left w:val="none" w:sz="0" w:space="0" w:color="auto"/>
        <w:bottom w:val="none" w:sz="0" w:space="0" w:color="auto"/>
        <w:right w:val="none" w:sz="0" w:space="0" w:color="auto"/>
      </w:divBdr>
    </w:div>
    <w:div w:id="1799956372">
      <w:bodyDiv w:val="1"/>
      <w:marLeft w:val="0"/>
      <w:marRight w:val="0"/>
      <w:marTop w:val="0"/>
      <w:marBottom w:val="0"/>
      <w:divBdr>
        <w:top w:val="none" w:sz="0" w:space="0" w:color="auto"/>
        <w:left w:val="none" w:sz="0" w:space="0" w:color="auto"/>
        <w:bottom w:val="none" w:sz="0" w:space="0" w:color="auto"/>
        <w:right w:val="none" w:sz="0" w:space="0" w:color="auto"/>
      </w:divBdr>
    </w:div>
    <w:div w:id="1801147704">
      <w:bodyDiv w:val="1"/>
      <w:marLeft w:val="0"/>
      <w:marRight w:val="0"/>
      <w:marTop w:val="0"/>
      <w:marBottom w:val="0"/>
      <w:divBdr>
        <w:top w:val="none" w:sz="0" w:space="0" w:color="auto"/>
        <w:left w:val="none" w:sz="0" w:space="0" w:color="auto"/>
        <w:bottom w:val="none" w:sz="0" w:space="0" w:color="auto"/>
        <w:right w:val="none" w:sz="0" w:space="0" w:color="auto"/>
      </w:divBdr>
    </w:div>
    <w:div w:id="1805657179">
      <w:bodyDiv w:val="1"/>
      <w:marLeft w:val="0"/>
      <w:marRight w:val="0"/>
      <w:marTop w:val="0"/>
      <w:marBottom w:val="0"/>
      <w:divBdr>
        <w:top w:val="none" w:sz="0" w:space="0" w:color="auto"/>
        <w:left w:val="none" w:sz="0" w:space="0" w:color="auto"/>
        <w:bottom w:val="none" w:sz="0" w:space="0" w:color="auto"/>
        <w:right w:val="none" w:sz="0" w:space="0" w:color="auto"/>
      </w:divBdr>
    </w:div>
    <w:div w:id="1806242454">
      <w:bodyDiv w:val="1"/>
      <w:marLeft w:val="0"/>
      <w:marRight w:val="0"/>
      <w:marTop w:val="0"/>
      <w:marBottom w:val="0"/>
      <w:divBdr>
        <w:top w:val="none" w:sz="0" w:space="0" w:color="auto"/>
        <w:left w:val="none" w:sz="0" w:space="0" w:color="auto"/>
        <w:bottom w:val="none" w:sz="0" w:space="0" w:color="auto"/>
        <w:right w:val="none" w:sz="0" w:space="0" w:color="auto"/>
      </w:divBdr>
    </w:div>
    <w:div w:id="1806778856">
      <w:bodyDiv w:val="1"/>
      <w:marLeft w:val="0"/>
      <w:marRight w:val="0"/>
      <w:marTop w:val="0"/>
      <w:marBottom w:val="0"/>
      <w:divBdr>
        <w:top w:val="none" w:sz="0" w:space="0" w:color="auto"/>
        <w:left w:val="none" w:sz="0" w:space="0" w:color="auto"/>
        <w:bottom w:val="none" w:sz="0" w:space="0" w:color="auto"/>
        <w:right w:val="none" w:sz="0" w:space="0" w:color="auto"/>
      </w:divBdr>
    </w:div>
    <w:div w:id="1810591875">
      <w:bodyDiv w:val="1"/>
      <w:marLeft w:val="0"/>
      <w:marRight w:val="0"/>
      <w:marTop w:val="0"/>
      <w:marBottom w:val="0"/>
      <w:divBdr>
        <w:top w:val="none" w:sz="0" w:space="0" w:color="auto"/>
        <w:left w:val="none" w:sz="0" w:space="0" w:color="auto"/>
        <w:bottom w:val="none" w:sz="0" w:space="0" w:color="auto"/>
        <w:right w:val="none" w:sz="0" w:space="0" w:color="auto"/>
      </w:divBdr>
    </w:div>
    <w:div w:id="1812399400">
      <w:bodyDiv w:val="1"/>
      <w:marLeft w:val="0"/>
      <w:marRight w:val="0"/>
      <w:marTop w:val="0"/>
      <w:marBottom w:val="0"/>
      <w:divBdr>
        <w:top w:val="none" w:sz="0" w:space="0" w:color="auto"/>
        <w:left w:val="none" w:sz="0" w:space="0" w:color="auto"/>
        <w:bottom w:val="none" w:sz="0" w:space="0" w:color="auto"/>
        <w:right w:val="none" w:sz="0" w:space="0" w:color="auto"/>
      </w:divBdr>
    </w:div>
    <w:div w:id="1812672515">
      <w:bodyDiv w:val="1"/>
      <w:marLeft w:val="0"/>
      <w:marRight w:val="0"/>
      <w:marTop w:val="0"/>
      <w:marBottom w:val="0"/>
      <w:divBdr>
        <w:top w:val="none" w:sz="0" w:space="0" w:color="auto"/>
        <w:left w:val="none" w:sz="0" w:space="0" w:color="auto"/>
        <w:bottom w:val="none" w:sz="0" w:space="0" w:color="auto"/>
        <w:right w:val="none" w:sz="0" w:space="0" w:color="auto"/>
      </w:divBdr>
    </w:div>
    <w:div w:id="1813671458">
      <w:bodyDiv w:val="1"/>
      <w:marLeft w:val="0"/>
      <w:marRight w:val="0"/>
      <w:marTop w:val="0"/>
      <w:marBottom w:val="0"/>
      <w:divBdr>
        <w:top w:val="none" w:sz="0" w:space="0" w:color="auto"/>
        <w:left w:val="none" w:sz="0" w:space="0" w:color="auto"/>
        <w:bottom w:val="none" w:sz="0" w:space="0" w:color="auto"/>
        <w:right w:val="none" w:sz="0" w:space="0" w:color="auto"/>
      </w:divBdr>
    </w:div>
    <w:div w:id="1814902604">
      <w:bodyDiv w:val="1"/>
      <w:marLeft w:val="0"/>
      <w:marRight w:val="0"/>
      <w:marTop w:val="0"/>
      <w:marBottom w:val="0"/>
      <w:divBdr>
        <w:top w:val="none" w:sz="0" w:space="0" w:color="auto"/>
        <w:left w:val="none" w:sz="0" w:space="0" w:color="auto"/>
        <w:bottom w:val="none" w:sz="0" w:space="0" w:color="auto"/>
        <w:right w:val="none" w:sz="0" w:space="0" w:color="auto"/>
      </w:divBdr>
    </w:div>
    <w:div w:id="1815220708">
      <w:bodyDiv w:val="1"/>
      <w:marLeft w:val="0"/>
      <w:marRight w:val="0"/>
      <w:marTop w:val="0"/>
      <w:marBottom w:val="0"/>
      <w:divBdr>
        <w:top w:val="none" w:sz="0" w:space="0" w:color="auto"/>
        <w:left w:val="none" w:sz="0" w:space="0" w:color="auto"/>
        <w:bottom w:val="none" w:sz="0" w:space="0" w:color="auto"/>
        <w:right w:val="none" w:sz="0" w:space="0" w:color="auto"/>
      </w:divBdr>
    </w:div>
    <w:div w:id="1817381496">
      <w:bodyDiv w:val="1"/>
      <w:marLeft w:val="0"/>
      <w:marRight w:val="0"/>
      <w:marTop w:val="0"/>
      <w:marBottom w:val="0"/>
      <w:divBdr>
        <w:top w:val="none" w:sz="0" w:space="0" w:color="auto"/>
        <w:left w:val="none" w:sz="0" w:space="0" w:color="auto"/>
        <w:bottom w:val="none" w:sz="0" w:space="0" w:color="auto"/>
        <w:right w:val="none" w:sz="0" w:space="0" w:color="auto"/>
      </w:divBdr>
    </w:div>
    <w:div w:id="1820264523">
      <w:bodyDiv w:val="1"/>
      <w:marLeft w:val="0"/>
      <w:marRight w:val="0"/>
      <w:marTop w:val="0"/>
      <w:marBottom w:val="0"/>
      <w:divBdr>
        <w:top w:val="none" w:sz="0" w:space="0" w:color="auto"/>
        <w:left w:val="none" w:sz="0" w:space="0" w:color="auto"/>
        <w:bottom w:val="none" w:sz="0" w:space="0" w:color="auto"/>
        <w:right w:val="none" w:sz="0" w:space="0" w:color="auto"/>
      </w:divBdr>
    </w:div>
    <w:div w:id="1821120347">
      <w:bodyDiv w:val="1"/>
      <w:marLeft w:val="0"/>
      <w:marRight w:val="0"/>
      <w:marTop w:val="0"/>
      <w:marBottom w:val="0"/>
      <w:divBdr>
        <w:top w:val="none" w:sz="0" w:space="0" w:color="auto"/>
        <w:left w:val="none" w:sz="0" w:space="0" w:color="auto"/>
        <w:bottom w:val="none" w:sz="0" w:space="0" w:color="auto"/>
        <w:right w:val="none" w:sz="0" w:space="0" w:color="auto"/>
      </w:divBdr>
    </w:div>
    <w:div w:id="1822892574">
      <w:bodyDiv w:val="1"/>
      <w:marLeft w:val="0"/>
      <w:marRight w:val="0"/>
      <w:marTop w:val="0"/>
      <w:marBottom w:val="0"/>
      <w:divBdr>
        <w:top w:val="none" w:sz="0" w:space="0" w:color="auto"/>
        <w:left w:val="none" w:sz="0" w:space="0" w:color="auto"/>
        <w:bottom w:val="none" w:sz="0" w:space="0" w:color="auto"/>
        <w:right w:val="none" w:sz="0" w:space="0" w:color="auto"/>
      </w:divBdr>
    </w:div>
    <w:div w:id="1824195075">
      <w:bodyDiv w:val="1"/>
      <w:marLeft w:val="0"/>
      <w:marRight w:val="0"/>
      <w:marTop w:val="0"/>
      <w:marBottom w:val="0"/>
      <w:divBdr>
        <w:top w:val="none" w:sz="0" w:space="0" w:color="auto"/>
        <w:left w:val="none" w:sz="0" w:space="0" w:color="auto"/>
        <w:bottom w:val="none" w:sz="0" w:space="0" w:color="auto"/>
        <w:right w:val="none" w:sz="0" w:space="0" w:color="auto"/>
      </w:divBdr>
    </w:div>
    <w:div w:id="1826317106">
      <w:bodyDiv w:val="1"/>
      <w:marLeft w:val="0"/>
      <w:marRight w:val="0"/>
      <w:marTop w:val="0"/>
      <w:marBottom w:val="0"/>
      <w:divBdr>
        <w:top w:val="none" w:sz="0" w:space="0" w:color="auto"/>
        <w:left w:val="none" w:sz="0" w:space="0" w:color="auto"/>
        <w:bottom w:val="none" w:sz="0" w:space="0" w:color="auto"/>
        <w:right w:val="none" w:sz="0" w:space="0" w:color="auto"/>
      </w:divBdr>
    </w:div>
    <w:div w:id="1827822488">
      <w:bodyDiv w:val="1"/>
      <w:marLeft w:val="0"/>
      <w:marRight w:val="0"/>
      <w:marTop w:val="0"/>
      <w:marBottom w:val="0"/>
      <w:divBdr>
        <w:top w:val="none" w:sz="0" w:space="0" w:color="auto"/>
        <w:left w:val="none" w:sz="0" w:space="0" w:color="auto"/>
        <w:bottom w:val="none" w:sz="0" w:space="0" w:color="auto"/>
        <w:right w:val="none" w:sz="0" w:space="0" w:color="auto"/>
      </w:divBdr>
    </w:div>
    <w:div w:id="1830705200">
      <w:bodyDiv w:val="1"/>
      <w:marLeft w:val="0"/>
      <w:marRight w:val="0"/>
      <w:marTop w:val="0"/>
      <w:marBottom w:val="0"/>
      <w:divBdr>
        <w:top w:val="none" w:sz="0" w:space="0" w:color="auto"/>
        <w:left w:val="none" w:sz="0" w:space="0" w:color="auto"/>
        <w:bottom w:val="none" w:sz="0" w:space="0" w:color="auto"/>
        <w:right w:val="none" w:sz="0" w:space="0" w:color="auto"/>
      </w:divBdr>
    </w:div>
    <w:div w:id="1831285504">
      <w:bodyDiv w:val="1"/>
      <w:marLeft w:val="0"/>
      <w:marRight w:val="0"/>
      <w:marTop w:val="0"/>
      <w:marBottom w:val="0"/>
      <w:divBdr>
        <w:top w:val="none" w:sz="0" w:space="0" w:color="auto"/>
        <w:left w:val="none" w:sz="0" w:space="0" w:color="auto"/>
        <w:bottom w:val="none" w:sz="0" w:space="0" w:color="auto"/>
        <w:right w:val="none" w:sz="0" w:space="0" w:color="auto"/>
      </w:divBdr>
    </w:div>
    <w:div w:id="1832599784">
      <w:bodyDiv w:val="1"/>
      <w:marLeft w:val="0"/>
      <w:marRight w:val="0"/>
      <w:marTop w:val="0"/>
      <w:marBottom w:val="0"/>
      <w:divBdr>
        <w:top w:val="none" w:sz="0" w:space="0" w:color="auto"/>
        <w:left w:val="none" w:sz="0" w:space="0" w:color="auto"/>
        <w:bottom w:val="none" w:sz="0" w:space="0" w:color="auto"/>
        <w:right w:val="none" w:sz="0" w:space="0" w:color="auto"/>
      </w:divBdr>
    </w:div>
    <w:div w:id="1832983595">
      <w:bodyDiv w:val="1"/>
      <w:marLeft w:val="0"/>
      <w:marRight w:val="0"/>
      <w:marTop w:val="0"/>
      <w:marBottom w:val="0"/>
      <w:divBdr>
        <w:top w:val="none" w:sz="0" w:space="0" w:color="auto"/>
        <w:left w:val="none" w:sz="0" w:space="0" w:color="auto"/>
        <w:bottom w:val="none" w:sz="0" w:space="0" w:color="auto"/>
        <w:right w:val="none" w:sz="0" w:space="0" w:color="auto"/>
      </w:divBdr>
    </w:div>
    <w:div w:id="1833060258">
      <w:bodyDiv w:val="1"/>
      <w:marLeft w:val="0"/>
      <w:marRight w:val="0"/>
      <w:marTop w:val="0"/>
      <w:marBottom w:val="0"/>
      <w:divBdr>
        <w:top w:val="none" w:sz="0" w:space="0" w:color="auto"/>
        <w:left w:val="none" w:sz="0" w:space="0" w:color="auto"/>
        <w:bottom w:val="none" w:sz="0" w:space="0" w:color="auto"/>
        <w:right w:val="none" w:sz="0" w:space="0" w:color="auto"/>
      </w:divBdr>
    </w:div>
    <w:div w:id="1833838480">
      <w:bodyDiv w:val="1"/>
      <w:marLeft w:val="0"/>
      <w:marRight w:val="0"/>
      <w:marTop w:val="0"/>
      <w:marBottom w:val="0"/>
      <w:divBdr>
        <w:top w:val="none" w:sz="0" w:space="0" w:color="auto"/>
        <w:left w:val="none" w:sz="0" w:space="0" w:color="auto"/>
        <w:bottom w:val="none" w:sz="0" w:space="0" w:color="auto"/>
        <w:right w:val="none" w:sz="0" w:space="0" w:color="auto"/>
      </w:divBdr>
    </w:div>
    <w:div w:id="1836189494">
      <w:bodyDiv w:val="1"/>
      <w:marLeft w:val="0"/>
      <w:marRight w:val="0"/>
      <w:marTop w:val="0"/>
      <w:marBottom w:val="0"/>
      <w:divBdr>
        <w:top w:val="none" w:sz="0" w:space="0" w:color="auto"/>
        <w:left w:val="none" w:sz="0" w:space="0" w:color="auto"/>
        <w:bottom w:val="none" w:sz="0" w:space="0" w:color="auto"/>
        <w:right w:val="none" w:sz="0" w:space="0" w:color="auto"/>
      </w:divBdr>
    </w:div>
    <w:div w:id="1836843973">
      <w:bodyDiv w:val="1"/>
      <w:marLeft w:val="0"/>
      <w:marRight w:val="0"/>
      <w:marTop w:val="0"/>
      <w:marBottom w:val="0"/>
      <w:divBdr>
        <w:top w:val="none" w:sz="0" w:space="0" w:color="auto"/>
        <w:left w:val="none" w:sz="0" w:space="0" w:color="auto"/>
        <w:bottom w:val="none" w:sz="0" w:space="0" w:color="auto"/>
        <w:right w:val="none" w:sz="0" w:space="0" w:color="auto"/>
      </w:divBdr>
    </w:div>
    <w:div w:id="1839537488">
      <w:bodyDiv w:val="1"/>
      <w:marLeft w:val="0"/>
      <w:marRight w:val="0"/>
      <w:marTop w:val="0"/>
      <w:marBottom w:val="0"/>
      <w:divBdr>
        <w:top w:val="none" w:sz="0" w:space="0" w:color="auto"/>
        <w:left w:val="none" w:sz="0" w:space="0" w:color="auto"/>
        <w:bottom w:val="none" w:sz="0" w:space="0" w:color="auto"/>
        <w:right w:val="none" w:sz="0" w:space="0" w:color="auto"/>
      </w:divBdr>
    </w:div>
    <w:div w:id="1841964613">
      <w:bodyDiv w:val="1"/>
      <w:marLeft w:val="0"/>
      <w:marRight w:val="0"/>
      <w:marTop w:val="0"/>
      <w:marBottom w:val="0"/>
      <w:divBdr>
        <w:top w:val="none" w:sz="0" w:space="0" w:color="auto"/>
        <w:left w:val="none" w:sz="0" w:space="0" w:color="auto"/>
        <w:bottom w:val="none" w:sz="0" w:space="0" w:color="auto"/>
        <w:right w:val="none" w:sz="0" w:space="0" w:color="auto"/>
      </w:divBdr>
    </w:div>
    <w:div w:id="1844666554">
      <w:bodyDiv w:val="1"/>
      <w:marLeft w:val="0"/>
      <w:marRight w:val="0"/>
      <w:marTop w:val="0"/>
      <w:marBottom w:val="0"/>
      <w:divBdr>
        <w:top w:val="none" w:sz="0" w:space="0" w:color="auto"/>
        <w:left w:val="none" w:sz="0" w:space="0" w:color="auto"/>
        <w:bottom w:val="none" w:sz="0" w:space="0" w:color="auto"/>
        <w:right w:val="none" w:sz="0" w:space="0" w:color="auto"/>
      </w:divBdr>
    </w:div>
    <w:div w:id="1847092525">
      <w:bodyDiv w:val="1"/>
      <w:marLeft w:val="0"/>
      <w:marRight w:val="0"/>
      <w:marTop w:val="0"/>
      <w:marBottom w:val="0"/>
      <w:divBdr>
        <w:top w:val="none" w:sz="0" w:space="0" w:color="auto"/>
        <w:left w:val="none" w:sz="0" w:space="0" w:color="auto"/>
        <w:bottom w:val="none" w:sz="0" w:space="0" w:color="auto"/>
        <w:right w:val="none" w:sz="0" w:space="0" w:color="auto"/>
      </w:divBdr>
    </w:div>
    <w:div w:id="1847132404">
      <w:bodyDiv w:val="1"/>
      <w:marLeft w:val="0"/>
      <w:marRight w:val="0"/>
      <w:marTop w:val="0"/>
      <w:marBottom w:val="0"/>
      <w:divBdr>
        <w:top w:val="none" w:sz="0" w:space="0" w:color="auto"/>
        <w:left w:val="none" w:sz="0" w:space="0" w:color="auto"/>
        <w:bottom w:val="none" w:sz="0" w:space="0" w:color="auto"/>
        <w:right w:val="none" w:sz="0" w:space="0" w:color="auto"/>
      </w:divBdr>
    </w:div>
    <w:div w:id="1848054539">
      <w:bodyDiv w:val="1"/>
      <w:marLeft w:val="0"/>
      <w:marRight w:val="0"/>
      <w:marTop w:val="0"/>
      <w:marBottom w:val="0"/>
      <w:divBdr>
        <w:top w:val="none" w:sz="0" w:space="0" w:color="auto"/>
        <w:left w:val="none" w:sz="0" w:space="0" w:color="auto"/>
        <w:bottom w:val="none" w:sz="0" w:space="0" w:color="auto"/>
        <w:right w:val="none" w:sz="0" w:space="0" w:color="auto"/>
      </w:divBdr>
    </w:div>
    <w:div w:id="1854877947">
      <w:bodyDiv w:val="1"/>
      <w:marLeft w:val="0"/>
      <w:marRight w:val="0"/>
      <w:marTop w:val="0"/>
      <w:marBottom w:val="0"/>
      <w:divBdr>
        <w:top w:val="none" w:sz="0" w:space="0" w:color="auto"/>
        <w:left w:val="none" w:sz="0" w:space="0" w:color="auto"/>
        <w:bottom w:val="none" w:sz="0" w:space="0" w:color="auto"/>
        <w:right w:val="none" w:sz="0" w:space="0" w:color="auto"/>
      </w:divBdr>
    </w:div>
    <w:div w:id="1855802300">
      <w:bodyDiv w:val="1"/>
      <w:marLeft w:val="0"/>
      <w:marRight w:val="0"/>
      <w:marTop w:val="0"/>
      <w:marBottom w:val="0"/>
      <w:divBdr>
        <w:top w:val="none" w:sz="0" w:space="0" w:color="auto"/>
        <w:left w:val="none" w:sz="0" w:space="0" w:color="auto"/>
        <w:bottom w:val="none" w:sz="0" w:space="0" w:color="auto"/>
        <w:right w:val="none" w:sz="0" w:space="0" w:color="auto"/>
      </w:divBdr>
    </w:div>
    <w:div w:id="1858694544">
      <w:bodyDiv w:val="1"/>
      <w:marLeft w:val="0"/>
      <w:marRight w:val="0"/>
      <w:marTop w:val="0"/>
      <w:marBottom w:val="0"/>
      <w:divBdr>
        <w:top w:val="none" w:sz="0" w:space="0" w:color="auto"/>
        <w:left w:val="none" w:sz="0" w:space="0" w:color="auto"/>
        <w:bottom w:val="none" w:sz="0" w:space="0" w:color="auto"/>
        <w:right w:val="none" w:sz="0" w:space="0" w:color="auto"/>
      </w:divBdr>
    </w:div>
    <w:div w:id="1861165883">
      <w:bodyDiv w:val="1"/>
      <w:marLeft w:val="0"/>
      <w:marRight w:val="0"/>
      <w:marTop w:val="0"/>
      <w:marBottom w:val="0"/>
      <w:divBdr>
        <w:top w:val="none" w:sz="0" w:space="0" w:color="auto"/>
        <w:left w:val="none" w:sz="0" w:space="0" w:color="auto"/>
        <w:bottom w:val="none" w:sz="0" w:space="0" w:color="auto"/>
        <w:right w:val="none" w:sz="0" w:space="0" w:color="auto"/>
      </w:divBdr>
    </w:div>
    <w:div w:id="1863782061">
      <w:bodyDiv w:val="1"/>
      <w:marLeft w:val="0"/>
      <w:marRight w:val="0"/>
      <w:marTop w:val="0"/>
      <w:marBottom w:val="0"/>
      <w:divBdr>
        <w:top w:val="none" w:sz="0" w:space="0" w:color="auto"/>
        <w:left w:val="none" w:sz="0" w:space="0" w:color="auto"/>
        <w:bottom w:val="none" w:sz="0" w:space="0" w:color="auto"/>
        <w:right w:val="none" w:sz="0" w:space="0" w:color="auto"/>
      </w:divBdr>
    </w:div>
    <w:div w:id="1863854693">
      <w:bodyDiv w:val="1"/>
      <w:marLeft w:val="0"/>
      <w:marRight w:val="0"/>
      <w:marTop w:val="0"/>
      <w:marBottom w:val="0"/>
      <w:divBdr>
        <w:top w:val="none" w:sz="0" w:space="0" w:color="auto"/>
        <w:left w:val="none" w:sz="0" w:space="0" w:color="auto"/>
        <w:bottom w:val="none" w:sz="0" w:space="0" w:color="auto"/>
        <w:right w:val="none" w:sz="0" w:space="0" w:color="auto"/>
      </w:divBdr>
    </w:div>
    <w:div w:id="1866209916">
      <w:bodyDiv w:val="1"/>
      <w:marLeft w:val="0"/>
      <w:marRight w:val="0"/>
      <w:marTop w:val="0"/>
      <w:marBottom w:val="0"/>
      <w:divBdr>
        <w:top w:val="none" w:sz="0" w:space="0" w:color="auto"/>
        <w:left w:val="none" w:sz="0" w:space="0" w:color="auto"/>
        <w:bottom w:val="none" w:sz="0" w:space="0" w:color="auto"/>
        <w:right w:val="none" w:sz="0" w:space="0" w:color="auto"/>
      </w:divBdr>
    </w:div>
    <w:div w:id="1869221858">
      <w:bodyDiv w:val="1"/>
      <w:marLeft w:val="0"/>
      <w:marRight w:val="0"/>
      <w:marTop w:val="0"/>
      <w:marBottom w:val="0"/>
      <w:divBdr>
        <w:top w:val="none" w:sz="0" w:space="0" w:color="auto"/>
        <w:left w:val="none" w:sz="0" w:space="0" w:color="auto"/>
        <w:bottom w:val="none" w:sz="0" w:space="0" w:color="auto"/>
        <w:right w:val="none" w:sz="0" w:space="0" w:color="auto"/>
      </w:divBdr>
    </w:div>
    <w:div w:id="1869442242">
      <w:bodyDiv w:val="1"/>
      <w:marLeft w:val="0"/>
      <w:marRight w:val="0"/>
      <w:marTop w:val="0"/>
      <w:marBottom w:val="0"/>
      <w:divBdr>
        <w:top w:val="none" w:sz="0" w:space="0" w:color="auto"/>
        <w:left w:val="none" w:sz="0" w:space="0" w:color="auto"/>
        <w:bottom w:val="none" w:sz="0" w:space="0" w:color="auto"/>
        <w:right w:val="none" w:sz="0" w:space="0" w:color="auto"/>
      </w:divBdr>
    </w:div>
    <w:div w:id="1871914906">
      <w:bodyDiv w:val="1"/>
      <w:marLeft w:val="0"/>
      <w:marRight w:val="0"/>
      <w:marTop w:val="0"/>
      <w:marBottom w:val="0"/>
      <w:divBdr>
        <w:top w:val="none" w:sz="0" w:space="0" w:color="auto"/>
        <w:left w:val="none" w:sz="0" w:space="0" w:color="auto"/>
        <w:bottom w:val="none" w:sz="0" w:space="0" w:color="auto"/>
        <w:right w:val="none" w:sz="0" w:space="0" w:color="auto"/>
      </w:divBdr>
    </w:div>
    <w:div w:id="1872570250">
      <w:bodyDiv w:val="1"/>
      <w:marLeft w:val="0"/>
      <w:marRight w:val="0"/>
      <w:marTop w:val="0"/>
      <w:marBottom w:val="0"/>
      <w:divBdr>
        <w:top w:val="none" w:sz="0" w:space="0" w:color="auto"/>
        <w:left w:val="none" w:sz="0" w:space="0" w:color="auto"/>
        <w:bottom w:val="none" w:sz="0" w:space="0" w:color="auto"/>
        <w:right w:val="none" w:sz="0" w:space="0" w:color="auto"/>
      </w:divBdr>
    </w:div>
    <w:div w:id="1872913680">
      <w:bodyDiv w:val="1"/>
      <w:marLeft w:val="0"/>
      <w:marRight w:val="0"/>
      <w:marTop w:val="0"/>
      <w:marBottom w:val="0"/>
      <w:divBdr>
        <w:top w:val="none" w:sz="0" w:space="0" w:color="auto"/>
        <w:left w:val="none" w:sz="0" w:space="0" w:color="auto"/>
        <w:bottom w:val="none" w:sz="0" w:space="0" w:color="auto"/>
        <w:right w:val="none" w:sz="0" w:space="0" w:color="auto"/>
      </w:divBdr>
    </w:div>
    <w:div w:id="1873877451">
      <w:bodyDiv w:val="1"/>
      <w:marLeft w:val="0"/>
      <w:marRight w:val="0"/>
      <w:marTop w:val="0"/>
      <w:marBottom w:val="0"/>
      <w:divBdr>
        <w:top w:val="none" w:sz="0" w:space="0" w:color="auto"/>
        <w:left w:val="none" w:sz="0" w:space="0" w:color="auto"/>
        <w:bottom w:val="none" w:sz="0" w:space="0" w:color="auto"/>
        <w:right w:val="none" w:sz="0" w:space="0" w:color="auto"/>
      </w:divBdr>
    </w:div>
    <w:div w:id="1875313972">
      <w:bodyDiv w:val="1"/>
      <w:marLeft w:val="0"/>
      <w:marRight w:val="0"/>
      <w:marTop w:val="0"/>
      <w:marBottom w:val="0"/>
      <w:divBdr>
        <w:top w:val="none" w:sz="0" w:space="0" w:color="auto"/>
        <w:left w:val="none" w:sz="0" w:space="0" w:color="auto"/>
        <w:bottom w:val="none" w:sz="0" w:space="0" w:color="auto"/>
        <w:right w:val="none" w:sz="0" w:space="0" w:color="auto"/>
      </w:divBdr>
    </w:div>
    <w:div w:id="1875382672">
      <w:bodyDiv w:val="1"/>
      <w:marLeft w:val="0"/>
      <w:marRight w:val="0"/>
      <w:marTop w:val="0"/>
      <w:marBottom w:val="0"/>
      <w:divBdr>
        <w:top w:val="none" w:sz="0" w:space="0" w:color="auto"/>
        <w:left w:val="none" w:sz="0" w:space="0" w:color="auto"/>
        <w:bottom w:val="none" w:sz="0" w:space="0" w:color="auto"/>
        <w:right w:val="none" w:sz="0" w:space="0" w:color="auto"/>
      </w:divBdr>
    </w:div>
    <w:div w:id="1875776571">
      <w:bodyDiv w:val="1"/>
      <w:marLeft w:val="0"/>
      <w:marRight w:val="0"/>
      <w:marTop w:val="0"/>
      <w:marBottom w:val="0"/>
      <w:divBdr>
        <w:top w:val="none" w:sz="0" w:space="0" w:color="auto"/>
        <w:left w:val="none" w:sz="0" w:space="0" w:color="auto"/>
        <w:bottom w:val="none" w:sz="0" w:space="0" w:color="auto"/>
        <w:right w:val="none" w:sz="0" w:space="0" w:color="auto"/>
      </w:divBdr>
    </w:div>
    <w:div w:id="1876574365">
      <w:bodyDiv w:val="1"/>
      <w:marLeft w:val="0"/>
      <w:marRight w:val="0"/>
      <w:marTop w:val="0"/>
      <w:marBottom w:val="0"/>
      <w:divBdr>
        <w:top w:val="none" w:sz="0" w:space="0" w:color="auto"/>
        <w:left w:val="none" w:sz="0" w:space="0" w:color="auto"/>
        <w:bottom w:val="none" w:sz="0" w:space="0" w:color="auto"/>
        <w:right w:val="none" w:sz="0" w:space="0" w:color="auto"/>
      </w:divBdr>
    </w:div>
    <w:div w:id="1878353556">
      <w:bodyDiv w:val="1"/>
      <w:marLeft w:val="0"/>
      <w:marRight w:val="0"/>
      <w:marTop w:val="0"/>
      <w:marBottom w:val="0"/>
      <w:divBdr>
        <w:top w:val="none" w:sz="0" w:space="0" w:color="auto"/>
        <w:left w:val="none" w:sz="0" w:space="0" w:color="auto"/>
        <w:bottom w:val="none" w:sz="0" w:space="0" w:color="auto"/>
        <w:right w:val="none" w:sz="0" w:space="0" w:color="auto"/>
      </w:divBdr>
    </w:div>
    <w:div w:id="1884905671">
      <w:bodyDiv w:val="1"/>
      <w:marLeft w:val="0"/>
      <w:marRight w:val="0"/>
      <w:marTop w:val="0"/>
      <w:marBottom w:val="0"/>
      <w:divBdr>
        <w:top w:val="none" w:sz="0" w:space="0" w:color="auto"/>
        <w:left w:val="none" w:sz="0" w:space="0" w:color="auto"/>
        <w:bottom w:val="none" w:sz="0" w:space="0" w:color="auto"/>
        <w:right w:val="none" w:sz="0" w:space="0" w:color="auto"/>
      </w:divBdr>
    </w:div>
    <w:div w:id="1887520652">
      <w:bodyDiv w:val="1"/>
      <w:marLeft w:val="0"/>
      <w:marRight w:val="0"/>
      <w:marTop w:val="0"/>
      <w:marBottom w:val="0"/>
      <w:divBdr>
        <w:top w:val="none" w:sz="0" w:space="0" w:color="auto"/>
        <w:left w:val="none" w:sz="0" w:space="0" w:color="auto"/>
        <w:bottom w:val="none" w:sz="0" w:space="0" w:color="auto"/>
        <w:right w:val="none" w:sz="0" w:space="0" w:color="auto"/>
      </w:divBdr>
    </w:div>
    <w:div w:id="1888031586">
      <w:bodyDiv w:val="1"/>
      <w:marLeft w:val="0"/>
      <w:marRight w:val="0"/>
      <w:marTop w:val="0"/>
      <w:marBottom w:val="0"/>
      <w:divBdr>
        <w:top w:val="none" w:sz="0" w:space="0" w:color="auto"/>
        <w:left w:val="none" w:sz="0" w:space="0" w:color="auto"/>
        <w:bottom w:val="none" w:sz="0" w:space="0" w:color="auto"/>
        <w:right w:val="none" w:sz="0" w:space="0" w:color="auto"/>
      </w:divBdr>
    </w:div>
    <w:div w:id="1891335307">
      <w:bodyDiv w:val="1"/>
      <w:marLeft w:val="0"/>
      <w:marRight w:val="0"/>
      <w:marTop w:val="0"/>
      <w:marBottom w:val="0"/>
      <w:divBdr>
        <w:top w:val="none" w:sz="0" w:space="0" w:color="auto"/>
        <w:left w:val="none" w:sz="0" w:space="0" w:color="auto"/>
        <w:bottom w:val="none" w:sz="0" w:space="0" w:color="auto"/>
        <w:right w:val="none" w:sz="0" w:space="0" w:color="auto"/>
      </w:divBdr>
    </w:div>
    <w:div w:id="1891837953">
      <w:bodyDiv w:val="1"/>
      <w:marLeft w:val="0"/>
      <w:marRight w:val="0"/>
      <w:marTop w:val="0"/>
      <w:marBottom w:val="0"/>
      <w:divBdr>
        <w:top w:val="none" w:sz="0" w:space="0" w:color="auto"/>
        <w:left w:val="none" w:sz="0" w:space="0" w:color="auto"/>
        <w:bottom w:val="none" w:sz="0" w:space="0" w:color="auto"/>
        <w:right w:val="none" w:sz="0" w:space="0" w:color="auto"/>
      </w:divBdr>
    </w:div>
    <w:div w:id="1895118522">
      <w:bodyDiv w:val="1"/>
      <w:marLeft w:val="0"/>
      <w:marRight w:val="0"/>
      <w:marTop w:val="0"/>
      <w:marBottom w:val="0"/>
      <w:divBdr>
        <w:top w:val="none" w:sz="0" w:space="0" w:color="auto"/>
        <w:left w:val="none" w:sz="0" w:space="0" w:color="auto"/>
        <w:bottom w:val="none" w:sz="0" w:space="0" w:color="auto"/>
        <w:right w:val="none" w:sz="0" w:space="0" w:color="auto"/>
      </w:divBdr>
    </w:div>
    <w:div w:id="1896548803">
      <w:bodyDiv w:val="1"/>
      <w:marLeft w:val="0"/>
      <w:marRight w:val="0"/>
      <w:marTop w:val="0"/>
      <w:marBottom w:val="0"/>
      <w:divBdr>
        <w:top w:val="none" w:sz="0" w:space="0" w:color="auto"/>
        <w:left w:val="none" w:sz="0" w:space="0" w:color="auto"/>
        <w:bottom w:val="none" w:sz="0" w:space="0" w:color="auto"/>
        <w:right w:val="none" w:sz="0" w:space="0" w:color="auto"/>
      </w:divBdr>
    </w:div>
    <w:div w:id="1901284418">
      <w:bodyDiv w:val="1"/>
      <w:marLeft w:val="0"/>
      <w:marRight w:val="0"/>
      <w:marTop w:val="0"/>
      <w:marBottom w:val="0"/>
      <w:divBdr>
        <w:top w:val="none" w:sz="0" w:space="0" w:color="auto"/>
        <w:left w:val="none" w:sz="0" w:space="0" w:color="auto"/>
        <w:bottom w:val="none" w:sz="0" w:space="0" w:color="auto"/>
        <w:right w:val="none" w:sz="0" w:space="0" w:color="auto"/>
      </w:divBdr>
    </w:div>
    <w:div w:id="1903128816">
      <w:bodyDiv w:val="1"/>
      <w:marLeft w:val="0"/>
      <w:marRight w:val="0"/>
      <w:marTop w:val="0"/>
      <w:marBottom w:val="0"/>
      <w:divBdr>
        <w:top w:val="none" w:sz="0" w:space="0" w:color="auto"/>
        <w:left w:val="none" w:sz="0" w:space="0" w:color="auto"/>
        <w:bottom w:val="none" w:sz="0" w:space="0" w:color="auto"/>
        <w:right w:val="none" w:sz="0" w:space="0" w:color="auto"/>
      </w:divBdr>
    </w:div>
    <w:div w:id="1903368268">
      <w:bodyDiv w:val="1"/>
      <w:marLeft w:val="0"/>
      <w:marRight w:val="0"/>
      <w:marTop w:val="0"/>
      <w:marBottom w:val="0"/>
      <w:divBdr>
        <w:top w:val="none" w:sz="0" w:space="0" w:color="auto"/>
        <w:left w:val="none" w:sz="0" w:space="0" w:color="auto"/>
        <w:bottom w:val="none" w:sz="0" w:space="0" w:color="auto"/>
        <w:right w:val="none" w:sz="0" w:space="0" w:color="auto"/>
      </w:divBdr>
    </w:div>
    <w:div w:id="1905680034">
      <w:bodyDiv w:val="1"/>
      <w:marLeft w:val="0"/>
      <w:marRight w:val="0"/>
      <w:marTop w:val="0"/>
      <w:marBottom w:val="0"/>
      <w:divBdr>
        <w:top w:val="none" w:sz="0" w:space="0" w:color="auto"/>
        <w:left w:val="none" w:sz="0" w:space="0" w:color="auto"/>
        <w:bottom w:val="none" w:sz="0" w:space="0" w:color="auto"/>
        <w:right w:val="none" w:sz="0" w:space="0" w:color="auto"/>
      </w:divBdr>
    </w:div>
    <w:div w:id="1905991994">
      <w:bodyDiv w:val="1"/>
      <w:marLeft w:val="0"/>
      <w:marRight w:val="0"/>
      <w:marTop w:val="0"/>
      <w:marBottom w:val="0"/>
      <w:divBdr>
        <w:top w:val="none" w:sz="0" w:space="0" w:color="auto"/>
        <w:left w:val="none" w:sz="0" w:space="0" w:color="auto"/>
        <w:bottom w:val="none" w:sz="0" w:space="0" w:color="auto"/>
        <w:right w:val="none" w:sz="0" w:space="0" w:color="auto"/>
      </w:divBdr>
    </w:div>
    <w:div w:id="1907376530">
      <w:bodyDiv w:val="1"/>
      <w:marLeft w:val="0"/>
      <w:marRight w:val="0"/>
      <w:marTop w:val="0"/>
      <w:marBottom w:val="0"/>
      <w:divBdr>
        <w:top w:val="none" w:sz="0" w:space="0" w:color="auto"/>
        <w:left w:val="none" w:sz="0" w:space="0" w:color="auto"/>
        <w:bottom w:val="none" w:sz="0" w:space="0" w:color="auto"/>
        <w:right w:val="none" w:sz="0" w:space="0" w:color="auto"/>
      </w:divBdr>
    </w:div>
    <w:div w:id="1907761034">
      <w:bodyDiv w:val="1"/>
      <w:marLeft w:val="0"/>
      <w:marRight w:val="0"/>
      <w:marTop w:val="0"/>
      <w:marBottom w:val="0"/>
      <w:divBdr>
        <w:top w:val="none" w:sz="0" w:space="0" w:color="auto"/>
        <w:left w:val="none" w:sz="0" w:space="0" w:color="auto"/>
        <w:bottom w:val="none" w:sz="0" w:space="0" w:color="auto"/>
        <w:right w:val="none" w:sz="0" w:space="0" w:color="auto"/>
      </w:divBdr>
    </w:div>
    <w:div w:id="1907833226">
      <w:bodyDiv w:val="1"/>
      <w:marLeft w:val="0"/>
      <w:marRight w:val="0"/>
      <w:marTop w:val="0"/>
      <w:marBottom w:val="0"/>
      <w:divBdr>
        <w:top w:val="none" w:sz="0" w:space="0" w:color="auto"/>
        <w:left w:val="none" w:sz="0" w:space="0" w:color="auto"/>
        <w:bottom w:val="none" w:sz="0" w:space="0" w:color="auto"/>
        <w:right w:val="none" w:sz="0" w:space="0" w:color="auto"/>
      </w:divBdr>
    </w:div>
    <w:div w:id="1908876637">
      <w:bodyDiv w:val="1"/>
      <w:marLeft w:val="0"/>
      <w:marRight w:val="0"/>
      <w:marTop w:val="0"/>
      <w:marBottom w:val="0"/>
      <w:divBdr>
        <w:top w:val="none" w:sz="0" w:space="0" w:color="auto"/>
        <w:left w:val="none" w:sz="0" w:space="0" w:color="auto"/>
        <w:bottom w:val="none" w:sz="0" w:space="0" w:color="auto"/>
        <w:right w:val="none" w:sz="0" w:space="0" w:color="auto"/>
      </w:divBdr>
    </w:div>
    <w:div w:id="1912150769">
      <w:bodyDiv w:val="1"/>
      <w:marLeft w:val="0"/>
      <w:marRight w:val="0"/>
      <w:marTop w:val="0"/>
      <w:marBottom w:val="0"/>
      <w:divBdr>
        <w:top w:val="none" w:sz="0" w:space="0" w:color="auto"/>
        <w:left w:val="none" w:sz="0" w:space="0" w:color="auto"/>
        <w:bottom w:val="none" w:sz="0" w:space="0" w:color="auto"/>
        <w:right w:val="none" w:sz="0" w:space="0" w:color="auto"/>
      </w:divBdr>
    </w:div>
    <w:div w:id="1918710717">
      <w:bodyDiv w:val="1"/>
      <w:marLeft w:val="0"/>
      <w:marRight w:val="0"/>
      <w:marTop w:val="0"/>
      <w:marBottom w:val="0"/>
      <w:divBdr>
        <w:top w:val="none" w:sz="0" w:space="0" w:color="auto"/>
        <w:left w:val="none" w:sz="0" w:space="0" w:color="auto"/>
        <w:bottom w:val="none" w:sz="0" w:space="0" w:color="auto"/>
        <w:right w:val="none" w:sz="0" w:space="0" w:color="auto"/>
      </w:divBdr>
    </w:div>
    <w:div w:id="1921206710">
      <w:bodyDiv w:val="1"/>
      <w:marLeft w:val="0"/>
      <w:marRight w:val="0"/>
      <w:marTop w:val="0"/>
      <w:marBottom w:val="0"/>
      <w:divBdr>
        <w:top w:val="none" w:sz="0" w:space="0" w:color="auto"/>
        <w:left w:val="none" w:sz="0" w:space="0" w:color="auto"/>
        <w:bottom w:val="none" w:sz="0" w:space="0" w:color="auto"/>
        <w:right w:val="none" w:sz="0" w:space="0" w:color="auto"/>
      </w:divBdr>
    </w:div>
    <w:div w:id="1928035263">
      <w:bodyDiv w:val="1"/>
      <w:marLeft w:val="0"/>
      <w:marRight w:val="0"/>
      <w:marTop w:val="0"/>
      <w:marBottom w:val="0"/>
      <w:divBdr>
        <w:top w:val="none" w:sz="0" w:space="0" w:color="auto"/>
        <w:left w:val="none" w:sz="0" w:space="0" w:color="auto"/>
        <w:bottom w:val="none" w:sz="0" w:space="0" w:color="auto"/>
        <w:right w:val="none" w:sz="0" w:space="0" w:color="auto"/>
      </w:divBdr>
    </w:div>
    <w:div w:id="1932736949">
      <w:bodyDiv w:val="1"/>
      <w:marLeft w:val="0"/>
      <w:marRight w:val="0"/>
      <w:marTop w:val="0"/>
      <w:marBottom w:val="0"/>
      <w:divBdr>
        <w:top w:val="none" w:sz="0" w:space="0" w:color="auto"/>
        <w:left w:val="none" w:sz="0" w:space="0" w:color="auto"/>
        <w:bottom w:val="none" w:sz="0" w:space="0" w:color="auto"/>
        <w:right w:val="none" w:sz="0" w:space="0" w:color="auto"/>
      </w:divBdr>
    </w:div>
    <w:div w:id="1935282046">
      <w:bodyDiv w:val="1"/>
      <w:marLeft w:val="0"/>
      <w:marRight w:val="0"/>
      <w:marTop w:val="0"/>
      <w:marBottom w:val="0"/>
      <w:divBdr>
        <w:top w:val="none" w:sz="0" w:space="0" w:color="auto"/>
        <w:left w:val="none" w:sz="0" w:space="0" w:color="auto"/>
        <w:bottom w:val="none" w:sz="0" w:space="0" w:color="auto"/>
        <w:right w:val="none" w:sz="0" w:space="0" w:color="auto"/>
      </w:divBdr>
    </w:div>
    <w:div w:id="1935504761">
      <w:bodyDiv w:val="1"/>
      <w:marLeft w:val="0"/>
      <w:marRight w:val="0"/>
      <w:marTop w:val="0"/>
      <w:marBottom w:val="0"/>
      <w:divBdr>
        <w:top w:val="none" w:sz="0" w:space="0" w:color="auto"/>
        <w:left w:val="none" w:sz="0" w:space="0" w:color="auto"/>
        <w:bottom w:val="none" w:sz="0" w:space="0" w:color="auto"/>
        <w:right w:val="none" w:sz="0" w:space="0" w:color="auto"/>
      </w:divBdr>
    </w:div>
    <w:div w:id="1936665623">
      <w:bodyDiv w:val="1"/>
      <w:marLeft w:val="0"/>
      <w:marRight w:val="0"/>
      <w:marTop w:val="0"/>
      <w:marBottom w:val="0"/>
      <w:divBdr>
        <w:top w:val="none" w:sz="0" w:space="0" w:color="auto"/>
        <w:left w:val="none" w:sz="0" w:space="0" w:color="auto"/>
        <w:bottom w:val="none" w:sz="0" w:space="0" w:color="auto"/>
        <w:right w:val="none" w:sz="0" w:space="0" w:color="auto"/>
      </w:divBdr>
    </w:div>
    <w:div w:id="1938369039">
      <w:bodyDiv w:val="1"/>
      <w:marLeft w:val="0"/>
      <w:marRight w:val="0"/>
      <w:marTop w:val="0"/>
      <w:marBottom w:val="0"/>
      <w:divBdr>
        <w:top w:val="none" w:sz="0" w:space="0" w:color="auto"/>
        <w:left w:val="none" w:sz="0" w:space="0" w:color="auto"/>
        <w:bottom w:val="none" w:sz="0" w:space="0" w:color="auto"/>
        <w:right w:val="none" w:sz="0" w:space="0" w:color="auto"/>
      </w:divBdr>
    </w:div>
    <w:div w:id="1938829302">
      <w:bodyDiv w:val="1"/>
      <w:marLeft w:val="0"/>
      <w:marRight w:val="0"/>
      <w:marTop w:val="0"/>
      <w:marBottom w:val="0"/>
      <w:divBdr>
        <w:top w:val="none" w:sz="0" w:space="0" w:color="auto"/>
        <w:left w:val="none" w:sz="0" w:space="0" w:color="auto"/>
        <w:bottom w:val="none" w:sz="0" w:space="0" w:color="auto"/>
        <w:right w:val="none" w:sz="0" w:space="0" w:color="auto"/>
      </w:divBdr>
    </w:div>
    <w:div w:id="1941453144">
      <w:bodyDiv w:val="1"/>
      <w:marLeft w:val="0"/>
      <w:marRight w:val="0"/>
      <w:marTop w:val="0"/>
      <w:marBottom w:val="0"/>
      <w:divBdr>
        <w:top w:val="none" w:sz="0" w:space="0" w:color="auto"/>
        <w:left w:val="none" w:sz="0" w:space="0" w:color="auto"/>
        <w:bottom w:val="none" w:sz="0" w:space="0" w:color="auto"/>
        <w:right w:val="none" w:sz="0" w:space="0" w:color="auto"/>
      </w:divBdr>
    </w:div>
    <w:div w:id="1947808314">
      <w:bodyDiv w:val="1"/>
      <w:marLeft w:val="0"/>
      <w:marRight w:val="0"/>
      <w:marTop w:val="0"/>
      <w:marBottom w:val="0"/>
      <w:divBdr>
        <w:top w:val="none" w:sz="0" w:space="0" w:color="auto"/>
        <w:left w:val="none" w:sz="0" w:space="0" w:color="auto"/>
        <w:bottom w:val="none" w:sz="0" w:space="0" w:color="auto"/>
        <w:right w:val="none" w:sz="0" w:space="0" w:color="auto"/>
      </w:divBdr>
    </w:div>
    <w:div w:id="1947886881">
      <w:bodyDiv w:val="1"/>
      <w:marLeft w:val="0"/>
      <w:marRight w:val="0"/>
      <w:marTop w:val="0"/>
      <w:marBottom w:val="0"/>
      <w:divBdr>
        <w:top w:val="none" w:sz="0" w:space="0" w:color="auto"/>
        <w:left w:val="none" w:sz="0" w:space="0" w:color="auto"/>
        <w:bottom w:val="none" w:sz="0" w:space="0" w:color="auto"/>
        <w:right w:val="none" w:sz="0" w:space="0" w:color="auto"/>
      </w:divBdr>
    </w:div>
    <w:div w:id="1948345241">
      <w:bodyDiv w:val="1"/>
      <w:marLeft w:val="0"/>
      <w:marRight w:val="0"/>
      <w:marTop w:val="0"/>
      <w:marBottom w:val="0"/>
      <w:divBdr>
        <w:top w:val="none" w:sz="0" w:space="0" w:color="auto"/>
        <w:left w:val="none" w:sz="0" w:space="0" w:color="auto"/>
        <w:bottom w:val="none" w:sz="0" w:space="0" w:color="auto"/>
        <w:right w:val="none" w:sz="0" w:space="0" w:color="auto"/>
      </w:divBdr>
    </w:div>
    <w:div w:id="1948849444">
      <w:bodyDiv w:val="1"/>
      <w:marLeft w:val="0"/>
      <w:marRight w:val="0"/>
      <w:marTop w:val="0"/>
      <w:marBottom w:val="0"/>
      <w:divBdr>
        <w:top w:val="none" w:sz="0" w:space="0" w:color="auto"/>
        <w:left w:val="none" w:sz="0" w:space="0" w:color="auto"/>
        <w:bottom w:val="none" w:sz="0" w:space="0" w:color="auto"/>
        <w:right w:val="none" w:sz="0" w:space="0" w:color="auto"/>
      </w:divBdr>
    </w:div>
    <w:div w:id="1950042020">
      <w:bodyDiv w:val="1"/>
      <w:marLeft w:val="0"/>
      <w:marRight w:val="0"/>
      <w:marTop w:val="0"/>
      <w:marBottom w:val="0"/>
      <w:divBdr>
        <w:top w:val="none" w:sz="0" w:space="0" w:color="auto"/>
        <w:left w:val="none" w:sz="0" w:space="0" w:color="auto"/>
        <w:bottom w:val="none" w:sz="0" w:space="0" w:color="auto"/>
        <w:right w:val="none" w:sz="0" w:space="0" w:color="auto"/>
      </w:divBdr>
    </w:div>
    <w:div w:id="1951013826">
      <w:bodyDiv w:val="1"/>
      <w:marLeft w:val="0"/>
      <w:marRight w:val="0"/>
      <w:marTop w:val="0"/>
      <w:marBottom w:val="0"/>
      <w:divBdr>
        <w:top w:val="none" w:sz="0" w:space="0" w:color="auto"/>
        <w:left w:val="none" w:sz="0" w:space="0" w:color="auto"/>
        <w:bottom w:val="none" w:sz="0" w:space="0" w:color="auto"/>
        <w:right w:val="none" w:sz="0" w:space="0" w:color="auto"/>
      </w:divBdr>
    </w:div>
    <w:div w:id="1952543133">
      <w:bodyDiv w:val="1"/>
      <w:marLeft w:val="0"/>
      <w:marRight w:val="0"/>
      <w:marTop w:val="0"/>
      <w:marBottom w:val="0"/>
      <w:divBdr>
        <w:top w:val="none" w:sz="0" w:space="0" w:color="auto"/>
        <w:left w:val="none" w:sz="0" w:space="0" w:color="auto"/>
        <w:bottom w:val="none" w:sz="0" w:space="0" w:color="auto"/>
        <w:right w:val="none" w:sz="0" w:space="0" w:color="auto"/>
      </w:divBdr>
    </w:div>
    <w:div w:id="1959752975">
      <w:bodyDiv w:val="1"/>
      <w:marLeft w:val="0"/>
      <w:marRight w:val="0"/>
      <w:marTop w:val="0"/>
      <w:marBottom w:val="0"/>
      <w:divBdr>
        <w:top w:val="none" w:sz="0" w:space="0" w:color="auto"/>
        <w:left w:val="none" w:sz="0" w:space="0" w:color="auto"/>
        <w:bottom w:val="none" w:sz="0" w:space="0" w:color="auto"/>
        <w:right w:val="none" w:sz="0" w:space="0" w:color="auto"/>
      </w:divBdr>
    </w:div>
    <w:div w:id="1959992816">
      <w:bodyDiv w:val="1"/>
      <w:marLeft w:val="0"/>
      <w:marRight w:val="0"/>
      <w:marTop w:val="0"/>
      <w:marBottom w:val="0"/>
      <w:divBdr>
        <w:top w:val="none" w:sz="0" w:space="0" w:color="auto"/>
        <w:left w:val="none" w:sz="0" w:space="0" w:color="auto"/>
        <w:bottom w:val="none" w:sz="0" w:space="0" w:color="auto"/>
        <w:right w:val="none" w:sz="0" w:space="0" w:color="auto"/>
      </w:divBdr>
    </w:div>
    <w:div w:id="1964342632">
      <w:bodyDiv w:val="1"/>
      <w:marLeft w:val="0"/>
      <w:marRight w:val="0"/>
      <w:marTop w:val="0"/>
      <w:marBottom w:val="0"/>
      <w:divBdr>
        <w:top w:val="none" w:sz="0" w:space="0" w:color="auto"/>
        <w:left w:val="none" w:sz="0" w:space="0" w:color="auto"/>
        <w:bottom w:val="none" w:sz="0" w:space="0" w:color="auto"/>
        <w:right w:val="none" w:sz="0" w:space="0" w:color="auto"/>
      </w:divBdr>
    </w:div>
    <w:div w:id="1965651712">
      <w:bodyDiv w:val="1"/>
      <w:marLeft w:val="0"/>
      <w:marRight w:val="0"/>
      <w:marTop w:val="0"/>
      <w:marBottom w:val="0"/>
      <w:divBdr>
        <w:top w:val="none" w:sz="0" w:space="0" w:color="auto"/>
        <w:left w:val="none" w:sz="0" w:space="0" w:color="auto"/>
        <w:bottom w:val="none" w:sz="0" w:space="0" w:color="auto"/>
        <w:right w:val="none" w:sz="0" w:space="0" w:color="auto"/>
      </w:divBdr>
    </w:div>
    <w:div w:id="1968507569">
      <w:bodyDiv w:val="1"/>
      <w:marLeft w:val="0"/>
      <w:marRight w:val="0"/>
      <w:marTop w:val="0"/>
      <w:marBottom w:val="0"/>
      <w:divBdr>
        <w:top w:val="none" w:sz="0" w:space="0" w:color="auto"/>
        <w:left w:val="none" w:sz="0" w:space="0" w:color="auto"/>
        <w:bottom w:val="none" w:sz="0" w:space="0" w:color="auto"/>
        <w:right w:val="none" w:sz="0" w:space="0" w:color="auto"/>
      </w:divBdr>
    </w:div>
    <w:div w:id="1970042143">
      <w:bodyDiv w:val="1"/>
      <w:marLeft w:val="0"/>
      <w:marRight w:val="0"/>
      <w:marTop w:val="0"/>
      <w:marBottom w:val="0"/>
      <w:divBdr>
        <w:top w:val="none" w:sz="0" w:space="0" w:color="auto"/>
        <w:left w:val="none" w:sz="0" w:space="0" w:color="auto"/>
        <w:bottom w:val="none" w:sz="0" w:space="0" w:color="auto"/>
        <w:right w:val="none" w:sz="0" w:space="0" w:color="auto"/>
      </w:divBdr>
    </w:div>
    <w:div w:id="1970235441">
      <w:bodyDiv w:val="1"/>
      <w:marLeft w:val="0"/>
      <w:marRight w:val="0"/>
      <w:marTop w:val="0"/>
      <w:marBottom w:val="0"/>
      <w:divBdr>
        <w:top w:val="none" w:sz="0" w:space="0" w:color="auto"/>
        <w:left w:val="none" w:sz="0" w:space="0" w:color="auto"/>
        <w:bottom w:val="none" w:sz="0" w:space="0" w:color="auto"/>
        <w:right w:val="none" w:sz="0" w:space="0" w:color="auto"/>
      </w:divBdr>
    </w:div>
    <w:div w:id="1970817888">
      <w:bodyDiv w:val="1"/>
      <w:marLeft w:val="0"/>
      <w:marRight w:val="0"/>
      <w:marTop w:val="0"/>
      <w:marBottom w:val="0"/>
      <w:divBdr>
        <w:top w:val="none" w:sz="0" w:space="0" w:color="auto"/>
        <w:left w:val="none" w:sz="0" w:space="0" w:color="auto"/>
        <w:bottom w:val="none" w:sz="0" w:space="0" w:color="auto"/>
        <w:right w:val="none" w:sz="0" w:space="0" w:color="auto"/>
      </w:divBdr>
    </w:div>
    <w:div w:id="1970891624">
      <w:bodyDiv w:val="1"/>
      <w:marLeft w:val="0"/>
      <w:marRight w:val="0"/>
      <w:marTop w:val="0"/>
      <w:marBottom w:val="0"/>
      <w:divBdr>
        <w:top w:val="none" w:sz="0" w:space="0" w:color="auto"/>
        <w:left w:val="none" w:sz="0" w:space="0" w:color="auto"/>
        <w:bottom w:val="none" w:sz="0" w:space="0" w:color="auto"/>
        <w:right w:val="none" w:sz="0" w:space="0" w:color="auto"/>
      </w:divBdr>
    </w:div>
    <w:div w:id="1972444026">
      <w:bodyDiv w:val="1"/>
      <w:marLeft w:val="0"/>
      <w:marRight w:val="0"/>
      <w:marTop w:val="0"/>
      <w:marBottom w:val="0"/>
      <w:divBdr>
        <w:top w:val="none" w:sz="0" w:space="0" w:color="auto"/>
        <w:left w:val="none" w:sz="0" w:space="0" w:color="auto"/>
        <w:bottom w:val="none" w:sz="0" w:space="0" w:color="auto"/>
        <w:right w:val="none" w:sz="0" w:space="0" w:color="auto"/>
      </w:divBdr>
    </w:div>
    <w:div w:id="1975477222">
      <w:bodyDiv w:val="1"/>
      <w:marLeft w:val="0"/>
      <w:marRight w:val="0"/>
      <w:marTop w:val="0"/>
      <w:marBottom w:val="0"/>
      <w:divBdr>
        <w:top w:val="none" w:sz="0" w:space="0" w:color="auto"/>
        <w:left w:val="none" w:sz="0" w:space="0" w:color="auto"/>
        <w:bottom w:val="none" w:sz="0" w:space="0" w:color="auto"/>
        <w:right w:val="none" w:sz="0" w:space="0" w:color="auto"/>
      </w:divBdr>
    </w:div>
    <w:div w:id="1986428092">
      <w:bodyDiv w:val="1"/>
      <w:marLeft w:val="0"/>
      <w:marRight w:val="0"/>
      <w:marTop w:val="0"/>
      <w:marBottom w:val="0"/>
      <w:divBdr>
        <w:top w:val="none" w:sz="0" w:space="0" w:color="auto"/>
        <w:left w:val="none" w:sz="0" w:space="0" w:color="auto"/>
        <w:bottom w:val="none" w:sz="0" w:space="0" w:color="auto"/>
        <w:right w:val="none" w:sz="0" w:space="0" w:color="auto"/>
      </w:divBdr>
    </w:div>
    <w:div w:id="1988825590">
      <w:bodyDiv w:val="1"/>
      <w:marLeft w:val="0"/>
      <w:marRight w:val="0"/>
      <w:marTop w:val="0"/>
      <w:marBottom w:val="0"/>
      <w:divBdr>
        <w:top w:val="none" w:sz="0" w:space="0" w:color="auto"/>
        <w:left w:val="none" w:sz="0" w:space="0" w:color="auto"/>
        <w:bottom w:val="none" w:sz="0" w:space="0" w:color="auto"/>
        <w:right w:val="none" w:sz="0" w:space="0" w:color="auto"/>
      </w:divBdr>
    </w:div>
    <w:div w:id="1990402084">
      <w:bodyDiv w:val="1"/>
      <w:marLeft w:val="0"/>
      <w:marRight w:val="0"/>
      <w:marTop w:val="0"/>
      <w:marBottom w:val="0"/>
      <w:divBdr>
        <w:top w:val="none" w:sz="0" w:space="0" w:color="auto"/>
        <w:left w:val="none" w:sz="0" w:space="0" w:color="auto"/>
        <w:bottom w:val="none" w:sz="0" w:space="0" w:color="auto"/>
        <w:right w:val="none" w:sz="0" w:space="0" w:color="auto"/>
      </w:divBdr>
    </w:div>
    <w:div w:id="1990476195">
      <w:bodyDiv w:val="1"/>
      <w:marLeft w:val="0"/>
      <w:marRight w:val="0"/>
      <w:marTop w:val="0"/>
      <w:marBottom w:val="0"/>
      <w:divBdr>
        <w:top w:val="none" w:sz="0" w:space="0" w:color="auto"/>
        <w:left w:val="none" w:sz="0" w:space="0" w:color="auto"/>
        <w:bottom w:val="none" w:sz="0" w:space="0" w:color="auto"/>
        <w:right w:val="none" w:sz="0" w:space="0" w:color="auto"/>
      </w:divBdr>
    </w:div>
    <w:div w:id="1991326271">
      <w:bodyDiv w:val="1"/>
      <w:marLeft w:val="0"/>
      <w:marRight w:val="0"/>
      <w:marTop w:val="0"/>
      <w:marBottom w:val="0"/>
      <w:divBdr>
        <w:top w:val="none" w:sz="0" w:space="0" w:color="auto"/>
        <w:left w:val="none" w:sz="0" w:space="0" w:color="auto"/>
        <w:bottom w:val="none" w:sz="0" w:space="0" w:color="auto"/>
        <w:right w:val="none" w:sz="0" w:space="0" w:color="auto"/>
      </w:divBdr>
    </w:div>
    <w:div w:id="1991596245">
      <w:bodyDiv w:val="1"/>
      <w:marLeft w:val="0"/>
      <w:marRight w:val="0"/>
      <w:marTop w:val="0"/>
      <w:marBottom w:val="0"/>
      <w:divBdr>
        <w:top w:val="none" w:sz="0" w:space="0" w:color="auto"/>
        <w:left w:val="none" w:sz="0" w:space="0" w:color="auto"/>
        <w:bottom w:val="none" w:sz="0" w:space="0" w:color="auto"/>
        <w:right w:val="none" w:sz="0" w:space="0" w:color="auto"/>
      </w:divBdr>
    </w:div>
    <w:div w:id="1995140635">
      <w:bodyDiv w:val="1"/>
      <w:marLeft w:val="0"/>
      <w:marRight w:val="0"/>
      <w:marTop w:val="0"/>
      <w:marBottom w:val="0"/>
      <w:divBdr>
        <w:top w:val="none" w:sz="0" w:space="0" w:color="auto"/>
        <w:left w:val="none" w:sz="0" w:space="0" w:color="auto"/>
        <w:bottom w:val="none" w:sz="0" w:space="0" w:color="auto"/>
        <w:right w:val="none" w:sz="0" w:space="0" w:color="auto"/>
      </w:divBdr>
    </w:div>
    <w:div w:id="1996295429">
      <w:bodyDiv w:val="1"/>
      <w:marLeft w:val="0"/>
      <w:marRight w:val="0"/>
      <w:marTop w:val="0"/>
      <w:marBottom w:val="0"/>
      <w:divBdr>
        <w:top w:val="none" w:sz="0" w:space="0" w:color="auto"/>
        <w:left w:val="none" w:sz="0" w:space="0" w:color="auto"/>
        <w:bottom w:val="none" w:sz="0" w:space="0" w:color="auto"/>
        <w:right w:val="none" w:sz="0" w:space="0" w:color="auto"/>
      </w:divBdr>
    </w:div>
    <w:div w:id="1997414985">
      <w:bodyDiv w:val="1"/>
      <w:marLeft w:val="0"/>
      <w:marRight w:val="0"/>
      <w:marTop w:val="0"/>
      <w:marBottom w:val="0"/>
      <w:divBdr>
        <w:top w:val="none" w:sz="0" w:space="0" w:color="auto"/>
        <w:left w:val="none" w:sz="0" w:space="0" w:color="auto"/>
        <w:bottom w:val="none" w:sz="0" w:space="0" w:color="auto"/>
        <w:right w:val="none" w:sz="0" w:space="0" w:color="auto"/>
      </w:divBdr>
    </w:div>
    <w:div w:id="1998141887">
      <w:bodyDiv w:val="1"/>
      <w:marLeft w:val="0"/>
      <w:marRight w:val="0"/>
      <w:marTop w:val="0"/>
      <w:marBottom w:val="0"/>
      <w:divBdr>
        <w:top w:val="none" w:sz="0" w:space="0" w:color="auto"/>
        <w:left w:val="none" w:sz="0" w:space="0" w:color="auto"/>
        <w:bottom w:val="none" w:sz="0" w:space="0" w:color="auto"/>
        <w:right w:val="none" w:sz="0" w:space="0" w:color="auto"/>
      </w:divBdr>
    </w:div>
    <w:div w:id="1999074906">
      <w:bodyDiv w:val="1"/>
      <w:marLeft w:val="0"/>
      <w:marRight w:val="0"/>
      <w:marTop w:val="0"/>
      <w:marBottom w:val="0"/>
      <w:divBdr>
        <w:top w:val="none" w:sz="0" w:space="0" w:color="auto"/>
        <w:left w:val="none" w:sz="0" w:space="0" w:color="auto"/>
        <w:bottom w:val="none" w:sz="0" w:space="0" w:color="auto"/>
        <w:right w:val="none" w:sz="0" w:space="0" w:color="auto"/>
      </w:divBdr>
    </w:div>
    <w:div w:id="2005892460">
      <w:bodyDiv w:val="1"/>
      <w:marLeft w:val="0"/>
      <w:marRight w:val="0"/>
      <w:marTop w:val="0"/>
      <w:marBottom w:val="0"/>
      <w:divBdr>
        <w:top w:val="none" w:sz="0" w:space="0" w:color="auto"/>
        <w:left w:val="none" w:sz="0" w:space="0" w:color="auto"/>
        <w:bottom w:val="none" w:sz="0" w:space="0" w:color="auto"/>
        <w:right w:val="none" w:sz="0" w:space="0" w:color="auto"/>
      </w:divBdr>
    </w:div>
    <w:div w:id="2006013548">
      <w:bodyDiv w:val="1"/>
      <w:marLeft w:val="0"/>
      <w:marRight w:val="0"/>
      <w:marTop w:val="0"/>
      <w:marBottom w:val="0"/>
      <w:divBdr>
        <w:top w:val="none" w:sz="0" w:space="0" w:color="auto"/>
        <w:left w:val="none" w:sz="0" w:space="0" w:color="auto"/>
        <w:bottom w:val="none" w:sz="0" w:space="0" w:color="auto"/>
        <w:right w:val="none" w:sz="0" w:space="0" w:color="auto"/>
      </w:divBdr>
    </w:div>
    <w:div w:id="2006934259">
      <w:bodyDiv w:val="1"/>
      <w:marLeft w:val="0"/>
      <w:marRight w:val="0"/>
      <w:marTop w:val="0"/>
      <w:marBottom w:val="0"/>
      <w:divBdr>
        <w:top w:val="none" w:sz="0" w:space="0" w:color="auto"/>
        <w:left w:val="none" w:sz="0" w:space="0" w:color="auto"/>
        <w:bottom w:val="none" w:sz="0" w:space="0" w:color="auto"/>
        <w:right w:val="none" w:sz="0" w:space="0" w:color="auto"/>
      </w:divBdr>
    </w:div>
    <w:div w:id="2008439280">
      <w:bodyDiv w:val="1"/>
      <w:marLeft w:val="0"/>
      <w:marRight w:val="0"/>
      <w:marTop w:val="0"/>
      <w:marBottom w:val="0"/>
      <w:divBdr>
        <w:top w:val="none" w:sz="0" w:space="0" w:color="auto"/>
        <w:left w:val="none" w:sz="0" w:space="0" w:color="auto"/>
        <w:bottom w:val="none" w:sz="0" w:space="0" w:color="auto"/>
        <w:right w:val="none" w:sz="0" w:space="0" w:color="auto"/>
      </w:divBdr>
    </w:div>
    <w:div w:id="2008510285">
      <w:bodyDiv w:val="1"/>
      <w:marLeft w:val="0"/>
      <w:marRight w:val="0"/>
      <w:marTop w:val="0"/>
      <w:marBottom w:val="0"/>
      <w:divBdr>
        <w:top w:val="none" w:sz="0" w:space="0" w:color="auto"/>
        <w:left w:val="none" w:sz="0" w:space="0" w:color="auto"/>
        <w:bottom w:val="none" w:sz="0" w:space="0" w:color="auto"/>
        <w:right w:val="none" w:sz="0" w:space="0" w:color="auto"/>
      </w:divBdr>
    </w:div>
    <w:div w:id="2010063166">
      <w:bodyDiv w:val="1"/>
      <w:marLeft w:val="0"/>
      <w:marRight w:val="0"/>
      <w:marTop w:val="0"/>
      <w:marBottom w:val="0"/>
      <w:divBdr>
        <w:top w:val="none" w:sz="0" w:space="0" w:color="auto"/>
        <w:left w:val="none" w:sz="0" w:space="0" w:color="auto"/>
        <w:bottom w:val="none" w:sz="0" w:space="0" w:color="auto"/>
        <w:right w:val="none" w:sz="0" w:space="0" w:color="auto"/>
      </w:divBdr>
    </w:div>
    <w:div w:id="2011441596">
      <w:bodyDiv w:val="1"/>
      <w:marLeft w:val="0"/>
      <w:marRight w:val="0"/>
      <w:marTop w:val="0"/>
      <w:marBottom w:val="0"/>
      <w:divBdr>
        <w:top w:val="none" w:sz="0" w:space="0" w:color="auto"/>
        <w:left w:val="none" w:sz="0" w:space="0" w:color="auto"/>
        <w:bottom w:val="none" w:sz="0" w:space="0" w:color="auto"/>
        <w:right w:val="none" w:sz="0" w:space="0" w:color="auto"/>
      </w:divBdr>
    </w:div>
    <w:div w:id="2013945369">
      <w:bodyDiv w:val="1"/>
      <w:marLeft w:val="0"/>
      <w:marRight w:val="0"/>
      <w:marTop w:val="0"/>
      <w:marBottom w:val="0"/>
      <w:divBdr>
        <w:top w:val="none" w:sz="0" w:space="0" w:color="auto"/>
        <w:left w:val="none" w:sz="0" w:space="0" w:color="auto"/>
        <w:bottom w:val="none" w:sz="0" w:space="0" w:color="auto"/>
        <w:right w:val="none" w:sz="0" w:space="0" w:color="auto"/>
      </w:divBdr>
    </w:div>
    <w:div w:id="2017153515">
      <w:bodyDiv w:val="1"/>
      <w:marLeft w:val="0"/>
      <w:marRight w:val="0"/>
      <w:marTop w:val="0"/>
      <w:marBottom w:val="0"/>
      <w:divBdr>
        <w:top w:val="none" w:sz="0" w:space="0" w:color="auto"/>
        <w:left w:val="none" w:sz="0" w:space="0" w:color="auto"/>
        <w:bottom w:val="none" w:sz="0" w:space="0" w:color="auto"/>
        <w:right w:val="none" w:sz="0" w:space="0" w:color="auto"/>
      </w:divBdr>
    </w:div>
    <w:div w:id="2024279289">
      <w:bodyDiv w:val="1"/>
      <w:marLeft w:val="0"/>
      <w:marRight w:val="0"/>
      <w:marTop w:val="0"/>
      <w:marBottom w:val="0"/>
      <w:divBdr>
        <w:top w:val="none" w:sz="0" w:space="0" w:color="auto"/>
        <w:left w:val="none" w:sz="0" w:space="0" w:color="auto"/>
        <w:bottom w:val="none" w:sz="0" w:space="0" w:color="auto"/>
        <w:right w:val="none" w:sz="0" w:space="0" w:color="auto"/>
      </w:divBdr>
    </w:div>
    <w:div w:id="2024360014">
      <w:bodyDiv w:val="1"/>
      <w:marLeft w:val="0"/>
      <w:marRight w:val="0"/>
      <w:marTop w:val="0"/>
      <w:marBottom w:val="0"/>
      <w:divBdr>
        <w:top w:val="none" w:sz="0" w:space="0" w:color="auto"/>
        <w:left w:val="none" w:sz="0" w:space="0" w:color="auto"/>
        <w:bottom w:val="none" w:sz="0" w:space="0" w:color="auto"/>
        <w:right w:val="none" w:sz="0" w:space="0" w:color="auto"/>
      </w:divBdr>
    </w:div>
    <w:div w:id="2028560159">
      <w:bodyDiv w:val="1"/>
      <w:marLeft w:val="0"/>
      <w:marRight w:val="0"/>
      <w:marTop w:val="0"/>
      <w:marBottom w:val="0"/>
      <w:divBdr>
        <w:top w:val="none" w:sz="0" w:space="0" w:color="auto"/>
        <w:left w:val="none" w:sz="0" w:space="0" w:color="auto"/>
        <w:bottom w:val="none" w:sz="0" w:space="0" w:color="auto"/>
        <w:right w:val="none" w:sz="0" w:space="0" w:color="auto"/>
      </w:divBdr>
    </w:div>
    <w:div w:id="2029985946">
      <w:bodyDiv w:val="1"/>
      <w:marLeft w:val="0"/>
      <w:marRight w:val="0"/>
      <w:marTop w:val="0"/>
      <w:marBottom w:val="0"/>
      <w:divBdr>
        <w:top w:val="none" w:sz="0" w:space="0" w:color="auto"/>
        <w:left w:val="none" w:sz="0" w:space="0" w:color="auto"/>
        <w:bottom w:val="none" w:sz="0" w:space="0" w:color="auto"/>
        <w:right w:val="none" w:sz="0" w:space="0" w:color="auto"/>
      </w:divBdr>
    </w:div>
    <w:div w:id="2030594159">
      <w:bodyDiv w:val="1"/>
      <w:marLeft w:val="0"/>
      <w:marRight w:val="0"/>
      <w:marTop w:val="0"/>
      <w:marBottom w:val="0"/>
      <w:divBdr>
        <w:top w:val="none" w:sz="0" w:space="0" w:color="auto"/>
        <w:left w:val="none" w:sz="0" w:space="0" w:color="auto"/>
        <w:bottom w:val="none" w:sz="0" w:space="0" w:color="auto"/>
        <w:right w:val="none" w:sz="0" w:space="0" w:color="auto"/>
      </w:divBdr>
    </w:div>
    <w:div w:id="2031712936">
      <w:bodyDiv w:val="1"/>
      <w:marLeft w:val="0"/>
      <w:marRight w:val="0"/>
      <w:marTop w:val="0"/>
      <w:marBottom w:val="0"/>
      <w:divBdr>
        <w:top w:val="none" w:sz="0" w:space="0" w:color="auto"/>
        <w:left w:val="none" w:sz="0" w:space="0" w:color="auto"/>
        <w:bottom w:val="none" w:sz="0" w:space="0" w:color="auto"/>
        <w:right w:val="none" w:sz="0" w:space="0" w:color="auto"/>
      </w:divBdr>
    </w:div>
    <w:div w:id="2031908981">
      <w:bodyDiv w:val="1"/>
      <w:marLeft w:val="0"/>
      <w:marRight w:val="0"/>
      <w:marTop w:val="0"/>
      <w:marBottom w:val="0"/>
      <w:divBdr>
        <w:top w:val="none" w:sz="0" w:space="0" w:color="auto"/>
        <w:left w:val="none" w:sz="0" w:space="0" w:color="auto"/>
        <w:bottom w:val="none" w:sz="0" w:space="0" w:color="auto"/>
        <w:right w:val="none" w:sz="0" w:space="0" w:color="auto"/>
      </w:divBdr>
    </w:div>
    <w:div w:id="2031949590">
      <w:bodyDiv w:val="1"/>
      <w:marLeft w:val="0"/>
      <w:marRight w:val="0"/>
      <w:marTop w:val="0"/>
      <w:marBottom w:val="0"/>
      <w:divBdr>
        <w:top w:val="none" w:sz="0" w:space="0" w:color="auto"/>
        <w:left w:val="none" w:sz="0" w:space="0" w:color="auto"/>
        <w:bottom w:val="none" w:sz="0" w:space="0" w:color="auto"/>
        <w:right w:val="none" w:sz="0" w:space="0" w:color="auto"/>
      </w:divBdr>
    </w:div>
    <w:div w:id="2034071918">
      <w:bodyDiv w:val="1"/>
      <w:marLeft w:val="0"/>
      <w:marRight w:val="0"/>
      <w:marTop w:val="0"/>
      <w:marBottom w:val="0"/>
      <w:divBdr>
        <w:top w:val="none" w:sz="0" w:space="0" w:color="auto"/>
        <w:left w:val="none" w:sz="0" w:space="0" w:color="auto"/>
        <w:bottom w:val="none" w:sz="0" w:space="0" w:color="auto"/>
        <w:right w:val="none" w:sz="0" w:space="0" w:color="auto"/>
      </w:divBdr>
    </w:div>
    <w:div w:id="2034108310">
      <w:bodyDiv w:val="1"/>
      <w:marLeft w:val="0"/>
      <w:marRight w:val="0"/>
      <w:marTop w:val="0"/>
      <w:marBottom w:val="0"/>
      <w:divBdr>
        <w:top w:val="none" w:sz="0" w:space="0" w:color="auto"/>
        <w:left w:val="none" w:sz="0" w:space="0" w:color="auto"/>
        <w:bottom w:val="none" w:sz="0" w:space="0" w:color="auto"/>
        <w:right w:val="none" w:sz="0" w:space="0" w:color="auto"/>
      </w:divBdr>
    </w:div>
    <w:div w:id="2037346806">
      <w:bodyDiv w:val="1"/>
      <w:marLeft w:val="0"/>
      <w:marRight w:val="0"/>
      <w:marTop w:val="0"/>
      <w:marBottom w:val="0"/>
      <w:divBdr>
        <w:top w:val="none" w:sz="0" w:space="0" w:color="auto"/>
        <w:left w:val="none" w:sz="0" w:space="0" w:color="auto"/>
        <w:bottom w:val="none" w:sz="0" w:space="0" w:color="auto"/>
        <w:right w:val="none" w:sz="0" w:space="0" w:color="auto"/>
      </w:divBdr>
    </w:div>
    <w:div w:id="2037848051">
      <w:bodyDiv w:val="1"/>
      <w:marLeft w:val="0"/>
      <w:marRight w:val="0"/>
      <w:marTop w:val="0"/>
      <w:marBottom w:val="0"/>
      <w:divBdr>
        <w:top w:val="none" w:sz="0" w:space="0" w:color="auto"/>
        <w:left w:val="none" w:sz="0" w:space="0" w:color="auto"/>
        <w:bottom w:val="none" w:sz="0" w:space="0" w:color="auto"/>
        <w:right w:val="none" w:sz="0" w:space="0" w:color="auto"/>
      </w:divBdr>
    </w:div>
    <w:div w:id="2043900031">
      <w:bodyDiv w:val="1"/>
      <w:marLeft w:val="0"/>
      <w:marRight w:val="0"/>
      <w:marTop w:val="0"/>
      <w:marBottom w:val="0"/>
      <w:divBdr>
        <w:top w:val="none" w:sz="0" w:space="0" w:color="auto"/>
        <w:left w:val="none" w:sz="0" w:space="0" w:color="auto"/>
        <w:bottom w:val="none" w:sz="0" w:space="0" w:color="auto"/>
        <w:right w:val="none" w:sz="0" w:space="0" w:color="auto"/>
      </w:divBdr>
    </w:div>
    <w:div w:id="2048945499">
      <w:bodyDiv w:val="1"/>
      <w:marLeft w:val="0"/>
      <w:marRight w:val="0"/>
      <w:marTop w:val="0"/>
      <w:marBottom w:val="0"/>
      <w:divBdr>
        <w:top w:val="none" w:sz="0" w:space="0" w:color="auto"/>
        <w:left w:val="none" w:sz="0" w:space="0" w:color="auto"/>
        <w:bottom w:val="none" w:sz="0" w:space="0" w:color="auto"/>
        <w:right w:val="none" w:sz="0" w:space="0" w:color="auto"/>
      </w:divBdr>
    </w:div>
    <w:div w:id="2050296065">
      <w:bodyDiv w:val="1"/>
      <w:marLeft w:val="0"/>
      <w:marRight w:val="0"/>
      <w:marTop w:val="0"/>
      <w:marBottom w:val="0"/>
      <w:divBdr>
        <w:top w:val="none" w:sz="0" w:space="0" w:color="auto"/>
        <w:left w:val="none" w:sz="0" w:space="0" w:color="auto"/>
        <w:bottom w:val="none" w:sz="0" w:space="0" w:color="auto"/>
        <w:right w:val="none" w:sz="0" w:space="0" w:color="auto"/>
      </w:divBdr>
    </w:div>
    <w:div w:id="2050838616">
      <w:bodyDiv w:val="1"/>
      <w:marLeft w:val="0"/>
      <w:marRight w:val="0"/>
      <w:marTop w:val="0"/>
      <w:marBottom w:val="0"/>
      <w:divBdr>
        <w:top w:val="none" w:sz="0" w:space="0" w:color="auto"/>
        <w:left w:val="none" w:sz="0" w:space="0" w:color="auto"/>
        <w:bottom w:val="none" w:sz="0" w:space="0" w:color="auto"/>
        <w:right w:val="none" w:sz="0" w:space="0" w:color="auto"/>
      </w:divBdr>
    </w:div>
    <w:div w:id="2051103829">
      <w:bodyDiv w:val="1"/>
      <w:marLeft w:val="0"/>
      <w:marRight w:val="0"/>
      <w:marTop w:val="0"/>
      <w:marBottom w:val="0"/>
      <w:divBdr>
        <w:top w:val="none" w:sz="0" w:space="0" w:color="auto"/>
        <w:left w:val="none" w:sz="0" w:space="0" w:color="auto"/>
        <w:bottom w:val="none" w:sz="0" w:space="0" w:color="auto"/>
        <w:right w:val="none" w:sz="0" w:space="0" w:color="auto"/>
      </w:divBdr>
    </w:div>
    <w:div w:id="2053264313">
      <w:bodyDiv w:val="1"/>
      <w:marLeft w:val="0"/>
      <w:marRight w:val="0"/>
      <w:marTop w:val="0"/>
      <w:marBottom w:val="0"/>
      <w:divBdr>
        <w:top w:val="none" w:sz="0" w:space="0" w:color="auto"/>
        <w:left w:val="none" w:sz="0" w:space="0" w:color="auto"/>
        <w:bottom w:val="none" w:sz="0" w:space="0" w:color="auto"/>
        <w:right w:val="none" w:sz="0" w:space="0" w:color="auto"/>
      </w:divBdr>
    </w:div>
    <w:div w:id="2053654791">
      <w:bodyDiv w:val="1"/>
      <w:marLeft w:val="0"/>
      <w:marRight w:val="0"/>
      <w:marTop w:val="0"/>
      <w:marBottom w:val="0"/>
      <w:divBdr>
        <w:top w:val="none" w:sz="0" w:space="0" w:color="auto"/>
        <w:left w:val="none" w:sz="0" w:space="0" w:color="auto"/>
        <w:bottom w:val="none" w:sz="0" w:space="0" w:color="auto"/>
        <w:right w:val="none" w:sz="0" w:space="0" w:color="auto"/>
      </w:divBdr>
    </w:div>
    <w:div w:id="2057309393">
      <w:bodyDiv w:val="1"/>
      <w:marLeft w:val="0"/>
      <w:marRight w:val="0"/>
      <w:marTop w:val="0"/>
      <w:marBottom w:val="0"/>
      <w:divBdr>
        <w:top w:val="none" w:sz="0" w:space="0" w:color="auto"/>
        <w:left w:val="none" w:sz="0" w:space="0" w:color="auto"/>
        <w:bottom w:val="none" w:sz="0" w:space="0" w:color="auto"/>
        <w:right w:val="none" w:sz="0" w:space="0" w:color="auto"/>
      </w:divBdr>
    </w:div>
    <w:div w:id="2057586703">
      <w:bodyDiv w:val="1"/>
      <w:marLeft w:val="0"/>
      <w:marRight w:val="0"/>
      <w:marTop w:val="0"/>
      <w:marBottom w:val="0"/>
      <w:divBdr>
        <w:top w:val="none" w:sz="0" w:space="0" w:color="auto"/>
        <w:left w:val="none" w:sz="0" w:space="0" w:color="auto"/>
        <w:bottom w:val="none" w:sz="0" w:space="0" w:color="auto"/>
        <w:right w:val="none" w:sz="0" w:space="0" w:color="auto"/>
      </w:divBdr>
    </w:div>
    <w:div w:id="2058577875">
      <w:bodyDiv w:val="1"/>
      <w:marLeft w:val="0"/>
      <w:marRight w:val="0"/>
      <w:marTop w:val="0"/>
      <w:marBottom w:val="0"/>
      <w:divBdr>
        <w:top w:val="none" w:sz="0" w:space="0" w:color="auto"/>
        <w:left w:val="none" w:sz="0" w:space="0" w:color="auto"/>
        <w:bottom w:val="none" w:sz="0" w:space="0" w:color="auto"/>
        <w:right w:val="none" w:sz="0" w:space="0" w:color="auto"/>
      </w:divBdr>
    </w:div>
    <w:div w:id="2059627981">
      <w:bodyDiv w:val="1"/>
      <w:marLeft w:val="0"/>
      <w:marRight w:val="0"/>
      <w:marTop w:val="0"/>
      <w:marBottom w:val="0"/>
      <w:divBdr>
        <w:top w:val="none" w:sz="0" w:space="0" w:color="auto"/>
        <w:left w:val="none" w:sz="0" w:space="0" w:color="auto"/>
        <w:bottom w:val="none" w:sz="0" w:space="0" w:color="auto"/>
        <w:right w:val="none" w:sz="0" w:space="0" w:color="auto"/>
      </w:divBdr>
    </w:div>
    <w:div w:id="2061399377">
      <w:bodyDiv w:val="1"/>
      <w:marLeft w:val="0"/>
      <w:marRight w:val="0"/>
      <w:marTop w:val="0"/>
      <w:marBottom w:val="0"/>
      <w:divBdr>
        <w:top w:val="none" w:sz="0" w:space="0" w:color="auto"/>
        <w:left w:val="none" w:sz="0" w:space="0" w:color="auto"/>
        <w:bottom w:val="none" w:sz="0" w:space="0" w:color="auto"/>
        <w:right w:val="none" w:sz="0" w:space="0" w:color="auto"/>
      </w:divBdr>
    </w:div>
    <w:div w:id="2061588714">
      <w:bodyDiv w:val="1"/>
      <w:marLeft w:val="0"/>
      <w:marRight w:val="0"/>
      <w:marTop w:val="0"/>
      <w:marBottom w:val="0"/>
      <w:divBdr>
        <w:top w:val="none" w:sz="0" w:space="0" w:color="auto"/>
        <w:left w:val="none" w:sz="0" w:space="0" w:color="auto"/>
        <w:bottom w:val="none" w:sz="0" w:space="0" w:color="auto"/>
        <w:right w:val="none" w:sz="0" w:space="0" w:color="auto"/>
      </w:divBdr>
    </w:div>
    <w:div w:id="2062051392">
      <w:bodyDiv w:val="1"/>
      <w:marLeft w:val="0"/>
      <w:marRight w:val="0"/>
      <w:marTop w:val="0"/>
      <w:marBottom w:val="0"/>
      <w:divBdr>
        <w:top w:val="none" w:sz="0" w:space="0" w:color="auto"/>
        <w:left w:val="none" w:sz="0" w:space="0" w:color="auto"/>
        <w:bottom w:val="none" w:sz="0" w:space="0" w:color="auto"/>
        <w:right w:val="none" w:sz="0" w:space="0" w:color="auto"/>
      </w:divBdr>
    </w:div>
    <w:div w:id="2063016238">
      <w:bodyDiv w:val="1"/>
      <w:marLeft w:val="0"/>
      <w:marRight w:val="0"/>
      <w:marTop w:val="0"/>
      <w:marBottom w:val="0"/>
      <w:divBdr>
        <w:top w:val="none" w:sz="0" w:space="0" w:color="auto"/>
        <w:left w:val="none" w:sz="0" w:space="0" w:color="auto"/>
        <w:bottom w:val="none" w:sz="0" w:space="0" w:color="auto"/>
        <w:right w:val="none" w:sz="0" w:space="0" w:color="auto"/>
      </w:divBdr>
    </w:div>
    <w:div w:id="2063477158">
      <w:bodyDiv w:val="1"/>
      <w:marLeft w:val="0"/>
      <w:marRight w:val="0"/>
      <w:marTop w:val="0"/>
      <w:marBottom w:val="0"/>
      <w:divBdr>
        <w:top w:val="none" w:sz="0" w:space="0" w:color="auto"/>
        <w:left w:val="none" w:sz="0" w:space="0" w:color="auto"/>
        <w:bottom w:val="none" w:sz="0" w:space="0" w:color="auto"/>
        <w:right w:val="none" w:sz="0" w:space="0" w:color="auto"/>
      </w:divBdr>
    </w:div>
    <w:div w:id="2064787158">
      <w:bodyDiv w:val="1"/>
      <w:marLeft w:val="0"/>
      <w:marRight w:val="0"/>
      <w:marTop w:val="0"/>
      <w:marBottom w:val="0"/>
      <w:divBdr>
        <w:top w:val="none" w:sz="0" w:space="0" w:color="auto"/>
        <w:left w:val="none" w:sz="0" w:space="0" w:color="auto"/>
        <w:bottom w:val="none" w:sz="0" w:space="0" w:color="auto"/>
        <w:right w:val="none" w:sz="0" w:space="0" w:color="auto"/>
      </w:divBdr>
    </w:div>
    <w:div w:id="2069109263">
      <w:bodyDiv w:val="1"/>
      <w:marLeft w:val="0"/>
      <w:marRight w:val="0"/>
      <w:marTop w:val="0"/>
      <w:marBottom w:val="0"/>
      <w:divBdr>
        <w:top w:val="none" w:sz="0" w:space="0" w:color="auto"/>
        <w:left w:val="none" w:sz="0" w:space="0" w:color="auto"/>
        <w:bottom w:val="none" w:sz="0" w:space="0" w:color="auto"/>
        <w:right w:val="none" w:sz="0" w:space="0" w:color="auto"/>
      </w:divBdr>
    </w:div>
    <w:div w:id="2069381981">
      <w:bodyDiv w:val="1"/>
      <w:marLeft w:val="0"/>
      <w:marRight w:val="0"/>
      <w:marTop w:val="0"/>
      <w:marBottom w:val="0"/>
      <w:divBdr>
        <w:top w:val="none" w:sz="0" w:space="0" w:color="auto"/>
        <w:left w:val="none" w:sz="0" w:space="0" w:color="auto"/>
        <w:bottom w:val="none" w:sz="0" w:space="0" w:color="auto"/>
        <w:right w:val="none" w:sz="0" w:space="0" w:color="auto"/>
      </w:divBdr>
    </w:div>
    <w:div w:id="2070379112">
      <w:bodyDiv w:val="1"/>
      <w:marLeft w:val="0"/>
      <w:marRight w:val="0"/>
      <w:marTop w:val="0"/>
      <w:marBottom w:val="0"/>
      <w:divBdr>
        <w:top w:val="none" w:sz="0" w:space="0" w:color="auto"/>
        <w:left w:val="none" w:sz="0" w:space="0" w:color="auto"/>
        <w:bottom w:val="none" w:sz="0" w:space="0" w:color="auto"/>
        <w:right w:val="none" w:sz="0" w:space="0" w:color="auto"/>
      </w:divBdr>
    </w:div>
    <w:div w:id="2071033607">
      <w:bodyDiv w:val="1"/>
      <w:marLeft w:val="0"/>
      <w:marRight w:val="0"/>
      <w:marTop w:val="0"/>
      <w:marBottom w:val="0"/>
      <w:divBdr>
        <w:top w:val="none" w:sz="0" w:space="0" w:color="auto"/>
        <w:left w:val="none" w:sz="0" w:space="0" w:color="auto"/>
        <w:bottom w:val="none" w:sz="0" w:space="0" w:color="auto"/>
        <w:right w:val="none" w:sz="0" w:space="0" w:color="auto"/>
      </w:divBdr>
    </w:div>
    <w:div w:id="2073960030">
      <w:bodyDiv w:val="1"/>
      <w:marLeft w:val="0"/>
      <w:marRight w:val="0"/>
      <w:marTop w:val="0"/>
      <w:marBottom w:val="0"/>
      <w:divBdr>
        <w:top w:val="none" w:sz="0" w:space="0" w:color="auto"/>
        <w:left w:val="none" w:sz="0" w:space="0" w:color="auto"/>
        <w:bottom w:val="none" w:sz="0" w:space="0" w:color="auto"/>
        <w:right w:val="none" w:sz="0" w:space="0" w:color="auto"/>
      </w:divBdr>
    </w:div>
    <w:div w:id="2074160225">
      <w:bodyDiv w:val="1"/>
      <w:marLeft w:val="0"/>
      <w:marRight w:val="0"/>
      <w:marTop w:val="0"/>
      <w:marBottom w:val="0"/>
      <w:divBdr>
        <w:top w:val="none" w:sz="0" w:space="0" w:color="auto"/>
        <w:left w:val="none" w:sz="0" w:space="0" w:color="auto"/>
        <w:bottom w:val="none" w:sz="0" w:space="0" w:color="auto"/>
        <w:right w:val="none" w:sz="0" w:space="0" w:color="auto"/>
      </w:divBdr>
    </w:div>
    <w:div w:id="2076314675">
      <w:bodyDiv w:val="1"/>
      <w:marLeft w:val="0"/>
      <w:marRight w:val="0"/>
      <w:marTop w:val="0"/>
      <w:marBottom w:val="0"/>
      <w:divBdr>
        <w:top w:val="none" w:sz="0" w:space="0" w:color="auto"/>
        <w:left w:val="none" w:sz="0" w:space="0" w:color="auto"/>
        <w:bottom w:val="none" w:sz="0" w:space="0" w:color="auto"/>
        <w:right w:val="none" w:sz="0" w:space="0" w:color="auto"/>
      </w:divBdr>
    </w:div>
    <w:div w:id="2082213895">
      <w:bodyDiv w:val="1"/>
      <w:marLeft w:val="0"/>
      <w:marRight w:val="0"/>
      <w:marTop w:val="0"/>
      <w:marBottom w:val="0"/>
      <w:divBdr>
        <w:top w:val="none" w:sz="0" w:space="0" w:color="auto"/>
        <w:left w:val="none" w:sz="0" w:space="0" w:color="auto"/>
        <w:bottom w:val="none" w:sz="0" w:space="0" w:color="auto"/>
        <w:right w:val="none" w:sz="0" w:space="0" w:color="auto"/>
      </w:divBdr>
    </w:div>
    <w:div w:id="2083289559">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8191524">
      <w:bodyDiv w:val="1"/>
      <w:marLeft w:val="0"/>
      <w:marRight w:val="0"/>
      <w:marTop w:val="0"/>
      <w:marBottom w:val="0"/>
      <w:divBdr>
        <w:top w:val="none" w:sz="0" w:space="0" w:color="auto"/>
        <w:left w:val="none" w:sz="0" w:space="0" w:color="auto"/>
        <w:bottom w:val="none" w:sz="0" w:space="0" w:color="auto"/>
        <w:right w:val="none" w:sz="0" w:space="0" w:color="auto"/>
      </w:divBdr>
    </w:div>
    <w:div w:id="2089425403">
      <w:bodyDiv w:val="1"/>
      <w:marLeft w:val="0"/>
      <w:marRight w:val="0"/>
      <w:marTop w:val="0"/>
      <w:marBottom w:val="0"/>
      <w:divBdr>
        <w:top w:val="none" w:sz="0" w:space="0" w:color="auto"/>
        <w:left w:val="none" w:sz="0" w:space="0" w:color="auto"/>
        <w:bottom w:val="none" w:sz="0" w:space="0" w:color="auto"/>
        <w:right w:val="none" w:sz="0" w:space="0" w:color="auto"/>
      </w:divBdr>
    </w:div>
    <w:div w:id="2095853108">
      <w:bodyDiv w:val="1"/>
      <w:marLeft w:val="0"/>
      <w:marRight w:val="0"/>
      <w:marTop w:val="0"/>
      <w:marBottom w:val="0"/>
      <w:divBdr>
        <w:top w:val="none" w:sz="0" w:space="0" w:color="auto"/>
        <w:left w:val="none" w:sz="0" w:space="0" w:color="auto"/>
        <w:bottom w:val="none" w:sz="0" w:space="0" w:color="auto"/>
        <w:right w:val="none" w:sz="0" w:space="0" w:color="auto"/>
      </w:divBdr>
    </w:div>
    <w:div w:id="2100364256">
      <w:bodyDiv w:val="1"/>
      <w:marLeft w:val="0"/>
      <w:marRight w:val="0"/>
      <w:marTop w:val="0"/>
      <w:marBottom w:val="0"/>
      <w:divBdr>
        <w:top w:val="none" w:sz="0" w:space="0" w:color="auto"/>
        <w:left w:val="none" w:sz="0" w:space="0" w:color="auto"/>
        <w:bottom w:val="none" w:sz="0" w:space="0" w:color="auto"/>
        <w:right w:val="none" w:sz="0" w:space="0" w:color="auto"/>
      </w:divBdr>
    </w:div>
    <w:div w:id="2101565836">
      <w:bodyDiv w:val="1"/>
      <w:marLeft w:val="0"/>
      <w:marRight w:val="0"/>
      <w:marTop w:val="0"/>
      <w:marBottom w:val="0"/>
      <w:divBdr>
        <w:top w:val="none" w:sz="0" w:space="0" w:color="auto"/>
        <w:left w:val="none" w:sz="0" w:space="0" w:color="auto"/>
        <w:bottom w:val="none" w:sz="0" w:space="0" w:color="auto"/>
        <w:right w:val="none" w:sz="0" w:space="0" w:color="auto"/>
      </w:divBdr>
    </w:div>
    <w:div w:id="2102093557">
      <w:bodyDiv w:val="1"/>
      <w:marLeft w:val="0"/>
      <w:marRight w:val="0"/>
      <w:marTop w:val="0"/>
      <w:marBottom w:val="0"/>
      <w:divBdr>
        <w:top w:val="none" w:sz="0" w:space="0" w:color="auto"/>
        <w:left w:val="none" w:sz="0" w:space="0" w:color="auto"/>
        <w:bottom w:val="none" w:sz="0" w:space="0" w:color="auto"/>
        <w:right w:val="none" w:sz="0" w:space="0" w:color="auto"/>
      </w:divBdr>
    </w:div>
    <w:div w:id="2102293536">
      <w:bodyDiv w:val="1"/>
      <w:marLeft w:val="0"/>
      <w:marRight w:val="0"/>
      <w:marTop w:val="0"/>
      <w:marBottom w:val="0"/>
      <w:divBdr>
        <w:top w:val="none" w:sz="0" w:space="0" w:color="auto"/>
        <w:left w:val="none" w:sz="0" w:space="0" w:color="auto"/>
        <w:bottom w:val="none" w:sz="0" w:space="0" w:color="auto"/>
        <w:right w:val="none" w:sz="0" w:space="0" w:color="auto"/>
      </w:divBdr>
    </w:div>
    <w:div w:id="2103985154">
      <w:bodyDiv w:val="1"/>
      <w:marLeft w:val="0"/>
      <w:marRight w:val="0"/>
      <w:marTop w:val="0"/>
      <w:marBottom w:val="0"/>
      <w:divBdr>
        <w:top w:val="none" w:sz="0" w:space="0" w:color="auto"/>
        <w:left w:val="none" w:sz="0" w:space="0" w:color="auto"/>
        <w:bottom w:val="none" w:sz="0" w:space="0" w:color="auto"/>
        <w:right w:val="none" w:sz="0" w:space="0" w:color="auto"/>
      </w:divBdr>
    </w:div>
    <w:div w:id="2104178226">
      <w:bodyDiv w:val="1"/>
      <w:marLeft w:val="0"/>
      <w:marRight w:val="0"/>
      <w:marTop w:val="0"/>
      <w:marBottom w:val="0"/>
      <w:divBdr>
        <w:top w:val="none" w:sz="0" w:space="0" w:color="auto"/>
        <w:left w:val="none" w:sz="0" w:space="0" w:color="auto"/>
        <w:bottom w:val="none" w:sz="0" w:space="0" w:color="auto"/>
        <w:right w:val="none" w:sz="0" w:space="0" w:color="auto"/>
      </w:divBdr>
    </w:div>
    <w:div w:id="2105104875">
      <w:bodyDiv w:val="1"/>
      <w:marLeft w:val="0"/>
      <w:marRight w:val="0"/>
      <w:marTop w:val="0"/>
      <w:marBottom w:val="0"/>
      <w:divBdr>
        <w:top w:val="none" w:sz="0" w:space="0" w:color="auto"/>
        <w:left w:val="none" w:sz="0" w:space="0" w:color="auto"/>
        <w:bottom w:val="none" w:sz="0" w:space="0" w:color="auto"/>
        <w:right w:val="none" w:sz="0" w:space="0" w:color="auto"/>
      </w:divBdr>
    </w:div>
    <w:div w:id="2105957810">
      <w:bodyDiv w:val="1"/>
      <w:marLeft w:val="0"/>
      <w:marRight w:val="0"/>
      <w:marTop w:val="0"/>
      <w:marBottom w:val="0"/>
      <w:divBdr>
        <w:top w:val="none" w:sz="0" w:space="0" w:color="auto"/>
        <w:left w:val="none" w:sz="0" w:space="0" w:color="auto"/>
        <w:bottom w:val="none" w:sz="0" w:space="0" w:color="auto"/>
        <w:right w:val="none" w:sz="0" w:space="0" w:color="auto"/>
      </w:divBdr>
    </w:div>
    <w:div w:id="2110853810">
      <w:bodyDiv w:val="1"/>
      <w:marLeft w:val="0"/>
      <w:marRight w:val="0"/>
      <w:marTop w:val="0"/>
      <w:marBottom w:val="0"/>
      <w:divBdr>
        <w:top w:val="none" w:sz="0" w:space="0" w:color="auto"/>
        <w:left w:val="none" w:sz="0" w:space="0" w:color="auto"/>
        <w:bottom w:val="none" w:sz="0" w:space="0" w:color="auto"/>
        <w:right w:val="none" w:sz="0" w:space="0" w:color="auto"/>
      </w:divBdr>
    </w:div>
    <w:div w:id="2112818485">
      <w:bodyDiv w:val="1"/>
      <w:marLeft w:val="0"/>
      <w:marRight w:val="0"/>
      <w:marTop w:val="0"/>
      <w:marBottom w:val="0"/>
      <w:divBdr>
        <w:top w:val="none" w:sz="0" w:space="0" w:color="auto"/>
        <w:left w:val="none" w:sz="0" w:space="0" w:color="auto"/>
        <w:bottom w:val="none" w:sz="0" w:space="0" w:color="auto"/>
        <w:right w:val="none" w:sz="0" w:space="0" w:color="auto"/>
      </w:divBdr>
    </w:div>
    <w:div w:id="2114088938">
      <w:bodyDiv w:val="1"/>
      <w:marLeft w:val="0"/>
      <w:marRight w:val="0"/>
      <w:marTop w:val="0"/>
      <w:marBottom w:val="0"/>
      <w:divBdr>
        <w:top w:val="none" w:sz="0" w:space="0" w:color="auto"/>
        <w:left w:val="none" w:sz="0" w:space="0" w:color="auto"/>
        <w:bottom w:val="none" w:sz="0" w:space="0" w:color="auto"/>
        <w:right w:val="none" w:sz="0" w:space="0" w:color="auto"/>
      </w:divBdr>
    </w:div>
    <w:div w:id="2114323363">
      <w:bodyDiv w:val="1"/>
      <w:marLeft w:val="0"/>
      <w:marRight w:val="0"/>
      <w:marTop w:val="0"/>
      <w:marBottom w:val="0"/>
      <w:divBdr>
        <w:top w:val="none" w:sz="0" w:space="0" w:color="auto"/>
        <w:left w:val="none" w:sz="0" w:space="0" w:color="auto"/>
        <w:bottom w:val="none" w:sz="0" w:space="0" w:color="auto"/>
        <w:right w:val="none" w:sz="0" w:space="0" w:color="auto"/>
      </w:divBdr>
    </w:div>
    <w:div w:id="2115009457">
      <w:bodyDiv w:val="1"/>
      <w:marLeft w:val="0"/>
      <w:marRight w:val="0"/>
      <w:marTop w:val="0"/>
      <w:marBottom w:val="0"/>
      <w:divBdr>
        <w:top w:val="none" w:sz="0" w:space="0" w:color="auto"/>
        <w:left w:val="none" w:sz="0" w:space="0" w:color="auto"/>
        <w:bottom w:val="none" w:sz="0" w:space="0" w:color="auto"/>
        <w:right w:val="none" w:sz="0" w:space="0" w:color="auto"/>
      </w:divBdr>
    </w:div>
    <w:div w:id="2116359017">
      <w:bodyDiv w:val="1"/>
      <w:marLeft w:val="0"/>
      <w:marRight w:val="0"/>
      <w:marTop w:val="0"/>
      <w:marBottom w:val="0"/>
      <w:divBdr>
        <w:top w:val="none" w:sz="0" w:space="0" w:color="auto"/>
        <w:left w:val="none" w:sz="0" w:space="0" w:color="auto"/>
        <w:bottom w:val="none" w:sz="0" w:space="0" w:color="auto"/>
        <w:right w:val="none" w:sz="0" w:space="0" w:color="auto"/>
      </w:divBdr>
    </w:div>
    <w:div w:id="2116631265">
      <w:bodyDiv w:val="1"/>
      <w:marLeft w:val="0"/>
      <w:marRight w:val="0"/>
      <w:marTop w:val="0"/>
      <w:marBottom w:val="0"/>
      <w:divBdr>
        <w:top w:val="none" w:sz="0" w:space="0" w:color="auto"/>
        <w:left w:val="none" w:sz="0" w:space="0" w:color="auto"/>
        <w:bottom w:val="none" w:sz="0" w:space="0" w:color="auto"/>
        <w:right w:val="none" w:sz="0" w:space="0" w:color="auto"/>
      </w:divBdr>
    </w:div>
    <w:div w:id="2116635880">
      <w:bodyDiv w:val="1"/>
      <w:marLeft w:val="0"/>
      <w:marRight w:val="0"/>
      <w:marTop w:val="0"/>
      <w:marBottom w:val="0"/>
      <w:divBdr>
        <w:top w:val="none" w:sz="0" w:space="0" w:color="auto"/>
        <w:left w:val="none" w:sz="0" w:space="0" w:color="auto"/>
        <w:bottom w:val="none" w:sz="0" w:space="0" w:color="auto"/>
        <w:right w:val="none" w:sz="0" w:space="0" w:color="auto"/>
      </w:divBdr>
    </w:div>
    <w:div w:id="2118324916">
      <w:bodyDiv w:val="1"/>
      <w:marLeft w:val="0"/>
      <w:marRight w:val="0"/>
      <w:marTop w:val="0"/>
      <w:marBottom w:val="0"/>
      <w:divBdr>
        <w:top w:val="none" w:sz="0" w:space="0" w:color="auto"/>
        <w:left w:val="none" w:sz="0" w:space="0" w:color="auto"/>
        <w:bottom w:val="none" w:sz="0" w:space="0" w:color="auto"/>
        <w:right w:val="none" w:sz="0" w:space="0" w:color="auto"/>
      </w:divBdr>
    </w:div>
    <w:div w:id="2120563456">
      <w:bodyDiv w:val="1"/>
      <w:marLeft w:val="0"/>
      <w:marRight w:val="0"/>
      <w:marTop w:val="0"/>
      <w:marBottom w:val="0"/>
      <w:divBdr>
        <w:top w:val="none" w:sz="0" w:space="0" w:color="auto"/>
        <w:left w:val="none" w:sz="0" w:space="0" w:color="auto"/>
        <w:bottom w:val="none" w:sz="0" w:space="0" w:color="auto"/>
        <w:right w:val="none" w:sz="0" w:space="0" w:color="auto"/>
      </w:divBdr>
    </w:div>
    <w:div w:id="2120834486">
      <w:bodyDiv w:val="1"/>
      <w:marLeft w:val="0"/>
      <w:marRight w:val="0"/>
      <w:marTop w:val="0"/>
      <w:marBottom w:val="0"/>
      <w:divBdr>
        <w:top w:val="none" w:sz="0" w:space="0" w:color="auto"/>
        <w:left w:val="none" w:sz="0" w:space="0" w:color="auto"/>
        <w:bottom w:val="none" w:sz="0" w:space="0" w:color="auto"/>
        <w:right w:val="none" w:sz="0" w:space="0" w:color="auto"/>
      </w:divBdr>
    </w:div>
    <w:div w:id="2123256601">
      <w:bodyDiv w:val="1"/>
      <w:marLeft w:val="0"/>
      <w:marRight w:val="0"/>
      <w:marTop w:val="0"/>
      <w:marBottom w:val="0"/>
      <w:divBdr>
        <w:top w:val="none" w:sz="0" w:space="0" w:color="auto"/>
        <w:left w:val="none" w:sz="0" w:space="0" w:color="auto"/>
        <w:bottom w:val="none" w:sz="0" w:space="0" w:color="auto"/>
        <w:right w:val="none" w:sz="0" w:space="0" w:color="auto"/>
      </w:divBdr>
    </w:div>
    <w:div w:id="2125491671">
      <w:bodyDiv w:val="1"/>
      <w:marLeft w:val="0"/>
      <w:marRight w:val="0"/>
      <w:marTop w:val="0"/>
      <w:marBottom w:val="0"/>
      <w:divBdr>
        <w:top w:val="none" w:sz="0" w:space="0" w:color="auto"/>
        <w:left w:val="none" w:sz="0" w:space="0" w:color="auto"/>
        <w:bottom w:val="none" w:sz="0" w:space="0" w:color="auto"/>
        <w:right w:val="none" w:sz="0" w:space="0" w:color="auto"/>
      </w:divBdr>
    </w:div>
    <w:div w:id="2125689649">
      <w:bodyDiv w:val="1"/>
      <w:marLeft w:val="0"/>
      <w:marRight w:val="0"/>
      <w:marTop w:val="0"/>
      <w:marBottom w:val="0"/>
      <w:divBdr>
        <w:top w:val="none" w:sz="0" w:space="0" w:color="auto"/>
        <w:left w:val="none" w:sz="0" w:space="0" w:color="auto"/>
        <w:bottom w:val="none" w:sz="0" w:space="0" w:color="auto"/>
        <w:right w:val="none" w:sz="0" w:space="0" w:color="auto"/>
      </w:divBdr>
    </w:div>
    <w:div w:id="2127654543">
      <w:bodyDiv w:val="1"/>
      <w:marLeft w:val="0"/>
      <w:marRight w:val="0"/>
      <w:marTop w:val="0"/>
      <w:marBottom w:val="0"/>
      <w:divBdr>
        <w:top w:val="none" w:sz="0" w:space="0" w:color="auto"/>
        <w:left w:val="none" w:sz="0" w:space="0" w:color="auto"/>
        <w:bottom w:val="none" w:sz="0" w:space="0" w:color="auto"/>
        <w:right w:val="none" w:sz="0" w:space="0" w:color="auto"/>
      </w:divBdr>
    </w:div>
    <w:div w:id="2128115305">
      <w:bodyDiv w:val="1"/>
      <w:marLeft w:val="0"/>
      <w:marRight w:val="0"/>
      <w:marTop w:val="0"/>
      <w:marBottom w:val="0"/>
      <w:divBdr>
        <w:top w:val="none" w:sz="0" w:space="0" w:color="auto"/>
        <w:left w:val="none" w:sz="0" w:space="0" w:color="auto"/>
        <w:bottom w:val="none" w:sz="0" w:space="0" w:color="auto"/>
        <w:right w:val="none" w:sz="0" w:space="0" w:color="auto"/>
      </w:divBdr>
    </w:div>
    <w:div w:id="2130199993">
      <w:bodyDiv w:val="1"/>
      <w:marLeft w:val="0"/>
      <w:marRight w:val="0"/>
      <w:marTop w:val="0"/>
      <w:marBottom w:val="0"/>
      <w:divBdr>
        <w:top w:val="none" w:sz="0" w:space="0" w:color="auto"/>
        <w:left w:val="none" w:sz="0" w:space="0" w:color="auto"/>
        <w:bottom w:val="none" w:sz="0" w:space="0" w:color="auto"/>
        <w:right w:val="none" w:sz="0" w:space="0" w:color="auto"/>
      </w:divBdr>
    </w:div>
    <w:div w:id="2130968992">
      <w:bodyDiv w:val="1"/>
      <w:marLeft w:val="0"/>
      <w:marRight w:val="0"/>
      <w:marTop w:val="0"/>
      <w:marBottom w:val="0"/>
      <w:divBdr>
        <w:top w:val="none" w:sz="0" w:space="0" w:color="auto"/>
        <w:left w:val="none" w:sz="0" w:space="0" w:color="auto"/>
        <w:bottom w:val="none" w:sz="0" w:space="0" w:color="auto"/>
        <w:right w:val="none" w:sz="0" w:space="0" w:color="auto"/>
      </w:divBdr>
    </w:div>
    <w:div w:id="2131165204">
      <w:bodyDiv w:val="1"/>
      <w:marLeft w:val="0"/>
      <w:marRight w:val="0"/>
      <w:marTop w:val="0"/>
      <w:marBottom w:val="0"/>
      <w:divBdr>
        <w:top w:val="none" w:sz="0" w:space="0" w:color="auto"/>
        <w:left w:val="none" w:sz="0" w:space="0" w:color="auto"/>
        <w:bottom w:val="none" w:sz="0" w:space="0" w:color="auto"/>
        <w:right w:val="none" w:sz="0" w:space="0" w:color="auto"/>
      </w:divBdr>
    </w:div>
    <w:div w:id="2133596074">
      <w:bodyDiv w:val="1"/>
      <w:marLeft w:val="0"/>
      <w:marRight w:val="0"/>
      <w:marTop w:val="0"/>
      <w:marBottom w:val="0"/>
      <w:divBdr>
        <w:top w:val="none" w:sz="0" w:space="0" w:color="auto"/>
        <w:left w:val="none" w:sz="0" w:space="0" w:color="auto"/>
        <w:bottom w:val="none" w:sz="0" w:space="0" w:color="auto"/>
        <w:right w:val="none" w:sz="0" w:space="0" w:color="auto"/>
      </w:divBdr>
    </w:div>
    <w:div w:id="2134592051">
      <w:bodyDiv w:val="1"/>
      <w:marLeft w:val="0"/>
      <w:marRight w:val="0"/>
      <w:marTop w:val="0"/>
      <w:marBottom w:val="0"/>
      <w:divBdr>
        <w:top w:val="none" w:sz="0" w:space="0" w:color="auto"/>
        <w:left w:val="none" w:sz="0" w:space="0" w:color="auto"/>
        <w:bottom w:val="none" w:sz="0" w:space="0" w:color="auto"/>
        <w:right w:val="none" w:sz="0" w:space="0" w:color="auto"/>
      </w:divBdr>
    </w:div>
    <w:div w:id="2134709427">
      <w:bodyDiv w:val="1"/>
      <w:marLeft w:val="0"/>
      <w:marRight w:val="0"/>
      <w:marTop w:val="0"/>
      <w:marBottom w:val="0"/>
      <w:divBdr>
        <w:top w:val="none" w:sz="0" w:space="0" w:color="auto"/>
        <w:left w:val="none" w:sz="0" w:space="0" w:color="auto"/>
        <w:bottom w:val="none" w:sz="0" w:space="0" w:color="auto"/>
        <w:right w:val="none" w:sz="0" w:space="0" w:color="auto"/>
      </w:divBdr>
    </w:div>
    <w:div w:id="2135714645">
      <w:bodyDiv w:val="1"/>
      <w:marLeft w:val="0"/>
      <w:marRight w:val="0"/>
      <w:marTop w:val="0"/>
      <w:marBottom w:val="0"/>
      <w:divBdr>
        <w:top w:val="none" w:sz="0" w:space="0" w:color="auto"/>
        <w:left w:val="none" w:sz="0" w:space="0" w:color="auto"/>
        <w:bottom w:val="none" w:sz="0" w:space="0" w:color="auto"/>
        <w:right w:val="none" w:sz="0" w:space="0" w:color="auto"/>
      </w:divBdr>
    </w:div>
    <w:div w:id="2135781102">
      <w:bodyDiv w:val="1"/>
      <w:marLeft w:val="0"/>
      <w:marRight w:val="0"/>
      <w:marTop w:val="0"/>
      <w:marBottom w:val="0"/>
      <w:divBdr>
        <w:top w:val="none" w:sz="0" w:space="0" w:color="auto"/>
        <w:left w:val="none" w:sz="0" w:space="0" w:color="auto"/>
        <w:bottom w:val="none" w:sz="0" w:space="0" w:color="auto"/>
        <w:right w:val="none" w:sz="0" w:space="0" w:color="auto"/>
      </w:divBdr>
    </w:div>
    <w:div w:id="2138450237">
      <w:bodyDiv w:val="1"/>
      <w:marLeft w:val="0"/>
      <w:marRight w:val="0"/>
      <w:marTop w:val="0"/>
      <w:marBottom w:val="0"/>
      <w:divBdr>
        <w:top w:val="none" w:sz="0" w:space="0" w:color="auto"/>
        <w:left w:val="none" w:sz="0" w:space="0" w:color="auto"/>
        <w:bottom w:val="none" w:sz="0" w:space="0" w:color="auto"/>
        <w:right w:val="none" w:sz="0" w:space="0" w:color="auto"/>
      </w:divBdr>
    </w:div>
    <w:div w:id="21427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customXml" Target="../customXml/item2.xml"/><Relationship Id="rId10" Type="http://schemas.openxmlformats.org/officeDocument/2006/relationships/image" Target="media/image20.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Cra17</b:Tag>
    <b:SourceType>Report</b:SourceType>
    <b:Guid>{8D985D31-BF13-4FA6-9B9F-B2514A5DA405}</b:Guid>
    <b:Author>
      <b:Author>
        <b:NameList>
          <b:Person>
            <b:Last>Craik</b:Last>
            <b:First>W</b:First>
          </b:Person>
          <b:Person>
            <b:Last>Palmer</b:Last>
            <b:First>D</b:First>
          </b:Person>
          <b:Person>
            <b:Last>Sheldrake</b:Last>
            <b:First>R</b:First>
          </b:Person>
        </b:NameList>
      </b:Author>
    </b:Author>
    <b:Title>Priorities for Australia’s biosecurity system, An independent review of the capacity of the national biosecurity system and its underpinning Intergovernmental Agreement</b:Title>
    <b:Year>2017</b:Year>
    <b:Publisher>Department of Agriculture and Water Resources</b:Publisher>
    <b:City>Canberra</b:City>
    <b:RefOrder>11</b:RefOrder>
  </b:Source>
  <b:Source>
    <b:Tag>Fis19</b:Tag>
    <b:SourceType>Report</b:SourceType>
    <b:Guid>{EE38902D-7D21-4233-8A5E-3AA36B2F0A74}</b:Guid>
    <b:Author>
      <b:Author>
        <b:NameList>
          <b:Person>
            <b:Last>Fisher</b:Last>
            <b:First>R</b:First>
          </b:Person>
          <b:Person>
            <b:Last>Davey</b:Last>
            <b:First>A</b:First>
          </b:Person>
        </b:NameList>
      </b:Author>
    </b:Author>
    <b:Title>Report on the Biosecurity Imports Levy</b:Title>
    <b:Year>2019</b:Year>
    <b:Publisher>Pegasus Economics</b:Publisher>
    <b:City>Canberra</b:City>
    <b:RefOrder>1</b:RefOrder>
  </b:Source>
  <b:Source>
    <b:Tag>Lit9a</b:Tag>
    <b:SourceType>JournalArticle</b:SourceType>
    <b:Guid>{6ADCBF6E-81C8-4DCE-BAD4-7A5AEDCE743C}</b:Guid>
    <b:Author>
      <b:Author>
        <b:NameList>
          <b:Person>
            <b:Last>Littleproud</b:Last>
            <b:First>D</b:First>
          </b:Person>
        </b:NameList>
      </b:Author>
    </b:Author>
    <b:Title>Announcement on biosecurity steering committee</b:Title>
    <b:JournalName>Media Statement from the Minister for Agriculture and Water Resources</b:JournalName>
    <b:Year>2019a</b:Year>
    <b:Pages>5 March</b:Pages>
    <b:RefOrder>34</b:RefOrder>
  </b:Source>
  <b:Source>
    <b:Tag>Dep8b1</b:Tag>
    <b:SourceType>Report</b:SourceType>
    <b:Guid>{821B2C50-DE47-464F-9454-703116880DEF}</b:Guid>
    <b:Title>Biosecurity Imports Levy: Industry Workshop 28 November 2018</b:Title>
    <b:Year>2018b</b:Year>
    <b:Author>
      <b:Author>
        <b:Corporate>Department of Agriculture and Water Resources</b:Corporate>
      </b:Author>
    </b:Author>
    <b:City>Canberra</b:City>
    <b:RefOrder>14</b:RefOrder>
  </b:Source>
  <b:Source>
    <b:Tag>Dep183</b:Tag>
    <b:SourceType>Report</b:SourceType>
    <b:Guid>{FCC4BBD6-79D0-453B-A868-A0967159B8AF}</b:Guid>
    <b:Title>Biosecurity Imports Levy Industry Presentation June 2018</b:Title>
    <b:Year>2018a</b:Year>
    <b:Author>
      <b:Author>
        <b:Corporate>Department of Agriculture and Water Resources</b:Corporate>
      </b:Author>
    </b:Author>
    <b:City>Canberra</b:City>
    <b:RefOrder>27</b:RefOrder>
  </b:Source>
  <b:Source>
    <b:Tag>Dep8a</b:Tag>
    <b:SourceType>Report</b:SourceType>
    <b:Guid>{E542C2BB-428E-4307-9AD8-3F1D620AA17C}</b:Guid>
    <b:Author>
      <b:Author>
        <b:Corporate>Department of Agriculture and Water Resources</b:Corporate>
      </b:Author>
    </b:Author>
    <b:Title>Biosecurity Imports Levy – Questions and answers</b:Title>
    <b:Year>2018c</b:Year>
    <b:City>Canberra</b:City>
    <b:RefOrder>26</b:RefOrder>
  </b:Source>
  <b:Source>
    <b:Tag>Ins17</b:Tag>
    <b:SourceType>Report</b:SourceType>
    <b:Guid>{9CF8A95A-548C-4929-AA30-5B0D57D76F52}</b:Guid>
    <b:Author>
      <b:Author>
        <b:Corporate>Inspector-General of Biosecurity</b:Corporate>
      </b:Author>
    </b:Author>
    <b:Title>Uncooked prawn imports: effectiveness of biosecurity controls</b:Title>
    <b:Year>2017</b:Year>
    <b:Publisher>Department of Agriculture and Water Resources</b:Publisher>
    <b:City>Canberra</b:City>
    <b:RefOrder>22</b:RefOrder>
  </b:Source>
  <b:Source>
    <b:Tag>Bea08</b:Tag>
    <b:SourceType>Report</b:SourceType>
    <b:Guid>{AF089BEE-FF79-488A-8153-746387AA9BA2}</b:Guid>
    <b:Author>
      <b:Author>
        <b:NameList>
          <b:Person>
            <b:Last>Beale</b:Last>
            <b:First>R</b:First>
          </b:Person>
          <b:Person>
            <b:Last>Fairbrother</b:Last>
            <b:First>J</b:First>
          </b:Person>
          <b:Person>
            <b:Last>Inglis</b:Last>
            <b:First>A</b:First>
          </b:Person>
          <b:Person>
            <b:Last>Trebeck</b:Last>
            <b:First>D</b:First>
          </b:Person>
        </b:NameList>
      </b:Author>
    </b:Author>
    <b:Title>One Biosecurity: A Working Partnership: The Independent Review of Australia’s Quarantine and Biosecurity Arrangements</b:Title>
    <b:Year>2008</b:Year>
    <b:Publisher>Commonwealth of Australia</b:Publisher>
    <b:City>Canberra</b:City>
    <b:RefOrder>9</b:RefOrder>
  </b:Source>
  <b:Source>
    <b:Tag>Dep14</b:Tag>
    <b:SourceType>Book</b:SourceType>
    <b:Guid>{47EF71D5-24F6-4F10-9316-59D12C2F594A}</b:Guid>
    <b:Title>Australian Government Cost Recovery Guidelines: Resource Management Guide No. 304 - July 2014 – Third edition</b:Title>
    <b:Year>2014</b:Year>
    <b:City>Canberra</b:City>
    <b:Author>
      <b:Author>
        <b:Corporate>Department of Finance</b:Corporate>
      </b:Author>
    </b:Author>
    <b:RefOrder>24</b:RefOrder>
  </b:Source>
  <b:Source>
    <b:Tag>Pro01</b:Tag>
    <b:SourceType>Report</b:SourceType>
    <b:Guid>{27A7C713-7659-4509-A5BA-0B4C529185A8}</b:Guid>
    <b:Title>Cost recovery by Government agencies</b:Title>
    <b:Year>2001</b:Year>
    <b:Author>
      <b:Author>
        <b:Corporate>Productivity Commission</b:Corporate>
      </b:Author>
    </b:Author>
    <b:Publisher>AusInfo</b:Publisher>
    <b:City>Canberra</b:City>
    <b:ThesisType>Report no. 15</b:ThesisType>
    <b:RefOrder>20</b:RefOrder>
  </b:Source>
  <b:Source>
    <b:Tag>Sen12</b:Tag>
    <b:SourceType>Report</b:SourceType>
    <b:Guid>{44AC2D2B-FC96-4EF8-8681-104930F1E4A3}</b:Guid>
    <b:Author>
      <b:Author>
        <b:Corporate>Senate Standing Committee on Rural and Regional Affairs and Transport References Committee</b:Corporate>
      </b:Author>
    </b:Author>
    <b:Title>Australia's Biosecurity and Quarantine Arrangments</b:Title>
    <b:Year>2012</b:Year>
    <b:Publisher>Parliament of the Commonwealth of Australia</b:Publisher>
    <b:City>Canberra</b:City>
    <b:RefOrder>23</b:RefOrder>
  </b:Source>
  <b:Source>
    <b:Tag>Com15</b:Tag>
    <b:SourceType>Report</b:SourceType>
    <b:Guid>{A558E05B-CFF1-414C-B6CE-741D49CC1B06}</b:Guid>
    <b:Title>Agricultural Competitiveness White Paper</b:Title>
    <b:Year>2015</b:Year>
    <b:Author>
      <b:Author>
        <b:Corporate>Commonwealth of Australia</b:Corporate>
      </b:Author>
    </b:Author>
    <b:City>Canberra</b:City>
    <b:RefOrder>8</b:RefOrder>
  </b:Source>
  <b:Source>
    <b:Tag>Bur12</b:Tag>
    <b:SourceType>Report</b:SourceType>
    <b:Guid>{D1223633-57DC-419F-B047-CFBAB5DDF4C6}</b:Guid>
    <b:Author>
      <b:Author>
        <b:Corporate>Bureau of Infrastructure, Transport and Regional Economics</b:Corporate>
      </b:Author>
    </b:Author>
    <b:Title>Air passenger movements through capital and non-capital city airports to 2030-31</b:Title>
    <b:Year>2012</b:Year>
    <b:City>Canberra</b:City>
    <b:ThesisType>Research Report 133</b:ThesisType>
    <b:Publisher>Department of Infrastructure and Transport</b:Publisher>
    <b:RefOrder>18</b:RefOrder>
  </b:Source>
  <b:Source>
    <b:Tag>Bur14</b:Tag>
    <b:SourceType>Report</b:SourceType>
    <b:Guid>{9FE8FDE5-1685-48AE-BDC0-5BF28EACE7D2}</b:Guid>
    <b:Author>
      <b:Author>
        <b:Corporate>Bureau of Infrastructure, Transport and Regional Economics</b:Corporate>
      </b:Author>
    </b:Author>
    <b:Title>Containerised and non-containerised trade through Australian ports to 2032–33</b:Title>
    <b:Year>2014</b:Year>
    <b:Publisher>Department of Infrastructure and Transport</b:Publisher>
    <b:City>Canberra</b:City>
    <b:ThesisType>Research Report 138</b:ThesisType>
    <b:RefOrder>19</b:RefOrder>
  </b:Source>
  <b:Source>
    <b:Tag>Dep15</b:Tag>
    <b:SourceType>Report</b:SourceType>
    <b:Guid>{897D6839-4325-4B11-941C-ADF3F12DE510}</b:Guid>
    <b:Author>
      <b:Author>
        <b:Corporate>Department of Agriculture and Water Resources</b:Corporate>
      </b:Author>
    </b:Author>
    <b:Title>Cost Recovery Implementation Statement, Biosecurity 2015–16</b:Title>
    <b:Year>2015</b:Year>
    <b:City>Canberra</b:City>
    <b:RefOrder>12</b:RefOrder>
  </b:Source>
  <b:Source>
    <b:Tag>The71</b:Tag>
    <b:SourceType>Book</b:SourceType>
    <b:Guid>{D3DF25AA-A2FA-42D3-A9F3-37B36919AE53}</b:Guid>
    <b:Title>The Logic of Collective Action: Public Goods and the Theory of Groups</b:Title>
    <b:Year>1971</b:Year>
    <b:City>Cambridge</b:City>
    <b:Publisher>Harvard University Press</b:Publisher>
    <b:Edition>2nd</b:Edition>
    <b:Author>
      <b:Author>
        <b:NameList>
          <b:Person>
            <b:Last>Olson</b:Last>
            <b:First>M</b:First>
          </b:Person>
        </b:NameList>
      </b:Author>
    </b:Author>
    <b:RefOrder>84</b:RefOrder>
  </b:Source>
  <b:Source>
    <b:Tag>Dan05</b:Tag>
    <b:SourceType>JournalArticle</b:SourceType>
    <b:Guid>{7DA1781B-416E-4F91-A11D-9856404D1832}</b:Guid>
    <b:Author>
      <b:Author>
        <b:NameList>
          <b:Person>
            <b:Last>Dantiki</b:Last>
            <b:First>S</b:First>
          </b:Person>
        </b:NameList>
      </b:Author>
    </b:Author>
    <b:Title>Organizing for Peace: Collective Action Problems and Humanitarian Intervention</b:Title>
    <b:JournalName>Journal of Military and Strategic Studies</b:JournalName>
    <b:Year>2005</b:Year>
    <b:Volume>7</b:Volume>
    <b:Issue>3</b:Issue>
    <b:RefOrder>85</b:RefOrder>
  </b:Source>
  <b:Source>
    <b:Tag>Dep13</b:Tag>
    <b:SourceType>Report</b:SourceType>
    <b:Guid>{CB18926C-F67F-45B3-96D7-58942C8CA722}</b:Guid>
    <b:Author>
      <b:Author>
        <b:Corporate>Department of Treasury and Finance</b:Corporate>
      </b:Author>
    </b:Author>
    <b:Title>Cost Recovery Guidelines - January 2013: Incorporating the information formerly published in the Guidelines for Setting Fees and User-Charges Imposed by Departments and Central Government Agencies</b:Title>
    <b:Year>2013</b:Year>
    <b:City>Melbourne</b:City>
    <b:RefOrder>86</b:RefOrder>
  </b:Source>
  <b:Source>
    <b:Tag>McN00</b:Tag>
    <b:SourceType>BookSection</b:SourceType>
    <b:Guid>{071B0B10-B625-46DB-819A-2FA6D71F846F}</b:Guid>
    <b:Title>Public Goods and Club Goods</b:Title>
    <b:Year>2000</b:Year>
    <b:Publisher>Edward Elgar</b:Publisher>
    <b:City>Cheltenham</b:City>
    <b:Author>
      <b:Author>
        <b:NameList>
          <b:Person>
            <b:Last>McNutt</b:Last>
            <b:First>P</b:First>
          </b:Person>
        </b:NameList>
      </b:Author>
      <b:BookAuthor>
        <b:NameList>
          <b:Person>
            <b:Last>Bouckaert</b:Last>
            <b:First>B</b:First>
          </b:Person>
          <b:Person>
            <b:Last>deGeest</b:Last>
            <b:First>G</b:First>
          </b:Person>
        </b:NameList>
      </b:BookAuthor>
    </b:Author>
    <b:BookTitle>Encyclopedia of Law and Economics, Volume I, The History and Methodology of Law and Economics</b:BookTitle>
    <b:Pages>927-951</b:Pages>
    <b:RefOrder>87</b:RefOrder>
  </b:Source>
  <b:Source>
    <b:Tag>Sco02</b:Tag>
    <b:SourceType>BookSection</b:SourceType>
    <b:Guid>{C273D1DA-376B-4C3A-93D2-D83F6E8A615A}</b:Guid>
    <b:Author>
      <b:Author>
        <b:NameList>
          <b:Person>
            <b:Last>Scotchmer</b:Last>
            <b:First>S</b:First>
          </b:Person>
        </b:NameList>
      </b:Author>
      <b:BookAuthor>
        <b:NameList>
          <b:Person>
            <b:Last>Auerbach</b:Last>
            <b:First>A</b:First>
            <b:Middle>J</b:Middle>
          </b:Person>
          <b:Person>
            <b:Last>Feldstein</b:Last>
            <b:First>M</b:First>
          </b:Person>
        </b:NameList>
      </b:BookAuthor>
    </b:Author>
    <b:Title>Local Public Goods and Clubs</b:Title>
    <b:BookTitle>Handbook of Public Economics, Volume 4</b:BookTitle>
    <b:Year>2002</b:Year>
    <b:Pages>1997-2042</b:Pages>
    <b:City>Amsterdam</b:City>
    <b:Publisher>Elsevier Science B.V.</b:Publisher>
    <b:RefOrder>88</b:RefOrder>
  </b:Source>
  <b:Source>
    <b:Tag>And</b:Tag>
    <b:SourceType>BookSection</b:SourceType>
    <b:Guid>{56C86747-D4D1-4399-BE0E-47CDA49CDAD9}</b:Guid>
    <b:Author>
      <b:Author>
        <b:NameList>
          <b:Person>
            <b:Last>Anderson</b:Last>
            <b:First>G</b:First>
            <b:Middle>M</b:Middle>
          </b:Person>
          <b:Person>
            <b:Last>Shughart II</b:Last>
            <b:First>W</b:First>
            <b:Middle>F</b:Middle>
          </b:Person>
          <b:Person>
            <b:Last>Tollison</b:Last>
            <b:First>R</b:First>
            <b:Middle>D</b:Middle>
          </b:Person>
        </b:NameList>
      </b:Author>
      <b:BookAuthor>
        <b:NameList>
          <b:Person>
            <b:Last>Rowley</b:Last>
            <b:First>C</b:First>
            <b:Middle>K</b:Middle>
          </b:Person>
          <b:Person>
            <b:Last>Schnieder</b:Last>
            <b:First>F</b:First>
          </b:Person>
        </b:NameList>
      </b:BookAuthor>
    </b:Author>
    <b:Title>The Economic Theory of Clubs</b:Title>
    <b:BookTitle>The Encyclopedia of Public Choice</b:BookTitle>
    <b:Year>2004</b:Year>
    <b:Pages>175-180</b:Pages>
    <b:City>New York</b:City>
    <b:Publisher>Kluwer Academic Publishers</b:Publisher>
    <b:RefOrder>89</b:RefOrder>
  </b:Source>
  <b:Source>
    <b:Tag>Hou91</b:Tag>
    <b:SourceType>Report</b:SourceType>
    <b:Guid>{40431096-D3DB-411C-9756-685E28F7BBC2}</b:Guid>
    <b:Title>A pocket full of change: banking and deregulation</b:Title>
    <b:Year>1991</b:Year>
    <b:City>Canberra</b:City>
    <b:Publisher>AGPS</b:Publisher>
    <b:Author>
      <b:Author>
        <b:Corporate>House of Representatives Standing Committee on Finance and Public Administration, Parliament of the Commonwealth of Australia</b:Corporate>
      </b:Author>
    </b:Author>
    <b:RefOrder>90</b:RefOrder>
  </b:Source>
  <b:Source>
    <b:Tag>The02</b:Tag>
    <b:SourceType>Report</b:SourceType>
    <b:Guid>{F8E8A7BB-5BF5-46ED-BBD0-F9E47E5DEB26}</b:Guid>
    <b:Author>
      <b:Author>
        <b:Corporate>The Treasury (New Zealand)</b:Corporate>
      </b:Author>
    </b:Author>
    <b:Title>Guidelines for Setting Charges in the Public Sector - December 2002</b:Title>
    <b:Year>2002</b:Year>
    <b:City>Wellington</b:City>
    <b:RefOrder>76</b:RefOrder>
  </b:Source>
  <b:Source>
    <b:Tag>Par00</b:Tag>
    <b:SourceType>Report</b:SourceType>
    <b:Guid>{A9010CFC-63F6-4F24-8446-3697B11A1213}</b:Guid>
    <b:Author>
      <b:Author>
        <b:Corporate>Parliamentary Commissioner for the Environment (New Zealand)</b:Corporate>
      </b:Author>
    </b:Author>
    <b:Title>New Zealand Under Siege: A review of the management of biosecurity risks to the environment</b:Title>
    <b:Year>2000</b:Year>
    <b:City>Wellington</b:City>
    <b:RefOrder>81</b:RefOrder>
  </b:Source>
  <b:Source>
    <b:Tag>Cou19</b:Tag>
    <b:SourceType>Report</b:SourceType>
    <b:Guid>{A6BF1063-7474-4B2F-A4CA-AD2CF3759753}</b:Guid>
    <b:Author>
      <b:Author>
        <b:Corporate>Council of Australian Governments</b:Corporate>
      </b:Author>
    </b:Author>
    <b:Title>Intergovernmental Agreement on Biosecurity</b:Title>
    <b:Year>2019</b:Year>
    <b:City>Canberra</b:City>
    <b:RefOrder>82</b:RefOrder>
  </b:Source>
  <b:Source>
    <b:Tag>Sti00</b:Tag>
    <b:SourceType>Book</b:SourceType>
    <b:Guid>{9C3258B2-8DDB-48A7-A627-9BD2971CBB62}</b:Guid>
    <b:Author>
      <b:Author>
        <b:NameList>
          <b:Person>
            <b:Last>Stiglitz</b:Last>
            <b:First>J</b:First>
          </b:Person>
        </b:NameList>
      </b:Author>
    </b:Author>
    <b:Title>Economics of the Public Sector, Third Edition</b:Title>
    <b:Year>2000</b:Year>
    <b:City>New York</b:City>
    <b:Publisher>Norton</b:Publisher>
    <b:RefOrder>91</b:RefOrder>
  </b:Source>
  <b:Source>
    <b:Tag>Hen0a</b:Tag>
    <b:SourceType>Report</b:SourceType>
    <b:Guid>{F232EFF5-37C4-4C6E-953E-FA0F1005F70B}</b:Guid>
    <b:Author>
      <b:Author>
        <b:NameList>
          <b:Person>
            <b:Last>Henry</b:Last>
            <b:First>K</b:First>
          </b:Person>
          <b:Person>
            <b:Last>Harmer</b:Last>
            <b:First>J</b:First>
          </b:Person>
          <b:Person>
            <b:Last>Piggott</b:Last>
            <b:First>J</b:First>
          </b:Person>
          <b:Person>
            <b:Last>Ridout</b:Last>
            <b:First>H</b:First>
          </b:Person>
          <b:Person>
            <b:Last>Smith</b:Last>
            <b:First>G</b:First>
          </b:Person>
        </b:NameList>
      </b:Author>
    </b:Author>
    <b:Title>Australia's Future Tax System: Report to the Treasurer, Part 1 Overview</b:Title>
    <b:Year>2009</b:Year>
    <b:City>Canberra</b:City>
    <b:Publisher>Commonwealth of Australia</b:Publisher>
    <b:RefOrder>30</b:RefOrder>
  </b:Source>
  <b:Source>
    <b:Tag>Hil93</b:Tag>
    <b:SourceType>Report</b:SourceType>
    <b:Guid>{6D44D8B4-AE10-4B31-81F0-B2113BBEB0B4}</b:Guid>
    <b:Author>
      <b:Author>
        <b:NameList>
          <b:Person>
            <b:Last>Hilmer</b:Last>
            <b:First>F</b:First>
            <b:Middle>G</b:Middle>
          </b:Person>
          <b:Person>
            <b:Last>Rayner</b:Last>
            <b:First>M</b:First>
            <b:Middle>R</b:Middle>
          </b:Person>
          <b:Person>
            <b:Last>Taperell</b:Last>
            <b:First>G</b:First>
            <b:Middle>Q</b:Middle>
          </b:Person>
        </b:NameList>
      </b:Author>
    </b:Author>
    <b:Title>Hilmer, F. G., Rayner, M.National Competition Policy: Report by the Independent Committee of Inquiry</b:Title>
    <b:Year>1993</b:Year>
    <b:Publisher>AGPS</b:Publisher>
    <b:City>Canberra</b:City>
    <b:RefOrder>33</b:RefOrder>
  </b:Source>
  <b:Source>
    <b:Tag>Placeholder2</b:Tag>
    <b:SourceType>BookSection</b:SourceType>
    <b:Guid>{9DEFE8A9-43CE-4128-9872-BE0C6A6A98A3}</b:Guid>
    <b:Author>
      <b:Author>
        <b:NameList>
          <b:Person>
            <b:Last>Watson</b:Last>
            <b:First>H</b:First>
          </b:Person>
        </b:NameList>
      </b:Author>
      <b:BookAuthor>
        <b:NameList>
          <b:Person>
            <b:Last>Cordes</b:Last>
            <b:First>J</b:First>
            <b:Middle>J</b:Middle>
          </b:Person>
          <b:Person>
            <b:Last>Ebel</b:Last>
            <b:First>R</b:First>
            <b:Middle>D</b:Middle>
          </b:Person>
          <b:Person>
            <b:Last>Gravelle</b:Last>
            <b:First>J</b:First>
            <b:Middle>G</b:Middle>
          </b:Person>
        </b:NameList>
      </b:BookAuthor>
    </b:Author>
    <b:Title>Excess Burden</b:Title>
    <b:Year>2005</b:Year>
    <b:Publisher>The Urban Institute Press</b:Publisher>
    <b:City>Washington DC</b:City>
    <b:BookTitle>The Encyclopedia of Taxation &amp; Tax Policy</b:BookTitle>
    <b:Pages>121-122</b:Pages>
    <b:RefOrder>92</b:RefOrder>
  </b:Source>
  <b:Source>
    <b:Tag>The18</b:Tag>
    <b:SourceType>Report</b:SourceType>
    <b:Guid>{1205DA76-6278-41BA-B54F-0E60145E4214}</b:Guid>
    <b:Author>
      <b:Author>
        <b:Corporate>Commonwealth of Australia</b:Corporate>
      </b:Author>
    </b:Author>
    <b:Title>Budget 2018-19: Budget Measures Budget Paper No. 2 2018-19</b:Title>
    <b:Year>2018</b:Year>
    <b:Publisher>The Treasury</b:Publisher>
    <b:City>Canberra</b:City>
    <b:RefOrder>13</b:RefOrder>
  </b:Source>
  <b:Source>
    <b:Tag>Com19</b:Tag>
    <b:SourceType>Report</b:SourceType>
    <b:Guid>{29656A20-DDE3-4D7D-94E8-EE451C27F4A2}</b:Guid>
    <b:Author>
      <b:Author>
        <b:Corporate>Commonwealth of Australia</b:Corporate>
      </b:Author>
    </b:Author>
    <b:Title>Budget 2019-20: Budget Measures Budget Paper No. 2 2019-20</b:Title>
    <b:Year>2019</b:Year>
    <b:City>Canberra</b:City>
    <b:RefOrder>3</b:RefOrder>
  </b:Source>
  <b:Source>
    <b:Tag>Mar14</b:Tag>
    <b:SourceType>JournalArticle</b:SourceType>
    <b:Guid>{142BFB3F-7C77-4C52-947F-3DF65403FAD8}</b:Guid>
    <b:Title>Some considerations regarding the effects of taxation on the economy</b:Title>
    <b:Year>2014</b:Year>
    <b:JournalName>Procedia Economics and Finance</b:JournalName>
    <b:Pages>688 – 695</b:Pages>
    <b:Author>
      <b:Author>
        <b:NameList>
          <b:Person>
            <b:Last>Marius-Răzvan</b:Last>
            <b:First>S</b:First>
          </b:Person>
          <b:Person>
            <b:Last>Camelia</b:Last>
            <b:First>S</b:First>
          </b:Person>
        </b:NameList>
      </b:Author>
    </b:Author>
    <b:Volume>8</b:Volume>
    <b:RefOrder>93</b:RefOrder>
  </b:Source>
  <b:Source>
    <b:Tag>Buc66</b:Tag>
    <b:SourceType>JournalArticle</b:SourceType>
    <b:Guid>{52374B78-41A9-4DE2-A383-715A0F140978}</b:Guid>
    <b:Author>
      <b:Author>
        <b:NameList>
          <b:Person>
            <b:Last>Buchanan</b:Last>
            <b:First>J</b:First>
            <b:Middle>M</b:Middle>
          </b:Person>
        </b:NameList>
      </b:Author>
    </b:Author>
    <b:Title>Externality in Tax Response</b:Title>
    <b:JournalName>Southern Economic Journal</b:JournalName>
    <b:Year>1966</b:Year>
    <b:Pages>35-42</b:Pages>
    <b:Volume>33</b:Volume>
    <b:RefOrder>79</b:RefOrder>
  </b:Source>
  <b:Source>
    <b:Tag>San75</b:Tag>
    <b:SourceType>JournalArticle</b:SourceType>
    <b:Guid>{3A603FF2-EB2C-4B3F-87B5-15C6078E0718}</b:Guid>
    <b:Author>
      <b:Author>
        <b:NameList>
          <b:Person>
            <b:Last>Sandmo</b:Last>
            <b:First>A</b:First>
          </b:Person>
        </b:NameList>
      </b:Author>
    </b:Author>
    <b:Title>Optimal Taxation in the Presence of Externalities</b:Title>
    <b:JournalName>The Swedish Journal of Economics</b:JournalName>
    <b:Year>1975</b:Year>
    <b:Pages>86-98</b:Pages>
    <b:Volume>77</b:Volume>
    <b:RefOrder>94</b:RefOrder>
  </b:Source>
  <b:Source>
    <b:Tag>Upt71</b:Tag>
    <b:SourceType>JournalArticle</b:SourceType>
    <b:Guid>{1AEC01F9-D059-48CB-AEBA-039F72DA3C45}</b:Guid>
    <b:Author>
      <b:Author>
        <b:NameList>
          <b:Person>
            <b:Last>Upton</b:Last>
            <b:First>C</b:First>
          </b:Person>
        </b:NameList>
      </b:Author>
    </b:Author>
    <b:Title>The Allocation of Pollution Rights</b:Title>
    <b:JournalName>National Tax Association</b:JournalName>
    <b:Year>1971</b:Year>
    <b:Pages>116-123</b:Pages>
    <b:Volume>64</b:Volume>
    <b:RefOrder>78</b:RefOrder>
  </b:Source>
  <b:Source>
    <b:Tag>Pig</b:Tag>
    <b:SourceType>Book</b:SourceType>
    <b:Guid>{2D2B323B-B84D-43F5-BB0F-A8C354C63145}</b:Guid>
    <b:Author>
      <b:Author>
        <b:NameList>
          <b:Person>
            <b:Last>Pigou</b:Last>
            <b:First>A</b:First>
          </b:Person>
        </b:NameList>
      </b:Author>
    </b:Author>
    <b:Title>The Economics of Welfare</b:Title>
    <b:Publisher>MacMillan</b:Publisher>
    <b:Year>1932</b:Year>
    <b:City>London</b:City>
    <b:Edition>4th</b:Edition>
    <b:RefOrder>77</b:RefOrder>
  </b:Source>
  <b:Source>
    <b:Tag>Smi61</b:Tag>
    <b:SourceType>Book</b:SourceType>
    <b:Guid>{FCEE65C1-3DC9-40EF-82AC-B49383ABEC7E}</b:Guid>
    <b:Author>
      <b:Author>
        <b:NameList>
          <b:Person>
            <b:Last>Smith</b:Last>
            <b:First>A</b:First>
          </b:Person>
        </b:NameList>
      </b:Author>
      <b:Editor>
        <b:NameList>
          <b:Person>
            <b:Last>Soares</b:Last>
            <b:First>S</b:First>
            <b:Middle>M</b:Middle>
          </b:Person>
        </b:NameList>
      </b:Editor>
    </b:Author>
    <b:Title>An Inquiry into the Nature and Causes of The Wealth of Nations</b:Title>
    <b:Year>2007</b:Year>
    <b:City>Amsterdam</b:City>
    <b:Publisher>MetaLibri</b:Publisher>
    <b:Edition>MetaLibri Digital Edition</b:Edition>
    <b:RefOrder>29</b:RefOrder>
  </b:Source>
  <b:Source>
    <b:Tag>Woo89</b:Tag>
    <b:SourceType>Book</b:SourceType>
    <b:Guid>{D33C0405-CAD5-4E45-A754-39A26C24F901}</b:Guid>
    <b:Title>Property tax principle and practice</b:Title>
    <b:Year>1989</b:Year>
    <b:Author>
      <b:Author>
        <b:NameList>
          <b:Person>
            <b:Last>Woolery</b:Last>
            <b:First>A</b:First>
          </b:Person>
        </b:NameList>
      </b:Author>
    </b:Author>
    <b:City>Cambridge M.A.</b:City>
    <b:Publisher>Lincoln Institute of Land Policy</b:Publisher>
    <b:RefOrder>31</b:RefOrder>
  </b:Source>
  <b:Source>
    <b:Tag>Atk80</b:Tag>
    <b:SourceType>Book</b:SourceType>
    <b:Guid>{CFE5094A-1D53-40B9-9E57-4D9D1C0B3092}</b:Guid>
    <b:Author>
      <b:Author>
        <b:NameList>
          <b:Person>
            <b:Last>Atkinson</b:Last>
            <b:First>A</b:First>
            <b:Middle>B</b:Middle>
          </b:Person>
          <b:Person>
            <b:Last>Stiglitz</b:Last>
            <b:First>J</b:First>
            <b:Middle>E</b:Middle>
          </b:Person>
        </b:NameList>
      </b:Author>
    </b:Author>
    <b:Title>Lectures on Public Economics</b:Title>
    <b:Year>1980</b:Year>
    <b:City>New York</b:City>
    <b:Publisher>McGraw-Hill</b:Publisher>
    <b:RefOrder>32</b:RefOrder>
  </b:Source>
  <b:Source>
    <b:Tag>Mus90</b:Tag>
    <b:SourceType>JournalArticle</b:SourceType>
    <b:Guid>{1FCFA78E-1A1A-4463-BD11-5567DDFDD884}</b:Guid>
    <b:Title>Horizontal Equity, Once More</b:Title>
    <b:Year>1990</b:Year>
    <b:Author>
      <b:Author>
        <b:NameList>
          <b:Person>
            <b:Last>Musgrave</b:Last>
            <b:First>R</b:First>
            <b:Middle>A</b:Middle>
          </b:Person>
        </b:NameList>
      </b:Author>
    </b:Author>
    <b:JournalName>National Tax Journal</b:JournalName>
    <b:Pages>113-122</b:Pages>
    <b:Volume>43</b:Volume>
    <b:RefOrder>95</b:RefOrder>
  </b:Source>
  <b:Source>
    <b:Tag>Shi10</b:Tag>
    <b:SourceType>Report</b:SourceType>
    <b:Guid>{B27E561C-6E55-4083-B01C-4123DFB6F629}</b:Guid>
    <b:Title>Assessment to support continued development of the EU Strategy to combat invasive alien species: Final Report for the European Commission</b:Title>
    <b:Year>2010</b:Year>
    <b:Author>
      <b:Author>
        <b:NameList>
          <b:Person>
            <b:Last>Shine</b:Last>
            <b:First>C</b:First>
          </b:Person>
          <b:Person>
            <b:Last>Kettunen</b:Last>
            <b:First>M</b:First>
          </b:Person>
          <b:Person>
            <b:Last>Genovesi</b:Last>
            <b:First>P</b:First>
          </b:Person>
          <b:Person>
            <b:Last>Essl</b:Last>
            <b:First>F</b:First>
          </b:Person>
          <b:Person>
            <b:Last>Gollasch</b:Last>
            <b:First>S</b:First>
          </b:Person>
          <b:Person>
            <b:Last>Rabitsch</b:Last>
            <b:First>W</b:First>
          </b:Person>
          <b:Person>
            <b:Last>Scalera</b:Last>
            <b:First>R</b:First>
          </b:Person>
          <b:Person>
            <b:Last>Starfinger</b:Last>
            <b:First>U</b:First>
          </b:Person>
          <b:Person>
            <b:Last>ten Brink</b:Last>
            <b:First>P</b:First>
          </b:Person>
        </b:NameList>
      </b:Author>
    </b:Author>
    <b:Publisher>Institute for European Environmental Policy</b:Publisher>
    <b:City>Brussels</b:City>
    <b:RefOrder>17</b:RefOrder>
  </b:Source>
  <b:Source>
    <b:Tag>Hul08</b:Tag>
    <b:SourceType>JournalArticle</b:SourceType>
    <b:Guid>{8419E528-0286-45B5-9AEF-F4B75E542DD1}</b:Guid>
    <b:Title>Grasping at the routes of biological invasions: a framework for integrating pathways into policy</b:Title>
    <b:Year>2008</b:Year>
    <b:Author>
      <b:Author>
        <b:NameList>
          <b:Person>
            <b:Last>Hulme</b:Last>
            <b:First>P</b:First>
            <b:Middle>E</b:Middle>
          </b:Person>
          <b:Person>
            <b:Last>Bacher</b:Last>
            <b:First>S</b:First>
          </b:Person>
          <b:Person>
            <b:Last>Kenis</b:Last>
            <b:First>M</b:First>
          </b:Person>
          <b:Person>
            <b:Last>Klotz</b:Last>
            <b:First>S</b:First>
          </b:Person>
          <b:Person>
            <b:Last>Kühn</b:Last>
            <b:First>I</b:First>
          </b:Person>
          <b:Person>
            <b:Last>Minchin</b:Last>
            <b:First>D</b:First>
          </b:Person>
          <b:Person>
            <b:Last>Nentwig</b:Last>
            <b:First>W</b:First>
          </b:Person>
          <b:Person>
            <b:Last>Olenin</b:Last>
            <b:First>S</b:First>
          </b:Person>
          <b:Person>
            <b:Last>Panov</b:Last>
            <b:First>V</b:First>
          </b:Person>
          <b:Person>
            <b:Last>Pergl</b:Last>
            <b:First>J</b:First>
          </b:Person>
          <b:Person>
            <b:Last>Pysek</b:Last>
            <b:First>P</b:First>
          </b:Person>
          <b:Person>
            <b:Last>Roques</b:Last>
            <b:First>A</b:First>
          </b:Person>
          <b:Person>
            <b:Last>Sol</b:Last>
            <b:First>D</b:First>
          </b:Person>
          <b:Person>
            <b:Last>Solarz</b:Last>
            <b:First>W</b:First>
          </b:Person>
          <b:Person>
            <b:Last>Vilà</b:Last>
            <b:First>M</b:First>
          </b:Person>
        </b:NameList>
      </b:Author>
    </b:Author>
    <b:JournalName>Journal of Applied Ecology</b:JournalName>
    <b:Pages>403–414</b:Pages>
    <b:Volume>45</b:Volume>
    <b:RefOrder>61</b:RefOrder>
  </b:Source>
  <b:Source>
    <b:Tag>Hul15</b:Tag>
    <b:SourceType>JournalArticle</b:SourceType>
    <b:Guid>{4EB60E54-424B-4F67-BC58-93B802FEB550}</b:Guid>
    <b:Author>
      <b:Author>
        <b:NameList>
          <b:Person>
            <b:Last>Hulme</b:Last>
            <b:First>P</b:First>
            <b:Middle>E</b:Middle>
          </b:Person>
        </b:NameList>
      </b:Author>
    </b:Author>
    <b:Title>Invasion pathways at a crossroad: policy and research challenges for managing alien species introductions</b:Title>
    <b:JournalName>Journal of Applied Ecology</b:JournalName>
    <b:Year>2015</b:Year>
    <b:Pages>1418–1424</b:Pages>
    <b:Volume>52</b:Volume>
    <b:RefOrder>62</b:RefOrder>
  </b:Source>
  <b:Source>
    <b:Tag>Int00</b:Tag>
    <b:SourceType>Report</b:SourceType>
    <b:Guid>{D1EECD87-A3F0-436E-AE43-204027DCC87F}</b:Guid>
    <b:Author>
      <b:Author>
        <b:Corporate>International Union for Conservation of Nature</b:Corporate>
      </b:Author>
    </b:Author>
    <b:Title>Guidelines for the Prevention of Biodiversity Loss Caused by Alien Invasive Species</b:Title>
    <b:Year>2000</b:Year>
    <b:City>Geneva</b:City>
    <b:RefOrder>4</b:RefOrder>
  </b:Source>
  <b:Source>
    <b:Tag>Hul09</b:Tag>
    <b:SourceType>JournalArticle</b:SourceType>
    <b:Guid>{6BADF544-2B7A-4C83-9E2A-71F8AECABE60}</b:Guid>
    <b:Title>Trade, transport and trouble: managing invasive species pathways in an era of globalization</b:Title>
    <b:Year>2009</b:Year>
    <b:Author>
      <b:Author>
        <b:NameList>
          <b:Person>
            <b:Last>Hulme</b:Last>
            <b:First>P</b:First>
            <b:Middle>E</b:Middle>
          </b:Person>
        </b:NameList>
      </b:Author>
    </b:Author>
    <b:JournalName>Journal of Applied Ecology</b:JournalName>
    <b:Pages>10–18</b:Pages>
    <b:Volume>46</b:Volume>
    <b:RefOrder>64</b:RefOrder>
  </b:Source>
  <b:Source>
    <b:Tag>Ket09</b:Tag>
    <b:SourceType>Report</b:SourceType>
    <b:Guid>{0E751B99-5C77-4B75-BBDD-0EB4250E86EC}</b:Guid>
    <b:Title>Technical support to EU strategy on invasive alien species (IAS)-Assessment of the impacts of IAS in Europe and the EU</b:Title>
    <b:Year>2009</b:Year>
    <b:Author>
      <b:Author>
        <b:NameList>
          <b:Person>
            <b:Last>Kettunen</b:Last>
            <b:First>M</b:First>
          </b:Person>
          <b:Person>
            <b:Last>Genovesi</b:Last>
            <b:First>P</b:First>
          </b:Person>
          <b:Person>
            <b:Last>Gollasch</b:Last>
            <b:First>S</b:First>
          </b:Person>
          <b:Person>
            <b:Last>Pagad</b:Last>
            <b:First>S</b:First>
          </b:Person>
          <b:Person>
            <b:Last>Starfinger</b:Last>
            <b:First>U</b:First>
          </b:Person>
          <b:Person>
            <b:Last>ten Brink</b:Last>
            <b:First>P</b:First>
          </b:Person>
          <b:Person>
            <b:Last>Shine</b:Last>
            <b:First>C</b:First>
          </b:Person>
        </b:NameList>
      </b:Author>
    </b:Author>
    <b:Publisher>Institute for European Environmental</b:Publisher>
    <b:City>Brussels</b:City>
    <b:RefOrder>5</b:RefOrder>
  </b:Source>
  <b:Source>
    <b:Tag>Roy18</b:Tag>
    <b:SourceType>JournalArticle</b:SourceType>
    <b:Guid>{857FA713-BE21-4822-8248-A0964F5222C2}</b:Guid>
    <b:Title>Developing a framework of minimum standards for the risk assessment of alien species</b:Title>
    <b:Year>2018</b:Year>
    <b:Author>
      <b:Author>
        <b:NameList>
          <b:Person>
            <b:Last>Roy</b:Last>
            <b:First>H</b:First>
            <b:Middle>E</b:Middle>
          </b:Person>
          <b:Person>
            <b:Last>Rabitsch</b:Last>
            <b:First>W</b:First>
          </b:Person>
          <b:Person>
            <b:Last>Scalera</b:Last>
            <b:First>R</b:First>
          </b:Person>
          <b:Person>
            <b:Last>Stewart</b:Last>
            <b:First>A</b:First>
          </b:Person>
          <b:Person>
            <b:Last>Gallardo</b:Last>
            <b:First>B</b:First>
          </b:Person>
          <b:Person>
            <b:Last>Genoves</b:Last>
            <b:First>P</b:First>
          </b:Person>
          <b:Person>
            <b:Last>Essl</b:Last>
            <b:First>F</b:First>
          </b:Person>
          <b:Person>
            <b:Last>Adriaens</b:Last>
            <b:First>T</b:First>
          </b:Person>
          <b:Person>
            <b:Last>Bacher</b:Last>
            <b:First>S</b:First>
          </b:Person>
          <b:Person>
            <b:Last>Booy</b:Last>
            <b:First>O</b:First>
          </b:Person>
          <b:Person>
            <b:Last>Branquart</b:Last>
            <b:First>E</b:First>
          </b:Person>
          <b:Person>
            <b:Last>Brunel</b:Last>
            <b:First>S</b:First>
          </b:Person>
          <b:Person>
            <b:Last>Zenetos</b:Last>
            <b:First>A</b:First>
          </b:Person>
        </b:NameList>
      </b:Author>
    </b:Author>
    <b:JournalName>Journal of Applied Ecology</b:JournalName>
    <b:Pages>526–538</b:Pages>
    <b:Volume>55</b:Volume>
    <b:RefOrder>63</b:RefOrder>
  </b:Source>
  <b:Source>
    <b:Tag>Bue13</b:Tag>
    <b:SourceType>Report</b:SourceType>
    <b:Guid>{C10AF483-7FE0-4372-83C8-81B988759156}</b:Guid>
    <b:Title>Consequences of a foot-and-mouth disease outbreak</b:Title>
    <b:Year> 2013</b:Year>
    <b:Author>
      <b:Author>
        <b:NameList>
          <b:Person>
            <b:Last>Buetre</b:Last>
            <b:First>B</b:First>
          </b:Person>
          <b:Person>
            <b:Last>Wicks</b:Last>
            <b:First>S</b:First>
          </b:Person>
          <b:Person>
            <b:Last>Kruger</b:Last>
            <b:First>H</b:First>
          </b:Person>
          <b:Person>
            <b:Last>Millist</b:Last>
            <b:First>N</b:First>
          </b:Person>
          <b:Person>
            <b:Last>Yainshet</b:Last>
            <b:First>A</b:First>
          </b:Person>
          <b:Person>
            <b:Last>Symes</b:Last>
            <b:First>M</b:First>
          </b:Person>
        </b:NameList>
      </b:Author>
    </b:Author>
    <b:Publisher>Australian Bureau of Agricultural and Resource Economics and Sciences</b:Publisher>
    <b:City>Canberra</b:City>
    <b:RefOrder>7</b:RefOrder>
  </b:Source>
  <b:Source>
    <b:Tag>Ins19</b:Tag>
    <b:SourceType>Report</b:SourceType>
    <b:Guid>{4E198EE2-299B-4D60-983D-65EB37134871}</b:Guid>
    <b:Author>
      <b:Author>
        <b:Corporate>Inspector-General of Biosecurity</b:Corporate>
      </b:Author>
    </b:Author>
    <b:Title>Environmental biosecurity risk management in Australia</b:Title>
    <b:Year>2019</b:Year>
    <b:Publisher>Department of Agriculture and Water Resources</b:Publisher>
    <b:City>Canberra</b:City>
    <b:RefOrder>65</b:RefOrder>
  </b:Source>
  <b:Source>
    <b:Tag>Ins18</b:Tag>
    <b:SourceType>Report</b:SourceType>
    <b:Guid>{A401DDC8-7E44-47B1-91BF-704BB352D029}</b:Guid>
    <b:Author>
      <b:Author>
        <b:Corporate>Inspector-General of Biosecurity</b:Corporate>
      </b:Author>
    </b:Author>
    <b:Title>Hitchhiker pest and contaminant biosecurity risk management in Australia</b:Title>
    <b:Year>2018</b:Year>
    <b:Publisher>Department of Agriculture and Water Resources</b:Publisher>
    <b:City>Canberra</b:City>
    <b:RefOrder>56</b:RefOrder>
  </b:Source>
  <b:Source>
    <b:Tag>Lit19</b:Tag>
    <b:SourceType>JournalArticle</b:SourceType>
    <b:Guid>{87792539-DB53-4377-A02C-EA44A49BC8B8}</b:Guid>
    <b:Author>
      <b:Author>
        <b:NameList>
          <b:Person>
            <b:Last>Littleproud</b:Last>
            <b:First>D</b:First>
          </b:Person>
        </b:NameList>
      </b:Author>
    </b:Author>
    <b:Title>Statement on biosecurity levy</b:Title>
    <b:Year>2019c</b:Year>
    <b:JournalName>Media Statement by the Minister for Agriculture and Water Resources</b:JournalName>
    <b:Pages>24 February</b:Pages>
    <b:RefOrder>2</b:RefOrder>
  </b:Source>
  <b:Source>
    <b:Tag>Lit191</b:Tag>
    <b:SourceType>ArticleInAPeriodical</b:SourceType>
    <b:Guid>{485D2E1F-A42E-4597-9FEE-C2DEEB4F8EC6}</b:Guid>
    <b:Title>Managing Biosecurity Risk</b:Title>
    <b:Year>2019b</b:Year>
    <b:Publisher>Freight &amp; Trade Alliance</b:Publisher>
    <b:Author>
      <b:Author>
        <b:NameList>
          <b:Person>
            <b:Last>Littleproud</b:Last>
            <b:First>D</b:First>
          </b:Person>
        </b:NameList>
      </b:Author>
    </b:Author>
    <b:PeriodicalTitle>Across Borders</b:PeriodicalTitle>
    <b:Month>Autumn</b:Month>
    <b:Pages>2</b:Pages>
    <b:RefOrder>6</b:RefOrder>
  </b:Source>
  <b:Source>
    <b:Tag>Dep17</b:Tag>
    <b:SourceType>Report</b:SourceType>
    <b:Guid>{CAAEDF2C-4F28-42FB-B417-E1B063A56936}</b:Guid>
    <b:Title>Departmental Charging Guidelines</b:Title>
    <b:Year>2017</b:Year>
    <b:Author>
      <b:Author>
        <b:Corporate>Department of Agriculture and Water Resources</b:Corporate>
      </b:Author>
    </b:Author>
    <b:City>Canberra</b:City>
    <b:RefOrder>55</b:RefOrder>
  </b:Source>
  <b:Source>
    <b:Tag>Sto09</b:Tag>
    <b:SourceType>Book</b:SourceType>
    <b:Guid>{D0AFD598-B7A8-4C6B-A993-4E915FB522F6}</b:Guid>
    <b:Title>Maritime Economics</b:Title>
    <b:Year>2009</b:Year>
    <b:Publisher>Routledge</b:Publisher>
    <b:City>London</b:City>
    <b:Author>
      <b:Author>
        <b:NameList>
          <b:Person>
            <b:Last>Stopford</b:Last>
            <b:First>M</b:First>
          </b:Person>
        </b:NameList>
      </b:Author>
    </b:Author>
    <b:RefOrder>48</b:RefOrder>
  </b:Source>
  <b:Source>
    <b:Tag>Pec17</b:Tag>
    <b:SourceType>DocumentFromInternetSite</b:SourceType>
    <b:Guid>{91AD5393-1BFF-49E2-9153-1FE909C6F030}</b:Guid>
    <b:Author>
      <b:Author>
        <b:NameList>
          <b:Person>
            <b:Last>Pecci</b:Last>
            <b:First>J</b:First>
          </b:Person>
        </b:NameList>
      </b:Author>
    </b:Author>
    <b:Title>Dry Bulk Measurements and Other Challenges Facing the Marine Industry</b:Title>
    <b:InternetSiteTitle>Safewaters Underwriting Managers</b:InternetSiteTitle>
    <b:Year>2017</b:Year>
    <b:Month>January</b:Month>
    <b:Day>13</b:Day>
    <b:URL>https://safewatersmarine.com/dry-bulk-measurements-and-other-challenges-facing-the-marine-industry/</b:URL>
    <b:RefOrder>49</b:RefOrder>
  </b:Source>
  <b:Source>
    <b:Tag>Man15</b:Tag>
    <b:SourceType>DocumentFromInternetSite</b:SourceType>
    <b:Guid>{9B23C4CF-CF11-47F0-B464-8A5190398A16}</b:Guid>
    <b:Title>Difference between bulk and break bulk</b:Title>
    <b:Year>2015</b:Year>
    <b:Author>
      <b:Author>
        <b:NameList>
          <b:Person>
            <b:Last>Manaadiar</b:Last>
            <b:First>H</b:First>
          </b:Person>
        </b:NameList>
      </b:Author>
    </b:Author>
    <b:InternetSiteTitle>Shipping and Freight Resource</b:InternetSiteTitle>
    <b:Month>August</b:Month>
    <b:Day>13</b:Day>
    <b:URL>https://shippingandfreightresource.com/difference-between-bulk-and-break-bulk/</b:URL>
    <b:RefOrder>50</b:RefOrder>
  </b:Source>
  <b:Source>
    <b:Tag>Cla13</b:Tag>
    <b:SourceType>Report</b:SourceType>
    <b:Guid>{B792A0B2-3295-409B-9A0D-F49473162238}</b:Guid>
    <b:Author>
      <b:Author>
        <b:Corporate>Clark Global Logistics</b:Corporate>
      </b:Author>
    </b:Author>
    <b:Title>Air Freight Unit Load Devices</b:Title>
    <b:Year>2013</b:Year>
    <b:City>Melbourne</b:City>
    <b:RefOrder>51</b:RefOrder>
  </b:Source>
  <b:Source>
    <b:Tag>Bur18</b:Tag>
    <b:SourceType>Report</b:SourceType>
    <b:Guid>{AD2D39ED-FEF7-4137-8790-673FC258E100}</b:Guid>
    <b:Author>
      <b:Author>
        <b:Corporate>Bureau of Infrastructure, Transport and Regional Economics</b:Corporate>
      </b:Author>
    </b:Author>
    <b:Title>Waterline 62</b:Title>
    <b:Year>2018a</b:Year>
    <b:Publisher>Bureau of Infrastructure, Transport and Regional Economics</b:Publisher>
    <b:City>Canberra</b:City>
    <b:RefOrder>57</b:RefOrder>
  </b:Source>
  <b:Source>
    <b:Tag>Dep2</b:Tag>
    <b:SourceType>Report</b:SourceType>
    <b:Guid>{961CBAB4-8BF6-46B2-9C7E-CC43A66602C0}</b:Guid>
    <b:Title>Biosecurity Imports Levy: Industry Workshop 28 November 2018</b:Title>
    <b:Author>
      <b:Author>
        <b:Corporate>Department of Agriculture and Water Resources</b:Corporate>
      </b:Author>
    </b:Author>
    <b:PublicationTitle>Industry Workshop</b:PublicationTitle>
    <b:Year>2018b</b:Year>
    <b:City>Canberra</b:City>
    <b:RefOrder>52</b:RefOrder>
  </b:Source>
  <b:Source>
    <b:Tag>Eco06</b:Tag>
    <b:SourceType>JournalArticle</b:SourceType>
    <b:Guid>{BC9C56CF-045B-49EE-8850-BB76CB25A2F7}</b:Guid>
    <b:Title>Economics of Cost Pass Through and Damages in Indirect Purchaser Antitrust Cases</b:Title>
    <b:Year>2006</b:Year>
    <b:JournalName>Antitrust Bulletin</b:JournalName>
    <b:Pages>599-630</b:Pages>
    <b:Volume>51</b:Volume>
    <b:Author>
      <b:Author>
        <b:NameList>
          <b:Person>
            <b:Last>Kosicki</b:Last>
          </b:Person>
          <b:Person>
            <b:Last>Cahill</b:Last>
            <b:First>M</b:First>
            <b:Middle>B</b:Middle>
          </b:Person>
        </b:NameList>
      </b:Author>
    </b:Author>
    <b:RefOrder>96</b:RefOrder>
  </b:Source>
  <b:Source>
    <b:Tag>Dep8d</b:Tag>
    <b:SourceType>DocumentFromInternetSite</b:SourceType>
    <b:Guid>{6B0CE7C8-4D62-46FF-8253-52DF7F60935B}</b:Guid>
    <b:Title>Maritime Arrivals Reporting System (MARS)</b:Title>
    <b:Year>2018d</b:Year>
    <b:Author>
      <b:Author>
        <b:Corporate>Department of Agriculture and Water Resources</b:Corporate>
      </b:Author>
    </b:Author>
    <b:InternetSiteTitle>Department of Agriculture and Water Resources</b:InternetSiteTitle>
    <b:Month>December</b:Month>
    <b:Day>6</b:Day>
    <b:URL>http://www.agriculture.gov.au/biosecurity/avm/vessels/mars#what-is-mars</b:URL>
    <b:RefOrder>58</b:RefOrder>
  </b:Source>
  <b:Source>
    <b:Tag>Fer19</b:Tag>
    <b:SourceType>Report</b:SourceType>
    <b:Guid>{A960E8A0-FB7E-46F9-BA51-286F3F872D00}</b:Guid>
    <b:Title>Submission from Fertilizer Australia Incorporated to the Biosecurity Imports Levy Industry Steering Committee</b:Title>
    <b:Year>2019</b:Year>
    <b:Author>
      <b:Author>
        <b:Corporate>Fertilizer Australia</b:Corporate>
      </b:Author>
    </b:Author>
    <b:City>Canberra</b:City>
    <b:RefOrder>59</b:RefOrder>
  </b:Source>
  <b:Source>
    <b:Tag>Aus191</b:Tag>
    <b:SourceType>Report</b:SourceType>
    <b:Guid>{76580EBB-3EA8-4601-9D1D-C8735F4940F2}</b:Guid>
    <b:Author>
      <b:Author>
        <b:Corporate>Australian Chamber of Commerce and Industry</b:Corporate>
      </b:Author>
    </b:Author>
    <b:Title>Submission: Proposed Biosecurity Levy - Submission to the Biosecurity Levy Steering Committee</b:Title>
    <b:Year>2019</b:Year>
    <b:City>Canberra</b:City>
    <b:RefOrder>42</b:RefOrder>
  </b:Source>
  <b:Source>
    <b:Tag>Gas19</b:Tag>
    <b:SourceType>Report</b:SourceType>
    <b:Guid>{E4DE2D85-DBC3-4E9C-8F76-1AE4BEA26CFE}</b:Guid>
    <b:Author>
      <b:Author>
        <b:Corporate>Gas Energy Australia</b:Corporate>
      </b:Author>
    </b:Author>
    <b:Title>GEA Response to Biosecurity Imports Levy Discussion Paper Questions</b:Title>
    <b:Year>2019</b:Year>
    <b:City>Canberra</b:City>
    <b:RefOrder>53</b:RefOrder>
  </b:Source>
  <b:Source>
    <b:Tag>Cem19</b:Tag>
    <b:SourceType>Report</b:SourceType>
    <b:Guid>{59F0D240-F132-465D-B4D2-A55D33947547}</b:Guid>
    <b:Author>
      <b:Author>
        <b:Corporate>Cement Industry Federation</b:Corporate>
      </b:Author>
    </b:Author>
    <b:Title>Cement Industry Federation Submission to the Biosecurity Levy Steering Committee</b:Title>
    <b:Year>2019</b:Year>
    <b:City>Canberra</b:City>
    <b:RefOrder>45</b:RefOrder>
  </b:Source>
  <b:Source>
    <b:Tag>Inc19</b:Tag>
    <b:SourceType>Report</b:SourceType>
    <b:Guid>{46A117C8-83A9-4A5A-964C-C390B8F783B7}</b:Guid>
    <b:Author>
      <b:Author>
        <b:Corporate>Incitec Pivot Fertilisers</b:Corporate>
      </b:Author>
    </b:Author>
    <b:Title>Submission to the Biosecurity Levy Steering Committee by Incitec Pivot Fertilisers</b:Title>
    <b:Year>2019</b:Year>
    <b:City>Melbourne</b:City>
    <b:RefOrder>97</b:RefOrder>
  </b:Source>
  <b:Source>
    <b:Tag>Dep9a</b:Tag>
    <b:SourceType>Report</b:SourceType>
    <b:Guid>{54769CF3-639C-4B82-AD5C-F4A04874771D}</b:Guid>
    <b:Author>
      <b:Author>
        <b:Corporate>Department of Agriculture and Water Resources</b:Corporate>
      </b:Author>
    </b:Author>
    <b:Title>Biosecurity Imports Levy Stakeholder Meeting 10 January 2019</b:Title>
    <b:Year>2019a</b:Year>
    <b:City>Canberra</b:City>
    <b:RefOrder>15</b:RefOrder>
  </b:Source>
  <b:Source>
    <b:Tag>Dep191</b:Tag>
    <b:SourceType>Report</b:SourceType>
    <b:Guid>{BA79A289-6199-4542-9354-405B8A1BC862}</b:Guid>
    <b:Author>
      <b:Author>
        <b:Corporate>Department of Agriculture and Water Resources</b:Corporate>
      </b:Author>
    </b:Author>
    <b:Title>Australian biofouling management requirements for international vessel arrivals: Consultation Regulation Impact Statement</b:Title>
    <b:Year>2019</b:Year>
    <b:City>Canberra</b:City>
    <b:RefOrder>66</b:RefOrder>
  </b:Source>
  <b:Source>
    <b:Tag>Rus19</b:Tag>
    <b:SourceType>Report</b:SourceType>
    <b:Guid>{7C733D4C-18F6-480E-AC4D-4BF0B4C9D9C7}</b:Guid>
    <b:Author>
      <b:Author>
        <b:NameList>
          <b:Person>
            <b:Last>Russell</b:Last>
            <b:First>L</b:First>
          </b:Person>
        </b:NameList>
      </b:Author>
    </b:Author>
    <b:Title>Submission by Llew Russell in Response to the Discussion Paper Released by the Biosecurity Import Levy Steering Committee</b:Title>
    <b:Year>2019</b:Year>
    <b:City>Sydney</b:City>
    <b:RefOrder>54</b:RefOrder>
  </b:Source>
  <b:Source>
    <b:Tag>Man19</b:Tag>
    <b:SourceType>Report</b:SourceType>
    <b:Guid>{E23DA23E-1605-43DF-9468-73688285BD04}</b:Guid>
    <b:Author>
      <b:Author>
        <b:Corporate>Manufacturing Australia</b:Corporate>
      </b:Author>
    </b:Author>
    <b:Title>Submission to the Biosecurity Levy Steering Committee</b:Title>
    <b:Year>2019</b:Year>
    <b:City>Canberra</b:City>
    <b:RefOrder>68</b:RefOrder>
  </b:Source>
  <b:Source>
    <b:Tag>Sub19</b:Tag>
    <b:SourceType>Report</b:SourceType>
    <b:Guid>{409018F1-78DA-4F09-8F48-7E897F9CC9B9}</b:Guid>
    <b:Title>Submission on the Biosecurity Levy Steering Committee’s Discussion Paper</b:Title>
    <b:Year>2019</b:Year>
    <b:City>Canberra</b:City>
    <b:Author>
      <b:Author>
        <b:Corporate>Australian Aluminium Council</b:Corporate>
      </b:Author>
    </b:Author>
    <b:RefOrder>69</b:RefOrder>
  </b:Source>
  <b:Source>
    <b:Tag>Gle19</b:Tag>
    <b:SourceType>Report</b:SourceType>
    <b:Guid>{ECE4BE3D-496C-4B45-9D89-FE9533D5979D}</b:Guid>
    <b:Author>
      <b:Author>
        <b:Corporate>Glencore Australia</b:Corporate>
      </b:Author>
    </b:Author>
    <b:Title>Biosecurity Levy Steering Committee: Discussion Paper Feedback</b:Title>
    <b:Year>2019</b:Year>
    <b:City>Mount Isa</b:City>
    <b:RefOrder>46</b:RefOrder>
  </b:Source>
  <b:Source>
    <b:Tag>Shi19</b:Tag>
    <b:SourceType>JournalArticle</b:SourceType>
    <b:Guid>{3B374CCB-BCF3-4E38-85F2-B45DC4071CB3}</b:Guid>
    <b:Title>The new biosecurity levy – smoke and mirrors, lies or spin?</b:Title>
    <b:Year>2019</b:Year>
    <b:Author>
      <b:Author>
        <b:Corporate>Shipping Australia</b:Corporate>
      </b:Author>
    </b:Author>
    <b:JournalName>Media Release</b:JournalName>
    <b:Pages>5 March</b:Pages>
    <b:RefOrder>70</b:RefOrder>
  </b:Source>
  <b:Source>
    <b:Tag>Aud17</b:Tag>
    <b:SourceType>Report</b:SourceType>
    <b:Guid>{0BC5864A-558B-4BE6-A5C8-2A0CC0CA2897}</b:Guid>
    <b:Author>
      <b:Author>
        <b:Corporate>Australian National Audit Office</b:Corporate>
      </b:Author>
    </b:Author>
    <b:Title>Implementation of the Biosecurity Legislative Framework - ANAO Report No.34 2016–17 Performance Audit</b:Title>
    <b:Year>2017</b:Year>
    <b:City>Canberra</b:City>
    <b:ThesisType>The Auditor-General ANAO Report No.34 2016–17 Performance Audit</b:ThesisType>
    <b:RefOrder>16</b:RefOrder>
  </b:Source>
  <b:Source>
    <b:Tag>The00</b:Tag>
    <b:SourceType>Report</b:SourceType>
    <b:Guid>{62BDA81D-62FF-435A-9F45-1B68D1CF7763}</b:Guid>
    <b:Author>
      <b:Author>
        <b:Corporate>Australian National Audit Office</b:Corporate>
      </b:Author>
    </b:Author>
    <b:Title>AQIS Cost-Recovery Systems</b:Title>
    <b:Year>2000</b:Year>
    <b:City>Canberra</b:City>
    <b:ThesisType>The Auditor-General Audit Report No.10 2000–2001 Performance Audit</b:ThesisType>
    <b:RefOrder>25</b:RefOrder>
  </b:Source>
  <b:Source>
    <b:Tag>Que19</b:Tag>
    <b:SourceType>InternetSite</b:SourceType>
    <b:Guid>{C7FE0F7D-C994-497B-AD86-5476368296F9}</b:Guid>
    <b:Title>National red imported fire ant eradication program</b:Title>
    <b:Year>2019</b:Year>
    <b:Author>
      <b:Author>
        <b:Corporate>Queensland Government Department of Agriculture and Fisheries</b:Corporate>
      </b:Author>
    </b:Author>
    <b:InternetSiteTitle>Queensland Government Department of Agriculture and Fisheries</b:InternetSiteTitle>
    <b:Month>February</b:Month>
    <b:Day>28</b:Day>
    <b:URL>https://www.daf.qld.gov.au/business-priorities/biosecurity/invasive-plants-animals/ants/fire-ants/eradication</b:URL>
    <b:RefOrder>98</b:RefOrder>
  </b:Source>
  <b:Source>
    <b:Tag>Aus192</b:Tag>
    <b:SourceType>Report</b:SourceType>
    <b:Guid>{222D8DF7-3538-4AB9-8C08-7C3B9BC0BE55}</b:Guid>
    <b:Author>
      <b:Author>
        <b:Corporate>Australian Pork</b:Corporate>
      </b:Author>
    </b:Author>
    <b:Title>Submission on Biosecurity Levy Steering Committee Discussion Paper</b:Title>
    <b:Year>2019</b:Year>
    <b:City>Canberra</b:City>
    <b:RefOrder>83</b:RefOrder>
  </b:Source>
  <b:Source>
    <b:Tag>Haf14</b:Tag>
    <b:SourceType>Report</b:SourceType>
    <b:Guid>{42EB5619-A123-42B6-BA20-7E07597F17B7}</b:Guid>
    <b:Title>Cost-effectiveness of biosecurity response options to red imported fire ants in South East Queensland</b:Title>
    <b:Year>2014</b:Year>
    <b:Author>
      <b:Author>
        <b:NameList>
          <b:Person>
            <b:Last>Hafi</b:Last>
            <b:First>A</b:First>
          </b:Person>
          <b:Person>
            <b:Last>Spring</b:Last>
            <b:First>D</b:First>
          </b:Person>
          <b:Person>
            <b:Last>Kompas</b:Last>
            <b:First>T</b:First>
          </b:Person>
          <b:Person>
            <b:Last>Morey</b:Last>
            <b:First>K</b:First>
          </b:Person>
        </b:NameList>
      </b:Author>
    </b:Author>
    <b:Publisher>Australian Bureau of Agricultural and Resource Economics and Sciences</b:Publisher>
    <b:City>Canberra</b:City>
    <b:ThesisType>ABARES report to client prepared for the National Biosecurity Committee</b:ThesisType>
    <b:RefOrder>99</b:RefOrder>
  </b:Source>
  <b:Source>
    <b:Tag>Pro16</b:Tag>
    <b:SourceType>Report</b:SourceType>
    <b:Guid>{69AC6E02-4136-4952-941A-0F956EB51760}</b:Guid>
    <b:Author>
      <b:Author>
        <b:Corporate>Productivity Commission</b:Corporate>
      </b:Author>
    </b:Author>
    <b:Title>Regulation of Australian Agriculture</b:Title>
    <b:Year>2016</b:Year>
    <b:City>Canberra</b:City>
    <b:ThesisType>Report no. 79</b:ThesisType>
    <b:RefOrder>28</b:RefOrder>
  </b:Source>
  <b:Source>
    <b:Tag>Ram27</b:Tag>
    <b:SourceType>JournalArticle</b:SourceType>
    <b:Guid>{839D6D7E-AFF7-4B4B-969E-0FD8076C3007}</b:Guid>
    <b:Title>A Contribution to the Theory of Taxation</b:Title>
    <b:Year>1927</b:Year>
    <b:Author>
      <b:Author>
        <b:NameList>
          <b:Person>
            <b:Last>Ramsey</b:Last>
            <b:First>F</b:First>
            <b:Middle>P</b:Middle>
          </b:Person>
        </b:NameList>
      </b:Author>
    </b:Author>
    <b:JournalName>The Economic Journal</b:JournalName>
    <b:Pages>47-61</b:Pages>
    <b:Volume>37</b:Volume>
    <b:RefOrder>60</b:RefOrder>
  </b:Source>
  <b:Source>
    <b:Tag>Cno10</b:Tag>
    <b:SourceType>ConferenceProceedings</b:SourceType>
    <b:Guid>{912FF8FE-87F4-445C-81DE-0BD35E9E1825}</b:Guid>
    <b:Title>Excise Taxation in Australia</b:Title>
    <b:Year>2010</b:Year>
    <b:Pages>236-256</b:Pages>
    <b:Author>
      <b:Author>
        <b:NameList>
          <b:Person>
            <b:Last>Cnossen</b:Last>
            <b:First>S</b:First>
          </b:Person>
        </b:NameList>
      </b:Author>
    </b:Author>
    <b:ConferenceName>Melbourne Institute – Australia’s Future Tax and Transfer Policy Conference: Proceedings of a Conference</b:ConferenceName>
    <b:City>Melbourne</b:City>
    <b:Publisher>Melbourne Institute of Applied Economic and Social Research</b:Publisher>
    <b:RefOrder>100</b:RefOrder>
  </b:Source>
  <b:Source>
    <b:Tag>Ste841</b:Tag>
    <b:SourceType>JournalArticle</b:SourceType>
    <b:Guid>{FC4D1295-247C-41BE-AEFC-E8E0C5DDC278}</b:Guid>
    <b:Title>Optimum Taxation and Tax Policy</b:Title>
    <b:Pages>339-378</b:Pages>
    <b:Year>1984</b:Year>
    <b:Author>
      <b:Author>
        <b:NameList>
          <b:Person>
            <b:Last>Stern</b:Last>
            <b:First>N</b:First>
            <b:Middle>H</b:Middle>
          </b:Person>
        </b:NameList>
      </b:Author>
    </b:Author>
    <b:JournalName>Staff Papers (International Monetary Fund)</b:JournalName>
    <b:Volume>31</b:Volume>
    <b:RefOrder>101</b:RefOrder>
  </b:Source>
  <b:Source>
    <b:Tag>Bre09</b:Tag>
    <b:SourceType>JournalArticle</b:SourceType>
    <b:Guid>{7B6AF118-9B7A-4C3B-9D0D-16C72F600A5E}</b:Guid>
    <b:Author>
      <b:Author>
        <b:NameList>
          <b:Person>
            <b:Last>Breunig</b:Last>
            <b:First>R</b:First>
            <b:Middle>F</b:Middle>
          </b:Person>
          <b:Person>
            <b:Last>Gisz</b:Last>
            <b:First>C</b:First>
          </b:Person>
        </b:NameList>
      </b:Author>
    </b:Author>
    <b:Title>An Exploration of Australian Petrol Demand: Unobservable Habits, Irreversibility and Some Updated Estimates</b:Title>
    <b:JournalName>Economic Record</b:JournalName>
    <b:Year>2009</b:Year>
    <b:Pages>73-91</b:Pages>
    <b:Volume>85</b:Volume>
    <b:Issue>268</b:Issue>
    <b:RefOrder>102</b:RefOrder>
  </b:Source>
  <b:Source>
    <b:Tag>Dep192</b:Tag>
    <b:SourceType>Report</b:SourceType>
    <b:Guid>{C8021200-9B67-4382-B13F-9BE23ED256F8}</b:Guid>
    <b:Author>
      <b:Author>
        <b:Corporate>Department of the Environment and Energy</b:Corporate>
      </b:Author>
    </b:Author>
    <b:Title>Australian Petroleum Statistics</b:Title>
    <b:Year>2019</b:Year>
    <b:City>Canberra</b:City>
    <b:ThesisType>Issue 271, February 2019</b:ThesisType>
    <b:RefOrder>103</b:RefOrder>
  </b:Source>
  <b:Source>
    <b:Tag>Cus191</b:Tag>
    <b:SourceType>Report</b:SourceType>
    <b:Guid>{7544A7AB-0EC7-46FD-9060-FE5F70710E0F}</b:Guid>
    <b:Author>
      <b:Author>
        <b:Corporate>Customs Brokers and Forwarders Council of Australia</b:Corporate>
      </b:Author>
    </b:Author>
    <b:Title>Commentary: Biosecurity Import Levy Steering Committee, Discussion Paper</b:Title>
    <b:Year>2019</b:Year>
    <b:City>Sydney</b:City>
    <b:RefOrder>47</b:RefOrder>
  </b:Source>
  <b:Source>
    <b:Tag>Kay591</b:Tag>
    <b:SourceType>Book</b:SourceType>
    <b:Guid>{13C88EEC-8EC1-45DC-BBF9-9906809766B5}</b:Guid>
    <b:Author>
      <b:Author>
        <b:NameList>
          <b:Person>
            <b:Last>Kaysen</b:Last>
            <b:First>C</b:First>
          </b:Person>
          <b:Person>
            <b:Last>Turner</b:Last>
            <b:First>D</b:First>
            <b:Middle>F</b:Middle>
          </b:Person>
        </b:NameList>
      </b:Author>
    </b:Author>
    <b:Title>Antitrust Policy: An Economic and Legal Analysis</b:Title>
    <b:Year>1959</b:Year>
    <b:City>Cambridge</b:City>
    <b:Publisher>Harvard University Press</b:Publisher>
    <b:RefOrder>104</b:RefOrder>
  </b:Source>
  <b:Source>
    <b:Tag>Lan81</b:Tag>
    <b:SourceType>JournalArticle</b:SourceType>
    <b:Guid>{735AB6BE-5472-425E-B878-A627FA8FB13E}</b:Guid>
    <b:Author>
      <b:Author>
        <b:NameList>
          <b:Person>
            <b:Last>Landes</b:Last>
            <b:First>William</b:First>
            <b:Middle>M</b:Middle>
          </b:Person>
          <b:Person>
            <b:Last>Posner</b:Last>
            <b:First>Richard</b:First>
          </b:Person>
        </b:NameList>
      </b:Author>
    </b:Author>
    <b:Title>Market Power in Antitrust Cases</b:Title>
    <b:JournalName>Harvard Law Review</b:JournalName>
    <b:Year>1981</b:Year>
    <b:Pages>937-996</b:Pages>
    <b:Volume>94</b:Volume>
    <b:RefOrder>105</b:RefOrder>
  </b:Source>
  <b:Source>
    <b:Tag>Bru18</b:Tag>
    <b:SourceType>DocumentFromInternetSite</b:SourceType>
    <b:Guid>{C2FFFE70-8039-4163-B4A3-F76CDA818489}</b:Guid>
    <b:Title>What is a Ship's Gross Tonnage?</b:Title>
    <b:Year>2018</b:Year>
    <b:Author>
      <b:Author>
        <b:NameList>
          <b:Person>
            <b:Last>Bruno</b:Last>
            <b:First>P</b:First>
          </b:Person>
        </b:NameList>
      </b:Author>
    </b:Author>
    <b:InternetSiteTitle>ThoughtCo</b:InternetSiteTitle>
    <b:Month>September</b:Month>
    <b:Day>3</b:Day>
    <b:URL>https://www.thoughtco.com/what-is-gross-tonnage-2292983</b:URL>
    <b:RefOrder>106</b:RefOrder>
  </b:Source>
  <b:Source>
    <b:Tag>The19</b:Tag>
    <b:SourceType>Report</b:SourceType>
    <b:Guid>{141661E4-195D-4DF9-8AF9-2273838D6D28}</b:Guid>
    <b:Author>
      <b:Author>
        <b:Corporate>The Chamber of Minerals and Energy of Western Australia</b:Corporate>
      </b:Author>
    </b:Author>
    <b:Title>Biosecurity Imports Levy Consultation</b:Title>
    <b:Year>2019</b:Year>
    <b:City>Perth</b:City>
    <b:RefOrder>39</b:RefOrder>
  </b:Source>
  <b:Source>
    <b:Tag>Cru19</b:Tag>
    <b:SourceType>Report</b:SourceType>
    <b:Guid>{3C1673EA-2B3B-4AD7-8801-9C91B95CDFDC}</b:Guid>
    <b:Author>
      <b:Author>
        <b:Corporate>Cruise Lines International Association</b:Corporate>
      </b:Author>
    </b:Author>
    <b:Title>Submission on the Proposed Biosecurity Imports Levy</b:Title>
    <b:Year>2019</b:Year>
    <b:City>Sydney</b:City>
    <b:RefOrder>40</b:RefOrder>
  </b:Source>
  <b:Source>
    <b:Tag>Hou95</b:Tag>
    <b:SourceType>Report</b:SourceType>
    <b:Guid>{3FB343AA-3BC6-4A33-9D8B-27954013E490}</b:Guid>
    <b:Author>
      <b:Author>
        <b:Corporate>House of Representatives</b:Corporate>
      </b:Author>
    </b:Author>
    <b:Title>House of Representatives Official Hansard No. 201, 1995: Thursday, 8 June 1995</b:Title>
    <b:Year>1995</b:Year>
    <b:Publisher>Commonwealth of Australia</b:Publisher>
    <b:City>Canberra</b:City>
    <b:RefOrder>107</b:RefOrder>
  </b:Source>
  <b:Source>
    <b:Tag>Aus96</b:Tag>
    <b:SourceType>Report</b:SourceType>
    <b:Guid>{2BAF1D1E-4363-4D51-B78E-B25200DB4EB0}</b:Guid>
    <b:Author>
      <b:Author>
        <b:Corporate>Australian National Audit Office</b:Corporate>
      </b:Author>
    </b:Author>
    <b:Title>Passenger Movement Charge: Australian Customs Services - Performance Audit</b:Title>
    <b:Year>1996</b:Year>
    <b:City>Canberra</b:City>
    <b:ThesisType>Audit Report No. 1 1996-97</b:ThesisType>
    <b:RefOrder>108</b:RefOrder>
  </b:Source>
  <b:Source>
    <b:Tag>Aus00</b:Tag>
    <b:SourceType>Report</b:SourceType>
    <b:Guid>{2D29DEA5-96B8-4CEB-8288-1CA8A118F6CB}</b:Guid>
    <b:Author>
      <b:Author>
        <b:Corporate>Australian National Audit Office</b:Corporate>
      </b:Author>
    </b:Author>
    <b:Title>Passenger Movement Charge - Follow-up Audit: Australian Customs Service</b:Title>
    <b:Year>2000</b:Year>
    <b:City>Canberra</b:City>
    <b:Pages>
		</b:Pages>
    <b:ThesisType>The Auditor-General Audit Report No.12 2000–2001 Performance Audit</b:ThesisType>
    <b:RefOrder>109</b:RefOrder>
  </b:Source>
  <b:Source>
    <b:Tag>Hou01</b:Tag>
    <b:SourceType>Report</b:SourceType>
    <b:Guid>{B165ACBE-B7EC-4E52-BC1C-480E7FFDD109}</b:Guid>
    <b:Author>
      <b:Author>
        <b:Corporate>House of Representatives</b:Corporate>
      </b:Author>
    </b:Author>
    <b:Title>House of Representatives Official Hansard Thursday, 24 May 2001</b:Title>
    <b:Year>2001</b:Year>
    <b:Publisher>Commonwealth of Australia</b:Publisher>
    <b:City>Canberra</b:City>
    <b:RefOrder>110</b:RefOrder>
  </b:Source>
  <b:Source>
    <b:Tag>Com01</b:Tag>
    <b:SourceType>Report</b:SourceType>
    <b:Guid>{953E92C5-F954-4923-9D17-1827FB3D71EF}</b:Guid>
    <b:Author>
      <b:Author>
        <b:Corporate>Commonwealth of Australia</b:Corporate>
      </b:Author>
    </b:Author>
    <b:Title>2001-02 Budget Paper No. 2: Budget Measures 2001-02</b:Title>
    <b:Year>2001</b:Year>
    <b:City>Canberra</b:City>
    <b:RefOrder>111</b:RefOrder>
  </b:Source>
  <b:Source>
    <b:Tag>Tou19</b:Tag>
    <b:SourceType>Report</b:SourceType>
    <b:Guid>{FB72D43E-AF8A-40BD-843A-6CD8716F0555}</b:Guid>
    <b:Author>
      <b:Author>
        <b:Corporate>Tourism &amp; Transport Forum Australia</b:Corporate>
      </b:Author>
    </b:Author>
    <b:Title>Submission to the Biosecurity Levy Steering Committee</b:Title>
    <b:Year>2019</b:Year>
    <b:City>Sydney</b:City>
    <b:RefOrder>43</b:RefOrder>
  </b:Source>
  <b:Source>
    <b:Tag>Car19</b:Tag>
    <b:SourceType>Report</b:SourceType>
    <b:Guid>{FDFB2FE2-CC9C-45EA-9DB9-6A39D593C3BF}</b:Guid>
    <b:Author>
      <b:Author>
        <b:Corporate>Carnival Australia</b:Corporate>
      </b:Author>
    </b:Author>
    <b:Title>Submission to the Biosecurity Levy Steering Committee</b:Title>
    <b:Year>2019</b:Year>
    <b:City>Sydney</b:City>
    <b:RefOrder>41</b:RefOrder>
  </b:Source>
  <b:Source>
    <b:Tag>Nai96</b:Tag>
    <b:SourceType>Report</b:SourceType>
    <b:Guid>{D1A7E976-E364-4A8A-A995-33B78ACF6DC3}</b:Guid>
    <b:Author>
      <b:Author>
        <b:NameList>
          <b:Person>
            <b:Last>Nairn</b:Last>
            <b:First>M</b:First>
            <b:Middle>E</b:Middle>
          </b:Person>
          <b:Person>
            <b:Last>Allen</b:Last>
            <b:First>P</b:First>
            <b:Middle>G</b:Middle>
          </b:Person>
          <b:Person>
            <b:Last>Inglis</b:Last>
            <b:First>A</b:First>
            <b:Middle>R</b:Middle>
          </b:Person>
          <b:Person>
            <b:Last>Tanner</b:Last>
            <b:First>C</b:First>
          </b:Person>
        </b:NameList>
      </b:Author>
    </b:Author>
    <b:Title>Australian Quarantine: A Shared Responsibility</b:Title>
    <b:Year>1996</b:Year>
    <b:Publisher>Department of Primary Industries</b:Publisher>
    <b:City>Canberra</b:City>
    <b:RefOrder>10</b:RefOrder>
  </b:Source>
  <b:Source>
    <b:Tag>Hor19</b:Tag>
    <b:SourceType>Report</b:SourceType>
    <b:Guid>{10C0B7AE-8439-4136-9508-ECAF46085887}</b:Guid>
    <b:Year>2019</b:Year>
    <b:Author>
      <b:Author>
        <b:Corporate>Almond Board of Australia, Australian Walnut Industry Association, AUSVEG, Berries Australia, Cherry Growers Australia, Chestnuts Australia, ..., Voice of Horticulture</b:Corporate>
      </b:Author>
    </b:Author>
    <b:Title>Submission in Response to the Biosecurity Imports Levy discussion paper</b:Title>
    <b:RefOrder>35</b:RefOrder>
  </b:Source>
  <b:Source>
    <b:Tag>Inv19</b:Tag>
    <b:SourceType>Report</b:SourceType>
    <b:Guid>{E02D5B3F-6076-41C6-8DC2-64A284947D83}</b:Guid>
    <b:Author>
      <b:Author>
        <b:Corporate>Invasive Species Council</b:Corporate>
      </b:Author>
    </b:Author>
    <b:Title>Comments on the Biosecurity Levy Steering Committee Discussion Paper</b:Title>
    <b:Year>2019</b:Year>
    <b:City>Melbourne</b:City>
    <b:RefOrder>36</b:RefOrder>
  </b:Source>
  <b:Source>
    <b:Tag>Nat19</b:Tag>
    <b:SourceType>Report</b:SourceType>
    <b:Guid>{E370D6D8-2711-4B57-B296-B962B9A94313}</b:Guid>
    <b:Author>
      <b:Author>
        <b:Corporate>National Farmers' Federation</b:Corporate>
      </b:Author>
    </b:Author>
    <b:Title>Submission in Response to the Biosecurity Imports Levy Discussion Paper.</b:Title>
    <b:Year>2019</b:Year>
    <b:City>Canberra</b:City>
    <b:RefOrder>37</b:RefOrder>
  </b:Source>
  <b:Source>
    <b:Tag>Tas19</b:Tag>
    <b:SourceType>Report</b:SourceType>
    <b:Guid>{E5C1829E-9C0F-4478-8B06-1E63D5EA7E19}</b:Guid>
    <b:Author>
      <b:Author>
        <b:Corporate>Tasmanian Farmers and Graziers Association</b:Corporate>
      </b:Author>
    </b:Author>
    <b:Title>Comment on the Proposed Biosecurity Imports Levy</b:Title>
    <b:Year>2019</b:Year>
    <b:City>Launceston</b:City>
    <b:RefOrder>44</b:RefOrder>
  </b:Source>
  <b:Source>
    <b:Tag>Dep9a1</b:Tag>
    <b:SourceType>Report</b:SourceType>
    <b:Guid>{1F94682E-B506-48D9-B99D-54CC2489F238}</b:Guid>
    <b:Author>
      <b:Author>
        <b:Corporate>Department of Agriculture and Water Resources</b:Corporate>
      </b:Author>
    </b:Author>
    <b:Title>Biosecurity Imports Levy: Stakeholder Meeting 4 February 2019</b:Title>
    <b:Year>2019b</b:Year>
    <b:City>Canberra</b:City>
    <b:RefOrder>80</b:RefOrder>
  </b:Source>
  <b:Source>
    <b:Tag>Depte</b:Tag>
    <b:SourceType>DocumentFromInternetSite</b:SourceType>
    <b:Guid>{EEC5194D-6245-4F54-A929-E982E4F8BAFA}</b:Guid>
    <b:Title>Brown marmorated stink bug</b:Title>
    <b:Year>2019c</b:Year>
    <b:Author>
      <b:Author>
        <b:Corporate>Department of Agriculture and Water Resources</b:Corporate>
      </b:Author>
    </b:Author>
    <b:InternetSiteTitle>National Pest and Disease Outlbreaks</b:InternetSiteTitle>
    <b:URL>https://www.outbreak.gov.au/current-responses-to-outbreaks/brown-marmorated-stink-bug</b:URL>
    <b:RefOrder>112</b:RefOrder>
  </b:Source>
  <b:Source>
    <b:Tag>Aus185</b:Tag>
    <b:SourceType>Report</b:SourceType>
    <b:Guid>{69DC3941-FABE-4722-A726-ABE11549FAA1}</b:Guid>
    <b:Author>
      <b:Author>
        <b:Corporate>Australian Competition and Consumer Commission</b:Corporate>
      </b:Author>
    </b:Author>
    <b:Title>Container stevedoring monitoring report 2017-18</b:Title>
    <b:Year>2018</b:Year>
    <b:City>Canberra</b:City>
    <b:RefOrder>71</b:RefOrder>
  </b:Source>
  <b:Source>
    <b:Tag>Off16</b:Tag>
    <b:SourceType>Report</b:SourceType>
    <b:Guid>{B3BDD520-D5C1-46D8-91F2-2A06A84DA6DD}</b:Guid>
    <b:Author>
      <b:Author>
        <b:Corporate>Office of Best Practice Regulation</b:Corporate>
      </b:Author>
    </b:Author>
    <b:Title>User Guide to the Australian Government Guide to Regulation</b:Title>
    <b:Year>2016</b:Year>
    <b:Publisher>Department of the Prime Minister and Cabinet</b:Publisher>
    <b:City>Canberra</b:City>
    <b:RefOrder>113</b:RefOrder>
  </b:Source>
  <b:Source>
    <b:Tag>Hul05</b:Tag>
    <b:SourceType>ConferenceProceedings</b:SourceType>
    <b:Guid>{C55503C7-CAB7-4313-838D-90B99E08AD11}</b:Guid>
    <b:Author>
      <b:Author>
        <b:NameList>
          <b:Person>
            <b:Last>Hulme</b:Last>
            <b:First>P</b:First>
            <b:Middle>E</b:Middle>
          </b:Person>
        </b:NameList>
      </b:Author>
    </b:Author>
    <b:Title>Nursery crimes: agriculture as victim and perpetrator in the spread of invasive species</b:Title>
    <b:Year>2005</b:Year>
    <b:Publisher>British Crop Protection Council</b:Publisher>
    <b:City>Alton</b:City>
    <b:Pages>733-740</b:Pages>
    <b:ConferenceName>Crop Science and Technology: The BCPC international congress</b:ConferenceName>
    <b:Volume>2</b:Volume>
    <b:RefOrder>114</b:RefOrder>
  </b:Source>
  <b:Source>
    <b:Tag>Dep142</b:Tag>
    <b:SourceType>Report</b:SourceType>
    <b:Guid>{B5377BB7-D079-4ED7-8A1B-68C1C35A83BE}</b:Guid>
    <b:Author>
      <b:Author>
        <b:Corporate>Department of Agriculture and Department of Environment</b:Corporate>
      </b:Author>
    </b:Author>
    <b:Year>2014</b:Year>
    <b:City>Canberra</b:City>
    <b:Title>Submission to Standing Committee on Environment and Communications References Committee Inquiry into Environmental Biosecurity</b:Title>
    <b:RefOrder>67</b:RefOrder>
  </b:Source>
  <b:Source>
    <b:Tag>Com9b</b:Tag>
    <b:SourceType>Report</b:SourceType>
    <b:Guid>{8130274E-D8AD-408A-973D-ECB60549FF77}</b:Guid>
    <b:Title>Budget 2019-20: Agency Resourcing Budget Paper No. 4 2019-20</b:Title>
    <b:Year>2019a</b:Year>
    <b:City>Canberra</b:City>
    <b:Author>
      <b:Author>
        <b:Corporate>Commonwealth of Australia</b:Corporate>
      </b:Author>
    </b:Author>
    <b:RefOrder>21</b:RefOrder>
  </b:Source>
  <b:Source>
    <b:Tag>Ins8a</b:Tag>
    <b:SourceType>Report</b:SourceType>
    <b:Guid>{F0ED3809-E799-4A71-B6BF-11658C0D777B}</b:Guid>
    <b:Author>
      <b:Author>
        <b:Corporate>Inspector-General of Biosecurity</b:Corporate>
      </b:Author>
    </b:Author>
    <b:Title>Military biosecurity risk management in Australia</b:Title>
    <b:Year>2018a</b:Year>
    <b:Publisher>Department of Agriculture and Water Resources</b:Publisher>
    <b:City>Canberra</b:City>
    <b:ThesisType>Review report No. 2018–19/01</b:ThesisType>
    <b:RefOrder>75</b:RefOrder>
  </b:Source>
  <b:Source>
    <b:Tag>Kru09</b:Tag>
    <b:SourceType>Book</b:SourceType>
    <b:Guid>{BA8811C4-90FB-4383-9C61-DA607ED47147}</b:Guid>
    <b:Author>
      <b:Author>
        <b:NameList>
          <b:Person>
            <b:Last>Krugman</b:Last>
            <b:First>P</b:First>
          </b:Person>
        </b:NameList>
      </b:Author>
    </b:Author>
    <b:Title>The Return of Depression Economics and the Crisis of 2008</b:Title>
    <b:Year>2009</b:Year>
    <b:Publisher>W.W. Norton Company Limited</b:Publisher>
    <b:City>New York</b:City>
    <b:RefOrder>72</b:RefOrder>
  </b:Source>
  <b:Source>
    <b:Tag>Wol99</b:Tag>
    <b:SourceType>JournalArticle</b:SourceType>
    <b:Guid>{25C38164-6C85-4513-A90C-777C8CEA4709}</b:Guid>
    <b:Author>
      <b:Author>
        <b:NameList>
          <b:Person>
            <b:Last>Wolf</b:Last>
            <b:First>C</b:First>
          </b:Person>
        </b:NameList>
      </b:Author>
    </b:Author>
    <b:Title>Financial Crises and the Challenge of “Moral Hazard”</b:Title>
    <b:Year>1999</b:Year>
    <b:JournalName>Society</b:JournalName>
    <b:Pages>60-62</b:Pages>
    <b:Volume>35</b:Volume>
    <b:Issue>5</b:Issue>
    <b:RefOrder>73</b:RefOrder>
  </b:Source>
  <b:Source>
    <b:Tag>Dow09</b:Tag>
    <b:SourceType>JournalArticle</b:SourceType>
    <b:Guid>{714E3498-099D-444B-BF43-7882BF3AA40B}</b:Guid>
    <b:Author>
      <b:Author>
        <b:NameList>
          <b:Person>
            <b:Last>Dowd</b:Last>
            <b:First>K</b:First>
          </b:Person>
        </b:NameList>
      </b:Author>
    </b:Author>
    <b:Year>2009</b:Year>
    <b:Title>Moral Hazard and the Financial Crisis</b:Title>
    <b:JournalName>Cato Journal</b:JournalName>
    <b:Pages>141-166</b:Pages>
    <b:Volume>29</b:Volume>
    <b:RefOrder>74</b:RefOrder>
  </b:Source>
  <b:Source>
    <b:Tag>Blu19</b:Tag>
    <b:SourceType>Report</b:SourceType>
    <b:Guid>{8DB40D7A-FE37-47C5-B2ED-A6378EE4DC7E}</b:Guid>
    <b:Author>
      <b:Author>
        <b:Corporate>BlueScope Steel</b:Corporate>
      </b:Author>
    </b:Author>
    <b:Title>Submission on the Biosecurity Imports Levy Industry Steering Committee’s Discussion Paper</b:Title>
    <b:Year>2019</b:Year>
    <b:City>Melbourne</b:City>
    <b:RefOrder>38</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5D8ECDE2-F38E-47B4-B87B-E5FEE0CA3FB9}">
  <ds:schemaRefs>
    <ds:schemaRef ds:uri="http://schemas.openxmlformats.org/officeDocument/2006/bibliography"/>
  </ds:schemaRefs>
</ds:datastoreItem>
</file>

<file path=customXml/itemProps2.xml><?xml version="1.0" encoding="utf-8"?>
<ds:datastoreItem xmlns:ds="http://schemas.openxmlformats.org/officeDocument/2006/customXml" ds:itemID="{58937E6C-255D-4676-8025-897BFE88AB95}"/>
</file>

<file path=customXml/itemProps3.xml><?xml version="1.0" encoding="utf-8"?>
<ds:datastoreItem xmlns:ds="http://schemas.openxmlformats.org/officeDocument/2006/customXml" ds:itemID="{0F2231F0-B5A9-409E-A818-87A6BAE64E94}"/>
</file>

<file path=customXml/itemProps4.xml><?xml version="1.0" encoding="utf-8"?>
<ds:datastoreItem xmlns:ds="http://schemas.openxmlformats.org/officeDocument/2006/customXml" ds:itemID="{7EC6C245-6628-4A99-9458-2D0A283250EA}"/>
</file>

<file path=docProps/app.xml><?xml version="1.0" encoding="utf-8"?>
<Properties xmlns="http://schemas.openxmlformats.org/officeDocument/2006/extended-properties" xmlns:vt="http://schemas.openxmlformats.org/officeDocument/2006/docPropsVTypes">
  <Template>Normal.dotm</Template>
  <TotalTime>8</TotalTime>
  <Pages>76</Pages>
  <Words>27324</Words>
  <Characters>155748</Characters>
  <Application>Microsoft Office Word</Application>
  <DocSecurity>0</DocSecurity>
  <Lines>1297</Lines>
  <Paragraphs>365</Paragraphs>
  <ScaleCrop>false</ScaleCrop>
  <HeadingPairs>
    <vt:vector size="2" baseType="variant">
      <vt:variant>
        <vt:lpstr>Title</vt:lpstr>
      </vt:variant>
      <vt:variant>
        <vt:i4>1</vt:i4>
      </vt:variant>
    </vt:vector>
  </HeadingPairs>
  <TitlesOfParts>
    <vt:vector size="1" baseType="lpstr">
      <vt:lpstr>Biosecurity Imports levy: a way forward</vt:lpstr>
    </vt:vector>
  </TitlesOfParts>
  <Company/>
  <LinksUpToDate>false</LinksUpToDate>
  <CharactersWithSpaces>182707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Biosecurity Imports levy: a way forward</dc:title>
  <dc:subject/>
  <dc:creator/>
  <cp:keywords/>
  <dc:description/>
  <cp:lastModifiedBy>Department of Agriculture</cp:lastModifiedBy>
  <cp:revision>4</cp:revision>
  <cp:lastPrinted>2019-05-31T08:21:00Z</cp:lastPrinted>
  <dcterms:created xsi:type="dcterms:W3CDTF">2019-05-31T08:21:00Z</dcterms:created>
  <dcterms:modified xsi:type="dcterms:W3CDTF">2019-09-16T22:19:00Z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