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7CC02" w14:textId="75CAFF9C" w:rsidR="005D02CA" w:rsidRDefault="00CD12C3" w:rsidP="005F36C2">
      <w:pPr>
        <w:pStyle w:val="ListNumber2"/>
        <w:spacing w:before="120" w:after="120"/>
      </w:pPr>
      <w:r>
        <w:rPr>
          <w:sz w:val="28"/>
          <w:szCs w:val="28"/>
        </w:rPr>
        <w:t>Western Australia</w:t>
      </w:r>
      <w:r w:rsidR="005D02CA" w:rsidRPr="00C93665">
        <w:rPr>
          <w:sz w:val="28"/>
          <w:szCs w:val="28"/>
        </w:rPr>
        <w:t xml:space="preserve"> </w:t>
      </w:r>
      <w:r w:rsidR="005D02CA">
        <w:rPr>
          <w:sz w:val="28"/>
          <w:szCs w:val="28"/>
        </w:rPr>
        <w:t>B</w:t>
      </w:r>
      <w:r w:rsidR="005D02CA" w:rsidRPr="00C93665">
        <w:rPr>
          <w:sz w:val="28"/>
          <w:szCs w:val="28"/>
        </w:rPr>
        <w:t xml:space="preserve">iosecurity </w:t>
      </w:r>
      <w:r w:rsidR="005D02CA">
        <w:rPr>
          <w:sz w:val="28"/>
          <w:szCs w:val="28"/>
        </w:rPr>
        <w:t>R</w:t>
      </w:r>
      <w:r w:rsidR="005D02CA" w:rsidRPr="00C93665">
        <w:rPr>
          <w:sz w:val="28"/>
          <w:szCs w:val="28"/>
        </w:rPr>
        <w:t>oundtable</w:t>
      </w:r>
      <w:r w:rsidR="005D02CA">
        <w:rPr>
          <w:sz w:val="28"/>
          <w:szCs w:val="28"/>
        </w:rPr>
        <w:t xml:space="preserve"> report</w:t>
      </w:r>
    </w:p>
    <w:p w14:paraId="662C876D" w14:textId="4EE2CD0E" w:rsidR="00C90016" w:rsidRPr="004A4F46" w:rsidRDefault="002247AF" w:rsidP="002A46A2">
      <w:pPr>
        <w:pStyle w:val="ListNumber"/>
      </w:pPr>
      <w:r w:rsidRPr="004A4F46">
        <w:t>Thank you for attending the 2017</w:t>
      </w:r>
      <w:r w:rsidR="00C90016" w:rsidRPr="004A4F46">
        <w:t xml:space="preserve"> National Biosecurity C</w:t>
      </w:r>
      <w:r w:rsidR="009B4523" w:rsidRPr="004A4F46">
        <w:t>ommittee</w:t>
      </w:r>
      <w:r w:rsidR="00C90016" w:rsidRPr="004A4F46">
        <w:t xml:space="preserve"> (NBC) Biosecurity Roundtable held in</w:t>
      </w:r>
      <w:r w:rsidR="00EF4FF0" w:rsidRPr="004A4F46">
        <w:t xml:space="preserve"> </w:t>
      </w:r>
      <w:r w:rsidR="00D31DC1">
        <w:t>Perth, Western Australia</w:t>
      </w:r>
      <w:r w:rsidR="00092709">
        <w:t xml:space="preserve"> (WA)</w:t>
      </w:r>
      <w:r w:rsidR="00552565" w:rsidRPr="004A4F46">
        <w:t xml:space="preserve"> on </w:t>
      </w:r>
      <w:r w:rsidR="00D31DC1">
        <w:t>18 October</w:t>
      </w:r>
      <w:r w:rsidR="00EF4FF0" w:rsidRPr="004A4F46">
        <w:t xml:space="preserve"> 2017.</w:t>
      </w:r>
    </w:p>
    <w:p w14:paraId="3192084C" w14:textId="14951CC9" w:rsidR="005D02CA" w:rsidRPr="004A4F46" w:rsidRDefault="00C90016" w:rsidP="00615862">
      <w:pPr>
        <w:pStyle w:val="ListNumber"/>
      </w:pPr>
      <w:r w:rsidRPr="004A4F46">
        <w:t>T</w:t>
      </w:r>
      <w:r w:rsidR="00622DC2">
        <w:t>his event was hosted by the NBC</w:t>
      </w:r>
      <w:r w:rsidRPr="004A4F46">
        <w:t xml:space="preserve"> together with the </w:t>
      </w:r>
      <w:r w:rsidR="002C54D2" w:rsidRPr="004A4F46">
        <w:t xml:space="preserve">Australian Government </w:t>
      </w:r>
      <w:r w:rsidRPr="004A4F46">
        <w:t>Department of Agriculture and Water Resources</w:t>
      </w:r>
      <w:r w:rsidR="00552565" w:rsidRPr="004A4F46">
        <w:t xml:space="preserve"> and </w:t>
      </w:r>
      <w:r w:rsidR="002A696D">
        <w:t xml:space="preserve">the </w:t>
      </w:r>
      <w:r w:rsidR="00D31DC1">
        <w:t xml:space="preserve">Western Australia </w:t>
      </w:r>
      <w:r w:rsidR="00552565" w:rsidRPr="004A4F46">
        <w:t>Department of</w:t>
      </w:r>
      <w:r w:rsidR="00D31DC1">
        <w:t xml:space="preserve"> Primary Industries and Regional Development.</w:t>
      </w:r>
      <w:r w:rsidR="00552565" w:rsidRPr="004A4F46">
        <w:t xml:space="preserve"> </w:t>
      </w:r>
      <w:r w:rsidR="000670F9" w:rsidRPr="004A4F46">
        <w:t xml:space="preserve"> </w:t>
      </w:r>
    </w:p>
    <w:p w14:paraId="4D51B612" w14:textId="7A6504F1" w:rsidR="00E96902" w:rsidRPr="004A4F46" w:rsidRDefault="005D02CA" w:rsidP="00615862">
      <w:pPr>
        <w:pStyle w:val="ListNumber"/>
      </w:pPr>
      <w:r w:rsidRPr="004A4F46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07D26B" wp14:editId="513FF4A1">
                <wp:simplePos x="0" y="0"/>
                <wp:positionH relativeFrom="margin">
                  <wp:align>left</wp:align>
                </wp:positionH>
                <wp:positionV relativeFrom="paragraph">
                  <wp:posOffset>742315</wp:posOffset>
                </wp:positionV>
                <wp:extent cx="5730240" cy="1570355"/>
                <wp:effectExtent l="0" t="0" r="2286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570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259DD" w14:textId="4C631109" w:rsidR="006604B4" w:rsidRDefault="006604B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we heard from participants</w:t>
                            </w:r>
                          </w:p>
                          <w:p w14:paraId="5B2956D4" w14:textId="263236BC" w:rsidR="006604B4" w:rsidRDefault="006604B4" w:rsidP="0073695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The need for data evidence to provide proof of freedom is becoming more important in establishing and maintaining market access.</w:t>
                            </w:r>
                          </w:p>
                          <w:p w14:paraId="2179AC1F" w14:textId="4D19222D" w:rsidR="006604B4" w:rsidRDefault="006604B4" w:rsidP="0073695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There is an increasing challenge around how to resource biosecurity requirements when pathways are growing and becoming more complex.</w:t>
                            </w:r>
                          </w:p>
                          <w:p w14:paraId="25F3887F" w14:textId="1189E03E" w:rsidR="006604B4" w:rsidRPr="001C7A27" w:rsidRDefault="006604B4" w:rsidP="0073695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Biosecurity is not understood widely and the use of social science in this area may target this gap.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7D2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8.45pt;width:451.2pt;height:123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">
                <v:textbox>
                  <w:txbxContent>
                    <w:p w14:paraId="150259DD" w14:textId="4C631109" w:rsidR="006604B4" w:rsidRDefault="006604B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we heard from participants</w:t>
                      </w:r>
                    </w:p>
                    <w:p w14:paraId="5B2956D4" w14:textId="263236BC" w:rsidR="006604B4" w:rsidRDefault="006604B4" w:rsidP="0073695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The need for data evidence to provide proof of freedom is becoming more important in establishing and maintaining market access.</w:t>
                      </w:r>
                    </w:p>
                    <w:p w14:paraId="2179AC1F" w14:textId="4D19222D" w:rsidR="006604B4" w:rsidRDefault="006604B4" w:rsidP="0073695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There is an increasing challenge around how to resource biosecurity requirements when pathways are growing and becoming more complex.</w:t>
                      </w:r>
                    </w:p>
                    <w:p w14:paraId="25F3887F" w14:textId="1189E03E" w:rsidR="006604B4" w:rsidRPr="001C7A27" w:rsidRDefault="006604B4" w:rsidP="0073695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Biosecurity is not understood widely and the use of social science in this area may target this gap.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7B74">
        <w:t>More than</w:t>
      </w:r>
      <w:r w:rsidR="00D52C8E" w:rsidRPr="004A4F46">
        <w:t xml:space="preserve"> </w:t>
      </w:r>
      <w:r w:rsidR="00D31DC1">
        <w:t>40</w:t>
      </w:r>
      <w:r w:rsidR="00436D59" w:rsidRPr="004A4F46">
        <w:t xml:space="preserve"> </w:t>
      </w:r>
      <w:r w:rsidR="00FE172D" w:rsidRPr="004A4F46">
        <w:t>participants</w:t>
      </w:r>
      <w:r w:rsidR="00436D59" w:rsidRPr="004A4F46">
        <w:t xml:space="preserve"> </w:t>
      </w:r>
      <w:r w:rsidR="00D52C8E">
        <w:t>attend</w:t>
      </w:r>
      <w:r w:rsidR="00117B74">
        <w:t>ed</w:t>
      </w:r>
      <w:r w:rsidR="00D52C8E" w:rsidRPr="004A4F46">
        <w:t xml:space="preserve"> </w:t>
      </w:r>
      <w:r w:rsidR="00436D59" w:rsidRPr="004A4F46">
        <w:t>the roundtable</w:t>
      </w:r>
      <w:r w:rsidR="00D52C8E">
        <w:t>,</w:t>
      </w:r>
      <w:r w:rsidR="00436D59" w:rsidRPr="004A4F46">
        <w:t xml:space="preserve"> </w:t>
      </w:r>
      <w:r w:rsidR="00E96902" w:rsidRPr="004A4F46">
        <w:t xml:space="preserve">representing a wide range of </w:t>
      </w:r>
      <w:r w:rsidR="00444812" w:rsidRPr="004A4F46">
        <w:t>organisations</w:t>
      </w:r>
      <w:r w:rsidR="00FE172D" w:rsidRPr="004A4F46">
        <w:t xml:space="preserve"> including</w:t>
      </w:r>
      <w:r w:rsidR="00436D59" w:rsidRPr="004A4F46">
        <w:t xml:space="preserve"> </w:t>
      </w:r>
      <w:r w:rsidR="00E96902" w:rsidRPr="004A4F46">
        <w:t>meat</w:t>
      </w:r>
      <w:r w:rsidR="00D31DC1">
        <w:t xml:space="preserve"> and</w:t>
      </w:r>
      <w:r w:rsidR="00FE172D" w:rsidRPr="004A4F46">
        <w:t xml:space="preserve"> horticulture industries</w:t>
      </w:r>
      <w:r w:rsidR="00D52C8E">
        <w:t>;</w:t>
      </w:r>
      <w:r w:rsidR="00FE172D" w:rsidRPr="004A4F46">
        <w:t xml:space="preserve"> </w:t>
      </w:r>
      <w:r w:rsidR="00436D59" w:rsidRPr="004A4F46">
        <w:t>wildlife,</w:t>
      </w:r>
      <w:r w:rsidR="002C54D2" w:rsidRPr="004A4F46">
        <w:t xml:space="preserve"> educational,</w:t>
      </w:r>
      <w:r w:rsidR="004A4F46">
        <w:t xml:space="preserve"> apiary, aquaculture, </w:t>
      </w:r>
      <w:r w:rsidR="002C54D2" w:rsidRPr="004A4F46">
        <w:t xml:space="preserve">environmental, research </w:t>
      </w:r>
      <w:r w:rsidR="00436D59" w:rsidRPr="004A4F46">
        <w:t>and animal husbandry representatives</w:t>
      </w:r>
      <w:r w:rsidR="00D52C8E">
        <w:t>;</w:t>
      </w:r>
      <w:r w:rsidR="00FE172D" w:rsidRPr="004A4F46">
        <w:t xml:space="preserve"> and state government.</w:t>
      </w:r>
    </w:p>
    <w:p w14:paraId="732423CA" w14:textId="1CC57CDF" w:rsidR="00BC191F" w:rsidRPr="004A4F46" w:rsidRDefault="00B12BEE" w:rsidP="00615862">
      <w:pPr>
        <w:pStyle w:val="ListNumber"/>
      </w:pPr>
      <w:r>
        <w:t xml:space="preserve">Ms </w:t>
      </w:r>
      <w:r w:rsidR="00BC191F" w:rsidRPr="004A4F46">
        <w:t>Amber Parr from the Department of Agriculture and Water Resources</w:t>
      </w:r>
      <w:r w:rsidR="00E11525" w:rsidRPr="004A4F46">
        <w:t xml:space="preserve"> officially welcomed attendees to the Biosecurity Roundtable and </w:t>
      </w:r>
      <w:r w:rsidR="00FE172D" w:rsidRPr="004A4F46">
        <w:t>provided an Acknowledgement of C</w:t>
      </w:r>
      <w:r w:rsidR="00BC191F" w:rsidRPr="004A4F46">
        <w:t>ountry</w:t>
      </w:r>
      <w:r w:rsidR="00E11525" w:rsidRPr="004A4F46">
        <w:t>.</w:t>
      </w:r>
    </w:p>
    <w:p w14:paraId="7E9891C8" w14:textId="12A0405E" w:rsidR="00D06173" w:rsidRDefault="00F4706E" w:rsidP="00615862">
      <w:pPr>
        <w:pStyle w:val="ListNumber"/>
      </w:pPr>
      <w:r w:rsidRPr="004A4F46">
        <w:t>Morning presentations bega</w:t>
      </w:r>
      <w:r w:rsidR="003B7B0C" w:rsidRPr="004A4F46">
        <w:t>n with</w:t>
      </w:r>
      <w:r w:rsidR="00FE172D" w:rsidRPr="004A4F46">
        <w:t xml:space="preserve"> biosecurity updates from</w:t>
      </w:r>
      <w:r w:rsidR="005C0AC9" w:rsidRPr="004A4F46">
        <w:t xml:space="preserve"> </w:t>
      </w:r>
      <w:r w:rsidR="00E11525" w:rsidRPr="004A4F46">
        <w:t xml:space="preserve">the </w:t>
      </w:r>
      <w:r w:rsidR="00D31DC1">
        <w:t>Western Australia Department of Primary Industries and Regional Development</w:t>
      </w:r>
      <w:r w:rsidR="00E11525" w:rsidRPr="004A4F46">
        <w:t xml:space="preserve">, the Australian Government Department of Agriculture and Water Resources, </w:t>
      </w:r>
      <w:r w:rsidR="00D31DC1">
        <w:t>Harmony Agriculture and Food Company and the Western Aust</w:t>
      </w:r>
      <w:r w:rsidR="001B5166">
        <w:t>ralia Biosecurity Council</w:t>
      </w:r>
      <w:r w:rsidR="00D31DC1">
        <w:t>.</w:t>
      </w:r>
      <w:r w:rsidR="00E11525" w:rsidRPr="004A4F46">
        <w:t xml:space="preserve"> </w:t>
      </w:r>
      <w:r w:rsidR="00D31DC1">
        <w:t>Ms Mia Carbon</w:t>
      </w:r>
      <w:r w:rsidR="003B7B0C" w:rsidRPr="004A4F46">
        <w:t xml:space="preserve"> (</w:t>
      </w:r>
      <w:r w:rsidR="00D31DC1">
        <w:t>Western Australia</w:t>
      </w:r>
      <w:r w:rsidR="00E11525" w:rsidRPr="004A4F46">
        <w:t>)</w:t>
      </w:r>
      <w:r w:rsidR="00EB0FB0" w:rsidRPr="004A4F46">
        <w:t xml:space="preserve"> spoke about</w:t>
      </w:r>
      <w:r w:rsidR="00D56410" w:rsidRPr="004A4F46">
        <w:t xml:space="preserve"> </w:t>
      </w:r>
      <w:r w:rsidR="001C7A27">
        <w:t>Biosecurity achievements for 2016/17 including the launch of the WA Biosecurity Stra</w:t>
      </w:r>
      <w:r w:rsidR="00117B74">
        <w:t>tegy and release of the Wild Dog</w:t>
      </w:r>
      <w:r w:rsidR="001C7A27">
        <w:t xml:space="preserve"> Action Plan 2016-21. </w:t>
      </w:r>
    </w:p>
    <w:p w14:paraId="50524BAE" w14:textId="46027144" w:rsidR="00EB0FB0" w:rsidRPr="004A4F46" w:rsidRDefault="004D6E30" w:rsidP="00615862">
      <w:pPr>
        <w:pStyle w:val="ListNumber"/>
      </w:pPr>
      <w:r>
        <w:t>Ms Carbon highlighted that through the formation of t</w:t>
      </w:r>
      <w:r w:rsidR="00117B74">
        <w:t>he Department of Primary Industries and Regional Development</w:t>
      </w:r>
      <w:r>
        <w:t xml:space="preserve"> (formerly </w:t>
      </w:r>
      <w:r w:rsidRPr="004D6E30">
        <w:t>Depa</w:t>
      </w:r>
      <w:r>
        <w:t>rtments of Agriculture and Food;</w:t>
      </w:r>
      <w:r w:rsidRPr="004D6E30">
        <w:t xml:space="preserve"> Fisheries and Regional Development</w:t>
      </w:r>
      <w:r>
        <w:t>)</w:t>
      </w:r>
      <w:r w:rsidR="00D06173">
        <w:t xml:space="preserve"> there </w:t>
      </w:r>
      <w:r w:rsidR="006E5CDB">
        <w:t xml:space="preserve">are </w:t>
      </w:r>
      <w:r w:rsidR="00117B74">
        <w:t>now</w:t>
      </w:r>
      <w:r w:rsidR="00D06173">
        <w:t xml:space="preserve"> </w:t>
      </w:r>
      <w:r w:rsidR="006E5CDB">
        <w:t xml:space="preserve">more </w:t>
      </w:r>
      <w:r w:rsidR="00D06173">
        <w:t>opportunities</w:t>
      </w:r>
      <w:r w:rsidR="00117B74">
        <w:t xml:space="preserve"> </w:t>
      </w:r>
      <w:r>
        <w:t>to strengthen</w:t>
      </w:r>
      <w:r w:rsidR="00117B74">
        <w:t xml:space="preserve"> biosecurity including</w:t>
      </w:r>
      <w:r w:rsidR="001C7A27">
        <w:t xml:space="preserve"> market </w:t>
      </w:r>
      <w:r w:rsidR="00D06173">
        <w:t>access</w:t>
      </w:r>
      <w:r w:rsidR="00117B74">
        <w:t xml:space="preserve"> and </w:t>
      </w:r>
      <w:r w:rsidR="001C7A27">
        <w:t xml:space="preserve">developing more effective industry engagement. </w:t>
      </w:r>
      <w:r w:rsidR="00D06173">
        <w:t xml:space="preserve">Challenges for biosecurity in WA include increasing </w:t>
      </w:r>
      <w:r w:rsidR="00077E52">
        <w:t xml:space="preserve">risk </w:t>
      </w:r>
      <w:r w:rsidR="00D06173">
        <w:t>pathways, competition and ‘requirement of evidence’</w:t>
      </w:r>
      <w:r w:rsidR="00077E52">
        <w:t xml:space="preserve"> (</w:t>
      </w:r>
      <w:r w:rsidR="00956220">
        <w:t>for example</w:t>
      </w:r>
      <w:r w:rsidR="00077E52">
        <w:t xml:space="preserve"> proof of freedom of pest and diseases)</w:t>
      </w:r>
      <w:r w:rsidR="00D06173">
        <w:t xml:space="preserve"> by trading partners. </w:t>
      </w:r>
    </w:p>
    <w:p w14:paraId="6F087EF0" w14:textId="721BCEF9" w:rsidR="00EB0FB0" w:rsidRPr="004A4F46" w:rsidRDefault="00D31DC1" w:rsidP="00615862">
      <w:pPr>
        <w:pStyle w:val="ListNumber"/>
      </w:pPr>
      <w:r>
        <w:t xml:space="preserve">Ms Josephine </w:t>
      </w:r>
      <w:proofErr w:type="spellStart"/>
      <w:r>
        <w:t>Laduzko</w:t>
      </w:r>
      <w:proofErr w:type="spellEnd"/>
      <w:r w:rsidR="00EB0FB0" w:rsidRPr="004A4F46">
        <w:t xml:space="preserve"> (Department of Agriculture and Water Resources) spoke about the importance of shared responsibility and collaboration in the face of increasing passenger, cargo and </w:t>
      </w:r>
      <w:proofErr w:type="gramStart"/>
      <w:r w:rsidR="00EB0FB0" w:rsidRPr="004A4F46">
        <w:t>mail</w:t>
      </w:r>
      <w:proofErr w:type="gramEnd"/>
      <w:r w:rsidR="00EB0FB0" w:rsidRPr="004A4F46">
        <w:t xml:space="preserve"> movements; and the growing diversity of supply chains. </w:t>
      </w:r>
      <w:r w:rsidR="00D06173">
        <w:t>Sh</w:t>
      </w:r>
      <w:r w:rsidR="00EB0FB0" w:rsidRPr="004A4F46">
        <w:t xml:space="preserve">e gave an overview of recent national investment and activities including implementation of the </w:t>
      </w:r>
      <w:r w:rsidR="00EB0FB0" w:rsidRPr="004A4F46">
        <w:rPr>
          <w:i/>
        </w:rPr>
        <w:t>Biosecurity Act 2015</w:t>
      </w:r>
      <w:r w:rsidR="00A47B39">
        <w:t>,</w:t>
      </w:r>
      <w:r w:rsidR="00B12BEE">
        <w:t xml:space="preserve"> </w:t>
      </w:r>
      <w:r w:rsidR="00EB0FB0" w:rsidRPr="004A4F46">
        <w:t>the $</w:t>
      </w:r>
      <w:r w:rsidR="00A47B39" w:rsidRPr="004A4F46">
        <w:t>200</w:t>
      </w:r>
      <w:r w:rsidR="00A47B39">
        <w:t> </w:t>
      </w:r>
      <w:r w:rsidR="00EB0FB0" w:rsidRPr="004A4F46">
        <w:t>million allocated to biosecurity under the Agricultural Competitiveness White Paper</w:t>
      </w:r>
      <w:r w:rsidR="00A47B39">
        <w:t>,</w:t>
      </w:r>
      <w:r w:rsidR="00EB0FB0" w:rsidRPr="004A4F46">
        <w:t xml:space="preserve"> and the National Environmental Biosecurity Response Agreement </w:t>
      </w:r>
      <w:r w:rsidR="00A47B39">
        <w:t>and Priorities for Australia’s Biosecurity System (IGAB)</w:t>
      </w:r>
      <w:r w:rsidR="00A47B39" w:rsidRPr="004A4F46">
        <w:t xml:space="preserve"> </w:t>
      </w:r>
      <w:r w:rsidR="00EB0FB0" w:rsidRPr="004A4F46">
        <w:t>reviews.</w:t>
      </w:r>
    </w:p>
    <w:p w14:paraId="0C78D7E0" w14:textId="030C065F" w:rsidR="00EB0FB0" w:rsidRDefault="00D31DC1" w:rsidP="00615862">
      <w:pPr>
        <w:pStyle w:val="ListNumber"/>
      </w:pPr>
      <w:r>
        <w:t xml:space="preserve">Mr Steve </w:t>
      </w:r>
      <w:proofErr w:type="spellStart"/>
      <w:r>
        <w:t>Meerwald</w:t>
      </w:r>
      <w:proofErr w:type="spellEnd"/>
      <w:r>
        <w:t xml:space="preserve"> (Harmony Agriculture and Food Company)</w:t>
      </w:r>
      <w:r w:rsidR="00D06173">
        <w:t xml:space="preserve"> </w:t>
      </w:r>
      <w:r w:rsidR="00077E52">
        <w:t xml:space="preserve">spoke about biosecurity </w:t>
      </w:r>
      <w:r w:rsidR="00D06173">
        <w:t xml:space="preserve">industry funding </w:t>
      </w:r>
      <w:r w:rsidR="00077E52">
        <w:t>scheme</w:t>
      </w:r>
      <w:r w:rsidR="00D06173">
        <w:t>. The scheme allows industry to determin</w:t>
      </w:r>
      <w:r w:rsidR="00117B74">
        <w:t>e its biosecurity priorities and to</w:t>
      </w:r>
      <w:r w:rsidR="00D06173">
        <w:t xml:space="preserve"> raise funds to address</w:t>
      </w:r>
      <w:r w:rsidR="004D6E30">
        <w:t xml:space="preserve"> biosecurity issues</w:t>
      </w:r>
      <w:r w:rsidR="00D06173">
        <w:t>.</w:t>
      </w:r>
      <w:r w:rsidR="00117B74">
        <w:t xml:space="preserve"> </w:t>
      </w:r>
      <w:r w:rsidR="004C48E8">
        <w:t>He explained that the b</w:t>
      </w:r>
      <w:r w:rsidR="00117B74">
        <w:t xml:space="preserve">enefits of the scheme include </w:t>
      </w:r>
      <w:r w:rsidR="00117B74">
        <w:lastRenderedPageBreak/>
        <w:t>encouraging collaboration and improving</w:t>
      </w:r>
      <w:r w:rsidR="00D06173">
        <w:t xml:space="preserve"> biosecurity amongst industry</w:t>
      </w:r>
      <w:r w:rsidR="004C48E8">
        <w:t xml:space="preserve">, and </w:t>
      </w:r>
      <w:r w:rsidR="003E78C5">
        <w:t>re</w:t>
      </w:r>
      <w:r w:rsidR="00F92144">
        <w:t>luctance to contribute funds</w:t>
      </w:r>
      <w:r w:rsidR="00077E52">
        <w:t xml:space="preserve"> to the scheme </w:t>
      </w:r>
      <w:r w:rsidR="004D6E30">
        <w:t xml:space="preserve">by industry </w:t>
      </w:r>
      <w:r w:rsidR="004C48E8">
        <w:t>is</w:t>
      </w:r>
      <w:r w:rsidR="00077E52">
        <w:t xml:space="preserve"> a challenge.</w:t>
      </w:r>
      <w:r w:rsidR="00F92144">
        <w:t xml:space="preserve"> </w:t>
      </w:r>
    </w:p>
    <w:p w14:paraId="6AB4B5E8" w14:textId="453BBC10" w:rsidR="00D31DC1" w:rsidRPr="004A4F46" w:rsidRDefault="00D31DC1" w:rsidP="00615862">
      <w:pPr>
        <w:pStyle w:val="ListNumber"/>
      </w:pPr>
      <w:r>
        <w:t>Mr Kevin Goss (Western Australian Biosecurity Council)</w:t>
      </w:r>
      <w:r w:rsidR="00C8150B">
        <w:t xml:space="preserve"> spoke about the Counc</w:t>
      </w:r>
      <w:r w:rsidR="00622DC2">
        <w:t xml:space="preserve">il’s role providing </w:t>
      </w:r>
      <w:r w:rsidR="00B50EB0">
        <w:t>advice to g</w:t>
      </w:r>
      <w:r w:rsidR="00C8150B">
        <w:t>overnment on aspects of biosecurity</w:t>
      </w:r>
      <w:r w:rsidR="004D6E30">
        <w:t xml:space="preserve"> in </w:t>
      </w:r>
      <w:r w:rsidR="00C8150B">
        <w:t xml:space="preserve">WA. </w:t>
      </w:r>
      <w:r w:rsidR="009D6088">
        <w:t xml:space="preserve">Mr Goss spoke about </w:t>
      </w:r>
      <w:r w:rsidR="00F92144">
        <w:t xml:space="preserve">the status of </w:t>
      </w:r>
      <w:r w:rsidR="003E78C5">
        <w:t>b</w:t>
      </w:r>
      <w:r w:rsidR="00F92144">
        <w:t>iosecurity in WA</w:t>
      </w:r>
      <w:r w:rsidR="003E78C5">
        <w:t>—</w:t>
      </w:r>
      <w:r w:rsidR="009D6088">
        <w:t>one highlight included improvement</w:t>
      </w:r>
      <w:r w:rsidR="003E78C5">
        <w:t>s</w:t>
      </w:r>
      <w:r w:rsidR="009D6088">
        <w:t xml:space="preserve"> to agency preparedness and inter-agency collaboration through leadership and training. </w:t>
      </w:r>
      <w:r w:rsidR="00656253">
        <w:t>Other work being d</w:t>
      </w:r>
      <w:r w:rsidR="00622DC2">
        <w:t>one by the Counc</w:t>
      </w:r>
      <w:bookmarkStart w:id="0" w:name="_GoBack"/>
      <w:bookmarkEnd w:id="0"/>
      <w:r w:rsidR="00622DC2">
        <w:t>il suggests</w:t>
      </w:r>
      <w:r w:rsidR="00656253">
        <w:t xml:space="preserve"> a contemporary ‘one biosecurity’ organisation may be the most effective way to meet high level biosecurity requirements. </w:t>
      </w:r>
    </w:p>
    <w:p w14:paraId="35A94659" w14:textId="1FAA9984" w:rsidR="00632584" w:rsidRPr="004A4F46" w:rsidRDefault="00EE23D7" w:rsidP="00615862">
      <w:pPr>
        <w:pStyle w:val="ListNumber"/>
        <w:rPr>
          <w:lang w:val="en-US"/>
        </w:rPr>
      </w:pPr>
      <w:r w:rsidRPr="004A4F46">
        <w:rPr>
          <w:lang w:val="en-US"/>
        </w:rPr>
        <w:t>During the first workshop of the day</w:t>
      </w:r>
      <w:r w:rsidR="00155150" w:rsidRPr="004A4F46">
        <w:rPr>
          <w:lang w:val="en-US"/>
        </w:rPr>
        <w:t xml:space="preserve">, </w:t>
      </w:r>
      <w:r w:rsidR="00F4706E" w:rsidRPr="004A4F46">
        <w:rPr>
          <w:lang w:val="en-US"/>
        </w:rPr>
        <w:t>‘s</w:t>
      </w:r>
      <w:r w:rsidR="001B5A1C" w:rsidRPr="004A4F46">
        <w:rPr>
          <w:lang w:val="en-US"/>
        </w:rPr>
        <w:t>urveillance and reporting’</w:t>
      </w:r>
      <w:r w:rsidR="00155150" w:rsidRPr="004A4F46">
        <w:rPr>
          <w:lang w:val="en-US"/>
        </w:rPr>
        <w:t xml:space="preserve">, participants highlighted a number of barriers to reporting. These included </w:t>
      </w:r>
      <w:r w:rsidR="00615862">
        <w:rPr>
          <w:lang w:val="en-US"/>
        </w:rPr>
        <w:t>a lack of</w:t>
      </w:r>
      <w:r w:rsidR="00D20012">
        <w:rPr>
          <w:lang w:val="en-US"/>
        </w:rPr>
        <w:t xml:space="preserve"> biosec</w:t>
      </w:r>
      <w:r w:rsidR="00077E52">
        <w:rPr>
          <w:lang w:val="en-US"/>
        </w:rPr>
        <w:t>urity knowledge and awareness, f</w:t>
      </w:r>
      <w:r w:rsidR="00D20012">
        <w:rPr>
          <w:lang w:val="en-US"/>
        </w:rPr>
        <w:t>ear of potential financi</w:t>
      </w:r>
      <w:r w:rsidR="00077E52">
        <w:rPr>
          <w:lang w:val="en-US"/>
        </w:rPr>
        <w:t>al cost and mistrusting government</w:t>
      </w:r>
      <w:r w:rsidR="00D20012">
        <w:rPr>
          <w:lang w:val="en-US"/>
        </w:rPr>
        <w:t xml:space="preserve">. </w:t>
      </w:r>
      <w:r w:rsidR="00155150" w:rsidRPr="004A4F46">
        <w:rPr>
          <w:lang w:val="en-US"/>
        </w:rPr>
        <w:t>Participants thought that</w:t>
      </w:r>
      <w:r w:rsidR="00615862">
        <w:rPr>
          <w:lang w:val="en-US"/>
        </w:rPr>
        <w:t xml:space="preserve"> possible </w:t>
      </w:r>
      <w:r w:rsidR="00D20012">
        <w:rPr>
          <w:lang w:val="en-US"/>
        </w:rPr>
        <w:t xml:space="preserve">solutions </w:t>
      </w:r>
      <w:r w:rsidR="00615862">
        <w:rPr>
          <w:lang w:val="en-US"/>
        </w:rPr>
        <w:t>included providing</w:t>
      </w:r>
      <w:r w:rsidR="00155150" w:rsidRPr="004A4F46">
        <w:rPr>
          <w:lang w:val="en-US"/>
        </w:rPr>
        <w:t xml:space="preserve"> incentives to report (financial or otherwise), </w:t>
      </w:r>
      <w:r w:rsidRPr="004A4F46">
        <w:rPr>
          <w:lang w:val="en-US"/>
        </w:rPr>
        <w:t xml:space="preserve">using language that is widely understood by the community </w:t>
      </w:r>
      <w:r w:rsidR="00D20012">
        <w:rPr>
          <w:lang w:val="en-US"/>
        </w:rPr>
        <w:t xml:space="preserve">through education campaigns and investing in easy to report technology such as mobile phone </w:t>
      </w:r>
      <w:r w:rsidR="00077E52">
        <w:rPr>
          <w:lang w:val="en-US"/>
        </w:rPr>
        <w:t>applications</w:t>
      </w:r>
      <w:r w:rsidR="00D20012">
        <w:rPr>
          <w:lang w:val="en-US"/>
        </w:rPr>
        <w:t xml:space="preserve">. </w:t>
      </w:r>
      <w:r w:rsidRPr="004A4F46">
        <w:rPr>
          <w:lang w:val="en-US"/>
        </w:rPr>
        <w:t xml:space="preserve"> </w:t>
      </w:r>
    </w:p>
    <w:p w14:paraId="3D5DA89F" w14:textId="06566E90" w:rsidR="006A149D" w:rsidRDefault="00D557B4" w:rsidP="00615862">
      <w:pPr>
        <w:pStyle w:val="ListNumber"/>
        <w:rPr>
          <w:lang w:val="en-US"/>
        </w:rPr>
      </w:pP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Marion Seymour (Western Australia) gave a </w:t>
      </w:r>
      <w:r w:rsidR="00D31DC1">
        <w:rPr>
          <w:lang w:val="en-US"/>
        </w:rPr>
        <w:t>presentation</w:t>
      </w:r>
      <w:r>
        <w:rPr>
          <w:lang w:val="en-US"/>
        </w:rPr>
        <w:t xml:space="preserve"> on ‘</w:t>
      </w:r>
      <w:r w:rsidR="006A149D">
        <w:rPr>
          <w:lang w:val="en-US"/>
        </w:rPr>
        <w:t>How Western Australia feeds into the national animal health surveillance system</w:t>
      </w:r>
      <w:r>
        <w:rPr>
          <w:lang w:val="en-US"/>
        </w:rPr>
        <w:t>’</w:t>
      </w:r>
      <w:r w:rsidR="006A149D">
        <w:rPr>
          <w:lang w:val="en-US"/>
        </w:rPr>
        <w:t xml:space="preserve"> </w:t>
      </w:r>
      <w:r>
        <w:rPr>
          <w:lang w:val="en-US"/>
        </w:rPr>
        <w:t>that</w:t>
      </w:r>
      <w:r w:rsidR="006A149D">
        <w:rPr>
          <w:lang w:val="en-US"/>
        </w:rPr>
        <w:t xml:space="preserve"> highlighted the importance of surveillance in biosecurity and the impacts </w:t>
      </w:r>
      <w:r>
        <w:rPr>
          <w:lang w:val="en-US"/>
        </w:rPr>
        <w:t xml:space="preserve">surveillance </w:t>
      </w:r>
      <w:r w:rsidR="006A149D">
        <w:rPr>
          <w:lang w:val="en-US"/>
        </w:rPr>
        <w:t xml:space="preserve">can have on market access. 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</w:t>
      </w:r>
      <w:r w:rsidR="006A149D">
        <w:rPr>
          <w:lang w:val="en-US"/>
        </w:rPr>
        <w:t xml:space="preserve">Seymour spoke about plans to share disease surveillance data nationally </w:t>
      </w:r>
      <w:r>
        <w:rPr>
          <w:lang w:val="en-US"/>
        </w:rPr>
        <w:t>to</w:t>
      </w:r>
      <w:r w:rsidR="006A149D">
        <w:rPr>
          <w:lang w:val="en-US"/>
        </w:rPr>
        <w:t xml:space="preserve"> </w:t>
      </w:r>
      <w:r>
        <w:rPr>
          <w:lang w:val="en-US"/>
        </w:rPr>
        <w:t xml:space="preserve">provide </w:t>
      </w:r>
      <w:r w:rsidR="006A149D">
        <w:rPr>
          <w:lang w:val="en-US"/>
        </w:rPr>
        <w:t xml:space="preserve">strong proof of freedom </w:t>
      </w:r>
      <w:r w:rsidR="00AD4099">
        <w:rPr>
          <w:lang w:val="en-US"/>
        </w:rPr>
        <w:t xml:space="preserve">from </w:t>
      </w:r>
      <w:r w:rsidR="006A149D">
        <w:rPr>
          <w:lang w:val="en-US"/>
        </w:rPr>
        <w:t>pests and disease</w:t>
      </w:r>
      <w:r w:rsidR="00AD4099">
        <w:rPr>
          <w:lang w:val="en-US"/>
        </w:rPr>
        <w:t>s</w:t>
      </w:r>
      <w:r w:rsidR="006A149D">
        <w:rPr>
          <w:lang w:val="en-US"/>
        </w:rPr>
        <w:t xml:space="preserve"> to export markets.  </w:t>
      </w:r>
    </w:p>
    <w:p w14:paraId="7B1DC391" w14:textId="6E92F33D" w:rsidR="00D31DC1" w:rsidRDefault="006A149D" w:rsidP="00615862">
      <w:pPr>
        <w:pStyle w:val="ListNumber"/>
        <w:rPr>
          <w:lang w:val="en-US"/>
        </w:rPr>
      </w:pP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Rosalie McCauley (Western Australia) </w:t>
      </w:r>
      <w:r w:rsidR="00AD4099">
        <w:rPr>
          <w:lang w:val="en-US"/>
        </w:rPr>
        <w:t>gave</w:t>
      </w:r>
      <w:r>
        <w:rPr>
          <w:lang w:val="en-US"/>
        </w:rPr>
        <w:t xml:space="preserve"> a presentation on </w:t>
      </w:r>
      <w:r w:rsidR="00AD4099">
        <w:rPr>
          <w:lang w:val="en-US"/>
        </w:rPr>
        <w:t>‘T</w:t>
      </w:r>
      <w:r>
        <w:rPr>
          <w:lang w:val="en-US"/>
        </w:rPr>
        <w:t>echnology enabled surveillance</w:t>
      </w:r>
      <w:r w:rsidR="00AD4099">
        <w:rPr>
          <w:lang w:val="en-US"/>
        </w:rPr>
        <w:t xml:space="preserve"> and intelligence tools’</w:t>
      </w:r>
      <w:r>
        <w:rPr>
          <w:lang w:val="en-US"/>
        </w:rPr>
        <w:t>.</w:t>
      </w:r>
      <w:r w:rsidR="006604B4">
        <w:rPr>
          <w:lang w:val="en-US"/>
        </w:rPr>
        <w:t xml:space="preserve"> WA currently </w:t>
      </w:r>
      <w:proofErr w:type="spellStart"/>
      <w:r w:rsidR="006604B4">
        <w:rPr>
          <w:lang w:val="en-US"/>
        </w:rPr>
        <w:t>utili</w:t>
      </w:r>
      <w:r w:rsidR="001B5166">
        <w:rPr>
          <w:lang w:val="en-US"/>
        </w:rPr>
        <w:t>s</w:t>
      </w:r>
      <w:r w:rsidR="006604B4">
        <w:rPr>
          <w:lang w:val="en-US"/>
        </w:rPr>
        <w:t>es</w:t>
      </w:r>
      <w:proofErr w:type="spellEnd"/>
      <w:r w:rsidR="006604B4">
        <w:rPr>
          <w:lang w:val="en-US"/>
        </w:rPr>
        <w:t xml:space="preserve"> identification and reporting tools such as </w:t>
      </w:r>
      <w:r w:rsidR="001B5166">
        <w:rPr>
          <w:lang w:val="en-US"/>
        </w:rPr>
        <w:t>mobile phone applications that comply with national data standards and national pest databank</w:t>
      </w:r>
      <w:r w:rsidR="00AD4099">
        <w:rPr>
          <w:lang w:val="en-US"/>
        </w:rPr>
        <w:t>s</w:t>
      </w:r>
      <w:r w:rsidR="001B5166">
        <w:rPr>
          <w:lang w:val="en-US"/>
        </w:rPr>
        <w:t xml:space="preserve"> – again backing up </w:t>
      </w:r>
      <w:r w:rsidR="004D6E30">
        <w:rPr>
          <w:lang w:val="en-US"/>
        </w:rPr>
        <w:t>proof of</w:t>
      </w:r>
      <w:r w:rsidR="00622DC2">
        <w:rPr>
          <w:lang w:val="en-US"/>
        </w:rPr>
        <w:t xml:space="preserve"> freedom claims. </w:t>
      </w:r>
      <w:proofErr w:type="spellStart"/>
      <w:r w:rsidR="001B5166">
        <w:rPr>
          <w:lang w:val="en-US"/>
        </w:rPr>
        <w:t>Dr</w:t>
      </w:r>
      <w:proofErr w:type="spellEnd"/>
      <w:r w:rsidR="001B5166">
        <w:rPr>
          <w:lang w:val="en-US"/>
        </w:rPr>
        <w:t xml:space="preserve"> McCauley spoke about successfully encouraging reporting through field days, industry and community events and school programs.</w:t>
      </w:r>
      <w:r w:rsidR="00696FD4">
        <w:rPr>
          <w:lang w:val="en-US"/>
        </w:rPr>
        <w:t xml:space="preserve"> </w:t>
      </w:r>
    </w:p>
    <w:p w14:paraId="6770426E" w14:textId="6F4CEF89" w:rsidR="009232D9" w:rsidRDefault="00AE70BB" w:rsidP="00D20012">
      <w:pPr>
        <w:pStyle w:val="ListNumber"/>
      </w:pPr>
      <w:r w:rsidRPr="004A4F46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151041C" wp14:editId="72CC2A27">
                <wp:simplePos x="0" y="0"/>
                <wp:positionH relativeFrom="margin">
                  <wp:align>left</wp:align>
                </wp:positionH>
                <wp:positionV relativeFrom="paragraph">
                  <wp:posOffset>1299094</wp:posOffset>
                </wp:positionV>
                <wp:extent cx="5849620" cy="1489075"/>
                <wp:effectExtent l="0" t="0" r="17780" b="15875"/>
                <wp:wrapTight wrapText="bothSides">
                  <wp:wrapPolygon edited="0">
                    <wp:start x="0" y="0"/>
                    <wp:lineTo x="0" y="21554"/>
                    <wp:lineTo x="21595" y="21554"/>
                    <wp:lineTo x="2159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1489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859EE" w14:textId="77777777" w:rsidR="006604B4" w:rsidRDefault="006604B4" w:rsidP="00736958">
                            <w:pPr>
                              <w:rPr>
                                <w:b/>
                              </w:rPr>
                            </w:pPr>
                            <w:r w:rsidRPr="00430B74">
                              <w:rPr>
                                <w:b/>
                              </w:rPr>
                              <w:t xml:space="preserve">Next steps… </w:t>
                            </w:r>
                          </w:p>
                          <w:p w14:paraId="3C7ED421" w14:textId="34BEDF78" w:rsidR="006604B4" w:rsidRPr="00736958" w:rsidRDefault="006604B4" w:rsidP="00615862">
                            <w:pPr>
                              <w:pStyle w:val="ListNumber"/>
                            </w:pPr>
                            <w:r w:rsidRPr="00736958">
                              <w:t>The Australian Government Department of Agricul</w:t>
                            </w:r>
                            <w:r>
                              <w:t>ture and Water Resources and Western Australia Department of Primary Industries and Regional Development</w:t>
                            </w:r>
                            <w:r w:rsidRPr="00736958">
                              <w:t xml:space="preserve"> would like to thank everyone who participated in </w:t>
                            </w:r>
                            <w:r>
                              <w:t xml:space="preserve">the Western Australia Department of Primary Industries and Regional Development Biosecurity Roundtable </w:t>
                            </w:r>
                            <w:r w:rsidRPr="00736958">
                              <w:t xml:space="preserve">for their time and contributions. The discussions and ideas from </w:t>
                            </w:r>
                            <w:r w:rsidR="00AE70BB">
                              <w:t>the Roundtable f</w:t>
                            </w:r>
                            <w:r w:rsidRPr="00736958">
                              <w:t>ed into the agenda for the National Biosecurity Forum</w:t>
                            </w:r>
                            <w:r w:rsidR="00AE70BB">
                              <w:t xml:space="preserve"> and will feed into other</w:t>
                            </w:r>
                            <w:r w:rsidRPr="00736958">
                              <w:t xml:space="preserve"> biosecurity governance and communication processes through the NBC and other avenues.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1041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02.3pt;width:460.6pt;height:117.2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">
                <v:textbox>
                  <w:txbxContent>
                    <w:p w14:paraId="345859EE" w14:textId="77777777" w:rsidR="006604B4" w:rsidRDefault="006604B4" w:rsidP="00736958">
                      <w:pPr>
                        <w:rPr>
                          <w:b/>
                        </w:rPr>
                      </w:pPr>
                      <w:r w:rsidRPr="00430B74">
                        <w:rPr>
                          <w:b/>
                        </w:rPr>
                        <w:t xml:space="preserve">Next steps… </w:t>
                      </w:r>
                    </w:p>
                    <w:p w14:paraId="3C7ED421" w14:textId="34BEDF78" w:rsidR="006604B4" w:rsidRPr="00736958" w:rsidRDefault="006604B4" w:rsidP="00615862">
                      <w:pPr>
                        <w:pStyle w:val="ListNumber"/>
                      </w:pPr>
                      <w:r w:rsidRPr="00736958">
                        <w:t>The Australian Government Department of Agricul</w:t>
                      </w:r>
                      <w:r>
                        <w:t>ture and Water Resources and Western Australia Department of Primary Industries and Regional Development</w:t>
                      </w:r>
                      <w:r w:rsidRPr="00736958">
                        <w:t xml:space="preserve"> would like to thank everyone who participated in </w:t>
                      </w:r>
                      <w:r>
                        <w:t xml:space="preserve">the Western Australia Department of Primary Industries and Regional Development Biosecurity Roundtable </w:t>
                      </w:r>
                      <w:r w:rsidRPr="00736958">
                        <w:t xml:space="preserve">for their time and contributions. The discussions and ideas from </w:t>
                      </w:r>
                      <w:r w:rsidR="00AE70BB">
                        <w:t>the Roundtable f</w:t>
                      </w:r>
                      <w:r w:rsidRPr="00736958">
                        <w:t>ed into the agenda for the National Biosecurity Forum</w:t>
                      </w:r>
                      <w:r w:rsidR="00AE70BB">
                        <w:t xml:space="preserve"> and will feed into other</w:t>
                      </w:r>
                      <w:r w:rsidRPr="00736958">
                        <w:t xml:space="preserve"> biosecurity governance and communication processes through the NBC and other avenues.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20012" w:rsidRPr="00ED13CD">
        <w:t>The next workshop ‘industry’s role in biosecurity’ focused on what stops industry members from having biosecurity plans. Participants suggested that barriers to having a plan included being time poor,</w:t>
      </w:r>
      <w:r w:rsidR="00D20012">
        <w:t xml:space="preserve"> not having a template to use, </w:t>
      </w:r>
      <w:r w:rsidR="00817831">
        <w:t>financial constraints and finding the process overwhelming.</w:t>
      </w:r>
      <w:r w:rsidR="00077E52">
        <w:t xml:space="preserve"> </w:t>
      </w:r>
      <w:r w:rsidR="00622DC2">
        <w:t>S</w:t>
      </w:r>
      <w:r w:rsidR="00D20012" w:rsidRPr="00ED13CD">
        <w:t>uggestions on ways to increase the adoptio</w:t>
      </w:r>
      <w:r w:rsidR="00622DC2">
        <w:t>n of biosecurity plans included</w:t>
      </w:r>
      <w:r w:rsidR="00D20012" w:rsidRPr="00ED13CD">
        <w:t xml:space="preserve"> </w:t>
      </w:r>
      <w:r w:rsidR="00817831">
        <w:t>highlighting the increasing market demand, making it part of a business plan or</w:t>
      </w:r>
      <w:r w:rsidR="009232D9">
        <w:t xml:space="preserve"> accreditation plan, </w:t>
      </w:r>
      <w:r w:rsidR="00D20012" w:rsidRPr="00ED13CD">
        <w:t xml:space="preserve">helping or assisting farmers to develop plans </w:t>
      </w:r>
      <w:r w:rsidR="009232D9">
        <w:t xml:space="preserve">through provision of a template and education sessions. </w:t>
      </w:r>
    </w:p>
    <w:p w14:paraId="58B15A5D" w14:textId="048E395B" w:rsidR="009232D9" w:rsidRDefault="009232D9" w:rsidP="00D20012">
      <w:pPr>
        <w:pStyle w:val="ListNumber"/>
      </w:pPr>
    </w:p>
    <w:p w14:paraId="637F48D3" w14:textId="2F7C5466" w:rsidR="009232D9" w:rsidRPr="00D20012" w:rsidRDefault="009232D9" w:rsidP="004D6E30">
      <w:pPr>
        <w:pStyle w:val="ListNumber"/>
        <w:jc w:val="center"/>
        <w:rPr>
          <w:b/>
        </w:rPr>
      </w:pPr>
      <w:r w:rsidRPr="004D6E30">
        <w:rPr>
          <w:b/>
        </w:rPr>
        <w:t>We value your feedback – if you have suggestions about this Roundtable or the Roundtable program please contact us at biosecurityroundtable@agriculture.gov.au</w:t>
      </w:r>
    </w:p>
    <w:sectPr w:rsidR="009232D9" w:rsidRPr="00D2001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0AEB0" w14:textId="77777777" w:rsidR="006604B4" w:rsidRDefault="006604B4" w:rsidP="00280A18">
      <w:pPr>
        <w:spacing w:after="0" w:line="240" w:lineRule="auto"/>
      </w:pPr>
      <w:r>
        <w:separator/>
      </w:r>
    </w:p>
  </w:endnote>
  <w:endnote w:type="continuationSeparator" w:id="0">
    <w:p w14:paraId="6AB37DA2" w14:textId="77777777" w:rsidR="006604B4" w:rsidRDefault="006604B4" w:rsidP="0028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901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58047" w14:textId="491F50B3" w:rsidR="006604B4" w:rsidRDefault="006604B4" w:rsidP="005F36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6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AAF59" w14:textId="77777777" w:rsidR="006604B4" w:rsidRDefault="006604B4" w:rsidP="00280A18">
      <w:pPr>
        <w:spacing w:after="0" w:line="240" w:lineRule="auto"/>
      </w:pPr>
      <w:r>
        <w:separator/>
      </w:r>
    </w:p>
  </w:footnote>
  <w:footnote w:type="continuationSeparator" w:id="0">
    <w:p w14:paraId="0E5828CF" w14:textId="77777777" w:rsidR="006604B4" w:rsidRDefault="006604B4" w:rsidP="0028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CDCE9" w14:textId="61CE5FEE" w:rsidR="006604B4" w:rsidRPr="000201C8" w:rsidRDefault="006604B4" w:rsidP="000201C8">
    <w:pPr>
      <w:rPr>
        <w:rFonts w:cs="Times New Roman"/>
        <w:noProof/>
        <w:sz w:val="24"/>
        <w:lang w:val="en-US" w:eastAsia="en-AU"/>
      </w:rPr>
    </w:pPr>
    <w:r>
      <w:rPr>
        <w:rFonts w:cs="Times New Roman"/>
        <w:noProof/>
        <w:sz w:val="24"/>
        <w:lang w:val="en-US" w:eastAsia="en-AU"/>
      </w:rPr>
      <w:t xml:space="preserve">         </w:t>
    </w:r>
    <w:r w:rsidRPr="000201C8">
      <w:rPr>
        <w:rFonts w:cs="Times New Roman"/>
        <w:noProof/>
        <w:sz w:val="24"/>
        <w:lang w:eastAsia="en-AU"/>
      </w:rPr>
      <w:drawing>
        <wp:inline distT="0" distB="0" distL="0" distR="0" wp14:anchorId="7195E13D" wp14:editId="499B3C9E">
          <wp:extent cx="2012200" cy="660342"/>
          <wp:effectExtent l="0" t="0" r="7620" b="6985"/>
          <wp:docPr id="8" name="Picture 8" descr="http://mylink.agdaff.gov.au/Comms/PrintPub/Logos/Departmental%20Logos/Department%20of%20Agriculture%20and%20Water%20Resources/Left%20Aligned/Master%20Brandmark%20Left%20Aligned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ylink.agdaff.gov.au/Comms/PrintPub/Logos/Departmental%20Logos/Department%20of%20Agriculture%20and%20Water%20Resources/Left%20Aligned/Master%20Brandmark%20Left%20Aligned-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760" cy="668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01C8">
      <w:rPr>
        <w:rFonts w:cs="Times New Roman"/>
        <w:noProof/>
        <w:sz w:val="24"/>
        <w:lang w:val="en-US" w:eastAsia="en-AU"/>
      </w:rPr>
      <w:t xml:space="preserve">                  </w:t>
    </w:r>
    <w:r>
      <w:rPr>
        <w:rFonts w:cs="Times New Roman"/>
        <w:noProof/>
        <w:sz w:val="24"/>
        <w:lang w:val="en-US" w:eastAsia="en-AU"/>
      </w:rPr>
      <w:t xml:space="preserve">                  </w:t>
    </w:r>
    <w:r>
      <w:rPr>
        <w:rFonts w:ascii="Arial" w:hAnsi="Arial" w:cs="Arial"/>
        <w:noProof/>
        <w:lang w:eastAsia="en-AU"/>
      </w:rPr>
      <w:drawing>
        <wp:inline distT="0" distB="0" distL="0" distR="0" wp14:anchorId="0451716E" wp14:editId="437936F8">
          <wp:extent cx="2160104" cy="694116"/>
          <wp:effectExtent l="0" t="0" r="0" b="0"/>
          <wp:docPr id="2" name="Picture 2" descr="https://agweb.agric.wa.gov.au/sites/agweb/files/DPIRD_black%20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gweb.agric.wa.gov.au/sites/agweb/files/DPIRD_black%20larg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131" cy="694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mes New Roman"/>
        <w:noProof/>
        <w:sz w:val="24"/>
        <w:lang w:val="en-US" w:eastAsia="en-AU"/>
      </w:rPr>
      <w:t xml:space="preserve">                     </w:t>
    </w:r>
    <w:r w:rsidRPr="000201C8">
      <w:rPr>
        <w:rFonts w:cs="Times New Roman"/>
        <w:noProof/>
        <w:sz w:val="24"/>
        <w:lang w:val="en-US" w:eastAsia="en-AU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3DA0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56082C"/>
    <w:multiLevelType w:val="hybridMultilevel"/>
    <w:tmpl w:val="BAB09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F39CA"/>
    <w:multiLevelType w:val="hybridMultilevel"/>
    <w:tmpl w:val="F84AE51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F771B"/>
    <w:multiLevelType w:val="hybridMultilevel"/>
    <w:tmpl w:val="52B438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740BE"/>
    <w:multiLevelType w:val="hybridMultilevel"/>
    <w:tmpl w:val="108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F1412"/>
    <w:multiLevelType w:val="hybridMultilevel"/>
    <w:tmpl w:val="9E106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5EAB"/>
    <w:multiLevelType w:val="hybridMultilevel"/>
    <w:tmpl w:val="5BE28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0D592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C5D7D"/>
    <w:multiLevelType w:val="hybridMultilevel"/>
    <w:tmpl w:val="C3004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1065"/>
    <w:multiLevelType w:val="hybridMultilevel"/>
    <w:tmpl w:val="4D9E0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0D592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4143A"/>
    <w:multiLevelType w:val="hybridMultilevel"/>
    <w:tmpl w:val="65A84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A50A5"/>
    <w:multiLevelType w:val="hybridMultilevel"/>
    <w:tmpl w:val="CA967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34E49"/>
    <w:multiLevelType w:val="hybridMultilevel"/>
    <w:tmpl w:val="B14C31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495B4C"/>
    <w:multiLevelType w:val="hybridMultilevel"/>
    <w:tmpl w:val="58A4E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846D4"/>
    <w:multiLevelType w:val="hybridMultilevel"/>
    <w:tmpl w:val="1EDEA7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7B653D"/>
    <w:multiLevelType w:val="hybridMultilevel"/>
    <w:tmpl w:val="8FCE66AC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613649"/>
    <w:multiLevelType w:val="hybridMultilevel"/>
    <w:tmpl w:val="75526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07F3A"/>
    <w:multiLevelType w:val="hybridMultilevel"/>
    <w:tmpl w:val="0EFAE1F4"/>
    <w:lvl w:ilvl="0" w:tplc="0C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EF1C88"/>
    <w:multiLevelType w:val="hybridMultilevel"/>
    <w:tmpl w:val="458EBD1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56429"/>
    <w:multiLevelType w:val="multilevel"/>
    <w:tmpl w:val="5F245C28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cs="Calibri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38" w:hanging="369"/>
      </w:pPr>
      <w:rPr>
        <w:rFonts w:ascii="Symbol" w:hAnsi="Symbol" w:hint="default"/>
        <w:color w:val="auto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9" w15:restartNumberingAfterBreak="0">
    <w:nsid w:val="71D13F9D"/>
    <w:multiLevelType w:val="hybridMultilevel"/>
    <w:tmpl w:val="43C0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72F35"/>
    <w:multiLevelType w:val="hybridMultilevel"/>
    <w:tmpl w:val="5F001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771DA"/>
    <w:multiLevelType w:val="hybridMultilevel"/>
    <w:tmpl w:val="16400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20"/>
  </w:num>
  <w:num w:numId="5">
    <w:abstractNumId w:val="21"/>
  </w:num>
  <w:num w:numId="6">
    <w:abstractNumId w:val="11"/>
  </w:num>
  <w:num w:numId="7">
    <w:abstractNumId w:val="8"/>
  </w:num>
  <w:num w:numId="8">
    <w:abstractNumId w:val="14"/>
  </w:num>
  <w:num w:numId="9">
    <w:abstractNumId w:val="13"/>
  </w:num>
  <w:num w:numId="10">
    <w:abstractNumId w:val="16"/>
  </w:num>
  <w:num w:numId="11">
    <w:abstractNumId w:val="1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15"/>
  </w:num>
  <w:num w:numId="16">
    <w:abstractNumId w:val="19"/>
  </w:num>
  <w:num w:numId="17">
    <w:abstractNumId w:val="12"/>
  </w:num>
  <w:num w:numId="18">
    <w:abstractNumId w:val="4"/>
  </w:num>
  <w:num w:numId="19">
    <w:abstractNumId w:val="9"/>
  </w:num>
  <w:num w:numId="20">
    <w:abstractNumId w:val="0"/>
  </w:num>
  <w:num w:numId="21">
    <w:abstractNumId w:val="7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8"/>
    <w:rsid w:val="00002874"/>
    <w:rsid w:val="00004C8E"/>
    <w:rsid w:val="000117E6"/>
    <w:rsid w:val="0001390E"/>
    <w:rsid w:val="000201C8"/>
    <w:rsid w:val="000344FB"/>
    <w:rsid w:val="00041E65"/>
    <w:rsid w:val="000508EE"/>
    <w:rsid w:val="000520FD"/>
    <w:rsid w:val="000605FE"/>
    <w:rsid w:val="000670F9"/>
    <w:rsid w:val="000672B6"/>
    <w:rsid w:val="00071DFB"/>
    <w:rsid w:val="000736D2"/>
    <w:rsid w:val="000773B6"/>
    <w:rsid w:val="00077E52"/>
    <w:rsid w:val="000839B6"/>
    <w:rsid w:val="00092709"/>
    <w:rsid w:val="000A2C64"/>
    <w:rsid w:val="000A73AC"/>
    <w:rsid w:val="000B68E7"/>
    <w:rsid w:val="000C0023"/>
    <w:rsid w:val="000E17F8"/>
    <w:rsid w:val="000E2D10"/>
    <w:rsid w:val="000F278A"/>
    <w:rsid w:val="00113202"/>
    <w:rsid w:val="00117B74"/>
    <w:rsid w:val="001215F3"/>
    <w:rsid w:val="00121F80"/>
    <w:rsid w:val="00127A2C"/>
    <w:rsid w:val="00131851"/>
    <w:rsid w:val="00155150"/>
    <w:rsid w:val="00160546"/>
    <w:rsid w:val="00176814"/>
    <w:rsid w:val="00182899"/>
    <w:rsid w:val="001877F3"/>
    <w:rsid w:val="001A6E9D"/>
    <w:rsid w:val="001B5166"/>
    <w:rsid w:val="001B5A1C"/>
    <w:rsid w:val="001B5F6A"/>
    <w:rsid w:val="001C7A27"/>
    <w:rsid w:val="001F1689"/>
    <w:rsid w:val="001F292F"/>
    <w:rsid w:val="002247AF"/>
    <w:rsid w:val="00246E91"/>
    <w:rsid w:val="00271519"/>
    <w:rsid w:val="00273F41"/>
    <w:rsid w:val="00274338"/>
    <w:rsid w:val="00280A18"/>
    <w:rsid w:val="00282723"/>
    <w:rsid w:val="00291860"/>
    <w:rsid w:val="00294C9D"/>
    <w:rsid w:val="002A46A2"/>
    <w:rsid w:val="002A696D"/>
    <w:rsid w:val="002A7F7D"/>
    <w:rsid w:val="002B4220"/>
    <w:rsid w:val="002C33FE"/>
    <w:rsid w:val="002C4D78"/>
    <w:rsid w:val="002C54D2"/>
    <w:rsid w:val="002D3FC9"/>
    <w:rsid w:val="002E05BF"/>
    <w:rsid w:val="00320130"/>
    <w:rsid w:val="003273D1"/>
    <w:rsid w:val="0032755F"/>
    <w:rsid w:val="00343425"/>
    <w:rsid w:val="003452C2"/>
    <w:rsid w:val="00365344"/>
    <w:rsid w:val="00370463"/>
    <w:rsid w:val="00375390"/>
    <w:rsid w:val="0038053B"/>
    <w:rsid w:val="00381066"/>
    <w:rsid w:val="0039744C"/>
    <w:rsid w:val="003A020A"/>
    <w:rsid w:val="003B041B"/>
    <w:rsid w:val="003B7B0C"/>
    <w:rsid w:val="003C5C0F"/>
    <w:rsid w:val="003D6F68"/>
    <w:rsid w:val="003E7260"/>
    <w:rsid w:val="003E78C5"/>
    <w:rsid w:val="003F10A1"/>
    <w:rsid w:val="003F10F3"/>
    <w:rsid w:val="0043121C"/>
    <w:rsid w:val="00432BC6"/>
    <w:rsid w:val="00435CE3"/>
    <w:rsid w:val="00436D59"/>
    <w:rsid w:val="0044169B"/>
    <w:rsid w:val="00444812"/>
    <w:rsid w:val="00450D5F"/>
    <w:rsid w:val="00451A1B"/>
    <w:rsid w:val="00452156"/>
    <w:rsid w:val="00453B32"/>
    <w:rsid w:val="00465985"/>
    <w:rsid w:val="0047658E"/>
    <w:rsid w:val="00491E97"/>
    <w:rsid w:val="004A4775"/>
    <w:rsid w:val="004A4A78"/>
    <w:rsid w:val="004A4F46"/>
    <w:rsid w:val="004B41F4"/>
    <w:rsid w:val="004B6B45"/>
    <w:rsid w:val="004C0D1E"/>
    <w:rsid w:val="004C20B3"/>
    <w:rsid w:val="004C48E8"/>
    <w:rsid w:val="004D6E30"/>
    <w:rsid w:val="004D74AF"/>
    <w:rsid w:val="004F2636"/>
    <w:rsid w:val="005031AF"/>
    <w:rsid w:val="00526894"/>
    <w:rsid w:val="00552565"/>
    <w:rsid w:val="0057228A"/>
    <w:rsid w:val="00586D1A"/>
    <w:rsid w:val="0059395A"/>
    <w:rsid w:val="005A28DF"/>
    <w:rsid w:val="005A6100"/>
    <w:rsid w:val="005A6394"/>
    <w:rsid w:val="005B031C"/>
    <w:rsid w:val="005B46BD"/>
    <w:rsid w:val="005C0539"/>
    <w:rsid w:val="005C0AC9"/>
    <w:rsid w:val="005C3749"/>
    <w:rsid w:val="005D02CA"/>
    <w:rsid w:val="005E7DE2"/>
    <w:rsid w:val="005F36C2"/>
    <w:rsid w:val="005F560C"/>
    <w:rsid w:val="006076E5"/>
    <w:rsid w:val="00614AE2"/>
    <w:rsid w:val="00615862"/>
    <w:rsid w:val="00622DC2"/>
    <w:rsid w:val="006264EA"/>
    <w:rsid w:val="00632584"/>
    <w:rsid w:val="00646942"/>
    <w:rsid w:val="00650EB9"/>
    <w:rsid w:val="00656253"/>
    <w:rsid w:val="006604B4"/>
    <w:rsid w:val="00667B1B"/>
    <w:rsid w:val="00670203"/>
    <w:rsid w:val="0067260E"/>
    <w:rsid w:val="00681671"/>
    <w:rsid w:val="0068321D"/>
    <w:rsid w:val="00696FD4"/>
    <w:rsid w:val="006A149D"/>
    <w:rsid w:val="006A6543"/>
    <w:rsid w:val="006B3AC2"/>
    <w:rsid w:val="006B56EE"/>
    <w:rsid w:val="006C14A4"/>
    <w:rsid w:val="006D00C3"/>
    <w:rsid w:val="006E37A1"/>
    <w:rsid w:val="006E5CDB"/>
    <w:rsid w:val="006E6B64"/>
    <w:rsid w:val="006F13CE"/>
    <w:rsid w:val="00703EDF"/>
    <w:rsid w:val="0070722E"/>
    <w:rsid w:val="00710542"/>
    <w:rsid w:val="00734946"/>
    <w:rsid w:val="00736958"/>
    <w:rsid w:val="00741BD0"/>
    <w:rsid w:val="00742EC0"/>
    <w:rsid w:val="00742F29"/>
    <w:rsid w:val="007533F0"/>
    <w:rsid w:val="007718F9"/>
    <w:rsid w:val="00771B80"/>
    <w:rsid w:val="00780C49"/>
    <w:rsid w:val="00783CB4"/>
    <w:rsid w:val="0078406C"/>
    <w:rsid w:val="007932F8"/>
    <w:rsid w:val="007C42E8"/>
    <w:rsid w:val="007E01E4"/>
    <w:rsid w:val="007F58CC"/>
    <w:rsid w:val="00800FA0"/>
    <w:rsid w:val="00804515"/>
    <w:rsid w:val="0081684C"/>
    <w:rsid w:val="00817831"/>
    <w:rsid w:val="00821761"/>
    <w:rsid w:val="00823A3D"/>
    <w:rsid w:val="00841ED0"/>
    <w:rsid w:val="0085379B"/>
    <w:rsid w:val="00864886"/>
    <w:rsid w:val="0087481C"/>
    <w:rsid w:val="00887241"/>
    <w:rsid w:val="00893BD4"/>
    <w:rsid w:val="008A0972"/>
    <w:rsid w:val="008B1905"/>
    <w:rsid w:val="008B581E"/>
    <w:rsid w:val="008C4CC0"/>
    <w:rsid w:val="008E1DA9"/>
    <w:rsid w:val="009019CC"/>
    <w:rsid w:val="00912CB7"/>
    <w:rsid w:val="009207FD"/>
    <w:rsid w:val="009232D9"/>
    <w:rsid w:val="00925BC4"/>
    <w:rsid w:val="00943BA6"/>
    <w:rsid w:val="009449FD"/>
    <w:rsid w:val="00946C40"/>
    <w:rsid w:val="00946CBA"/>
    <w:rsid w:val="00956220"/>
    <w:rsid w:val="00956CFE"/>
    <w:rsid w:val="009669FD"/>
    <w:rsid w:val="0097176C"/>
    <w:rsid w:val="00986B02"/>
    <w:rsid w:val="009B36DE"/>
    <w:rsid w:val="009B4523"/>
    <w:rsid w:val="009B7C98"/>
    <w:rsid w:val="009D6088"/>
    <w:rsid w:val="009D67EC"/>
    <w:rsid w:val="009E4120"/>
    <w:rsid w:val="00A066F8"/>
    <w:rsid w:val="00A13829"/>
    <w:rsid w:val="00A1778B"/>
    <w:rsid w:val="00A37645"/>
    <w:rsid w:val="00A47B39"/>
    <w:rsid w:val="00A55C87"/>
    <w:rsid w:val="00A7031B"/>
    <w:rsid w:val="00A838BF"/>
    <w:rsid w:val="00A84150"/>
    <w:rsid w:val="00A8473C"/>
    <w:rsid w:val="00A9135F"/>
    <w:rsid w:val="00A95D8B"/>
    <w:rsid w:val="00AB2CF9"/>
    <w:rsid w:val="00AB3A9D"/>
    <w:rsid w:val="00AB4CEA"/>
    <w:rsid w:val="00AD4099"/>
    <w:rsid w:val="00AD5E33"/>
    <w:rsid w:val="00AE70BB"/>
    <w:rsid w:val="00AF097E"/>
    <w:rsid w:val="00AF1F5C"/>
    <w:rsid w:val="00AF1F8F"/>
    <w:rsid w:val="00B0603C"/>
    <w:rsid w:val="00B06988"/>
    <w:rsid w:val="00B12BEE"/>
    <w:rsid w:val="00B12BFF"/>
    <w:rsid w:val="00B13956"/>
    <w:rsid w:val="00B14ED0"/>
    <w:rsid w:val="00B25D65"/>
    <w:rsid w:val="00B43E4F"/>
    <w:rsid w:val="00B473D1"/>
    <w:rsid w:val="00B47E8E"/>
    <w:rsid w:val="00B50EB0"/>
    <w:rsid w:val="00B51CE8"/>
    <w:rsid w:val="00B52813"/>
    <w:rsid w:val="00B57D80"/>
    <w:rsid w:val="00B70F37"/>
    <w:rsid w:val="00B74C6F"/>
    <w:rsid w:val="00B902CB"/>
    <w:rsid w:val="00BB5777"/>
    <w:rsid w:val="00BC191F"/>
    <w:rsid w:val="00BD3824"/>
    <w:rsid w:val="00BE535C"/>
    <w:rsid w:val="00BF3B30"/>
    <w:rsid w:val="00C0184E"/>
    <w:rsid w:val="00C27CFB"/>
    <w:rsid w:val="00C357E5"/>
    <w:rsid w:val="00C363F0"/>
    <w:rsid w:val="00C40666"/>
    <w:rsid w:val="00C41E00"/>
    <w:rsid w:val="00C4726D"/>
    <w:rsid w:val="00C61DD0"/>
    <w:rsid w:val="00C64344"/>
    <w:rsid w:val="00C7367A"/>
    <w:rsid w:val="00C73B70"/>
    <w:rsid w:val="00C74D3B"/>
    <w:rsid w:val="00C8150B"/>
    <w:rsid w:val="00C90016"/>
    <w:rsid w:val="00C910C1"/>
    <w:rsid w:val="00C93665"/>
    <w:rsid w:val="00C9368E"/>
    <w:rsid w:val="00C93A18"/>
    <w:rsid w:val="00CB4406"/>
    <w:rsid w:val="00CC6D48"/>
    <w:rsid w:val="00CD12C3"/>
    <w:rsid w:val="00CD12F0"/>
    <w:rsid w:val="00CD1C32"/>
    <w:rsid w:val="00CD5C20"/>
    <w:rsid w:val="00CF3E85"/>
    <w:rsid w:val="00D056E4"/>
    <w:rsid w:val="00D06173"/>
    <w:rsid w:val="00D10D45"/>
    <w:rsid w:val="00D13663"/>
    <w:rsid w:val="00D20012"/>
    <w:rsid w:val="00D20B3D"/>
    <w:rsid w:val="00D223B4"/>
    <w:rsid w:val="00D24E9B"/>
    <w:rsid w:val="00D31DC1"/>
    <w:rsid w:val="00D43338"/>
    <w:rsid w:val="00D52C8E"/>
    <w:rsid w:val="00D557B4"/>
    <w:rsid w:val="00D56410"/>
    <w:rsid w:val="00D6390D"/>
    <w:rsid w:val="00D6657B"/>
    <w:rsid w:val="00D750DE"/>
    <w:rsid w:val="00D85CE7"/>
    <w:rsid w:val="00D967C3"/>
    <w:rsid w:val="00DC73B5"/>
    <w:rsid w:val="00DD0191"/>
    <w:rsid w:val="00DD3982"/>
    <w:rsid w:val="00DE078E"/>
    <w:rsid w:val="00E02D10"/>
    <w:rsid w:val="00E11525"/>
    <w:rsid w:val="00E37A31"/>
    <w:rsid w:val="00E43820"/>
    <w:rsid w:val="00E47426"/>
    <w:rsid w:val="00E56988"/>
    <w:rsid w:val="00E71025"/>
    <w:rsid w:val="00E72FDF"/>
    <w:rsid w:val="00E83F13"/>
    <w:rsid w:val="00E96902"/>
    <w:rsid w:val="00EA2AD1"/>
    <w:rsid w:val="00EB0FB0"/>
    <w:rsid w:val="00EC25A2"/>
    <w:rsid w:val="00EC705B"/>
    <w:rsid w:val="00EE23D7"/>
    <w:rsid w:val="00EF4FF0"/>
    <w:rsid w:val="00F01770"/>
    <w:rsid w:val="00F028C2"/>
    <w:rsid w:val="00F1534B"/>
    <w:rsid w:val="00F27B22"/>
    <w:rsid w:val="00F307CA"/>
    <w:rsid w:val="00F45830"/>
    <w:rsid w:val="00F4706E"/>
    <w:rsid w:val="00F47E6D"/>
    <w:rsid w:val="00F73AEA"/>
    <w:rsid w:val="00F74F70"/>
    <w:rsid w:val="00F9176F"/>
    <w:rsid w:val="00F92144"/>
    <w:rsid w:val="00F9436E"/>
    <w:rsid w:val="00FA192C"/>
    <w:rsid w:val="00FB2367"/>
    <w:rsid w:val="00FC3AC8"/>
    <w:rsid w:val="00FC7834"/>
    <w:rsid w:val="00FE172D"/>
    <w:rsid w:val="00FE30B9"/>
    <w:rsid w:val="00FE5E96"/>
    <w:rsid w:val="00FE60C0"/>
    <w:rsid w:val="00FE7844"/>
    <w:rsid w:val="00FF1D15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  <w14:docId w14:val="00A1973E"/>
  <w15:chartTrackingRefBased/>
  <w15:docId w15:val="{71385914-EA32-4722-8232-A9C9BAD8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016"/>
  </w:style>
  <w:style w:type="paragraph" w:styleId="Heading1">
    <w:name w:val="heading 1"/>
    <w:basedOn w:val="Normal"/>
    <w:next w:val="Normal"/>
    <w:link w:val="Heading1Char"/>
    <w:qFormat/>
    <w:rsid w:val="000201C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A18"/>
  </w:style>
  <w:style w:type="paragraph" w:styleId="Footer">
    <w:name w:val="footer"/>
    <w:basedOn w:val="Normal"/>
    <w:link w:val="FooterChar"/>
    <w:uiPriority w:val="99"/>
    <w:unhideWhenUsed/>
    <w:rsid w:val="0028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A18"/>
  </w:style>
  <w:style w:type="paragraph" w:styleId="ListParagraph">
    <w:name w:val="List Paragraph"/>
    <w:basedOn w:val="Normal"/>
    <w:uiPriority w:val="34"/>
    <w:qFormat/>
    <w:rsid w:val="00131851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1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85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851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851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autoRedefine/>
    <w:uiPriority w:val="99"/>
    <w:qFormat/>
    <w:rsid w:val="00615862"/>
    <w:pPr>
      <w:spacing w:after="200" w:line="240" w:lineRule="auto"/>
    </w:pPr>
    <w:rPr>
      <w:rFonts w:ascii="Calibri" w:eastAsia="Calibri" w:hAnsi="Calibri" w:cs="Times New Roman"/>
    </w:rPr>
  </w:style>
  <w:style w:type="paragraph" w:styleId="ListNumber2">
    <w:name w:val="List Number 2"/>
    <w:basedOn w:val="Normal"/>
    <w:autoRedefine/>
    <w:uiPriority w:val="99"/>
    <w:rsid w:val="0078406C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4"/>
    </w:rPr>
  </w:style>
  <w:style w:type="paragraph" w:styleId="ListNumber3">
    <w:name w:val="List Number 3"/>
    <w:basedOn w:val="Normal"/>
    <w:uiPriority w:val="99"/>
    <w:rsid w:val="00131851"/>
    <w:pPr>
      <w:numPr>
        <w:ilvl w:val="2"/>
        <w:numId w:val="2"/>
      </w:numPr>
      <w:spacing w:after="200" w:line="240" w:lineRule="auto"/>
    </w:pPr>
    <w:rPr>
      <w:rFonts w:ascii="Calibri" w:eastAsia="Calibri" w:hAnsi="Calibri" w:cs="Times New Roman"/>
      <w:sz w:val="24"/>
    </w:rPr>
  </w:style>
  <w:style w:type="paragraph" w:styleId="ListNumber4">
    <w:name w:val="List Number 4"/>
    <w:basedOn w:val="Normal"/>
    <w:uiPriority w:val="99"/>
    <w:rsid w:val="00131851"/>
    <w:pPr>
      <w:numPr>
        <w:ilvl w:val="3"/>
        <w:numId w:val="2"/>
      </w:numPr>
      <w:spacing w:after="200" w:line="240" w:lineRule="auto"/>
    </w:pPr>
    <w:rPr>
      <w:rFonts w:ascii="Calibri" w:eastAsia="Calibri" w:hAnsi="Calibri" w:cs="Times New Roman"/>
      <w:sz w:val="24"/>
    </w:rPr>
  </w:style>
  <w:style w:type="paragraph" w:styleId="ListNumber5">
    <w:name w:val="List Number 5"/>
    <w:basedOn w:val="Normal"/>
    <w:uiPriority w:val="99"/>
    <w:rsid w:val="00131851"/>
    <w:pPr>
      <w:numPr>
        <w:ilvl w:val="4"/>
        <w:numId w:val="2"/>
      </w:numPr>
      <w:spacing w:after="200" w:line="240" w:lineRule="auto"/>
    </w:pPr>
    <w:rPr>
      <w:rFonts w:ascii="Calibri" w:eastAsia="Calibri" w:hAnsi="Calibri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770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770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1770"/>
    <w:pPr>
      <w:spacing w:after="0" w:line="240" w:lineRule="auto"/>
    </w:pPr>
  </w:style>
  <w:style w:type="paragraph" w:customStyle="1" w:styleId="Tabletext">
    <w:name w:val="Table text"/>
    <w:basedOn w:val="Normal"/>
    <w:uiPriority w:val="9"/>
    <w:qFormat/>
    <w:rsid w:val="00B13956"/>
    <w:pPr>
      <w:spacing w:after="20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201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D99B48C-204B-4682-BAA7-A196CEBF5CE7}"/>
</file>

<file path=customXml/itemProps2.xml><?xml version="1.0" encoding="utf-8"?>
<ds:datastoreItem xmlns:ds="http://schemas.openxmlformats.org/officeDocument/2006/customXml" ds:itemID="{2DF52C39-4E12-465D-B5FF-FF3F564F90AC}"/>
</file>

<file path=customXml/itemProps3.xml><?xml version="1.0" encoding="utf-8"?>
<ds:datastoreItem xmlns:ds="http://schemas.openxmlformats.org/officeDocument/2006/customXml" ds:itemID="{0B2E7648-8191-4B15-99FB-56AA929C47D2}"/>
</file>

<file path=customXml/itemProps4.xml><?xml version="1.0" encoding="utf-8"?>
<ds:datastoreItem xmlns:ds="http://schemas.openxmlformats.org/officeDocument/2006/customXml" ds:itemID="{704A3D07-E20C-44C9-BD9A-20EDC8372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Heino, Grant</dc:creator>
  <cp:keywords/>
  <dc:description/>
  <cp:lastModifiedBy>Scherer, Angela</cp:lastModifiedBy>
  <cp:revision>4</cp:revision>
  <cp:lastPrinted>2017-11-21T20:53:00Z</cp:lastPrinted>
  <dcterms:created xsi:type="dcterms:W3CDTF">2017-11-28T00:50:00Z</dcterms:created>
  <dcterms:modified xsi:type="dcterms:W3CDTF">2017-11-28T00:53:00Z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