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olors1.xml" ContentType="application/vnd.ms-office.chartcolorstyle+xml"/>
  <Override PartName="/word/charts/style1.xml" ContentType="application/vnd.ms-office.chartstyle+xml"/>
  <Override PartName="/word/theme/themeOverride1.xml" ContentType="application/vnd.openxmlformats-officedocument.themeOverride+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43B" w:rsidRDefault="0043143B" w:rsidP="00C24556">
      <w:r w:rsidRPr="0043143B">
        <w:rPr>
          <w:noProof/>
          <w:color w:val="1F4E79" w:themeColor="accent5" w:themeShade="80"/>
          <w:lang w:eastAsia="en-AU"/>
        </w:rPr>
        <mc:AlternateContent>
          <mc:Choice Requires="wps">
            <w:drawing>
              <wp:anchor distT="0" distB="0" distL="114300" distR="114300" simplePos="0" relativeHeight="251659264" behindDoc="0" locked="0" layoutInCell="1" allowOverlap="1" wp14:anchorId="12781E31" wp14:editId="166BFA6D">
                <wp:simplePos x="0" y="0"/>
                <wp:positionH relativeFrom="margin">
                  <wp:align>left</wp:align>
                </wp:positionH>
                <wp:positionV relativeFrom="paragraph">
                  <wp:posOffset>61414</wp:posOffset>
                </wp:positionV>
                <wp:extent cx="5801613" cy="0"/>
                <wp:effectExtent l="0" t="19050" r="46990" b="38100"/>
                <wp:wrapNone/>
                <wp:docPr id="1" name="Straight Connector 1"/>
                <wp:cNvGraphicFramePr/>
                <a:graphic xmlns:a="http://schemas.openxmlformats.org/drawingml/2006/main">
                  <a:graphicData uri="http://schemas.microsoft.com/office/word/2010/wordprocessingShape">
                    <wps:wsp>
                      <wps:cNvCnPr/>
                      <wps:spPr>
                        <a:xfrm flipV="1">
                          <a:off x="0" y="0"/>
                          <a:ext cx="5801613" cy="0"/>
                        </a:xfrm>
                        <a:prstGeom prst="line">
                          <a:avLst/>
                        </a:prstGeom>
                        <a:ln w="5715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31CBD"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56.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" strokecolor="#1f4d78 [1608]" strokeweight="4.5pt">
                <v:stroke joinstyle="miter"/>
                <w10:wrap anchorx="margin"/>
              </v:line>
            </w:pict>
          </mc:Fallback>
        </mc:AlternateContent>
      </w:r>
      <w:r w:rsidR="00BF3F6A">
        <w:t xml:space="preserve"> </w:t>
      </w:r>
    </w:p>
    <w:p w:rsidR="0043143B" w:rsidRDefault="0043143B" w:rsidP="00C24556"/>
    <w:p w:rsidR="0043143B" w:rsidRPr="004B05AA" w:rsidRDefault="0043143B" w:rsidP="004B05AA">
      <w:pPr>
        <w:ind w:left="3261"/>
        <w:jc w:val="left"/>
        <w:rPr>
          <w:b/>
          <w:color w:val="2E74B5" w:themeColor="accent5" w:themeShade="BF"/>
          <w:sz w:val="56"/>
          <w:szCs w:val="56"/>
        </w:rPr>
      </w:pPr>
      <w:r w:rsidRPr="004B05AA">
        <w:rPr>
          <w:b/>
          <w:color w:val="2E74B5" w:themeColor="accent5" w:themeShade="BF"/>
          <w:sz w:val="56"/>
          <w:szCs w:val="56"/>
        </w:rPr>
        <w:t>INDEPENDENT REVIEW OF CONDITIONS FOR THE EXPORT OF SHEE</w:t>
      </w:r>
      <w:r w:rsidR="00760454" w:rsidRPr="004B05AA">
        <w:rPr>
          <w:b/>
          <w:color w:val="2E74B5" w:themeColor="accent5" w:themeShade="BF"/>
          <w:sz w:val="56"/>
          <w:szCs w:val="56"/>
        </w:rPr>
        <w:t>P</w:t>
      </w:r>
      <w:r w:rsidRPr="004B05AA">
        <w:rPr>
          <w:b/>
          <w:color w:val="2E74B5" w:themeColor="accent5" w:themeShade="BF"/>
          <w:sz w:val="56"/>
          <w:szCs w:val="56"/>
        </w:rPr>
        <w:t xml:space="preserve"> TO THE MIDDLE EAST DURING THE NORTHERN </w:t>
      </w:r>
      <w:r w:rsidR="00971D49" w:rsidRPr="004B05AA">
        <w:rPr>
          <w:b/>
          <w:color w:val="2E74B5" w:themeColor="accent5" w:themeShade="BF"/>
          <w:sz w:val="56"/>
          <w:szCs w:val="56"/>
        </w:rPr>
        <w:t xml:space="preserve">HEMISPHERE </w:t>
      </w:r>
      <w:r w:rsidRPr="004B05AA">
        <w:rPr>
          <w:b/>
          <w:color w:val="2E74B5" w:themeColor="accent5" w:themeShade="BF"/>
          <w:sz w:val="56"/>
          <w:szCs w:val="56"/>
        </w:rPr>
        <w:t>SUMMER</w:t>
      </w:r>
    </w:p>
    <w:p w:rsidR="0043143B" w:rsidRDefault="0043143B" w:rsidP="00C24556">
      <w:r>
        <w:br w:type="page"/>
      </w:r>
    </w:p>
    <w:p w:rsidR="000729BB" w:rsidRPr="00987374" w:rsidRDefault="000729BB" w:rsidP="000729BB">
      <w:pPr>
        <w:spacing w:after="240"/>
        <w:jc w:val="right"/>
        <w:rPr>
          <w:rFonts w:ascii="Times New Roman" w:hAnsi="Times New Roman" w:cs="Times New Roman"/>
        </w:rPr>
      </w:pPr>
      <w:r w:rsidRPr="00987374">
        <w:rPr>
          <w:rFonts w:ascii="Times New Roman" w:hAnsi="Times New Roman" w:cs="Times New Roman"/>
        </w:rPr>
        <w:t>11 May 2018</w:t>
      </w:r>
    </w:p>
    <w:p w:rsidR="000729BB" w:rsidRPr="00987374" w:rsidRDefault="000729BB" w:rsidP="000729BB">
      <w:pPr>
        <w:spacing w:after="240"/>
        <w:rPr>
          <w:rFonts w:ascii="Times New Roman" w:hAnsi="Times New Roman" w:cs="Times New Roman"/>
        </w:rPr>
      </w:pPr>
    </w:p>
    <w:p w:rsidR="000729BB" w:rsidRPr="00987374" w:rsidRDefault="000729BB" w:rsidP="000729BB">
      <w:pPr>
        <w:spacing w:after="240"/>
        <w:rPr>
          <w:rFonts w:ascii="Times New Roman" w:hAnsi="Times New Roman" w:cs="Times New Roman"/>
        </w:rPr>
      </w:pPr>
    </w:p>
    <w:p w:rsidR="000729BB" w:rsidRPr="00987374" w:rsidRDefault="000729BB" w:rsidP="000729BB">
      <w:pPr>
        <w:spacing w:after="0"/>
        <w:rPr>
          <w:rFonts w:ascii="Times New Roman" w:hAnsi="Times New Roman" w:cs="Times New Roman"/>
        </w:rPr>
      </w:pPr>
      <w:r w:rsidRPr="00987374">
        <w:rPr>
          <w:rFonts w:ascii="Times New Roman" w:hAnsi="Times New Roman" w:cs="Times New Roman"/>
        </w:rPr>
        <w:t>The Hon. David Littleproud MP</w:t>
      </w:r>
    </w:p>
    <w:p w:rsidR="000729BB" w:rsidRPr="00987374" w:rsidRDefault="000729BB" w:rsidP="000729BB">
      <w:pPr>
        <w:spacing w:after="0"/>
        <w:rPr>
          <w:rFonts w:ascii="Times New Roman" w:hAnsi="Times New Roman" w:cs="Times New Roman"/>
        </w:rPr>
      </w:pPr>
      <w:r w:rsidRPr="00987374">
        <w:rPr>
          <w:rFonts w:ascii="Times New Roman" w:hAnsi="Times New Roman" w:cs="Times New Roman"/>
        </w:rPr>
        <w:t>Minister for Agriculture and Water Resources</w:t>
      </w:r>
    </w:p>
    <w:p w:rsidR="000729BB" w:rsidRPr="00987374" w:rsidRDefault="000729BB" w:rsidP="000729BB">
      <w:pPr>
        <w:spacing w:after="0"/>
        <w:rPr>
          <w:rFonts w:ascii="Times New Roman" w:hAnsi="Times New Roman" w:cs="Times New Roman"/>
        </w:rPr>
      </w:pPr>
      <w:r w:rsidRPr="00987374">
        <w:rPr>
          <w:rFonts w:ascii="Times New Roman" w:hAnsi="Times New Roman" w:cs="Times New Roman"/>
        </w:rPr>
        <w:t>Parliament House</w:t>
      </w:r>
    </w:p>
    <w:p w:rsidR="000729BB" w:rsidRPr="00987374" w:rsidRDefault="000729BB" w:rsidP="000729BB">
      <w:pPr>
        <w:spacing w:after="240"/>
        <w:rPr>
          <w:rFonts w:ascii="Times New Roman" w:hAnsi="Times New Roman" w:cs="Times New Roman"/>
        </w:rPr>
      </w:pPr>
      <w:r w:rsidRPr="00987374">
        <w:rPr>
          <w:rFonts w:ascii="Times New Roman" w:hAnsi="Times New Roman" w:cs="Times New Roman"/>
        </w:rPr>
        <w:t>Canberra  ACT  2600</w:t>
      </w:r>
    </w:p>
    <w:p w:rsidR="000729BB" w:rsidRPr="00987374" w:rsidRDefault="000729BB" w:rsidP="000729BB">
      <w:pPr>
        <w:spacing w:after="240"/>
        <w:rPr>
          <w:rFonts w:ascii="Times New Roman" w:hAnsi="Times New Roman" w:cs="Times New Roman"/>
        </w:rPr>
      </w:pPr>
    </w:p>
    <w:p w:rsidR="000729BB" w:rsidRPr="00987374" w:rsidRDefault="000729BB" w:rsidP="000729BB">
      <w:pPr>
        <w:spacing w:after="240"/>
        <w:rPr>
          <w:rFonts w:ascii="Times New Roman" w:hAnsi="Times New Roman" w:cs="Times New Roman"/>
        </w:rPr>
      </w:pPr>
    </w:p>
    <w:p w:rsidR="000729BB" w:rsidRPr="00987374" w:rsidRDefault="000729BB" w:rsidP="000729BB">
      <w:pPr>
        <w:spacing w:after="240"/>
        <w:rPr>
          <w:rFonts w:ascii="Times New Roman" w:hAnsi="Times New Roman" w:cs="Times New Roman"/>
        </w:rPr>
      </w:pPr>
    </w:p>
    <w:p w:rsidR="000729BB" w:rsidRPr="00987374" w:rsidRDefault="000729BB" w:rsidP="000729BB">
      <w:pPr>
        <w:spacing w:after="240"/>
        <w:rPr>
          <w:rFonts w:ascii="Times New Roman" w:hAnsi="Times New Roman" w:cs="Times New Roman"/>
        </w:rPr>
      </w:pPr>
      <w:r w:rsidRPr="00987374">
        <w:rPr>
          <w:rFonts w:ascii="Times New Roman" w:hAnsi="Times New Roman" w:cs="Times New Roman"/>
        </w:rPr>
        <w:t>Dear Minister</w:t>
      </w:r>
    </w:p>
    <w:p w:rsidR="000729BB" w:rsidRPr="00987374" w:rsidRDefault="000729BB" w:rsidP="000729BB">
      <w:pPr>
        <w:spacing w:after="240"/>
        <w:rPr>
          <w:rFonts w:ascii="Times New Roman" w:hAnsi="Times New Roman" w:cs="Times New Roman"/>
        </w:rPr>
      </w:pPr>
      <w:r w:rsidRPr="00987374">
        <w:rPr>
          <w:rFonts w:ascii="Times New Roman" w:hAnsi="Times New Roman" w:cs="Times New Roman"/>
        </w:rPr>
        <w:t>On 10 April 2018 you announced that I would undertake an independent, short, sharp review to advise on conditions for the export of sheep to the Middle East during the northern hemisphere summer, in accordance with the review terms of reference on the Department of Agriculture and Water Resource’s website. It was delivered on 11</w:t>
      </w:r>
      <w:r w:rsidR="00987374">
        <w:rPr>
          <w:rFonts w:ascii="Times New Roman" w:hAnsi="Times New Roman" w:cs="Times New Roman"/>
        </w:rPr>
        <w:t> </w:t>
      </w:r>
      <w:r w:rsidRPr="00987374">
        <w:rPr>
          <w:rFonts w:ascii="Times New Roman" w:hAnsi="Times New Roman" w:cs="Times New Roman"/>
        </w:rPr>
        <w:t>May</w:t>
      </w:r>
      <w:r w:rsidR="00987374">
        <w:rPr>
          <w:rFonts w:ascii="Times New Roman" w:hAnsi="Times New Roman" w:cs="Times New Roman"/>
        </w:rPr>
        <w:t> </w:t>
      </w:r>
      <w:r w:rsidRPr="00987374">
        <w:rPr>
          <w:rFonts w:ascii="Times New Roman" w:hAnsi="Times New Roman" w:cs="Times New Roman"/>
        </w:rPr>
        <w:t>2018.</w:t>
      </w:r>
    </w:p>
    <w:p w:rsidR="000729BB" w:rsidRPr="00987374" w:rsidRDefault="000729BB" w:rsidP="000729BB">
      <w:pPr>
        <w:spacing w:after="240"/>
        <w:rPr>
          <w:rFonts w:ascii="Times New Roman" w:hAnsi="Times New Roman" w:cs="Times New Roman"/>
        </w:rPr>
      </w:pPr>
      <w:r w:rsidRPr="00987374">
        <w:rPr>
          <w:rFonts w:ascii="Times New Roman" w:hAnsi="Times New Roman" w:cs="Times New Roman"/>
        </w:rPr>
        <w:t>The Australian Standards for the Export of Livestock (in their entirety) are being reviewed by a technical committee, which commenced in 2017 and is ongoing. This review is more targeted and applies only to the export of sheep to the Middle East in the northern hemisphere summer.</w:t>
      </w:r>
    </w:p>
    <w:p w:rsidR="000729BB" w:rsidRPr="00987374" w:rsidRDefault="000729BB" w:rsidP="000729BB">
      <w:pPr>
        <w:spacing w:after="240"/>
        <w:rPr>
          <w:rFonts w:ascii="Times New Roman" w:hAnsi="Times New Roman" w:cs="Times New Roman"/>
        </w:rPr>
      </w:pPr>
      <w:r w:rsidRPr="00987374">
        <w:rPr>
          <w:rFonts w:ascii="Times New Roman" w:hAnsi="Times New Roman" w:cs="Times New Roman"/>
        </w:rPr>
        <w:t>In conducting this review, I have consulted with key stakeholders and received much-appreciated assistance from officers of your department including Dr Mark Schipp, Australian Chief Veterinary Officer, and those who assisted as secretariat for the review.</w:t>
      </w:r>
    </w:p>
    <w:p w:rsidR="000729BB" w:rsidRPr="00987374" w:rsidRDefault="000729BB" w:rsidP="000729BB">
      <w:pPr>
        <w:spacing w:after="240"/>
        <w:rPr>
          <w:rFonts w:ascii="Times New Roman" w:hAnsi="Times New Roman" w:cs="Times New Roman"/>
        </w:rPr>
      </w:pPr>
      <w:r w:rsidRPr="00987374">
        <w:rPr>
          <w:rFonts w:ascii="Times New Roman" w:hAnsi="Times New Roman" w:cs="Times New Roman"/>
        </w:rPr>
        <w:t>I now enclose, for your attention, my report and recommendations.</w:t>
      </w:r>
    </w:p>
    <w:p w:rsidR="000729BB" w:rsidRPr="00987374" w:rsidRDefault="00E606EF" w:rsidP="000729BB">
      <w:pPr>
        <w:spacing w:after="240"/>
        <w:rPr>
          <w:rFonts w:ascii="Times New Roman" w:hAnsi="Times New Roman" w:cs="Times New Roman"/>
        </w:rPr>
      </w:pPr>
      <w:r>
        <w:rPr>
          <w:rFonts w:ascii="Times New Roman" w:hAnsi="Times New Roman" w:cs="Times New Roman"/>
          <w:noProof/>
          <w:lang w:eastAsia="en-AU"/>
        </w:rPr>
        <mc:AlternateContent>
          <mc:Choice Requires="wps">
            <w:drawing>
              <wp:anchor distT="0" distB="0" distL="114300" distR="114300" simplePos="0" relativeHeight="251661312" behindDoc="0" locked="0" layoutInCell="1" allowOverlap="1" wp14:anchorId="0E3336CE" wp14:editId="53DFEC5C">
                <wp:simplePos x="0" y="0"/>
                <wp:positionH relativeFrom="column">
                  <wp:posOffset>244444</wp:posOffset>
                </wp:positionH>
                <wp:positionV relativeFrom="paragraph">
                  <wp:posOffset>287762</wp:posOffset>
                </wp:positionV>
                <wp:extent cx="371192" cy="108641"/>
                <wp:effectExtent l="0" t="0" r="0" b="5715"/>
                <wp:wrapNone/>
                <wp:docPr id="5" name="Rectangle 5"/>
                <wp:cNvGraphicFramePr/>
                <a:graphic xmlns:a="http://schemas.openxmlformats.org/drawingml/2006/main">
                  <a:graphicData uri="http://schemas.microsoft.com/office/word/2010/wordprocessingShape">
                    <wps:wsp>
                      <wps:cNvSpPr/>
                      <wps:spPr>
                        <a:xfrm>
                          <a:off x="0" y="0"/>
                          <a:ext cx="371192" cy="10864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953FE" id="Rectangle 5" o:spid="_x0000_s1026" style="position:absolute;margin-left:19.25pt;margin-top:22.65pt;width:29.25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" fillcolor="white [3212]" stroked="f" strokeweight="1pt"/>
            </w:pict>
          </mc:Fallback>
        </mc:AlternateContent>
      </w:r>
      <w:r w:rsidR="000729BB" w:rsidRPr="00987374">
        <w:rPr>
          <w:rFonts w:ascii="Times New Roman" w:hAnsi="Times New Roman" w:cs="Times New Roman"/>
        </w:rPr>
        <w:t>Yours sincerely</w:t>
      </w:r>
    </w:p>
    <w:p w:rsidR="000729BB" w:rsidRPr="00987374" w:rsidRDefault="00E606EF" w:rsidP="000729BB">
      <w:pPr>
        <w:spacing w:after="240"/>
        <w:rPr>
          <w:rFonts w:ascii="Times New Roman" w:hAnsi="Times New Roman" w:cs="Times New Roman"/>
        </w:rPr>
      </w:pPr>
      <w:r>
        <w:rPr>
          <w:noProof/>
          <w:lang w:eastAsia="en-AU"/>
        </w:rPr>
        <mc:AlternateContent>
          <mc:Choice Requires="wps">
            <w:drawing>
              <wp:anchor distT="0" distB="0" distL="114300" distR="114300" simplePos="0" relativeHeight="251660288" behindDoc="0" locked="0" layoutInCell="1" allowOverlap="1" wp14:anchorId="302655EF" wp14:editId="1EFBF0B8">
                <wp:simplePos x="0" y="0"/>
                <wp:positionH relativeFrom="column">
                  <wp:posOffset>217283</wp:posOffset>
                </wp:positionH>
                <wp:positionV relativeFrom="paragraph">
                  <wp:posOffset>1173266</wp:posOffset>
                </wp:positionV>
                <wp:extent cx="769545" cy="371192"/>
                <wp:effectExtent l="0" t="0" r="0" b="0"/>
                <wp:wrapNone/>
                <wp:docPr id="4" name="Rectangle 4"/>
                <wp:cNvGraphicFramePr/>
                <a:graphic xmlns:a="http://schemas.openxmlformats.org/drawingml/2006/main">
                  <a:graphicData uri="http://schemas.microsoft.com/office/word/2010/wordprocessingShape">
                    <wps:wsp>
                      <wps:cNvSpPr/>
                      <wps:spPr>
                        <a:xfrm>
                          <a:off x="0" y="0"/>
                          <a:ext cx="769545" cy="37119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BBB3D6" id="Rectangle 4" o:spid="_x0000_s1026" style="position:absolute;margin-left:17.1pt;margin-top:92.4pt;width:60.6pt;height:2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" fillcolor="white [3201]" stroked="f" strokeweight="1pt"/>
            </w:pict>
          </mc:Fallback>
        </mc:AlternateContent>
      </w:r>
      <w:r>
        <w:rPr>
          <w:noProof/>
          <w:lang w:eastAsia="en-AU"/>
        </w:rPr>
        <w:drawing>
          <wp:inline distT="0" distB="0" distL="0" distR="0" wp14:anchorId="4E4D97BE" wp14:editId="11C33E80">
            <wp:extent cx="1838325" cy="1581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38325" cy="1581150"/>
                    </a:xfrm>
                    <a:prstGeom prst="rect">
                      <a:avLst/>
                    </a:prstGeom>
                  </pic:spPr>
                </pic:pic>
              </a:graphicData>
            </a:graphic>
          </wp:inline>
        </w:drawing>
      </w:r>
    </w:p>
    <w:p w:rsidR="000729BB" w:rsidRPr="00987374" w:rsidRDefault="000729BB" w:rsidP="000729BB">
      <w:pPr>
        <w:spacing w:after="240"/>
        <w:rPr>
          <w:rFonts w:ascii="Times New Roman" w:hAnsi="Times New Roman" w:cs="Times New Roman"/>
        </w:rPr>
      </w:pPr>
      <w:r w:rsidRPr="00987374">
        <w:rPr>
          <w:rFonts w:ascii="Times New Roman" w:hAnsi="Times New Roman" w:cs="Times New Roman"/>
        </w:rPr>
        <w:t>Dr Michael McCarthy</w:t>
      </w:r>
    </w:p>
    <w:p w:rsidR="003B1456" w:rsidRDefault="003B1456">
      <w:pPr>
        <w:autoSpaceDE/>
        <w:autoSpaceDN/>
        <w:adjustRightInd/>
        <w:spacing w:after="0"/>
        <w:ind w:left="0"/>
        <w:jc w:val="left"/>
      </w:pPr>
      <w:r>
        <w:br w:type="page"/>
      </w:r>
    </w:p>
    <w:p w:rsidR="00E17157" w:rsidRDefault="00670D68" w:rsidP="00C24556">
      <w:pPr>
        <w:pStyle w:val="Heading1"/>
      </w:pPr>
      <w:bookmarkStart w:id="0" w:name="_Toc513812188"/>
      <w:r w:rsidRPr="00670D68">
        <w:t>Executive Summary</w:t>
      </w:r>
      <w:bookmarkEnd w:id="0"/>
    </w:p>
    <w:p w:rsidR="00143AC0" w:rsidRPr="007551BD" w:rsidRDefault="00143AC0" w:rsidP="00C24556">
      <w:pPr>
        <w:spacing w:after="160"/>
      </w:pPr>
      <w:r w:rsidRPr="007551BD">
        <w:t>The recent release of footage covering on-board treatment of sheep</w:t>
      </w:r>
      <w:r w:rsidR="003A25B2">
        <w:t>,</w:t>
      </w:r>
      <w:r w:rsidRPr="007551BD">
        <w:t xml:space="preserve"> over a series of voyages to the Middle East</w:t>
      </w:r>
      <w:r w:rsidR="003A25B2">
        <w:t>,</w:t>
      </w:r>
      <w:r w:rsidRPr="007551BD">
        <w:t xml:space="preserve"> last year shocked the Australian community</w:t>
      </w:r>
      <w:r w:rsidR="00906228" w:rsidRPr="007551BD">
        <w:t>,</w:t>
      </w:r>
      <w:r w:rsidRPr="007551BD">
        <w:t xml:space="preserve"> undermining public confidence in the trade. For the </w:t>
      </w:r>
      <w:r w:rsidR="003A25B2">
        <w:t xml:space="preserve">livestock export </w:t>
      </w:r>
      <w:r w:rsidRPr="007551BD">
        <w:t>trade to continue</w:t>
      </w:r>
      <w:r w:rsidR="00906228" w:rsidRPr="007551BD">
        <w:t>,</w:t>
      </w:r>
      <w:r w:rsidRPr="007551BD">
        <w:t xml:space="preserve"> the public expects the Australian industry to uphold and comply with the highest animal welfare standards throughout the entire supply chain. </w:t>
      </w:r>
    </w:p>
    <w:p w:rsidR="00143AC0" w:rsidRPr="007551BD" w:rsidRDefault="00143AC0" w:rsidP="00C24556">
      <w:pPr>
        <w:spacing w:after="160"/>
      </w:pPr>
      <w:r w:rsidRPr="007551BD">
        <w:t xml:space="preserve">In response to the footage, the government commissioned this review to advise on conditions and any changes to the administration of the Australian Standards for the Export of Livestock </w:t>
      </w:r>
      <w:r w:rsidR="00906228" w:rsidRPr="007551BD">
        <w:t xml:space="preserve">(ASEL) </w:t>
      </w:r>
      <w:r w:rsidRPr="007551BD">
        <w:t>and/or actions that would be required to assure the health and welfare outcomes for sheep being transported to the Middle East during the northern hemisphere summer.</w:t>
      </w:r>
    </w:p>
    <w:p w:rsidR="00143AC0" w:rsidRPr="007551BD" w:rsidRDefault="00143AC0" w:rsidP="00C24556">
      <w:pPr>
        <w:spacing w:after="160"/>
      </w:pPr>
      <w:r w:rsidRPr="007551BD">
        <w:t>Whilst it is acknowledged that the findings of this review may have implications for</w:t>
      </w:r>
      <w:r w:rsidR="003A25B2">
        <w:t xml:space="preserve"> the</w:t>
      </w:r>
      <w:r w:rsidRPr="007551BD">
        <w:t xml:space="preserve"> trade and the farm gate pr</w:t>
      </w:r>
      <w:r w:rsidR="00657869" w:rsidRPr="007551BD">
        <w:t>ice for Australian sheep</w:t>
      </w:r>
      <w:r w:rsidRPr="007551BD">
        <w:t>, the terms of reference are clear, and refer specifically to what is required to assure the health and welfare of the sheep during the northern hemisphere summer period.</w:t>
      </w:r>
    </w:p>
    <w:p w:rsidR="00143AC0" w:rsidRPr="007551BD" w:rsidRDefault="00143AC0" w:rsidP="00C24556">
      <w:pPr>
        <w:spacing w:after="160"/>
      </w:pPr>
      <w:r w:rsidRPr="007551BD">
        <w:t>The review has been undertake</w:t>
      </w:r>
      <w:r w:rsidR="00906228" w:rsidRPr="007551BD">
        <w:t>n with a view to provide a road</w:t>
      </w:r>
      <w:r w:rsidRPr="007551BD">
        <w:t>map for the way forward. It has not been undertaken with a view to being a blue-print for new legislation, nor is it meant</w:t>
      </w:r>
      <w:r w:rsidR="003A25B2">
        <w:t>,</w:t>
      </w:r>
      <w:r w:rsidRPr="007551BD">
        <w:t xml:space="preserve"> in any way</w:t>
      </w:r>
      <w:r w:rsidR="003A25B2">
        <w:t>,</w:t>
      </w:r>
      <w:r w:rsidRPr="007551BD">
        <w:t xml:space="preserve"> to replace or usurp the work being undertaken by the </w:t>
      </w:r>
      <w:r w:rsidR="00906228" w:rsidRPr="007551BD">
        <w:t>ASEL Review Technical Advisory Committee</w:t>
      </w:r>
      <w:r w:rsidRPr="007551BD">
        <w:t>.</w:t>
      </w:r>
    </w:p>
    <w:p w:rsidR="00143AC0" w:rsidRPr="007551BD" w:rsidRDefault="00143AC0" w:rsidP="00C24556">
      <w:pPr>
        <w:spacing w:after="160"/>
      </w:pPr>
      <w:r w:rsidRPr="007551BD">
        <w:t>The review has considered the best evidence in the time available, including consideration of th</w:t>
      </w:r>
      <w:r w:rsidR="00906228" w:rsidRPr="007551BD">
        <w:t xml:space="preserve">e scientific literature, recent live sheep export-related </w:t>
      </w:r>
      <w:r w:rsidRPr="007551BD">
        <w:t xml:space="preserve">video footage, reports from observers on recent </w:t>
      </w:r>
      <w:r w:rsidR="003A25B2">
        <w:t>voyages</w:t>
      </w:r>
      <w:r w:rsidRPr="007551BD">
        <w:t xml:space="preserve"> and other relevant information.</w:t>
      </w:r>
    </w:p>
    <w:p w:rsidR="00143AC0" w:rsidRPr="007551BD" w:rsidRDefault="00143AC0" w:rsidP="00C24556">
      <w:pPr>
        <w:spacing w:after="160"/>
      </w:pPr>
      <w:r w:rsidRPr="007551BD">
        <w:t xml:space="preserve">The review’s recommendations fall into two categories. There are those recommendations that should be implemented as soon as </w:t>
      </w:r>
      <w:r w:rsidR="00B01EBD">
        <w:t>practical</w:t>
      </w:r>
      <w:r w:rsidRPr="007551BD">
        <w:t xml:space="preserve"> if the trade continues during the higher risk 2018 northern </w:t>
      </w:r>
      <w:r w:rsidR="00971D49">
        <w:t xml:space="preserve">hemisphere </w:t>
      </w:r>
      <w:r w:rsidRPr="007551BD">
        <w:t>summer. These recommendations address the immediate and specific challenges of exporting sheep from Australia to the Middle East during that period. These are interim measures to apply until October 2018. The review recognises that some other recommendations may require more time to implement and these will be considered by the ASEL review committee within their own time frame.</w:t>
      </w:r>
    </w:p>
    <w:p w:rsidR="00143AC0" w:rsidRPr="00C24556" w:rsidRDefault="00143AC0" w:rsidP="00C24556">
      <w:pPr>
        <w:spacing w:after="160"/>
      </w:pPr>
      <w:r w:rsidRPr="00C24556">
        <w:t>Overall, this review concludes that the live export industry is at the crossroads. What has occurred in the past must not happen in the future</w:t>
      </w:r>
      <w:r w:rsidR="00906228" w:rsidRPr="00C24556">
        <w:t>,</w:t>
      </w:r>
      <w:r w:rsidRPr="00C24556">
        <w:t xml:space="preserve"> and industry must therefore retreat to </w:t>
      </w:r>
      <w:r w:rsidR="003A25B2">
        <w:t xml:space="preserve">a </w:t>
      </w:r>
      <w:r w:rsidRPr="00C24556">
        <w:t>‘safe’ position, consolidate and then build a new way forward based on s</w:t>
      </w:r>
      <w:r w:rsidR="00906228" w:rsidRPr="00C24556">
        <w:t>cience</w:t>
      </w:r>
      <w:r w:rsidR="00657869" w:rsidRPr="00C24556">
        <w:t>,</w:t>
      </w:r>
      <w:r w:rsidR="00906228" w:rsidRPr="00C24556">
        <w:t xml:space="preserve"> trust and performance.</w:t>
      </w:r>
    </w:p>
    <w:p w:rsidR="00143AC0" w:rsidRPr="007551BD" w:rsidRDefault="00143AC0" w:rsidP="00C24556">
      <w:pPr>
        <w:spacing w:after="120"/>
      </w:pPr>
      <w:r w:rsidRPr="007551BD">
        <w:t>The central issues relevant to sheep health and welfare during shipping to the Middle East in the months of May t</w:t>
      </w:r>
      <w:r w:rsidR="00657869" w:rsidRPr="007551BD">
        <w:t xml:space="preserve">o October are </w:t>
      </w:r>
      <w:r w:rsidRPr="007551BD">
        <w:t>s</w:t>
      </w:r>
      <w:r w:rsidR="00657869" w:rsidRPr="007551BD">
        <w:t>tocking density</w:t>
      </w:r>
      <w:r w:rsidRPr="007551BD">
        <w:t>, ventilation and thermoregulation in the sheep. The review makes a number of recommendations related to these factors. In summary the main recommendations are:</w:t>
      </w:r>
    </w:p>
    <w:p w:rsidR="00143AC0" w:rsidRPr="007551BD" w:rsidRDefault="00143AC0" w:rsidP="00C24556">
      <w:pPr>
        <w:pStyle w:val="ListParagraph"/>
        <w:numPr>
          <w:ilvl w:val="0"/>
          <w:numId w:val="36"/>
        </w:numPr>
      </w:pPr>
      <w:r w:rsidRPr="007551BD">
        <w:t xml:space="preserve">that the industry moves away from using mortality as a measure to a </w:t>
      </w:r>
      <w:r w:rsidR="000507A2" w:rsidRPr="007551BD">
        <w:t xml:space="preserve">focus on </w:t>
      </w:r>
      <w:r w:rsidRPr="007551BD">
        <w:t>measures that reflect the welfare of the animal. Within the risk assessment model this replaces the mortality li</w:t>
      </w:r>
      <w:r w:rsidR="007551BD" w:rsidRPr="007551BD">
        <w:t>mit with a heat tolerance level</w:t>
      </w:r>
    </w:p>
    <w:p w:rsidR="00143AC0" w:rsidRPr="007551BD" w:rsidRDefault="00143AC0" w:rsidP="00C24556">
      <w:pPr>
        <w:pStyle w:val="ListParagraph"/>
        <w:numPr>
          <w:ilvl w:val="0"/>
          <w:numId w:val="36"/>
        </w:numPr>
      </w:pPr>
      <w:r w:rsidRPr="007551BD">
        <w:t xml:space="preserve">that the risk settings on the </w:t>
      </w:r>
      <w:r w:rsidR="003A25B2" w:rsidRPr="007551BD">
        <w:t xml:space="preserve">Heat Stress Risk Assessment </w:t>
      </w:r>
      <w:r w:rsidR="003A25B2">
        <w:t>(</w:t>
      </w:r>
      <w:r w:rsidRPr="007551BD">
        <w:t>HSRA</w:t>
      </w:r>
      <w:r w:rsidR="003A25B2">
        <w:t>)</w:t>
      </w:r>
      <w:r w:rsidRPr="007551BD">
        <w:t xml:space="preserve"> are to be adjusted to better reflect community exp</w:t>
      </w:r>
      <w:r w:rsidR="00906228" w:rsidRPr="007551BD">
        <w:t>ectations</w:t>
      </w:r>
    </w:p>
    <w:p w:rsidR="00143AC0" w:rsidRPr="007551BD" w:rsidRDefault="00143AC0" w:rsidP="00C24556">
      <w:pPr>
        <w:pStyle w:val="ListParagraph"/>
        <w:numPr>
          <w:ilvl w:val="0"/>
          <w:numId w:val="36"/>
        </w:numPr>
      </w:pPr>
      <w:r w:rsidRPr="007551BD">
        <w:t>that space allocation should embrace ‘allometric’ principles and adopt a k</w:t>
      </w:r>
      <w:r w:rsidR="00906228" w:rsidRPr="007551BD">
        <w:t>-</w:t>
      </w:r>
      <w:r w:rsidRPr="007551BD">
        <w:t>value of 0.033</w:t>
      </w:r>
      <w:r w:rsidR="00906228" w:rsidRPr="007551BD">
        <w:t>,</w:t>
      </w:r>
      <w:r w:rsidRPr="007551BD">
        <w:t xml:space="preserve"> and this be utilised for any periods within the May to October period, unless overridden by t</w:t>
      </w:r>
      <w:r w:rsidR="00906228" w:rsidRPr="007551BD">
        <w:t>he HSRA model’s assessment</w:t>
      </w:r>
    </w:p>
    <w:p w:rsidR="00143AC0" w:rsidRPr="007551BD" w:rsidRDefault="000507A2" w:rsidP="00C24556">
      <w:pPr>
        <w:pStyle w:val="ListParagraph"/>
        <w:numPr>
          <w:ilvl w:val="0"/>
          <w:numId w:val="36"/>
        </w:numPr>
      </w:pPr>
      <w:r w:rsidRPr="007551BD">
        <w:t>that a</w:t>
      </w:r>
      <w:r w:rsidR="00906228" w:rsidRPr="007551BD">
        <w:t xml:space="preserve"> </w:t>
      </w:r>
      <w:r w:rsidR="00143AC0" w:rsidRPr="007551BD">
        <w:t xml:space="preserve">vessel’s pen air turnover (PAT) be independently verified, as part of the condition of an approved arrangement for sheep travelling to the Middle </w:t>
      </w:r>
      <w:r w:rsidR="00906228" w:rsidRPr="007551BD">
        <w:t>East during the northern</w:t>
      </w:r>
      <w:r w:rsidR="00971D49">
        <w:t xml:space="preserve"> hemisphere</w:t>
      </w:r>
      <w:r w:rsidR="00906228" w:rsidRPr="007551BD">
        <w:t xml:space="preserve"> summer</w:t>
      </w:r>
    </w:p>
    <w:p w:rsidR="00143AC0" w:rsidRPr="007551BD" w:rsidRDefault="007551BD" w:rsidP="00C24556">
      <w:pPr>
        <w:pStyle w:val="ListParagraph"/>
        <w:numPr>
          <w:ilvl w:val="0"/>
          <w:numId w:val="36"/>
        </w:numPr>
      </w:pPr>
      <w:r w:rsidRPr="007551BD">
        <w:t xml:space="preserve">that </w:t>
      </w:r>
      <w:r w:rsidR="000507A2" w:rsidRPr="007551BD">
        <w:t>t</w:t>
      </w:r>
      <w:r w:rsidR="00143AC0" w:rsidRPr="007551BD">
        <w:t>he reportable level for sheep travelling from Australia to the Middle East be reduced from</w:t>
      </w:r>
      <w:r w:rsidRPr="007551BD">
        <w:t xml:space="preserve"> 2% to 1% effective immediately</w:t>
      </w:r>
    </w:p>
    <w:p w:rsidR="00143AC0" w:rsidRPr="007551BD" w:rsidRDefault="00143AC0" w:rsidP="00C24556">
      <w:pPr>
        <w:pStyle w:val="ListParagraph"/>
        <w:numPr>
          <w:ilvl w:val="0"/>
          <w:numId w:val="36"/>
        </w:numPr>
      </w:pPr>
      <w:r w:rsidRPr="007551BD">
        <w:t>further recommendations as described in the body of this review.</w:t>
      </w:r>
    </w:p>
    <w:p w:rsidR="00143AC0" w:rsidRPr="007551BD" w:rsidRDefault="00143AC0" w:rsidP="00C24556">
      <w:pPr>
        <w:spacing w:after="120"/>
      </w:pPr>
      <w:r w:rsidRPr="007551BD">
        <w:t>In terms of immediate action:</w:t>
      </w:r>
    </w:p>
    <w:p w:rsidR="00143AC0" w:rsidRPr="007551BD" w:rsidRDefault="00143AC0" w:rsidP="00C24556">
      <w:pPr>
        <w:pStyle w:val="ListParagraph"/>
        <w:numPr>
          <w:ilvl w:val="0"/>
          <w:numId w:val="36"/>
        </w:numPr>
      </w:pPr>
      <w:r w:rsidRPr="007551BD">
        <w:t>the risk settings in the HSRA model can be changed reasonably quickly and should be opera</w:t>
      </w:r>
      <w:r w:rsidR="00906228" w:rsidRPr="007551BD">
        <w:t xml:space="preserve">tional for this northern </w:t>
      </w:r>
      <w:r w:rsidR="00971D49">
        <w:t xml:space="preserve">hemisphere </w:t>
      </w:r>
      <w:r w:rsidR="00906228" w:rsidRPr="007551BD">
        <w:t>summer</w:t>
      </w:r>
      <w:r w:rsidR="00B01EBD">
        <w:t xml:space="preserve"> or at a minimum by 1 July 2018</w:t>
      </w:r>
    </w:p>
    <w:p w:rsidR="00143AC0" w:rsidRPr="007551BD" w:rsidRDefault="00143AC0" w:rsidP="00C24556">
      <w:pPr>
        <w:pStyle w:val="ListParagraph"/>
        <w:numPr>
          <w:ilvl w:val="0"/>
          <w:numId w:val="36"/>
        </w:numPr>
      </w:pPr>
      <w:r w:rsidRPr="007551BD">
        <w:t>PAT verification will be more time consuming but is an essential condition of the appr</w:t>
      </w:r>
      <w:r w:rsidR="00906228" w:rsidRPr="007551BD">
        <w:t>oved arrangements going forward</w:t>
      </w:r>
    </w:p>
    <w:p w:rsidR="00143AC0" w:rsidRPr="007551BD" w:rsidRDefault="00906228" w:rsidP="00B01EBD">
      <w:pPr>
        <w:pStyle w:val="ListParagraph"/>
        <w:numPr>
          <w:ilvl w:val="0"/>
          <w:numId w:val="36"/>
        </w:numPr>
        <w:jc w:val="left"/>
      </w:pPr>
      <w:r w:rsidRPr="007551BD">
        <w:t xml:space="preserve">space </w:t>
      </w:r>
      <w:r w:rsidR="00143AC0" w:rsidRPr="007551BD">
        <w:t>alloca</w:t>
      </w:r>
      <w:r w:rsidRPr="007551BD">
        <w:t xml:space="preserve">tion can be applied </w:t>
      </w:r>
      <w:r w:rsidR="00B01EBD">
        <w:t>as soon as practical or at least by 1 July 2018</w:t>
      </w:r>
    </w:p>
    <w:p w:rsidR="00143AC0" w:rsidRPr="007551BD" w:rsidRDefault="00143AC0" w:rsidP="00C24556">
      <w:pPr>
        <w:pStyle w:val="ListParagraph"/>
        <w:numPr>
          <w:ilvl w:val="0"/>
          <w:numId w:val="36"/>
        </w:numPr>
      </w:pPr>
      <w:r w:rsidRPr="007551BD">
        <w:t>a reduction in the reportable level.</w:t>
      </w:r>
    </w:p>
    <w:p w:rsidR="00143AC0" w:rsidRPr="007551BD" w:rsidRDefault="00143AC0" w:rsidP="00C24556">
      <w:pPr>
        <w:spacing w:after="120"/>
      </w:pPr>
      <w:r w:rsidRPr="007551BD">
        <w:t>Subsequent action</w:t>
      </w:r>
      <w:r w:rsidR="003A25B2">
        <w:t>s</w:t>
      </w:r>
      <w:r w:rsidRPr="007551BD">
        <w:t xml:space="preserve"> would include:</w:t>
      </w:r>
    </w:p>
    <w:p w:rsidR="00143AC0" w:rsidRPr="007551BD" w:rsidRDefault="00143AC0" w:rsidP="00C24556">
      <w:pPr>
        <w:pStyle w:val="ListParagraph"/>
        <w:numPr>
          <w:ilvl w:val="0"/>
          <w:numId w:val="36"/>
        </w:numPr>
      </w:pPr>
      <w:r w:rsidRPr="007551BD">
        <w:t xml:space="preserve">modification of the HSRA model to include duration of exposure and the period of time that sheep are </w:t>
      </w:r>
      <w:r w:rsidR="00906228" w:rsidRPr="007551BD">
        <w:t>exposed to heat without respite</w:t>
      </w:r>
    </w:p>
    <w:p w:rsidR="00143AC0" w:rsidRPr="007551BD" w:rsidRDefault="00143AC0" w:rsidP="00C24556">
      <w:pPr>
        <w:pStyle w:val="ListParagraph"/>
        <w:numPr>
          <w:ilvl w:val="0"/>
          <w:numId w:val="36"/>
        </w:numPr>
      </w:pPr>
      <w:r w:rsidRPr="007551BD">
        <w:t>the inclusion of ventilation desig</w:t>
      </w:r>
      <w:r w:rsidR="00906228" w:rsidRPr="007551BD">
        <w:t>n as a factor in the HSRA model</w:t>
      </w:r>
    </w:p>
    <w:p w:rsidR="00143AC0" w:rsidRPr="007551BD" w:rsidRDefault="00143AC0" w:rsidP="00C24556">
      <w:pPr>
        <w:pStyle w:val="ListParagraph"/>
        <w:numPr>
          <w:ilvl w:val="0"/>
          <w:numId w:val="36"/>
        </w:numPr>
      </w:pPr>
      <w:r w:rsidRPr="007551BD">
        <w:t>modification of the way in which</w:t>
      </w:r>
      <w:r w:rsidR="00906228" w:rsidRPr="007551BD">
        <w:t xml:space="preserve"> the model manages ‘open decks’</w:t>
      </w:r>
    </w:p>
    <w:p w:rsidR="00143AC0" w:rsidRPr="007551BD" w:rsidRDefault="00143AC0" w:rsidP="00C24556">
      <w:pPr>
        <w:spacing w:after="120"/>
      </w:pPr>
      <w:r w:rsidRPr="007551BD">
        <w:t>and also include:</w:t>
      </w:r>
    </w:p>
    <w:p w:rsidR="00143AC0" w:rsidRPr="007551BD" w:rsidRDefault="00143AC0" w:rsidP="00C24556">
      <w:pPr>
        <w:pStyle w:val="ListParagraph"/>
        <w:numPr>
          <w:ilvl w:val="0"/>
          <w:numId w:val="36"/>
        </w:numPr>
      </w:pPr>
      <w:r w:rsidRPr="007551BD">
        <w:t>a re-assessment of the recommended tolerance level and the probability risk settings.</w:t>
      </w:r>
    </w:p>
    <w:p w:rsidR="00143AC0" w:rsidRPr="007551BD" w:rsidRDefault="00143AC0" w:rsidP="00C24556">
      <w:pPr>
        <w:spacing w:after="160"/>
      </w:pPr>
      <w:r w:rsidRPr="007551BD">
        <w:t xml:space="preserve">The review makes a series </w:t>
      </w:r>
      <w:r w:rsidR="0096010C" w:rsidRPr="007551BD">
        <w:t xml:space="preserve">of </w:t>
      </w:r>
      <w:r w:rsidRPr="007551BD">
        <w:t xml:space="preserve">further recommendations and these are outlined in the body of the report. </w:t>
      </w:r>
    </w:p>
    <w:p w:rsidR="00143AC0" w:rsidRPr="007551BD" w:rsidRDefault="00143AC0" w:rsidP="00C24556">
      <w:pPr>
        <w:spacing w:after="160"/>
      </w:pPr>
      <w:r w:rsidRPr="007551BD">
        <w:t xml:space="preserve">It is anticipated that the new settings will impose substantial restrictions of many vessels wishing to participate in the trade during the northern </w:t>
      </w:r>
      <w:r w:rsidR="00971D49">
        <w:t xml:space="preserve">hemisphere </w:t>
      </w:r>
      <w:r w:rsidRPr="007551BD">
        <w:t xml:space="preserve">summer period, depending on the month, their ventilation capabilities, the cargo they intend to carry and the destinations involved. </w:t>
      </w:r>
    </w:p>
    <w:p w:rsidR="0043143B" w:rsidRPr="007551BD" w:rsidRDefault="00143AC0" w:rsidP="00C24556">
      <w:r w:rsidRPr="007551BD">
        <w:t>This is an important moment in time. The live export industry, as a whole</w:t>
      </w:r>
      <w:r w:rsidR="00906228" w:rsidRPr="007551BD">
        <w:t>,</w:t>
      </w:r>
      <w:r w:rsidRPr="007551BD">
        <w:t xml:space="preserve"> covers a spectrum of activity. Strife in one sector impacts strongly on another. It is time for the industry to come together as a whole, and place a much stronger emphasis on animal welfare and move away from measures that use mortality as a benchmark. Reportable levels, voyage success and risk parameters have all been based around mortality. It is envisaged that the ‘new world’ will replace mortality with a raft of welfare measures and involve a quantum shift in attitude and behaviour.</w:t>
      </w:r>
      <w:r w:rsidR="0043143B" w:rsidRPr="00670D68">
        <w:br w:type="page"/>
      </w:r>
    </w:p>
    <w:p w:rsidR="001543FF" w:rsidRPr="00C24556" w:rsidRDefault="001543FF" w:rsidP="00C24556">
      <w:pPr>
        <w:jc w:val="center"/>
        <w:rPr>
          <w:b/>
          <w:sz w:val="28"/>
          <w:szCs w:val="28"/>
        </w:rPr>
      </w:pPr>
      <w:r w:rsidRPr="00C24556">
        <w:rPr>
          <w:b/>
          <w:sz w:val="28"/>
          <w:szCs w:val="28"/>
        </w:rPr>
        <w:t>Table of Contents</w:t>
      </w:r>
    </w:p>
    <w:p w:rsidR="00417D49" w:rsidRDefault="00CA1748">
      <w:pPr>
        <w:pStyle w:val="TOC1"/>
        <w:tabs>
          <w:tab w:val="left" w:pos="960"/>
          <w:tab w:val="right" w:leader="dot" w:pos="9010"/>
        </w:tabs>
        <w:rPr>
          <w:rFonts w:asciiTheme="minorHAnsi" w:eastAsiaTheme="minorEastAsia" w:hAnsiTheme="minorHAnsi" w:cstheme="minorBidi"/>
          <w:b w:val="0"/>
          <w:bCs w:val="0"/>
          <w:noProof/>
          <w:color w:val="auto"/>
          <w:sz w:val="22"/>
          <w:szCs w:val="22"/>
          <w:lang w:eastAsia="en-AU"/>
        </w:rPr>
      </w:pPr>
      <w:r w:rsidRPr="007933A5">
        <w:rPr>
          <w:sz w:val="22"/>
          <w:szCs w:val="22"/>
        </w:rPr>
        <w:fldChar w:fldCharType="begin"/>
      </w:r>
      <w:r>
        <w:rPr>
          <w:sz w:val="22"/>
          <w:szCs w:val="22"/>
        </w:rPr>
        <w:instrText xml:space="preserve"> TOC \o "1-3" </w:instrText>
      </w:r>
      <w:r w:rsidRPr="007933A5">
        <w:rPr>
          <w:sz w:val="22"/>
          <w:szCs w:val="22"/>
        </w:rPr>
        <w:fldChar w:fldCharType="separate"/>
      </w:r>
      <w:r w:rsidR="00417D49">
        <w:rPr>
          <w:noProof/>
        </w:rPr>
        <w:t>1.</w:t>
      </w:r>
      <w:r w:rsidR="00417D49">
        <w:rPr>
          <w:rFonts w:asciiTheme="minorHAnsi" w:eastAsiaTheme="minorEastAsia" w:hAnsiTheme="minorHAnsi" w:cstheme="minorBidi"/>
          <w:b w:val="0"/>
          <w:bCs w:val="0"/>
          <w:noProof/>
          <w:color w:val="auto"/>
          <w:sz w:val="22"/>
          <w:szCs w:val="22"/>
          <w:lang w:eastAsia="en-AU"/>
        </w:rPr>
        <w:tab/>
      </w:r>
      <w:r w:rsidR="00417D49">
        <w:rPr>
          <w:noProof/>
        </w:rPr>
        <w:t>Executive Summary</w:t>
      </w:r>
      <w:r w:rsidR="00417D49">
        <w:rPr>
          <w:noProof/>
        </w:rPr>
        <w:tab/>
      </w:r>
      <w:r w:rsidR="00417D49">
        <w:rPr>
          <w:noProof/>
        </w:rPr>
        <w:fldChar w:fldCharType="begin"/>
      </w:r>
      <w:r w:rsidR="00417D49">
        <w:rPr>
          <w:noProof/>
        </w:rPr>
        <w:instrText xml:space="preserve"> PAGEREF _Toc513812188 \h </w:instrText>
      </w:r>
      <w:r w:rsidR="00417D49">
        <w:rPr>
          <w:noProof/>
        </w:rPr>
      </w:r>
      <w:r w:rsidR="00417D49">
        <w:rPr>
          <w:noProof/>
        </w:rPr>
        <w:fldChar w:fldCharType="separate"/>
      </w:r>
      <w:r w:rsidR="00BE7E66">
        <w:rPr>
          <w:noProof/>
        </w:rPr>
        <w:t>3</w:t>
      </w:r>
      <w:r w:rsidR="00417D49">
        <w:rPr>
          <w:noProof/>
        </w:rPr>
        <w:fldChar w:fldCharType="end"/>
      </w:r>
    </w:p>
    <w:p w:rsidR="00417D49" w:rsidRDefault="00417D49">
      <w:pPr>
        <w:pStyle w:val="TOC1"/>
        <w:tabs>
          <w:tab w:val="left" w:pos="960"/>
          <w:tab w:val="right" w:leader="dot" w:pos="9010"/>
        </w:tabs>
        <w:rPr>
          <w:rFonts w:asciiTheme="minorHAnsi" w:eastAsiaTheme="minorEastAsia" w:hAnsiTheme="minorHAnsi" w:cstheme="minorBidi"/>
          <w:b w:val="0"/>
          <w:bCs w:val="0"/>
          <w:noProof/>
          <w:color w:val="auto"/>
          <w:sz w:val="22"/>
          <w:szCs w:val="22"/>
          <w:lang w:eastAsia="en-AU"/>
        </w:rPr>
      </w:pPr>
      <w:r>
        <w:rPr>
          <w:noProof/>
        </w:rPr>
        <w:t>2.</w:t>
      </w:r>
      <w:r>
        <w:rPr>
          <w:rFonts w:asciiTheme="minorHAnsi" w:eastAsiaTheme="minorEastAsia" w:hAnsiTheme="minorHAnsi" w:cstheme="minorBidi"/>
          <w:b w:val="0"/>
          <w:bCs w:val="0"/>
          <w:noProof/>
          <w:color w:val="auto"/>
          <w:sz w:val="22"/>
          <w:szCs w:val="22"/>
          <w:lang w:eastAsia="en-AU"/>
        </w:rPr>
        <w:tab/>
      </w:r>
      <w:r>
        <w:rPr>
          <w:noProof/>
        </w:rPr>
        <w:t>Introduction</w:t>
      </w:r>
      <w:r>
        <w:rPr>
          <w:noProof/>
        </w:rPr>
        <w:tab/>
      </w:r>
      <w:r>
        <w:rPr>
          <w:noProof/>
        </w:rPr>
        <w:fldChar w:fldCharType="begin"/>
      </w:r>
      <w:r>
        <w:rPr>
          <w:noProof/>
        </w:rPr>
        <w:instrText xml:space="preserve"> PAGEREF _Toc513812189 \h </w:instrText>
      </w:r>
      <w:r>
        <w:rPr>
          <w:noProof/>
        </w:rPr>
      </w:r>
      <w:r>
        <w:rPr>
          <w:noProof/>
        </w:rPr>
        <w:fldChar w:fldCharType="separate"/>
      </w:r>
      <w:r w:rsidR="00BE7E66">
        <w:rPr>
          <w:noProof/>
        </w:rPr>
        <w:t>7</w:t>
      </w:r>
      <w:r>
        <w:rPr>
          <w:noProof/>
        </w:rPr>
        <w:fldChar w:fldCharType="end"/>
      </w:r>
    </w:p>
    <w:p w:rsidR="00417D49" w:rsidRDefault="00417D49">
      <w:pPr>
        <w:pStyle w:val="TOC1"/>
        <w:tabs>
          <w:tab w:val="left" w:pos="960"/>
          <w:tab w:val="right" w:leader="dot" w:pos="9010"/>
        </w:tabs>
        <w:rPr>
          <w:rFonts w:asciiTheme="minorHAnsi" w:eastAsiaTheme="minorEastAsia" w:hAnsiTheme="minorHAnsi" w:cstheme="minorBidi"/>
          <w:b w:val="0"/>
          <w:bCs w:val="0"/>
          <w:noProof/>
          <w:color w:val="auto"/>
          <w:sz w:val="22"/>
          <w:szCs w:val="22"/>
          <w:lang w:eastAsia="en-AU"/>
        </w:rPr>
      </w:pPr>
      <w:r>
        <w:rPr>
          <w:noProof/>
        </w:rPr>
        <w:t>3.</w:t>
      </w:r>
      <w:r>
        <w:rPr>
          <w:rFonts w:asciiTheme="minorHAnsi" w:eastAsiaTheme="minorEastAsia" w:hAnsiTheme="minorHAnsi" w:cstheme="minorBidi"/>
          <w:b w:val="0"/>
          <w:bCs w:val="0"/>
          <w:noProof/>
          <w:color w:val="auto"/>
          <w:sz w:val="22"/>
          <w:szCs w:val="22"/>
          <w:lang w:eastAsia="en-AU"/>
        </w:rPr>
        <w:tab/>
      </w:r>
      <w:r>
        <w:rPr>
          <w:noProof/>
        </w:rPr>
        <w:t>Recommendations</w:t>
      </w:r>
      <w:r>
        <w:rPr>
          <w:noProof/>
        </w:rPr>
        <w:tab/>
      </w:r>
      <w:r>
        <w:rPr>
          <w:noProof/>
        </w:rPr>
        <w:fldChar w:fldCharType="begin"/>
      </w:r>
      <w:r>
        <w:rPr>
          <w:noProof/>
        </w:rPr>
        <w:instrText xml:space="preserve"> PAGEREF _Toc513812190 \h </w:instrText>
      </w:r>
      <w:r>
        <w:rPr>
          <w:noProof/>
        </w:rPr>
      </w:r>
      <w:r>
        <w:rPr>
          <w:noProof/>
        </w:rPr>
        <w:fldChar w:fldCharType="separate"/>
      </w:r>
      <w:r w:rsidR="00BE7E66">
        <w:rPr>
          <w:noProof/>
        </w:rPr>
        <w:t>8</w:t>
      </w:r>
      <w:r>
        <w:rPr>
          <w:noProof/>
        </w:rPr>
        <w:fldChar w:fldCharType="end"/>
      </w:r>
    </w:p>
    <w:p w:rsidR="00417D49" w:rsidRDefault="00417D49">
      <w:pPr>
        <w:pStyle w:val="TOC1"/>
        <w:tabs>
          <w:tab w:val="left" w:pos="960"/>
          <w:tab w:val="right" w:leader="dot" w:pos="9010"/>
        </w:tabs>
        <w:rPr>
          <w:rFonts w:asciiTheme="minorHAnsi" w:eastAsiaTheme="minorEastAsia" w:hAnsiTheme="minorHAnsi" w:cstheme="minorBidi"/>
          <w:b w:val="0"/>
          <w:bCs w:val="0"/>
          <w:noProof/>
          <w:color w:val="auto"/>
          <w:sz w:val="22"/>
          <w:szCs w:val="22"/>
          <w:lang w:eastAsia="en-AU"/>
        </w:rPr>
      </w:pPr>
      <w:r>
        <w:rPr>
          <w:noProof/>
        </w:rPr>
        <w:t>4.</w:t>
      </w:r>
      <w:r>
        <w:rPr>
          <w:rFonts w:asciiTheme="minorHAnsi" w:eastAsiaTheme="minorEastAsia" w:hAnsiTheme="minorHAnsi" w:cstheme="minorBidi"/>
          <w:b w:val="0"/>
          <w:bCs w:val="0"/>
          <w:noProof/>
          <w:color w:val="auto"/>
          <w:sz w:val="22"/>
          <w:szCs w:val="22"/>
          <w:lang w:eastAsia="en-AU"/>
        </w:rPr>
        <w:tab/>
      </w:r>
      <w:r>
        <w:rPr>
          <w:noProof/>
        </w:rPr>
        <w:t>Background</w:t>
      </w:r>
      <w:r>
        <w:rPr>
          <w:noProof/>
        </w:rPr>
        <w:tab/>
      </w:r>
      <w:r>
        <w:rPr>
          <w:noProof/>
        </w:rPr>
        <w:fldChar w:fldCharType="begin"/>
      </w:r>
      <w:r>
        <w:rPr>
          <w:noProof/>
        </w:rPr>
        <w:instrText xml:space="preserve"> PAGEREF _Toc513812191 \h </w:instrText>
      </w:r>
      <w:r>
        <w:rPr>
          <w:noProof/>
        </w:rPr>
      </w:r>
      <w:r>
        <w:rPr>
          <w:noProof/>
        </w:rPr>
        <w:fldChar w:fldCharType="separate"/>
      </w:r>
      <w:r w:rsidR="00BE7E66">
        <w:rPr>
          <w:noProof/>
        </w:rPr>
        <w:t>12</w:t>
      </w:r>
      <w:r>
        <w:rPr>
          <w:noProof/>
        </w:rPr>
        <w:fldChar w:fldCharType="end"/>
      </w:r>
    </w:p>
    <w:p w:rsidR="00417D49" w:rsidRDefault="00417D49">
      <w:pPr>
        <w:pStyle w:val="TOC1"/>
        <w:tabs>
          <w:tab w:val="left" w:pos="960"/>
          <w:tab w:val="right" w:leader="dot" w:pos="9010"/>
        </w:tabs>
        <w:rPr>
          <w:rFonts w:asciiTheme="minorHAnsi" w:eastAsiaTheme="minorEastAsia" w:hAnsiTheme="minorHAnsi" w:cstheme="minorBidi"/>
          <w:b w:val="0"/>
          <w:bCs w:val="0"/>
          <w:noProof/>
          <w:color w:val="auto"/>
          <w:sz w:val="22"/>
          <w:szCs w:val="22"/>
          <w:lang w:eastAsia="en-AU"/>
        </w:rPr>
      </w:pPr>
      <w:r>
        <w:rPr>
          <w:noProof/>
        </w:rPr>
        <w:t>5.</w:t>
      </w:r>
      <w:r>
        <w:rPr>
          <w:rFonts w:asciiTheme="minorHAnsi" w:eastAsiaTheme="minorEastAsia" w:hAnsiTheme="minorHAnsi" w:cstheme="minorBidi"/>
          <w:b w:val="0"/>
          <w:bCs w:val="0"/>
          <w:noProof/>
          <w:color w:val="auto"/>
          <w:sz w:val="22"/>
          <w:szCs w:val="22"/>
          <w:lang w:eastAsia="en-AU"/>
        </w:rPr>
        <w:tab/>
      </w:r>
      <w:r>
        <w:rPr>
          <w:noProof/>
        </w:rPr>
        <w:t>Purpose</w:t>
      </w:r>
      <w:r>
        <w:rPr>
          <w:noProof/>
        </w:rPr>
        <w:tab/>
      </w:r>
      <w:r>
        <w:rPr>
          <w:noProof/>
        </w:rPr>
        <w:fldChar w:fldCharType="begin"/>
      </w:r>
      <w:r>
        <w:rPr>
          <w:noProof/>
        </w:rPr>
        <w:instrText xml:space="preserve"> PAGEREF _Toc513812192 \h </w:instrText>
      </w:r>
      <w:r>
        <w:rPr>
          <w:noProof/>
        </w:rPr>
      </w:r>
      <w:r>
        <w:rPr>
          <w:noProof/>
        </w:rPr>
        <w:fldChar w:fldCharType="separate"/>
      </w:r>
      <w:r w:rsidR="00BE7E66">
        <w:rPr>
          <w:noProof/>
        </w:rPr>
        <w:t>13</w:t>
      </w:r>
      <w:r>
        <w:rPr>
          <w:noProof/>
        </w:rPr>
        <w:fldChar w:fldCharType="end"/>
      </w:r>
    </w:p>
    <w:p w:rsidR="00417D49" w:rsidRDefault="00417D49">
      <w:pPr>
        <w:pStyle w:val="TOC1"/>
        <w:tabs>
          <w:tab w:val="left" w:pos="960"/>
          <w:tab w:val="right" w:leader="dot" w:pos="9010"/>
        </w:tabs>
        <w:rPr>
          <w:rFonts w:asciiTheme="minorHAnsi" w:eastAsiaTheme="minorEastAsia" w:hAnsiTheme="minorHAnsi" w:cstheme="minorBidi"/>
          <w:b w:val="0"/>
          <w:bCs w:val="0"/>
          <w:noProof/>
          <w:color w:val="auto"/>
          <w:sz w:val="22"/>
          <w:szCs w:val="22"/>
          <w:lang w:eastAsia="en-AU"/>
        </w:rPr>
      </w:pPr>
      <w:r>
        <w:rPr>
          <w:noProof/>
        </w:rPr>
        <w:t>6.</w:t>
      </w:r>
      <w:r>
        <w:rPr>
          <w:rFonts w:asciiTheme="minorHAnsi" w:eastAsiaTheme="minorEastAsia" w:hAnsiTheme="minorHAnsi" w:cstheme="minorBidi"/>
          <w:b w:val="0"/>
          <w:bCs w:val="0"/>
          <w:noProof/>
          <w:color w:val="auto"/>
          <w:sz w:val="22"/>
          <w:szCs w:val="22"/>
          <w:lang w:eastAsia="en-AU"/>
        </w:rPr>
        <w:tab/>
      </w:r>
      <w:r>
        <w:rPr>
          <w:noProof/>
        </w:rPr>
        <w:t>Coverage</w:t>
      </w:r>
      <w:r>
        <w:rPr>
          <w:noProof/>
        </w:rPr>
        <w:tab/>
      </w:r>
      <w:r>
        <w:rPr>
          <w:noProof/>
        </w:rPr>
        <w:fldChar w:fldCharType="begin"/>
      </w:r>
      <w:r>
        <w:rPr>
          <w:noProof/>
        </w:rPr>
        <w:instrText xml:space="preserve"> PAGEREF _Toc513812193 \h </w:instrText>
      </w:r>
      <w:r>
        <w:rPr>
          <w:noProof/>
        </w:rPr>
      </w:r>
      <w:r>
        <w:rPr>
          <w:noProof/>
        </w:rPr>
        <w:fldChar w:fldCharType="separate"/>
      </w:r>
      <w:r w:rsidR="00BE7E66">
        <w:rPr>
          <w:noProof/>
        </w:rPr>
        <w:t>13</w:t>
      </w:r>
      <w:r>
        <w:rPr>
          <w:noProof/>
        </w:rPr>
        <w:fldChar w:fldCharType="end"/>
      </w:r>
    </w:p>
    <w:p w:rsidR="00417D49" w:rsidRDefault="00417D49">
      <w:pPr>
        <w:pStyle w:val="TOC2"/>
        <w:tabs>
          <w:tab w:val="left" w:pos="960"/>
          <w:tab w:val="right" w:leader="dot" w:pos="9010"/>
        </w:tabs>
        <w:rPr>
          <w:rFonts w:asciiTheme="minorHAnsi" w:eastAsiaTheme="minorEastAsia" w:hAnsiTheme="minorHAnsi" w:cstheme="minorBidi"/>
          <w:b w:val="0"/>
          <w:bCs w:val="0"/>
          <w:noProof/>
          <w:color w:val="auto"/>
          <w:lang w:eastAsia="en-AU"/>
        </w:rPr>
      </w:pPr>
      <w:r>
        <w:rPr>
          <w:noProof/>
        </w:rPr>
        <w:t>6.1</w:t>
      </w:r>
      <w:r>
        <w:rPr>
          <w:rFonts w:asciiTheme="minorHAnsi" w:eastAsiaTheme="minorEastAsia" w:hAnsiTheme="minorHAnsi" w:cstheme="minorBidi"/>
          <w:b w:val="0"/>
          <w:bCs w:val="0"/>
          <w:noProof/>
          <w:color w:val="auto"/>
          <w:lang w:eastAsia="en-AU"/>
        </w:rPr>
        <w:tab/>
      </w:r>
      <w:r>
        <w:rPr>
          <w:noProof/>
        </w:rPr>
        <w:t>Approved arrangements</w:t>
      </w:r>
      <w:r>
        <w:rPr>
          <w:noProof/>
        </w:rPr>
        <w:tab/>
      </w:r>
      <w:r>
        <w:rPr>
          <w:noProof/>
        </w:rPr>
        <w:fldChar w:fldCharType="begin"/>
      </w:r>
      <w:r>
        <w:rPr>
          <w:noProof/>
        </w:rPr>
        <w:instrText xml:space="preserve"> PAGEREF _Toc513812194 \h </w:instrText>
      </w:r>
      <w:r>
        <w:rPr>
          <w:noProof/>
        </w:rPr>
      </w:r>
      <w:r>
        <w:rPr>
          <w:noProof/>
        </w:rPr>
        <w:fldChar w:fldCharType="separate"/>
      </w:r>
      <w:r w:rsidR="00BE7E66">
        <w:rPr>
          <w:noProof/>
        </w:rPr>
        <w:t>13</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6.1.1</w:t>
      </w:r>
      <w:r>
        <w:rPr>
          <w:rFonts w:asciiTheme="minorHAnsi" w:eastAsiaTheme="minorEastAsia" w:hAnsiTheme="minorHAnsi" w:cstheme="minorBidi"/>
          <w:noProof/>
          <w:color w:val="auto"/>
          <w:lang w:eastAsia="en-AU"/>
        </w:rPr>
        <w:tab/>
      </w:r>
      <w:r>
        <w:rPr>
          <w:noProof/>
        </w:rPr>
        <w:t>Ventilation and the assessment of heat stress</w:t>
      </w:r>
      <w:r>
        <w:rPr>
          <w:noProof/>
        </w:rPr>
        <w:tab/>
      </w:r>
      <w:r>
        <w:rPr>
          <w:noProof/>
        </w:rPr>
        <w:fldChar w:fldCharType="begin"/>
      </w:r>
      <w:r>
        <w:rPr>
          <w:noProof/>
        </w:rPr>
        <w:instrText xml:space="preserve"> PAGEREF _Toc513812195 \h </w:instrText>
      </w:r>
      <w:r>
        <w:rPr>
          <w:noProof/>
        </w:rPr>
      </w:r>
      <w:r>
        <w:rPr>
          <w:noProof/>
        </w:rPr>
        <w:fldChar w:fldCharType="separate"/>
      </w:r>
      <w:r w:rsidR="00BE7E66">
        <w:rPr>
          <w:noProof/>
        </w:rPr>
        <w:t>14</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6.1.2</w:t>
      </w:r>
      <w:r>
        <w:rPr>
          <w:rFonts w:asciiTheme="minorHAnsi" w:eastAsiaTheme="minorEastAsia" w:hAnsiTheme="minorHAnsi" w:cstheme="minorBidi"/>
          <w:noProof/>
          <w:color w:val="auto"/>
          <w:lang w:eastAsia="en-AU"/>
        </w:rPr>
        <w:tab/>
      </w:r>
      <w:r>
        <w:rPr>
          <w:noProof/>
        </w:rPr>
        <w:t>Verification of a vessel’s PAT information</w:t>
      </w:r>
      <w:r>
        <w:rPr>
          <w:noProof/>
        </w:rPr>
        <w:tab/>
      </w:r>
      <w:r>
        <w:rPr>
          <w:noProof/>
        </w:rPr>
        <w:fldChar w:fldCharType="begin"/>
      </w:r>
      <w:r>
        <w:rPr>
          <w:noProof/>
        </w:rPr>
        <w:instrText xml:space="preserve"> PAGEREF _Toc513812196 \h </w:instrText>
      </w:r>
      <w:r>
        <w:rPr>
          <w:noProof/>
        </w:rPr>
      </w:r>
      <w:r>
        <w:rPr>
          <w:noProof/>
        </w:rPr>
        <w:fldChar w:fldCharType="separate"/>
      </w:r>
      <w:r w:rsidR="00BE7E66">
        <w:rPr>
          <w:noProof/>
        </w:rPr>
        <w:t>20</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6.1.3</w:t>
      </w:r>
      <w:r>
        <w:rPr>
          <w:rFonts w:asciiTheme="minorHAnsi" w:eastAsiaTheme="minorEastAsia" w:hAnsiTheme="minorHAnsi" w:cstheme="minorBidi"/>
          <w:noProof/>
          <w:color w:val="auto"/>
          <w:lang w:eastAsia="en-AU"/>
        </w:rPr>
        <w:tab/>
      </w:r>
      <w:r>
        <w:rPr>
          <w:noProof/>
        </w:rPr>
        <w:t>Stocking density</w:t>
      </w:r>
      <w:r>
        <w:rPr>
          <w:noProof/>
        </w:rPr>
        <w:tab/>
      </w:r>
      <w:r>
        <w:rPr>
          <w:noProof/>
        </w:rPr>
        <w:fldChar w:fldCharType="begin"/>
      </w:r>
      <w:r>
        <w:rPr>
          <w:noProof/>
        </w:rPr>
        <w:instrText xml:space="preserve"> PAGEREF _Toc513812197 \h </w:instrText>
      </w:r>
      <w:r>
        <w:rPr>
          <w:noProof/>
        </w:rPr>
      </w:r>
      <w:r>
        <w:rPr>
          <w:noProof/>
        </w:rPr>
        <w:fldChar w:fldCharType="separate"/>
      </w:r>
      <w:r w:rsidR="00BE7E66">
        <w:rPr>
          <w:noProof/>
        </w:rPr>
        <w:t>20</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6.1.4</w:t>
      </w:r>
      <w:r>
        <w:rPr>
          <w:rFonts w:asciiTheme="minorHAnsi" w:eastAsiaTheme="minorEastAsia" w:hAnsiTheme="minorHAnsi" w:cstheme="minorBidi"/>
          <w:noProof/>
          <w:color w:val="auto"/>
          <w:lang w:eastAsia="en-AU"/>
        </w:rPr>
        <w:tab/>
      </w:r>
      <w:r>
        <w:rPr>
          <w:noProof/>
        </w:rPr>
        <w:t>Bedding (pad) management</w:t>
      </w:r>
      <w:r>
        <w:rPr>
          <w:noProof/>
        </w:rPr>
        <w:tab/>
      </w:r>
      <w:r>
        <w:rPr>
          <w:noProof/>
        </w:rPr>
        <w:fldChar w:fldCharType="begin"/>
      </w:r>
      <w:r>
        <w:rPr>
          <w:noProof/>
        </w:rPr>
        <w:instrText xml:space="preserve"> PAGEREF _Toc513812198 \h </w:instrText>
      </w:r>
      <w:r>
        <w:rPr>
          <w:noProof/>
        </w:rPr>
      </w:r>
      <w:r>
        <w:rPr>
          <w:noProof/>
        </w:rPr>
        <w:fldChar w:fldCharType="separate"/>
      </w:r>
      <w:r w:rsidR="00BE7E66">
        <w:rPr>
          <w:noProof/>
        </w:rPr>
        <w:t>23</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6.1.5</w:t>
      </w:r>
      <w:r>
        <w:rPr>
          <w:rFonts w:asciiTheme="minorHAnsi" w:eastAsiaTheme="minorEastAsia" w:hAnsiTheme="minorHAnsi" w:cstheme="minorBidi"/>
          <w:noProof/>
          <w:color w:val="auto"/>
          <w:lang w:eastAsia="en-AU"/>
        </w:rPr>
        <w:tab/>
      </w:r>
      <w:r>
        <w:rPr>
          <w:noProof/>
        </w:rPr>
        <w:t>The role of the Australian Government Accredited Veterinarian and the observer</w:t>
      </w:r>
      <w:r>
        <w:rPr>
          <w:noProof/>
        </w:rPr>
        <w:tab/>
      </w:r>
      <w:r>
        <w:rPr>
          <w:noProof/>
        </w:rPr>
        <w:fldChar w:fldCharType="begin"/>
      </w:r>
      <w:r>
        <w:rPr>
          <w:noProof/>
        </w:rPr>
        <w:instrText xml:space="preserve"> PAGEREF _Toc513812199 \h </w:instrText>
      </w:r>
      <w:r>
        <w:rPr>
          <w:noProof/>
        </w:rPr>
      </w:r>
      <w:r>
        <w:rPr>
          <w:noProof/>
        </w:rPr>
        <w:fldChar w:fldCharType="separate"/>
      </w:r>
      <w:r w:rsidR="00BE7E66">
        <w:rPr>
          <w:noProof/>
        </w:rPr>
        <w:t>23</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6.1.6</w:t>
      </w:r>
      <w:r>
        <w:rPr>
          <w:rFonts w:asciiTheme="minorHAnsi" w:eastAsiaTheme="minorEastAsia" w:hAnsiTheme="minorHAnsi" w:cstheme="minorBidi"/>
          <w:noProof/>
          <w:color w:val="auto"/>
          <w:lang w:eastAsia="en-AU"/>
        </w:rPr>
        <w:tab/>
      </w:r>
      <w:r>
        <w:rPr>
          <w:noProof/>
        </w:rPr>
        <w:t>Provision of Australian stockmen</w:t>
      </w:r>
      <w:r>
        <w:rPr>
          <w:noProof/>
        </w:rPr>
        <w:tab/>
      </w:r>
      <w:r>
        <w:rPr>
          <w:noProof/>
        </w:rPr>
        <w:fldChar w:fldCharType="begin"/>
      </w:r>
      <w:r>
        <w:rPr>
          <w:noProof/>
        </w:rPr>
        <w:instrText xml:space="preserve"> PAGEREF _Toc513812200 \h </w:instrText>
      </w:r>
      <w:r>
        <w:rPr>
          <w:noProof/>
        </w:rPr>
      </w:r>
      <w:r>
        <w:rPr>
          <w:noProof/>
        </w:rPr>
        <w:fldChar w:fldCharType="separate"/>
      </w:r>
      <w:r w:rsidR="00BE7E66">
        <w:rPr>
          <w:noProof/>
        </w:rPr>
        <w:t>25</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6.1.7</w:t>
      </w:r>
      <w:r>
        <w:rPr>
          <w:rFonts w:asciiTheme="minorHAnsi" w:eastAsiaTheme="minorEastAsia" w:hAnsiTheme="minorHAnsi" w:cstheme="minorBidi"/>
          <w:noProof/>
          <w:color w:val="auto"/>
          <w:lang w:eastAsia="en-AU"/>
        </w:rPr>
        <w:tab/>
      </w:r>
      <w:r>
        <w:rPr>
          <w:noProof/>
        </w:rPr>
        <w:t>Mortality management</w:t>
      </w:r>
      <w:r>
        <w:rPr>
          <w:noProof/>
        </w:rPr>
        <w:tab/>
      </w:r>
      <w:r>
        <w:rPr>
          <w:noProof/>
        </w:rPr>
        <w:fldChar w:fldCharType="begin"/>
      </w:r>
      <w:r>
        <w:rPr>
          <w:noProof/>
        </w:rPr>
        <w:instrText xml:space="preserve"> PAGEREF _Toc513812201 \h </w:instrText>
      </w:r>
      <w:r>
        <w:rPr>
          <w:noProof/>
        </w:rPr>
      </w:r>
      <w:r>
        <w:rPr>
          <w:noProof/>
        </w:rPr>
        <w:fldChar w:fldCharType="separate"/>
      </w:r>
      <w:r w:rsidR="00BE7E66">
        <w:rPr>
          <w:noProof/>
        </w:rPr>
        <w:t>25</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6.1.8</w:t>
      </w:r>
      <w:r>
        <w:rPr>
          <w:rFonts w:asciiTheme="minorHAnsi" w:eastAsiaTheme="minorEastAsia" w:hAnsiTheme="minorHAnsi" w:cstheme="minorBidi"/>
          <w:noProof/>
          <w:color w:val="auto"/>
          <w:lang w:eastAsia="en-AU"/>
        </w:rPr>
        <w:tab/>
      </w:r>
      <w:r>
        <w:rPr>
          <w:noProof/>
        </w:rPr>
        <w:t>Reportable level</w:t>
      </w:r>
      <w:r>
        <w:rPr>
          <w:noProof/>
        </w:rPr>
        <w:tab/>
      </w:r>
      <w:r>
        <w:rPr>
          <w:noProof/>
        </w:rPr>
        <w:fldChar w:fldCharType="begin"/>
      </w:r>
      <w:r>
        <w:rPr>
          <w:noProof/>
        </w:rPr>
        <w:instrText xml:space="preserve"> PAGEREF _Toc513812202 \h </w:instrText>
      </w:r>
      <w:r>
        <w:rPr>
          <w:noProof/>
        </w:rPr>
      </w:r>
      <w:r>
        <w:rPr>
          <w:noProof/>
        </w:rPr>
        <w:fldChar w:fldCharType="separate"/>
      </w:r>
      <w:r w:rsidR="00BE7E66">
        <w:rPr>
          <w:noProof/>
        </w:rPr>
        <w:t>26</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6.1.9</w:t>
      </w:r>
      <w:r>
        <w:rPr>
          <w:rFonts w:asciiTheme="minorHAnsi" w:eastAsiaTheme="minorEastAsia" w:hAnsiTheme="minorHAnsi" w:cstheme="minorBidi"/>
          <w:noProof/>
          <w:color w:val="auto"/>
          <w:lang w:eastAsia="en-AU"/>
        </w:rPr>
        <w:tab/>
      </w:r>
      <w:r>
        <w:rPr>
          <w:noProof/>
        </w:rPr>
        <w:t>Reporting</w:t>
      </w:r>
      <w:r>
        <w:rPr>
          <w:noProof/>
        </w:rPr>
        <w:tab/>
      </w:r>
      <w:r>
        <w:rPr>
          <w:noProof/>
        </w:rPr>
        <w:fldChar w:fldCharType="begin"/>
      </w:r>
      <w:r>
        <w:rPr>
          <w:noProof/>
        </w:rPr>
        <w:instrText xml:space="preserve"> PAGEREF _Toc513812203 \h </w:instrText>
      </w:r>
      <w:r>
        <w:rPr>
          <w:noProof/>
        </w:rPr>
      </w:r>
      <w:r>
        <w:rPr>
          <w:noProof/>
        </w:rPr>
        <w:fldChar w:fldCharType="separate"/>
      </w:r>
      <w:r w:rsidR="00BE7E66">
        <w:rPr>
          <w:noProof/>
        </w:rPr>
        <w:t>27</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6.1.10</w:t>
      </w:r>
      <w:r>
        <w:rPr>
          <w:rFonts w:asciiTheme="minorHAnsi" w:eastAsiaTheme="minorEastAsia" w:hAnsiTheme="minorHAnsi" w:cstheme="minorBidi"/>
          <w:noProof/>
          <w:color w:val="auto"/>
          <w:lang w:eastAsia="en-AU"/>
        </w:rPr>
        <w:tab/>
      </w:r>
      <w:r>
        <w:rPr>
          <w:noProof/>
        </w:rPr>
        <w:t>Panting score</w:t>
      </w:r>
      <w:r>
        <w:rPr>
          <w:noProof/>
        </w:rPr>
        <w:tab/>
      </w:r>
      <w:r>
        <w:rPr>
          <w:noProof/>
        </w:rPr>
        <w:fldChar w:fldCharType="begin"/>
      </w:r>
      <w:r>
        <w:rPr>
          <w:noProof/>
        </w:rPr>
        <w:instrText xml:space="preserve"> PAGEREF _Toc513812204 \h </w:instrText>
      </w:r>
      <w:r>
        <w:rPr>
          <w:noProof/>
        </w:rPr>
      </w:r>
      <w:r>
        <w:rPr>
          <w:noProof/>
        </w:rPr>
        <w:fldChar w:fldCharType="separate"/>
      </w:r>
      <w:r w:rsidR="00BE7E66">
        <w:rPr>
          <w:noProof/>
        </w:rPr>
        <w:t>27</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6.1.11</w:t>
      </w:r>
      <w:r>
        <w:rPr>
          <w:rFonts w:asciiTheme="minorHAnsi" w:eastAsiaTheme="minorEastAsia" w:hAnsiTheme="minorHAnsi" w:cstheme="minorBidi"/>
          <w:noProof/>
          <w:color w:val="auto"/>
          <w:lang w:eastAsia="en-AU"/>
        </w:rPr>
        <w:tab/>
      </w:r>
      <w:r>
        <w:rPr>
          <w:noProof/>
        </w:rPr>
        <w:t>Animal welfare indicators</w:t>
      </w:r>
      <w:r>
        <w:rPr>
          <w:noProof/>
        </w:rPr>
        <w:tab/>
      </w:r>
      <w:r>
        <w:rPr>
          <w:noProof/>
        </w:rPr>
        <w:fldChar w:fldCharType="begin"/>
      </w:r>
      <w:r>
        <w:rPr>
          <w:noProof/>
        </w:rPr>
        <w:instrText xml:space="preserve"> PAGEREF _Toc513812205 \h </w:instrText>
      </w:r>
      <w:r>
        <w:rPr>
          <w:noProof/>
        </w:rPr>
      </w:r>
      <w:r>
        <w:rPr>
          <w:noProof/>
        </w:rPr>
        <w:fldChar w:fldCharType="separate"/>
      </w:r>
      <w:r w:rsidR="00BE7E66">
        <w:rPr>
          <w:noProof/>
        </w:rPr>
        <w:t>28</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6.1.12</w:t>
      </w:r>
      <w:r>
        <w:rPr>
          <w:rFonts w:asciiTheme="minorHAnsi" w:eastAsiaTheme="minorEastAsia" w:hAnsiTheme="minorHAnsi" w:cstheme="minorBidi"/>
          <w:noProof/>
          <w:color w:val="auto"/>
          <w:lang w:eastAsia="en-AU"/>
        </w:rPr>
        <w:tab/>
      </w:r>
      <w:r>
        <w:rPr>
          <w:noProof/>
        </w:rPr>
        <w:t>Wool length</w:t>
      </w:r>
      <w:r>
        <w:rPr>
          <w:noProof/>
        </w:rPr>
        <w:tab/>
      </w:r>
      <w:r>
        <w:rPr>
          <w:noProof/>
        </w:rPr>
        <w:fldChar w:fldCharType="begin"/>
      </w:r>
      <w:r>
        <w:rPr>
          <w:noProof/>
        </w:rPr>
        <w:instrText xml:space="preserve"> PAGEREF _Toc513812206 \h </w:instrText>
      </w:r>
      <w:r>
        <w:rPr>
          <w:noProof/>
        </w:rPr>
      </w:r>
      <w:r>
        <w:rPr>
          <w:noProof/>
        </w:rPr>
        <w:fldChar w:fldCharType="separate"/>
      </w:r>
      <w:r w:rsidR="00BE7E66">
        <w:rPr>
          <w:noProof/>
        </w:rPr>
        <w:t>29</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6.1.13</w:t>
      </w:r>
      <w:r>
        <w:rPr>
          <w:rFonts w:asciiTheme="minorHAnsi" w:eastAsiaTheme="minorEastAsia" w:hAnsiTheme="minorHAnsi" w:cstheme="minorBidi"/>
          <w:noProof/>
          <w:color w:val="auto"/>
          <w:lang w:eastAsia="en-AU"/>
        </w:rPr>
        <w:tab/>
      </w:r>
      <w:r>
        <w:rPr>
          <w:noProof/>
        </w:rPr>
        <w:t>Livestock vessel systems for feed and water</w:t>
      </w:r>
      <w:r>
        <w:rPr>
          <w:noProof/>
        </w:rPr>
        <w:tab/>
      </w:r>
      <w:r>
        <w:rPr>
          <w:noProof/>
        </w:rPr>
        <w:fldChar w:fldCharType="begin"/>
      </w:r>
      <w:r>
        <w:rPr>
          <w:noProof/>
        </w:rPr>
        <w:instrText xml:space="preserve"> PAGEREF _Toc513812207 \h </w:instrText>
      </w:r>
      <w:r>
        <w:rPr>
          <w:noProof/>
        </w:rPr>
      </w:r>
      <w:r>
        <w:rPr>
          <w:noProof/>
        </w:rPr>
        <w:fldChar w:fldCharType="separate"/>
      </w:r>
      <w:r w:rsidR="00BE7E66">
        <w:rPr>
          <w:noProof/>
        </w:rPr>
        <w:t>29</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6.1.14</w:t>
      </w:r>
      <w:r>
        <w:rPr>
          <w:rFonts w:asciiTheme="minorHAnsi" w:eastAsiaTheme="minorEastAsia" w:hAnsiTheme="minorHAnsi" w:cstheme="minorBidi"/>
          <w:noProof/>
          <w:color w:val="auto"/>
          <w:lang w:eastAsia="en-AU"/>
        </w:rPr>
        <w:tab/>
      </w:r>
      <w:r>
        <w:rPr>
          <w:noProof/>
        </w:rPr>
        <w:t>Competency of the crew</w:t>
      </w:r>
      <w:r>
        <w:rPr>
          <w:noProof/>
        </w:rPr>
        <w:tab/>
      </w:r>
      <w:r>
        <w:rPr>
          <w:noProof/>
        </w:rPr>
        <w:fldChar w:fldCharType="begin"/>
      </w:r>
      <w:r>
        <w:rPr>
          <w:noProof/>
        </w:rPr>
        <w:instrText xml:space="preserve"> PAGEREF _Toc513812208 \h </w:instrText>
      </w:r>
      <w:r>
        <w:rPr>
          <w:noProof/>
        </w:rPr>
      </w:r>
      <w:r>
        <w:rPr>
          <w:noProof/>
        </w:rPr>
        <w:fldChar w:fldCharType="separate"/>
      </w:r>
      <w:r w:rsidR="00BE7E66">
        <w:rPr>
          <w:noProof/>
        </w:rPr>
        <w:t>29</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6.1.15</w:t>
      </w:r>
      <w:r>
        <w:rPr>
          <w:rFonts w:asciiTheme="minorHAnsi" w:eastAsiaTheme="minorEastAsia" w:hAnsiTheme="minorHAnsi" w:cstheme="minorBidi"/>
          <w:noProof/>
          <w:color w:val="auto"/>
          <w:lang w:eastAsia="en-AU"/>
        </w:rPr>
        <w:tab/>
      </w:r>
      <w:r>
        <w:rPr>
          <w:noProof/>
        </w:rPr>
        <w:t>Heat stress management (morbidity) and contingency planning</w:t>
      </w:r>
      <w:r>
        <w:rPr>
          <w:noProof/>
        </w:rPr>
        <w:tab/>
      </w:r>
      <w:r>
        <w:rPr>
          <w:noProof/>
        </w:rPr>
        <w:fldChar w:fldCharType="begin"/>
      </w:r>
      <w:r>
        <w:rPr>
          <w:noProof/>
        </w:rPr>
        <w:instrText xml:space="preserve"> PAGEREF _Toc513812209 \h </w:instrText>
      </w:r>
      <w:r>
        <w:rPr>
          <w:noProof/>
        </w:rPr>
      </w:r>
      <w:r>
        <w:rPr>
          <w:noProof/>
        </w:rPr>
        <w:fldChar w:fldCharType="separate"/>
      </w:r>
      <w:r w:rsidR="00BE7E66">
        <w:rPr>
          <w:noProof/>
        </w:rPr>
        <w:t>30</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6.1.16</w:t>
      </w:r>
      <w:r>
        <w:rPr>
          <w:rFonts w:asciiTheme="minorHAnsi" w:eastAsiaTheme="minorEastAsia" w:hAnsiTheme="minorHAnsi" w:cstheme="minorBidi"/>
          <w:noProof/>
          <w:color w:val="auto"/>
          <w:lang w:eastAsia="en-AU"/>
        </w:rPr>
        <w:tab/>
      </w:r>
      <w:r>
        <w:rPr>
          <w:noProof/>
        </w:rPr>
        <w:t>First port and port unloading sequence</w:t>
      </w:r>
      <w:r>
        <w:rPr>
          <w:noProof/>
        </w:rPr>
        <w:tab/>
      </w:r>
      <w:r>
        <w:rPr>
          <w:noProof/>
        </w:rPr>
        <w:fldChar w:fldCharType="begin"/>
      </w:r>
      <w:r>
        <w:rPr>
          <w:noProof/>
        </w:rPr>
        <w:instrText xml:space="preserve"> PAGEREF _Toc513812210 \h </w:instrText>
      </w:r>
      <w:r>
        <w:rPr>
          <w:noProof/>
        </w:rPr>
      </w:r>
      <w:r>
        <w:rPr>
          <w:noProof/>
        </w:rPr>
        <w:fldChar w:fldCharType="separate"/>
      </w:r>
      <w:r w:rsidR="00BE7E66">
        <w:rPr>
          <w:noProof/>
        </w:rPr>
        <w:t>31</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6.1.17</w:t>
      </w:r>
      <w:r>
        <w:rPr>
          <w:rFonts w:asciiTheme="minorHAnsi" w:eastAsiaTheme="minorEastAsia" w:hAnsiTheme="minorHAnsi" w:cstheme="minorBidi"/>
          <w:noProof/>
          <w:color w:val="auto"/>
          <w:lang w:eastAsia="en-AU"/>
        </w:rPr>
        <w:tab/>
      </w:r>
      <w:r>
        <w:rPr>
          <w:noProof/>
        </w:rPr>
        <w:t>The effect of winter challenges in Australia and property of origin</w:t>
      </w:r>
      <w:r>
        <w:rPr>
          <w:noProof/>
        </w:rPr>
        <w:tab/>
      </w:r>
      <w:r>
        <w:rPr>
          <w:noProof/>
        </w:rPr>
        <w:fldChar w:fldCharType="begin"/>
      </w:r>
      <w:r>
        <w:rPr>
          <w:noProof/>
        </w:rPr>
        <w:instrText xml:space="preserve"> PAGEREF _Toc513812211 \h </w:instrText>
      </w:r>
      <w:r>
        <w:rPr>
          <w:noProof/>
        </w:rPr>
      </w:r>
      <w:r>
        <w:rPr>
          <w:noProof/>
        </w:rPr>
        <w:fldChar w:fldCharType="separate"/>
      </w:r>
      <w:r w:rsidR="00BE7E66">
        <w:rPr>
          <w:noProof/>
        </w:rPr>
        <w:t>31</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6.1.18</w:t>
      </w:r>
      <w:r>
        <w:rPr>
          <w:rFonts w:asciiTheme="minorHAnsi" w:eastAsiaTheme="minorEastAsia" w:hAnsiTheme="minorHAnsi" w:cstheme="minorBidi"/>
          <w:noProof/>
          <w:color w:val="auto"/>
          <w:lang w:eastAsia="en-AU"/>
        </w:rPr>
        <w:tab/>
      </w:r>
      <w:r>
        <w:rPr>
          <w:noProof/>
        </w:rPr>
        <w:t>Improved environmental monitoring</w:t>
      </w:r>
      <w:r>
        <w:rPr>
          <w:noProof/>
        </w:rPr>
        <w:tab/>
      </w:r>
      <w:r>
        <w:rPr>
          <w:noProof/>
        </w:rPr>
        <w:fldChar w:fldCharType="begin"/>
      </w:r>
      <w:r>
        <w:rPr>
          <w:noProof/>
        </w:rPr>
        <w:instrText xml:space="preserve"> PAGEREF _Toc513812212 \h </w:instrText>
      </w:r>
      <w:r>
        <w:rPr>
          <w:noProof/>
        </w:rPr>
      </w:r>
      <w:r>
        <w:rPr>
          <w:noProof/>
        </w:rPr>
        <w:fldChar w:fldCharType="separate"/>
      </w:r>
      <w:r w:rsidR="00BE7E66">
        <w:rPr>
          <w:noProof/>
        </w:rPr>
        <w:t>32</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6.1.19</w:t>
      </w:r>
      <w:r>
        <w:rPr>
          <w:rFonts w:asciiTheme="minorHAnsi" w:eastAsiaTheme="minorEastAsia" w:hAnsiTheme="minorHAnsi" w:cstheme="minorBidi"/>
          <w:noProof/>
          <w:color w:val="auto"/>
          <w:lang w:eastAsia="en-AU"/>
        </w:rPr>
        <w:tab/>
      </w:r>
      <w:r>
        <w:rPr>
          <w:noProof/>
        </w:rPr>
        <w:t>Training</w:t>
      </w:r>
      <w:r>
        <w:rPr>
          <w:noProof/>
        </w:rPr>
        <w:tab/>
      </w:r>
      <w:r>
        <w:rPr>
          <w:noProof/>
        </w:rPr>
        <w:fldChar w:fldCharType="begin"/>
      </w:r>
      <w:r>
        <w:rPr>
          <w:noProof/>
        </w:rPr>
        <w:instrText xml:space="preserve"> PAGEREF _Toc513812213 \h </w:instrText>
      </w:r>
      <w:r>
        <w:rPr>
          <w:noProof/>
        </w:rPr>
      </w:r>
      <w:r>
        <w:rPr>
          <w:noProof/>
        </w:rPr>
        <w:fldChar w:fldCharType="separate"/>
      </w:r>
      <w:r w:rsidR="00BE7E66">
        <w:rPr>
          <w:noProof/>
        </w:rPr>
        <w:t>33</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6.1.20</w:t>
      </w:r>
      <w:r>
        <w:rPr>
          <w:rFonts w:asciiTheme="minorHAnsi" w:eastAsiaTheme="minorEastAsia" w:hAnsiTheme="minorHAnsi" w:cstheme="minorBidi"/>
          <w:noProof/>
          <w:color w:val="auto"/>
          <w:lang w:eastAsia="en-AU"/>
        </w:rPr>
        <w:tab/>
      </w:r>
      <w:r>
        <w:rPr>
          <w:noProof/>
        </w:rPr>
        <w:t>Other considerations</w:t>
      </w:r>
      <w:r>
        <w:rPr>
          <w:noProof/>
        </w:rPr>
        <w:tab/>
      </w:r>
      <w:r>
        <w:rPr>
          <w:noProof/>
        </w:rPr>
        <w:fldChar w:fldCharType="begin"/>
      </w:r>
      <w:r>
        <w:rPr>
          <w:noProof/>
        </w:rPr>
        <w:instrText xml:space="preserve"> PAGEREF _Toc513812214 \h </w:instrText>
      </w:r>
      <w:r>
        <w:rPr>
          <w:noProof/>
        </w:rPr>
      </w:r>
      <w:r>
        <w:rPr>
          <w:noProof/>
        </w:rPr>
        <w:fldChar w:fldCharType="separate"/>
      </w:r>
      <w:r w:rsidR="00BE7E66">
        <w:rPr>
          <w:noProof/>
        </w:rPr>
        <w:t>33</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6.1.21</w:t>
      </w:r>
      <w:r>
        <w:rPr>
          <w:rFonts w:asciiTheme="minorHAnsi" w:eastAsiaTheme="minorEastAsia" w:hAnsiTheme="minorHAnsi" w:cstheme="minorBidi"/>
          <w:noProof/>
          <w:color w:val="auto"/>
          <w:lang w:eastAsia="en-AU"/>
        </w:rPr>
        <w:tab/>
      </w:r>
      <w:r>
        <w:rPr>
          <w:noProof/>
        </w:rPr>
        <w:t>Conditions in the receiving country</w:t>
      </w:r>
      <w:r>
        <w:rPr>
          <w:noProof/>
        </w:rPr>
        <w:tab/>
      </w:r>
      <w:r>
        <w:rPr>
          <w:noProof/>
        </w:rPr>
        <w:fldChar w:fldCharType="begin"/>
      </w:r>
      <w:r>
        <w:rPr>
          <w:noProof/>
        </w:rPr>
        <w:instrText xml:space="preserve"> PAGEREF _Toc513812215 \h </w:instrText>
      </w:r>
      <w:r>
        <w:rPr>
          <w:noProof/>
        </w:rPr>
      </w:r>
      <w:r>
        <w:rPr>
          <w:noProof/>
        </w:rPr>
        <w:fldChar w:fldCharType="separate"/>
      </w:r>
      <w:r w:rsidR="00BE7E66">
        <w:rPr>
          <w:noProof/>
        </w:rPr>
        <w:t>33</w:t>
      </w:r>
      <w:r>
        <w:rPr>
          <w:noProof/>
        </w:rPr>
        <w:fldChar w:fldCharType="end"/>
      </w:r>
    </w:p>
    <w:p w:rsidR="00417D49" w:rsidRDefault="00417D49">
      <w:pPr>
        <w:pStyle w:val="TOC2"/>
        <w:tabs>
          <w:tab w:val="left" w:pos="960"/>
          <w:tab w:val="right" w:leader="dot" w:pos="9010"/>
        </w:tabs>
        <w:rPr>
          <w:rFonts w:asciiTheme="minorHAnsi" w:eastAsiaTheme="minorEastAsia" w:hAnsiTheme="minorHAnsi" w:cstheme="minorBidi"/>
          <w:b w:val="0"/>
          <w:bCs w:val="0"/>
          <w:noProof/>
          <w:color w:val="auto"/>
          <w:lang w:eastAsia="en-AU"/>
        </w:rPr>
      </w:pPr>
      <w:r>
        <w:rPr>
          <w:noProof/>
        </w:rPr>
        <w:t>6.2</w:t>
      </w:r>
      <w:r>
        <w:rPr>
          <w:rFonts w:asciiTheme="minorHAnsi" w:eastAsiaTheme="minorEastAsia" w:hAnsiTheme="minorHAnsi" w:cstheme="minorBidi"/>
          <w:b w:val="0"/>
          <w:bCs w:val="0"/>
          <w:noProof/>
          <w:color w:val="auto"/>
          <w:lang w:eastAsia="en-AU"/>
        </w:rPr>
        <w:tab/>
      </w:r>
      <w:r>
        <w:rPr>
          <w:noProof/>
        </w:rPr>
        <w:t>Recent and previous conditions</w:t>
      </w:r>
      <w:r>
        <w:rPr>
          <w:noProof/>
        </w:rPr>
        <w:tab/>
      </w:r>
      <w:r>
        <w:rPr>
          <w:noProof/>
        </w:rPr>
        <w:fldChar w:fldCharType="begin"/>
      </w:r>
      <w:r>
        <w:rPr>
          <w:noProof/>
        </w:rPr>
        <w:instrText xml:space="preserve"> PAGEREF _Toc513812216 \h </w:instrText>
      </w:r>
      <w:r>
        <w:rPr>
          <w:noProof/>
        </w:rPr>
      </w:r>
      <w:r>
        <w:rPr>
          <w:noProof/>
        </w:rPr>
        <w:fldChar w:fldCharType="separate"/>
      </w:r>
      <w:r w:rsidR="00BE7E66">
        <w:rPr>
          <w:noProof/>
        </w:rPr>
        <w:t>34</w:t>
      </w:r>
      <w:r>
        <w:rPr>
          <w:noProof/>
        </w:rPr>
        <w:fldChar w:fldCharType="end"/>
      </w:r>
    </w:p>
    <w:p w:rsidR="00417D49" w:rsidRDefault="00417D49">
      <w:pPr>
        <w:pStyle w:val="TOC2"/>
        <w:tabs>
          <w:tab w:val="left" w:pos="960"/>
          <w:tab w:val="right" w:leader="dot" w:pos="9010"/>
        </w:tabs>
        <w:rPr>
          <w:rFonts w:asciiTheme="minorHAnsi" w:eastAsiaTheme="minorEastAsia" w:hAnsiTheme="minorHAnsi" w:cstheme="minorBidi"/>
          <w:b w:val="0"/>
          <w:bCs w:val="0"/>
          <w:noProof/>
          <w:color w:val="auto"/>
          <w:lang w:eastAsia="en-AU"/>
        </w:rPr>
      </w:pPr>
      <w:r>
        <w:rPr>
          <w:noProof/>
        </w:rPr>
        <w:t>6.3</w:t>
      </w:r>
      <w:r>
        <w:rPr>
          <w:rFonts w:asciiTheme="minorHAnsi" w:eastAsiaTheme="minorEastAsia" w:hAnsiTheme="minorHAnsi" w:cstheme="minorBidi"/>
          <w:b w:val="0"/>
          <w:bCs w:val="0"/>
          <w:noProof/>
          <w:color w:val="auto"/>
          <w:lang w:eastAsia="en-AU"/>
        </w:rPr>
        <w:tab/>
      </w:r>
      <w:r>
        <w:rPr>
          <w:noProof/>
        </w:rPr>
        <w:t>Administration of ASEL</w:t>
      </w:r>
      <w:r>
        <w:rPr>
          <w:noProof/>
        </w:rPr>
        <w:tab/>
      </w:r>
      <w:r>
        <w:rPr>
          <w:noProof/>
        </w:rPr>
        <w:fldChar w:fldCharType="begin"/>
      </w:r>
      <w:r>
        <w:rPr>
          <w:noProof/>
        </w:rPr>
        <w:instrText xml:space="preserve"> PAGEREF _Toc513812217 \h </w:instrText>
      </w:r>
      <w:r>
        <w:rPr>
          <w:noProof/>
        </w:rPr>
      </w:r>
      <w:r>
        <w:rPr>
          <w:noProof/>
        </w:rPr>
        <w:fldChar w:fldCharType="separate"/>
      </w:r>
      <w:r w:rsidR="00BE7E66">
        <w:rPr>
          <w:noProof/>
        </w:rPr>
        <w:t>34</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6.3.1</w:t>
      </w:r>
      <w:r>
        <w:rPr>
          <w:rFonts w:asciiTheme="minorHAnsi" w:eastAsiaTheme="minorEastAsia" w:hAnsiTheme="minorHAnsi" w:cstheme="minorBidi"/>
          <w:noProof/>
          <w:color w:val="auto"/>
          <w:lang w:eastAsia="en-AU"/>
        </w:rPr>
        <w:tab/>
      </w:r>
      <w:r>
        <w:rPr>
          <w:noProof/>
        </w:rPr>
        <w:t>DAWR’s interaction with AMSA for vessel approval.</w:t>
      </w:r>
      <w:r>
        <w:rPr>
          <w:noProof/>
        </w:rPr>
        <w:tab/>
      </w:r>
      <w:r>
        <w:rPr>
          <w:noProof/>
        </w:rPr>
        <w:fldChar w:fldCharType="begin"/>
      </w:r>
      <w:r>
        <w:rPr>
          <w:noProof/>
        </w:rPr>
        <w:instrText xml:space="preserve"> PAGEREF _Toc513812218 \h </w:instrText>
      </w:r>
      <w:r>
        <w:rPr>
          <w:noProof/>
        </w:rPr>
      </w:r>
      <w:r>
        <w:rPr>
          <w:noProof/>
        </w:rPr>
        <w:fldChar w:fldCharType="separate"/>
      </w:r>
      <w:r w:rsidR="00BE7E66">
        <w:rPr>
          <w:noProof/>
        </w:rPr>
        <w:t>34</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6.3.2</w:t>
      </w:r>
      <w:r>
        <w:rPr>
          <w:rFonts w:asciiTheme="minorHAnsi" w:eastAsiaTheme="minorEastAsia" w:hAnsiTheme="minorHAnsi" w:cstheme="minorBidi"/>
          <w:noProof/>
          <w:color w:val="auto"/>
          <w:lang w:eastAsia="en-AU"/>
        </w:rPr>
        <w:tab/>
      </w:r>
      <w:r>
        <w:rPr>
          <w:noProof/>
        </w:rPr>
        <w:t>The effectiveness of current reporting requirements.</w:t>
      </w:r>
      <w:r>
        <w:rPr>
          <w:noProof/>
        </w:rPr>
        <w:tab/>
      </w:r>
      <w:r>
        <w:rPr>
          <w:noProof/>
        </w:rPr>
        <w:fldChar w:fldCharType="begin"/>
      </w:r>
      <w:r>
        <w:rPr>
          <w:noProof/>
        </w:rPr>
        <w:instrText xml:space="preserve"> PAGEREF _Toc513812219 \h </w:instrText>
      </w:r>
      <w:r>
        <w:rPr>
          <w:noProof/>
        </w:rPr>
      </w:r>
      <w:r>
        <w:rPr>
          <w:noProof/>
        </w:rPr>
        <w:fldChar w:fldCharType="separate"/>
      </w:r>
      <w:r w:rsidR="00BE7E66">
        <w:rPr>
          <w:noProof/>
        </w:rPr>
        <w:t>34</w:t>
      </w:r>
      <w:r>
        <w:rPr>
          <w:noProof/>
        </w:rPr>
        <w:fldChar w:fldCharType="end"/>
      </w:r>
    </w:p>
    <w:p w:rsidR="00417D49" w:rsidRDefault="00417D49">
      <w:pPr>
        <w:pStyle w:val="TOC3"/>
        <w:rPr>
          <w:rFonts w:asciiTheme="minorHAnsi" w:eastAsiaTheme="minorEastAsia" w:hAnsiTheme="minorHAnsi" w:cstheme="minorBidi"/>
          <w:noProof/>
          <w:color w:val="auto"/>
          <w:lang w:eastAsia="en-AU"/>
        </w:rPr>
      </w:pPr>
      <w:r>
        <w:rPr>
          <w:noProof/>
        </w:rPr>
        <w:t>6.3.3</w:t>
      </w:r>
      <w:r>
        <w:rPr>
          <w:rFonts w:asciiTheme="minorHAnsi" w:eastAsiaTheme="minorEastAsia" w:hAnsiTheme="minorHAnsi" w:cstheme="minorBidi"/>
          <w:noProof/>
          <w:color w:val="auto"/>
          <w:lang w:eastAsia="en-AU"/>
        </w:rPr>
        <w:tab/>
      </w:r>
      <w:r>
        <w:rPr>
          <w:noProof/>
        </w:rPr>
        <w:t>Additional assurance that approved arrangements are being met.</w:t>
      </w:r>
      <w:r>
        <w:rPr>
          <w:noProof/>
        </w:rPr>
        <w:tab/>
      </w:r>
      <w:r>
        <w:rPr>
          <w:noProof/>
        </w:rPr>
        <w:fldChar w:fldCharType="begin"/>
      </w:r>
      <w:r>
        <w:rPr>
          <w:noProof/>
        </w:rPr>
        <w:instrText xml:space="preserve"> PAGEREF _Toc513812220 \h </w:instrText>
      </w:r>
      <w:r>
        <w:rPr>
          <w:noProof/>
        </w:rPr>
      </w:r>
      <w:r>
        <w:rPr>
          <w:noProof/>
        </w:rPr>
        <w:fldChar w:fldCharType="separate"/>
      </w:r>
      <w:r w:rsidR="00BE7E66">
        <w:rPr>
          <w:noProof/>
        </w:rPr>
        <w:t>35</w:t>
      </w:r>
      <w:r>
        <w:rPr>
          <w:noProof/>
        </w:rPr>
        <w:fldChar w:fldCharType="end"/>
      </w:r>
    </w:p>
    <w:p w:rsidR="00417D49" w:rsidRDefault="00417D49">
      <w:pPr>
        <w:pStyle w:val="TOC1"/>
        <w:tabs>
          <w:tab w:val="left" w:pos="960"/>
          <w:tab w:val="right" w:leader="dot" w:pos="9010"/>
        </w:tabs>
        <w:rPr>
          <w:rFonts w:asciiTheme="minorHAnsi" w:eastAsiaTheme="minorEastAsia" w:hAnsiTheme="minorHAnsi" w:cstheme="minorBidi"/>
          <w:b w:val="0"/>
          <w:bCs w:val="0"/>
          <w:noProof/>
          <w:color w:val="auto"/>
          <w:sz w:val="22"/>
          <w:szCs w:val="22"/>
          <w:lang w:eastAsia="en-AU"/>
        </w:rPr>
      </w:pPr>
      <w:r>
        <w:rPr>
          <w:noProof/>
        </w:rPr>
        <w:t>7.</w:t>
      </w:r>
      <w:r>
        <w:rPr>
          <w:rFonts w:asciiTheme="minorHAnsi" w:eastAsiaTheme="minorEastAsia" w:hAnsiTheme="minorHAnsi" w:cstheme="minorBidi"/>
          <w:b w:val="0"/>
          <w:bCs w:val="0"/>
          <w:noProof/>
          <w:color w:val="auto"/>
          <w:sz w:val="22"/>
          <w:szCs w:val="22"/>
          <w:lang w:eastAsia="en-AU"/>
        </w:rPr>
        <w:tab/>
      </w:r>
      <w:r>
        <w:rPr>
          <w:noProof/>
        </w:rPr>
        <w:t>Conclusions</w:t>
      </w:r>
      <w:r>
        <w:rPr>
          <w:noProof/>
        </w:rPr>
        <w:tab/>
      </w:r>
      <w:r>
        <w:rPr>
          <w:noProof/>
        </w:rPr>
        <w:fldChar w:fldCharType="begin"/>
      </w:r>
      <w:r>
        <w:rPr>
          <w:noProof/>
        </w:rPr>
        <w:instrText xml:space="preserve"> PAGEREF _Toc513812221 \h </w:instrText>
      </w:r>
      <w:r>
        <w:rPr>
          <w:noProof/>
        </w:rPr>
      </w:r>
      <w:r>
        <w:rPr>
          <w:noProof/>
        </w:rPr>
        <w:fldChar w:fldCharType="separate"/>
      </w:r>
      <w:r w:rsidR="00BE7E66">
        <w:rPr>
          <w:noProof/>
        </w:rPr>
        <w:t>36</w:t>
      </w:r>
      <w:r>
        <w:rPr>
          <w:noProof/>
        </w:rPr>
        <w:fldChar w:fldCharType="end"/>
      </w:r>
    </w:p>
    <w:p w:rsidR="00417D49" w:rsidRDefault="00417D49">
      <w:pPr>
        <w:pStyle w:val="TOC1"/>
        <w:tabs>
          <w:tab w:val="left" w:pos="960"/>
          <w:tab w:val="right" w:leader="dot" w:pos="9010"/>
        </w:tabs>
        <w:rPr>
          <w:rFonts w:asciiTheme="minorHAnsi" w:eastAsiaTheme="minorEastAsia" w:hAnsiTheme="minorHAnsi" w:cstheme="minorBidi"/>
          <w:b w:val="0"/>
          <w:bCs w:val="0"/>
          <w:noProof/>
          <w:color w:val="auto"/>
          <w:sz w:val="22"/>
          <w:szCs w:val="22"/>
          <w:lang w:eastAsia="en-AU"/>
        </w:rPr>
      </w:pPr>
      <w:r>
        <w:rPr>
          <w:noProof/>
        </w:rPr>
        <w:t>8.</w:t>
      </w:r>
      <w:r>
        <w:rPr>
          <w:rFonts w:asciiTheme="minorHAnsi" w:eastAsiaTheme="minorEastAsia" w:hAnsiTheme="minorHAnsi" w:cstheme="minorBidi"/>
          <w:b w:val="0"/>
          <w:bCs w:val="0"/>
          <w:noProof/>
          <w:color w:val="auto"/>
          <w:sz w:val="22"/>
          <w:szCs w:val="22"/>
          <w:lang w:eastAsia="en-AU"/>
        </w:rPr>
        <w:tab/>
      </w:r>
      <w:r>
        <w:rPr>
          <w:noProof/>
        </w:rPr>
        <w:t>Appendix</w:t>
      </w:r>
      <w:r>
        <w:rPr>
          <w:noProof/>
        </w:rPr>
        <w:tab/>
      </w:r>
      <w:r>
        <w:rPr>
          <w:noProof/>
        </w:rPr>
        <w:fldChar w:fldCharType="begin"/>
      </w:r>
      <w:r>
        <w:rPr>
          <w:noProof/>
        </w:rPr>
        <w:instrText xml:space="preserve"> PAGEREF _Toc513812222 \h </w:instrText>
      </w:r>
      <w:r>
        <w:rPr>
          <w:noProof/>
        </w:rPr>
      </w:r>
      <w:r>
        <w:rPr>
          <w:noProof/>
        </w:rPr>
        <w:fldChar w:fldCharType="separate"/>
      </w:r>
      <w:r w:rsidR="00BE7E66">
        <w:rPr>
          <w:noProof/>
        </w:rPr>
        <w:t>37</w:t>
      </w:r>
      <w:r>
        <w:rPr>
          <w:noProof/>
        </w:rPr>
        <w:fldChar w:fldCharType="end"/>
      </w:r>
    </w:p>
    <w:p w:rsidR="00417D49" w:rsidRDefault="00417D49">
      <w:pPr>
        <w:pStyle w:val="TOC2"/>
        <w:tabs>
          <w:tab w:val="left" w:pos="960"/>
          <w:tab w:val="right" w:leader="dot" w:pos="9010"/>
        </w:tabs>
        <w:rPr>
          <w:rFonts w:asciiTheme="minorHAnsi" w:eastAsiaTheme="minorEastAsia" w:hAnsiTheme="minorHAnsi" w:cstheme="minorBidi"/>
          <w:b w:val="0"/>
          <w:bCs w:val="0"/>
          <w:noProof/>
          <w:color w:val="auto"/>
          <w:lang w:eastAsia="en-AU"/>
        </w:rPr>
      </w:pPr>
      <w:r>
        <w:rPr>
          <w:noProof/>
        </w:rPr>
        <w:t>8.1</w:t>
      </w:r>
      <w:r>
        <w:rPr>
          <w:rFonts w:asciiTheme="minorHAnsi" w:eastAsiaTheme="minorEastAsia" w:hAnsiTheme="minorHAnsi" w:cstheme="minorBidi"/>
          <w:b w:val="0"/>
          <w:bCs w:val="0"/>
          <w:noProof/>
          <w:color w:val="auto"/>
          <w:lang w:eastAsia="en-AU"/>
        </w:rPr>
        <w:tab/>
      </w:r>
      <w:r>
        <w:rPr>
          <w:noProof/>
        </w:rPr>
        <w:t>Further reading—List of references</w:t>
      </w:r>
      <w:r>
        <w:rPr>
          <w:noProof/>
        </w:rPr>
        <w:tab/>
      </w:r>
      <w:r>
        <w:rPr>
          <w:noProof/>
        </w:rPr>
        <w:fldChar w:fldCharType="begin"/>
      </w:r>
      <w:r>
        <w:rPr>
          <w:noProof/>
        </w:rPr>
        <w:instrText xml:space="preserve"> PAGEREF _Toc513812223 \h </w:instrText>
      </w:r>
      <w:r>
        <w:rPr>
          <w:noProof/>
        </w:rPr>
      </w:r>
      <w:r>
        <w:rPr>
          <w:noProof/>
        </w:rPr>
        <w:fldChar w:fldCharType="separate"/>
      </w:r>
      <w:r w:rsidR="00BE7E66">
        <w:rPr>
          <w:noProof/>
        </w:rPr>
        <w:t>37</w:t>
      </w:r>
      <w:r>
        <w:rPr>
          <w:noProof/>
        </w:rPr>
        <w:fldChar w:fldCharType="end"/>
      </w:r>
    </w:p>
    <w:p w:rsidR="00417D49" w:rsidRDefault="00417D49">
      <w:pPr>
        <w:pStyle w:val="TOC2"/>
        <w:tabs>
          <w:tab w:val="left" w:pos="960"/>
          <w:tab w:val="right" w:leader="dot" w:pos="9010"/>
        </w:tabs>
        <w:rPr>
          <w:rFonts w:asciiTheme="minorHAnsi" w:eastAsiaTheme="minorEastAsia" w:hAnsiTheme="minorHAnsi" w:cstheme="minorBidi"/>
          <w:b w:val="0"/>
          <w:bCs w:val="0"/>
          <w:noProof/>
          <w:color w:val="auto"/>
          <w:lang w:eastAsia="en-AU"/>
        </w:rPr>
      </w:pPr>
      <w:r>
        <w:rPr>
          <w:noProof/>
        </w:rPr>
        <w:t>8.2</w:t>
      </w:r>
      <w:r>
        <w:rPr>
          <w:rFonts w:asciiTheme="minorHAnsi" w:eastAsiaTheme="minorEastAsia" w:hAnsiTheme="minorHAnsi" w:cstheme="minorBidi"/>
          <w:b w:val="0"/>
          <w:bCs w:val="0"/>
          <w:noProof/>
          <w:color w:val="auto"/>
          <w:lang w:eastAsia="en-AU"/>
        </w:rPr>
        <w:tab/>
      </w:r>
      <w:r>
        <w:rPr>
          <w:noProof/>
        </w:rPr>
        <w:t>Abbreviations and acronyms</w:t>
      </w:r>
      <w:r>
        <w:rPr>
          <w:noProof/>
        </w:rPr>
        <w:tab/>
      </w:r>
      <w:r>
        <w:rPr>
          <w:noProof/>
        </w:rPr>
        <w:fldChar w:fldCharType="begin"/>
      </w:r>
      <w:r>
        <w:rPr>
          <w:noProof/>
        </w:rPr>
        <w:instrText xml:space="preserve"> PAGEREF _Toc513812224 \h </w:instrText>
      </w:r>
      <w:r>
        <w:rPr>
          <w:noProof/>
        </w:rPr>
      </w:r>
      <w:r>
        <w:rPr>
          <w:noProof/>
        </w:rPr>
        <w:fldChar w:fldCharType="separate"/>
      </w:r>
      <w:r w:rsidR="00BE7E66">
        <w:rPr>
          <w:noProof/>
        </w:rPr>
        <w:t>42</w:t>
      </w:r>
      <w:r>
        <w:rPr>
          <w:noProof/>
        </w:rPr>
        <w:fldChar w:fldCharType="end"/>
      </w:r>
    </w:p>
    <w:p w:rsidR="00B71CA0" w:rsidRPr="006341AF" w:rsidRDefault="00CA1748" w:rsidP="00C24556">
      <w:r w:rsidRPr="007933A5">
        <w:fldChar w:fldCharType="end"/>
      </w:r>
    </w:p>
    <w:p w:rsidR="00760BFB" w:rsidRDefault="00760BFB" w:rsidP="00C24556">
      <w:pPr>
        <w:rPr>
          <w:rFonts w:eastAsiaTheme="majorEastAsia" w:cstheme="majorBidi"/>
          <w:color w:val="1F4E79" w:themeColor="accent5" w:themeShade="80"/>
          <w:sz w:val="32"/>
          <w:szCs w:val="32"/>
        </w:rPr>
      </w:pPr>
      <w:bookmarkStart w:id="1" w:name="_Toc513467741"/>
      <w:r>
        <w:br w:type="page"/>
      </w:r>
    </w:p>
    <w:p w:rsidR="00966E3E" w:rsidRPr="00A02826" w:rsidRDefault="00966E3E" w:rsidP="00C24556">
      <w:pPr>
        <w:pStyle w:val="Heading1"/>
      </w:pPr>
      <w:bookmarkStart w:id="2" w:name="_Toc513812189"/>
      <w:r w:rsidRPr="00A02826">
        <w:t>Introduction</w:t>
      </w:r>
      <w:bookmarkEnd w:id="1"/>
      <w:bookmarkEnd w:id="2"/>
    </w:p>
    <w:p w:rsidR="00F84785" w:rsidRDefault="005D127D" w:rsidP="00C24556">
      <w:r>
        <w:t xml:space="preserve">This review has been conducted </w:t>
      </w:r>
      <w:r w:rsidR="002C2C69">
        <w:t>as a</w:t>
      </w:r>
      <w:r w:rsidR="003A25B2">
        <w:t>n independent,</w:t>
      </w:r>
      <w:r w:rsidR="002C2C69">
        <w:t xml:space="preserve"> </w:t>
      </w:r>
      <w:r w:rsidR="00936106">
        <w:t xml:space="preserve">short, sharp </w:t>
      </w:r>
      <w:r w:rsidR="006943A1">
        <w:t>review</w:t>
      </w:r>
      <w:r w:rsidR="00CC7243">
        <w:t xml:space="preserve"> </w:t>
      </w:r>
      <w:r w:rsidR="00FE5F8C">
        <w:t xml:space="preserve">to advise on conditions </w:t>
      </w:r>
      <w:r w:rsidR="00466762">
        <w:t xml:space="preserve">(as specified </w:t>
      </w:r>
      <w:r w:rsidR="00A664F2">
        <w:t>in approved</w:t>
      </w:r>
      <w:r w:rsidR="00466762">
        <w:t xml:space="preserve"> arrangements)</w:t>
      </w:r>
      <w:r w:rsidR="002641C7">
        <w:t xml:space="preserve"> that</w:t>
      </w:r>
      <w:r w:rsidR="00CC7243">
        <w:t xml:space="preserve"> </w:t>
      </w:r>
      <w:r w:rsidR="006943A1">
        <w:t>would be required to assure the welfare of sheep travelling</w:t>
      </w:r>
      <w:r w:rsidR="00610DDF">
        <w:t xml:space="preserve"> </w:t>
      </w:r>
      <w:r w:rsidR="006943A1">
        <w:t>to the Middle East</w:t>
      </w:r>
      <w:r w:rsidR="00CC7243">
        <w:t xml:space="preserve"> </w:t>
      </w:r>
      <w:r w:rsidR="00610DDF">
        <w:t xml:space="preserve">in the northern </w:t>
      </w:r>
      <w:r w:rsidR="00971D49">
        <w:t xml:space="preserve">hemisphere </w:t>
      </w:r>
      <w:r w:rsidR="00610DDF">
        <w:t xml:space="preserve">summer if </w:t>
      </w:r>
      <w:r w:rsidR="00CC7243">
        <w:t>t</w:t>
      </w:r>
      <w:r w:rsidR="00610DDF">
        <w:t>he trade were to continue</w:t>
      </w:r>
      <w:r w:rsidR="00342FF3">
        <w:t xml:space="preserve">. </w:t>
      </w:r>
      <w:r w:rsidR="00CC7243">
        <w:t xml:space="preserve">The review </w:t>
      </w:r>
      <w:r w:rsidR="0082626D">
        <w:t>has worked</w:t>
      </w:r>
      <w:r w:rsidR="00342FF3">
        <w:t xml:space="preserve"> systematically through the terms of reference within the short time frame provided.</w:t>
      </w:r>
      <w:r w:rsidR="00F84785" w:rsidRPr="00F84785">
        <w:t xml:space="preserve"> </w:t>
      </w:r>
      <w:r w:rsidR="00BB7DDF">
        <w:t>As a result, t</w:t>
      </w:r>
      <w:r w:rsidR="00F84785">
        <w:t xml:space="preserve">here </w:t>
      </w:r>
      <w:r w:rsidR="007C2C45">
        <w:t xml:space="preserve">may </w:t>
      </w:r>
      <w:r w:rsidR="00F84785">
        <w:t xml:space="preserve">be aspects that have not been addressed and/or the need to refine what has been stated due to the nature of the review being </w:t>
      </w:r>
      <w:r w:rsidR="007B24E3">
        <w:t xml:space="preserve">so </w:t>
      </w:r>
      <w:r w:rsidR="00F84785">
        <w:t>time</w:t>
      </w:r>
      <w:r w:rsidR="00E25F95">
        <w:t>-</w:t>
      </w:r>
      <w:r w:rsidR="00F84785">
        <w:t>bound.</w:t>
      </w:r>
    </w:p>
    <w:p w:rsidR="00342FF3" w:rsidRDefault="00023FEE" w:rsidP="00C24556">
      <w:r>
        <w:t>Any advice forwarded makes the assumption that the recommendations are properly implemented and that the regulatory fr</w:t>
      </w:r>
      <w:r w:rsidR="00993FB7">
        <w:t>amework surrounding the recommendations</w:t>
      </w:r>
      <w:r>
        <w:t xml:space="preserve"> is effective.</w:t>
      </w:r>
    </w:p>
    <w:p w:rsidR="00853AF6" w:rsidRDefault="00B54A33" w:rsidP="00C24556">
      <w:r>
        <w:t>Recent events have</w:t>
      </w:r>
      <w:r w:rsidR="00296F65">
        <w:t xml:space="preserve"> again heightened scrutiny</w:t>
      </w:r>
      <w:r w:rsidR="005923AE">
        <w:t>,</w:t>
      </w:r>
      <w:r w:rsidR="00296F65">
        <w:t xml:space="preserve"> </w:t>
      </w:r>
      <w:r>
        <w:t xml:space="preserve">and the industry is very much at the crossroads. Very clearly, what has been the case in the past, will not be the case in the future and a new way forward is required. </w:t>
      </w:r>
      <w:r w:rsidR="00853AF6">
        <w:t>The current watershed is a great opport</w:t>
      </w:r>
      <w:r w:rsidR="00BE36A2">
        <w:t>unity for the industry to take stock</w:t>
      </w:r>
      <w:r w:rsidR="00853AF6">
        <w:t xml:space="preserve">, embrace change and move forward with a new </w:t>
      </w:r>
      <w:r w:rsidR="003515EF">
        <w:t xml:space="preserve">paradigm. </w:t>
      </w:r>
    </w:p>
    <w:p w:rsidR="00B54A33" w:rsidRDefault="003A67FE" w:rsidP="00C24556">
      <w:r>
        <w:t>The live export industry, as a whole, covers a broad spectrum of activity. Strife in one secto</w:t>
      </w:r>
      <w:r w:rsidR="00E25F95">
        <w:t xml:space="preserve">r impacts strongly on another. </w:t>
      </w:r>
      <w:r w:rsidR="00EC759E">
        <w:t xml:space="preserve">It is time for </w:t>
      </w:r>
      <w:r w:rsidR="00EE57D3">
        <w:t xml:space="preserve">the industry to come together as a whole, and place </w:t>
      </w:r>
      <w:r w:rsidR="00EC759E">
        <w:t>a much greater focus on animal welfare and a move away from measures that use mortality as a benchmark. Reportable levels, voyage succ</w:t>
      </w:r>
      <w:r w:rsidR="009E5A85">
        <w:t xml:space="preserve">ess and risk parameters have all been </w:t>
      </w:r>
      <w:r w:rsidR="00EC759E">
        <w:t>based around mortality</w:t>
      </w:r>
      <w:r w:rsidR="001606B5">
        <w:t xml:space="preserve">. </w:t>
      </w:r>
      <w:r w:rsidR="00264F26">
        <w:t xml:space="preserve">It is envisaged that the new world will replace mortality with a raft of welfare measures </w:t>
      </w:r>
      <w:r w:rsidR="002602DF">
        <w:t>and involve a quantum s</w:t>
      </w:r>
      <w:r>
        <w:t>hift in attitude and behaviour.</w:t>
      </w:r>
    </w:p>
    <w:p w:rsidR="00587CD1" w:rsidRDefault="007778DD" w:rsidP="00C24556">
      <w:r>
        <w:t xml:space="preserve">The review has been undertaken with a view to </w:t>
      </w:r>
      <w:r w:rsidR="00E25F95">
        <w:t>provide</w:t>
      </w:r>
      <w:r>
        <w:t xml:space="preserve"> a road map for the way forward. It has not been undertaken with a view to be</w:t>
      </w:r>
      <w:r w:rsidR="00E31DC8">
        <w:t>ing a blue-print for</w:t>
      </w:r>
      <w:r>
        <w:t xml:space="preserve"> new legislation, nor is it meant in any way to replace or usurp the work being undertaken by the </w:t>
      </w:r>
      <w:r w:rsidR="00E25F95">
        <w:t>Australian Standards for the Export of Livestock (Version 2.3) (</w:t>
      </w:r>
      <w:r>
        <w:t>ASEL</w:t>
      </w:r>
      <w:r w:rsidR="00E25F95">
        <w:t>)</w:t>
      </w:r>
      <w:r>
        <w:t xml:space="preserve"> </w:t>
      </w:r>
      <w:r w:rsidR="004E5A3C">
        <w:t>Review Technical Advisory Committee</w:t>
      </w:r>
      <w:r>
        <w:t>. Wherever possible the findings of this review have been forwarded to the appropriate areas for further development and implementation. Foremost in this, of course, is the Minister for Agriculture</w:t>
      </w:r>
      <w:r w:rsidR="005342B9">
        <w:t xml:space="preserve"> and Water Resources</w:t>
      </w:r>
      <w:r>
        <w:t>.</w:t>
      </w:r>
    </w:p>
    <w:p w:rsidR="005D127D" w:rsidRDefault="003A67FE" w:rsidP="00C24556">
      <w:r>
        <w:t>The terms of reference are quite specific and refer to conditions within approved arrangements. The conditions in mind are those conditions that would allow trade to continue.</w:t>
      </w:r>
      <w:r w:rsidR="008C7E08">
        <w:t xml:space="preserve"> </w:t>
      </w:r>
      <w:r w:rsidR="006E497B">
        <w:t xml:space="preserve">In general, </w:t>
      </w:r>
      <w:r w:rsidR="00290DBA">
        <w:t>the recommendations ar</w:t>
      </w:r>
      <w:r w:rsidR="00C973A5">
        <w:t>e made based on the construct</w:t>
      </w:r>
      <w:r w:rsidR="006E497B">
        <w:t xml:space="preserve"> that the industry </w:t>
      </w:r>
      <w:r w:rsidR="00290DBA">
        <w:t xml:space="preserve">should </w:t>
      </w:r>
      <w:r w:rsidR="006E497B">
        <w:t>retreat to a ‘safe’ position, consolidate and then build forward on the basis of science, trust and performance. The recommendations below reflect this approach.</w:t>
      </w:r>
    </w:p>
    <w:p w:rsidR="00DC03C3" w:rsidRDefault="00DC03C3" w:rsidP="00C24556">
      <w:pPr>
        <w:rPr>
          <w:rFonts w:eastAsiaTheme="majorEastAsia" w:cstheme="majorBidi"/>
          <w:color w:val="000000" w:themeColor="text1"/>
          <w:sz w:val="32"/>
          <w:szCs w:val="32"/>
        </w:rPr>
      </w:pPr>
      <w:bookmarkStart w:id="3" w:name="_Toc513467742"/>
      <w:r>
        <w:br w:type="page"/>
      </w:r>
    </w:p>
    <w:p w:rsidR="006341AF" w:rsidRDefault="006341AF" w:rsidP="00C24556">
      <w:pPr>
        <w:pStyle w:val="Heading1"/>
      </w:pPr>
      <w:bookmarkStart w:id="4" w:name="_Toc513812190"/>
      <w:r>
        <w:t>Recommendations</w:t>
      </w:r>
      <w:bookmarkEnd w:id="4"/>
    </w:p>
    <w:p w:rsidR="0047086A" w:rsidRPr="007551BD" w:rsidRDefault="0047086A" w:rsidP="00C24556">
      <w:pPr>
        <w:shd w:val="clear" w:color="auto" w:fill="E2EFD9" w:themeFill="accent6" w:themeFillTint="33"/>
        <w:rPr>
          <w:color w:val="1F4E79" w:themeColor="accent5" w:themeShade="80"/>
          <w:u w:val="single"/>
        </w:rPr>
      </w:pPr>
      <w:r w:rsidRPr="00C24556">
        <w:rPr>
          <w:b/>
        </w:rPr>
        <w:t>Recommendation 1</w:t>
      </w:r>
      <w:r w:rsidRPr="005C5BCF">
        <w:t>—</w:t>
      </w:r>
      <w:r w:rsidRPr="005C5BCF">
        <w:rPr>
          <w:u w:val="single"/>
        </w:rPr>
        <w:t>Compliance</w:t>
      </w:r>
    </w:p>
    <w:p w:rsidR="0047086A" w:rsidRPr="005C5BCF" w:rsidRDefault="0047086A" w:rsidP="00C24556">
      <w:pPr>
        <w:shd w:val="clear" w:color="auto" w:fill="E2EFD9" w:themeFill="accent6" w:themeFillTint="33"/>
      </w:pPr>
      <w:r w:rsidRPr="005C5BCF">
        <w:t xml:space="preserve">The </w:t>
      </w:r>
      <w:r w:rsidR="00A6562E">
        <w:t xml:space="preserve">Department of Agriculture and Water Resources (the </w:t>
      </w:r>
      <w:r w:rsidRPr="005C5BCF">
        <w:t>department</w:t>
      </w:r>
      <w:r w:rsidR="00A6562E">
        <w:t>)</w:t>
      </w:r>
      <w:r w:rsidRPr="005C5BCF">
        <w:t xml:space="preserve"> must ensure that exporters, through their approved arrangements, comply with any legislative requirements, ASEL and any other conditions of their approved arrangements.</w:t>
      </w:r>
    </w:p>
    <w:p w:rsidR="0047086A" w:rsidRPr="005C5BCF" w:rsidRDefault="0047086A" w:rsidP="00C24556">
      <w:pPr>
        <w:spacing w:after="0"/>
      </w:pPr>
    </w:p>
    <w:p w:rsidR="00E25F95" w:rsidRPr="005C5BCF" w:rsidRDefault="00503CB5" w:rsidP="00C24556">
      <w:pPr>
        <w:shd w:val="clear" w:color="auto" w:fill="E2EFD9" w:themeFill="accent6" w:themeFillTint="33"/>
        <w:rPr>
          <w:b/>
        </w:rPr>
      </w:pPr>
      <w:r w:rsidRPr="005C5BCF">
        <w:rPr>
          <w:b/>
        </w:rPr>
        <w:t xml:space="preserve">Recommendation </w:t>
      </w:r>
      <w:r w:rsidR="00023E5D">
        <w:rPr>
          <w:b/>
        </w:rPr>
        <w:t>2</w:t>
      </w:r>
      <w:r w:rsidR="00F552C3" w:rsidRPr="005C5BCF">
        <w:t>—</w:t>
      </w:r>
      <w:r w:rsidR="00C80B50" w:rsidRPr="005C5BCF">
        <w:rPr>
          <w:u w:val="single"/>
        </w:rPr>
        <w:t>Stocking Densities</w:t>
      </w:r>
    </w:p>
    <w:p w:rsidR="00C80B50" w:rsidRPr="005C5BCF" w:rsidRDefault="00023E5D" w:rsidP="00C24556">
      <w:pPr>
        <w:shd w:val="clear" w:color="auto" w:fill="E2EFD9" w:themeFill="accent6" w:themeFillTint="33"/>
        <w:rPr>
          <w:i/>
        </w:rPr>
      </w:pPr>
      <w:r>
        <w:t>Based on the available science, and a</w:t>
      </w:r>
      <w:r w:rsidR="000D3429" w:rsidRPr="005C5BCF">
        <w:t xml:space="preserve">s an interim measure, sheep destined to the Middle East from Australia during the northern </w:t>
      </w:r>
      <w:r w:rsidR="00971D49">
        <w:t xml:space="preserve">hemisphere </w:t>
      </w:r>
      <w:r w:rsidR="000D3429" w:rsidRPr="005C5BCF">
        <w:t>summer should be allocated</w:t>
      </w:r>
      <w:r w:rsidR="006D560B" w:rsidRPr="005C5BCF">
        <w:t xml:space="preserve"> space allometrically using a k-</w:t>
      </w:r>
      <w:r w:rsidR="000D3429" w:rsidRPr="005C5BCF">
        <w:t xml:space="preserve">value of 0.033 or such further space as required by the industry heat stress risk assessment model. Use of this allometric stocking density should be reviewed by the ASEL </w:t>
      </w:r>
      <w:r w:rsidR="004E5A3C" w:rsidRPr="005C5BCF">
        <w:t>Review Technical Advisory Committee</w:t>
      </w:r>
      <w:r w:rsidR="000D3429" w:rsidRPr="005C5BCF">
        <w:t xml:space="preserve"> and/or a</w:t>
      </w:r>
      <w:r>
        <w:t>n independent taskforce at</w:t>
      </w:r>
      <w:r w:rsidR="000D3429" w:rsidRPr="005C5BCF">
        <w:t xml:space="preserve"> </w:t>
      </w:r>
      <w:r>
        <w:t>the end</w:t>
      </w:r>
      <w:r w:rsidR="006251A0" w:rsidRPr="005C5BCF">
        <w:t xml:space="preserve"> </w:t>
      </w:r>
      <w:r>
        <w:t xml:space="preserve">of the forthcoming </w:t>
      </w:r>
      <w:r w:rsidR="006251A0" w:rsidRPr="005C5BCF">
        <w:t xml:space="preserve">northern </w:t>
      </w:r>
      <w:r w:rsidR="00971D49">
        <w:t xml:space="preserve">hemisphere </w:t>
      </w:r>
      <w:r w:rsidR="006251A0" w:rsidRPr="005C5BCF">
        <w:t>summer</w:t>
      </w:r>
      <w:r w:rsidR="000D3429" w:rsidRPr="005C5BCF">
        <w:t>.</w:t>
      </w:r>
    </w:p>
    <w:p w:rsidR="00BA32A8" w:rsidRPr="005C5BCF" w:rsidRDefault="00BA32A8" w:rsidP="00C24556">
      <w:pPr>
        <w:spacing w:after="0"/>
      </w:pPr>
    </w:p>
    <w:p w:rsidR="00BA32A8" w:rsidRPr="003A25B2" w:rsidRDefault="00BA32A8" w:rsidP="00C24556">
      <w:pPr>
        <w:shd w:val="clear" w:color="auto" w:fill="E2EFD9" w:themeFill="accent6" w:themeFillTint="33"/>
        <w:rPr>
          <w:b/>
        </w:rPr>
      </w:pPr>
      <w:r w:rsidRPr="005C5BCF">
        <w:rPr>
          <w:b/>
        </w:rPr>
        <w:t>Recommendation 3</w:t>
      </w:r>
      <w:r w:rsidR="00F552C3" w:rsidRPr="005C5BCF">
        <w:t>—</w:t>
      </w:r>
      <w:r w:rsidR="006E717D" w:rsidRPr="004B05AA">
        <w:rPr>
          <w:u w:val="single"/>
        </w:rPr>
        <w:t xml:space="preserve">Heat Stress </w:t>
      </w:r>
      <w:r w:rsidR="000D3429" w:rsidRPr="004B05AA">
        <w:rPr>
          <w:u w:val="single"/>
        </w:rPr>
        <w:t>Risk Assessment</w:t>
      </w:r>
    </w:p>
    <w:p w:rsidR="00BA32A8" w:rsidRPr="005C5BCF" w:rsidRDefault="00023E5D" w:rsidP="00C24556">
      <w:pPr>
        <w:shd w:val="clear" w:color="auto" w:fill="E2EFD9" w:themeFill="accent6" w:themeFillTint="33"/>
      </w:pPr>
      <w:r>
        <w:t>Industry should</w:t>
      </w:r>
      <w:r w:rsidR="000D3429" w:rsidRPr="005C5BCF">
        <w:t xml:space="preserve"> move from a risk assessment based on mortality to a risk assessment based on animal welfare.</w:t>
      </w:r>
    </w:p>
    <w:p w:rsidR="00BA32A8" w:rsidRPr="005C5BCF" w:rsidRDefault="00BA32A8" w:rsidP="00C24556">
      <w:pPr>
        <w:spacing w:after="0"/>
      </w:pPr>
    </w:p>
    <w:p w:rsidR="00BA32A8" w:rsidRPr="005C5BCF" w:rsidRDefault="00BA32A8" w:rsidP="00C24556">
      <w:pPr>
        <w:shd w:val="clear" w:color="auto" w:fill="E2EFD9" w:themeFill="accent6" w:themeFillTint="33"/>
      </w:pPr>
      <w:r w:rsidRPr="005C5BCF">
        <w:rPr>
          <w:b/>
        </w:rPr>
        <w:t>Recommendation 4</w:t>
      </w:r>
      <w:r w:rsidR="00F552C3" w:rsidRPr="005C5BCF">
        <w:t>—</w:t>
      </w:r>
      <w:r w:rsidR="006E717D" w:rsidRPr="004B05AA">
        <w:rPr>
          <w:u w:val="single"/>
        </w:rPr>
        <w:t>Heat Stress Risk Assessment</w:t>
      </w:r>
    </w:p>
    <w:p w:rsidR="00BA32A8" w:rsidRPr="005C5BCF" w:rsidRDefault="000D3429" w:rsidP="00C24556">
      <w:pPr>
        <w:shd w:val="clear" w:color="auto" w:fill="E2EFD9" w:themeFill="accent6" w:themeFillTint="33"/>
      </w:pPr>
      <w:r w:rsidRPr="005C5BCF">
        <w:t>As an interim measure, it is recommended that the risk be set at a 2% probability of 5% percent</w:t>
      </w:r>
      <w:r w:rsidR="002C7F6C">
        <w:t xml:space="preserve"> of the sheep becoming </w:t>
      </w:r>
      <w:r w:rsidRPr="005C5BCF">
        <w:t>affected by heat</w:t>
      </w:r>
      <w:r w:rsidR="002C7F6C">
        <w:t xml:space="preserve"> stress</w:t>
      </w:r>
      <w:r w:rsidR="007551BD">
        <w:t xml:space="preserve"> (Heat stress score 3—</w:t>
      </w:r>
      <w:r w:rsidR="002C7F6C">
        <w:t>see Table</w:t>
      </w:r>
      <w:r w:rsidR="00C24556">
        <w:t> </w:t>
      </w:r>
      <w:r w:rsidR="002C7F6C">
        <w:t>1)</w:t>
      </w:r>
      <w:r w:rsidRPr="005C5BCF">
        <w:t>. These settings should be reviewed by the ASEL</w:t>
      </w:r>
      <w:r w:rsidR="004E5A3C" w:rsidRPr="005C5BCF">
        <w:t xml:space="preserve"> Review Technical Advisory Committee </w:t>
      </w:r>
      <w:r w:rsidR="008A44CC" w:rsidRPr="005C5BCF">
        <w:t xml:space="preserve">at the end of this northern </w:t>
      </w:r>
      <w:r w:rsidR="00971D49">
        <w:t xml:space="preserve">hemisphere </w:t>
      </w:r>
      <w:r w:rsidR="008A44CC" w:rsidRPr="005C5BCF">
        <w:t xml:space="preserve">summer period </w:t>
      </w:r>
      <w:r w:rsidRPr="005C5BCF">
        <w:t>and</w:t>
      </w:r>
      <w:r w:rsidR="008A44CC" w:rsidRPr="005C5BCF">
        <w:t xml:space="preserve"> again, annually by</w:t>
      </w:r>
      <w:r w:rsidRPr="005C5BCF">
        <w:t xml:space="preserve"> an independent taskforce.</w:t>
      </w:r>
    </w:p>
    <w:p w:rsidR="00BA32A8" w:rsidRPr="005C5BCF" w:rsidRDefault="00BA32A8" w:rsidP="00C24556">
      <w:pPr>
        <w:spacing w:after="0"/>
      </w:pPr>
    </w:p>
    <w:p w:rsidR="00BA32A8" w:rsidRPr="005C5BCF" w:rsidRDefault="00BA32A8" w:rsidP="00C24556">
      <w:pPr>
        <w:shd w:val="clear" w:color="auto" w:fill="E2EFD9" w:themeFill="accent6" w:themeFillTint="33"/>
      </w:pPr>
      <w:r w:rsidRPr="005C5BCF">
        <w:rPr>
          <w:b/>
        </w:rPr>
        <w:t>Recommendation 5</w:t>
      </w:r>
      <w:r w:rsidR="00F552C3" w:rsidRPr="005C5BCF">
        <w:t>—</w:t>
      </w:r>
      <w:r w:rsidR="000D3429" w:rsidRPr="004B05AA">
        <w:rPr>
          <w:u w:val="single"/>
        </w:rPr>
        <w:t>Heat Stress Risk Assessment</w:t>
      </w:r>
    </w:p>
    <w:p w:rsidR="00BA32A8" w:rsidRPr="005C5BCF" w:rsidRDefault="008A44CC" w:rsidP="00C24556">
      <w:pPr>
        <w:shd w:val="clear" w:color="auto" w:fill="E2EFD9" w:themeFill="accent6" w:themeFillTint="33"/>
      </w:pPr>
      <w:r w:rsidRPr="005C5BCF">
        <w:t xml:space="preserve">That the required changes to the industry HSRA model be made immediately and then included in </w:t>
      </w:r>
      <w:r w:rsidR="000D3429" w:rsidRPr="005C5BCF">
        <w:t xml:space="preserve">Version 5 of the </w:t>
      </w:r>
      <w:r w:rsidRPr="005C5BCF">
        <w:t>HSRA model.</w:t>
      </w:r>
    </w:p>
    <w:p w:rsidR="00BA32A8" w:rsidRPr="005C5BCF" w:rsidRDefault="00BA32A8" w:rsidP="00C24556">
      <w:pPr>
        <w:spacing w:after="0"/>
      </w:pPr>
    </w:p>
    <w:p w:rsidR="00BA32A8" w:rsidRPr="005C5BCF" w:rsidRDefault="00BA32A8" w:rsidP="00C24556">
      <w:pPr>
        <w:shd w:val="clear" w:color="auto" w:fill="E2EFD9" w:themeFill="accent6" w:themeFillTint="33"/>
      </w:pPr>
      <w:r w:rsidRPr="005C5BCF">
        <w:rPr>
          <w:b/>
        </w:rPr>
        <w:t>Recommendation 6</w:t>
      </w:r>
      <w:r w:rsidR="00F552C3" w:rsidRPr="005C5BCF">
        <w:t>—</w:t>
      </w:r>
      <w:r w:rsidR="000D3429" w:rsidRPr="004B05AA">
        <w:rPr>
          <w:u w:val="single"/>
        </w:rPr>
        <w:t>Heat Tolerance Level</w:t>
      </w:r>
    </w:p>
    <w:p w:rsidR="00BA32A8" w:rsidRPr="005C5BCF" w:rsidRDefault="000D3429" w:rsidP="00C24556">
      <w:pPr>
        <w:shd w:val="clear" w:color="auto" w:fill="E2EFD9" w:themeFill="accent6" w:themeFillTint="33"/>
      </w:pPr>
      <w:r w:rsidRPr="005C5BCF">
        <w:t>As an interim measure, industry should adopt Table 1</w:t>
      </w:r>
      <w:r w:rsidR="005C5BCF">
        <w:t xml:space="preserve"> </w:t>
      </w:r>
      <w:r w:rsidR="008A44CC" w:rsidRPr="005C5BCF">
        <w:t>(of this review)—</w:t>
      </w:r>
      <w:r w:rsidR="002C7F6C">
        <w:t>‘</w:t>
      </w:r>
      <w:r w:rsidRPr="005C5BCF">
        <w:t>An amalgamation of heat stress indicators</w:t>
      </w:r>
      <w:r w:rsidR="002C7F6C">
        <w:t>’ to determine the acceptable heat tolerance level</w:t>
      </w:r>
      <w:r w:rsidRPr="005C5BCF">
        <w:t>.</w:t>
      </w:r>
    </w:p>
    <w:p w:rsidR="003A632D" w:rsidRPr="005C5BCF" w:rsidRDefault="003A632D" w:rsidP="00C24556">
      <w:pPr>
        <w:spacing w:after="0"/>
      </w:pPr>
    </w:p>
    <w:p w:rsidR="00C24556" w:rsidRDefault="00C24556">
      <w:pPr>
        <w:autoSpaceDE/>
        <w:autoSpaceDN/>
        <w:adjustRightInd/>
        <w:spacing w:after="0"/>
        <w:ind w:left="0"/>
        <w:jc w:val="left"/>
        <w:rPr>
          <w:b/>
        </w:rPr>
      </w:pPr>
      <w:r>
        <w:rPr>
          <w:b/>
        </w:rPr>
        <w:br w:type="page"/>
      </w:r>
    </w:p>
    <w:p w:rsidR="00BA32A8" w:rsidRPr="005C5BCF" w:rsidRDefault="00BA32A8" w:rsidP="00C24556">
      <w:pPr>
        <w:shd w:val="clear" w:color="auto" w:fill="E2EFD9" w:themeFill="accent6" w:themeFillTint="33"/>
      </w:pPr>
      <w:r w:rsidRPr="005C5BCF">
        <w:rPr>
          <w:b/>
        </w:rPr>
        <w:t>Recommendation 7</w:t>
      </w:r>
      <w:r w:rsidR="00F552C3" w:rsidRPr="005C5BCF">
        <w:t>—</w:t>
      </w:r>
      <w:r w:rsidR="000D3429" w:rsidRPr="004B05AA">
        <w:rPr>
          <w:u w:val="single"/>
        </w:rPr>
        <w:t>H</w:t>
      </w:r>
      <w:r w:rsidR="008C72A3" w:rsidRPr="004B05AA">
        <w:rPr>
          <w:u w:val="single"/>
        </w:rPr>
        <w:t>eat Stress Risk Assessment</w:t>
      </w:r>
    </w:p>
    <w:p w:rsidR="00BA32A8" w:rsidRPr="005C5BCF" w:rsidRDefault="000D3429" w:rsidP="00C24556">
      <w:pPr>
        <w:shd w:val="clear" w:color="auto" w:fill="E2EFD9" w:themeFill="accent6" w:themeFillTint="33"/>
      </w:pPr>
      <w:r w:rsidRPr="005C5BCF">
        <w:t xml:space="preserve">A future version of the industry </w:t>
      </w:r>
      <w:r w:rsidR="00020C71">
        <w:t>HSRA</w:t>
      </w:r>
      <w:r w:rsidRPr="005C5BCF">
        <w:t xml:space="preserve"> model to be developed, adopted and used by industry during the northern </w:t>
      </w:r>
      <w:r w:rsidR="00971D49">
        <w:t xml:space="preserve">hemisphere </w:t>
      </w:r>
      <w:r w:rsidRPr="005C5BCF">
        <w:t xml:space="preserve">summer of 2019 should </w:t>
      </w:r>
      <w:r w:rsidR="002C7F6C">
        <w:t xml:space="preserve">have the capacity to </w:t>
      </w:r>
      <w:r w:rsidRPr="005C5BCF">
        <w:t>assess:</w:t>
      </w:r>
    </w:p>
    <w:p w:rsidR="000D3429" w:rsidRPr="005C5BCF" w:rsidRDefault="000D3429" w:rsidP="00C24556">
      <w:pPr>
        <w:shd w:val="clear" w:color="auto" w:fill="E2EFD9" w:themeFill="accent6" w:themeFillTint="33"/>
      </w:pPr>
      <w:r w:rsidRPr="005C5BCF">
        <w:t xml:space="preserve">a) the duration of time that sheep are exposed to high heat loads without </w:t>
      </w:r>
      <w:r w:rsidR="005660F1">
        <w:t>respite</w:t>
      </w:r>
    </w:p>
    <w:p w:rsidR="008A44CC" w:rsidRPr="005C5BCF" w:rsidRDefault="002C7F6C" w:rsidP="00C24556">
      <w:pPr>
        <w:shd w:val="clear" w:color="auto" w:fill="E2EFD9" w:themeFill="accent6" w:themeFillTint="33"/>
      </w:pPr>
      <w:r>
        <w:t>b) ventilation design</w:t>
      </w:r>
      <w:r w:rsidR="000D3429" w:rsidRPr="005C5BCF">
        <w:t xml:space="preserve"> rather than assessing risk based on airflow alone</w:t>
      </w:r>
    </w:p>
    <w:p w:rsidR="005C5BCF" w:rsidRDefault="002C7F6C" w:rsidP="00C24556">
      <w:pPr>
        <w:shd w:val="clear" w:color="auto" w:fill="E2EFD9" w:themeFill="accent6" w:themeFillTint="33"/>
      </w:pPr>
      <w:r>
        <w:t>In addition, t</w:t>
      </w:r>
      <w:r w:rsidR="008A44CC" w:rsidRPr="005C5BCF">
        <w:t>he way in which the model manages open decks</w:t>
      </w:r>
      <w:r>
        <w:t xml:space="preserve"> should be reviewed</w:t>
      </w:r>
      <w:r w:rsidR="000D3429" w:rsidRPr="005C5BCF">
        <w:t>.</w:t>
      </w:r>
    </w:p>
    <w:p w:rsidR="00C24556" w:rsidRDefault="00C24556" w:rsidP="00C24556">
      <w:pPr>
        <w:spacing w:after="0"/>
      </w:pPr>
    </w:p>
    <w:p w:rsidR="00BA32A8" w:rsidRPr="005C5BCF" w:rsidRDefault="00BA32A8" w:rsidP="00C24556">
      <w:pPr>
        <w:shd w:val="clear" w:color="auto" w:fill="E2EFD9" w:themeFill="accent6" w:themeFillTint="33"/>
        <w:rPr>
          <w:b/>
        </w:rPr>
      </w:pPr>
      <w:r w:rsidRPr="005C5BCF">
        <w:rPr>
          <w:b/>
        </w:rPr>
        <w:t xml:space="preserve">Recommendation </w:t>
      </w:r>
      <w:r w:rsidR="00526643">
        <w:rPr>
          <w:b/>
        </w:rPr>
        <w:t>8</w:t>
      </w:r>
      <w:r w:rsidR="008C72A3" w:rsidRPr="005C5BCF">
        <w:t>—</w:t>
      </w:r>
      <w:r w:rsidR="008C72A3" w:rsidRPr="004B05AA">
        <w:rPr>
          <w:u w:val="single"/>
        </w:rPr>
        <w:t>Heat Stress Risk Assessment</w:t>
      </w:r>
    </w:p>
    <w:p w:rsidR="00BA32A8" w:rsidRPr="005C5BCF" w:rsidRDefault="000D3429" w:rsidP="00C24556">
      <w:pPr>
        <w:shd w:val="clear" w:color="auto" w:fill="E2EFD9" w:themeFill="accent6" w:themeFillTint="33"/>
      </w:pPr>
      <w:r w:rsidRPr="005C5BCF">
        <w:t xml:space="preserve">A future version of the industry heat stress risk assessment model to be developed, adopted and used by industry during the northern </w:t>
      </w:r>
      <w:r w:rsidR="00971D49">
        <w:t xml:space="preserve">hemisphere </w:t>
      </w:r>
      <w:r w:rsidRPr="005C5BCF">
        <w:t>summer of 2019 should reassess:</w:t>
      </w:r>
    </w:p>
    <w:p w:rsidR="000D3429" w:rsidRPr="005C5BCF" w:rsidRDefault="000D3429" w:rsidP="00C24556">
      <w:pPr>
        <w:shd w:val="clear" w:color="auto" w:fill="E2EFD9" w:themeFill="accent6" w:themeFillTint="33"/>
      </w:pPr>
      <w:r w:rsidRPr="00B01EBD">
        <w:t xml:space="preserve">a) </w:t>
      </w:r>
      <w:r w:rsidR="00B01EBD" w:rsidRPr="00B01EBD">
        <w:t xml:space="preserve">the </w:t>
      </w:r>
      <w:r w:rsidRPr="00B01EBD">
        <w:t>‘heat tolerance</w:t>
      </w:r>
      <w:r w:rsidR="002C7F6C" w:rsidRPr="00B01EBD">
        <w:t>’</w:t>
      </w:r>
      <w:r w:rsidRPr="00B01EBD">
        <w:t xml:space="preserve"> leve</w:t>
      </w:r>
      <w:r w:rsidR="007551BD" w:rsidRPr="00B01EBD">
        <w:t>l</w:t>
      </w:r>
    </w:p>
    <w:p w:rsidR="000D3429" w:rsidRPr="005C5BCF" w:rsidRDefault="000D3429" w:rsidP="00C24556">
      <w:pPr>
        <w:shd w:val="clear" w:color="auto" w:fill="E2EFD9" w:themeFill="accent6" w:themeFillTint="33"/>
      </w:pPr>
      <w:r w:rsidRPr="005C5BCF">
        <w:t>b) the probability risk settings.</w:t>
      </w:r>
    </w:p>
    <w:p w:rsidR="00BA32A8" w:rsidRPr="005C5BCF" w:rsidRDefault="00BA32A8" w:rsidP="00C24556">
      <w:pPr>
        <w:spacing w:after="0"/>
      </w:pPr>
    </w:p>
    <w:p w:rsidR="00BA32A8" w:rsidRPr="005C5BCF" w:rsidRDefault="00BA32A8" w:rsidP="00C24556">
      <w:pPr>
        <w:shd w:val="clear" w:color="auto" w:fill="E2EFD9" w:themeFill="accent6" w:themeFillTint="33"/>
        <w:rPr>
          <w:u w:val="single"/>
        </w:rPr>
      </w:pPr>
      <w:r w:rsidRPr="005C5BCF">
        <w:rPr>
          <w:b/>
        </w:rPr>
        <w:t xml:space="preserve">Recommendation </w:t>
      </w:r>
      <w:r w:rsidR="00526643">
        <w:rPr>
          <w:b/>
        </w:rPr>
        <w:t>9</w:t>
      </w:r>
      <w:r w:rsidR="00F552C3" w:rsidRPr="005C5BCF">
        <w:t>—</w:t>
      </w:r>
      <w:r w:rsidR="006F4936" w:rsidRPr="005C5BCF">
        <w:rPr>
          <w:u w:val="single"/>
        </w:rPr>
        <w:t>Pen Air Turnover</w:t>
      </w:r>
    </w:p>
    <w:p w:rsidR="00BA32A8" w:rsidRPr="005C5BCF" w:rsidRDefault="000D3429" w:rsidP="00C24556">
      <w:pPr>
        <w:shd w:val="clear" w:color="auto" w:fill="E2EFD9" w:themeFill="accent6" w:themeFillTint="33"/>
      </w:pPr>
      <w:r w:rsidRPr="005C5BCF">
        <w:t xml:space="preserve">The report strongly supports the recommendation from the ASEL Review Technical Advisory Committee that a vessel’s pen air turnover be independently audited before travelling to the Middle East in the 2018 northern </w:t>
      </w:r>
      <w:r w:rsidR="00971D49">
        <w:t xml:space="preserve">hemisphere </w:t>
      </w:r>
      <w:r w:rsidRPr="005C5BCF">
        <w:t>summer.</w:t>
      </w:r>
    </w:p>
    <w:p w:rsidR="00BA32A8" w:rsidRPr="005C5BCF" w:rsidRDefault="00BA32A8" w:rsidP="00C24556">
      <w:pPr>
        <w:spacing w:after="0"/>
      </w:pPr>
    </w:p>
    <w:p w:rsidR="00BA32A8" w:rsidRPr="005C5BCF" w:rsidRDefault="00526643" w:rsidP="00C24556">
      <w:pPr>
        <w:shd w:val="clear" w:color="auto" w:fill="E2EFD9" w:themeFill="accent6" w:themeFillTint="33"/>
      </w:pPr>
      <w:r>
        <w:rPr>
          <w:b/>
        </w:rPr>
        <w:t>Recommendation 10</w:t>
      </w:r>
      <w:r w:rsidR="00F552C3" w:rsidRPr="005C5BCF">
        <w:t>—</w:t>
      </w:r>
      <w:r w:rsidR="00CE3484" w:rsidRPr="004B05AA">
        <w:rPr>
          <w:u w:val="single"/>
        </w:rPr>
        <w:t>Register of vessels</w:t>
      </w:r>
    </w:p>
    <w:p w:rsidR="00BA32A8" w:rsidRPr="005C5BCF" w:rsidRDefault="002C7F6C" w:rsidP="00C24556">
      <w:pPr>
        <w:shd w:val="clear" w:color="auto" w:fill="E2EFD9" w:themeFill="accent6" w:themeFillTint="33"/>
      </w:pPr>
      <w:r>
        <w:t>A</w:t>
      </w:r>
      <w:r w:rsidR="008C72A3">
        <w:t xml:space="preserve"> relevant government agency</w:t>
      </w:r>
      <w:r w:rsidR="000D3429" w:rsidRPr="005C5BCF">
        <w:t xml:space="preserve"> should maintain a register of vessels whose</w:t>
      </w:r>
      <w:r w:rsidR="00020C71">
        <w:t xml:space="preserve"> pen air turnover</w:t>
      </w:r>
      <w:r w:rsidR="000D3429" w:rsidRPr="005C5BCF">
        <w:t xml:space="preserve"> </w:t>
      </w:r>
      <w:r w:rsidR="00020C71">
        <w:t>(</w:t>
      </w:r>
      <w:r w:rsidR="000D3429" w:rsidRPr="005C5BCF">
        <w:t>PAT</w:t>
      </w:r>
      <w:r w:rsidR="00020C71">
        <w:t>)</w:t>
      </w:r>
      <w:r w:rsidR="000D3429" w:rsidRPr="005C5BCF">
        <w:t xml:space="preserve"> information has been certified following auditing and verification.</w:t>
      </w:r>
    </w:p>
    <w:p w:rsidR="00BA32A8" w:rsidRPr="005C5BCF" w:rsidRDefault="00BA32A8" w:rsidP="00C24556">
      <w:pPr>
        <w:spacing w:after="0"/>
      </w:pPr>
    </w:p>
    <w:p w:rsidR="00BA32A8" w:rsidRPr="005C5BCF" w:rsidRDefault="00BA32A8" w:rsidP="00C24556">
      <w:pPr>
        <w:shd w:val="clear" w:color="auto" w:fill="E2EFD9" w:themeFill="accent6" w:themeFillTint="33"/>
      </w:pPr>
      <w:r w:rsidRPr="005C5BCF">
        <w:rPr>
          <w:b/>
        </w:rPr>
        <w:t>Recommendation 1</w:t>
      </w:r>
      <w:r w:rsidR="00526643">
        <w:rPr>
          <w:b/>
        </w:rPr>
        <w:t>1</w:t>
      </w:r>
      <w:r w:rsidR="00F552C3" w:rsidRPr="005C5BCF">
        <w:t>—</w:t>
      </w:r>
      <w:r w:rsidR="006F4936" w:rsidRPr="004B05AA">
        <w:rPr>
          <w:u w:val="single"/>
        </w:rPr>
        <w:t>Verification of PAT information</w:t>
      </w:r>
    </w:p>
    <w:p w:rsidR="00BA32A8" w:rsidRPr="005C5BCF" w:rsidRDefault="000D3429" w:rsidP="00C24556">
      <w:pPr>
        <w:shd w:val="clear" w:color="auto" w:fill="E2EFD9" w:themeFill="accent6" w:themeFillTint="33"/>
      </w:pPr>
      <w:r w:rsidRPr="005C5BCF">
        <w:t xml:space="preserve">It </w:t>
      </w:r>
      <w:r w:rsidR="008A44CC" w:rsidRPr="005C5BCF">
        <w:t xml:space="preserve">would </w:t>
      </w:r>
      <w:r w:rsidRPr="005C5BCF">
        <w:t xml:space="preserve">be a condition of an approved arrangement that all livestock vessel’s PAT information has been independently verified where the vessel is destined for the Middle East during the northern </w:t>
      </w:r>
      <w:r w:rsidR="00971D49">
        <w:t xml:space="preserve">hemisphere </w:t>
      </w:r>
      <w:r w:rsidRPr="005C5BCF">
        <w:t>summer.</w:t>
      </w:r>
    </w:p>
    <w:p w:rsidR="00BA32A8" w:rsidRPr="005C5BCF" w:rsidRDefault="00BA32A8" w:rsidP="00C24556">
      <w:pPr>
        <w:spacing w:after="0"/>
      </w:pPr>
    </w:p>
    <w:p w:rsidR="00BA32A8" w:rsidRPr="005C5BCF" w:rsidRDefault="00526643" w:rsidP="00C24556">
      <w:pPr>
        <w:shd w:val="clear" w:color="auto" w:fill="E2EFD9" w:themeFill="accent6" w:themeFillTint="33"/>
      </w:pPr>
      <w:r>
        <w:rPr>
          <w:b/>
        </w:rPr>
        <w:t>Recommendation 12</w:t>
      </w:r>
      <w:r w:rsidR="00F552C3" w:rsidRPr="005C5BCF">
        <w:t>—</w:t>
      </w:r>
      <w:r w:rsidR="006F4936" w:rsidRPr="004B05AA">
        <w:rPr>
          <w:u w:val="single"/>
        </w:rPr>
        <w:t>Curfew adjustments for stocking density</w:t>
      </w:r>
    </w:p>
    <w:p w:rsidR="00BA32A8" w:rsidRPr="005C5BCF" w:rsidRDefault="000D3429" w:rsidP="00C24556">
      <w:pPr>
        <w:shd w:val="clear" w:color="auto" w:fill="E2EFD9" w:themeFill="accent6" w:themeFillTint="33"/>
      </w:pPr>
      <w:r w:rsidRPr="005C5BCF">
        <w:t>The weight of animals for the purposes of stocking density should specify curfew and a</w:t>
      </w:r>
      <w:r w:rsidR="002C7F6C">
        <w:t>djustments should be made to reflect</w:t>
      </w:r>
      <w:r w:rsidR="00326D3A">
        <w:t xml:space="preserve"> a 12-</w:t>
      </w:r>
      <w:r w:rsidR="002C7F6C">
        <w:t xml:space="preserve">hour curfew (i.e. the livestock </w:t>
      </w:r>
      <w:r w:rsidRPr="005C5BCF">
        <w:t>industry standard</w:t>
      </w:r>
      <w:r w:rsidR="002C7F6C">
        <w:t>)</w:t>
      </w:r>
      <w:r w:rsidRPr="005C5BCF">
        <w:t>.</w:t>
      </w:r>
    </w:p>
    <w:p w:rsidR="00BA32A8" w:rsidRPr="005C5BCF" w:rsidRDefault="00BA32A8" w:rsidP="00C24556">
      <w:pPr>
        <w:spacing w:after="0"/>
      </w:pPr>
    </w:p>
    <w:p w:rsidR="00C3346B" w:rsidRDefault="00C3346B">
      <w:pPr>
        <w:autoSpaceDE/>
        <w:autoSpaceDN/>
        <w:adjustRightInd/>
        <w:spacing w:after="0"/>
        <w:ind w:left="0"/>
        <w:jc w:val="left"/>
        <w:rPr>
          <w:b/>
        </w:rPr>
      </w:pPr>
      <w:r>
        <w:rPr>
          <w:b/>
        </w:rPr>
        <w:br w:type="page"/>
      </w:r>
    </w:p>
    <w:p w:rsidR="00BA32A8" w:rsidRPr="005C5BCF" w:rsidRDefault="00BA32A8" w:rsidP="00C24556">
      <w:pPr>
        <w:shd w:val="clear" w:color="auto" w:fill="E2EFD9" w:themeFill="accent6" w:themeFillTint="33"/>
      </w:pPr>
      <w:r w:rsidRPr="005C5BCF">
        <w:rPr>
          <w:b/>
        </w:rPr>
        <w:t>Recommendation 1</w:t>
      </w:r>
      <w:r w:rsidR="00526643">
        <w:rPr>
          <w:b/>
        </w:rPr>
        <w:t>3</w:t>
      </w:r>
      <w:r w:rsidR="00F552C3" w:rsidRPr="005C5BCF">
        <w:t>—</w:t>
      </w:r>
      <w:r w:rsidR="006F4936" w:rsidRPr="004B05AA">
        <w:rPr>
          <w:u w:val="single"/>
        </w:rPr>
        <w:t>Compliant loading of animals</w:t>
      </w:r>
    </w:p>
    <w:p w:rsidR="00BA32A8" w:rsidRPr="005C5BCF" w:rsidRDefault="00A6562E" w:rsidP="00C24556">
      <w:pPr>
        <w:shd w:val="clear" w:color="auto" w:fill="E2EFD9" w:themeFill="accent6" w:themeFillTint="33"/>
      </w:pPr>
      <w:r>
        <w:t>Authorised</w:t>
      </w:r>
      <w:r w:rsidR="000D3429" w:rsidRPr="005C5BCF">
        <w:t xml:space="preserve"> officers should check and verify the weights of sufficient animals to be satisfied that the vessel is to be or has been loaded </w:t>
      </w:r>
      <w:r w:rsidR="00305002">
        <w:t xml:space="preserve">in a way that is </w:t>
      </w:r>
      <w:r w:rsidR="000D3429" w:rsidRPr="005C5BCF">
        <w:t xml:space="preserve">consistent with a compliant heat </w:t>
      </w:r>
      <w:r w:rsidR="00305002">
        <w:t xml:space="preserve">stress risk assessment and ASEL. This </w:t>
      </w:r>
      <w:r>
        <w:t>may</w:t>
      </w:r>
      <w:r w:rsidR="00305002">
        <w:t xml:space="preserve"> be conducted </w:t>
      </w:r>
      <w:r w:rsidR="000D3429" w:rsidRPr="005C5BCF">
        <w:t>at any point in the supply chain.</w:t>
      </w:r>
    </w:p>
    <w:p w:rsidR="00BA32A8" w:rsidRPr="005C5BCF" w:rsidRDefault="00BA32A8" w:rsidP="00C24556">
      <w:pPr>
        <w:spacing w:after="0"/>
      </w:pPr>
    </w:p>
    <w:p w:rsidR="00BA32A8" w:rsidRPr="005C5BCF" w:rsidRDefault="00BA32A8" w:rsidP="00C24556">
      <w:pPr>
        <w:shd w:val="clear" w:color="auto" w:fill="E2EFD9" w:themeFill="accent6" w:themeFillTint="33"/>
        <w:rPr>
          <w:u w:val="single"/>
        </w:rPr>
      </w:pPr>
      <w:r w:rsidRPr="00C24556">
        <w:rPr>
          <w:b/>
        </w:rPr>
        <w:t>Recommendation 1</w:t>
      </w:r>
      <w:r w:rsidR="00526643">
        <w:rPr>
          <w:b/>
        </w:rPr>
        <w:t>4</w:t>
      </w:r>
      <w:r w:rsidR="00F552C3" w:rsidRPr="005C5BCF">
        <w:t>—</w:t>
      </w:r>
      <w:r w:rsidR="006F4936" w:rsidRPr="005C5BCF">
        <w:rPr>
          <w:u w:val="single"/>
        </w:rPr>
        <w:t>Use of sawdust</w:t>
      </w:r>
    </w:p>
    <w:p w:rsidR="00BA32A8" w:rsidRPr="005C5BCF" w:rsidRDefault="000D3429" w:rsidP="00C24556">
      <w:pPr>
        <w:shd w:val="clear" w:color="auto" w:fill="E2EFD9" w:themeFill="accent6" w:themeFillTint="33"/>
      </w:pPr>
      <w:r w:rsidRPr="005C5BCF">
        <w:t>There is no need for sawdust for bedding under normal circumstances on sheep voyages but the use of sawdust strategically before and</w:t>
      </w:r>
      <w:r w:rsidR="00AA1394" w:rsidRPr="005C5BCF">
        <w:t>/or</w:t>
      </w:r>
      <w:r w:rsidRPr="005C5BCF">
        <w:t xml:space="preserve"> during the voyage should be included in an exporter’s heat stress management plan, if required, for targeted areas on the vessel.</w:t>
      </w:r>
    </w:p>
    <w:p w:rsidR="00BA32A8" w:rsidRPr="005C5BCF" w:rsidRDefault="00BA32A8" w:rsidP="00C24556">
      <w:pPr>
        <w:spacing w:after="0"/>
      </w:pPr>
    </w:p>
    <w:p w:rsidR="00BA32A8" w:rsidRPr="005C5BCF" w:rsidRDefault="00BA32A8" w:rsidP="00C24556">
      <w:pPr>
        <w:shd w:val="clear" w:color="auto" w:fill="E2EFD9" w:themeFill="accent6" w:themeFillTint="33"/>
        <w:rPr>
          <w:u w:val="single"/>
        </w:rPr>
      </w:pPr>
      <w:r w:rsidRPr="003A25B2">
        <w:rPr>
          <w:b/>
        </w:rPr>
        <w:t>Recommendation 1</w:t>
      </w:r>
      <w:r w:rsidR="00526643">
        <w:rPr>
          <w:b/>
        </w:rPr>
        <w:t>5</w:t>
      </w:r>
      <w:r w:rsidR="00F552C3" w:rsidRPr="005C5BCF">
        <w:t>—</w:t>
      </w:r>
      <w:r w:rsidR="00354828" w:rsidRPr="005C5BCF">
        <w:rPr>
          <w:u w:val="single"/>
        </w:rPr>
        <w:t>Purchase lines</w:t>
      </w:r>
    </w:p>
    <w:p w:rsidR="00BA32A8" w:rsidRDefault="000D3429" w:rsidP="00C24556">
      <w:pPr>
        <w:shd w:val="clear" w:color="auto" w:fill="E2EFD9" w:themeFill="accent6" w:themeFillTint="33"/>
      </w:pPr>
      <w:r w:rsidRPr="005C5BCF">
        <w:t>Both the</w:t>
      </w:r>
      <w:r w:rsidR="00C3304D" w:rsidRPr="005C5BCF">
        <w:t xml:space="preserve"> Australian Government Accredited Veterinarian (</w:t>
      </w:r>
      <w:r w:rsidRPr="005C5BCF">
        <w:t>AAV</w:t>
      </w:r>
      <w:r w:rsidR="00C3304D" w:rsidRPr="005C5BCF">
        <w:t>)</w:t>
      </w:r>
      <w:r w:rsidRPr="005C5BCF">
        <w:t xml:space="preserve"> and the Independent Observer (IO) should be given information regarding the purchase lines of all sheep included in the consignment</w:t>
      </w:r>
      <w:r w:rsidR="00AA1394" w:rsidRPr="005C5BCF">
        <w:t xml:space="preserve"> (i.e. the denominator) to identify ‘line effe</w:t>
      </w:r>
      <w:r w:rsidR="00CE3484">
        <w:t>cts’ within the mortality pattern</w:t>
      </w:r>
      <w:r w:rsidR="00AA1394" w:rsidRPr="005C5BCF">
        <w:t xml:space="preserve"> on board</w:t>
      </w:r>
      <w:r w:rsidRPr="005C5BCF">
        <w:t>. This can be encoded if confidentially is an issue. Line effects identified over the course of the voyage shou</w:t>
      </w:r>
      <w:r w:rsidR="00305002">
        <w:t>ld be investigated once the voyage has been completed</w:t>
      </w:r>
      <w:r w:rsidR="006D560B" w:rsidRPr="005C5BCF">
        <w:t>.</w:t>
      </w:r>
    </w:p>
    <w:p w:rsidR="00760BFB" w:rsidRPr="005C5BCF" w:rsidRDefault="00760BFB" w:rsidP="00C24556">
      <w:pPr>
        <w:spacing w:after="0"/>
      </w:pPr>
    </w:p>
    <w:p w:rsidR="00BA32A8" w:rsidRPr="005C5BCF" w:rsidRDefault="00BA32A8" w:rsidP="00C24556">
      <w:pPr>
        <w:shd w:val="clear" w:color="auto" w:fill="E2EFD9" w:themeFill="accent6" w:themeFillTint="33"/>
      </w:pPr>
      <w:r w:rsidRPr="005C5BCF">
        <w:rPr>
          <w:b/>
        </w:rPr>
        <w:t>Recommendation 1</w:t>
      </w:r>
      <w:r w:rsidR="00526643">
        <w:rPr>
          <w:b/>
        </w:rPr>
        <w:t>6</w:t>
      </w:r>
      <w:r w:rsidR="00F552C3" w:rsidRPr="005C5BCF">
        <w:t>—</w:t>
      </w:r>
      <w:r w:rsidR="00354828" w:rsidRPr="004B05AA">
        <w:rPr>
          <w:u w:val="single"/>
        </w:rPr>
        <w:t>Roles and responsibilities</w:t>
      </w:r>
      <w:r w:rsidR="00354828" w:rsidRPr="005C5BCF">
        <w:t xml:space="preserve"> </w:t>
      </w:r>
    </w:p>
    <w:p w:rsidR="00BA32A8" w:rsidRPr="005C5BCF" w:rsidRDefault="00305002" w:rsidP="00C24556">
      <w:pPr>
        <w:shd w:val="clear" w:color="auto" w:fill="E2EFD9" w:themeFill="accent6" w:themeFillTint="33"/>
      </w:pPr>
      <w:r>
        <w:t xml:space="preserve">With the advent of </w:t>
      </w:r>
      <w:r w:rsidR="007E17D7">
        <w:t>IOs</w:t>
      </w:r>
      <w:r>
        <w:t>, a</w:t>
      </w:r>
      <w:r w:rsidR="000D3429" w:rsidRPr="005C5BCF">
        <w:t xml:space="preserve"> taskforce should be established to determine the roles and responsibilities of AAVs, IOs and accredited stockmen. This </w:t>
      </w:r>
      <w:r w:rsidR="008C72A3">
        <w:t xml:space="preserve">responsibility </w:t>
      </w:r>
      <w:r w:rsidR="000D3429" w:rsidRPr="005C5BCF">
        <w:t xml:space="preserve">may fall to the ASEL </w:t>
      </w:r>
      <w:r w:rsidR="004E5A3C" w:rsidRPr="005C5BCF">
        <w:t>Review Technical Advisory Committee</w:t>
      </w:r>
      <w:r w:rsidR="000D3429" w:rsidRPr="005C5BCF">
        <w:t>.</w:t>
      </w:r>
    </w:p>
    <w:p w:rsidR="00BA32A8" w:rsidRPr="005C5BCF" w:rsidRDefault="00BA32A8" w:rsidP="00C24556">
      <w:pPr>
        <w:spacing w:after="0"/>
      </w:pPr>
    </w:p>
    <w:p w:rsidR="00BA32A8" w:rsidRPr="005C5BCF" w:rsidRDefault="00BA32A8" w:rsidP="00C24556">
      <w:pPr>
        <w:shd w:val="clear" w:color="auto" w:fill="E2EFD9" w:themeFill="accent6" w:themeFillTint="33"/>
        <w:rPr>
          <w:u w:val="single"/>
        </w:rPr>
      </w:pPr>
      <w:r w:rsidRPr="005C5BCF">
        <w:rPr>
          <w:b/>
        </w:rPr>
        <w:t>Recommendation 1</w:t>
      </w:r>
      <w:r w:rsidR="00526643">
        <w:rPr>
          <w:b/>
        </w:rPr>
        <w:t>7</w:t>
      </w:r>
      <w:r w:rsidR="00F552C3" w:rsidRPr="005C5BCF">
        <w:t>—</w:t>
      </w:r>
      <w:r w:rsidR="00354828" w:rsidRPr="005C5BCF">
        <w:rPr>
          <w:u w:val="single"/>
        </w:rPr>
        <w:t>Animal carcasses</w:t>
      </w:r>
    </w:p>
    <w:p w:rsidR="00BA32A8" w:rsidRPr="005C5BCF" w:rsidRDefault="000D3429" w:rsidP="00C24556">
      <w:pPr>
        <w:shd w:val="clear" w:color="auto" w:fill="E2EFD9" w:themeFill="accent6" w:themeFillTint="33"/>
      </w:pPr>
      <w:r w:rsidRPr="005C5BCF">
        <w:t>All livestock vess</w:t>
      </w:r>
      <w:r w:rsidR="00326D3A">
        <w:t>els traveling to the designated special zones in the Middle East</w:t>
      </w:r>
      <w:r w:rsidRPr="005C5BCF">
        <w:t xml:space="preserve"> during the northern </w:t>
      </w:r>
      <w:r w:rsidR="00971D49">
        <w:t xml:space="preserve">hemisphere </w:t>
      </w:r>
      <w:r w:rsidRPr="005C5BCF">
        <w:t xml:space="preserve">summer should be equipped with a serviceable hogger </w:t>
      </w:r>
      <w:r w:rsidR="00114784">
        <w:t xml:space="preserve">and/or </w:t>
      </w:r>
      <w:r w:rsidRPr="005C5BCF">
        <w:t>a refrigerated container</w:t>
      </w:r>
      <w:r w:rsidR="00AA1394" w:rsidRPr="005C5BCF">
        <w:t xml:space="preserve"> of suitable size</w:t>
      </w:r>
      <w:r w:rsidRPr="005C5BCF">
        <w:t xml:space="preserve"> to hold animal carcasses whilst in port</w:t>
      </w:r>
      <w:r w:rsidR="00AA1394" w:rsidRPr="005C5BCF">
        <w:t xml:space="preserve"> (or at sea if required)</w:t>
      </w:r>
      <w:r w:rsidRPr="005C5BCF">
        <w:t>. This requirement should be included in an approved arrangement and AMSA should be notified of the requirement.</w:t>
      </w:r>
    </w:p>
    <w:p w:rsidR="00BA32A8" w:rsidRPr="005C5BCF" w:rsidRDefault="00BA32A8" w:rsidP="00C24556">
      <w:pPr>
        <w:spacing w:after="0"/>
      </w:pPr>
    </w:p>
    <w:p w:rsidR="000D3429" w:rsidRPr="005C5BCF" w:rsidRDefault="000D3429" w:rsidP="00C24556">
      <w:pPr>
        <w:shd w:val="clear" w:color="auto" w:fill="E2EFD9" w:themeFill="accent6" w:themeFillTint="33"/>
      </w:pPr>
      <w:r w:rsidRPr="005C5BCF">
        <w:rPr>
          <w:b/>
        </w:rPr>
        <w:t>Recommendation 1</w:t>
      </w:r>
      <w:r w:rsidR="00526643">
        <w:rPr>
          <w:b/>
        </w:rPr>
        <w:t>8</w:t>
      </w:r>
      <w:r w:rsidR="00F552C3" w:rsidRPr="005C5BCF">
        <w:t>—</w:t>
      </w:r>
      <w:r w:rsidR="00354828" w:rsidRPr="004B05AA">
        <w:rPr>
          <w:u w:val="single"/>
        </w:rPr>
        <w:t>Reportable mortality level</w:t>
      </w:r>
    </w:p>
    <w:p w:rsidR="000D3429" w:rsidRPr="005C5BCF" w:rsidRDefault="000D3429" w:rsidP="00C24556">
      <w:pPr>
        <w:shd w:val="clear" w:color="auto" w:fill="E2EFD9" w:themeFill="accent6" w:themeFillTint="33"/>
      </w:pPr>
      <w:r w:rsidRPr="005C5BCF">
        <w:t>The reportable mortality level for sheep exported by sea to the Middle East should be reduced from 2% to 1</w:t>
      </w:r>
      <w:r w:rsidR="00A6562E">
        <w:t>%.</w:t>
      </w:r>
    </w:p>
    <w:p w:rsidR="000D3429" w:rsidRPr="005C5BCF" w:rsidRDefault="000D3429" w:rsidP="00C24556">
      <w:pPr>
        <w:spacing w:after="0"/>
      </w:pPr>
    </w:p>
    <w:p w:rsidR="00C3346B" w:rsidRDefault="00C3346B">
      <w:pPr>
        <w:autoSpaceDE/>
        <w:autoSpaceDN/>
        <w:adjustRightInd/>
        <w:spacing w:after="0"/>
        <w:ind w:left="0"/>
        <w:jc w:val="left"/>
      </w:pPr>
      <w:r>
        <w:br w:type="page"/>
      </w:r>
    </w:p>
    <w:p w:rsidR="000D3429" w:rsidRPr="005C5BCF" w:rsidRDefault="000D3429" w:rsidP="00C24556">
      <w:pPr>
        <w:shd w:val="clear" w:color="auto" w:fill="E2EFD9" w:themeFill="accent6" w:themeFillTint="33"/>
        <w:rPr>
          <w:u w:val="single"/>
        </w:rPr>
      </w:pPr>
      <w:r w:rsidRPr="003A25B2">
        <w:rPr>
          <w:b/>
        </w:rPr>
        <w:t>Recommendation 1</w:t>
      </w:r>
      <w:r w:rsidR="00526643">
        <w:rPr>
          <w:b/>
        </w:rPr>
        <w:t>9</w:t>
      </w:r>
      <w:r w:rsidR="00F552C3" w:rsidRPr="005C5BCF">
        <w:t>—</w:t>
      </w:r>
      <w:r w:rsidR="00354828" w:rsidRPr="005C5BCF">
        <w:rPr>
          <w:u w:val="single"/>
        </w:rPr>
        <w:t>Daily reporting</w:t>
      </w:r>
    </w:p>
    <w:p w:rsidR="000D3429" w:rsidRPr="005C5BCF" w:rsidRDefault="000D3429" w:rsidP="00C24556">
      <w:pPr>
        <w:shd w:val="clear" w:color="auto" w:fill="E2EFD9" w:themeFill="accent6" w:themeFillTint="33"/>
      </w:pPr>
      <w:r w:rsidRPr="005C5BCF">
        <w:t>The use of both a panting score and a heat stress score should be a mandatory requirement in the daily report. A training module may be required to ensure that score allocation is consistent across industry.</w:t>
      </w:r>
    </w:p>
    <w:p w:rsidR="000D3429" w:rsidRPr="005C5BCF" w:rsidRDefault="000D3429" w:rsidP="00C24556">
      <w:pPr>
        <w:spacing w:after="0"/>
      </w:pPr>
    </w:p>
    <w:p w:rsidR="000D3429" w:rsidRPr="005C5BCF" w:rsidRDefault="000D3429" w:rsidP="00C24556">
      <w:pPr>
        <w:shd w:val="clear" w:color="auto" w:fill="E2EFD9" w:themeFill="accent6" w:themeFillTint="33"/>
      </w:pPr>
      <w:r w:rsidRPr="005C5BCF">
        <w:rPr>
          <w:b/>
        </w:rPr>
        <w:t xml:space="preserve">Recommendation </w:t>
      </w:r>
      <w:r w:rsidR="00526643">
        <w:rPr>
          <w:b/>
        </w:rPr>
        <w:t>20</w:t>
      </w:r>
      <w:r w:rsidR="00F552C3" w:rsidRPr="005C5BCF">
        <w:t>—</w:t>
      </w:r>
      <w:r w:rsidR="00F552C3" w:rsidRPr="004B05AA">
        <w:rPr>
          <w:u w:val="single"/>
        </w:rPr>
        <w:t>Automated watering systems</w:t>
      </w:r>
    </w:p>
    <w:p w:rsidR="000D3429" w:rsidRPr="005C5BCF" w:rsidRDefault="000D3429" w:rsidP="00C24556">
      <w:pPr>
        <w:shd w:val="clear" w:color="auto" w:fill="E2EFD9" w:themeFill="accent6" w:themeFillTint="33"/>
      </w:pPr>
      <w:r w:rsidRPr="005C5BCF">
        <w:t xml:space="preserve">All vessels carrying sheep to the Middle East during the northern </w:t>
      </w:r>
      <w:r w:rsidR="00971D49">
        <w:t xml:space="preserve">hemisphere </w:t>
      </w:r>
      <w:r w:rsidRPr="005C5BCF">
        <w:t>summer should have automated livestock watering systems.</w:t>
      </w:r>
    </w:p>
    <w:p w:rsidR="000D3429" w:rsidRPr="005C5BCF" w:rsidRDefault="000D3429" w:rsidP="00C24556">
      <w:pPr>
        <w:spacing w:after="0"/>
      </w:pPr>
    </w:p>
    <w:p w:rsidR="000D3429" w:rsidRPr="005C5BCF" w:rsidRDefault="000D3429" w:rsidP="00C24556">
      <w:pPr>
        <w:shd w:val="clear" w:color="auto" w:fill="E2EFD9" w:themeFill="accent6" w:themeFillTint="33"/>
      </w:pPr>
      <w:r w:rsidRPr="005C5BCF">
        <w:rPr>
          <w:b/>
        </w:rPr>
        <w:t xml:space="preserve">Recommendation </w:t>
      </w:r>
      <w:r w:rsidR="00354828" w:rsidRPr="005C5BCF">
        <w:rPr>
          <w:b/>
        </w:rPr>
        <w:t>2</w:t>
      </w:r>
      <w:r w:rsidR="00526643">
        <w:rPr>
          <w:b/>
        </w:rPr>
        <w:t>1</w:t>
      </w:r>
      <w:r w:rsidR="00F552C3" w:rsidRPr="005C5BCF">
        <w:t>—</w:t>
      </w:r>
      <w:r w:rsidR="00354828" w:rsidRPr="004B05AA">
        <w:rPr>
          <w:u w:val="single"/>
        </w:rPr>
        <w:t>Heat Stress Management Plan</w:t>
      </w:r>
    </w:p>
    <w:p w:rsidR="000D3429" w:rsidRPr="005C5BCF" w:rsidRDefault="000D3429" w:rsidP="00C24556">
      <w:pPr>
        <w:shd w:val="clear" w:color="auto" w:fill="E2EFD9" w:themeFill="accent6" w:themeFillTint="33"/>
      </w:pPr>
      <w:r w:rsidRPr="005C5BCF">
        <w:t xml:space="preserve">A meaningful heat stress management plan could be a part of an exporter’s approved arrangement. This plan should address the contingencies outlined in this review. </w:t>
      </w:r>
    </w:p>
    <w:p w:rsidR="000D3429" w:rsidRPr="005C5BCF" w:rsidRDefault="000D3429" w:rsidP="00C24556">
      <w:pPr>
        <w:spacing w:after="0"/>
      </w:pPr>
    </w:p>
    <w:p w:rsidR="000D3429" w:rsidRPr="005C5BCF" w:rsidRDefault="000D3429" w:rsidP="00C24556">
      <w:pPr>
        <w:shd w:val="clear" w:color="auto" w:fill="E2EFD9" w:themeFill="accent6" w:themeFillTint="33"/>
      </w:pPr>
      <w:r w:rsidRPr="005C5BCF">
        <w:rPr>
          <w:b/>
        </w:rPr>
        <w:t xml:space="preserve">Recommendation </w:t>
      </w:r>
      <w:r w:rsidR="00354828" w:rsidRPr="005C5BCF">
        <w:rPr>
          <w:b/>
        </w:rPr>
        <w:t>2</w:t>
      </w:r>
      <w:r w:rsidR="00526643">
        <w:rPr>
          <w:b/>
        </w:rPr>
        <w:t>2</w:t>
      </w:r>
      <w:r w:rsidR="00F552C3" w:rsidRPr="005C5BCF">
        <w:t>—</w:t>
      </w:r>
      <w:r w:rsidR="00354828" w:rsidRPr="004B05AA">
        <w:rPr>
          <w:u w:val="single"/>
        </w:rPr>
        <w:t>First port of unloading</w:t>
      </w:r>
    </w:p>
    <w:p w:rsidR="000D3429" w:rsidRPr="005C5BCF" w:rsidRDefault="000D3429" w:rsidP="00C24556">
      <w:pPr>
        <w:shd w:val="clear" w:color="auto" w:fill="E2EFD9" w:themeFill="accent6" w:themeFillTint="33"/>
      </w:pPr>
      <w:r w:rsidRPr="005C5BCF">
        <w:t>Where Kuwait is one of the vessel’s destination ports, this should be the vessel’s first port of unloading.</w:t>
      </w:r>
    </w:p>
    <w:p w:rsidR="000D3429" w:rsidRPr="005C5BCF" w:rsidRDefault="000D3429" w:rsidP="00C24556">
      <w:pPr>
        <w:spacing w:after="0"/>
      </w:pPr>
    </w:p>
    <w:p w:rsidR="000D3429" w:rsidRPr="005C5BCF" w:rsidRDefault="000D3429" w:rsidP="00C24556">
      <w:pPr>
        <w:shd w:val="clear" w:color="auto" w:fill="E2EFD9" w:themeFill="accent6" w:themeFillTint="33"/>
      </w:pPr>
      <w:r w:rsidRPr="005C5BCF">
        <w:rPr>
          <w:b/>
        </w:rPr>
        <w:t xml:space="preserve">Recommendation </w:t>
      </w:r>
      <w:r w:rsidR="00354828" w:rsidRPr="005C5BCF">
        <w:rPr>
          <w:b/>
        </w:rPr>
        <w:t>2</w:t>
      </w:r>
      <w:r w:rsidR="00526643">
        <w:rPr>
          <w:b/>
        </w:rPr>
        <w:t>3</w:t>
      </w:r>
      <w:r w:rsidR="00F552C3" w:rsidRPr="005C5BCF">
        <w:t>—</w:t>
      </w:r>
      <w:r w:rsidR="00354828" w:rsidRPr="004B05AA">
        <w:rPr>
          <w:u w:val="single"/>
        </w:rPr>
        <w:t>Monitoring equipment</w:t>
      </w:r>
    </w:p>
    <w:p w:rsidR="000D3429" w:rsidRPr="005C5BCF" w:rsidRDefault="000D3429" w:rsidP="00C24556">
      <w:pPr>
        <w:shd w:val="clear" w:color="auto" w:fill="E2EFD9" w:themeFill="accent6" w:themeFillTint="33"/>
      </w:pPr>
      <w:r w:rsidRPr="005C5BCF">
        <w:t>All vessels travelling to the Middle East during the 2019 northern</w:t>
      </w:r>
      <w:r w:rsidR="00971D49">
        <w:t xml:space="preserve"> hemisphere</w:t>
      </w:r>
      <w:r w:rsidRPr="005C5BCF">
        <w:t xml:space="preserve"> summer and after should have automated continuous environmental monitoring equipment installed as a condition of any approved arrangement.</w:t>
      </w:r>
    </w:p>
    <w:p w:rsidR="00DC03C3" w:rsidRDefault="00DC03C3" w:rsidP="00C24556">
      <w:pPr>
        <w:rPr>
          <w:rFonts w:eastAsiaTheme="majorEastAsia" w:cstheme="majorBidi"/>
          <w:color w:val="000000" w:themeColor="text1"/>
          <w:sz w:val="32"/>
          <w:szCs w:val="32"/>
        </w:rPr>
      </w:pPr>
      <w:r>
        <w:br w:type="page"/>
      </w:r>
    </w:p>
    <w:p w:rsidR="00966E3E" w:rsidRDefault="00966E3E" w:rsidP="00C24556">
      <w:pPr>
        <w:pStyle w:val="Heading1"/>
      </w:pPr>
      <w:bookmarkStart w:id="5" w:name="_Toc513812191"/>
      <w:r>
        <w:t>Background</w:t>
      </w:r>
      <w:bookmarkEnd w:id="3"/>
      <w:bookmarkEnd w:id="5"/>
    </w:p>
    <w:p w:rsidR="00575C2B" w:rsidRPr="00575C2B" w:rsidRDefault="00575C2B" w:rsidP="00C24556">
      <w:r w:rsidRPr="00575C2B">
        <w:t xml:space="preserve">On 8 April 2018, the Nine Network aired footage provided </w:t>
      </w:r>
      <w:r>
        <w:t xml:space="preserve">by Animals Australia on the </w:t>
      </w:r>
      <w:r w:rsidRPr="00F831B3">
        <w:rPr>
          <w:i/>
        </w:rPr>
        <w:t>60 Minutes</w:t>
      </w:r>
      <w:r w:rsidRPr="00575C2B">
        <w:t xml:space="preserve"> program showing conditions aboard a live export vessel containing sheep bound for the Middle East over five voyages.</w:t>
      </w:r>
    </w:p>
    <w:p w:rsidR="00575C2B" w:rsidRPr="00575C2B" w:rsidRDefault="00575C2B" w:rsidP="00987374">
      <w:pPr>
        <w:spacing w:after="120"/>
      </w:pPr>
      <w:r w:rsidRPr="00575C2B">
        <w:t xml:space="preserve">The Department of Agriculture and Water Resources </w:t>
      </w:r>
      <w:r w:rsidR="00CE3484">
        <w:t xml:space="preserve">(the department) </w:t>
      </w:r>
      <w:r w:rsidRPr="00575C2B">
        <w:t xml:space="preserve">took immediate action to add an independent department veterinarian to an upcoming voyage to the Middle East as an observer, to monitor and record the health and welfare of the animals on board. The department also </w:t>
      </w:r>
      <w:r w:rsidR="00E63953">
        <w:t>applied</w:t>
      </w:r>
      <w:r w:rsidRPr="00575C2B">
        <w:t xml:space="preserve"> additional specific conditions for subsequent voyages including (but not limited to):</w:t>
      </w:r>
    </w:p>
    <w:p w:rsidR="00575C2B" w:rsidRDefault="00E63953" w:rsidP="00C24556">
      <w:pPr>
        <w:pStyle w:val="ListParagraph"/>
        <w:numPr>
          <w:ilvl w:val="0"/>
          <w:numId w:val="33"/>
        </w:numPr>
      </w:pPr>
      <w:r>
        <w:t xml:space="preserve">reduced stocking density and </w:t>
      </w:r>
      <w:r w:rsidR="00575C2B">
        <w:t>improved ventilation</w:t>
      </w:r>
    </w:p>
    <w:p w:rsidR="00575C2B" w:rsidRDefault="00575C2B" w:rsidP="00C24556">
      <w:pPr>
        <w:pStyle w:val="ListParagraph"/>
        <w:numPr>
          <w:ilvl w:val="0"/>
          <w:numId w:val="33"/>
        </w:numPr>
      </w:pPr>
      <w:r>
        <w:t>adding an additional accredited stockman on top of the current practice of two accredited stockman</w:t>
      </w:r>
    </w:p>
    <w:p w:rsidR="00575C2B" w:rsidRDefault="00575C2B" w:rsidP="00C24556">
      <w:pPr>
        <w:pStyle w:val="ListParagraph"/>
        <w:numPr>
          <w:ilvl w:val="0"/>
          <w:numId w:val="33"/>
        </w:numPr>
      </w:pPr>
      <w:r>
        <w:t>requiring the first port of discharge to be Kuwait when travelling to multiple Middle East</w:t>
      </w:r>
      <w:r w:rsidR="00E63953">
        <w:t>ern</w:t>
      </w:r>
      <w:r>
        <w:t xml:space="preserve"> ports, providing more space for remaining livestock heading towards higher humidity ports.</w:t>
      </w:r>
    </w:p>
    <w:p w:rsidR="00575C2B" w:rsidRPr="00575C2B" w:rsidRDefault="00575C2B" w:rsidP="00987374">
      <w:pPr>
        <w:spacing w:after="120"/>
      </w:pPr>
      <w:r w:rsidRPr="00575C2B">
        <w:t>The Hon David Littleproud MP, Minister for Agriculture and Water Resources announced a range of initiatives designed to increase transparency and culture within the live export industry and its regulation. These initiatives included:</w:t>
      </w:r>
    </w:p>
    <w:p w:rsidR="00575C2B" w:rsidRDefault="00575C2B" w:rsidP="00C24556">
      <w:pPr>
        <w:pStyle w:val="ListParagraph"/>
        <w:numPr>
          <w:ilvl w:val="0"/>
          <w:numId w:val="32"/>
        </w:numPr>
      </w:pPr>
      <w:r>
        <w:t>a whistleblower hotline to enable confidential reporting of suspected breaches</w:t>
      </w:r>
    </w:p>
    <w:p w:rsidR="00575C2B" w:rsidRDefault="00575C2B" w:rsidP="00C24556">
      <w:pPr>
        <w:pStyle w:val="ListParagraph"/>
        <w:numPr>
          <w:ilvl w:val="0"/>
          <w:numId w:val="32"/>
        </w:numPr>
      </w:pPr>
      <w:r>
        <w:t>a review into the investigative capacity</w:t>
      </w:r>
      <w:r w:rsidR="00F831B3">
        <w:t>, powers</w:t>
      </w:r>
      <w:r>
        <w:t xml:space="preserve"> and culture of the independent regulator for live exports, the </w:t>
      </w:r>
      <w:r w:rsidR="00CE3484">
        <w:t>department</w:t>
      </w:r>
    </w:p>
    <w:p w:rsidR="00575C2B" w:rsidRDefault="00F831B3" w:rsidP="00C24556">
      <w:pPr>
        <w:pStyle w:val="ListParagraph"/>
        <w:numPr>
          <w:ilvl w:val="0"/>
          <w:numId w:val="32"/>
        </w:numPr>
      </w:pPr>
      <w:r>
        <w:t>an</w:t>
      </w:r>
      <w:r w:rsidR="00575C2B">
        <w:t xml:space="preserve"> announcement </w:t>
      </w:r>
      <w:r>
        <w:t xml:space="preserve">on 10 April 2018 </w:t>
      </w:r>
      <w:r w:rsidR="00575C2B">
        <w:t xml:space="preserve">of a short, sharp </w:t>
      </w:r>
      <w:r>
        <w:t xml:space="preserve">independent </w:t>
      </w:r>
      <w:r w:rsidR="00575C2B">
        <w:t xml:space="preserve">review into the export of sheep to the Middle East during the northern </w:t>
      </w:r>
      <w:r w:rsidR="00971D49">
        <w:t xml:space="preserve">hemisphere </w:t>
      </w:r>
      <w:r w:rsidR="00575C2B">
        <w:t>summer.</w:t>
      </w:r>
    </w:p>
    <w:p w:rsidR="00F831B3" w:rsidRDefault="005140FA" w:rsidP="00C24556">
      <w:r>
        <w:t>The r</w:t>
      </w:r>
      <w:r w:rsidR="00F831B3">
        <w:t>eview was tasked to advise on conditions and any changes to the administration of the Australian Standards for the Export of Livestock (Version 2.3) (ASEL) and/or actions that would be required to assure the health and welfare outcomes for sheep being transported to the Middle East during the northern hemisphere summer.</w:t>
      </w:r>
      <w:r w:rsidR="005C6B1E">
        <w:t xml:space="preserve"> Specifically, the terms of reference were to:</w:t>
      </w:r>
    </w:p>
    <w:p w:rsidR="005C6B1E" w:rsidRDefault="005C6B1E" w:rsidP="00987374">
      <w:pPr>
        <w:pStyle w:val="ListParagraph"/>
        <w:numPr>
          <w:ilvl w:val="0"/>
          <w:numId w:val="2"/>
        </w:numPr>
        <w:spacing w:after="120"/>
        <w:ind w:left="782" w:hanging="357"/>
        <w:contextualSpacing w:val="0"/>
      </w:pPr>
      <w:r>
        <w:rPr>
          <w:rStyle w:val="bumpedfont15"/>
          <w:rFonts w:eastAsia="Times New Roman"/>
        </w:rPr>
        <w:t xml:space="preserve">recommend any changes and/or additions to the conditions within approved arrangements that would be required to assure animal health and welfare </w:t>
      </w:r>
      <w:r>
        <w:rPr>
          <w:rStyle w:val="s4"/>
        </w:rPr>
        <w:t>if the trade were to continue.</w:t>
      </w:r>
      <w:r w:rsidR="00CA4032">
        <w:rPr>
          <w:rStyle w:val="s4"/>
        </w:rPr>
        <w:t xml:space="preserve"> </w:t>
      </w:r>
      <w:r>
        <w:rPr>
          <w:rStyle w:val="s4"/>
        </w:rPr>
        <w:t>This would include, but not be limited to, conditions addressing:</w:t>
      </w:r>
    </w:p>
    <w:p w:rsidR="005C6B1E" w:rsidRDefault="005C6B1E" w:rsidP="004B05AA">
      <w:pPr>
        <w:pStyle w:val="ListParagraph"/>
        <w:numPr>
          <w:ilvl w:val="1"/>
          <w:numId w:val="2"/>
        </w:numPr>
        <w:ind w:left="1276" w:hanging="425"/>
      </w:pPr>
      <w:r>
        <w:t>stocking density (</w:t>
      </w:r>
      <w:r>
        <w:rPr>
          <w:rStyle w:val="bumpedfont15"/>
          <w:rFonts w:eastAsia="Times New Roman"/>
        </w:rPr>
        <w:t>and if Heat Stress Risk Assessment model stocking density</w:t>
      </w:r>
      <w:r w:rsidR="000331DD">
        <w:rPr>
          <w:rStyle w:val="bumpedfont15"/>
          <w:rFonts w:eastAsia="Times New Roman"/>
        </w:rPr>
        <w:t xml:space="preserve"> levels were </w:t>
      </w:r>
      <w:r>
        <w:rPr>
          <w:rStyle w:val="bumpedfont15"/>
          <w:rFonts w:eastAsia="Times New Roman"/>
        </w:rPr>
        <w:t>maint</w:t>
      </w:r>
      <w:r w:rsidR="000331DD">
        <w:rPr>
          <w:rStyle w:val="bumpedfont15"/>
          <w:rFonts w:eastAsia="Times New Roman"/>
        </w:rPr>
        <w:t xml:space="preserve">ained, what additional measures </w:t>
      </w:r>
      <w:r>
        <w:rPr>
          <w:rStyle w:val="bumpedfont15"/>
          <w:rFonts w:eastAsia="Times New Roman"/>
        </w:rPr>
        <w:t>would be required to achieve health and welfare outcomes)</w:t>
      </w:r>
    </w:p>
    <w:p w:rsidR="005C6B1E" w:rsidRPr="00814272" w:rsidRDefault="005C6B1E" w:rsidP="004B05AA">
      <w:pPr>
        <w:pStyle w:val="ListParagraph"/>
        <w:numPr>
          <w:ilvl w:val="1"/>
          <w:numId w:val="2"/>
        </w:numPr>
        <w:ind w:left="1276" w:hanging="425"/>
      </w:pPr>
      <w:r w:rsidRPr="00814272">
        <w:t>bedding and animal waste management</w:t>
      </w:r>
    </w:p>
    <w:p w:rsidR="005C6B1E" w:rsidRPr="00814272" w:rsidRDefault="005C6B1E" w:rsidP="004B05AA">
      <w:pPr>
        <w:pStyle w:val="ListParagraph"/>
        <w:numPr>
          <w:ilvl w:val="1"/>
          <w:numId w:val="2"/>
        </w:numPr>
        <w:ind w:left="1276" w:hanging="425"/>
      </w:pPr>
      <w:r w:rsidRPr="00814272">
        <w:t>ventilation (including potential use of air</w:t>
      </w:r>
      <w:r>
        <w:t>-</w:t>
      </w:r>
      <w:r w:rsidRPr="00814272">
        <w:t>conditioning) and the assessment of heat stress risk</w:t>
      </w:r>
    </w:p>
    <w:p w:rsidR="005C6B1E" w:rsidRPr="00814272" w:rsidRDefault="005C6B1E" w:rsidP="004B05AA">
      <w:pPr>
        <w:pStyle w:val="ListParagraph"/>
        <w:numPr>
          <w:ilvl w:val="1"/>
          <w:numId w:val="2"/>
        </w:numPr>
        <w:ind w:left="1276" w:hanging="425"/>
      </w:pPr>
      <w:r w:rsidRPr="00814272">
        <w:t>lives</w:t>
      </w:r>
      <w:r w:rsidR="000331DD">
        <w:t>tock systems for feed and water</w:t>
      </w:r>
    </w:p>
    <w:p w:rsidR="005C6B1E" w:rsidRPr="00814272" w:rsidRDefault="005C6B1E" w:rsidP="004B05AA">
      <w:pPr>
        <w:pStyle w:val="ListParagraph"/>
        <w:numPr>
          <w:ilvl w:val="1"/>
          <w:numId w:val="2"/>
        </w:numPr>
        <w:ind w:left="1276" w:hanging="425"/>
      </w:pPr>
      <w:r w:rsidRPr="00814272">
        <w:t>the competency of crew, provision of stockmen and role of the AAV in managing animal health and welfare</w:t>
      </w:r>
    </w:p>
    <w:p w:rsidR="005C6B1E" w:rsidRPr="00814272" w:rsidRDefault="005C6B1E" w:rsidP="004B05AA">
      <w:pPr>
        <w:pStyle w:val="ListParagraph"/>
        <w:numPr>
          <w:ilvl w:val="1"/>
          <w:numId w:val="2"/>
        </w:numPr>
        <w:ind w:left="1276" w:hanging="425"/>
      </w:pPr>
      <w:r w:rsidRPr="00814272">
        <w:t>morbidity and mortality management</w:t>
      </w:r>
    </w:p>
    <w:p w:rsidR="005C6B1E" w:rsidRPr="00814272" w:rsidRDefault="005C6B1E" w:rsidP="004B05AA">
      <w:pPr>
        <w:pStyle w:val="ListParagraph"/>
        <w:numPr>
          <w:ilvl w:val="1"/>
          <w:numId w:val="2"/>
        </w:numPr>
        <w:ind w:left="1276" w:hanging="425"/>
      </w:pPr>
      <w:r w:rsidRPr="00814272">
        <w:t>contingency planning</w:t>
      </w:r>
    </w:p>
    <w:p w:rsidR="005C6B1E" w:rsidRPr="00814272" w:rsidRDefault="005C6B1E" w:rsidP="004B05AA">
      <w:pPr>
        <w:pStyle w:val="ListParagraph"/>
        <w:numPr>
          <w:ilvl w:val="1"/>
          <w:numId w:val="2"/>
        </w:numPr>
        <w:ind w:left="1276" w:hanging="425"/>
        <w:contextualSpacing w:val="0"/>
      </w:pPr>
      <w:r w:rsidRPr="00814272">
        <w:t>reporting.</w:t>
      </w:r>
    </w:p>
    <w:p w:rsidR="005C6B1E" w:rsidRPr="00814272" w:rsidRDefault="00DC03C3" w:rsidP="00C3346B">
      <w:pPr>
        <w:pStyle w:val="ListParagraph"/>
        <w:numPr>
          <w:ilvl w:val="0"/>
          <w:numId w:val="32"/>
        </w:numPr>
        <w:ind w:left="765" w:hanging="357"/>
        <w:contextualSpacing w:val="0"/>
      </w:pPr>
      <w:r>
        <w:t>e</w:t>
      </w:r>
      <w:r w:rsidR="005C6B1E" w:rsidRPr="00814272">
        <w:t xml:space="preserve">valuate and review the conditions (as specified in approved arrangements) that have been placed on voyages in previous northern </w:t>
      </w:r>
      <w:r w:rsidR="00971D49">
        <w:t xml:space="preserve">hemisphere </w:t>
      </w:r>
      <w:r w:rsidR="005C6B1E" w:rsidRPr="00814272">
        <w:t xml:space="preserve">summers and more recently in the lead up to the 2018 northern </w:t>
      </w:r>
      <w:r w:rsidR="00971D49">
        <w:t xml:space="preserve">hemisphere </w:t>
      </w:r>
      <w:r w:rsidR="005C6B1E" w:rsidRPr="00814272">
        <w:t>summer, and recommend any revisions</w:t>
      </w:r>
    </w:p>
    <w:p w:rsidR="005C6B1E" w:rsidRPr="00814272" w:rsidRDefault="00DC03C3" w:rsidP="00C3346B">
      <w:pPr>
        <w:pStyle w:val="ListParagraph"/>
        <w:numPr>
          <w:ilvl w:val="0"/>
          <w:numId w:val="32"/>
        </w:numPr>
        <w:ind w:left="765" w:hanging="357"/>
        <w:contextualSpacing w:val="0"/>
      </w:pPr>
      <w:r>
        <w:t>i</w:t>
      </w:r>
      <w:r w:rsidR="005C6B1E" w:rsidRPr="00814272">
        <w:t>dentify any improvements in the administration of ASEL, including but not limited to</w:t>
      </w:r>
      <w:r w:rsidR="005C6B1E">
        <w:t>:</w:t>
      </w:r>
    </w:p>
    <w:p w:rsidR="005C6B1E" w:rsidRPr="00814272" w:rsidRDefault="005C6B1E" w:rsidP="004B05AA">
      <w:pPr>
        <w:pStyle w:val="ListParagraph"/>
        <w:numPr>
          <w:ilvl w:val="1"/>
          <w:numId w:val="2"/>
        </w:numPr>
        <w:ind w:left="1276" w:hanging="425"/>
      </w:pPr>
      <w:r w:rsidRPr="00814272">
        <w:t xml:space="preserve">the </w:t>
      </w:r>
      <w:r w:rsidR="00CE3484" w:rsidRPr="00814272">
        <w:t xml:space="preserve">department’s </w:t>
      </w:r>
      <w:r w:rsidRPr="00814272">
        <w:t>interaction</w:t>
      </w:r>
      <w:r w:rsidR="000331DD">
        <w:t>s with AMSA for vessel approval</w:t>
      </w:r>
    </w:p>
    <w:p w:rsidR="005C6B1E" w:rsidRDefault="005C6B1E" w:rsidP="004B05AA">
      <w:pPr>
        <w:pStyle w:val="ListParagraph"/>
        <w:numPr>
          <w:ilvl w:val="1"/>
          <w:numId w:val="2"/>
        </w:numPr>
        <w:ind w:left="1276" w:hanging="425"/>
      </w:pPr>
      <w:r>
        <w:t>the effectiveness of current reporting requirements for vets and exporters (including other specific ani</w:t>
      </w:r>
      <w:r w:rsidR="000331DD">
        <w:t>mal welfare outcome indicators)</w:t>
      </w:r>
    </w:p>
    <w:p w:rsidR="005C6B1E" w:rsidRDefault="005C6B1E" w:rsidP="004B05AA">
      <w:pPr>
        <w:pStyle w:val="ListParagraph"/>
        <w:numPr>
          <w:ilvl w:val="1"/>
          <w:numId w:val="2"/>
        </w:numPr>
        <w:ind w:left="1276" w:hanging="425"/>
      </w:pPr>
      <w:r>
        <w:t>additional assurance that approved arrangements are being met.</w:t>
      </w:r>
    </w:p>
    <w:p w:rsidR="00575C2B" w:rsidRPr="00575C2B" w:rsidRDefault="00575C2B" w:rsidP="00C24556">
      <w:r w:rsidRPr="00575C2B">
        <w:t>The live animal export industry is important for Australia being a significant economic contributor to both the national economy and regional Australia.</w:t>
      </w:r>
    </w:p>
    <w:p w:rsidR="00575C2B" w:rsidRDefault="00575C2B" w:rsidP="00C24556">
      <w:r w:rsidRPr="00575C2B">
        <w:t>In addition there is a comprehensive review of the Australian Standards for the Export of Livestock (ASEL) by a panel of experts currently in progress that commenced in February 2018.</w:t>
      </w:r>
    </w:p>
    <w:p w:rsidR="00575C2B" w:rsidRPr="00575C2B" w:rsidRDefault="00575C2B" w:rsidP="00C24556">
      <w:r>
        <w:t>The industry has a chequered history. There are many tales of high mortality heat stress events incurred on voyages to the Middle East, particularly in the early open deck vessels. There are many sources of data for those wishing to plot mortality over time and/or analyse mortality patterns. They are not included in this review.</w:t>
      </w:r>
    </w:p>
    <w:p w:rsidR="002D04D9" w:rsidRPr="00E25F95" w:rsidRDefault="0046379A" w:rsidP="00C24556">
      <w:pPr>
        <w:pStyle w:val="Heading1"/>
      </w:pPr>
      <w:bookmarkStart w:id="6" w:name="_Toc513467743"/>
      <w:bookmarkStart w:id="7" w:name="_Toc513812192"/>
      <w:r w:rsidRPr="00E25F95">
        <w:t>Purpose</w:t>
      </w:r>
      <w:bookmarkEnd w:id="6"/>
      <w:bookmarkEnd w:id="7"/>
    </w:p>
    <w:p w:rsidR="002D04D9" w:rsidRDefault="003D289F" w:rsidP="00B5685A">
      <w:r w:rsidRPr="00B5685A">
        <w:t>To advise on conditions (as specified in approved arrangements), any changes to the administration of ASEL and/or actions that would be required to assure health and welfare outcomes for sheep being transported to the Middle East during the northern hemisphere summer.</w:t>
      </w:r>
    </w:p>
    <w:p w:rsidR="00966E3E" w:rsidRDefault="0046379A" w:rsidP="00C24556">
      <w:pPr>
        <w:pStyle w:val="Heading1"/>
      </w:pPr>
      <w:bookmarkStart w:id="8" w:name="_Toc513467744"/>
      <w:bookmarkStart w:id="9" w:name="_Toc513812193"/>
      <w:r>
        <w:t>Coverage</w:t>
      </w:r>
      <w:bookmarkEnd w:id="8"/>
      <w:bookmarkEnd w:id="9"/>
    </w:p>
    <w:p w:rsidR="0046379A" w:rsidRDefault="003D289F" w:rsidP="00C24556">
      <w:pPr>
        <w:rPr>
          <w:rStyle w:val="bumpedfont15"/>
        </w:rPr>
      </w:pPr>
      <w:r>
        <w:rPr>
          <w:rStyle w:val="bumpedfont15"/>
        </w:rPr>
        <w:t>The review has considered the best evidence in the time available, including consideration of the scientific literature, recent live sheep export</w:t>
      </w:r>
      <w:r w:rsidR="00E25F95">
        <w:rPr>
          <w:rStyle w:val="bumpedfont15"/>
        </w:rPr>
        <w:t>-</w:t>
      </w:r>
      <w:r>
        <w:rPr>
          <w:rStyle w:val="bumpedfont15"/>
        </w:rPr>
        <w:t>related video footage, reports from observers on recent vessels and other relevant information.</w:t>
      </w:r>
    </w:p>
    <w:p w:rsidR="0046379A" w:rsidRPr="00A02826" w:rsidRDefault="0046379A" w:rsidP="00C24556">
      <w:pPr>
        <w:pStyle w:val="Heading2"/>
      </w:pPr>
      <w:bookmarkStart w:id="10" w:name="_Toc513467745"/>
      <w:bookmarkStart w:id="11" w:name="_Toc513812194"/>
      <w:r w:rsidRPr="00A02826">
        <w:t>Approved arrangements</w:t>
      </w:r>
      <w:bookmarkEnd w:id="10"/>
      <w:bookmarkEnd w:id="11"/>
    </w:p>
    <w:p w:rsidR="00BD663F" w:rsidRDefault="00847C48" w:rsidP="00C3346B">
      <w:pPr>
        <w:ind w:left="993"/>
      </w:pPr>
      <w:r>
        <w:t>Approved a</w:t>
      </w:r>
      <w:r w:rsidR="00D627E3">
        <w:t xml:space="preserve">rrangements have good and bad points. </w:t>
      </w:r>
      <w:r w:rsidR="00895B60">
        <w:t xml:space="preserve">Approved arrangements provide a great deal more flexibility </w:t>
      </w:r>
      <w:r>
        <w:t xml:space="preserve">and are cost effective in </w:t>
      </w:r>
      <w:r w:rsidR="009A659D">
        <w:t xml:space="preserve">a </w:t>
      </w:r>
      <w:r>
        <w:t>world of full cost recovery. The</w:t>
      </w:r>
      <w:r w:rsidR="008F7505">
        <w:t>y</w:t>
      </w:r>
      <w:r>
        <w:t xml:space="preserve"> </w:t>
      </w:r>
      <w:r w:rsidR="007778DD">
        <w:t xml:space="preserve">are supported </w:t>
      </w:r>
      <w:r w:rsidR="00E25F95">
        <w:t>by</w:t>
      </w:r>
      <w:r w:rsidR="007778DD">
        <w:t xml:space="preserve"> legislation but </w:t>
      </w:r>
      <w:r w:rsidR="00895B60">
        <w:t>require a g</w:t>
      </w:r>
      <w:r w:rsidR="00D627E3">
        <w:t>reater degree of trust</w:t>
      </w:r>
      <w:r w:rsidR="009A659D">
        <w:t xml:space="preserve"> </w:t>
      </w:r>
      <w:r w:rsidR="00610DDF">
        <w:t>and accordingly there are more</w:t>
      </w:r>
      <w:r w:rsidR="009A659D">
        <w:t xml:space="preserve"> opportunities</w:t>
      </w:r>
      <w:r w:rsidR="00D627E3">
        <w:t xml:space="preserve"> to exploit vulnerabilities</w:t>
      </w:r>
      <w:r w:rsidR="00895B60">
        <w:t xml:space="preserve"> in the regulatory framework</w:t>
      </w:r>
      <w:r w:rsidR="00D627E3">
        <w:t>.</w:t>
      </w:r>
    </w:p>
    <w:p w:rsidR="00CC2C19" w:rsidRDefault="008222E2" w:rsidP="00C3346B">
      <w:pPr>
        <w:ind w:left="993"/>
        <w:rPr>
          <w:rStyle w:val="s4"/>
        </w:rPr>
      </w:pPr>
      <w:r>
        <w:rPr>
          <w:rStyle w:val="bumpedfont15"/>
          <w:rFonts w:eastAsia="Times New Roman"/>
        </w:rPr>
        <w:t xml:space="preserve">It is the charter of </w:t>
      </w:r>
      <w:r w:rsidR="00646ECA">
        <w:rPr>
          <w:rStyle w:val="bumpedfont15"/>
          <w:rFonts w:eastAsia="Times New Roman"/>
        </w:rPr>
        <w:t>this review</w:t>
      </w:r>
      <w:r>
        <w:rPr>
          <w:rStyle w:val="bumpedfont15"/>
          <w:rFonts w:eastAsia="Times New Roman"/>
        </w:rPr>
        <w:t xml:space="preserve"> to r</w:t>
      </w:r>
      <w:r w:rsidR="00CC2C19" w:rsidRPr="00CC2C19">
        <w:rPr>
          <w:rStyle w:val="bumpedfont15"/>
          <w:rFonts w:eastAsia="Times New Roman"/>
        </w:rPr>
        <w:t xml:space="preserve">ecommend any changes and/or additions to the conditions within approved </w:t>
      </w:r>
      <w:r w:rsidR="00A02826" w:rsidRPr="00CC2C19">
        <w:rPr>
          <w:rStyle w:val="bumpedfont15"/>
          <w:rFonts w:eastAsia="Times New Roman"/>
        </w:rPr>
        <w:t>arrangements that</w:t>
      </w:r>
      <w:r w:rsidR="00CC2C19" w:rsidRPr="00CC2C19">
        <w:rPr>
          <w:rStyle w:val="bumpedfont15"/>
          <w:rFonts w:eastAsia="Times New Roman"/>
        </w:rPr>
        <w:t xml:space="preserve"> would be required to assure animal health and welfare </w:t>
      </w:r>
      <w:r w:rsidR="00CC2C19" w:rsidRPr="00A37BE6">
        <w:rPr>
          <w:rStyle w:val="s4"/>
          <w:i/>
        </w:rPr>
        <w:t>if the trade were to continue</w:t>
      </w:r>
      <w:r w:rsidR="00CC2C19">
        <w:rPr>
          <w:rStyle w:val="s4"/>
        </w:rPr>
        <w:t>. </w:t>
      </w:r>
      <w:r w:rsidR="00326C4B">
        <w:rPr>
          <w:rStyle w:val="s4"/>
        </w:rPr>
        <w:t>In essence, these arrangements are either on top of, or supporting of</w:t>
      </w:r>
      <w:r w:rsidR="00A37BE6">
        <w:rPr>
          <w:rStyle w:val="s4"/>
        </w:rPr>
        <w:t>,</w:t>
      </w:r>
      <w:r w:rsidR="00326C4B">
        <w:rPr>
          <w:rStyle w:val="s4"/>
        </w:rPr>
        <w:t xml:space="preserve"> the ASEL requirements. </w:t>
      </w:r>
      <w:r w:rsidR="00A37BE6">
        <w:rPr>
          <w:rStyle w:val="s4"/>
        </w:rPr>
        <w:t>However, n</w:t>
      </w:r>
      <w:r w:rsidR="00326C4B">
        <w:rPr>
          <w:rStyle w:val="s4"/>
        </w:rPr>
        <w:t xml:space="preserve">o amount of additional conditions will </w:t>
      </w:r>
      <w:r w:rsidR="008E40C3">
        <w:rPr>
          <w:rStyle w:val="s4"/>
        </w:rPr>
        <w:t>provide any sort of fix if the fundamentals are not addressed.</w:t>
      </w:r>
    </w:p>
    <w:p w:rsidR="009C4BCD" w:rsidRDefault="009C4BCD" w:rsidP="00C3346B">
      <w:pPr>
        <w:ind w:left="993"/>
      </w:pPr>
      <w:r>
        <w:rPr>
          <w:rStyle w:val="s4"/>
        </w:rPr>
        <w:t>It is an expectation, that if exporters conduct themselves in keeping with the ASEL standards, that animal welfare will be assured. A review of ASEL is underway, and this revi</w:t>
      </w:r>
      <w:r w:rsidR="00445407">
        <w:rPr>
          <w:rStyle w:val="s4"/>
        </w:rPr>
        <w:t>ew, which underpins ‘</w:t>
      </w:r>
      <w:r>
        <w:rPr>
          <w:rStyle w:val="s4"/>
        </w:rPr>
        <w:t>approved arrangements</w:t>
      </w:r>
      <w:r w:rsidR="00445407">
        <w:rPr>
          <w:rStyle w:val="s4"/>
        </w:rPr>
        <w:t>’,</w:t>
      </w:r>
      <w:r>
        <w:rPr>
          <w:rStyle w:val="s4"/>
        </w:rPr>
        <w:t xml:space="preserve"> is an important part of the</w:t>
      </w:r>
      <w:r w:rsidR="00445407">
        <w:rPr>
          <w:rStyle w:val="s4"/>
        </w:rPr>
        <w:t xml:space="preserve"> overall ASEL </w:t>
      </w:r>
      <w:r>
        <w:rPr>
          <w:rStyle w:val="s4"/>
        </w:rPr>
        <w:t>review process.</w:t>
      </w:r>
    </w:p>
    <w:p w:rsidR="00C52EDF" w:rsidRPr="00634A8C" w:rsidRDefault="00C52EDF" w:rsidP="00C24556">
      <w:pPr>
        <w:pStyle w:val="Heading3"/>
      </w:pPr>
      <w:bookmarkStart w:id="12" w:name="_Toc513467746"/>
      <w:bookmarkStart w:id="13" w:name="_Toc513812195"/>
      <w:r w:rsidRPr="00634A8C">
        <w:t>Ventilation and the assessment of heat stress</w:t>
      </w:r>
      <w:bookmarkEnd w:id="12"/>
      <w:bookmarkEnd w:id="13"/>
    </w:p>
    <w:p w:rsidR="00A02826" w:rsidRDefault="009E55D4" w:rsidP="00C3346B">
      <w:pPr>
        <w:ind w:left="1701"/>
      </w:pPr>
      <w:r>
        <w:t>Livestock vessels rely on mechani</w:t>
      </w:r>
      <w:r w:rsidR="00E63953">
        <w:t>cal ventilation. This</w:t>
      </w:r>
      <w:r>
        <w:t xml:space="preserve"> ventilation has three tasks</w:t>
      </w:r>
      <w:r w:rsidR="00A02826">
        <w:t>:</w:t>
      </w:r>
    </w:p>
    <w:p w:rsidR="00A02826" w:rsidRDefault="009E55D4" w:rsidP="00C24556">
      <w:pPr>
        <w:pStyle w:val="ListParagraph"/>
        <w:numPr>
          <w:ilvl w:val="0"/>
          <w:numId w:val="29"/>
        </w:numPr>
      </w:pPr>
      <w:r>
        <w:t>One is to</w:t>
      </w:r>
      <w:r w:rsidR="00B01357">
        <w:t xml:space="preserve"> remove the heat and water vapo</w:t>
      </w:r>
      <w:r w:rsidR="00A02826">
        <w:t>r produced by the animal.</w:t>
      </w:r>
    </w:p>
    <w:p w:rsidR="00A02826" w:rsidRDefault="009E55D4" w:rsidP="00C24556">
      <w:pPr>
        <w:pStyle w:val="ListParagraph"/>
        <w:numPr>
          <w:ilvl w:val="0"/>
          <w:numId w:val="29"/>
        </w:numPr>
      </w:pPr>
      <w:r>
        <w:t>Another is to lift moisture from the sheep manure pad</w:t>
      </w:r>
      <w:r w:rsidR="00A02826">
        <w:t>.</w:t>
      </w:r>
    </w:p>
    <w:p w:rsidR="00A02826" w:rsidRDefault="00A02826" w:rsidP="00C24556">
      <w:pPr>
        <w:pStyle w:val="ListParagraph"/>
        <w:numPr>
          <w:ilvl w:val="0"/>
          <w:numId w:val="29"/>
        </w:numPr>
      </w:pPr>
      <w:r>
        <w:t>T</w:t>
      </w:r>
      <w:r w:rsidR="009E55D4">
        <w:t>he final task is to remove any possible build-up of noxious gases.</w:t>
      </w:r>
    </w:p>
    <w:p w:rsidR="00B01357" w:rsidRDefault="00B01357" w:rsidP="00C3346B">
      <w:pPr>
        <w:ind w:left="1701"/>
      </w:pPr>
      <w:r>
        <w:t>These tasks can be quantified</w:t>
      </w:r>
      <w:r w:rsidR="00CF78A5">
        <w:t xml:space="preserve"> and </w:t>
      </w:r>
      <w:r w:rsidR="009C4BCD">
        <w:t>framed as the work required</w:t>
      </w:r>
      <w:r w:rsidR="00610DDF">
        <w:t xml:space="preserve"> for</w:t>
      </w:r>
      <w:r>
        <w:t xml:space="preserve"> each cub</w:t>
      </w:r>
      <w:r w:rsidR="00553AB4">
        <w:t>ic met</w:t>
      </w:r>
      <w:r w:rsidR="009C4BCD">
        <w:t>r</w:t>
      </w:r>
      <w:r w:rsidR="00553AB4">
        <w:t>e</w:t>
      </w:r>
      <w:r w:rsidR="009C4BCD">
        <w:t xml:space="preserve"> of air as it </w:t>
      </w:r>
      <w:r>
        <w:t>passes through the hold.</w:t>
      </w:r>
    </w:p>
    <w:p w:rsidR="00CF78A5" w:rsidRDefault="009F1C6D" w:rsidP="00C3346B">
      <w:pPr>
        <w:ind w:left="1701"/>
      </w:pPr>
      <w:r>
        <w:t xml:space="preserve">Ventilation is measured in a number of different ways and the design of ventilation </w:t>
      </w:r>
      <w:r w:rsidR="00BC2890">
        <w:t>systems varies</w:t>
      </w:r>
      <w:r>
        <w:t>. The traditional measure of ventilatio</w:t>
      </w:r>
      <w:r w:rsidR="00B01357">
        <w:t xml:space="preserve">n </w:t>
      </w:r>
      <w:r w:rsidR="001007FF">
        <w:t>has been exchange</w:t>
      </w:r>
      <w:r w:rsidR="0026471B">
        <w:t>s per hour (eph). An e</w:t>
      </w:r>
      <w:r w:rsidR="001007FF">
        <w:t>ph</w:t>
      </w:r>
      <w:r>
        <w:t xml:space="preserve"> of 60 indicates that the air within the hold is exchanged 60 times in an hour. It also indicates that</w:t>
      </w:r>
      <w:r w:rsidR="009C4BCD">
        <w:t xml:space="preserve"> it will be in the hold for one min</w:t>
      </w:r>
      <w:r w:rsidR="00E31DC8">
        <w:t xml:space="preserve">ute and </w:t>
      </w:r>
      <w:r>
        <w:t xml:space="preserve">has only one minute to undertake the tasks described above. </w:t>
      </w:r>
    </w:p>
    <w:p w:rsidR="00CF78A5" w:rsidRDefault="009F1C6D" w:rsidP="00C3346B">
      <w:pPr>
        <w:ind w:left="1701"/>
      </w:pPr>
      <w:r>
        <w:t>A further measure of ventilation is pen air turnove</w:t>
      </w:r>
      <w:r w:rsidR="005660F1">
        <w:t>r (PAT). This is measured as m</w:t>
      </w:r>
      <w:r w:rsidR="005660F1" w:rsidRPr="005660F1">
        <w:rPr>
          <w:vertAlign w:val="superscript"/>
        </w:rPr>
        <w:t>3</w:t>
      </w:r>
      <w:r>
        <w:t>/h</w:t>
      </w:r>
      <w:r w:rsidR="00553AB4">
        <w:t>our per square met</w:t>
      </w:r>
      <w:r w:rsidR="00B01357">
        <w:t>r</w:t>
      </w:r>
      <w:r w:rsidR="00553AB4">
        <w:t>e</w:t>
      </w:r>
      <w:r>
        <w:t xml:space="preserve"> of pen space. </w:t>
      </w:r>
      <w:r w:rsidR="00CF78A5">
        <w:t>It is a measure of airflow. It does not, however, consider ventilation design and is only concerned with the amount of air flowing through the hold, not the way in which it is delivered.</w:t>
      </w:r>
    </w:p>
    <w:p w:rsidR="00821D45" w:rsidRDefault="00CF78A5" w:rsidP="00C3346B">
      <w:pPr>
        <w:ind w:left="1701"/>
      </w:pPr>
      <w:r>
        <w:t>The PAT</w:t>
      </w:r>
      <w:r w:rsidR="009F1C6D">
        <w:t xml:space="preserve"> </w:t>
      </w:r>
      <w:r w:rsidR="001007FF">
        <w:t>does, however, link</w:t>
      </w:r>
      <w:r w:rsidR="009F1C6D">
        <w:t xml:space="preserve"> airflow to the pen area and therefore </w:t>
      </w:r>
      <w:r w:rsidR="001007FF">
        <w:t xml:space="preserve">links airflow </w:t>
      </w:r>
      <w:r w:rsidR="009F1C6D">
        <w:t xml:space="preserve">to the animals </w:t>
      </w:r>
      <w:r w:rsidR="0059264A">
        <w:t>b</w:t>
      </w:r>
      <w:r>
        <w:t>ased on their stocking density</w:t>
      </w:r>
      <w:r w:rsidR="001007FF">
        <w:t xml:space="preserve">. This </w:t>
      </w:r>
      <w:r w:rsidR="0059264A">
        <w:t xml:space="preserve">is </w:t>
      </w:r>
      <w:r w:rsidR="001007FF">
        <w:t xml:space="preserve">the </w:t>
      </w:r>
      <w:r w:rsidR="0059264A">
        <w:t xml:space="preserve">central </w:t>
      </w:r>
      <w:r w:rsidR="001007FF">
        <w:t>premise of</w:t>
      </w:r>
      <w:r w:rsidR="0059264A">
        <w:t xml:space="preserve"> the </w:t>
      </w:r>
      <w:r w:rsidR="000929D0">
        <w:t>HSRA model</w:t>
      </w:r>
      <w:r w:rsidR="001007FF">
        <w:t xml:space="preserve">. The model </w:t>
      </w:r>
      <w:r w:rsidR="005D51E9">
        <w:t xml:space="preserve">includes </w:t>
      </w:r>
      <w:r w:rsidR="0059264A">
        <w:t>animal factors such as wool length, fatness, cate</w:t>
      </w:r>
      <w:r w:rsidR="00B01357">
        <w:t>gory, body weight and acclimati</w:t>
      </w:r>
      <w:r w:rsidR="00A02826">
        <w:t>s</w:t>
      </w:r>
      <w:r w:rsidR="00B01357">
        <w:t>ation. These animal factors dictate</w:t>
      </w:r>
      <w:r w:rsidR="0059264A">
        <w:t xml:space="preserve"> the animal’s heat stress tolerance. </w:t>
      </w:r>
      <w:r w:rsidR="009C4BCD">
        <w:t xml:space="preserve">The model then assumes a </w:t>
      </w:r>
      <w:r w:rsidR="0059264A">
        <w:t xml:space="preserve">distribution </w:t>
      </w:r>
      <w:r w:rsidR="009C4BCD">
        <w:t xml:space="preserve">curve </w:t>
      </w:r>
      <w:r w:rsidR="0059264A">
        <w:t xml:space="preserve">of tolerance </w:t>
      </w:r>
      <w:r w:rsidR="00B01357">
        <w:t>with</w:t>
      </w:r>
      <w:r w:rsidR="0059264A">
        <w:t>in the mobs involved. Weather data for diff</w:t>
      </w:r>
      <w:r w:rsidR="009C4BCD">
        <w:t xml:space="preserve">erent times of the year is </w:t>
      </w:r>
      <w:r w:rsidR="0059264A">
        <w:t xml:space="preserve">used to anticipate the likelihood of a heat stress event. A jetting factor is also applied that partly reflects </w:t>
      </w:r>
      <w:r w:rsidR="009C4BCD">
        <w:t xml:space="preserve">the </w:t>
      </w:r>
      <w:r w:rsidR="0059264A">
        <w:t>vessel</w:t>
      </w:r>
      <w:r w:rsidR="009C4BCD">
        <w:t xml:space="preserve">’s ventilation </w:t>
      </w:r>
      <w:r w:rsidR="0059264A">
        <w:t xml:space="preserve">design. Risk is then calculated on the basis </w:t>
      </w:r>
      <w:r w:rsidR="00200424">
        <w:t xml:space="preserve">of </w:t>
      </w:r>
      <w:r w:rsidR="0059264A">
        <w:t>a proba</w:t>
      </w:r>
      <w:r w:rsidR="00610DDF">
        <w:t>bility of a mortality rate</w:t>
      </w:r>
      <w:r w:rsidR="00821D45">
        <w:t>.</w:t>
      </w:r>
    </w:p>
    <w:p w:rsidR="009F1C6D" w:rsidRDefault="001E6A6D" w:rsidP="00C3346B">
      <w:pPr>
        <w:ind w:left="1701"/>
      </w:pPr>
      <w:r>
        <w:t>Regardless of how the model has been operating, there is an argument to suggest that this setting should be reduced (either in terms of probability</w:t>
      </w:r>
      <w:r w:rsidR="00B3077A">
        <w:t xml:space="preserve"> or in terms of the mortality) a</w:t>
      </w:r>
      <w:r w:rsidR="009C4BCD">
        <w:t>nd, i</w:t>
      </w:r>
      <w:r>
        <w:t xml:space="preserve">n keeping with a more welfare orientated focus, it has also been suggested that the mortality risk setting be replaced by a </w:t>
      </w:r>
      <w:r w:rsidR="00E31DC8">
        <w:t xml:space="preserve">setting that reflects the likelihood of an animal experiencing heat stress. </w:t>
      </w:r>
      <w:r w:rsidR="001B3BAC">
        <w:t xml:space="preserve">It is </w:t>
      </w:r>
      <w:r w:rsidR="00E31DC8">
        <w:t xml:space="preserve">strongly </w:t>
      </w:r>
      <w:r w:rsidR="001B3BAC">
        <w:t>recommended</w:t>
      </w:r>
      <w:r w:rsidR="00671FB0">
        <w:t xml:space="preserve"> that </w:t>
      </w:r>
      <w:r w:rsidR="005D51E9">
        <w:t>both these suggestio</w:t>
      </w:r>
      <w:r w:rsidR="00B3077A">
        <w:t>n</w:t>
      </w:r>
      <w:r w:rsidR="005D51E9">
        <w:t>s</w:t>
      </w:r>
      <w:r w:rsidR="00671FB0">
        <w:t xml:space="preserve"> </w:t>
      </w:r>
      <w:r w:rsidR="00356F67">
        <w:t>be adopted going forward.</w:t>
      </w:r>
    </w:p>
    <w:p w:rsidR="00EE2574" w:rsidRDefault="009F1C6D" w:rsidP="00C3346B">
      <w:pPr>
        <w:ind w:left="1701"/>
      </w:pPr>
      <w:r>
        <w:t xml:space="preserve">Some </w:t>
      </w:r>
      <w:r w:rsidR="00356F67">
        <w:t>ventilation designs are better than others and the way in which airflow is delivered is equally as important as how much air is delivered.</w:t>
      </w:r>
      <w:r>
        <w:t xml:space="preserve"> </w:t>
      </w:r>
      <w:r w:rsidR="00421B9D">
        <w:t xml:space="preserve">This </w:t>
      </w:r>
      <w:r w:rsidR="005D51E9">
        <w:t>is not directly implicit in the PAT measurement. A</w:t>
      </w:r>
      <w:r w:rsidR="00783653">
        <w:t xml:space="preserve"> </w:t>
      </w:r>
      <w:r w:rsidR="00C27EBB">
        <w:t xml:space="preserve">further measure, </w:t>
      </w:r>
      <w:r w:rsidR="00F245F0">
        <w:t>a minimum airsp</w:t>
      </w:r>
      <w:r w:rsidR="005D51E9">
        <w:t xml:space="preserve">eed within the pen of 0.5m/sec is </w:t>
      </w:r>
      <w:r w:rsidR="00E31DC8">
        <w:t xml:space="preserve">adopted by the Australian Maritime Safety Authority (AMSA). </w:t>
      </w:r>
      <w:r w:rsidR="00F245F0">
        <w:t xml:space="preserve">This measure reflects both the mixing of air </w:t>
      </w:r>
      <w:r w:rsidR="0050020F">
        <w:t>(</w:t>
      </w:r>
      <w:r w:rsidR="00494583">
        <w:t xml:space="preserve">i.e. </w:t>
      </w:r>
      <w:r w:rsidR="0050020F">
        <w:t xml:space="preserve">air distribution) </w:t>
      </w:r>
      <w:r w:rsidR="00E31DC8">
        <w:t xml:space="preserve">and </w:t>
      </w:r>
      <w:r w:rsidR="00831777">
        <w:t xml:space="preserve">indirectly </w:t>
      </w:r>
      <w:r w:rsidR="00E31DC8">
        <w:t>predicates</w:t>
      </w:r>
      <w:r w:rsidR="00831777">
        <w:t xml:space="preserve"> a</w:t>
      </w:r>
      <w:r w:rsidR="00E31DC8">
        <w:t xml:space="preserve"> </w:t>
      </w:r>
      <w:r w:rsidR="00F245F0">
        <w:t xml:space="preserve">minimum airflow. It is, however, a minimum and does not have the capacity to link to the animal </w:t>
      </w:r>
      <w:r w:rsidR="00E31DC8">
        <w:t xml:space="preserve">(and/or stocking density) </w:t>
      </w:r>
      <w:r w:rsidR="00F245F0">
        <w:t>and provide any sort of risk assessment.</w:t>
      </w:r>
    </w:p>
    <w:p w:rsidR="0083711C" w:rsidRDefault="00CF78A5" w:rsidP="00C3346B">
      <w:pPr>
        <w:ind w:left="1701"/>
      </w:pPr>
      <w:r>
        <w:t xml:space="preserve">Although it is embedded in </w:t>
      </w:r>
      <w:r w:rsidR="0000630A">
        <w:t xml:space="preserve">the </w:t>
      </w:r>
      <w:r w:rsidR="00A6562E">
        <w:t>department’s</w:t>
      </w:r>
      <w:r>
        <w:t xml:space="preserve"> regulatory framew</w:t>
      </w:r>
      <w:r w:rsidR="005D51E9">
        <w:t xml:space="preserve">ork, and </w:t>
      </w:r>
      <w:r w:rsidR="0000630A">
        <w:t xml:space="preserve">is </w:t>
      </w:r>
      <w:r w:rsidR="005D51E9">
        <w:t>a condition of ASEL, the industry HSRA</w:t>
      </w:r>
      <w:r w:rsidR="00CE3484">
        <w:t xml:space="preserve"> </w:t>
      </w:r>
      <w:r w:rsidR="005D51E9">
        <w:t xml:space="preserve">model </w:t>
      </w:r>
      <w:r w:rsidR="00CE3484">
        <w:t xml:space="preserve">is </w:t>
      </w:r>
      <w:r>
        <w:t>own</w:t>
      </w:r>
      <w:r w:rsidR="005D51E9">
        <w:t xml:space="preserve">ed by </w:t>
      </w:r>
      <w:r w:rsidR="001D2A90">
        <w:t>Meat and Livestock Australia (</w:t>
      </w:r>
      <w:r w:rsidR="005D51E9">
        <w:t>MLA</w:t>
      </w:r>
      <w:r w:rsidR="0000630A">
        <w:t>)/</w:t>
      </w:r>
      <w:r w:rsidR="005D51E9">
        <w:t>LiveCorp</w:t>
      </w:r>
      <w:r w:rsidR="00D35FF0">
        <w:t>)</w:t>
      </w:r>
      <w:r w:rsidR="005D51E9">
        <w:t xml:space="preserve"> with</w:t>
      </w:r>
      <w:r>
        <w:t xml:space="preserve"> </w:t>
      </w:r>
      <w:r w:rsidR="0000630A">
        <w:t xml:space="preserve">intellectual property </w:t>
      </w:r>
      <w:r>
        <w:t>considerations in regards to the model’s autho</w:t>
      </w:r>
      <w:r w:rsidR="005342B9">
        <w:t>r</w:t>
      </w:r>
      <w:r w:rsidR="005D51E9">
        <w:t>. M</w:t>
      </w:r>
      <w:r>
        <w:t xml:space="preserve">ost of the workings of the model are explained in the series of industry specific final </w:t>
      </w:r>
      <w:r w:rsidR="005342B9">
        <w:t>reports surrounding the subject.</w:t>
      </w:r>
    </w:p>
    <w:p w:rsidR="00A20D2C" w:rsidRDefault="00494583" w:rsidP="00C3346B">
      <w:pPr>
        <w:ind w:left="1701"/>
      </w:pPr>
      <w:r>
        <w:t>The industry model is based</w:t>
      </w:r>
      <w:r w:rsidR="00A20D2C">
        <w:t xml:space="preserve"> on the principle of the wet bulb rise. This is the rise in wet bulb temperature that occurs between the time the air comes into the hold and the time it leaves and r</w:t>
      </w:r>
      <w:r w:rsidR="00FC6AAA">
        <w:t>eflects the heat and water vapo</w:t>
      </w:r>
      <w:r w:rsidR="00CE3484">
        <w:t>u</w:t>
      </w:r>
      <w:r w:rsidR="00A20D2C">
        <w:t>r added to the air in the c</w:t>
      </w:r>
      <w:r w:rsidR="00DC34A4">
        <w:t xml:space="preserve">ourse of cooling </w:t>
      </w:r>
      <w:r w:rsidR="00A20D2C">
        <w:t>the animal.</w:t>
      </w:r>
      <w:r w:rsidR="00F75052">
        <w:t xml:space="preserve"> The higher the PAT the lower the wet bulb rise. Doubling the PAT</w:t>
      </w:r>
      <w:r w:rsidR="00DC34A4">
        <w:t xml:space="preserve"> halves</w:t>
      </w:r>
      <w:r w:rsidR="00F75052">
        <w:t xml:space="preserve"> the wet bulb rise. The anticipated rise is added to the ambient wet bulb temperature (the ambient challenge) and this is </w:t>
      </w:r>
      <w:r w:rsidR="00B23AE9">
        <w:t xml:space="preserve">then </w:t>
      </w:r>
      <w:r w:rsidR="00F75052">
        <w:t>compared to the animal’s tolerance. If the wet bulb challenge exceeds the tolerance level, hea</w:t>
      </w:r>
      <w:r w:rsidR="0019451A">
        <w:t>t stress will eventually ensue.</w:t>
      </w:r>
    </w:p>
    <w:p w:rsidR="00BB0E7C" w:rsidRDefault="00BB0E7C" w:rsidP="00C3346B">
      <w:pPr>
        <w:ind w:left="1701"/>
      </w:pPr>
      <w:r>
        <w:t xml:space="preserve">It is vital, therefore, that the claimed PAT of a vessel is accurate, since this will dictate </w:t>
      </w:r>
      <w:r w:rsidRPr="0000630A">
        <w:t>the exten</w:t>
      </w:r>
      <w:r w:rsidR="0000630A">
        <w:t>t</w:t>
      </w:r>
      <w:r>
        <w:t xml:space="preserve"> of stocking density reduction that might be required to ensure</w:t>
      </w:r>
      <w:r w:rsidR="00831777">
        <w:t xml:space="preserve"> that the heat tolerance levels</w:t>
      </w:r>
      <w:r>
        <w:t xml:space="preserve"> are not exceeded. Halving the stocking density will halve the wet bulb rise and this may stop the overall challenge fr</w:t>
      </w:r>
      <w:r w:rsidR="0019451A">
        <w:t>om exceeding critical levels.</w:t>
      </w:r>
    </w:p>
    <w:p w:rsidR="00FC06E5" w:rsidRDefault="005342B9" w:rsidP="00C3346B">
      <w:pPr>
        <w:ind w:left="1701"/>
      </w:pPr>
      <w:r>
        <w:t xml:space="preserve">Inherent in the model </w:t>
      </w:r>
      <w:r w:rsidR="0000630A">
        <w:t xml:space="preserve">is </w:t>
      </w:r>
      <w:r w:rsidR="00D77104">
        <w:t>the heat stress threshold</w:t>
      </w:r>
      <w:r>
        <w:t xml:space="preserve">. </w:t>
      </w:r>
      <w:r w:rsidR="00831777">
        <w:t>This is a contentious measure and there are several definitions in the literature. In the construct of the HSRA model it</w:t>
      </w:r>
      <w:r w:rsidR="00D77104">
        <w:t xml:space="preserve"> is the point at which animals go from shedding</w:t>
      </w:r>
      <w:r w:rsidR="005C5BCF">
        <w:t xml:space="preserve"> heat by passive means to utilis</w:t>
      </w:r>
      <w:r w:rsidR="00D77104">
        <w:t>ing more active means to remove heat from their body (i.e. raising their respi</w:t>
      </w:r>
      <w:r>
        <w:t xml:space="preserve">ratory rate and or sweating </w:t>
      </w:r>
      <w:r w:rsidR="00D77104">
        <w:t>in the case o</w:t>
      </w:r>
      <w:r>
        <w:t>f cattle</w:t>
      </w:r>
      <w:r w:rsidR="00610DDF">
        <w:t xml:space="preserve">). </w:t>
      </w:r>
      <w:r>
        <w:t xml:space="preserve">It is not the point at which animals are heat stressed. </w:t>
      </w:r>
      <w:r w:rsidR="00610DDF">
        <w:t xml:space="preserve">This will </w:t>
      </w:r>
      <w:r w:rsidR="00D77104">
        <w:t xml:space="preserve">coincide with a </w:t>
      </w:r>
      <w:r w:rsidR="00610DDF">
        <w:t xml:space="preserve">slight </w:t>
      </w:r>
      <w:r w:rsidR="00D77104">
        <w:t xml:space="preserve">rise in core body temperature as part of what is a normal and perfectly natural physiological response. </w:t>
      </w:r>
      <w:r w:rsidR="00610DDF">
        <w:t xml:space="preserve">This is the trigger to engage further heat loss mechanisms. </w:t>
      </w:r>
      <w:r w:rsidR="00D77104">
        <w:t>Without the ability to ‘buffer’ heat in the form of heat load, animals would have to match their heat loss mechanisms to the heat challenge in a way that would be far too precise to meet their normal daily activities.</w:t>
      </w:r>
    </w:p>
    <w:p w:rsidR="00A34AE9" w:rsidRDefault="00BB0E7C" w:rsidP="00C3346B">
      <w:pPr>
        <w:ind w:left="1701"/>
      </w:pPr>
      <w:r>
        <w:t>Disregarding, for now, the issue of duration of expo</w:t>
      </w:r>
      <w:r w:rsidR="00E61437">
        <w:t>sure, the question then becomes</w:t>
      </w:r>
      <w:r>
        <w:t xml:space="preserve"> </w:t>
      </w:r>
      <w:r w:rsidR="00E61437">
        <w:t>‘</w:t>
      </w:r>
      <w:r>
        <w:t xml:space="preserve">what level of </w:t>
      </w:r>
      <w:r w:rsidR="005342B9">
        <w:t xml:space="preserve">exposure to heat </w:t>
      </w:r>
      <w:r>
        <w:t>should</w:t>
      </w:r>
      <w:r w:rsidR="00610DDF">
        <w:t xml:space="preserve"> be deemed </w:t>
      </w:r>
      <w:r>
        <w:t>acceptable</w:t>
      </w:r>
      <w:r w:rsidR="00EC7718">
        <w:t>?’</w:t>
      </w:r>
      <w:r>
        <w:t xml:space="preserve">. </w:t>
      </w:r>
      <w:r w:rsidR="000E3836">
        <w:t xml:space="preserve">Sheep, because they are so limited in the way in which they shed heat from their skin, have </w:t>
      </w:r>
      <w:r w:rsidR="00610DDF">
        <w:t>developed</w:t>
      </w:r>
      <w:r w:rsidR="000E3836">
        <w:t xml:space="preserve"> an extraordinary </w:t>
      </w:r>
      <w:r w:rsidR="007778A2">
        <w:t xml:space="preserve">mechanism by which to shed heat from their body. Under challenge, sheep have the </w:t>
      </w:r>
      <w:r w:rsidR="002A6AA5">
        <w:t xml:space="preserve">unusual </w:t>
      </w:r>
      <w:r w:rsidR="007778A2">
        <w:t xml:space="preserve">ability to divert </w:t>
      </w:r>
      <w:r w:rsidR="002A6AA5">
        <w:t xml:space="preserve">a large part of </w:t>
      </w:r>
      <w:r w:rsidR="007778A2">
        <w:t xml:space="preserve">their normal blood flow to their nasal turbinates, and this, combined with an </w:t>
      </w:r>
      <w:r w:rsidR="002A6AA5">
        <w:t xml:space="preserve">elevated respiratory rate is a highly effective heat loss mechanism. The extent to which they can divert blood flow is quite staggering. </w:t>
      </w:r>
      <w:r w:rsidR="00C46F8F">
        <w:t>Sheep can divert up to 30% of their blood flow through their turbinates and upper respiratory tract (</w:t>
      </w:r>
      <w:r w:rsidR="00C46F8F" w:rsidRPr="007933A5">
        <w:t>Hales, 1967</w:t>
      </w:r>
      <w:r w:rsidR="00C46F8F">
        <w:t>)</w:t>
      </w:r>
      <w:r w:rsidR="00E8725E">
        <w:t xml:space="preserve"> in order to shed heat.</w:t>
      </w:r>
      <w:r w:rsidR="00E61437">
        <w:t xml:space="preserve"> </w:t>
      </w:r>
      <w:r w:rsidR="00E8725E">
        <w:t>Given this extraordinary adaptation, an elevated respiratory rate should not be seen in the same way as it would for say, a hum</w:t>
      </w:r>
      <w:r w:rsidR="00610DDF">
        <w:t>an or even cattle</w:t>
      </w:r>
      <w:r w:rsidR="005342B9">
        <w:t>.</w:t>
      </w:r>
    </w:p>
    <w:p w:rsidR="009C4F5B" w:rsidRDefault="007134EF" w:rsidP="00C3346B">
      <w:pPr>
        <w:ind w:left="1701"/>
      </w:pPr>
      <w:r>
        <w:t>There is a point, however, above which the welfare of the sheep is compromised and the Table 1 provides a basis upon which to make this assessment. This has been adapted from earlier tables. A heat stress score of 5 has been removed since this is the point at which an animal is essentially mo</w:t>
      </w:r>
      <w:r w:rsidR="00A115F2">
        <w:t xml:space="preserve">ribund. A heat stress score of 3 depicts the onset of </w:t>
      </w:r>
      <w:r>
        <w:t>heat stress</w:t>
      </w:r>
      <w:r w:rsidR="0019451A">
        <w:t>.</w:t>
      </w:r>
    </w:p>
    <w:p w:rsidR="009C4F5B" w:rsidRDefault="009C4F5B" w:rsidP="00C3346B">
      <w:pPr>
        <w:ind w:left="1701"/>
      </w:pPr>
      <w:r>
        <w:t>Without going into detail, the experimental work undertaken at Murdoch University (Stockman, 2007 and Barnes et al 2011) provides additional physiology to the above scores in terms of shifts in core body temperature, electrolyte balance (respiratory alkalosis) and other parameters.</w:t>
      </w:r>
    </w:p>
    <w:p w:rsidR="009C4F5B" w:rsidRDefault="00396399" w:rsidP="00C3346B">
      <w:pPr>
        <w:ind w:left="1701"/>
      </w:pPr>
      <w:r>
        <w:t xml:space="preserve">In keeping with a focus on welfare, this becomes the new tolerance limit within the industry </w:t>
      </w:r>
      <w:r w:rsidR="00173410">
        <w:t>HSRA</w:t>
      </w:r>
      <w:r>
        <w:t xml:space="preserve"> model.</w:t>
      </w:r>
      <w:r w:rsidR="00B355E7">
        <w:t xml:space="preserve"> The risk setting then becomes a 2% probability that 5% of the sheep will become heat stressed</w:t>
      </w:r>
      <w:r w:rsidR="003B41A5">
        <w:t xml:space="preserve"> (heat stress score 3</w:t>
      </w:r>
      <w:r w:rsidR="00AD063A">
        <w:t>)</w:t>
      </w:r>
      <w:r w:rsidR="00B355E7">
        <w:t>. This</w:t>
      </w:r>
      <w:r w:rsidR="009E1735">
        <w:t xml:space="preserve"> aligns with </w:t>
      </w:r>
      <w:r w:rsidR="00EB7F34">
        <w:t>t</w:t>
      </w:r>
      <w:r w:rsidR="00EB7F34" w:rsidRPr="00AB3810">
        <w:rPr>
          <w:lang w:eastAsia="ja-JP"/>
        </w:rPr>
        <w:t xml:space="preserve">he allowable stocking fraction with the animal criterion backed away </w:t>
      </w:r>
      <w:r w:rsidR="00C471F4">
        <w:rPr>
          <w:lang w:eastAsia="ja-JP"/>
        </w:rPr>
        <w:t>by 25% (</w:t>
      </w:r>
      <w:r w:rsidR="00EB7F34" w:rsidRPr="00AB3810">
        <w:rPr>
          <w:lang w:eastAsia="ja-JP"/>
        </w:rPr>
        <w:t>from mort</w:t>
      </w:r>
      <w:r w:rsidR="00AD063A">
        <w:rPr>
          <w:lang w:eastAsia="ja-JP"/>
        </w:rPr>
        <w:t>ality limit</w:t>
      </w:r>
      <w:r w:rsidR="00EB7F34" w:rsidRPr="00AB3810">
        <w:rPr>
          <w:lang w:eastAsia="ja-JP"/>
        </w:rPr>
        <w:t xml:space="preserve"> to</w:t>
      </w:r>
      <w:r w:rsidR="00ED4B51">
        <w:rPr>
          <w:lang w:eastAsia="ja-JP"/>
        </w:rPr>
        <w:t>ward</w:t>
      </w:r>
      <w:r w:rsidR="00EB7F34" w:rsidRPr="00AB3810">
        <w:rPr>
          <w:lang w:eastAsia="ja-JP"/>
        </w:rPr>
        <w:t xml:space="preserve"> the heat stress threshold</w:t>
      </w:r>
      <w:r w:rsidR="00C471F4">
        <w:rPr>
          <w:lang w:eastAsia="ja-JP"/>
        </w:rPr>
        <w:t>)</w:t>
      </w:r>
      <w:r w:rsidR="00EB7F34" w:rsidRPr="00AB3810">
        <w:rPr>
          <w:lang w:eastAsia="ja-JP"/>
        </w:rPr>
        <w:t>.</w:t>
      </w:r>
      <w:r w:rsidR="00173410">
        <w:t xml:space="preserve"> It is recommended that this risk setting be </w:t>
      </w:r>
      <w:r w:rsidR="009C4F5B">
        <w:t xml:space="preserve">incorporated into the new version of the industry HSRA model (version 5) and that this be </w:t>
      </w:r>
      <w:r w:rsidR="00E61437">
        <w:t>utilis</w:t>
      </w:r>
      <w:r w:rsidR="00173410">
        <w:t xml:space="preserve">ed </w:t>
      </w:r>
      <w:r w:rsidR="009C4F5B">
        <w:t>on all voyages carrying sheep to the Middle East during</w:t>
      </w:r>
      <w:r w:rsidR="00173410">
        <w:t xml:space="preserve"> of the forthcoming</w:t>
      </w:r>
      <w:r w:rsidR="0019451A">
        <w:t xml:space="preserve"> northern hemisphere summer.</w:t>
      </w:r>
    </w:p>
    <w:p w:rsidR="00C3346B" w:rsidRDefault="00C3346B">
      <w:pPr>
        <w:autoSpaceDE/>
        <w:autoSpaceDN/>
        <w:adjustRightInd/>
        <w:spacing w:after="0"/>
        <w:ind w:left="0"/>
        <w:jc w:val="left"/>
        <w:rPr>
          <w:b/>
          <w:lang w:eastAsia="ja-JP"/>
        </w:rPr>
      </w:pPr>
      <w:r>
        <w:rPr>
          <w:b/>
          <w:lang w:eastAsia="ja-JP"/>
        </w:rPr>
        <w:br w:type="page"/>
      </w:r>
    </w:p>
    <w:p w:rsidR="00AB3810" w:rsidRPr="00AB3810" w:rsidRDefault="00AB3810" w:rsidP="00C24556">
      <w:pPr>
        <w:rPr>
          <w:lang w:eastAsia="ja-JP"/>
        </w:rPr>
      </w:pPr>
      <w:r w:rsidRPr="00AB3810">
        <w:rPr>
          <w:b/>
          <w:lang w:eastAsia="ja-JP"/>
        </w:rPr>
        <w:t>Figure 1:</w:t>
      </w:r>
      <w:r w:rsidRPr="00AB3810">
        <w:rPr>
          <w:lang w:eastAsia="ja-JP"/>
        </w:rPr>
        <w:t xml:space="preserve"> </w:t>
      </w:r>
      <w:r w:rsidR="00EB7F34">
        <w:t>T</w:t>
      </w:r>
      <w:r w:rsidR="00EB7F34" w:rsidRPr="00AB3810">
        <w:rPr>
          <w:lang w:eastAsia="ja-JP"/>
        </w:rPr>
        <w:t>he allowable stocking fraction with the animal criterion backed away from mortality limit 25% of the way to the heat stress threshold.</w:t>
      </w:r>
    </w:p>
    <w:p w:rsidR="00CE3484" w:rsidRDefault="00AB3810" w:rsidP="00C24556">
      <w:r w:rsidRPr="008668C9">
        <w:rPr>
          <w:noProof/>
          <w:lang w:eastAsia="en-AU"/>
        </w:rPr>
        <w:drawing>
          <wp:inline distT="0" distB="0" distL="0" distR="0" wp14:anchorId="0BF5846E" wp14:editId="2D4B500C">
            <wp:extent cx="5728335" cy="3072966"/>
            <wp:effectExtent l="0" t="0" r="1206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0844" cy="3085041"/>
                    </a:xfrm>
                    <a:prstGeom prst="rect">
                      <a:avLst/>
                    </a:prstGeom>
                    <a:noFill/>
                    <a:ln>
                      <a:noFill/>
                    </a:ln>
                  </pic:spPr>
                </pic:pic>
              </a:graphicData>
            </a:graphic>
          </wp:inline>
        </w:drawing>
      </w:r>
    </w:p>
    <w:p w:rsidR="00760BFB" w:rsidRPr="001312A5" w:rsidRDefault="00AB3810" w:rsidP="00C24556">
      <w:pPr>
        <w:rPr>
          <w:i/>
          <w:sz w:val="20"/>
          <w:szCs w:val="20"/>
        </w:rPr>
      </w:pPr>
      <w:r w:rsidRPr="001312A5">
        <w:rPr>
          <w:i/>
          <w:sz w:val="20"/>
          <w:szCs w:val="20"/>
        </w:rPr>
        <w:t>Source: Work commissioned by MLA/LiveCorp ‘Effect of livestock heat stress risk standard on stocking densities for sheep on live export vessels’</w:t>
      </w:r>
    </w:p>
    <w:p w:rsidR="00977DB3" w:rsidRDefault="00843353" w:rsidP="00C3346B">
      <w:pPr>
        <w:ind w:left="1701"/>
      </w:pPr>
      <w:r>
        <w:t>D</w:t>
      </w:r>
      <w:r w:rsidR="00977DB3">
        <w:t xml:space="preserve">uration of exposure is an important dynamic in the development of heat stress. Without respite, sheep will take on heat load, and if this becomes excessive they may succumb to heat stress. On this basis, sustained </w:t>
      </w:r>
      <w:r w:rsidR="00CB3514">
        <w:t xml:space="preserve">exposure to heat </w:t>
      </w:r>
      <w:r w:rsidR="00977DB3">
        <w:t>may be</w:t>
      </w:r>
      <w:r w:rsidR="00DC3371">
        <w:t>come just</w:t>
      </w:r>
      <w:r w:rsidR="00977DB3">
        <w:t xml:space="preserve"> as intolerable as </w:t>
      </w:r>
      <w:r w:rsidR="00E038B4">
        <w:t>a short burst of severe heat stress</w:t>
      </w:r>
      <w:r w:rsidR="00E61437">
        <w:t>,</w:t>
      </w:r>
      <w:r w:rsidR="00E038B4">
        <w:t xml:space="preserve"> </w:t>
      </w:r>
      <w:r w:rsidR="00DC3371">
        <w:t xml:space="preserve">and this is important when </w:t>
      </w:r>
      <w:r w:rsidR="00FF7E96">
        <w:t xml:space="preserve">the risk </w:t>
      </w:r>
      <w:r w:rsidR="00DC3371">
        <w:t xml:space="preserve">is being simply compared to a wet bulb temperature. </w:t>
      </w:r>
      <w:r w:rsidR="00E038B4">
        <w:t>The industry HSRA model does not factor the duration of exposure in its current form.</w:t>
      </w:r>
      <w:r w:rsidR="00DC3371">
        <w:t xml:space="preserve"> </w:t>
      </w:r>
      <w:r w:rsidR="00B355E7">
        <w:t>It is recommended that duration of exposure be included in the HSRA model in any future version, and that this version be available for the</w:t>
      </w:r>
      <w:r w:rsidR="00173410">
        <w:t xml:space="preserve"> 2019 northern hemisphere summer.</w:t>
      </w:r>
    </w:p>
    <w:p w:rsidR="00B01357" w:rsidRDefault="00B01357" w:rsidP="00C3346B">
      <w:pPr>
        <w:ind w:left="1701"/>
      </w:pPr>
      <w:r>
        <w:t xml:space="preserve">The mechanical </w:t>
      </w:r>
      <w:r w:rsidR="008007ED">
        <w:t xml:space="preserve">ventilation </w:t>
      </w:r>
      <w:r>
        <w:t xml:space="preserve">system </w:t>
      </w:r>
      <w:r w:rsidR="0007024C">
        <w:t xml:space="preserve">used on livestock vessels </w:t>
      </w:r>
      <w:r>
        <w:t xml:space="preserve">works on very high air turnovers. Air conditioning has been contemplated on many an occasion but it requires </w:t>
      </w:r>
      <w:r w:rsidR="008007ED">
        <w:t xml:space="preserve">a </w:t>
      </w:r>
      <w:r>
        <w:t xml:space="preserve">low air turnover, and often </w:t>
      </w:r>
      <w:r w:rsidR="008007ED">
        <w:t xml:space="preserve">the </w:t>
      </w:r>
      <w:r>
        <w:t>recycling of air to be effective</w:t>
      </w:r>
      <w:r w:rsidR="008007ED">
        <w:t xml:space="preserve"> (and/or cost effective)</w:t>
      </w:r>
      <w:r>
        <w:t>. With the current available technology, this is not an option on livestock vessels. High turnovers are required to remove gases and lift moisture from the pad.</w:t>
      </w:r>
    </w:p>
    <w:p w:rsidR="00B272D5" w:rsidRDefault="00173410" w:rsidP="00C3346B">
      <w:pPr>
        <w:ind w:left="1701"/>
      </w:pPr>
      <w:r>
        <w:t xml:space="preserve">As mentioned previously, the HSRA model does not currently include a robust measure that relates to ventilation design (or the way in which air is delivered into the hold). The jetting column within the model could be used to factor ventilation design and it is </w:t>
      </w:r>
      <w:r w:rsidR="009C4F5B">
        <w:t xml:space="preserve">recommended that </w:t>
      </w:r>
      <w:r w:rsidR="00C93933">
        <w:t xml:space="preserve">this be included in a further </w:t>
      </w:r>
      <w:r w:rsidR="009C4F5B">
        <w:t xml:space="preserve">upgrade of </w:t>
      </w:r>
      <w:r>
        <w:t xml:space="preserve">the </w:t>
      </w:r>
      <w:r w:rsidR="00C93933">
        <w:t>HSRA model be undertaken and</w:t>
      </w:r>
      <w:r>
        <w:t xml:space="preserve"> be </w:t>
      </w:r>
      <w:r w:rsidR="00C93933">
        <w:t xml:space="preserve">made </w:t>
      </w:r>
      <w:r>
        <w:t xml:space="preserve">available for the 2019 northern </w:t>
      </w:r>
      <w:r w:rsidR="00971D49">
        <w:t xml:space="preserve">hemisphere </w:t>
      </w:r>
      <w:r>
        <w:t>summer.</w:t>
      </w:r>
    </w:p>
    <w:p w:rsidR="00626ECD" w:rsidRDefault="00626ECD">
      <w:pPr>
        <w:autoSpaceDE/>
        <w:autoSpaceDN/>
        <w:adjustRightInd/>
        <w:spacing w:after="0"/>
        <w:ind w:left="0"/>
        <w:jc w:val="left"/>
        <w:rPr>
          <w:b/>
          <w:i/>
        </w:rPr>
      </w:pPr>
      <w:r>
        <w:rPr>
          <w:b/>
          <w:i/>
        </w:rPr>
        <w:br w:type="page"/>
      </w:r>
    </w:p>
    <w:p w:rsidR="00B272D5" w:rsidRPr="00C3346B" w:rsidRDefault="00B272D5" w:rsidP="00C3346B">
      <w:pPr>
        <w:ind w:left="1701"/>
        <w:rPr>
          <w:b/>
          <w:i/>
        </w:rPr>
      </w:pPr>
      <w:r w:rsidRPr="00C3346B">
        <w:rPr>
          <w:b/>
          <w:i/>
        </w:rPr>
        <w:t>Best Resource(s):</w:t>
      </w:r>
    </w:p>
    <w:p w:rsidR="00B272D5" w:rsidRDefault="00B272D5" w:rsidP="00610E24">
      <w:pPr>
        <w:pStyle w:val="Default"/>
        <w:spacing w:after="100"/>
        <w:ind w:left="1701"/>
        <w:jc w:val="both"/>
        <w:rPr>
          <w:rFonts w:asciiTheme="minorHAnsi" w:hAnsiTheme="minorHAnsi"/>
          <w:bCs/>
        </w:rPr>
      </w:pPr>
      <w:r w:rsidRPr="00A25025">
        <w:rPr>
          <w:rFonts w:asciiTheme="minorHAnsi" w:hAnsiTheme="minorHAnsi"/>
          <w:bCs/>
        </w:rPr>
        <w:t>Barnes, A, Beatty, D, Taylor, E, Stockman, C, Maloney, S, McCarthy, M (2004) Physiology of Heat Stress in Cattle and Sheep (LIVE.209). Prepared by Murdoch University for MLA/Livecorp.</w:t>
      </w:r>
    </w:p>
    <w:p w:rsidR="00B272D5" w:rsidRPr="00F00B06" w:rsidRDefault="00B272D5" w:rsidP="00610E24">
      <w:pPr>
        <w:pStyle w:val="Default"/>
        <w:spacing w:after="100"/>
        <w:ind w:left="1701"/>
        <w:jc w:val="both"/>
        <w:rPr>
          <w:rFonts w:asciiTheme="minorHAnsi" w:hAnsiTheme="minorHAnsi"/>
          <w:bCs/>
        </w:rPr>
      </w:pPr>
      <w:r w:rsidRPr="00F00B06">
        <w:rPr>
          <w:rFonts w:asciiTheme="minorHAnsi" w:hAnsiTheme="minorHAnsi"/>
          <w:bCs/>
        </w:rPr>
        <w:t>MAMIC Pty Ltd (2000) Investigation of Ventilation Efficacy on Livestock Vessels</w:t>
      </w:r>
      <w:r>
        <w:rPr>
          <w:rFonts w:asciiTheme="minorHAnsi" w:hAnsiTheme="minorHAnsi"/>
          <w:bCs/>
        </w:rPr>
        <w:t>—</w:t>
      </w:r>
      <w:r w:rsidRPr="00F00B06">
        <w:rPr>
          <w:rFonts w:asciiTheme="minorHAnsi" w:hAnsiTheme="minorHAnsi"/>
          <w:bCs/>
        </w:rPr>
        <w:t xml:space="preserve">Final Report (SBMR.002A). Prepared for MLA/Livecorp. </w:t>
      </w:r>
    </w:p>
    <w:p w:rsidR="00B272D5" w:rsidRDefault="00B272D5" w:rsidP="00610E24">
      <w:pPr>
        <w:pStyle w:val="Default"/>
        <w:spacing w:after="100"/>
        <w:ind w:left="1701"/>
        <w:jc w:val="both"/>
        <w:rPr>
          <w:rFonts w:asciiTheme="minorHAnsi" w:hAnsiTheme="minorHAnsi"/>
          <w:bCs/>
        </w:rPr>
      </w:pPr>
      <w:r w:rsidRPr="00F00B06">
        <w:rPr>
          <w:rFonts w:asciiTheme="minorHAnsi" w:hAnsiTheme="minorHAnsi"/>
          <w:bCs/>
        </w:rPr>
        <w:t>MAMIC/Maunsell Pty Ltd (2003) Development of a Heat Stress Risk Assessment Model (LIVE.116). Prepared for MLA/Livecorp.</w:t>
      </w:r>
    </w:p>
    <w:p w:rsidR="00CB3514" w:rsidRPr="00C3346B" w:rsidRDefault="00CB3514" w:rsidP="00C3346B">
      <w:pPr>
        <w:ind w:left="1701"/>
        <w:rPr>
          <w:b/>
          <w:i/>
        </w:rPr>
      </w:pPr>
      <w:r w:rsidRPr="00C3346B">
        <w:rPr>
          <w:b/>
          <w:i/>
        </w:rPr>
        <w:t>Further reading:</w:t>
      </w:r>
    </w:p>
    <w:p w:rsidR="00B272D5" w:rsidRDefault="007442A4" w:rsidP="00610E24">
      <w:pPr>
        <w:pStyle w:val="Default"/>
        <w:spacing w:after="100"/>
        <w:ind w:left="1701"/>
        <w:jc w:val="both"/>
        <w:rPr>
          <w:rFonts w:asciiTheme="minorHAnsi" w:hAnsiTheme="minorHAnsi"/>
          <w:bCs/>
        </w:rPr>
      </w:pPr>
      <w:r>
        <w:rPr>
          <w:rFonts w:asciiTheme="minorHAnsi" w:hAnsiTheme="minorHAnsi"/>
          <w:bCs/>
        </w:rPr>
        <w:t xml:space="preserve">………. </w:t>
      </w:r>
      <w:r w:rsidR="00B272D5">
        <w:rPr>
          <w:rFonts w:asciiTheme="minorHAnsi" w:hAnsiTheme="minorHAnsi"/>
          <w:bCs/>
        </w:rPr>
        <w:t xml:space="preserve">refer to </w:t>
      </w:r>
      <w:r w:rsidR="00CB3514">
        <w:rPr>
          <w:rFonts w:asciiTheme="minorHAnsi" w:hAnsiTheme="minorHAnsi"/>
          <w:bCs/>
        </w:rPr>
        <w:t xml:space="preserve">list of references in the </w:t>
      </w:r>
      <w:r w:rsidR="00B272D5">
        <w:rPr>
          <w:rFonts w:asciiTheme="minorHAnsi" w:hAnsiTheme="minorHAnsi"/>
          <w:bCs/>
        </w:rPr>
        <w:t>appendices.</w:t>
      </w:r>
    </w:p>
    <w:p w:rsidR="00503254" w:rsidRDefault="00503254" w:rsidP="00C24556"/>
    <w:p w:rsidR="00173410" w:rsidRDefault="00173410" w:rsidP="00C24556"/>
    <w:p w:rsidR="000929D0" w:rsidRDefault="000929D0" w:rsidP="00C24556">
      <w:pPr>
        <w:sectPr w:rsidR="000929D0" w:rsidSect="00972D08">
          <w:footerReference w:type="even" r:id="rId10"/>
          <w:footerReference w:type="default" r:id="rId11"/>
          <w:footerReference w:type="first" r:id="rId12"/>
          <w:pgSz w:w="11900" w:h="16840"/>
          <w:pgMar w:top="1407" w:right="1440" w:bottom="1131" w:left="1440" w:header="498" w:footer="708" w:gutter="0"/>
          <w:cols w:space="708"/>
          <w:titlePg/>
          <w:docGrid w:linePitch="360"/>
        </w:sectPr>
      </w:pPr>
    </w:p>
    <w:p w:rsidR="000929D0" w:rsidRDefault="00A32906" w:rsidP="00C24556">
      <w:r w:rsidRPr="00C3346B">
        <w:rPr>
          <w:b/>
        </w:rPr>
        <w:t>Table 1.</w:t>
      </w:r>
      <w:r>
        <w:t xml:space="preserve"> </w:t>
      </w:r>
      <w:r w:rsidR="000929D0" w:rsidRPr="002C753D">
        <w:t>An amalgamation of heat stress indicators</w:t>
      </w:r>
    </w:p>
    <w:tbl>
      <w:tblPr>
        <w:tblStyle w:val="TableGrid"/>
        <w:tblW w:w="14513" w:type="dxa"/>
        <w:tblLook w:val="04A0" w:firstRow="1" w:lastRow="0" w:firstColumn="1" w:lastColumn="0" w:noHBand="0" w:noVBand="1"/>
      </w:tblPr>
      <w:tblGrid>
        <w:gridCol w:w="2778"/>
        <w:gridCol w:w="2948"/>
        <w:gridCol w:w="2551"/>
        <w:gridCol w:w="2041"/>
        <w:gridCol w:w="1757"/>
        <w:gridCol w:w="2438"/>
      </w:tblGrid>
      <w:tr w:rsidR="00FB0166" w:rsidRPr="00FB0166" w:rsidTr="00626ECD">
        <w:trPr>
          <w:trHeight w:val="680"/>
        </w:trPr>
        <w:tc>
          <w:tcPr>
            <w:tcW w:w="2778" w:type="dxa"/>
            <w:tcBorders>
              <w:top w:val="single" w:sz="18" w:space="0" w:color="auto"/>
              <w:left w:val="single" w:sz="18" w:space="0" w:color="auto"/>
              <w:bottom w:val="single" w:sz="18" w:space="0" w:color="auto"/>
              <w:right w:val="nil"/>
            </w:tcBorders>
            <w:shd w:val="clear" w:color="auto" w:fill="BDD6EE" w:themeFill="accent5" w:themeFillTint="66"/>
            <w:vAlign w:val="center"/>
          </w:tcPr>
          <w:p w:rsidR="006A1A3E" w:rsidRPr="00FB0166" w:rsidRDefault="006A1A3E" w:rsidP="00FB0166">
            <w:pPr>
              <w:spacing w:after="0"/>
              <w:ind w:left="-113"/>
              <w:jc w:val="center"/>
              <w:rPr>
                <w:b/>
                <w:sz w:val="22"/>
                <w:szCs w:val="22"/>
              </w:rPr>
            </w:pPr>
            <w:r w:rsidRPr="00FB0166">
              <w:rPr>
                <w:b/>
                <w:sz w:val="22"/>
                <w:szCs w:val="22"/>
              </w:rPr>
              <w:t>Heat Stress Score</w:t>
            </w:r>
          </w:p>
        </w:tc>
        <w:tc>
          <w:tcPr>
            <w:tcW w:w="2948" w:type="dxa"/>
            <w:tcBorders>
              <w:top w:val="single" w:sz="18" w:space="0" w:color="auto"/>
              <w:left w:val="nil"/>
              <w:bottom w:val="single" w:sz="18" w:space="0" w:color="auto"/>
              <w:right w:val="nil"/>
            </w:tcBorders>
            <w:shd w:val="clear" w:color="auto" w:fill="BDD6EE" w:themeFill="accent5" w:themeFillTint="66"/>
            <w:vAlign w:val="center"/>
          </w:tcPr>
          <w:p w:rsidR="006A1A3E" w:rsidRPr="00FB0166" w:rsidRDefault="006A1A3E" w:rsidP="00FB0166">
            <w:pPr>
              <w:spacing w:after="0"/>
              <w:ind w:left="0"/>
              <w:jc w:val="center"/>
              <w:rPr>
                <w:b/>
                <w:sz w:val="22"/>
                <w:szCs w:val="22"/>
              </w:rPr>
            </w:pPr>
            <w:r w:rsidRPr="00FB0166">
              <w:rPr>
                <w:b/>
                <w:sz w:val="22"/>
                <w:szCs w:val="22"/>
              </w:rPr>
              <w:t>Panting Score</w:t>
            </w:r>
          </w:p>
        </w:tc>
        <w:tc>
          <w:tcPr>
            <w:tcW w:w="2551" w:type="dxa"/>
            <w:tcBorders>
              <w:top w:val="single" w:sz="18" w:space="0" w:color="auto"/>
              <w:left w:val="nil"/>
              <w:bottom w:val="single" w:sz="18" w:space="0" w:color="auto"/>
              <w:right w:val="nil"/>
            </w:tcBorders>
            <w:shd w:val="clear" w:color="auto" w:fill="BDD6EE" w:themeFill="accent5" w:themeFillTint="66"/>
            <w:vAlign w:val="center"/>
          </w:tcPr>
          <w:p w:rsidR="006A1A3E" w:rsidRPr="00FB0166" w:rsidRDefault="006A1A3E" w:rsidP="00FB0166">
            <w:pPr>
              <w:spacing w:after="0"/>
              <w:ind w:left="-108"/>
              <w:jc w:val="center"/>
              <w:rPr>
                <w:b/>
                <w:sz w:val="22"/>
                <w:szCs w:val="22"/>
              </w:rPr>
            </w:pPr>
            <w:r w:rsidRPr="00FB0166">
              <w:rPr>
                <w:b/>
                <w:sz w:val="22"/>
                <w:szCs w:val="22"/>
              </w:rPr>
              <w:t>Respiratory Rate</w:t>
            </w:r>
            <w:r w:rsidR="004A2C02" w:rsidRPr="00FB0166">
              <w:rPr>
                <w:b/>
                <w:sz w:val="22"/>
                <w:szCs w:val="22"/>
              </w:rPr>
              <w:t xml:space="preserve"> (RR)</w:t>
            </w:r>
          </w:p>
        </w:tc>
        <w:tc>
          <w:tcPr>
            <w:tcW w:w="2041" w:type="dxa"/>
            <w:tcBorders>
              <w:top w:val="single" w:sz="18" w:space="0" w:color="auto"/>
              <w:left w:val="nil"/>
              <w:bottom w:val="single" w:sz="18" w:space="0" w:color="auto"/>
              <w:right w:val="nil"/>
            </w:tcBorders>
            <w:shd w:val="clear" w:color="auto" w:fill="BDD6EE" w:themeFill="accent5" w:themeFillTint="66"/>
            <w:vAlign w:val="center"/>
          </w:tcPr>
          <w:p w:rsidR="006A1A3E" w:rsidRPr="00FB0166" w:rsidRDefault="006A1A3E" w:rsidP="00FB0166">
            <w:pPr>
              <w:spacing w:after="0"/>
              <w:ind w:left="-16"/>
              <w:jc w:val="center"/>
              <w:rPr>
                <w:b/>
                <w:sz w:val="22"/>
                <w:szCs w:val="22"/>
              </w:rPr>
            </w:pPr>
            <w:r w:rsidRPr="00FB0166">
              <w:rPr>
                <w:b/>
                <w:sz w:val="22"/>
                <w:szCs w:val="22"/>
              </w:rPr>
              <w:t>Respiratory Character</w:t>
            </w:r>
          </w:p>
        </w:tc>
        <w:tc>
          <w:tcPr>
            <w:tcW w:w="1757" w:type="dxa"/>
            <w:tcBorders>
              <w:top w:val="single" w:sz="18" w:space="0" w:color="auto"/>
              <w:left w:val="nil"/>
              <w:bottom w:val="single" w:sz="18" w:space="0" w:color="auto"/>
              <w:right w:val="nil"/>
            </w:tcBorders>
            <w:shd w:val="clear" w:color="auto" w:fill="BDD6EE" w:themeFill="accent5" w:themeFillTint="66"/>
            <w:vAlign w:val="center"/>
          </w:tcPr>
          <w:p w:rsidR="006A1A3E" w:rsidRPr="00FB0166" w:rsidRDefault="006A1A3E" w:rsidP="00FB0166">
            <w:pPr>
              <w:spacing w:after="0"/>
              <w:ind w:left="0"/>
              <w:jc w:val="center"/>
              <w:rPr>
                <w:b/>
                <w:sz w:val="22"/>
                <w:szCs w:val="22"/>
              </w:rPr>
            </w:pPr>
            <w:r w:rsidRPr="00FB0166">
              <w:rPr>
                <w:b/>
                <w:sz w:val="22"/>
                <w:szCs w:val="22"/>
              </w:rPr>
              <w:t>Appearance</w:t>
            </w:r>
            <w:r w:rsidR="0038522A" w:rsidRPr="00FB0166">
              <w:rPr>
                <w:b/>
                <w:sz w:val="22"/>
                <w:szCs w:val="22"/>
              </w:rPr>
              <w:t xml:space="preserve"> or demeano</w:t>
            </w:r>
            <w:r w:rsidR="00626ECD">
              <w:rPr>
                <w:b/>
                <w:sz w:val="22"/>
                <w:szCs w:val="22"/>
              </w:rPr>
              <w:t>u</w:t>
            </w:r>
            <w:r w:rsidR="0038522A" w:rsidRPr="00FB0166">
              <w:rPr>
                <w:b/>
                <w:sz w:val="22"/>
                <w:szCs w:val="22"/>
              </w:rPr>
              <w:t>r</w:t>
            </w:r>
          </w:p>
        </w:tc>
        <w:tc>
          <w:tcPr>
            <w:tcW w:w="2438" w:type="dxa"/>
            <w:tcBorders>
              <w:top w:val="single" w:sz="18" w:space="0" w:color="auto"/>
              <w:left w:val="nil"/>
              <w:bottom w:val="single" w:sz="18" w:space="0" w:color="auto"/>
              <w:right w:val="single" w:sz="18" w:space="0" w:color="auto"/>
            </w:tcBorders>
            <w:shd w:val="clear" w:color="auto" w:fill="BDD6EE" w:themeFill="accent5" w:themeFillTint="66"/>
            <w:vAlign w:val="center"/>
          </w:tcPr>
          <w:p w:rsidR="006A1A3E" w:rsidRPr="00FB0166" w:rsidRDefault="00A437BF" w:rsidP="00FB0166">
            <w:pPr>
              <w:spacing w:after="0"/>
              <w:ind w:left="0"/>
              <w:jc w:val="center"/>
              <w:rPr>
                <w:b/>
                <w:sz w:val="22"/>
                <w:szCs w:val="22"/>
              </w:rPr>
            </w:pPr>
            <w:r w:rsidRPr="00FB0166">
              <w:rPr>
                <w:b/>
                <w:sz w:val="22"/>
                <w:szCs w:val="22"/>
              </w:rPr>
              <w:t>Extrapolated</w:t>
            </w:r>
            <w:r w:rsidR="007F3F13" w:rsidRPr="00FB0166">
              <w:rPr>
                <w:b/>
                <w:sz w:val="22"/>
                <w:szCs w:val="22"/>
              </w:rPr>
              <w:t xml:space="preserve"> </w:t>
            </w:r>
            <w:r w:rsidR="0066641B" w:rsidRPr="00FB0166">
              <w:rPr>
                <w:b/>
                <w:sz w:val="22"/>
                <w:szCs w:val="22"/>
              </w:rPr>
              <w:t>percentage</w:t>
            </w:r>
            <w:r w:rsidR="006A1A3E" w:rsidRPr="00FB0166">
              <w:rPr>
                <w:b/>
                <w:sz w:val="22"/>
                <w:szCs w:val="22"/>
              </w:rPr>
              <w:t xml:space="preserve"> of ML</w:t>
            </w:r>
            <w:r w:rsidR="00916798" w:rsidRPr="00FB0166">
              <w:rPr>
                <w:b/>
                <w:sz w:val="22"/>
                <w:szCs w:val="22"/>
              </w:rPr>
              <w:t xml:space="preserve"> </w:t>
            </w:r>
            <w:r w:rsidR="00F902C7" w:rsidRPr="00FB0166">
              <w:rPr>
                <w:b/>
                <w:sz w:val="22"/>
                <w:szCs w:val="22"/>
              </w:rPr>
              <w:t>with</w:t>
            </w:r>
            <w:r w:rsidR="007F3F13" w:rsidRPr="00FB0166">
              <w:rPr>
                <w:b/>
                <w:sz w:val="22"/>
                <w:szCs w:val="22"/>
              </w:rPr>
              <w:t xml:space="preserve">in the HSRA </w:t>
            </w:r>
            <w:r w:rsidR="00182858" w:rsidRPr="00FB0166">
              <w:rPr>
                <w:b/>
                <w:sz w:val="22"/>
                <w:szCs w:val="22"/>
              </w:rPr>
              <w:t>model</w:t>
            </w:r>
          </w:p>
        </w:tc>
      </w:tr>
      <w:tr w:rsidR="00FB0166" w:rsidRPr="007134EF" w:rsidTr="00626ECD">
        <w:trPr>
          <w:trHeight w:val="316"/>
        </w:trPr>
        <w:tc>
          <w:tcPr>
            <w:tcW w:w="2778" w:type="dxa"/>
            <w:tcBorders>
              <w:top w:val="single" w:sz="18" w:space="0" w:color="auto"/>
              <w:left w:val="single" w:sz="18" w:space="0" w:color="auto"/>
              <w:bottom w:val="nil"/>
              <w:right w:val="nil"/>
            </w:tcBorders>
            <w:vAlign w:val="center"/>
          </w:tcPr>
          <w:p w:rsidR="006A1A3E" w:rsidRPr="007134EF" w:rsidRDefault="004A2C02" w:rsidP="00B5685A">
            <w:pPr>
              <w:spacing w:after="0"/>
              <w:ind w:left="29"/>
              <w:jc w:val="left"/>
            </w:pPr>
            <w:r>
              <w:t>0—</w:t>
            </w:r>
            <w:r w:rsidR="006A1A3E" w:rsidRPr="007134EF">
              <w:t>Normal</w:t>
            </w:r>
          </w:p>
        </w:tc>
        <w:tc>
          <w:tcPr>
            <w:tcW w:w="2948" w:type="dxa"/>
            <w:tcBorders>
              <w:top w:val="single" w:sz="18" w:space="0" w:color="auto"/>
              <w:left w:val="nil"/>
              <w:bottom w:val="nil"/>
              <w:right w:val="nil"/>
            </w:tcBorders>
            <w:vAlign w:val="center"/>
          </w:tcPr>
          <w:p w:rsidR="006A1A3E" w:rsidRPr="007134EF" w:rsidRDefault="004A2C02" w:rsidP="00B5685A">
            <w:pPr>
              <w:spacing w:after="0"/>
              <w:ind w:left="34"/>
              <w:jc w:val="left"/>
            </w:pPr>
            <w:r>
              <w:t>0—</w:t>
            </w:r>
            <w:r w:rsidR="006A1A3E" w:rsidRPr="007134EF">
              <w:t>Normal</w:t>
            </w:r>
          </w:p>
        </w:tc>
        <w:tc>
          <w:tcPr>
            <w:tcW w:w="2551" w:type="dxa"/>
            <w:tcBorders>
              <w:top w:val="single" w:sz="18" w:space="0" w:color="auto"/>
              <w:left w:val="nil"/>
              <w:bottom w:val="nil"/>
              <w:right w:val="nil"/>
            </w:tcBorders>
            <w:vAlign w:val="center"/>
          </w:tcPr>
          <w:p w:rsidR="006A1A3E" w:rsidRPr="007134EF" w:rsidRDefault="004A2C02" w:rsidP="00B5685A">
            <w:pPr>
              <w:spacing w:after="0"/>
              <w:ind w:left="-108"/>
              <w:jc w:val="center"/>
            </w:pPr>
            <w:r>
              <w:t>25–</w:t>
            </w:r>
            <w:r w:rsidR="006A1A3E" w:rsidRPr="007134EF">
              <w:t>80</w:t>
            </w:r>
          </w:p>
        </w:tc>
        <w:tc>
          <w:tcPr>
            <w:tcW w:w="2041" w:type="dxa"/>
            <w:tcBorders>
              <w:top w:val="single" w:sz="18" w:space="0" w:color="auto"/>
              <w:left w:val="nil"/>
              <w:bottom w:val="nil"/>
              <w:right w:val="nil"/>
            </w:tcBorders>
            <w:vAlign w:val="center"/>
          </w:tcPr>
          <w:p w:rsidR="006A1A3E" w:rsidRPr="007134EF" w:rsidRDefault="006A1A3E" w:rsidP="00B5685A">
            <w:pPr>
              <w:spacing w:after="0"/>
              <w:ind w:left="-16"/>
              <w:jc w:val="center"/>
            </w:pPr>
            <w:r w:rsidRPr="007134EF">
              <w:t>Normal</w:t>
            </w:r>
          </w:p>
        </w:tc>
        <w:tc>
          <w:tcPr>
            <w:tcW w:w="1757" w:type="dxa"/>
            <w:tcBorders>
              <w:top w:val="single" w:sz="18" w:space="0" w:color="auto"/>
              <w:left w:val="nil"/>
              <w:bottom w:val="nil"/>
              <w:right w:val="nil"/>
            </w:tcBorders>
            <w:vAlign w:val="center"/>
          </w:tcPr>
          <w:p w:rsidR="006A1A3E" w:rsidRPr="007134EF" w:rsidRDefault="006A1A3E" w:rsidP="00B5685A">
            <w:pPr>
              <w:spacing w:after="0"/>
              <w:ind w:left="0"/>
              <w:jc w:val="center"/>
            </w:pPr>
            <w:r w:rsidRPr="007134EF">
              <w:t>Normal</w:t>
            </w:r>
          </w:p>
        </w:tc>
        <w:tc>
          <w:tcPr>
            <w:tcW w:w="2438" w:type="dxa"/>
            <w:tcBorders>
              <w:top w:val="single" w:sz="18" w:space="0" w:color="auto"/>
              <w:left w:val="nil"/>
              <w:bottom w:val="nil"/>
              <w:right w:val="single" w:sz="18" w:space="0" w:color="auto"/>
            </w:tcBorders>
            <w:vAlign w:val="center"/>
          </w:tcPr>
          <w:p w:rsidR="006A1A3E" w:rsidRPr="007134EF" w:rsidRDefault="006A1A3E" w:rsidP="00B5685A">
            <w:pPr>
              <w:spacing w:after="0"/>
              <w:ind w:left="0"/>
              <w:jc w:val="center"/>
            </w:pPr>
            <w:r w:rsidRPr="007134EF">
              <w:t>0</w:t>
            </w:r>
          </w:p>
        </w:tc>
      </w:tr>
      <w:tr w:rsidR="00FB0166" w:rsidRPr="007134EF" w:rsidTr="00626ECD">
        <w:tc>
          <w:tcPr>
            <w:tcW w:w="2778" w:type="dxa"/>
            <w:tcBorders>
              <w:top w:val="nil"/>
              <w:left w:val="single" w:sz="18" w:space="0" w:color="auto"/>
              <w:bottom w:val="nil"/>
              <w:right w:val="nil"/>
            </w:tcBorders>
            <w:vAlign w:val="center"/>
          </w:tcPr>
          <w:p w:rsidR="006A1A3E" w:rsidRPr="007134EF" w:rsidRDefault="004A2C02" w:rsidP="00B5685A">
            <w:pPr>
              <w:spacing w:after="0"/>
              <w:ind w:left="29"/>
              <w:jc w:val="left"/>
            </w:pPr>
            <w:r>
              <w:t>1—</w:t>
            </w:r>
            <w:r w:rsidR="006A1A3E" w:rsidRPr="007134EF">
              <w:t>Elevated respiratory rate</w:t>
            </w:r>
          </w:p>
        </w:tc>
        <w:tc>
          <w:tcPr>
            <w:tcW w:w="2948" w:type="dxa"/>
            <w:tcBorders>
              <w:top w:val="nil"/>
              <w:left w:val="nil"/>
              <w:bottom w:val="nil"/>
              <w:right w:val="nil"/>
            </w:tcBorders>
            <w:vAlign w:val="center"/>
          </w:tcPr>
          <w:p w:rsidR="006A1A3E" w:rsidRPr="007134EF" w:rsidRDefault="004A2C02" w:rsidP="00B5685A">
            <w:pPr>
              <w:spacing w:after="0"/>
              <w:ind w:left="34"/>
              <w:jc w:val="left"/>
            </w:pPr>
            <w:r>
              <w:t>1—</w:t>
            </w:r>
            <w:r w:rsidR="006A1A3E" w:rsidRPr="007134EF">
              <w:t>Normal (elevated RR)</w:t>
            </w:r>
          </w:p>
        </w:tc>
        <w:tc>
          <w:tcPr>
            <w:tcW w:w="2551" w:type="dxa"/>
            <w:tcBorders>
              <w:top w:val="nil"/>
              <w:left w:val="nil"/>
              <w:bottom w:val="nil"/>
              <w:right w:val="nil"/>
            </w:tcBorders>
            <w:vAlign w:val="center"/>
          </w:tcPr>
          <w:p w:rsidR="006A1A3E" w:rsidRPr="007134EF" w:rsidRDefault="004A2C02" w:rsidP="00B5685A">
            <w:pPr>
              <w:spacing w:after="0"/>
              <w:ind w:left="-108"/>
              <w:jc w:val="center"/>
            </w:pPr>
            <w:r>
              <w:t>80–</w:t>
            </w:r>
            <w:r w:rsidR="006A1A3E" w:rsidRPr="007134EF">
              <w:t>100</w:t>
            </w:r>
          </w:p>
        </w:tc>
        <w:tc>
          <w:tcPr>
            <w:tcW w:w="2041" w:type="dxa"/>
            <w:tcBorders>
              <w:top w:val="nil"/>
              <w:left w:val="nil"/>
              <w:bottom w:val="nil"/>
              <w:right w:val="nil"/>
            </w:tcBorders>
            <w:vAlign w:val="center"/>
          </w:tcPr>
          <w:p w:rsidR="006A1A3E" w:rsidRPr="007134EF" w:rsidRDefault="006A1A3E" w:rsidP="00B5685A">
            <w:pPr>
              <w:spacing w:after="0"/>
              <w:ind w:left="-16"/>
              <w:jc w:val="center"/>
            </w:pPr>
            <w:r w:rsidRPr="007134EF">
              <w:t>Increased RR</w:t>
            </w:r>
          </w:p>
        </w:tc>
        <w:tc>
          <w:tcPr>
            <w:tcW w:w="1757" w:type="dxa"/>
            <w:tcBorders>
              <w:top w:val="nil"/>
              <w:left w:val="nil"/>
              <w:bottom w:val="nil"/>
              <w:right w:val="nil"/>
            </w:tcBorders>
            <w:vAlign w:val="center"/>
          </w:tcPr>
          <w:p w:rsidR="006A1A3E" w:rsidRPr="007134EF" w:rsidRDefault="00173410" w:rsidP="00B5685A">
            <w:pPr>
              <w:spacing w:after="0"/>
              <w:ind w:left="0"/>
              <w:jc w:val="center"/>
            </w:pPr>
            <w:r>
              <w:t>Normal</w:t>
            </w:r>
          </w:p>
        </w:tc>
        <w:tc>
          <w:tcPr>
            <w:tcW w:w="2438" w:type="dxa"/>
            <w:tcBorders>
              <w:top w:val="nil"/>
              <w:left w:val="nil"/>
              <w:bottom w:val="nil"/>
              <w:right w:val="single" w:sz="18" w:space="0" w:color="auto"/>
            </w:tcBorders>
            <w:vAlign w:val="center"/>
          </w:tcPr>
          <w:p w:rsidR="006A1A3E" w:rsidRPr="007134EF" w:rsidRDefault="004A2C02" w:rsidP="00B5685A">
            <w:pPr>
              <w:spacing w:after="0"/>
              <w:ind w:left="0"/>
              <w:jc w:val="center"/>
            </w:pPr>
            <w:r>
              <w:t>0–</w:t>
            </w:r>
            <w:r w:rsidR="00B004AB">
              <w:t>3</w:t>
            </w:r>
            <w:r w:rsidR="006A1A3E" w:rsidRPr="007134EF">
              <w:t>5</w:t>
            </w:r>
          </w:p>
        </w:tc>
      </w:tr>
      <w:tr w:rsidR="00FB0166" w:rsidRPr="007134EF" w:rsidTr="00626ECD">
        <w:trPr>
          <w:trHeight w:val="367"/>
        </w:trPr>
        <w:tc>
          <w:tcPr>
            <w:tcW w:w="2778" w:type="dxa"/>
            <w:tcBorders>
              <w:top w:val="nil"/>
              <w:left w:val="single" w:sz="18" w:space="0" w:color="auto"/>
              <w:bottom w:val="single" w:sz="18" w:space="0" w:color="auto"/>
              <w:right w:val="nil"/>
            </w:tcBorders>
            <w:vAlign w:val="center"/>
          </w:tcPr>
          <w:p w:rsidR="006A1A3E" w:rsidRPr="007134EF" w:rsidRDefault="004A2C02" w:rsidP="00B5685A">
            <w:pPr>
              <w:spacing w:after="0"/>
              <w:ind w:left="29"/>
              <w:jc w:val="left"/>
            </w:pPr>
            <w:r>
              <w:t>2—</w:t>
            </w:r>
            <w:r w:rsidR="002C7F6C">
              <w:t>H</w:t>
            </w:r>
            <w:r w:rsidR="006A1A3E" w:rsidRPr="007134EF">
              <w:t>eat affected</w:t>
            </w:r>
          </w:p>
        </w:tc>
        <w:tc>
          <w:tcPr>
            <w:tcW w:w="2948" w:type="dxa"/>
            <w:tcBorders>
              <w:top w:val="nil"/>
              <w:left w:val="nil"/>
              <w:bottom w:val="single" w:sz="18" w:space="0" w:color="auto"/>
              <w:right w:val="nil"/>
            </w:tcBorders>
            <w:vAlign w:val="center"/>
          </w:tcPr>
          <w:p w:rsidR="006A1A3E" w:rsidRPr="007134EF" w:rsidRDefault="004A2C02" w:rsidP="00B5685A">
            <w:pPr>
              <w:spacing w:after="0"/>
              <w:ind w:left="34"/>
              <w:jc w:val="left"/>
            </w:pPr>
            <w:r>
              <w:t>2—</w:t>
            </w:r>
            <w:r w:rsidR="006A1A3E" w:rsidRPr="007134EF">
              <w:t>Mild panting</w:t>
            </w:r>
          </w:p>
        </w:tc>
        <w:tc>
          <w:tcPr>
            <w:tcW w:w="2551" w:type="dxa"/>
            <w:tcBorders>
              <w:top w:val="nil"/>
              <w:left w:val="nil"/>
              <w:bottom w:val="single" w:sz="18" w:space="0" w:color="auto"/>
              <w:right w:val="nil"/>
            </w:tcBorders>
            <w:vAlign w:val="center"/>
          </w:tcPr>
          <w:p w:rsidR="006A1A3E" w:rsidRPr="007134EF" w:rsidRDefault="004A2C02" w:rsidP="00B5685A">
            <w:pPr>
              <w:spacing w:after="0"/>
              <w:ind w:left="-108"/>
              <w:jc w:val="center"/>
            </w:pPr>
            <w:r>
              <w:t>100–</w:t>
            </w:r>
            <w:r w:rsidR="00B004AB">
              <w:t>16</w:t>
            </w:r>
            <w:r w:rsidR="006A1A3E" w:rsidRPr="007134EF">
              <w:t>0</w:t>
            </w:r>
          </w:p>
        </w:tc>
        <w:tc>
          <w:tcPr>
            <w:tcW w:w="2041" w:type="dxa"/>
            <w:tcBorders>
              <w:top w:val="nil"/>
              <w:left w:val="nil"/>
              <w:bottom w:val="single" w:sz="18" w:space="0" w:color="auto"/>
              <w:right w:val="nil"/>
            </w:tcBorders>
            <w:vAlign w:val="center"/>
          </w:tcPr>
          <w:p w:rsidR="006A1A3E" w:rsidRPr="007134EF" w:rsidRDefault="006A1A3E" w:rsidP="00B5685A">
            <w:pPr>
              <w:spacing w:after="0"/>
              <w:ind w:left="-16"/>
              <w:jc w:val="center"/>
            </w:pPr>
            <w:r w:rsidRPr="007134EF">
              <w:t>Rapid RR</w:t>
            </w:r>
          </w:p>
        </w:tc>
        <w:tc>
          <w:tcPr>
            <w:tcW w:w="1757" w:type="dxa"/>
            <w:tcBorders>
              <w:top w:val="nil"/>
              <w:left w:val="nil"/>
              <w:bottom w:val="single" w:sz="18" w:space="0" w:color="auto"/>
              <w:right w:val="nil"/>
            </w:tcBorders>
            <w:vAlign w:val="center"/>
          </w:tcPr>
          <w:p w:rsidR="006A1A3E" w:rsidRPr="007134EF" w:rsidRDefault="002C7F6C" w:rsidP="00B5685A">
            <w:pPr>
              <w:spacing w:after="0"/>
              <w:ind w:left="0"/>
              <w:jc w:val="center"/>
            </w:pPr>
            <w:r>
              <w:t>D</w:t>
            </w:r>
            <w:r w:rsidR="006A1A3E" w:rsidRPr="007134EF">
              <w:t>iscomfort</w:t>
            </w:r>
          </w:p>
        </w:tc>
        <w:tc>
          <w:tcPr>
            <w:tcW w:w="2438" w:type="dxa"/>
            <w:tcBorders>
              <w:top w:val="nil"/>
              <w:left w:val="nil"/>
              <w:bottom w:val="single" w:sz="18" w:space="0" w:color="auto"/>
              <w:right w:val="single" w:sz="18" w:space="0" w:color="auto"/>
            </w:tcBorders>
            <w:vAlign w:val="center"/>
          </w:tcPr>
          <w:p w:rsidR="006A1A3E" w:rsidRPr="007134EF" w:rsidRDefault="00B004AB" w:rsidP="00B5685A">
            <w:pPr>
              <w:spacing w:after="0"/>
              <w:ind w:left="0"/>
              <w:jc w:val="center"/>
            </w:pPr>
            <w:r>
              <w:t>36–75</w:t>
            </w:r>
          </w:p>
        </w:tc>
      </w:tr>
      <w:tr w:rsidR="00FB0166" w:rsidRPr="007134EF" w:rsidTr="00626ECD">
        <w:trPr>
          <w:trHeight w:val="395"/>
        </w:trPr>
        <w:tc>
          <w:tcPr>
            <w:tcW w:w="2778" w:type="dxa"/>
            <w:tcBorders>
              <w:top w:val="single" w:sz="18" w:space="0" w:color="auto"/>
              <w:left w:val="single" w:sz="18" w:space="0" w:color="auto"/>
              <w:bottom w:val="nil"/>
              <w:right w:val="nil"/>
            </w:tcBorders>
            <w:vAlign w:val="center"/>
          </w:tcPr>
          <w:p w:rsidR="006A1A3E" w:rsidRPr="007134EF" w:rsidRDefault="004A2C02" w:rsidP="00B5685A">
            <w:pPr>
              <w:spacing w:after="0"/>
              <w:ind w:left="29"/>
              <w:jc w:val="left"/>
            </w:pPr>
            <w:r>
              <w:t>3—</w:t>
            </w:r>
            <w:r w:rsidR="002C7F6C">
              <w:t>O</w:t>
            </w:r>
            <w:r w:rsidR="00B004AB">
              <w:t>nset of heat stress</w:t>
            </w:r>
          </w:p>
        </w:tc>
        <w:tc>
          <w:tcPr>
            <w:tcW w:w="2948" w:type="dxa"/>
            <w:tcBorders>
              <w:top w:val="single" w:sz="18" w:space="0" w:color="auto"/>
              <w:left w:val="nil"/>
              <w:bottom w:val="nil"/>
              <w:right w:val="nil"/>
            </w:tcBorders>
            <w:vAlign w:val="center"/>
          </w:tcPr>
          <w:p w:rsidR="006A1A3E" w:rsidRPr="007134EF" w:rsidRDefault="004A2C02" w:rsidP="00B5685A">
            <w:pPr>
              <w:spacing w:after="0"/>
              <w:ind w:left="34"/>
              <w:jc w:val="left"/>
            </w:pPr>
            <w:r>
              <w:t>3—</w:t>
            </w:r>
            <w:r w:rsidR="00B004AB">
              <w:t>Open mouth panting</w:t>
            </w:r>
          </w:p>
        </w:tc>
        <w:tc>
          <w:tcPr>
            <w:tcW w:w="2551" w:type="dxa"/>
            <w:tcBorders>
              <w:top w:val="single" w:sz="18" w:space="0" w:color="auto"/>
              <w:left w:val="nil"/>
              <w:bottom w:val="nil"/>
              <w:right w:val="nil"/>
            </w:tcBorders>
            <w:vAlign w:val="center"/>
          </w:tcPr>
          <w:p w:rsidR="006A1A3E" w:rsidRPr="007134EF" w:rsidRDefault="004A2C02" w:rsidP="00B5685A">
            <w:pPr>
              <w:spacing w:after="0"/>
              <w:ind w:left="-108"/>
              <w:jc w:val="center"/>
            </w:pPr>
            <w:r>
              <w:t>1</w:t>
            </w:r>
            <w:r w:rsidR="00B004AB">
              <w:t>60</w:t>
            </w:r>
            <w:r>
              <w:t>–</w:t>
            </w:r>
            <w:r w:rsidR="002C7F6C">
              <w:t>22</w:t>
            </w:r>
            <w:r w:rsidR="006A1A3E" w:rsidRPr="007134EF">
              <w:t>0</w:t>
            </w:r>
          </w:p>
        </w:tc>
        <w:tc>
          <w:tcPr>
            <w:tcW w:w="2041" w:type="dxa"/>
            <w:tcBorders>
              <w:top w:val="single" w:sz="18" w:space="0" w:color="auto"/>
              <w:left w:val="nil"/>
              <w:bottom w:val="nil"/>
              <w:right w:val="nil"/>
            </w:tcBorders>
            <w:vAlign w:val="center"/>
          </w:tcPr>
          <w:p w:rsidR="006A1A3E" w:rsidRPr="007134EF" w:rsidRDefault="006A1A3E" w:rsidP="00B5685A">
            <w:pPr>
              <w:spacing w:after="0"/>
              <w:ind w:left="-16"/>
              <w:jc w:val="center"/>
            </w:pPr>
            <w:r w:rsidRPr="007134EF">
              <w:t>Labo</w:t>
            </w:r>
            <w:r w:rsidR="00B5685A">
              <w:t>u</w:t>
            </w:r>
            <w:r w:rsidRPr="007134EF">
              <w:t>red</w:t>
            </w:r>
          </w:p>
        </w:tc>
        <w:tc>
          <w:tcPr>
            <w:tcW w:w="1757" w:type="dxa"/>
            <w:tcBorders>
              <w:top w:val="single" w:sz="18" w:space="0" w:color="auto"/>
              <w:left w:val="nil"/>
              <w:bottom w:val="nil"/>
              <w:right w:val="nil"/>
            </w:tcBorders>
            <w:vAlign w:val="center"/>
          </w:tcPr>
          <w:p w:rsidR="006A1A3E" w:rsidRPr="007134EF" w:rsidRDefault="002C7F6C" w:rsidP="00B5685A">
            <w:pPr>
              <w:spacing w:after="0"/>
              <w:ind w:left="0"/>
              <w:jc w:val="center"/>
            </w:pPr>
            <w:r>
              <w:t>Extreme d</w:t>
            </w:r>
            <w:r w:rsidR="006A1A3E" w:rsidRPr="007134EF">
              <w:t>iscomfort</w:t>
            </w:r>
          </w:p>
        </w:tc>
        <w:tc>
          <w:tcPr>
            <w:tcW w:w="2438" w:type="dxa"/>
            <w:tcBorders>
              <w:top w:val="single" w:sz="18" w:space="0" w:color="auto"/>
              <w:left w:val="nil"/>
              <w:bottom w:val="nil"/>
              <w:right w:val="single" w:sz="18" w:space="0" w:color="auto"/>
            </w:tcBorders>
            <w:vAlign w:val="center"/>
          </w:tcPr>
          <w:p w:rsidR="006A1A3E" w:rsidRPr="007134EF" w:rsidRDefault="00B004AB" w:rsidP="00B5685A">
            <w:pPr>
              <w:spacing w:after="0"/>
              <w:ind w:left="0"/>
              <w:jc w:val="center"/>
            </w:pPr>
            <w:r>
              <w:t>76–85</w:t>
            </w:r>
          </w:p>
        </w:tc>
      </w:tr>
      <w:tr w:rsidR="00FB0166" w:rsidRPr="007134EF" w:rsidTr="00626ECD">
        <w:tc>
          <w:tcPr>
            <w:tcW w:w="2778" w:type="dxa"/>
            <w:tcBorders>
              <w:top w:val="nil"/>
              <w:left w:val="single" w:sz="18" w:space="0" w:color="auto"/>
              <w:bottom w:val="single" w:sz="18" w:space="0" w:color="auto"/>
              <w:right w:val="nil"/>
            </w:tcBorders>
            <w:vAlign w:val="center"/>
          </w:tcPr>
          <w:p w:rsidR="006A1A3E" w:rsidRPr="007134EF" w:rsidRDefault="002C7F6C" w:rsidP="00B5685A">
            <w:pPr>
              <w:spacing w:after="0"/>
              <w:ind w:left="29"/>
              <w:jc w:val="left"/>
            </w:pPr>
            <w:r>
              <w:t xml:space="preserve">4—Severe </w:t>
            </w:r>
            <w:r w:rsidR="00B004AB">
              <w:t>h</w:t>
            </w:r>
            <w:r w:rsidR="006A1A3E" w:rsidRPr="007134EF">
              <w:t>eat stress</w:t>
            </w:r>
          </w:p>
        </w:tc>
        <w:tc>
          <w:tcPr>
            <w:tcW w:w="2948" w:type="dxa"/>
            <w:tcBorders>
              <w:top w:val="nil"/>
              <w:left w:val="nil"/>
              <w:bottom w:val="single" w:sz="18" w:space="0" w:color="auto"/>
              <w:right w:val="nil"/>
            </w:tcBorders>
            <w:vAlign w:val="center"/>
          </w:tcPr>
          <w:p w:rsidR="006A1A3E" w:rsidRPr="007134EF" w:rsidRDefault="004A2C02" w:rsidP="00B5685A">
            <w:pPr>
              <w:spacing w:after="0"/>
              <w:ind w:left="34"/>
              <w:jc w:val="left"/>
            </w:pPr>
            <w:r>
              <w:t>4—</w:t>
            </w:r>
            <w:r w:rsidR="006A1A3E" w:rsidRPr="007134EF">
              <w:t>Open mouth panting</w:t>
            </w:r>
            <w:r w:rsidR="00B004AB">
              <w:t xml:space="preserve"> with tongue out</w:t>
            </w:r>
          </w:p>
        </w:tc>
        <w:tc>
          <w:tcPr>
            <w:tcW w:w="2551" w:type="dxa"/>
            <w:tcBorders>
              <w:top w:val="nil"/>
              <w:left w:val="nil"/>
              <w:bottom w:val="single" w:sz="18" w:space="0" w:color="auto"/>
              <w:right w:val="nil"/>
            </w:tcBorders>
            <w:vAlign w:val="center"/>
          </w:tcPr>
          <w:p w:rsidR="006A1A3E" w:rsidRPr="007134EF" w:rsidRDefault="006A1A3E" w:rsidP="00B5685A">
            <w:pPr>
              <w:spacing w:after="0"/>
              <w:ind w:left="-108"/>
              <w:jc w:val="center"/>
            </w:pPr>
            <w:r w:rsidRPr="007134EF">
              <w:t>Usually second stage</w:t>
            </w:r>
          </w:p>
        </w:tc>
        <w:tc>
          <w:tcPr>
            <w:tcW w:w="2041" w:type="dxa"/>
            <w:tcBorders>
              <w:top w:val="nil"/>
              <w:left w:val="nil"/>
              <w:bottom w:val="single" w:sz="18" w:space="0" w:color="auto"/>
              <w:right w:val="nil"/>
            </w:tcBorders>
            <w:vAlign w:val="center"/>
          </w:tcPr>
          <w:p w:rsidR="006A1A3E" w:rsidRPr="007134EF" w:rsidRDefault="006A1A3E" w:rsidP="00B5685A">
            <w:pPr>
              <w:spacing w:after="0"/>
              <w:ind w:left="-16"/>
              <w:jc w:val="center"/>
            </w:pPr>
            <w:r w:rsidRPr="007134EF">
              <w:t>Extremely labo</w:t>
            </w:r>
            <w:r w:rsidR="004B05AA">
              <w:t>u</w:t>
            </w:r>
            <w:r w:rsidRPr="007134EF">
              <w:t>red</w:t>
            </w:r>
          </w:p>
        </w:tc>
        <w:tc>
          <w:tcPr>
            <w:tcW w:w="1757" w:type="dxa"/>
            <w:tcBorders>
              <w:top w:val="nil"/>
              <w:left w:val="nil"/>
              <w:bottom w:val="single" w:sz="18" w:space="0" w:color="auto"/>
              <w:right w:val="nil"/>
            </w:tcBorders>
            <w:vAlign w:val="center"/>
          </w:tcPr>
          <w:p w:rsidR="006A1A3E" w:rsidRPr="007134EF" w:rsidRDefault="006A1A3E" w:rsidP="00B5685A">
            <w:pPr>
              <w:spacing w:after="0"/>
              <w:ind w:left="0"/>
              <w:jc w:val="center"/>
            </w:pPr>
            <w:r w:rsidRPr="007134EF">
              <w:t>Distress</w:t>
            </w:r>
            <w:r w:rsidR="00173410">
              <w:t>ed</w:t>
            </w:r>
          </w:p>
        </w:tc>
        <w:tc>
          <w:tcPr>
            <w:tcW w:w="2438" w:type="dxa"/>
            <w:tcBorders>
              <w:top w:val="nil"/>
              <w:left w:val="nil"/>
              <w:bottom w:val="single" w:sz="18" w:space="0" w:color="auto"/>
              <w:right w:val="single" w:sz="18" w:space="0" w:color="auto"/>
            </w:tcBorders>
            <w:vAlign w:val="center"/>
          </w:tcPr>
          <w:p w:rsidR="006A1A3E" w:rsidRPr="007134EF" w:rsidRDefault="00B004AB" w:rsidP="00B5685A">
            <w:pPr>
              <w:spacing w:after="0"/>
              <w:ind w:left="0"/>
              <w:jc w:val="center"/>
            </w:pPr>
            <w:r>
              <w:t>86</w:t>
            </w:r>
            <w:r w:rsidR="004A2C02">
              <w:t>–</w:t>
            </w:r>
            <w:r w:rsidR="006A1A3E" w:rsidRPr="007134EF">
              <w:t>100</w:t>
            </w:r>
          </w:p>
        </w:tc>
      </w:tr>
    </w:tbl>
    <w:p w:rsidR="000929D0" w:rsidRPr="001312A5" w:rsidRDefault="000929D0" w:rsidP="00C24556">
      <w:pPr>
        <w:rPr>
          <w:i/>
          <w:sz w:val="20"/>
          <w:szCs w:val="20"/>
        </w:rPr>
      </w:pPr>
      <w:r w:rsidRPr="001312A5">
        <w:rPr>
          <w:i/>
          <w:sz w:val="20"/>
          <w:szCs w:val="20"/>
        </w:rPr>
        <w:t xml:space="preserve">*N.B. This table has been </w:t>
      </w:r>
      <w:r w:rsidR="001312A5">
        <w:rPr>
          <w:i/>
          <w:sz w:val="20"/>
          <w:szCs w:val="20"/>
        </w:rPr>
        <w:t>extracted</w:t>
      </w:r>
      <w:r w:rsidRPr="001312A5">
        <w:rPr>
          <w:i/>
          <w:sz w:val="20"/>
          <w:szCs w:val="20"/>
        </w:rPr>
        <w:t xml:space="preserve"> </w:t>
      </w:r>
      <w:r w:rsidR="00C02A94" w:rsidRPr="001312A5">
        <w:rPr>
          <w:i/>
          <w:sz w:val="20"/>
          <w:szCs w:val="20"/>
        </w:rPr>
        <w:t>from a number of sources</w:t>
      </w:r>
      <w:r w:rsidRPr="001312A5">
        <w:rPr>
          <w:i/>
          <w:sz w:val="20"/>
          <w:szCs w:val="20"/>
        </w:rPr>
        <w:t>.</w:t>
      </w:r>
    </w:p>
    <w:p w:rsidR="00DB7CEF" w:rsidRDefault="00313E28" w:rsidP="00FB0166">
      <w:pPr>
        <w:spacing w:after="80"/>
      </w:pPr>
      <w:r>
        <w:t xml:space="preserve">It is </w:t>
      </w:r>
      <w:r w:rsidR="00DA5546">
        <w:t>agreed by all parties</w:t>
      </w:r>
      <w:r w:rsidR="00CC176B">
        <w:t xml:space="preserve"> that the industry </w:t>
      </w:r>
      <w:r>
        <w:t>mus</w:t>
      </w:r>
      <w:r w:rsidR="00DA5546">
        <w:t>t</w:t>
      </w:r>
      <w:r>
        <w:t xml:space="preserve"> move from a risk assessment based on mortality to a risk assessment based on animal welfare. </w:t>
      </w:r>
      <w:r w:rsidR="00CC176B">
        <w:t xml:space="preserve">It is recommended that the industry HSRA model accommodate this by </w:t>
      </w:r>
      <w:r w:rsidR="008D3513">
        <w:t xml:space="preserve">a </w:t>
      </w:r>
      <w:r w:rsidR="00CC176B">
        <w:t xml:space="preserve">move from the mortality limit </w:t>
      </w:r>
      <w:r w:rsidR="00C471F4">
        <w:t xml:space="preserve">(ML) to a heat tolerance level and </w:t>
      </w:r>
      <w:r w:rsidR="001E57FD">
        <w:t>adopt</w:t>
      </w:r>
      <w:r w:rsidR="00CC176B">
        <w:t xml:space="preserve"> the </w:t>
      </w:r>
      <w:r w:rsidR="001E57FD">
        <w:t xml:space="preserve">above table to determine </w:t>
      </w:r>
      <w:r w:rsidR="00CC176B">
        <w:t>the acceptable tolerance level.</w:t>
      </w:r>
    </w:p>
    <w:p w:rsidR="00245826" w:rsidRDefault="001E57FD" w:rsidP="00FB0166">
      <w:pPr>
        <w:spacing w:after="80"/>
      </w:pPr>
      <w:r>
        <w:t xml:space="preserve">It is recommended that the model adopt the view that subjecting sheep to a heat stress score of </w:t>
      </w:r>
      <w:r w:rsidR="00F902C7">
        <w:t>3</w:t>
      </w:r>
      <w:r>
        <w:t xml:space="preserve"> (as described in the table above) is unacceptable.</w:t>
      </w:r>
      <w:r w:rsidR="00916798">
        <w:t xml:space="preserve"> </w:t>
      </w:r>
      <w:r w:rsidR="00A5730C">
        <w:t>There is no</w:t>
      </w:r>
      <w:r w:rsidR="00457A98">
        <w:t xml:space="preserve"> industry specific research</w:t>
      </w:r>
      <w:r w:rsidR="00A5730C">
        <w:t xml:space="preserve"> that directly correlates this tolerance level to a </w:t>
      </w:r>
      <w:r w:rsidR="0066641B">
        <w:t>percentage</w:t>
      </w:r>
      <w:r w:rsidR="00A5730C">
        <w:t xml:space="preserve"> of the mortality limit utilized by the </w:t>
      </w:r>
      <w:r w:rsidR="003241F3">
        <w:t xml:space="preserve">HSRA model and most of the shore based experimental work factored the duration of exposure and heat load. </w:t>
      </w:r>
      <w:r w:rsidR="00245826">
        <w:t xml:space="preserve">Based on extrapolation, </w:t>
      </w:r>
      <w:r w:rsidR="001D0422">
        <w:t xml:space="preserve">and to </w:t>
      </w:r>
      <w:r w:rsidR="00B01EBD">
        <w:t>assure</w:t>
      </w:r>
      <w:r w:rsidR="001D0422">
        <w:t xml:space="preserve"> the welfare of the sheep, </w:t>
      </w:r>
      <w:r w:rsidR="00245826">
        <w:t xml:space="preserve">an assumption of 75% of the difference between the heat stress threshold (HST) and the mortality limit (ML) would appear to be the best fit. </w:t>
      </w:r>
      <w:r w:rsidR="005A3374">
        <w:t>A lower level of assurance could be considered but t</w:t>
      </w:r>
      <w:r w:rsidR="00245826">
        <w:t>his would require validation.</w:t>
      </w:r>
      <w:r w:rsidR="00DB7CEF">
        <w:t xml:space="preserve"> </w:t>
      </w:r>
      <w:r w:rsidR="001246D6">
        <w:t>Note that the</w:t>
      </w:r>
      <w:r w:rsidR="00050E4E">
        <w:t xml:space="preserve"> relationship </w:t>
      </w:r>
      <w:r w:rsidR="001246D6">
        <w:t>between heat stress score and wet bulb temperature (</w:t>
      </w:r>
      <w:r w:rsidR="00433033">
        <w:t>as a percent</w:t>
      </w:r>
      <w:r w:rsidR="00F325AE">
        <w:t>age of the ML within the model)</w:t>
      </w:r>
      <w:r w:rsidR="001246D6">
        <w:t xml:space="preserve"> </w:t>
      </w:r>
      <w:r w:rsidR="00050E4E">
        <w:t xml:space="preserve">may not be linear. </w:t>
      </w:r>
    </w:p>
    <w:p w:rsidR="004E143C" w:rsidRDefault="00F902C7" w:rsidP="00C24556">
      <w:pPr>
        <w:sectPr w:rsidR="004E143C" w:rsidSect="000929D0">
          <w:pgSz w:w="16840" w:h="11900" w:orient="landscape"/>
          <w:pgMar w:top="1440" w:right="1131" w:bottom="1440" w:left="1407" w:header="498" w:footer="708" w:gutter="0"/>
          <w:cols w:space="708"/>
          <w:titlePg/>
          <w:docGrid w:linePitch="360"/>
        </w:sectPr>
      </w:pPr>
      <w:r>
        <w:t xml:space="preserve">The HST as defined within the construct of the model is the point at which animals move from dissipating heat via passive means to needing to use more active methods such as panting. </w:t>
      </w:r>
      <w:r w:rsidR="00050E4E">
        <w:t xml:space="preserve">It is used to benchmark animals across all categories within the model. </w:t>
      </w:r>
      <w:r w:rsidR="00DB7CEF">
        <w:t>As an interim measure, it is</w:t>
      </w:r>
      <w:r w:rsidR="007F3F13">
        <w:t xml:space="preserve"> </w:t>
      </w:r>
      <w:r w:rsidR="00DB7CEF">
        <w:t xml:space="preserve">recommended that the existing settings of a 2% probability of 5% </w:t>
      </w:r>
      <w:r>
        <w:t>remain the same but that the mortality limit be replaced by a tolerance limit that corresponds to a heat stress score of 3</w:t>
      </w:r>
      <w:r w:rsidR="001D0422">
        <w:t xml:space="preserve"> (as stated above)</w:t>
      </w:r>
      <w:r>
        <w:t>. These settings, however,</w:t>
      </w:r>
      <w:r w:rsidR="00DB7CEF">
        <w:t xml:space="preserve"> should be reviewed annually by a suitably appointed independent task force</w:t>
      </w:r>
      <w:r>
        <w:t xml:space="preserve"> (or ASEL review technical consultative committee in the interim)</w:t>
      </w:r>
      <w:r w:rsidR="00DB7CEF">
        <w:t xml:space="preserve">. It should be noted that </w:t>
      </w:r>
      <w:r w:rsidR="000B3300">
        <w:t xml:space="preserve">this does not </w:t>
      </w:r>
      <w:r w:rsidR="00DB7CEF">
        <w:t>infer that it is acceptable for 5% of the sheep to be severely affected, but reflects that there is a very low probability of it happening.</w:t>
      </w:r>
    </w:p>
    <w:p w:rsidR="00E63232" w:rsidRPr="0051731B" w:rsidRDefault="003241F3" w:rsidP="00FE0D9C">
      <w:pPr>
        <w:ind w:left="1701"/>
      </w:pPr>
      <w:bookmarkStart w:id="14" w:name="_Toc513467747"/>
      <w:r>
        <w:t>It is anticipated that this new setting will impose significant restrictions on many vessels</w:t>
      </w:r>
      <w:r w:rsidRPr="003241F3">
        <w:t xml:space="preserve"> </w:t>
      </w:r>
      <w:r>
        <w:t xml:space="preserve">wishing to participate in the trade during the northern </w:t>
      </w:r>
      <w:r w:rsidR="00971D49">
        <w:t xml:space="preserve">hemisphere </w:t>
      </w:r>
      <w:r>
        <w:t>summer period, depending on the month, their ventilation capabilities, the cargo they intend carrying and the destinations involved.</w:t>
      </w:r>
      <w:r w:rsidR="004E143C">
        <w:t xml:space="preserve"> </w:t>
      </w:r>
      <w:r w:rsidR="00E63232" w:rsidRPr="0051731B">
        <w:t xml:space="preserve">Verification of </w:t>
      </w:r>
      <w:r w:rsidR="00D1069B" w:rsidRPr="0051731B">
        <w:t>the vessel’s PAT information</w:t>
      </w:r>
      <w:bookmarkEnd w:id="14"/>
      <w:r w:rsidR="00C956D7">
        <w:t>.</w:t>
      </w:r>
    </w:p>
    <w:p w:rsidR="00C956D7" w:rsidRPr="002C753D" w:rsidRDefault="00C956D7" w:rsidP="00C24556">
      <w:pPr>
        <w:pStyle w:val="Heading3"/>
      </w:pPr>
      <w:bookmarkStart w:id="15" w:name="_Toc513812196"/>
      <w:r>
        <w:t>Verification of a vessel’s PAT information</w:t>
      </w:r>
      <w:bookmarkEnd w:id="15"/>
    </w:p>
    <w:p w:rsidR="00B960C3" w:rsidRDefault="00711E79" w:rsidP="00FE0D9C">
      <w:pPr>
        <w:ind w:left="1701"/>
      </w:pPr>
      <w:r>
        <w:t>An independent</w:t>
      </w:r>
      <w:r w:rsidR="00FE0714">
        <w:t>, one-off</w:t>
      </w:r>
      <w:r>
        <w:t xml:space="preserve"> audit of </w:t>
      </w:r>
      <w:r w:rsidR="00D1069B">
        <w:t>a vessel’s PAT information prior to</w:t>
      </w:r>
      <w:r>
        <w:t xml:space="preserve"> travelling to the Middle East in the northern </w:t>
      </w:r>
      <w:r w:rsidR="00971D49">
        <w:t xml:space="preserve">hemisphere </w:t>
      </w:r>
      <w:r>
        <w:t>summer</w:t>
      </w:r>
      <w:r w:rsidR="00D1069B">
        <w:t>, is a strong recommendation from the ASEL</w:t>
      </w:r>
      <w:r>
        <w:t xml:space="preserve"> </w:t>
      </w:r>
      <w:r w:rsidR="00D1069B">
        <w:t>Review</w:t>
      </w:r>
      <w:r w:rsidR="004F2639">
        <w:t xml:space="preserve"> Technical Advisory Committee</w:t>
      </w:r>
      <w:r w:rsidR="00B960C3">
        <w:t>.</w:t>
      </w:r>
      <w:r w:rsidR="0042685D">
        <w:t xml:space="preserve"> Furthermore, it is recommended that a</w:t>
      </w:r>
      <w:r w:rsidR="0045602E">
        <w:t xml:space="preserve"> relevant government agency keep a </w:t>
      </w:r>
      <w:r w:rsidR="004439D2">
        <w:t>record</w:t>
      </w:r>
      <w:r w:rsidR="0042685D">
        <w:t xml:space="preserve"> of which vessels have been validated</w:t>
      </w:r>
      <w:r w:rsidR="0045602E">
        <w:t xml:space="preserve">. AMSA may be </w:t>
      </w:r>
      <w:r w:rsidR="0042685D">
        <w:t>the most logical</w:t>
      </w:r>
      <w:r w:rsidR="0045602E">
        <w:t xml:space="preserve"> agency</w:t>
      </w:r>
      <w:r w:rsidR="00255801">
        <w:t xml:space="preserve"> since AMSA is</w:t>
      </w:r>
      <w:r w:rsidR="0042685D">
        <w:t xml:space="preserve"> responsible for the </w:t>
      </w:r>
      <w:r w:rsidR="00216BB7">
        <w:t xml:space="preserve">vessel’s </w:t>
      </w:r>
      <w:r w:rsidR="0042685D">
        <w:t>provision of services of which ventilation is probably the most important.</w:t>
      </w:r>
    </w:p>
    <w:p w:rsidR="00D1069B" w:rsidRDefault="00765C19" w:rsidP="00FE0D9C">
      <w:pPr>
        <w:ind w:left="1701"/>
      </w:pPr>
      <w:r>
        <w:t xml:space="preserve">When contemplating a vessel charter, the fact that </w:t>
      </w:r>
      <w:r w:rsidR="00B957EA">
        <w:t xml:space="preserve">the vessel’s PAT information </w:t>
      </w:r>
      <w:r w:rsidR="00B50856">
        <w:t xml:space="preserve">has been independently </w:t>
      </w:r>
      <w:r>
        <w:t>verif</w:t>
      </w:r>
      <w:r w:rsidR="00B50856">
        <w:t xml:space="preserve">ied </w:t>
      </w:r>
      <w:r w:rsidR="007D48AB">
        <w:t xml:space="preserve">would </w:t>
      </w:r>
      <w:r w:rsidR="00B957EA">
        <w:t>be a condition within an approved arrangement</w:t>
      </w:r>
      <w:r w:rsidR="00AC573E">
        <w:t xml:space="preserve"> going forward</w:t>
      </w:r>
      <w:r w:rsidR="00B957EA">
        <w:t>.</w:t>
      </w:r>
    </w:p>
    <w:p w:rsidR="00B272D5" w:rsidRPr="00FE0D9C" w:rsidRDefault="00B272D5" w:rsidP="00FE0D9C">
      <w:pPr>
        <w:ind w:left="1701"/>
        <w:rPr>
          <w:b/>
          <w:i/>
        </w:rPr>
      </w:pPr>
      <w:r w:rsidRPr="00FE0D9C">
        <w:rPr>
          <w:b/>
          <w:i/>
        </w:rPr>
        <w:t xml:space="preserve">Best </w:t>
      </w:r>
      <w:r w:rsidR="001312A5">
        <w:rPr>
          <w:b/>
          <w:i/>
        </w:rPr>
        <w:t>resources</w:t>
      </w:r>
      <w:r w:rsidRPr="00FE0D9C">
        <w:rPr>
          <w:b/>
          <w:i/>
        </w:rPr>
        <w:t>:</w:t>
      </w:r>
    </w:p>
    <w:p w:rsidR="00B272D5" w:rsidRPr="00F00B06" w:rsidRDefault="00B272D5" w:rsidP="004E143C">
      <w:pPr>
        <w:pStyle w:val="Default"/>
        <w:spacing w:after="100"/>
        <w:ind w:left="1701"/>
        <w:jc w:val="both"/>
        <w:rPr>
          <w:rFonts w:asciiTheme="minorHAnsi" w:hAnsiTheme="minorHAnsi"/>
          <w:bCs/>
        </w:rPr>
      </w:pPr>
      <w:r w:rsidRPr="00F00B06">
        <w:rPr>
          <w:rFonts w:asciiTheme="minorHAnsi" w:hAnsiTheme="minorHAnsi"/>
          <w:bCs/>
        </w:rPr>
        <w:t>MAMIC, PL (2002) Practical Ventilation Measures for Livestock Vessels. MLA and Livecorp No. ISBN: 1 74036 118 0, Sydney, NSW, Australia.</w:t>
      </w:r>
    </w:p>
    <w:p w:rsidR="00B272D5" w:rsidRDefault="00B272D5" w:rsidP="00FE0D9C">
      <w:pPr>
        <w:ind w:left="1701"/>
      </w:pPr>
      <w:r w:rsidRPr="00F00B06">
        <w:t xml:space="preserve">MAMIC Pty Ltd (2000) Investigation of Ventilation </w:t>
      </w:r>
      <w:r w:rsidR="008F7875">
        <w:t>Efficacy on Livestock Vessels—</w:t>
      </w:r>
      <w:r w:rsidRPr="00F00B06">
        <w:t>Final Report (SBMR.002A). Prepared for MLA/Livecorp.</w:t>
      </w:r>
    </w:p>
    <w:p w:rsidR="007442A4" w:rsidRPr="00FE0D9C" w:rsidRDefault="007442A4" w:rsidP="00FE0D9C">
      <w:pPr>
        <w:ind w:left="1701"/>
        <w:rPr>
          <w:b/>
          <w:i/>
        </w:rPr>
      </w:pPr>
      <w:r w:rsidRPr="00FE0D9C">
        <w:rPr>
          <w:b/>
          <w:i/>
        </w:rPr>
        <w:t>Further reading:</w:t>
      </w:r>
    </w:p>
    <w:p w:rsidR="007442A4" w:rsidRPr="00610E24" w:rsidRDefault="007442A4" w:rsidP="00B5685A">
      <w:pPr>
        <w:pStyle w:val="Default"/>
        <w:spacing w:after="120"/>
        <w:ind w:left="1701"/>
        <w:jc w:val="both"/>
        <w:rPr>
          <w:rFonts w:asciiTheme="minorHAnsi" w:hAnsiTheme="minorHAnsi"/>
        </w:rPr>
      </w:pPr>
      <w:r>
        <w:rPr>
          <w:rFonts w:asciiTheme="minorHAnsi" w:hAnsiTheme="minorHAnsi"/>
          <w:bCs/>
        </w:rPr>
        <w:t>……….</w:t>
      </w:r>
      <w:r w:rsidRPr="00610E24">
        <w:rPr>
          <w:rFonts w:asciiTheme="minorHAnsi" w:hAnsiTheme="minorHAnsi"/>
        </w:rPr>
        <w:t xml:space="preserve"> refer to</w:t>
      </w:r>
      <w:r>
        <w:rPr>
          <w:rFonts w:asciiTheme="minorHAnsi" w:hAnsiTheme="minorHAnsi"/>
          <w:bCs/>
        </w:rPr>
        <w:t xml:space="preserve"> list of references in the</w:t>
      </w:r>
      <w:r w:rsidRPr="00610E24">
        <w:rPr>
          <w:rFonts w:asciiTheme="minorHAnsi" w:hAnsiTheme="minorHAnsi"/>
        </w:rPr>
        <w:t xml:space="preserve"> appendices.</w:t>
      </w:r>
    </w:p>
    <w:p w:rsidR="00BD663F" w:rsidRPr="002C753D" w:rsidRDefault="00BD663F" w:rsidP="00C24556">
      <w:pPr>
        <w:pStyle w:val="Heading3"/>
      </w:pPr>
      <w:bookmarkStart w:id="16" w:name="_Toc513467748"/>
      <w:bookmarkStart w:id="17" w:name="_Toc513812197"/>
      <w:r w:rsidRPr="002C753D">
        <w:t>Stocking density</w:t>
      </w:r>
      <w:bookmarkEnd w:id="16"/>
      <w:bookmarkEnd w:id="17"/>
    </w:p>
    <w:p w:rsidR="00B70A90" w:rsidRDefault="00901973" w:rsidP="00FE0D9C">
      <w:pPr>
        <w:ind w:left="1701"/>
      </w:pPr>
      <w:r>
        <w:t xml:space="preserve">As mentioned, stocking density is </w:t>
      </w:r>
      <w:r w:rsidRPr="00A661E6">
        <w:rPr>
          <w:b/>
        </w:rPr>
        <w:t>the</w:t>
      </w:r>
      <w:r>
        <w:t xml:space="preserve"> key parameter when shipping livestock in the northern hemisphere summer. There are two densities involved. The f</w:t>
      </w:r>
      <w:r w:rsidR="00816633">
        <w:t xml:space="preserve">irst is that adopted </w:t>
      </w:r>
      <w:r>
        <w:t>before the HSRA model im</w:t>
      </w:r>
      <w:r w:rsidR="00517CE4">
        <w:t>poses any further restrictions, and the second is the density dictated by the H</w:t>
      </w:r>
      <w:r w:rsidR="00981347">
        <w:t>SRA model.</w:t>
      </w:r>
    </w:p>
    <w:p w:rsidR="00CD05B7" w:rsidRDefault="00CD05B7" w:rsidP="00FE0D9C">
      <w:pPr>
        <w:ind w:left="1701"/>
      </w:pPr>
      <w:r>
        <w:t xml:space="preserve">It is recommended that an ‘allometric’ approach be adopted by the industry for the forthcoming northern </w:t>
      </w:r>
      <w:r w:rsidR="00971D49">
        <w:t xml:space="preserve">hemisphere </w:t>
      </w:r>
      <w:r>
        <w:t xml:space="preserve">summer </w:t>
      </w:r>
      <w:r w:rsidR="00816633">
        <w:t xml:space="preserve">with </w:t>
      </w:r>
      <w:r w:rsidR="000E3DFE">
        <w:t>a k-</w:t>
      </w:r>
      <w:r>
        <w:t>value of 0.033. This is the “</w:t>
      </w:r>
      <w:r>
        <w:rPr>
          <w:i/>
        </w:rPr>
        <w:t>threshold below which there are consistent adverse effects on welfare outcomes in intensive housing”.</w:t>
      </w:r>
      <w:r>
        <w:t xml:space="preserve"> These terms have been extracted from the paper by Petherick and Philips (</w:t>
      </w:r>
      <w:r w:rsidRPr="007933A5">
        <w:t>Petherick and Philips, 200</w:t>
      </w:r>
      <w:r w:rsidR="00272CBA">
        <w:t>9</w:t>
      </w:r>
      <w:r>
        <w:t xml:space="preserve">) entitled “Space allowances for confined livestock and their determination from </w:t>
      </w:r>
      <w:r w:rsidR="00816633">
        <w:t>‘</w:t>
      </w:r>
      <w:r>
        <w:t>allometric</w:t>
      </w:r>
      <w:r w:rsidR="00816633">
        <w:t>’</w:t>
      </w:r>
      <w:r w:rsidR="0019451A">
        <w:t xml:space="preserve"> principles”.</w:t>
      </w:r>
      <w:r w:rsidR="005442EC">
        <w:t xml:space="preserve"> The review found no science to refute this allocation of space. </w:t>
      </w:r>
      <w:r w:rsidR="00D00F7C">
        <w:t>A lesser k</w:t>
      </w:r>
      <w:r w:rsidR="004E143C">
        <w:t>-</w:t>
      </w:r>
      <w:r w:rsidR="00D00F7C">
        <w:t xml:space="preserve">value of 0.027 provides sufficient space for animals to stand and lie down but does not, according to the authors, allow free access to troughs and assure </w:t>
      </w:r>
      <w:r w:rsidR="00A176BD">
        <w:t>“</w:t>
      </w:r>
      <w:r w:rsidR="00D00F7C" w:rsidRPr="00D00F7C">
        <w:rPr>
          <w:i/>
        </w:rPr>
        <w:t xml:space="preserve">no adverse effects on welfare outcomes </w:t>
      </w:r>
      <w:r w:rsidR="00D00F7C">
        <w:rPr>
          <w:i/>
        </w:rPr>
        <w:t>in intensive housing</w:t>
      </w:r>
      <w:r w:rsidR="00A176BD">
        <w:rPr>
          <w:i/>
        </w:rPr>
        <w:t>”</w:t>
      </w:r>
      <w:r w:rsidR="00D00F7C">
        <w:rPr>
          <w:i/>
        </w:rPr>
        <w:t xml:space="preserve">. </w:t>
      </w:r>
      <w:r w:rsidR="00A176BD">
        <w:t xml:space="preserve">There is a small case to suggest that the shipping of sheep to the Middle </w:t>
      </w:r>
      <w:r w:rsidR="008F7875">
        <w:t xml:space="preserve">East </w:t>
      </w:r>
      <w:r w:rsidR="00A176BD">
        <w:t xml:space="preserve">is actually transport rather than housing, however this might only apply on voyages that are much shorter in duration than those to the </w:t>
      </w:r>
      <w:r w:rsidR="00C75BC3">
        <w:t>Middle East.</w:t>
      </w:r>
    </w:p>
    <w:p w:rsidR="00C75BC3" w:rsidRPr="005A3374" w:rsidRDefault="00C75BC3" w:rsidP="00FE0D9C">
      <w:pPr>
        <w:ind w:left="1701"/>
      </w:pPr>
      <w:r w:rsidRPr="002E7D94">
        <w:t>In the absence of any refuting science, and as an interim measure</w:t>
      </w:r>
      <w:r w:rsidR="002E7D94" w:rsidRPr="002E7D94">
        <w:t>, a k</w:t>
      </w:r>
      <w:r w:rsidR="004E143C">
        <w:t>-</w:t>
      </w:r>
      <w:r w:rsidR="002E7D94" w:rsidRPr="002E7D94">
        <w:t>value of 0.033 would appear the best fit if the welfare of the sheep is to be assured.</w:t>
      </w:r>
      <w:r w:rsidR="005A3374">
        <w:t xml:space="preserve"> A lower level of assurance could be contemplated but it is not backed by science at this point in time.</w:t>
      </w:r>
    </w:p>
    <w:p w:rsidR="00816633" w:rsidRDefault="00816633" w:rsidP="00FE0D9C">
      <w:pPr>
        <w:ind w:left="1701"/>
      </w:pPr>
      <w:r>
        <w:t xml:space="preserve">The density dictated by the HSRA model throughout the northern </w:t>
      </w:r>
      <w:r w:rsidR="00971D49">
        <w:t xml:space="preserve">hemisphere </w:t>
      </w:r>
      <w:r>
        <w:t>summer has been outlined earlier. Both these densities should be reviewed by a suitably selected task force before the next northern hemisphere summer.</w:t>
      </w:r>
    </w:p>
    <w:p w:rsidR="0048699F" w:rsidRDefault="00F368E8" w:rsidP="00FE0D9C">
      <w:pPr>
        <w:ind w:left="1701"/>
      </w:pPr>
      <w:r>
        <w:t>Stocking density is more than heads</w:t>
      </w:r>
      <w:r w:rsidR="008B5F79">
        <w:t xml:space="preserve"> of livestock</w:t>
      </w:r>
      <w:r>
        <w:t>. It relates to both heads</w:t>
      </w:r>
      <w:r w:rsidR="007E17D7">
        <w:t xml:space="preserve"> of livestock </w:t>
      </w:r>
      <w:r>
        <w:t>and weight. The current ASEL does not specify whether weight refers to an empty body weight, a</w:t>
      </w:r>
      <w:r w:rsidR="00AD1776">
        <w:t xml:space="preserve"> curfew</w:t>
      </w:r>
      <w:r>
        <w:t xml:space="preserve"> w</w:t>
      </w:r>
      <w:r w:rsidR="00A176BD">
        <w:t>eight (12 hour curfew)</w:t>
      </w:r>
      <w:r>
        <w:t xml:space="preserve"> or a full weight. There can be up to a 12% difference in these weights. This obviously has a large bearing on the effective stocking density once the animals are in the pens.</w:t>
      </w:r>
      <w:r w:rsidR="00AD1776">
        <w:t xml:space="preserve"> It is suggested that the ASEL </w:t>
      </w:r>
      <w:r w:rsidR="004E5A3C">
        <w:t xml:space="preserve">Review Technical Advisory Committee </w:t>
      </w:r>
      <w:r w:rsidR="00816633">
        <w:t>address this anomaly</w:t>
      </w:r>
      <w:r w:rsidR="00AD1776">
        <w:t>.</w:t>
      </w:r>
      <w:r w:rsidR="00124CDC">
        <w:t xml:space="preserve"> Verification of weights should be a part any future approved arrangement, whether </w:t>
      </w:r>
      <w:r w:rsidR="00530A38">
        <w:t>as overall weight or as ‘spot checks’</w:t>
      </w:r>
      <w:r w:rsidR="007C0F58">
        <w:t xml:space="preserve"> based on the principle of what the industry terms ‘pencil shrink’ (i.e. adjusted for curfew)</w:t>
      </w:r>
      <w:r w:rsidR="00530A38">
        <w:t>.</w:t>
      </w:r>
    </w:p>
    <w:p w:rsidR="00437FE6" w:rsidRDefault="00437FE6" w:rsidP="00CD6489">
      <w:pPr>
        <w:spacing w:after="120"/>
        <w:ind w:left="1701"/>
      </w:pPr>
      <w:r>
        <w:t xml:space="preserve">Space allocation for an animal is described in terms of area measured in square metres </w:t>
      </w:r>
      <w:r w:rsidR="001312A5">
        <w:t>(</w:t>
      </w:r>
      <w:r>
        <w:t>m</w:t>
      </w:r>
      <w:r w:rsidRPr="001266AB">
        <w:rPr>
          <w:vertAlign w:val="superscript"/>
        </w:rPr>
        <w:t>2</w:t>
      </w:r>
      <w:r w:rsidR="001312A5">
        <w:t>).</w:t>
      </w:r>
      <w:r>
        <w:t xml:space="preserve"> The body weight of an animal can be used to calculate the volume of an animal. Petherick 2007 and Petherick and Phillips 2009 indicate a formula for determining the space allocation for an animal as:</w:t>
      </w:r>
    </w:p>
    <w:p w:rsidR="00437FE6" w:rsidRDefault="00057FCC" w:rsidP="00FE0D9C">
      <w:pPr>
        <w:ind w:left="2160"/>
      </w:pPr>
      <w:r>
        <w:t>A</w:t>
      </w:r>
      <w:r w:rsidR="00713524">
        <w:t xml:space="preserve"> = k</w:t>
      </w:r>
      <w:r w:rsidR="00437FE6">
        <w:t>W</w:t>
      </w:r>
      <w:r w:rsidR="00437FE6" w:rsidRPr="001266AB">
        <w:rPr>
          <w:vertAlign w:val="superscript"/>
        </w:rPr>
        <w:t>0.66</w:t>
      </w:r>
      <w:r w:rsidR="00437FE6">
        <w:t xml:space="preserve"> where A is area in m</w:t>
      </w:r>
      <w:r w:rsidR="00437FE6" w:rsidRPr="001266AB">
        <w:rPr>
          <w:vertAlign w:val="superscript"/>
        </w:rPr>
        <w:t>2</w:t>
      </w:r>
      <w:r w:rsidR="00437FE6">
        <w:t>; k is a constant and W is the weight of the animal (Source: Petherick 2007 and Petherick and Phillips 2009)</w:t>
      </w:r>
    </w:p>
    <w:p w:rsidR="00057FCC" w:rsidRDefault="00437FE6" w:rsidP="00FE0D9C">
      <w:pPr>
        <w:ind w:left="1701"/>
      </w:pPr>
      <w:r>
        <w:t>The review recommends that s</w:t>
      </w:r>
      <w:r w:rsidRPr="0047399F">
        <w:t>pac</w:t>
      </w:r>
      <w:r>
        <w:t>e allocation per sheep</w:t>
      </w:r>
      <w:r w:rsidRPr="0047399F">
        <w:t xml:space="preserve"> </w:t>
      </w:r>
      <w:r w:rsidR="00A32906">
        <w:t>for sheep exports during the northern</w:t>
      </w:r>
      <w:r w:rsidR="00971D49">
        <w:t xml:space="preserve"> hemisphere</w:t>
      </w:r>
      <w:r w:rsidR="00A32906">
        <w:t xml:space="preserve"> summer </w:t>
      </w:r>
      <w:r w:rsidRPr="0047399F">
        <w:t>be based on allometric principles based on a k-value of 0.033</w:t>
      </w:r>
      <w:r w:rsidR="00A54AFF">
        <w:t>, or as much space as is required by the industry HSRA model</w:t>
      </w:r>
      <w:r w:rsidRPr="0047399F">
        <w:t xml:space="preserve">. This increase in space </w:t>
      </w:r>
      <w:r w:rsidR="0084549D">
        <w:t xml:space="preserve">will </w:t>
      </w:r>
      <w:r w:rsidR="00A32906">
        <w:t xml:space="preserve">assure </w:t>
      </w:r>
      <w:r w:rsidR="00A54AFF">
        <w:t xml:space="preserve">the </w:t>
      </w:r>
      <w:r w:rsidR="00A32906">
        <w:t xml:space="preserve">health and welfare for sheep being transported </w:t>
      </w:r>
      <w:r>
        <w:t>to the Middle East during the northern hemisphere summer.</w:t>
      </w:r>
    </w:p>
    <w:p w:rsidR="002A72B4" w:rsidRDefault="002A72B4">
      <w:pPr>
        <w:autoSpaceDE/>
        <w:autoSpaceDN/>
        <w:adjustRightInd/>
        <w:spacing w:after="0"/>
        <w:ind w:left="0"/>
        <w:jc w:val="left"/>
        <w:rPr>
          <w:b/>
        </w:rPr>
      </w:pPr>
      <w:r>
        <w:rPr>
          <w:b/>
        </w:rPr>
        <w:br w:type="page"/>
      </w:r>
    </w:p>
    <w:p w:rsidR="00A32906" w:rsidRPr="00A32906" w:rsidRDefault="00A32906" w:rsidP="00C24556">
      <w:pPr>
        <w:rPr>
          <w:b/>
        </w:rPr>
      </w:pPr>
      <w:r>
        <w:rPr>
          <w:b/>
        </w:rPr>
        <w:t xml:space="preserve">Table 2. </w:t>
      </w:r>
      <w:r w:rsidR="00A176BD" w:rsidRPr="00A176BD">
        <w:t>A c</w:t>
      </w:r>
      <w:r w:rsidRPr="00A176BD">
        <w:t>omparison</w:t>
      </w:r>
      <w:r w:rsidRPr="00B15B98">
        <w:t xml:space="preserve"> of minimum ASEL area (May to October) to </w:t>
      </w:r>
      <w:r w:rsidR="00A176BD">
        <w:t xml:space="preserve">an </w:t>
      </w:r>
      <w:r w:rsidRPr="00B15B98">
        <w:t>allometric space allocation based on k = 0.033</w:t>
      </w:r>
    </w:p>
    <w:tbl>
      <w:tblPr>
        <w:tblW w:w="8930" w:type="dxa"/>
        <w:tblInd w:w="426" w:type="dxa"/>
        <w:tblLook w:val="04A0" w:firstRow="1" w:lastRow="0" w:firstColumn="1" w:lastColumn="0" w:noHBand="0" w:noVBand="1"/>
      </w:tblPr>
      <w:tblGrid>
        <w:gridCol w:w="1417"/>
        <w:gridCol w:w="2283"/>
        <w:gridCol w:w="2253"/>
        <w:gridCol w:w="2977"/>
      </w:tblGrid>
      <w:tr w:rsidR="0084549D" w:rsidRPr="002A72B4" w:rsidTr="001312A5">
        <w:trPr>
          <w:trHeight w:val="510"/>
        </w:trPr>
        <w:tc>
          <w:tcPr>
            <w:tcW w:w="1417" w:type="dxa"/>
            <w:tcBorders>
              <w:top w:val="single" w:sz="4" w:space="0" w:color="auto"/>
              <w:left w:val="nil"/>
              <w:bottom w:val="single" w:sz="4" w:space="0" w:color="auto"/>
              <w:right w:val="nil"/>
            </w:tcBorders>
            <w:shd w:val="clear" w:color="auto" w:fill="BDD6EE" w:themeFill="accent5" w:themeFillTint="66"/>
            <w:vAlign w:val="center"/>
            <w:hideMark/>
          </w:tcPr>
          <w:p w:rsidR="0084549D" w:rsidRPr="002A72B4" w:rsidRDefault="0084549D" w:rsidP="001312A5">
            <w:pPr>
              <w:spacing w:after="0"/>
              <w:ind w:left="0"/>
              <w:jc w:val="center"/>
              <w:rPr>
                <w:b/>
                <w:lang w:eastAsia="en-AU"/>
              </w:rPr>
            </w:pPr>
            <w:r w:rsidRPr="002A72B4">
              <w:rPr>
                <w:b/>
                <w:lang w:eastAsia="en-AU"/>
              </w:rPr>
              <w:t>Liveweight (kg)</w:t>
            </w:r>
          </w:p>
        </w:tc>
        <w:tc>
          <w:tcPr>
            <w:tcW w:w="2283" w:type="dxa"/>
            <w:tcBorders>
              <w:top w:val="single" w:sz="4" w:space="0" w:color="auto"/>
              <w:left w:val="nil"/>
              <w:bottom w:val="single" w:sz="4" w:space="0" w:color="auto"/>
              <w:right w:val="nil"/>
            </w:tcBorders>
            <w:shd w:val="clear" w:color="auto" w:fill="BDD6EE" w:themeFill="accent5" w:themeFillTint="66"/>
            <w:vAlign w:val="center"/>
            <w:hideMark/>
          </w:tcPr>
          <w:p w:rsidR="0084549D" w:rsidRPr="002A72B4" w:rsidRDefault="0084549D" w:rsidP="001312A5">
            <w:pPr>
              <w:spacing w:after="0"/>
              <w:ind w:left="0"/>
              <w:jc w:val="center"/>
              <w:rPr>
                <w:b/>
                <w:lang w:eastAsia="en-AU"/>
              </w:rPr>
            </w:pPr>
            <w:r w:rsidRPr="002A72B4">
              <w:rPr>
                <w:b/>
                <w:lang w:eastAsia="en-AU"/>
              </w:rPr>
              <w:t>Minimum pen area (m</w:t>
            </w:r>
            <w:r w:rsidRPr="002A72B4">
              <w:rPr>
                <w:b/>
                <w:vertAlign w:val="superscript"/>
                <w:lang w:eastAsia="en-AU"/>
              </w:rPr>
              <w:t>2</w:t>
            </w:r>
            <w:r w:rsidRPr="002A72B4">
              <w:rPr>
                <w:b/>
                <w:lang w:eastAsia="en-AU"/>
              </w:rPr>
              <w:t>) May–Oct</w:t>
            </w:r>
          </w:p>
        </w:tc>
        <w:tc>
          <w:tcPr>
            <w:tcW w:w="2253" w:type="dxa"/>
            <w:tcBorders>
              <w:top w:val="single" w:sz="4" w:space="0" w:color="auto"/>
              <w:left w:val="nil"/>
              <w:bottom w:val="single" w:sz="4" w:space="0" w:color="auto"/>
              <w:right w:val="nil"/>
            </w:tcBorders>
            <w:shd w:val="clear" w:color="auto" w:fill="BDD6EE" w:themeFill="accent5" w:themeFillTint="66"/>
            <w:vAlign w:val="center"/>
            <w:hideMark/>
          </w:tcPr>
          <w:p w:rsidR="0084549D" w:rsidRPr="002A72B4" w:rsidRDefault="0084549D" w:rsidP="001312A5">
            <w:pPr>
              <w:spacing w:after="0"/>
              <w:ind w:left="0"/>
              <w:jc w:val="center"/>
              <w:rPr>
                <w:b/>
                <w:lang w:eastAsia="en-AU"/>
              </w:rPr>
            </w:pPr>
            <w:r w:rsidRPr="002A72B4">
              <w:rPr>
                <w:b/>
                <w:lang w:eastAsia="en-AU"/>
              </w:rPr>
              <w:t>Allometric Allocation k = 0.033</w:t>
            </w:r>
          </w:p>
        </w:tc>
        <w:tc>
          <w:tcPr>
            <w:tcW w:w="2977" w:type="dxa"/>
            <w:tcBorders>
              <w:top w:val="single" w:sz="4" w:space="0" w:color="auto"/>
              <w:left w:val="nil"/>
              <w:bottom w:val="single" w:sz="4" w:space="0" w:color="auto"/>
              <w:right w:val="nil"/>
            </w:tcBorders>
            <w:shd w:val="clear" w:color="auto" w:fill="BDD6EE" w:themeFill="accent5" w:themeFillTint="66"/>
            <w:vAlign w:val="center"/>
            <w:hideMark/>
          </w:tcPr>
          <w:p w:rsidR="0084549D" w:rsidRPr="002A72B4" w:rsidRDefault="0084549D" w:rsidP="001312A5">
            <w:pPr>
              <w:spacing w:after="0"/>
              <w:ind w:left="0"/>
              <w:jc w:val="center"/>
              <w:rPr>
                <w:b/>
                <w:lang w:eastAsia="en-AU"/>
              </w:rPr>
            </w:pPr>
            <w:r w:rsidRPr="002A72B4">
              <w:rPr>
                <w:b/>
                <w:lang w:eastAsia="en-AU"/>
              </w:rPr>
              <w:t>Percentage Change Allometric v ASEL May–Oct</w:t>
            </w:r>
          </w:p>
        </w:tc>
      </w:tr>
      <w:tr w:rsidR="0084549D" w:rsidRPr="001312A5" w:rsidTr="001312A5">
        <w:trPr>
          <w:trHeight w:val="295"/>
        </w:trPr>
        <w:tc>
          <w:tcPr>
            <w:tcW w:w="1417" w:type="dxa"/>
            <w:tcBorders>
              <w:top w:val="single" w:sz="4" w:space="0" w:color="auto"/>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30</w:t>
            </w:r>
          </w:p>
        </w:tc>
        <w:tc>
          <w:tcPr>
            <w:tcW w:w="2283" w:type="dxa"/>
            <w:tcBorders>
              <w:top w:val="single" w:sz="4" w:space="0" w:color="auto"/>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0.265</w:t>
            </w:r>
          </w:p>
        </w:tc>
        <w:tc>
          <w:tcPr>
            <w:tcW w:w="2253" w:type="dxa"/>
            <w:tcBorders>
              <w:top w:val="single" w:sz="4" w:space="0" w:color="auto"/>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0.311</w:t>
            </w:r>
          </w:p>
        </w:tc>
        <w:tc>
          <w:tcPr>
            <w:tcW w:w="2977" w:type="dxa"/>
            <w:tcBorders>
              <w:top w:val="single" w:sz="4" w:space="0" w:color="auto"/>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18%</w:t>
            </w:r>
          </w:p>
        </w:tc>
      </w:tr>
      <w:tr w:rsidR="0084549D" w:rsidRPr="001312A5" w:rsidTr="001312A5">
        <w:trPr>
          <w:trHeight w:val="295"/>
        </w:trPr>
        <w:tc>
          <w:tcPr>
            <w:tcW w:w="1417"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35</w:t>
            </w:r>
          </w:p>
        </w:tc>
        <w:tc>
          <w:tcPr>
            <w:tcW w:w="2283"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0.278</w:t>
            </w:r>
          </w:p>
        </w:tc>
        <w:tc>
          <w:tcPr>
            <w:tcW w:w="2253"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0.345</w:t>
            </w:r>
          </w:p>
        </w:tc>
        <w:tc>
          <w:tcPr>
            <w:tcW w:w="2977"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24%</w:t>
            </w:r>
          </w:p>
        </w:tc>
      </w:tr>
      <w:tr w:rsidR="0084549D" w:rsidRPr="001312A5" w:rsidTr="001312A5">
        <w:trPr>
          <w:trHeight w:val="295"/>
        </w:trPr>
        <w:tc>
          <w:tcPr>
            <w:tcW w:w="1417"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40</w:t>
            </w:r>
          </w:p>
        </w:tc>
        <w:tc>
          <w:tcPr>
            <w:tcW w:w="2283"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0.290</w:t>
            </w:r>
          </w:p>
        </w:tc>
        <w:tc>
          <w:tcPr>
            <w:tcW w:w="2253"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0.377</w:t>
            </w:r>
          </w:p>
        </w:tc>
        <w:tc>
          <w:tcPr>
            <w:tcW w:w="2977"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30%</w:t>
            </w:r>
          </w:p>
        </w:tc>
      </w:tr>
      <w:tr w:rsidR="0084549D" w:rsidRPr="001312A5" w:rsidTr="001312A5">
        <w:trPr>
          <w:trHeight w:val="295"/>
        </w:trPr>
        <w:tc>
          <w:tcPr>
            <w:tcW w:w="1417"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45</w:t>
            </w:r>
          </w:p>
        </w:tc>
        <w:tc>
          <w:tcPr>
            <w:tcW w:w="2283"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0.303</w:t>
            </w:r>
          </w:p>
        </w:tc>
        <w:tc>
          <w:tcPr>
            <w:tcW w:w="2253"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0.407</w:t>
            </w:r>
          </w:p>
        </w:tc>
        <w:tc>
          <w:tcPr>
            <w:tcW w:w="2977"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34%</w:t>
            </w:r>
          </w:p>
        </w:tc>
      </w:tr>
      <w:tr w:rsidR="0084549D" w:rsidRPr="001312A5" w:rsidTr="001312A5">
        <w:trPr>
          <w:trHeight w:val="295"/>
        </w:trPr>
        <w:tc>
          <w:tcPr>
            <w:tcW w:w="1417"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50</w:t>
            </w:r>
          </w:p>
        </w:tc>
        <w:tc>
          <w:tcPr>
            <w:tcW w:w="2283"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0.315</w:t>
            </w:r>
          </w:p>
        </w:tc>
        <w:tc>
          <w:tcPr>
            <w:tcW w:w="2253"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0.436</w:t>
            </w:r>
          </w:p>
        </w:tc>
        <w:tc>
          <w:tcPr>
            <w:tcW w:w="2977"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39%</w:t>
            </w:r>
          </w:p>
        </w:tc>
      </w:tr>
      <w:tr w:rsidR="0084549D" w:rsidRPr="001312A5" w:rsidTr="001312A5">
        <w:trPr>
          <w:trHeight w:val="295"/>
        </w:trPr>
        <w:tc>
          <w:tcPr>
            <w:tcW w:w="1417"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55</w:t>
            </w:r>
          </w:p>
        </w:tc>
        <w:tc>
          <w:tcPr>
            <w:tcW w:w="2283"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0.351</w:t>
            </w:r>
          </w:p>
        </w:tc>
        <w:tc>
          <w:tcPr>
            <w:tcW w:w="2253"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0.465</w:t>
            </w:r>
          </w:p>
        </w:tc>
        <w:tc>
          <w:tcPr>
            <w:tcW w:w="2977"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32%</w:t>
            </w:r>
          </w:p>
        </w:tc>
      </w:tr>
      <w:tr w:rsidR="0084549D" w:rsidRPr="001312A5" w:rsidTr="001312A5">
        <w:trPr>
          <w:trHeight w:val="295"/>
        </w:trPr>
        <w:tc>
          <w:tcPr>
            <w:tcW w:w="1417"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60</w:t>
            </w:r>
          </w:p>
        </w:tc>
        <w:tc>
          <w:tcPr>
            <w:tcW w:w="2283"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0.381</w:t>
            </w:r>
          </w:p>
        </w:tc>
        <w:tc>
          <w:tcPr>
            <w:tcW w:w="2253"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0.492</w:t>
            </w:r>
          </w:p>
        </w:tc>
        <w:tc>
          <w:tcPr>
            <w:tcW w:w="2977"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29%</w:t>
            </w:r>
          </w:p>
        </w:tc>
      </w:tr>
      <w:tr w:rsidR="0084549D" w:rsidRPr="001312A5" w:rsidTr="001312A5">
        <w:trPr>
          <w:trHeight w:val="295"/>
        </w:trPr>
        <w:tc>
          <w:tcPr>
            <w:tcW w:w="1417"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65</w:t>
            </w:r>
          </w:p>
        </w:tc>
        <w:tc>
          <w:tcPr>
            <w:tcW w:w="2283"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0.423</w:t>
            </w:r>
          </w:p>
        </w:tc>
        <w:tc>
          <w:tcPr>
            <w:tcW w:w="2253"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0.519</w:t>
            </w:r>
          </w:p>
        </w:tc>
        <w:tc>
          <w:tcPr>
            <w:tcW w:w="2977"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23%</w:t>
            </w:r>
          </w:p>
        </w:tc>
      </w:tr>
      <w:tr w:rsidR="0084549D" w:rsidRPr="001312A5" w:rsidTr="001312A5">
        <w:trPr>
          <w:trHeight w:val="295"/>
        </w:trPr>
        <w:tc>
          <w:tcPr>
            <w:tcW w:w="1417"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70</w:t>
            </w:r>
          </w:p>
        </w:tc>
        <w:tc>
          <w:tcPr>
            <w:tcW w:w="2283"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0.468</w:t>
            </w:r>
          </w:p>
        </w:tc>
        <w:tc>
          <w:tcPr>
            <w:tcW w:w="2253"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0.545</w:t>
            </w:r>
          </w:p>
        </w:tc>
        <w:tc>
          <w:tcPr>
            <w:tcW w:w="2977" w:type="dxa"/>
            <w:tcBorders>
              <w:top w:val="nil"/>
              <w:left w:val="nil"/>
              <w:bottom w:val="nil"/>
              <w:right w:val="nil"/>
            </w:tcBorders>
            <w:shd w:val="clear" w:color="auto" w:fill="auto"/>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16%</w:t>
            </w:r>
          </w:p>
        </w:tc>
      </w:tr>
      <w:tr w:rsidR="0084549D" w:rsidRPr="001312A5" w:rsidTr="001312A5">
        <w:trPr>
          <w:trHeight w:val="295"/>
        </w:trPr>
        <w:tc>
          <w:tcPr>
            <w:tcW w:w="1417"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75</w:t>
            </w:r>
          </w:p>
        </w:tc>
        <w:tc>
          <w:tcPr>
            <w:tcW w:w="2283"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0.515</w:t>
            </w:r>
          </w:p>
        </w:tc>
        <w:tc>
          <w:tcPr>
            <w:tcW w:w="2253"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0.570</w:t>
            </w:r>
          </w:p>
        </w:tc>
        <w:tc>
          <w:tcPr>
            <w:tcW w:w="2977" w:type="dxa"/>
            <w:tcBorders>
              <w:top w:val="nil"/>
              <w:left w:val="nil"/>
              <w:bottom w:val="nil"/>
              <w:right w:val="nil"/>
            </w:tcBorders>
            <w:shd w:val="clear" w:color="000000" w:fill="BFBFBF"/>
            <w:vAlign w:val="center"/>
            <w:hideMark/>
          </w:tcPr>
          <w:p w:rsidR="0084549D" w:rsidRPr="001312A5" w:rsidRDefault="0084549D" w:rsidP="001312A5">
            <w:pPr>
              <w:spacing w:after="0"/>
              <w:ind w:left="0"/>
              <w:jc w:val="center"/>
              <w:rPr>
                <w:sz w:val="22"/>
                <w:szCs w:val="22"/>
                <w:lang w:eastAsia="en-AU"/>
              </w:rPr>
            </w:pPr>
            <w:r w:rsidRPr="001312A5">
              <w:rPr>
                <w:sz w:val="22"/>
                <w:szCs w:val="22"/>
                <w:lang w:eastAsia="en-AU"/>
              </w:rPr>
              <w:t>11%</w:t>
            </w:r>
          </w:p>
        </w:tc>
      </w:tr>
    </w:tbl>
    <w:p w:rsidR="000E1722" w:rsidRPr="00B15B98" w:rsidRDefault="000E1722" w:rsidP="00C24556"/>
    <w:p w:rsidR="00B15B98" w:rsidRDefault="00B15B98" w:rsidP="00C24556">
      <w:r w:rsidRPr="00B15B98">
        <w:rPr>
          <w:b/>
        </w:rPr>
        <w:t xml:space="preserve">Figure 2. </w:t>
      </w:r>
      <w:r w:rsidRPr="00B15B98">
        <w:t>Representation</w:t>
      </w:r>
      <w:r w:rsidR="009F54AE">
        <w:t xml:space="preserve"> of</w:t>
      </w:r>
      <w:r w:rsidRPr="00B15B98">
        <w:t xml:space="preserve"> amenity afforded by additional space</w:t>
      </w:r>
    </w:p>
    <w:p w:rsidR="00634A8C" w:rsidRDefault="004B05AA" w:rsidP="00C24556">
      <w:r>
        <w:rPr>
          <w:noProof/>
          <w:lang w:eastAsia="en-AU"/>
        </w:rPr>
        <w:drawing>
          <wp:inline distT="0" distB="0" distL="0" distR="0" wp14:anchorId="1F1804EF" wp14:editId="73FCE501">
            <wp:extent cx="5727700" cy="3238091"/>
            <wp:effectExtent l="0" t="0" r="6350"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3374" w:rsidRDefault="005A3374" w:rsidP="00C24556">
      <w:bookmarkStart w:id="18" w:name="_Toc513467749"/>
      <w:r>
        <w:t xml:space="preserve">In general, terms, stocking density can be thought about in terms of amenity. At current ASEL densities, the provision of say 10% more space adds considerable amenity. </w:t>
      </w:r>
      <w:r w:rsidR="00DA5757">
        <w:t xml:space="preserve">However, the </w:t>
      </w:r>
      <w:r w:rsidR="006F266E">
        <w:t>additional of further space a</w:t>
      </w:r>
      <w:r w:rsidR="00B01EBD">
        <w:t>d</w:t>
      </w:r>
      <w:r w:rsidR="006F266E">
        <w:t>ds</w:t>
      </w:r>
      <w:r w:rsidR="00DA5757">
        <w:t xml:space="preserve"> disproportionately less amenity until the point where additional space adds little extra amenity. This is simply a law of diminishing returns. At the other end of the scale, a 10% increase in stocking density (over and above ASEL) could actually become life threatening to the weaker sheep in the pen. </w:t>
      </w:r>
      <w:r w:rsidR="00743010">
        <w:t>Figure 2 depicts t</w:t>
      </w:r>
      <w:r w:rsidR="00DA5757">
        <w:t>he general principle involved</w:t>
      </w:r>
      <w:r w:rsidR="006F266E">
        <w:t xml:space="preserve"> </w:t>
      </w:r>
      <w:r w:rsidR="00743010">
        <w:t>using space allocation for a 50kg sheep</w:t>
      </w:r>
      <w:r w:rsidR="006F266E">
        <w:t>.</w:t>
      </w:r>
    </w:p>
    <w:p w:rsidR="00272CBA" w:rsidRPr="00CD6489" w:rsidRDefault="00272CBA" w:rsidP="00CD6489">
      <w:pPr>
        <w:ind w:left="1701"/>
        <w:rPr>
          <w:b/>
          <w:i/>
        </w:rPr>
      </w:pPr>
      <w:r w:rsidRPr="00CD6489">
        <w:rPr>
          <w:b/>
          <w:i/>
        </w:rPr>
        <w:t xml:space="preserve">Best </w:t>
      </w:r>
      <w:r w:rsidR="001312A5">
        <w:rPr>
          <w:b/>
          <w:i/>
        </w:rPr>
        <w:t>resources</w:t>
      </w:r>
      <w:r w:rsidRPr="00CD6489">
        <w:rPr>
          <w:b/>
          <w:i/>
        </w:rPr>
        <w:t>:</w:t>
      </w:r>
    </w:p>
    <w:p w:rsidR="00272CBA" w:rsidRDefault="00272CBA" w:rsidP="004E143C">
      <w:pPr>
        <w:pStyle w:val="Default"/>
        <w:spacing w:after="100"/>
        <w:ind w:left="1701"/>
        <w:jc w:val="both"/>
        <w:rPr>
          <w:rFonts w:asciiTheme="minorHAnsi" w:hAnsiTheme="minorHAnsi"/>
          <w:bCs/>
        </w:rPr>
      </w:pPr>
      <w:r w:rsidRPr="00ED5DAA">
        <w:rPr>
          <w:rFonts w:asciiTheme="minorHAnsi" w:hAnsiTheme="minorHAnsi"/>
          <w:bCs/>
        </w:rPr>
        <w:t xml:space="preserve">Petherick, JC (2007) Spatial requirements of animals: Allometry and beyond. </w:t>
      </w:r>
      <w:r w:rsidRPr="00ED5DAA">
        <w:rPr>
          <w:rFonts w:asciiTheme="minorHAnsi" w:hAnsiTheme="minorHAnsi"/>
          <w:bCs/>
          <w:i/>
        </w:rPr>
        <w:t>Journal of Veterinary Behavior</w:t>
      </w:r>
      <w:r w:rsidRPr="00ED5DAA">
        <w:rPr>
          <w:rFonts w:asciiTheme="minorHAnsi" w:hAnsiTheme="minorHAnsi"/>
          <w:bCs/>
        </w:rPr>
        <w:t xml:space="preserve"> </w:t>
      </w:r>
      <w:r w:rsidRPr="00ED5DAA">
        <w:rPr>
          <w:rFonts w:asciiTheme="minorHAnsi" w:hAnsiTheme="minorHAnsi"/>
          <w:b/>
          <w:bCs/>
        </w:rPr>
        <w:t>2</w:t>
      </w:r>
      <w:r w:rsidR="006F266E">
        <w:rPr>
          <w:rFonts w:asciiTheme="minorHAnsi" w:hAnsiTheme="minorHAnsi"/>
          <w:bCs/>
        </w:rPr>
        <w:t>, 197–</w:t>
      </w:r>
      <w:r w:rsidRPr="00ED5DAA">
        <w:rPr>
          <w:rFonts w:asciiTheme="minorHAnsi" w:hAnsiTheme="minorHAnsi"/>
          <w:bCs/>
        </w:rPr>
        <w:t>204.</w:t>
      </w:r>
    </w:p>
    <w:p w:rsidR="00272CBA" w:rsidRDefault="00272CBA" w:rsidP="006F266E">
      <w:pPr>
        <w:pStyle w:val="Default"/>
        <w:spacing w:after="100"/>
        <w:ind w:left="1701"/>
        <w:jc w:val="both"/>
        <w:rPr>
          <w:rFonts w:asciiTheme="minorHAnsi" w:hAnsiTheme="minorHAnsi"/>
          <w:bCs/>
        </w:rPr>
      </w:pPr>
      <w:r w:rsidRPr="00ED5DAA">
        <w:rPr>
          <w:rFonts w:asciiTheme="minorHAnsi" w:hAnsiTheme="minorHAnsi"/>
          <w:bCs/>
        </w:rPr>
        <w:t xml:space="preserve">Petherick, JC, Phillips, CJC (2009) Space allowances for confined livestock and their determination from allometric principles. </w:t>
      </w:r>
      <w:r w:rsidRPr="00ED5DAA">
        <w:rPr>
          <w:rFonts w:asciiTheme="minorHAnsi" w:hAnsiTheme="minorHAnsi"/>
          <w:bCs/>
          <w:i/>
        </w:rPr>
        <w:t xml:space="preserve">Applied Animal Behaviour Science </w:t>
      </w:r>
      <w:r w:rsidRPr="00ED5DAA">
        <w:rPr>
          <w:rFonts w:asciiTheme="minorHAnsi" w:hAnsiTheme="minorHAnsi"/>
          <w:b/>
          <w:bCs/>
        </w:rPr>
        <w:t>117</w:t>
      </w:r>
      <w:r w:rsidR="006F266E">
        <w:rPr>
          <w:rFonts w:asciiTheme="minorHAnsi" w:hAnsiTheme="minorHAnsi"/>
          <w:bCs/>
        </w:rPr>
        <w:t>, 1–</w:t>
      </w:r>
      <w:r w:rsidRPr="00ED5DAA">
        <w:rPr>
          <w:rFonts w:asciiTheme="minorHAnsi" w:hAnsiTheme="minorHAnsi"/>
          <w:bCs/>
        </w:rPr>
        <w:t>12.</w:t>
      </w:r>
    </w:p>
    <w:p w:rsidR="00272CBA" w:rsidRDefault="00272CBA" w:rsidP="006F266E">
      <w:pPr>
        <w:pStyle w:val="Default"/>
        <w:spacing w:after="100"/>
        <w:ind w:left="1701"/>
        <w:jc w:val="both"/>
        <w:rPr>
          <w:rFonts w:asciiTheme="minorHAnsi" w:hAnsiTheme="minorHAnsi"/>
          <w:bCs/>
        </w:rPr>
      </w:pPr>
      <w:r w:rsidRPr="00F00B06">
        <w:rPr>
          <w:rFonts w:asciiTheme="minorHAnsi" w:hAnsiTheme="minorHAnsi"/>
          <w:bCs/>
        </w:rPr>
        <w:t>Ferguson, D, Lea, J (2013) Refining stocking densities (W.LIV.0253). Prepared by CSIRO Animal, Food &amp; Health Sciences for MLA/LiveCorp.</w:t>
      </w:r>
    </w:p>
    <w:p w:rsidR="00A54AFF" w:rsidRPr="00CD6489" w:rsidRDefault="00A54AFF" w:rsidP="00CD6489">
      <w:pPr>
        <w:ind w:left="1701"/>
        <w:rPr>
          <w:b/>
          <w:i/>
        </w:rPr>
      </w:pPr>
      <w:r w:rsidRPr="00CD6489">
        <w:rPr>
          <w:b/>
          <w:i/>
        </w:rPr>
        <w:t>Further reading:</w:t>
      </w:r>
    </w:p>
    <w:p w:rsidR="00A54AFF" w:rsidRDefault="00A54AFF" w:rsidP="00B5685A">
      <w:pPr>
        <w:pStyle w:val="Default"/>
        <w:spacing w:after="120"/>
        <w:ind w:left="1701"/>
        <w:jc w:val="both"/>
        <w:rPr>
          <w:rFonts w:asciiTheme="minorHAnsi" w:hAnsiTheme="minorHAnsi"/>
          <w:bCs/>
        </w:rPr>
      </w:pPr>
      <w:r>
        <w:rPr>
          <w:rFonts w:asciiTheme="minorHAnsi" w:hAnsiTheme="minorHAnsi"/>
          <w:bCs/>
        </w:rPr>
        <w:t>………. refer to list of references in the appendices.</w:t>
      </w:r>
    </w:p>
    <w:p w:rsidR="000E4F52" w:rsidRDefault="000E4F52" w:rsidP="00C24556">
      <w:pPr>
        <w:pStyle w:val="Heading3"/>
      </w:pPr>
      <w:bookmarkStart w:id="19" w:name="_Toc513812198"/>
      <w:r>
        <w:t xml:space="preserve">Bedding </w:t>
      </w:r>
      <w:r w:rsidR="00706208">
        <w:t xml:space="preserve">(pad) </w:t>
      </w:r>
      <w:r>
        <w:t>management</w:t>
      </w:r>
      <w:bookmarkEnd w:id="18"/>
      <w:bookmarkEnd w:id="19"/>
    </w:p>
    <w:p w:rsidR="00524218" w:rsidRDefault="00393D02" w:rsidP="00CD6489">
      <w:pPr>
        <w:ind w:left="1701"/>
      </w:pPr>
      <w:r>
        <w:t xml:space="preserve">For the most part, the sheep pad makes for excellent bedding. There is no need for additional sawdust or any other bedding additive under normal circumstances. </w:t>
      </w:r>
      <w:r w:rsidR="00816633">
        <w:t>T</w:t>
      </w:r>
      <w:r w:rsidR="003B0E63">
        <w:t>here has been</w:t>
      </w:r>
      <w:r w:rsidR="00816633">
        <w:t xml:space="preserve">, however, some good work </w:t>
      </w:r>
      <w:r w:rsidR="003B0E63">
        <w:t xml:space="preserve">within the cattle </w:t>
      </w:r>
      <w:r w:rsidR="007E17D7">
        <w:t xml:space="preserve">export </w:t>
      </w:r>
      <w:r w:rsidR="003B0E63">
        <w:t>trade whereby the cattle pad is being extended (in terms of time) to enable voyages to China to be completed without undertaking a wash</w:t>
      </w:r>
      <w:r w:rsidR="00DA5757">
        <w:t xml:space="preserve"> </w:t>
      </w:r>
      <w:r w:rsidR="003B0E63">
        <w:t xml:space="preserve">down. </w:t>
      </w:r>
      <w:r w:rsidR="00DA5757">
        <w:t>On these voyages, d</w:t>
      </w:r>
      <w:r w:rsidR="003B0E63">
        <w:t xml:space="preserve">epending on the stocking density, bedding conditions can remain </w:t>
      </w:r>
      <w:r w:rsidR="00A54AFF">
        <w:t>very dry and this is a sound</w:t>
      </w:r>
      <w:r w:rsidR="003B0E63">
        <w:t xml:space="preserve"> management strategy (best practice) particularly when conditions at the destination a</w:t>
      </w:r>
      <w:r w:rsidR="00816633">
        <w:t>re</w:t>
      </w:r>
      <w:r w:rsidR="00890D0A">
        <w:t xml:space="preserve"> cold.</w:t>
      </w:r>
    </w:p>
    <w:p w:rsidR="003B0E63" w:rsidRDefault="003B0E63" w:rsidP="00CD6489">
      <w:pPr>
        <w:ind w:left="1701"/>
      </w:pPr>
      <w:r>
        <w:t xml:space="preserve">The key to this </w:t>
      </w:r>
      <w:r w:rsidR="00DA5757">
        <w:t xml:space="preserve">strategy </w:t>
      </w:r>
      <w:r>
        <w:t xml:space="preserve">is either to put down abundant sawdust at the commencement of the voyage, or </w:t>
      </w:r>
      <w:r w:rsidR="00B15B98">
        <w:t>add</w:t>
      </w:r>
      <w:r>
        <w:t xml:space="preserve"> sawdust on a strategic basis to areas that need it as the voyage progresses. This same strategy may have a place in the sheep trade wher</w:t>
      </w:r>
      <w:r w:rsidR="00A54AFF">
        <w:t>e some pad areas are known to deteriorate</w:t>
      </w:r>
      <w:r>
        <w:t>. Sawdust could be spread in these areas, either at the voyage outset, or strategically as the voyage progresses. It is not suggested that sawdust be used on a routine basis for the entire cargo</w:t>
      </w:r>
      <w:r w:rsidR="00DF7DA7">
        <w:t xml:space="preserve">. </w:t>
      </w:r>
      <w:r w:rsidR="00C542C8">
        <w:t>This c</w:t>
      </w:r>
      <w:r w:rsidR="009D2758">
        <w:t>ould be part of an exporter</w:t>
      </w:r>
      <w:r w:rsidR="00C542C8">
        <w:t>’</w:t>
      </w:r>
      <w:r w:rsidR="009D2758">
        <w:t>s heat stress management plan</w:t>
      </w:r>
      <w:r w:rsidR="00C542C8">
        <w:t xml:space="preserve"> but is unlikely to be a condition within an approved arrangement.</w:t>
      </w:r>
    </w:p>
    <w:p w:rsidR="00B272D5" w:rsidRPr="00CD6489" w:rsidRDefault="00B272D5" w:rsidP="00CD6489">
      <w:pPr>
        <w:ind w:left="1701"/>
        <w:rPr>
          <w:b/>
          <w:i/>
        </w:rPr>
      </w:pPr>
      <w:r w:rsidRPr="00CD6489">
        <w:rPr>
          <w:b/>
          <w:i/>
        </w:rPr>
        <w:t xml:space="preserve">Best </w:t>
      </w:r>
      <w:r w:rsidR="001312A5">
        <w:rPr>
          <w:b/>
          <w:i/>
        </w:rPr>
        <w:t>resources</w:t>
      </w:r>
      <w:r w:rsidRPr="00CD6489">
        <w:rPr>
          <w:b/>
          <w:i/>
        </w:rPr>
        <w:t>:</w:t>
      </w:r>
    </w:p>
    <w:p w:rsidR="00B272D5" w:rsidRDefault="00B272D5" w:rsidP="00610E24">
      <w:pPr>
        <w:pStyle w:val="Default"/>
        <w:spacing w:after="100"/>
        <w:ind w:left="1701"/>
        <w:jc w:val="both"/>
        <w:rPr>
          <w:rFonts w:asciiTheme="minorHAnsi" w:hAnsiTheme="minorHAnsi"/>
          <w:bCs/>
        </w:rPr>
      </w:pPr>
      <w:r w:rsidRPr="00ED5DAA">
        <w:rPr>
          <w:rFonts w:asciiTheme="minorHAnsi" w:hAnsiTheme="minorHAnsi"/>
          <w:bCs/>
        </w:rPr>
        <w:t>McCarthy, MR, Banhazi, T (2016) Bedding management and air quality on livestock vessels – A literature review (W.LIV.0290). Prepared by Global Livestock Solutions Pty Ltd for MLA/LiveCorp.</w:t>
      </w:r>
    </w:p>
    <w:p w:rsidR="00A54AFF" w:rsidRPr="00CD6489" w:rsidRDefault="00A54AFF" w:rsidP="00CD6489">
      <w:pPr>
        <w:ind w:left="1701"/>
        <w:rPr>
          <w:b/>
          <w:i/>
        </w:rPr>
      </w:pPr>
      <w:r w:rsidRPr="00CD6489">
        <w:rPr>
          <w:b/>
          <w:i/>
        </w:rPr>
        <w:t>Further reading:</w:t>
      </w:r>
    </w:p>
    <w:p w:rsidR="00A54AFF" w:rsidRDefault="00A54AFF" w:rsidP="00B5685A">
      <w:pPr>
        <w:pStyle w:val="Default"/>
        <w:spacing w:after="120"/>
        <w:ind w:left="1701"/>
        <w:jc w:val="both"/>
        <w:rPr>
          <w:rFonts w:asciiTheme="minorHAnsi" w:hAnsiTheme="minorHAnsi"/>
          <w:bCs/>
        </w:rPr>
      </w:pPr>
      <w:r>
        <w:rPr>
          <w:rFonts w:asciiTheme="minorHAnsi" w:hAnsiTheme="minorHAnsi"/>
          <w:bCs/>
        </w:rPr>
        <w:t>……… refer to list of references in the appendices.</w:t>
      </w:r>
    </w:p>
    <w:p w:rsidR="00E63232" w:rsidRDefault="00E63232" w:rsidP="00C24556">
      <w:pPr>
        <w:pStyle w:val="Heading3"/>
      </w:pPr>
      <w:bookmarkStart w:id="20" w:name="_Toc513467750"/>
      <w:bookmarkStart w:id="21" w:name="_Toc513812199"/>
      <w:r>
        <w:t xml:space="preserve">The role of the </w:t>
      </w:r>
      <w:r w:rsidR="004847D2">
        <w:t xml:space="preserve">Australian </w:t>
      </w:r>
      <w:r w:rsidR="00E56095">
        <w:t>Government Accredited Veterinarian</w:t>
      </w:r>
      <w:r w:rsidR="00D94BF9">
        <w:t xml:space="preserve"> and the observer</w:t>
      </w:r>
      <w:bookmarkEnd w:id="20"/>
      <w:bookmarkEnd w:id="21"/>
    </w:p>
    <w:p w:rsidR="00DF7DA7" w:rsidRDefault="00722B5B" w:rsidP="00CD6489">
      <w:pPr>
        <w:ind w:left="1701"/>
      </w:pPr>
      <w:r>
        <w:t xml:space="preserve">From an industry point of view, an </w:t>
      </w:r>
      <w:r w:rsidR="007E17D7">
        <w:t>IO</w:t>
      </w:r>
      <w:r>
        <w:t xml:space="preserve"> is an important part of regaining the trust of the general public, the regulators and any other interested parties.</w:t>
      </w:r>
    </w:p>
    <w:p w:rsidR="00CF72BC" w:rsidRDefault="00340CF3" w:rsidP="00CD6489">
      <w:pPr>
        <w:ind w:left="1701"/>
      </w:pPr>
      <w:r>
        <w:t xml:space="preserve">It is strongly recommended that an </w:t>
      </w:r>
      <w:r w:rsidR="007E17D7">
        <w:t>IO</w:t>
      </w:r>
      <w:r>
        <w:t xml:space="preserve">, reporting directly to the regulator, be appointed for all voyages carrying sheep to the Middle East during the forthcoming northern </w:t>
      </w:r>
      <w:r w:rsidR="00971D49">
        <w:t xml:space="preserve">hemisphere </w:t>
      </w:r>
      <w:r>
        <w:t>summer.</w:t>
      </w:r>
    </w:p>
    <w:p w:rsidR="00A65912" w:rsidRDefault="00816010" w:rsidP="00CD6489">
      <w:pPr>
        <w:ind w:left="1701"/>
      </w:pPr>
      <w:r>
        <w:t xml:space="preserve">The caveat on this, is that the reporting and feedback of the </w:t>
      </w:r>
      <w:r w:rsidR="007E17D7">
        <w:t xml:space="preserve">IO </w:t>
      </w:r>
      <w:r w:rsidR="002B5C11">
        <w:t xml:space="preserve">must </w:t>
      </w:r>
      <w:r>
        <w:t xml:space="preserve">be actively received by someone who knows something about live exporting and converts the information into something constructive, and/or takes action about </w:t>
      </w:r>
      <w:r w:rsidR="002B5C11">
        <w:t xml:space="preserve">any </w:t>
      </w:r>
      <w:r>
        <w:t xml:space="preserve">observed discrepancies (e.g. wool length). </w:t>
      </w:r>
    </w:p>
    <w:p w:rsidR="005E0484" w:rsidRDefault="005E0484" w:rsidP="00CD6489">
      <w:pPr>
        <w:ind w:left="1701"/>
      </w:pPr>
      <w:r>
        <w:t>Freed of the reporting responsibility, the AAV would act far more in the interests of the exporter</w:t>
      </w:r>
      <w:r w:rsidR="00987374">
        <w:t>,</w:t>
      </w:r>
      <w:r>
        <w:t xml:space="preserve"> ship</w:t>
      </w:r>
      <w:r w:rsidR="00987374">
        <w:t xml:space="preserve"> and the voyage outcome generally</w:t>
      </w:r>
      <w:r>
        <w:t>. There is no question that a competent veterinarian, supported by a competent stockman (or the other way around) are able to work with ship’s crew on a regular basis to improve the overall management of livestock on the vessel.</w:t>
      </w:r>
    </w:p>
    <w:p w:rsidR="00B15B98" w:rsidRDefault="00816010" w:rsidP="00CD6489">
      <w:pPr>
        <w:ind w:left="1701"/>
      </w:pPr>
      <w:r>
        <w:t>Central to this debate is the question of what qualifications, training, knowledge and skills</w:t>
      </w:r>
      <w:r w:rsidR="00AA17D0">
        <w:t xml:space="preserve"> might be required to enable both the veterinarian and the observer to do their jobs. Further to that, what tools might they require, and further to that, what information do they need to do their respective jobs. For example, i</w:t>
      </w:r>
      <w:r w:rsidR="00725075">
        <w:t xml:space="preserve">n regards to the northern hemisphere summer, and in recognition of the importance of ventilation during this period, the AAV </w:t>
      </w:r>
      <w:r w:rsidR="003B4A77">
        <w:t xml:space="preserve">and the observer </w:t>
      </w:r>
      <w:r w:rsidR="00725075">
        <w:t>should be expected to be familiar with the principles inherent in the heat stress risk assessment model and be provided with tools that allow him/her to measure key aspects of ventilation. This might include</w:t>
      </w:r>
      <w:r w:rsidR="00B15B98">
        <w:t>:</w:t>
      </w:r>
    </w:p>
    <w:p w:rsidR="00B15B98" w:rsidRDefault="00725075" w:rsidP="00C24556">
      <w:pPr>
        <w:pStyle w:val="ListParagraph"/>
        <w:numPr>
          <w:ilvl w:val="0"/>
          <w:numId w:val="40"/>
        </w:numPr>
      </w:pPr>
      <w:r w:rsidRPr="00B15B98">
        <w:t>a hand-held CO</w:t>
      </w:r>
      <w:r w:rsidRPr="00B15B98">
        <w:rPr>
          <w:vertAlign w:val="subscript"/>
        </w:rPr>
        <w:t>2</w:t>
      </w:r>
      <w:r w:rsidRPr="00B15B98">
        <w:t xml:space="preserve"> monitor that allows the veterinarian to detect and map less ventilated </w:t>
      </w:r>
      <w:r w:rsidR="00B15B98">
        <w:t>areas</w:t>
      </w:r>
    </w:p>
    <w:p w:rsidR="00B15B98" w:rsidRDefault="00B15B98" w:rsidP="00C24556">
      <w:pPr>
        <w:pStyle w:val="ListParagraph"/>
        <w:numPr>
          <w:ilvl w:val="0"/>
          <w:numId w:val="40"/>
        </w:numPr>
      </w:pPr>
      <w:r>
        <w:t>h</w:t>
      </w:r>
      <w:r w:rsidR="007B7001" w:rsidRPr="00B15B98">
        <w:t>and</w:t>
      </w:r>
      <w:r w:rsidR="00996814" w:rsidRPr="00B15B98">
        <w:t>-h</w:t>
      </w:r>
      <w:r w:rsidR="007B7001" w:rsidRPr="00B15B98">
        <w:t>eld t</w:t>
      </w:r>
      <w:r w:rsidR="00725075" w:rsidRPr="00B15B98">
        <w:t>empe</w:t>
      </w:r>
      <w:r w:rsidR="007B7001" w:rsidRPr="00B15B98">
        <w:t>rature and humidity readers</w:t>
      </w:r>
      <w:r w:rsidR="00725075" w:rsidRPr="00B15B98">
        <w:t xml:space="preserve"> can confirm the wet bulb rise </w:t>
      </w:r>
      <w:r>
        <w:t>in specific areas of the ship</w:t>
      </w:r>
    </w:p>
    <w:p w:rsidR="00B15B98" w:rsidRDefault="004847D2" w:rsidP="00C24556">
      <w:pPr>
        <w:pStyle w:val="ListParagraph"/>
        <w:numPr>
          <w:ilvl w:val="0"/>
          <w:numId w:val="40"/>
        </w:numPr>
      </w:pPr>
      <w:r w:rsidRPr="00B15B98">
        <w:t xml:space="preserve">data </w:t>
      </w:r>
      <w:r w:rsidR="007B7001" w:rsidRPr="00B15B98">
        <w:t xml:space="preserve">loggers that </w:t>
      </w:r>
      <w:r w:rsidR="00725075" w:rsidRPr="00B15B98">
        <w:t>provide a continuous measur</w:t>
      </w:r>
      <w:r w:rsidR="00B15B98">
        <w:t>ement of wet bulb temperature</w:t>
      </w:r>
    </w:p>
    <w:p w:rsidR="00B15B98" w:rsidRPr="00B15B98" w:rsidRDefault="00B15B98" w:rsidP="00C24556">
      <w:pPr>
        <w:pStyle w:val="ListParagraph"/>
        <w:numPr>
          <w:ilvl w:val="0"/>
          <w:numId w:val="40"/>
        </w:numPr>
      </w:pPr>
      <w:r>
        <w:t>a</w:t>
      </w:r>
      <w:r w:rsidR="00725075" w:rsidRPr="00B15B98">
        <w:t xml:space="preserve">n anemometer to measure air speed together with a </w:t>
      </w:r>
      <w:r w:rsidR="00ED6227" w:rsidRPr="00B15B98">
        <w:t xml:space="preserve">suitable </w:t>
      </w:r>
      <w:r w:rsidR="00725075" w:rsidRPr="00B15B98">
        <w:t>tape measure to measure vent areas</w:t>
      </w:r>
      <w:r w:rsidR="007B7001" w:rsidRPr="00B15B98">
        <w:t xml:space="preserve"> is also useful</w:t>
      </w:r>
      <w:r>
        <w:t>.</w:t>
      </w:r>
    </w:p>
    <w:p w:rsidR="00B272D5" w:rsidRPr="00B15B98" w:rsidRDefault="00ED6227" w:rsidP="00CD6489">
      <w:pPr>
        <w:ind w:left="1701"/>
      </w:pPr>
      <w:r w:rsidRPr="00B15B98">
        <w:t>These skills are not meant to take the place of an engineer, but the ability to undertake certain basic tasks assists greatly in the overall understanding of the onboard environment.</w:t>
      </w:r>
    </w:p>
    <w:p w:rsidR="000521BB" w:rsidRDefault="000521BB" w:rsidP="00CD6489">
      <w:pPr>
        <w:ind w:left="1701"/>
      </w:pPr>
      <w:r>
        <w:t xml:space="preserve">The AAV </w:t>
      </w:r>
      <w:r w:rsidR="006F3CB2">
        <w:t xml:space="preserve">and the observer </w:t>
      </w:r>
      <w:r>
        <w:t xml:space="preserve">should also be given the information </w:t>
      </w:r>
      <w:r w:rsidR="006F3CB2">
        <w:t>t</w:t>
      </w:r>
      <w:r>
        <w:t>he</w:t>
      </w:r>
      <w:r w:rsidR="006F3CB2">
        <w:t>y need</w:t>
      </w:r>
      <w:r>
        <w:t xml:space="preserve"> to do the job. This might include a ventilation plan that designates PAT to each deck and/or hol</w:t>
      </w:r>
      <w:r w:rsidR="00A54AFF">
        <w:t xml:space="preserve">d, a copy of the HSRA printout and </w:t>
      </w:r>
      <w:r>
        <w:t>the weights for each l</w:t>
      </w:r>
      <w:r w:rsidR="00A54AFF">
        <w:t>ine of sheep</w:t>
      </w:r>
      <w:r w:rsidR="007B7001">
        <w:t>.</w:t>
      </w:r>
    </w:p>
    <w:p w:rsidR="00C169AB" w:rsidRDefault="00B15B98" w:rsidP="00CD6489">
      <w:pPr>
        <w:ind w:left="1701"/>
      </w:pPr>
      <w:r>
        <w:t>They</w:t>
      </w:r>
      <w:r w:rsidR="00725075">
        <w:t xml:space="preserve"> should </w:t>
      </w:r>
      <w:r w:rsidR="001C6C98">
        <w:t xml:space="preserve">take an active interest in continuing education and </w:t>
      </w:r>
      <w:r w:rsidR="00725075">
        <w:t>be familiar with the key industry specific research that is relevant to that particular time of year.</w:t>
      </w:r>
    </w:p>
    <w:p w:rsidR="00AA17D0" w:rsidRDefault="00AA17D0" w:rsidP="00CD6489">
      <w:pPr>
        <w:ind w:left="1701"/>
      </w:pPr>
      <w:r>
        <w:t xml:space="preserve">The </w:t>
      </w:r>
      <w:r w:rsidR="007E17D7">
        <w:t>IO</w:t>
      </w:r>
      <w:r>
        <w:t xml:space="preserve"> should be prepared for his/her task in a very similar way. There are complexities involved in defining these roles and it was not possible to tease these out in the short time frame that is made available for this review. It is suggested, therefore, that a small </w:t>
      </w:r>
      <w:r w:rsidR="005564D2">
        <w:t xml:space="preserve">taskforce be formed, representing the various stakeholders, </w:t>
      </w:r>
      <w:r w:rsidR="0061776E">
        <w:t>to better determine,</w:t>
      </w:r>
      <w:r>
        <w:t xml:space="preserve"> describe</w:t>
      </w:r>
      <w:r w:rsidR="0061776E">
        <w:t xml:space="preserve"> and integrate</w:t>
      </w:r>
      <w:r>
        <w:t xml:space="preserve"> the anticipated roles, responsibilities and activities for each of the respective parties (AAV, </w:t>
      </w:r>
      <w:r w:rsidR="007E17D7">
        <w:t>IO</w:t>
      </w:r>
      <w:r>
        <w:t xml:space="preserve"> and possibly stockman)</w:t>
      </w:r>
      <w:r w:rsidR="005536D4">
        <w:t>. It is likely that this will evolve over time.</w:t>
      </w:r>
    </w:p>
    <w:p w:rsidR="00B15B98" w:rsidRPr="00CD6489" w:rsidRDefault="00B15B98" w:rsidP="00CD6489">
      <w:pPr>
        <w:ind w:left="1701"/>
        <w:rPr>
          <w:b/>
          <w:i/>
        </w:rPr>
      </w:pPr>
      <w:r w:rsidRPr="00CD6489">
        <w:rPr>
          <w:b/>
          <w:i/>
        </w:rPr>
        <w:t xml:space="preserve">Best </w:t>
      </w:r>
      <w:r w:rsidR="001312A5">
        <w:rPr>
          <w:b/>
          <w:i/>
        </w:rPr>
        <w:t>resources</w:t>
      </w:r>
      <w:r w:rsidRPr="00CD6489">
        <w:rPr>
          <w:b/>
          <w:i/>
        </w:rPr>
        <w:t>:</w:t>
      </w:r>
    </w:p>
    <w:p w:rsidR="00B15B98" w:rsidRDefault="00B15B98" w:rsidP="00B15B98">
      <w:pPr>
        <w:pStyle w:val="Default"/>
        <w:spacing w:after="100"/>
        <w:ind w:left="1701"/>
        <w:rPr>
          <w:rFonts w:asciiTheme="minorHAnsi" w:hAnsiTheme="minorHAnsi"/>
          <w:bCs/>
        </w:rPr>
      </w:pPr>
      <w:r w:rsidRPr="00E67432">
        <w:rPr>
          <w:rFonts w:asciiTheme="minorHAnsi" w:hAnsiTheme="minorHAnsi"/>
          <w:bCs/>
        </w:rPr>
        <w:t>Brightling, T, Chapman, C, Reeves, P (2004) Livestock exports – Best practice use of veterinary drugs. Prepared for MLA/Livecorp.</w:t>
      </w:r>
    </w:p>
    <w:p w:rsidR="00A54AFF" w:rsidRPr="00CD6489" w:rsidRDefault="00A54AFF" w:rsidP="00CD6489">
      <w:pPr>
        <w:ind w:left="1701"/>
        <w:rPr>
          <w:b/>
          <w:i/>
        </w:rPr>
      </w:pPr>
      <w:r w:rsidRPr="00CD6489">
        <w:rPr>
          <w:b/>
          <w:i/>
        </w:rPr>
        <w:t>Further reading:</w:t>
      </w:r>
    </w:p>
    <w:p w:rsidR="00A54AFF" w:rsidRDefault="00A54AFF" w:rsidP="00B5685A">
      <w:pPr>
        <w:pStyle w:val="Default"/>
        <w:spacing w:after="120"/>
        <w:ind w:left="1701"/>
        <w:jc w:val="both"/>
        <w:rPr>
          <w:rFonts w:asciiTheme="minorHAnsi" w:hAnsiTheme="minorHAnsi"/>
          <w:bCs/>
        </w:rPr>
      </w:pPr>
      <w:r>
        <w:rPr>
          <w:rFonts w:asciiTheme="minorHAnsi" w:hAnsiTheme="minorHAnsi"/>
          <w:bCs/>
        </w:rPr>
        <w:t>………. refer to list of references in the appendices.</w:t>
      </w:r>
    </w:p>
    <w:p w:rsidR="00234936" w:rsidRDefault="00234936" w:rsidP="00C24556">
      <w:pPr>
        <w:pStyle w:val="Heading3"/>
      </w:pPr>
      <w:bookmarkStart w:id="22" w:name="_Toc513467751"/>
      <w:bookmarkStart w:id="23" w:name="_Toc513812200"/>
      <w:r>
        <w:t xml:space="preserve">Provision of </w:t>
      </w:r>
      <w:r w:rsidR="008D4658">
        <w:t xml:space="preserve">Australian </w:t>
      </w:r>
      <w:r>
        <w:t>stockmen</w:t>
      </w:r>
      <w:bookmarkEnd w:id="22"/>
      <w:bookmarkEnd w:id="23"/>
    </w:p>
    <w:p w:rsidR="00234936" w:rsidRDefault="008D4658" w:rsidP="00CD6489">
      <w:pPr>
        <w:ind w:left="1701"/>
      </w:pPr>
      <w:r>
        <w:t>Good things can be achieved with t</w:t>
      </w:r>
      <w:r w:rsidR="00051E0F">
        <w:t>he combination of a g</w:t>
      </w:r>
      <w:r>
        <w:t xml:space="preserve">ood accredited stockman and </w:t>
      </w:r>
      <w:r w:rsidR="00B15B98">
        <w:t>AAV</w:t>
      </w:r>
      <w:r w:rsidR="00340CF3">
        <w:t xml:space="preserve"> </w:t>
      </w:r>
      <w:r>
        <w:t xml:space="preserve">that have the ability to engage with the crew and ship management. </w:t>
      </w:r>
      <w:r w:rsidR="00BE36A2">
        <w:t xml:space="preserve">The number of stockmen then becomes a peripheral issue and relates more to other facets such as scabby mouth </w:t>
      </w:r>
      <w:r w:rsidR="00340CF3">
        <w:t>disease or other manning issues</w:t>
      </w:r>
      <w:r w:rsidR="00BE36A2">
        <w:t>. Focussing on the important things that eliminate (or reduce the likelihood to a miniscule level) the chance of the crisis developing in the first place</w:t>
      </w:r>
      <w:r w:rsidR="0093770F">
        <w:t xml:space="preserve"> is </w:t>
      </w:r>
      <w:r w:rsidR="005536D4">
        <w:t xml:space="preserve">far </w:t>
      </w:r>
      <w:r w:rsidR="0093770F">
        <w:t>less reactive</w:t>
      </w:r>
      <w:r w:rsidR="00BE36A2">
        <w:t>.</w:t>
      </w:r>
    </w:p>
    <w:p w:rsidR="00E63232" w:rsidRDefault="00E63232" w:rsidP="00C24556">
      <w:pPr>
        <w:pStyle w:val="Heading3"/>
      </w:pPr>
      <w:bookmarkStart w:id="24" w:name="_Toc513467752"/>
      <w:bookmarkStart w:id="25" w:name="_Toc513812201"/>
      <w:r>
        <w:t>Mortality management</w:t>
      </w:r>
      <w:bookmarkEnd w:id="24"/>
      <w:bookmarkEnd w:id="25"/>
    </w:p>
    <w:p w:rsidR="00D55AEB" w:rsidRDefault="009E0CA8" w:rsidP="00CD6489">
      <w:pPr>
        <w:ind w:left="1701"/>
      </w:pPr>
      <w:r>
        <w:t>Mortality, is unfortunately a realit</w:t>
      </w:r>
      <w:r w:rsidR="00357583">
        <w:t xml:space="preserve">y in the livestock production system. The onboard management of mortality is important to both the health and welfare of the animals as well as the crew. </w:t>
      </w:r>
    </w:p>
    <w:p w:rsidR="00D55AEB" w:rsidRDefault="00357583" w:rsidP="00CD6489">
      <w:pPr>
        <w:ind w:left="1701"/>
      </w:pPr>
      <w:r>
        <w:t>On most vessels, the</w:t>
      </w:r>
      <w:r w:rsidR="004847D2">
        <w:t xml:space="preserve"> crew will conduct a mortality ‘</w:t>
      </w:r>
      <w:r>
        <w:t>round</w:t>
      </w:r>
      <w:r w:rsidR="004847D2">
        <w:t>’</w:t>
      </w:r>
      <w:r>
        <w:t xml:space="preserve"> once or twice a day. </w:t>
      </w:r>
      <w:r w:rsidR="00FD5D21">
        <w:t xml:space="preserve">Twice a day is recommended since this results in a much tidier vessel and allows earlier detection of moribund sheep (should they be present). </w:t>
      </w:r>
      <w:r>
        <w:t xml:space="preserve">Dead or moribund sheep will be removed from the pens and placed in </w:t>
      </w:r>
      <w:r w:rsidR="00C433B6">
        <w:t>an</w:t>
      </w:r>
      <w:r>
        <w:t xml:space="preserve"> area that is suitable to conduct post mortems. Moribund sheep are euthani</w:t>
      </w:r>
      <w:r w:rsidR="004847D2">
        <w:t>s</w:t>
      </w:r>
      <w:r>
        <w:t xml:space="preserve">ed. </w:t>
      </w:r>
    </w:p>
    <w:p w:rsidR="00FD5D21" w:rsidRDefault="00357583" w:rsidP="00CD6489">
      <w:pPr>
        <w:ind w:left="1701"/>
      </w:pPr>
      <w:r>
        <w:t xml:space="preserve">Sick or injured sheep will also be removed during this inspection process and moved to a hospital pen. Care should be taken at all times to ensure that the process of removing sheep does not </w:t>
      </w:r>
      <w:r w:rsidR="000E6A75">
        <w:t xml:space="preserve">unwittingly cause harm to those sheep remaining in the pen. </w:t>
      </w:r>
    </w:p>
    <w:p w:rsidR="0090420C" w:rsidRDefault="00FD5D21" w:rsidP="00CD6489">
      <w:pPr>
        <w:ind w:left="1701"/>
      </w:pPr>
      <w:r>
        <w:t>Having conducted post mortems on those sheep that are suitable, the bodies are then removed.</w:t>
      </w:r>
      <w:r w:rsidR="008F51BE">
        <w:t xml:space="preserve"> The International Convention for the Prevention of Pollution from Ships</w:t>
      </w:r>
      <w:r>
        <w:t xml:space="preserve"> </w:t>
      </w:r>
      <w:r w:rsidR="008F51BE">
        <w:t>(</w:t>
      </w:r>
      <w:r>
        <w:t>MARPOL</w:t>
      </w:r>
      <w:r w:rsidR="008F51BE">
        <w:t>)</w:t>
      </w:r>
      <w:r>
        <w:t xml:space="preserve"> </w:t>
      </w:r>
      <w:r w:rsidR="007E17D7">
        <w:t>has</w:t>
      </w:r>
      <w:r>
        <w:t xml:space="preserve"> clear instructions about the disposal of dead animals</w:t>
      </w:r>
      <w:r w:rsidR="000D4461">
        <w:t>—</w:t>
      </w:r>
      <w:r w:rsidR="00AD2119" w:rsidRPr="00B15B98">
        <w:t xml:space="preserve">this direction </w:t>
      </w:r>
      <w:r w:rsidR="00AD2119">
        <w:t xml:space="preserve">appears in several places in </w:t>
      </w:r>
      <w:r w:rsidR="000D4461">
        <w:t xml:space="preserve">export </w:t>
      </w:r>
      <w:r w:rsidR="00AD2119">
        <w:t>regulations</w:t>
      </w:r>
      <w:r>
        <w:t>.</w:t>
      </w:r>
    </w:p>
    <w:p w:rsidR="00771F55" w:rsidRDefault="00FD5D21" w:rsidP="00CD6489">
      <w:pPr>
        <w:ind w:left="1701"/>
      </w:pPr>
      <w:r>
        <w:t>In this regard</w:t>
      </w:r>
      <w:r w:rsidR="0090420C">
        <w:t>,</w:t>
      </w:r>
      <w:r>
        <w:t xml:space="preserve"> the Persian Gulf is a </w:t>
      </w:r>
      <w:r w:rsidR="00D55AEB">
        <w:t>special case</w:t>
      </w:r>
      <w:r>
        <w:t xml:space="preserve">. The Persian Gulf has </w:t>
      </w:r>
      <w:r w:rsidR="00771F55">
        <w:t>been designated a special zone. In this case, any bodies must either remain on the ship</w:t>
      </w:r>
      <w:r w:rsidR="00C433B6">
        <w:t>, or be put through a hogger</w:t>
      </w:r>
      <w:r w:rsidR="00771F55">
        <w:t>. Leaving bodies on the ship (for the duration of the final part of the voyage) is macabre and a serious threat to human health. It is not an option. All ships travelling to the Persian Gulf ports should be fitt</w:t>
      </w:r>
      <w:r w:rsidR="00C433B6">
        <w:t>ed with a serviceable hogger</w:t>
      </w:r>
      <w:r w:rsidR="00771F55">
        <w:t xml:space="preserve">. In addition </w:t>
      </w:r>
      <w:r w:rsidR="00C433B6">
        <w:t xml:space="preserve">to this, </w:t>
      </w:r>
      <w:r w:rsidR="00D55AEB">
        <w:t xml:space="preserve">where </w:t>
      </w:r>
      <w:r w:rsidR="00C433B6">
        <w:t>the use of a hogger</w:t>
      </w:r>
      <w:r w:rsidR="00D55AEB">
        <w:t xml:space="preserve"> is not </w:t>
      </w:r>
      <w:r w:rsidR="007E17D7">
        <w:t>permitted</w:t>
      </w:r>
      <w:r w:rsidR="00D55AEB">
        <w:t>,</w:t>
      </w:r>
      <w:r w:rsidR="00771F55">
        <w:t xml:space="preserve"> a refrigerated container should be available to hold bodies for </w:t>
      </w:r>
      <w:r w:rsidR="007E17D7">
        <w:t>as</w:t>
      </w:r>
      <w:r w:rsidR="00771F55">
        <w:t xml:space="preserve"> lon</w:t>
      </w:r>
      <w:r w:rsidR="00D55AEB">
        <w:t xml:space="preserve">g </w:t>
      </w:r>
      <w:r w:rsidR="007E17D7">
        <w:t>a</w:t>
      </w:r>
      <w:r w:rsidR="00D55AEB">
        <w:t xml:space="preserve">s required. This should </w:t>
      </w:r>
      <w:r w:rsidR="00771F55">
        <w:t xml:space="preserve">be mandatory. </w:t>
      </w:r>
      <w:r w:rsidR="0090420C">
        <w:t>It is imperative that the direction in this regard i</w:t>
      </w:r>
      <w:r w:rsidR="004A4A02">
        <w:t xml:space="preserve">s clarified by the authorities. The requirement for the hogger and the refrigerated container should be included in the approved arrangements for all voyages travelling to the Middle East during the northern </w:t>
      </w:r>
      <w:r w:rsidR="00971D49">
        <w:t xml:space="preserve">hemisphere </w:t>
      </w:r>
      <w:r w:rsidR="004A4A02">
        <w:t xml:space="preserve">summer. AMSA should be made </w:t>
      </w:r>
      <w:r w:rsidR="00D55AEB">
        <w:t>aware that</w:t>
      </w:r>
      <w:r w:rsidR="004A4A02">
        <w:t xml:space="preserve"> this </w:t>
      </w:r>
      <w:r w:rsidR="00D55AEB">
        <w:t xml:space="preserve">has been made a condition within any approved arrangement. </w:t>
      </w:r>
    </w:p>
    <w:p w:rsidR="00771F55" w:rsidRDefault="00771F55" w:rsidP="00CD6489">
      <w:pPr>
        <w:ind w:left="1701"/>
      </w:pPr>
      <w:r>
        <w:t xml:space="preserve">It is normal practice to collect the ear tag information of all mortalities to contribute to the understanding of line effects and/or </w:t>
      </w:r>
      <w:r w:rsidR="007E17D7">
        <w:t>correlate</w:t>
      </w:r>
      <w:r>
        <w:t xml:space="preserve"> with cause of mortality (see later).</w:t>
      </w:r>
      <w:r w:rsidR="005536D4">
        <w:t xml:space="preserve"> </w:t>
      </w:r>
      <w:r w:rsidR="00AD2119">
        <w:t xml:space="preserve">A cause of mortality distribution should be determined that relates both the actual post mortems undertaken (with or without diagnoses) as well as an estimated distribution based on the total number. In the ‘new world’ industry should </w:t>
      </w:r>
      <w:r w:rsidR="004A4A02">
        <w:t>expect a low</w:t>
      </w:r>
      <w:r w:rsidR="00AD2119">
        <w:t xml:space="preserve"> </w:t>
      </w:r>
      <w:r w:rsidR="004A4A02">
        <w:t>mortality</w:t>
      </w:r>
      <w:r w:rsidR="002A1A2B">
        <w:t xml:space="preserve"> </w:t>
      </w:r>
      <w:r w:rsidR="00AD2119">
        <w:t xml:space="preserve">on an average sized vessel per voyage (and </w:t>
      </w:r>
      <w:r w:rsidR="007E17D7">
        <w:t xml:space="preserve">be </w:t>
      </w:r>
      <w:r w:rsidR="00AD2119">
        <w:t>taking steps to actively reduce this over time).</w:t>
      </w:r>
    </w:p>
    <w:p w:rsidR="002A1A2B" w:rsidRDefault="002A1A2B" w:rsidP="00CD6489">
      <w:pPr>
        <w:ind w:left="1701"/>
      </w:pPr>
      <w:r>
        <w:t>The use of electronic identification of sheep in sheep has been suggested and this has merit. The co</w:t>
      </w:r>
      <w:r w:rsidR="00D55AEB">
        <w:t xml:space="preserve">llation of information is </w:t>
      </w:r>
      <w:r>
        <w:t>challenging, but there may be many points at which electron</w:t>
      </w:r>
      <w:r w:rsidR="00F93DD3">
        <w:t>ic identification may be benefic</w:t>
      </w:r>
      <w:r w:rsidR="00D55AEB">
        <w:t>ial</w:t>
      </w:r>
      <w:r>
        <w:t>.</w:t>
      </w:r>
    </w:p>
    <w:p w:rsidR="009A7300" w:rsidRPr="00CD6489" w:rsidRDefault="009A7300" w:rsidP="00CD6489">
      <w:pPr>
        <w:ind w:left="1701"/>
        <w:rPr>
          <w:b/>
          <w:i/>
        </w:rPr>
      </w:pPr>
      <w:r w:rsidRPr="00CD6489">
        <w:rPr>
          <w:b/>
          <w:i/>
        </w:rPr>
        <w:t xml:space="preserve">Best </w:t>
      </w:r>
      <w:r w:rsidR="001312A5">
        <w:rPr>
          <w:b/>
          <w:i/>
        </w:rPr>
        <w:t>resources</w:t>
      </w:r>
      <w:r w:rsidRPr="00CD6489">
        <w:rPr>
          <w:b/>
          <w:i/>
        </w:rPr>
        <w:t>:</w:t>
      </w:r>
    </w:p>
    <w:p w:rsidR="009A7300" w:rsidRPr="000D4461" w:rsidRDefault="009A7300" w:rsidP="00CD6489">
      <w:pPr>
        <w:ind w:left="1701"/>
      </w:pPr>
      <w:r w:rsidRPr="000D4461">
        <w:t xml:space="preserve">MARPOL </w:t>
      </w:r>
      <w:r w:rsidR="000D4461">
        <w:t>Annex V (Regulations for the prevention of pollution by garbage from ships)</w:t>
      </w:r>
    </w:p>
    <w:p w:rsidR="00E63232" w:rsidRPr="008F51BE" w:rsidRDefault="004A4A02" w:rsidP="00C24556">
      <w:pPr>
        <w:pStyle w:val="Heading3"/>
      </w:pPr>
      <w:bookmarkStart w:id="26" w:name="_Toc513812202"/>
      <w:r w:rsidRPr="008F51BE">
        <w:t>R</w:t>
      </w:r>
      <w:r w:rsidR="000776DD" w:rsidRPr="008F51BE">
        <w:t>eportable</w:t>
      </w:r>
      <w:bookmarkStart w:id="27" w:name="_Toc513467753"/>
      <w:r w:rsidR="009A38D8" w:rsidRPr="008F51BE">
        <w:t xml:space="preserve"> level</w:t>
      </w:r>
      <w:bookmarkEnd w:id="26"/>
      <w:bookmarkEnd w:id="27"/>
    </w:p>
    <w:p w:rsidR="004A4A02" w:rsidRDefault="00A36281" w:rsidP="00CD6489">
      <w:pPr>
        <w:ind w:left="1701"/>
      </w:pPr>
      <w:r>
        <w:t>The current</w:t>
      </w:r>
      <w:r w:rsidR="004A4A02">
        <w:t xml:space="preserve"> repo</w:t>
      </w:r>
      <w:r>
        <w:t xml:space="preserve">rtable level </w:t>
      </w:r>
      <w:r w:rsidR="004A4A02">
        <w:t>for sheep is a mortality of 2%. Notwithstanding that mortality may not be the measure of the future, a 2%</w:t>
      </w:r>
      <w:r w:rsidR="008F51BE">
        <w:t> </w:t>
      </w:r>
      <w:r w:rsidR="004A4A02">
        <w:t>mortality on a voyage that involves 70,</w:t>
      </w:r>
      <w:r>
        <w:t>000 sheep is 1,400 sheep. Events</w:t>
      </w:r>
      <w:r w:rsidR="004A4A02">
        <w:t xml:space="preserve"> are long past the point whereby the industry (exporters) could expect the Australian </w:t>
      </w:r>
      <w:r>
        <w:t>public to consider this to be acceptable</w:t>
      </w:r>
      <w:r w:rsidR="004A4A02">
        <w:t xml:space="preserve">. Even 1% (i.e. 700 sheep) seems high. It is therefore recommended that the reportable level be reduced to 1% immediately and be maintained at 1% throughout the forthcoming northern </w:t>
      </w:r>
      <w:r w:rsidR="00971D49">
        <w:t xml:space="preserve">hemisphere </w:t>
      </w:r>
      <w:r w:rsidR="004A4A02">
        <w:t>summer period. This may not have a big impact on the number of reportable voyages since the vast majority of voyages are below this level</w:t>
      </w:r>
      <w:r w:rsidR="001D2A90">
        <w:t>,</w:t>
      </w:r>
      <w:r w:rsidR="004A4A02">
        <w:t xml:space="preserve"> but it provides a strong signal that the industry is serious about making improvements.</w:t>
      </w:r>
    </w:p>
    <w:p w:rsidR="004A4A02" w:rsidRDefault="004A4A02" w:rsidP="00CD6489">
      <w:pPr>
        <w:ind w:left="1701"/>
      </w:pPr>
      <w:r>
        <w:t>Most of the answers, in regards to minimi</w:t>
      </w:r>
      <w:r w:rsidR="005C5BCF">
        <w:t>s</w:t>
      </w:r>
      <w:r>
        <w:t>ing mortality are known. Industry has cond</w:t>
      </w:r>
      <w:r w:rsidR="008F51BE">
        <w:t>ucted a large body of ‘</w:t>
      </w:r>
      <w:r>
        <w:t>industry specific research</w:t>
      </w:r>
      <w:r w:rsidR="008F51BE">
        <w:t>’</w:t>
      </w:r>
      <w:r>
        <w:t xml:space="preserve"> that addresses most of the industry problems. Reducing the reportable mortality level raises the value of this research and places a greater imperative on adopting and implementing the findings.</w:t>
      </w:r>
    </w:p>
    <w:p w:rsidR="000D4461" w:rsidRPr="00743010" w:rsidRDefault="004A4A02" w:rsidP="00CD6489">
      <w:pPr>
        <w:ind w:left="1701"/>
        <w:rPr>
          <w:b/>
          <w:i/>
        </w:rPr>
      </w:pPr>
      <w:r>
        <w:t>A reduced reportable level could require more resources if existing investigation procedures are maintained and behavio</w:t>
      </w:r>
      <w:r w:rsidR="007E17D7">
        <w:t>u</w:t>
      </w:r>
      <w:r>
        <w:t>r remain</w:t>
      </w:r>
      <w:r w:rsidR="007E17D7">
        <w:t>s</w:t>
      </w:r>
      <w:r>
        <w:t xml:space="preserve"> unaltered. The most likely scenario, however, is that behavior would be modified and the number of reportable incidents would remain unchanged or more likely fall. </w:t>
      </w:r>
    </w:p>
    <w:p w:rsidR="00987374" w:rsidRDefault="00987374">
      <w:pPr>
        <w:autoSpaceDE/>
        <w:autoSpaceDN/>
        <w:adjustRightInd/>
        <w:spacing w:after="0"/>
        <w:ind w:left="0"/>
        <w:jc w:val="left"/>
        <w:rPr>
          <w:b/>
          <w:i/>
        </w:rPr>
      </w:pPr>
      <w:r>
        <w:rPr>
          <w:b/>
          <w:i/>
        </w:rPr>
        <w:br w:type="page"/>
      </w:r>
    </w:p>
    <w:p w:rsidR="009A7300" w:rsidRPr="00CD6489" w:rsidRDefault="009A7300" w:rsidP="00CD6489">
      <w:pPr>
        <w:ind w:left="1701"/>
        <w:rPr>
          <w:b/>
          <w:i/>
        </w:rPr>
      </w:pPr>
      <w:r w:rsidRPr="00CD6489">
        <w:rPr>
          <w:b/>
          <w:i/>
        </w:rPr>
        <w:t xml:space="preserve">Best </w:t>
      </w:r>
      <w:r w:rsidR="001312A5">
        <w:rPr>
          <w:b/>
          <w:i/>
        </w:rPr>
        <w:t>resources</w:t>
      </w:r>
      <w:r w:rsidRPr="00CD6489">
        <w:rPr>
          <w:b/>
          <w:i/>
        </w:rPr>
        <w:t>:</w:t>
      </w:r>
    </w:p>
    <w:p w:rsidR="009A7300" w:rsidRDefault="009A7300" w:rsidP="009A7300">
      <w:pPr>
        <w:pStyle w:val="Default"/>
        <w:spacing w:after="100"/>
        <w:ind w:left="1701"/>
        <w:rPr>
          <w:rFonts w:asciiTheme="minorHAnsi" w:hAnsiTheme="minorHAnsi"/>
          <w:bCs/>
        </w:rPr>
      </w:pPr>
      <w:r w:rsidRPr="00ED5DAA">
        <w:rPr>
          <w:rFonts w:asciiTheme="minorHAnsi" w:hAnsiTheme="minorHAnsi"/>
          <w:bCs/>
        </w:rPr>
        <w:t xml:space="preserve">Norman, GJ (2017) National livestock export industry sheep, cattle and goat transport performance report 2016 (W.LIV.0291). Prepared by: Department of Agriculture and Food, Western Australia for </w:t>
      </w:r>
      <w:r w:rsidR="00610E24">
        <w:rPr>
          <w:rFonts w:asciiTheme="minorHAnsi" w:hAnsiTheme="minorHAnsi"/>
          <w:bCs/>
        </w:rPr>
        <w:t xml:space="preserve">MLA </w:t>
      </w:r>
      <w:r w:rsidRPr="00ED5DAA">
        <w:rPr>
          <w:rFonts w:asciiTheme="minorHAnsi" w:hAnsiTheme="minorHAnsi"/>
          <w:bCs/>
        </w:rPr>
        <w:t>(MLA/LiveCorp).</w:t>
      </w:r>
    </w:p>
    <w:p w:rsidR="009A7300" w:rsidRDefault="009A7300" w:rsidP="00C24556">
      <w:pPr>
        <w:pStyle w:val="Default"/>
        <w:spacing w:after="120"/>
        <w:ind w:left="1701"/>
        <w:rPr>
          <w:rFonts w:asciiTheme="minorHAnsi" w:hAnsiTheme="minorHAnsi"/>
          <w:bCs/>
        </w:rPr>
      </w:pPr>
      <w:r w:rsidRPr="001F0D6A">
        <w:rPr>
          <w:rFonts w:asciiTheme="minorHAnsi" w:hAnsiTheme="minorHAnsi"/>
          <w:bCs/>
        </w:rPr>
        <w:t>Norris, RT, Norman, GJ (2003) Mortality and morbidity risk factors for livestock during sea transport from Australia (LIVE.216). Prepared by the Department of Agriculture, Western Australia for MLA/LiveCorp.</w:t>
      </w:r>
    </w:p>
    <w:p w:rsidR="009956DE" w:rsidRPr="008F51BE" w:rsidRDefault="008F51BE" w:rsidP="00C24556">
      <w:pPr>
        <w:pStyle w:val="Heading3"/>
      </w:pPr>
      <w:bookmarkStart w:id="28" w:name="_Toc513812203"/>
      <w:r w:rsidRPr="008F51BE">
        <w:t>Reporting</w:t>
      </w:r>
      <w:bookmarkEnd w:id="28"/>
    </w:p>
    <w:p w:rsidR="009956DE" w:rsidRDefault="009956DE" w:rsidP="00CD6489">
      <w:pPr>
        <w:ind w:left="1701"/>
      </w:pPr>
      <w:r>
        <w:t>It is highly likely that the existing reporting procedures will be overhauled, particularly if t</w:t>
      </w:r>
      <w:r w:rsidR="00A36281">
        <w:t xml:space="preserve">he industry moves to having </w:t>
      </w:r>
      <w:r w:rsidR="007E17D7">
        <w:t>IOs</w:t>
      </w:r>
      <w:r w:rsidR="00A36281">
        <w:t xml:space="preserve"> </w:t>
      </w:r>
      <w:r>
        <w:t xml:space="preserve">report directly to the regulator. It is envisaged that the AAV will continue to report directly to the exporter. Information that is required by the regulator (e.g. post mortem and treatment details) will be shared with the </w:t>
      </w:r>
      <w:r w:rsidR="007E17D7">
        <w:t>IO</w:t>
      </w:r>
      <w:r>
        <w:t>.</w:t>
      </w:r>
    </w:p>
    <w:p w:rsidR="009956DE" w:rsidRDefault="009956DE" w:rsidP="00CD6489">
      <w:pPr>
        <w:ind w:left="1701"/>
      </w:pPr>
      <w:r>
        <w:t>In general, the existing reporting system is probably outdated and new technology is available that may revolutioni</w:t>
      </w:r>
      <w:r w:rsidR="005C5BCF">
        <w:t>s</w:t>
      </w:r>
      <w:r>
        <w:t xml:space="preserve">e the reporting process, particularly with the advent of automated environmental monitoring. </w:t>
      </w:r>
      <w:r w:rsidR="00A36281">
        <w:t>Digital data capture using a hand held device has been trialed within the industry and has shown promise.</w:t>
      </w:r>
    </w:p>
    <w:p w:rsidR="00884B3A" w:rsidRDefault="00884B3A" w:rsidP="00CD6489">
      <w:pPr>
        <w:ind w:left="1701"/>
      </w:pPr>
      <w:r>
        <w:t xml:space="preserve">Automated, continuous monitoring of temperature and humidity, sent to the bridge with the assistance of </w:t>
      </w:r>
      <w:r w:rsidR="00C433B6">
        <w:t>Wi-Fi</w:t>
      </w:r>
      <w:r>
        <w:t xml:space="preserve"> technology, will allow real time measurement that has the potential to create alerts and provide clear graphical representation of conditions over the previous 24 hours (or more). This combined with improved weather forecasting services makes available possibilities that have never before been contemplated. </w:t>
      </w:r>
    </w:p>
    <w:p w:rsidR="000B0608" w:rsidRDefault="009956DE" w:rsidP="00CD6489">
      <w:pPr>
        <w:ind w:left="1701"/>
      </w:pPr>
      <w:r>
        <w:t xml:space="preserve">It is, </w:t>
      </w:r>
      <w:r w:rsidR="00884B3A">
        <w:t xml:space="preserve">therefore, folly to try to be too prescriptive about reporting at this point. </w:t>
      </w:r>
      <w:r w:rsidR="00CC20BF">
        <w:t>The whole landscape should be mapped out and studied by those with knowledge of the equipment required and the information technology involved. This could be commissioned as an industry funded project.</w:t>
      </w:r>
    </w:p>
    <w:p w:rsidR="009A7300" w:rsidRPr="00CD6489" w:rsidRDefault="009A7300" w:rsidP="00CD6489">
      <w:pPr>
        <w:ind w:left="1701"/>
        <w:rPr>
          <w:b/>
          <w:i/>
        </w:rPr>
      </w:pPr>
      <w:r w:rsidRPr="00CD6489">
        <w:rPr>
          <w:b/>
          <w:i/>
        </w:rPr>
        <w:t xml:space="preserve">Best </w:t>
      </w:r>
      <w:r w:rsidR="001312A5">
        <w:rPr>
          <w:b/>
          <w:i/>
        </w:rPr>
        <w:t>resources</w:t>
      </w:r>
      <w:r w:rsidRPr="00CD6489">
        <w:rPr>
          <w:b/>
          <w:i/>
        </w:rPr>
        <w:t>:</w:t>
      </w:r>
    </w:p>
    <w:p w:rsidR="009A7300" w:rsidRPr="00AB06AD" w:rsidRDefault="009A7300" w:rsidP="009A7300">
      <w:pPr>
        <w:pStyle w:val="Default"/>
        <w:spacing w:after="100"/>
        <w:ind w:left="1701"/>
        <w:rPr>
          <w:rFonts w:asciiTheme="minorHAnsi" w:hAnsiTheme="minorHAnsi"/>
          <w:bCs/>
        </w:rPr>
      </w:pPr>
      <w:r w:rsidRPr="00AB06AD">
        <w:rPr>
          <w:rFonts w:asciiTheme="minorHAnsi" w:hAnsiTheme="minorHAnsi"/>
          <w:bCs/>
        </w:rPr>
        <w:t>McCarthy, MR, Banhazi, T (2016) Bedding management and air quality on livestock vessels – A literature review (W.LIV.0290). Prepared by Global Livestock Solutions Pty Ltd for MLA/LiveCorp.</w:t>
      </w:r>
    </w:p>
    <w:p w:rsidR="00A36281" w:rsidRPr="00CD6489" w:rsidRDefault="00A36281" w:rsidP="00CD6489">
      <w:pPr>
        <w:ind w:left="1701"/>
        <w:rPr>
          <w:b/>
          <w:i/>
        </w:rPr>
      </w:pPr>
      <w:r w:rsidRPr="00CD6489">
        <w:rPr>
          <w:b/>
          <w:i/>
        </w:rPr>
        <w:t>Further reading:</w:t>
      </w:r>
    </w:p>
    <w:p w:rsidR="00A36281" w:rsidRPr="006940CF" w:rsidRDefault="00A36281" w:rsidP="00B5685A">
      <w:pPr>
        <w:pStyle w:val="Default"/>
        <w:spacing w:after="120"/>
        <w:ind w:left="1701"/>
        <w:jc w:val="both"/>
        <w:rPr>
          <w:rFonts w:asciiTheme="minorHAnsi" w:hAnsiTheme="minorHAnsi"/>
        </w:rPr>
      </w:pPr>
      <w:r>
        <w:rPr>
          <w:rFonts w:asciiTheme="minorHAnsi" w:hAnsiTheme="minorHAnsi"/>
          <w:bCs/>
        </w:rPr>
        <w:t>……….</w:t>
      </w:r>
      <w:r w:rsidRPr="006940CF">
        <w:rPr>
          <w:rFonts w:asciiTheme="minorHAnsi" w:hAnsiTheme="minorHAnsi"/>
        </w:rPr>
        <w:t xml:space="preserve"> refer to </w:t>
      </w:r>
      <w:r>
        <w:rPr>
          <w:rFonts w:asciiTheme="minorHAnsi" w:hAnsiTheme="minorHAnsi"/>
          <w:bCs/>
        </w:rPr>
        <w:t xml:space="preserve">list of references in the </w:t>
      </w:r>
      <w:r w:rsidRPr="006940CF">
        <w:rPr>
          <w:rFonts w:asciiTheme="minorHAnsi" w:hAnsiTheme="minorHAnsi"/>
        </w:rPr>
        <w:t>appendices.</w:t>
      </w:r>
    </w:p>
    <w:p w:rsidR="00E63232" w:rsidRDefault="00E63232" w:rsidP="00C24556">
      <w:pPr>
        <w:pStyle w:val="Heading3"/>
      </w:pPr>
      <w:bookmarkStart w:id="29" w:name="_Toc513467754"/>
      <w:bookmarkStart w:id="30" w:name="_Toc513812204"/>
      <w:r>
        <w:t>Panting score</w:t>
      </w:r>
      <w:bookmarkEnd w:id="29"/>
      <w:bookmarkEnd w:id="30"/>
    </w:p>
    <w:p w:rsidR="00EF26FD" w:rsidRDefault="008D4658" w:rsidP="00CD6489">
      <w:pPr>
        <w:ind w:left="1701"/>
      </w:pPr>
      <w:r>
        <w:t>The development of a better pa</w:t>
      </w:r>
      <w:r w:rsidR="00C014BB">
        <w:t>nting score for sheep is</w:t>
      </w:r>
      <w:r>
        <w:t xml:space="preserve"> an industry priority.</w:t>
      </w:r>
      <w:r w:rsidR="00EF26FD">
        <w:t xml:space="preserve"> This has been discussed under an earlier heading. When combined with a heat stress score, a panting score is a powerful measure that provides strong validation and feedback information to both the HSRA model as well as to all the stakeholders involved in an individual voyage. Automated, continuous monitoring of both temperature and humidity completes the picture. </w:t>
      </w:r>
      <w:r w:rsidR="00BE3E65">
        <w:t>A</w:t>
      </w:r>
      <w:r w:rsidR="008F51BE">
        <w:t> </w:t>
      </w:r>
      <w:r w:rsidR="005C5BCF">
        <w:t>panting score characteris</w:t>
      </w:r>
      <w:r w:rsidR="00C014BB">
        <w:t xml:space="preserve">es the panting and considers more than just respiratory rate. This must be a robust measure since, in the ‘new world’, it becomes the measure against which outcomes are judged. </w:t>
      </w:r>
    </w:p>
    <w:p w:rsidR="00E63232" w:rsidRDefault="009956DE" w:rsidP="00CD6489">
      <w:pPr>
        <w:ind w:left="1701"/>
      </w:pPr>
      <w:r>
        <w:t>The use of both a panting score and a heat stress score should be mandatory in the reporting proc</w:t>
      </w:r>
      <w:r w:rsidR="007E17D7">
        <w:t>ess. This may need a small task</w:t>
      </w:r>
      <w:r>
        <w:t>force, funded by industry</w:t>
      </w:r>
      <w:r w:rsidR="008F51BE">
        <w:t>,</w:t>
      </w:r>
      <w:r>
        <w:t xml:space="preserve"> to ensure </w:t>
      </w:r>
      <w:r w:rsidR="007E17D7">
        <w:t>that the allocation of scores is</w:t>
      </w:r>
      <w:r>
        <w:t xml:space="preserve"> consistent across the industry.</w:t>
      </w:r>
    </w:p>
    <w:p w:rsidR="009A7300" w:rsidRPr="00CD6489" w:rsidRDefault="009A7300" w:rsidP="00CD6489">
      <w:pPr>
        <w:ind w:left="1701"/>
        <w:rPr>
          <w:b/>
          <w:i/>
        </w:rPr>
      </w:pPr>
      <w:r w:rsidRPr="00CD6489">
        <w:rPr>
          <w:b/>
          <w:i/>
        </w:rPr>
        <w:t xml:space="preserve">Best </w:t>
      </w:r>
      <w:r w:rsidR="001312A5">
        <w:rPr>
          <w:b/>
          <w:i/>
        </w:rPr>
        <w:t>resources</w:t>
      </w:r>
      <w:r w:rsidRPr="00CD6489">
        <w:rPr>
          <w:b/>
          <w:i/>
        </w:rPr>
        <w:t>:</w:t>
      </w:r>
    </w:p>
    <w:p w:rsidR="009A7300" w:rsidRDefault="009A7300" w:rsidP="009A7300">
      <w:pPr>
        <w:pStyle w:val="Default"/>
        <w:spacing w:before="100" w:after="100"/>
        <w:ind w:left="1701"/>
        <w:rPr>
          <w:rFonts w:asciiTheme="minorHAnsi" w:hAnsiTheme="minorHAnsi"/>
          <w:bCs/>
        </w:rPr>
      </w:pPr>
      <w:r w:rsidRPr="00ED5DAA">
        <w:rPr>
          <w:rFonts w:asciiTheme="minorHAnsi" w:hAnsiTheme="minorHAnsi"/>
          <w:bCs/>
        </w:rPr>
        <w:t>McCarthy, MR (2003) Pilot Monitoring of Shipboard Environmental Conditions and Animal Performance (LIVE.223). Prepared by Professional Agricultural Services Pty Ltd for MLA/Livestock.</w:t>
      </w:r>
    </w:p>
    <w:p w:rsidR="009A7300" w:rsidRDefault="009A7300" w:rsidP="009A7300">
      <w:pPr>
        <w:pStyle w:val="Default"/>
        <w:spacing w:after="100"/>
        <w:ind w:left="1701"/>
        <w:rPr>
          <w:rFonts w:asciiTheme="minorHAnsi" w:hAnsiTheme="minorHAnsi"/>
          <w:bCs/>
        </w:rPr>
      </w:pPr>
      <w:r w:rsidRPr="00A25025">
        <w:rPr>
          <w:rFonts w:asciiTheme="minorHAnsi" w:hAnsiTheme="minorHAnsi"/>
          <w:bCs/>
        </w:rPr>
        <w:t>Barnes, A, Beatty, D, Taylor, E, Stockman, C, Maloney, S, McCarthy, M (2004) Physiology of Heat Stress in Cattle and Sheep (LIVE.209). Prepared by Murdoch University for MLA/Livecorp.</w:t>
      </w:r>
    </w:p>
    <w:p w:rsidR="00A36281" w:rsidRPr="00CD6489" w:rsidRDefault="00A36281" w:rsidP="00CD6489">
      <w:pPr>
        <w:ind w:left="1701"/>
        <w:rPr>
          <w:b/>
          <w:i/>
        </w:rPr>
      </w:pPr>
      <w:r w:rsidRPr="00CD6489">
        <w:rPr>
          <w:b/>
          <w:i/>
        </w:rPr>
        <w:t>Further reading:</w:t>
      </w:r>
    </w:p>
    <w:p w:rsidR="00A36281" w:rsidRPr="006940CF" w:rsidRDefault="00A36281" w:rsidP="00B5685A">
      <w:pPr>
        <w:pStyle w:val="Default"/>
        <w:spacing w:after="120"/>
        <w:ind w:left="1701"/>
        <w:jc w:val="both"/>
        <w:rPr>
          <w:rFonts w:asciiTheme="minorHAnsi" w:hAnsiTheme="minorHAnsi"/>
        </w:rPr>
      </w:pPr>
      <w:r>
        <w:rPr>
          <w:rFonts w:asciiTheme="minorHAnsi" w:hAnsiTheme="minorHAnsi"/>
          <w:bCs/>
        </w:rPr>
        <w:t>……….</w:t>
      </w:r>
      <w:r w:rsidRPr="006940CF">
        <w:rPr>
          <w:rFonts w:asciiTheme="minorHAnsi" w:hAnsiTheme="minorHAnsi"/>
        </w:rPr>
        <w:t xml:space="preserve"> refer to </w:t>
      </w:r>
      <w:r>
        <w:rPr>
          <w:rFonts w:asciiTheme="minorHAnsi" w:hAnsiTheme="minorHAnsi"/>
          <w:bCs/>
        </w:rPr>
        <w:t xml:space="preserve">list of references in the </w:t>
      </w:r>
      <w:r w:rsidRPr="006940CF">
        <w:rPr>
          <w:rFonts w:asciiTheme="minorHAnsi" w:hAnsiTheme="minorHAnsi"/>
        </w:rPr>
        <w:t>appendices.</w:t>
      </w:r>
    </w:p>
    <w:p w:rsidR="00E63232" w:rsidRDefault="00E63232" w:rsidP="00C24556">
      <w:pPr>
        <w:pStyle w:val="Heading3"/>
      </w:pPr>
      <w:bookmarkStart w:id="31" w:name="_Toc513467755"/>
      <w:bookmarkStart w:id="32" w:name="_Toc513812205"/>
      <w:r>
        <w:t>Animal welfare indicators</w:t>
      </w:r>
      <w:bookmarkEnd w:id="31"/>
      <w:bookmarkEnd w:id="32"/>
    </w:p>
    <w:p w:rsidR="003E5A5B" w:rsidRDefault="002277E1" w:rsidP="00CD6489">
      <w:pPr>
        <w:ind w:left="1701"/>
      </w:pPr>
      <w:r>
        <w:t xml:space="preserve">The use of animal welfare </w:t>
      </w:r>
      <w:r w:rsidR="00F47DFD">
        <w:t xml:space="preserve">indicators </w:t>
      </w:r>
      <w:r>
        <w:t>is a recent initiative associated with a</w:t>
      </w:r>
      <w:r w:rsidR="008F51BE">
        <w:t>n</w:t>
      </w:r>
      <w:r>
        <w:t xml:space="preserve"> MLA</w:t>
      </w:r>
      <w:r w:rsidR="008F51BE">
        <w:t>-</w:t>
      </w:r>
      <w:r>
        <w:t xml:space="preserve">funded research program. </w:t>
      </w:r>
      <w:r w:rsidR="00F47DFD">
        <w:t xml:space="preserve">It has been strongly endorsed by </w:t>
      </w:r>
      <w:r w:rsidR="008F51BE">
        <w:t>the Australian Livestock Exporters’ Council (ALEC)</w:t>
      </w:r>
      <w:r w:rsidR="00F47DFD">
        <w:t xml:space="preserve">, who </w:t>
      </w:r>
      <w:r w:rsidR="00ED726E">
        <w:t>wish to use it as a tool to better animal welfare</w:t>
      </w:r>
      <w:r w:rsidR="008F51BE">
        <w:t>.</w:t>
      </w:r>
    </w:p>
    <w:p w:rsidR="00F968D5" w:rsidRDefault="00F968D5" w:rsidP="00CD6489">
      <w:pPr>
        <w:ind w:left="1701"/>
      </w:pPr>
      <w:r>
        <w:t>The welfare indicator project has made a tentative start and not made any outlandish promises in terms of delivery. It will take some time to find the key drivers that deliver simple indicators of welfare and/or contribute to the overall management of the sheep on the vessel.</w:t>
      </w:r>
      <w:r w:rsidR="00850AA1">
        <w:t xml:space="preserve"> </w:t>
      </w:r>
      <w:r>
        <w:t xml:space="preserve">The welfare project has a great deal to offer, but it is yet to be </w:t>
      </w:r>
      <w:r w:rsidR="002D6E7F">
        <w:t xml:space="preserve">seen as to whether the indicators involved will contribute to the </w:t>
      </w:r>
      <w:r w:rsidR="007E17D7">
        <w:t>IO</w:t>
      </w:r>
      <w:r w:rsidR="002D6E7F">
        <w:t xml:space="preserve"> role specified by the regulator</w:t>
      </w:r>
      <w:r w:rsidR="00E84234">
        <w:t xml:space="preserve"> or vice versa</w:t>
      </w:r>
      <w:r w:rsidR="002D6E7F">
        <w:t>. I</w:t>
      </w:r>
      <w:r w:rsidR="00E84234">
        <w:t xml:space="preserve">t is unlikely that </w:t>
      </w:r>
      <w:r w:rsidR="002D6E7F">
        <w:t xml:space="preserve">the welfare </w:t>
      </w:r>
      <w:r w:rsidR="00DF48D8">
        <w:t>indicators will have</w:t>
      </w:r>
      <w:r w:rsidR="00E84234">
        <w:t xml:space="preserve"> any</w:t>
      </w:r>
      <w:r w:rsidR="002D6E7F">
        <w:t xml:space="preserve"> involvement in the regulatory framework at this point of time.</w:t>
      </w:r>
    </w:p>
    <w:p w:rsidR="009A7300" w:rsidRPr="00CD6489" w:rsidRDefault="009A7300" w:rsidP="00CD6489">
      <w:pPr>
        <w:ind w:left="1701"/>
        <w:rPr>
          <w:b/>
          <w:i/>
        </w:rPr>
      </w:pPr>
      <w:r w:rsidRPr="00CD6489">
        <w:rPr>
          <w:b/>
          <w:i/>
        </w:rPr>
        <w:t xml:space="preserve">Best </w:t>
      </w:r>
      <w:r w:rsidR="001312A5">
        <w:rPr>
          <w:b/>
          <w:i/>
        </w:rPr>
        <w:t>resources</w:t>
      </w:r>
      <w:r w:rsidRPr="00CD6489">
        <w:rPr>
          <w:b/>
          <w:i/>
        </w:rPr>
        <w:t>:</w:t>
      </w:r>
    </w:p>
    <w:p w:rsidR="009A7300" w:rsidRDefault="009A7300" w:rsidP="009A7300">
      <w:pPr>
        <w:pStyle w:val="Default"/>
        <w:spacing w:after="100"/>
        <w:ind w:left="1701"/>
        <w:rPr>
          <w:rFonts w:asciiTheme="minorHAnsi" w:hAnsiTheme="minorHAnsi"/>
          <w:bCs/>
        </w:rPr>
      </w:pPr>
      <w:r w:rsidRPr="00A25025">
        <w:rPr>
          <w:rFonts w:asciiTheme="minorHAnsi" w:hAnsiTheme="minorHAnsi"/>
          <w:bCs/>
        </w:rPr>
        <w:t>Collins, T (2018) ‘Qualitative Behavioural Assessment: a novel tool for welfare evaluation, Proceedings of the ACV Annual Conference’ Fremantle, Australia.</w:t>
      </w:r>
    </w:p>
    <w:p w:rsidR="0098785F" w:rsidRDefault="0098785F" w:rsidP="009A7300">
      <w:pPr>
        <w:pStyle w:val="Default"/>
        <w:spacing w:after="100"/>
        <w:ind w:left="1701"/>
        <w:rPr>
          <w:rFonts w:asciiTheme="minorHAnsi" w:hAnsiTheme="minorHAnsi"/>
          <w:bCs/>
        </w:rPr>
      </w:pPr>
      <w:r>
        <w:rPr>
          <w:rFonts w:asciiTheme="minorHAnsi" w:hAnsiTheme="minorHAnsi"/>
          <w:bCs/>
        </w:rPr>
        <w:t>Wickham, Fleming, Collins (2017) ‘Development and assessment of Livestock Welfare Indicators Survey’ (Project code W.LIV.3032) (MLA)</w:t>
      </w:r>
    </w:p>
    <w:p w:rsidR="003241F3" w:rsidRPr="00CD6489" w:rsidRDefault="003241F3" w:rsidP="00CD6489">
      <w:pPr>
        <w:ind w:left="1701"/>
        <w:rPr>
          <w:b/>
          <w:i/>
        </w:rPr>
      </w:pPr>
      <w:r w:rsidRPr="00CD6489">
        <w:rPr>
          <w:b/>
          <w:i/>
        </w:rPr>
        <w:t>Further reading:</w:t>
      </w:r>
    </w:p>
    <w:p w:rsidR="003241F3" w:rsidRPr="006940CF" w:rsidRDefault="003241F3" w:rsidP="00B5685A">
      <w:pPr>
        <w:pStyle w:val="Default"/>
        <w:spacing w:after="120"/>
        <w:ind w:left="1701"/>
        <w:jc w:val="both"/>
        <w:rPr>
          <w:rFonts w:asciiTheme="minorHAnsi" w:hAnsiTheme="minorHAnsi"/>
        </w:rPr>
      </w:pPr>
      <w:r>
        <w:rPr>
          <w:rFonts w:asciiTheme="minorHAnsi" w:hAnsiTheme="minorHAnsi"/>
          <w:bCs/>
        </w:rPr>
        <w:t>……….</w:t>
      </w:r>
      <w:r w:rsidRPr="006940CF">
        <w:rPr>
          <w:rFonts w:asciiTheme="minorHAnsi" w:hAnsiTheme="minorHAnsi"/>
        </w:rPr>
        <w:t xml:space="preserve"> refer to </w:t>
      </w:r>
      <w:r>
        <w:rPr>
          <w:rFonts w:asciiTheme="minorHAnsi" w:hAnsiTheme="minorHAnsi"/>
          <w:bCs/>
        </w:rPr>
        <w:t xml:space="preserve">list of references in the </w:t>
      </w:r>
      <w:r w:rsidRPr="006940CF">
        <w:rPr>
          <w:rFonts w:asciiTheme="minorHAnsi" w:hAnsiTheme="minorHAnsi"/>
        </w:rPr>
        <w:t>appendices.</w:t>
      </w:r>
    </w:p>
    <w:p w:rsidR="00987374" w:rsidRDefault="00987374">
      <w:pPr>
        <w:autoSpaceDE/>
        <w:autoSpaceDN/>
        <w:adjustRightInd/>
        <w:spacing w:after="0"/>
        <w:ind w:left="0"/>
        <w:jc w:val="left"/>
        <w:rPr>
          <w:b/>
        </w:rPr>
      </w:pPr>
      <w:bookmarkStart w:id="33" w:name="_Toc513467756"/>
      <w:r>
        <w:br w:type="page"/>
      </w:r>
    </w:p>
    <w:p w:rsidR="000A69DF" w:rsidRPr="008F51BE" w:rsidRDefault="000A69DF" w:rsidP="00C24556">
      <w:pPr>
        <w:pStyle w:val="Heading3"/>
      </w:pPr>
      <w:bookmarkStart w:id="34" w:name="_Toc513812206"/>
      <w:r w:rsidRPr="008F51BE">
        <w:t>Wool length</w:t>
      </w:r>
      <w:bookmarkEnd w:id="33"/>
      <w:bookmarkEnd w:id="34"/>
    </w:p>
    <w:p w:rsidR="00E64875" w:rsidRDefault="000E28CA" w:rsidP="00CD6489">
      <w:pPr>
        <w:ind w:left="1701"/>
      </w:pPr>
      <w:r>
        <w:t xml:space="preserve">Wool length is an important, and often overlooked aspect of shipping sheep to the Middle East in the northern </w:t>
      </w:r>
      <w:r w:rsidR="00971D49">
        <w:t xml:space="preserve">hemisphere </w:t>
      </w:r>
      <w:r>
        <w:t xml:space="preserve">summer. It is an </w:t>
      </w:r>
      <w:r w:rsidR="009611BD">
        <w:t xml:space="preserve">important </w:t>
      </w:r>
      <w:r>
        <w:t>input into the HSRA model and affects the model’s calculation.</w:t>
      </w:r>
      <w:r w:rsidR="00E64875">
        <w:t xml:space="preserve"> It is strongly recommended that the wool length categories are re-visited in any revisions of the HSRA model. </w:t>
      </w:r>
    </w:p>
    <w:p w:rsidR="00E63232" w:rsidRDefault="00F67A3A" w:rsidP="00CD6489">
      <w:pPr>
        <w:ind w:left="1701"/>
      </w:pPr>
      <w:r>
        <w:t>Careful attention to wool length should therefore be part of the conditions of an approved arrangement.</w:t>
      </w:r>
      <w:r w:rsidR="00E64875">
        <w:t xml:space="preserve"> </w:t>
      </w:r>
      <w:r w:rsidR="00562615">
        <w:t>‘Off shears’ sheep are far more heat tolerant and insisting that all sheep be ‘off shears’</w:t>
      </w:r>
      <w:r w:rsidR="00E64875">
        <w:t xml:space="preserve"> could be a condition</w:t>
      </w:r>
      <w:r w:rsidR="00354225">
        <w:t xml:space="preserve"> of an approved arrangement</w:t>
      </w:r>
      <w:r w:rsidR="00562615">
        <w:t xml:space="preserve"> in special cases</w:t>
      </w:r>
      <w:r w:rsidR="00E64875">
        <w:t>.</w:t>
      </w:r>
      <w:r w:rsidR="00562615">
        <w:t xml:space="preserve"> Otherwise it would be left to the HSRA model to factor wool length along with all the other animal factors.</w:t>
      </w:r>
    </w:p>
    <w:p w:rsidR="009A7300" w:rsidRPr="00CD6489" w:rsidRDefault="009A7300" w:rsidP="00CD6489">
      <w:pPr>
        <w:ind w:left="1701"/>
        <w:rPr>
          <w:b/>
          <w:i/>
        </w:rPr>
      </w:pPr>
      <w:r w:rsidRPr="00CD6489">
        <w:rPr>
          <w:b/>
          <w:i/>
        </w:rPr>
        <w:t xml:space="preserve">Best </w:t>
      </w:r>
      <w:r w:rsidR="001312A5">
        <w:rPr>
          <w:b/>
          <w:i/>
        </w:rPr>
        <w:t>resources</w:t>
      </w:r>
      <w:r w:rsidRPr="00CD6489">
        <w:rPr>
          <w:b/>
          <w:i/>
        </w:rPr>
        <w:t>:</w:t>
      </w:r>
    </w:p>
    <w:p w:rsidR="009A7300" w:rsidRPr="00196AB7" w:rsidRDefault="009A7300" w:rsidP="00C24556">
      <w:pPr>
        <w:pStyle w:val="Default"/>
        <w:spacing w:after="120"/>
        <w:ind w:left="1701"/>
        <w:rPr>
          <w:rFonts w:asciiTheme="minorHAnsi" w:hAnsiTheme="minorHAnsi"/>
          <w:bCs/>
        </w:rPr>
      </w:pPr>
      <w:r w:rsidRPr="00F00B06">
        <w:rPr>
          <w:rFonts w:asciiTheme="minorHAnsi" w:hAnsiTheme="minorHAnsi"/>
          <w:bCs/>
        </w:rPr>
        <w:t xml:space="preserve">MAMIC/Maunsell Pty Ltd (2003) Development of a Heat Stress Risk Assessment Model (LIVE.116). Prepared for MLA/Livecorp. </w:t>
      </w:r>
    </w:p>
    <w:p w:rsidR="003241F3" w:rsidRPr="00CD6489" w:rsidRDefault="003241F3" w:rsidP="00CD6489">
      <w:pPr>
        <w:ind w:left="1701"/>
        <w:rPr>
          <w:b/>
          <w:i/>
        </w:rPr>
      </w:pPr>
      <w:r w:rsidRPr="00CD6489">
        <w:rPr>
          <w:b/>
          <w:i/>
        </w:rPr>
        <w:t>Further reading:</w:t>
      </w:r>
    </w:p>
    <w:p w:rsidR="003241F3" w:rsidRPr="00072398" w:rsidRDefault="003241F3" w:rsidP="00C24556">
      <w:pPr>
        <w:pStyle w:val="Default"/>
        <w:spacing w:after="120"/>
        <w:ind w:left="1701"/>
        <w:rPr>
          <w:rFonts w:asciiTheme="minorHAnsi" w:hAnsiTheme="minorHAnsi"/>
        </w:rPr>
      </w:pPr>
      <w:r>
        <w:rPr>
          <w:rFonts w:asciiTheme="minorHAnsi" w:hAnsiTheme="minorHAnsi"/>
          <w:bCs/>
        </w:rPr>
        <w:t>……….</w:t>
      </w:r>
      <w:r w:rsidRPr="00072398">
        <w:rPr>
          <w:rFonts w:asciiTheme="minorHAnsi" w:hAnsiTheme="minorHAnsi"/>
        </w:rPr>
        <w:t xml:space="preserve"> refer to </w:t>
      </w:r>
      <w:r>
        <w:rPr>
          <w:rFonts w:asciiTheme="minorHAnsi" w:hAnsiTheme="minorHAnsi"/>
          <w:bCs/>
        </w:rPr>
        <w:t xml:space="preserve">list of references in the </w:t>
      </w:r>
      <w:r w:rsidRPr="00072398">
        <w:rPr>
          <w:rFonts w:asciiTheme="minorHAnsi" w:hAnsiTheme="minorHAnsi"/>
        </w:rPr>
        <w:t>appendices.</w:t>
      </w:r>
    </w:p>
    <w:p w:rsidR="000E4F52" w:rsidRDefault="000E4F52" w:rsidP="00C24556">
      <w:pPr>
        <w:pStyle w:val="Heading3"/>
      </w:pPr>
      <w:bookmarkStart w:id="35" w:name="_Toc513467757"/>
      <w:bookmarkStart w:id="36" w:name="_Toc513812207"/>
      <w:r>
        <w:t xml:space="preserve">Livestock </w:t>
      </w:r>
      <w:r w:rsidR="00121EAD">
        <w:t xml:space="preserve">vessel </w:t>
      </w:r>
      <w:r>
        <w:t>systems for feed and water</w:t>
      </w:r>
      <w:bookmarkEnd w:id="35"/>
      <w:bookmarkEnd w:id="36"/>
    </w:p>
    <w:p w:rsidR="00123620" w:rsidRDefault="00C92900" w:rsidP="00CD6489">
      <w:pPr>
        <w:ind w:left="1701"/>
      </w:pPr>
      <w:r>
        <w:t xml:space="preserve">The provision of feed and water come under the </w:t>
      </w:r>
      <w:r w:rsidR="00E7471D">
        <w:t xml:space="preserve">oversight of </w:t>
      </w:r>
      <w:r w:rsidR="0002138F">
        <w:t>AMSA.</w:t>
      </w:r>
      <w:r w:rsidR="00E7471D">
        <w:t xml:space="preserve"> This is dealt with under the provision of </w:t>
      </w:r>
      <w:r w:rsidR="007E17D7">
        <w:t xml:space="preserve">livestock </w:t>
      </w:r>
      <w:r w:rsidR="00E7471D">
        <w:t>services.</w:t>
      </w:r>
      <w:r w:rsidR="00123620">
        <w:t xml:space="preserve"> There is some debate about the relative merits of automatic</w:t>
      </w:r>
      <w:r w:rsidR="00E125F1">
        <w:t xml:space="preserve"> versus manual feeding</w:t>
      </w:r>
      <w:r w:rsidR="00123620">
        <w:t xml:space="preserve">. Both manual and automatic feeding can be managed so that feeding can be ad lib. Care must be taken, when feeding ad lib, to ensure that fines </w:t>
      </w:r>
      <w:r w:rsidR="007E17D7">
        <w:t xml:space="preserve">(powdered fodder pellets) </w:t>
      </w:r>
      <w:r w:rsidR="00185042">
        <w:t>d</w:t>
      </w:r>
      <w:r w:rsidR="00123620" w:rsidRPr="000D4461">
        <w:t>o</w:t>
      </w:r>
      <w:r w:rsidR="00123620">
        <w:t xml:space="preserve"> not accumulate in the feed troughs</w:t>
      </w:r>
      <w:r w:rsidR="00E125F1">
        <w:t>.</w:t>
      </w:r>
    </w:p>
    <w:p w:rsidR="00E7471D" w:rsidRDefault="00123620" w:rsidP="00CD6489">
      <w:pPr>
        <w:ind w:left="1701"/>
      </w:pPr>
      <w:r>
        <w:t>Water is slightly different. Whereas manual watering is often used on cattle voyages to South</w:t>
      </w:r>
      <w:r w:rsidR="00CB667F">
        <w:t xml:space="preserve"> East Asia, there is no doubt that automatic watering removes one level of risk when transporting sheep to the Middle East during the northern </w:t>
      </w:r>
      <w:r w:rsidR="00971D49">
        <w:t xml:space="preserve">hemisphere </w:t>
      </w:r>
      <w:r w:rsidR="00CB667F">
        <w:t>summer. This issue has been somewhat resolved since all the vessels travelling to the Middle East with sheep are now equipped with automatic watering</w:t>
      </w:r>
      <w:r w:rsidR="00E44BB5">
        <w:t xml:space="preserve"> systems</w:t>
      </w:r>
      <w:r w:rsidR="00CB667F">
        <w:t>.</w:t>
      </w:r>
    </w:p>
    <w:p w:rsidR="000E4F52" w:rsidRDefault="00C16C83" w:rsidP="00C24556">
      <w:pPr>
        <w:pStyle w:val="Heading3"/>
      </w:pPr>
      <w:bookmarkStart w:id="37" w:name="_Toc513467758"/>
      <w:bookmarkStart w:id="38" w:name="_Toc513812208"/>
      <w:r>
        <w:t>Competency of the crew</w:t>
      </w:r>
      <w:bookmarkEnd w:id="37"/>
      <w:bookmarkEnd w:id="38"/>
    </w:p>
    <w:p w:rsidR="009762D2" w:rsidRDefault="00FA3669" w:rsidP="00CD6489">
      <w:pPr>
        <w:ind w:left="1701"/>
      </w:pPr>
      <w:r>
        <w:t xml:space="preserve">The Awassi </w:t>
      </w:r>
      <w:r w:rsidR="007F2064">
        <w:t xml:space="preserve">Express </w:t>
      </w:r>
      <w:r>
        <w:t>heat stress incident has brought into question the competency of the crew.</w:t>
      </w:r>
      <w:r w:rsidR="009762D2">
        <w:t xml:space="preserve"> Without being present, it is difficult to comment, however, this would seem to be a distorted view of what is more likely to be a situation where the crew were asked to perform well above their call of duty over a sustained period of time. This tests morale and the management capabilities. </w:t>
      </w:r>
    </w:p>
    <w:p w:rsidR="00F84944" w:rsidRDefault="00F84944" w:rsidP="00CD6489">
      <w:pPr>
        <w:ind w:left="1701"/>
      </w:pPr>
      <w:r>
        <w:t xml:space="preserve">Competency, however, should be a given. The tasks for most stockmen (crew) are not complicated and most work under the direction of a boson or Tindall. </w:t>
      </w:r>
      <w:r w:rsidR="008F51BE">
        <w:t>Ships</w:t>
      </w:r>
      <w:r>
        <w:t xml:space="preserve"> vary in regards to how well they are managed and the relationship between the Captain, Chief Officer and Boson is key. </w:t>
      </w:r>
      <w:r w:rsidR="00E125F1">
        <w:t>It is not recommended that any formal competency evaluation be required at this point of time.</w:t>
      </w:r>
    </w:p>
    <w:p w:rsidR="000E4F52" w:rsidRDefault="0033657A" w:rsidP="00C24556">
      <w:pPr>
        <w:pStyle w:val="Heading3"/>
      </w:pPr>
      <w:bookmarkStart w:id="39" w:name="_Toc513467759"/>
      <w:bookmarkStart w:id="40" w:name="_Toc513812209"/>
      <w:r>
        <w:t>Heat stress</w:t>
      </w:r>
      <w:r w:rsidR="000E4F52">
        <w:t xml:space="preserve"> management</w:t>
      </w:r>
      <w:r w:rsidR="00750959">
        <w:t xml:space="preserve"> </w:t>
      </w:r>
      <w:r w:rsidR="00B71CA0">
        <w:t xml:space="preserve">(morbidity) </w:t>
      </w:r>
      <w:r w:rsidR="00750959">
        <w:t>and contingency planning</w:t>
      </w:r>
      <w:bookmarkEnd w:id="39"/>
      <w:bookmarkEnd w:id="40"/>
    </w:p>
    <w:p w:rsidR="009C4F5B" w:rsidRDefault="00A564B1" w:rsidP="00CD6489">
      <w:pPr>
        <w:ind w:left="1701"/>
      </w:pPr>
      <w:r>
        <w:t xml:space="preserve">Heat stress </w:t>
      </w:r>
      <w:r w:rsidR="00821AAF">
        <w:t xml:space="preserve">(if and when it occurs) is </w:t>
      </w:r>
      <w:r>
        <w:t>difficult</w:t>
      </w:r>
      <w:r w:rsidR="00821AAF">
        <w:t xml:space="preserve"> to contend with since there are only a limited number of things that can be done.</w:t>
      </w:r>
      <w:r>
        <w:t xml:space="preserve"> </w:t>
      </w:r>
      <w:r w:rsidR="00821AAF">
        <w:t xml:space="preserve">There is a sense of powerlessness as the situation becomes overwhelmed by factors that </w:t>
      </w:r>
      <w:r w:rsidR="007E17D7">
        <w:t>cannot</w:t>
      </w:r>
      <w:r w:rsidR="00821AAF">
        <w:t xml:space="preserve"> be controlled (at th</w:t>
      </w:r>
      <w:r w:rsidR="000154A4">
        <w:t xml:space="preserve">at point). The secret </w:t>
      </w:r>
      <w:r w:rsidR="00821AAF">
        <w:t xml:space="preserve">is to do as much as can be physically done to prepare for a heat stress event (again, should it occur). These include subtle adjustments in stocking density, removal of anything that obstructs airflow in and around the decks, checking the fans (on the cover deck) to </w:t>
      </w:r>
      <w:r w:rsidR="00821AAF" w:rsidRPr="00185042">
        <w:t xml:space="preserve">ensure </w:t>
      </w:r>
      <w:r w:rsidR="004D5A55" w:rsidRPr="00185042">
        <w:t xml:space="preserve">they </w:t>
      </w:r>
      <w:r w:rsidR="00821AAF" w:rsidRPr="00185042">
        <w:t>are</w:t>
      </w:r>
      <w:r w:rsidR="00821AAF">
        <w:t xml:space="preserve"> working at full capacity, ensuring all gratings (that are used as exhaust ou</w:t>
      </w:r>
      <w:r w:rsidR="009C4F5B">
        <w:t>tlets) are free of obstruction.</w:t>
      </w:r>
    </w:p>
    <w:p w:rsidR="00821AAF" w:rsidRDefault="009C4F5B" w:rsidP="00CD6489">
      <w:pPr>
        <w:ind w:left="1701"/>
      </w:pPr>
      <w:r>
        <w:t>Measures to address heat stress should be included in a heat stress management plan</w:t>
      </w:r>
      <w:r w:rsidR="00821AAF">
        <w:t>.</w:t>
      </w:r>
      <w:r w:rsidR="003241F3">
        <w:t xml:space="preserve"> This could consider</w:t>
      </w:r>
      <w:r w:rsidR="00F45CE5">
        <w:t xml:space="preserve"> adjus</w:t>
      </w:r>
      <w:r w:rsidR="003241F3">
        <w:t>tment in feeding</w:t>
      </w:r>
      <w:r w:rsidR="00F45CE5">
        <w:t xml:space="preserve"> (and this is commonplace in feedlots on land) where feedstuffs with a low heat increment can be fed (chaff on livestock vessels). Access to water is obviously essential and it is important not to disturb the animals lest they stop panting to deal with higher order priorities. These are the one percenters </w:t>
      </w:r>
      <w:r w:rsidR="00256938">
        <w:t>t</w:t>
      </w:r>
      <w:r w:rsidR="00F45CE5">
        <w:t>hat make a difference, but clearly, the aim is to not be placed in this situation in the first place.</w:t>
      </w:r>
      <w:r>
        <w:t xml:space="preserve"> It is recommended that all exporters present a meaningful heat stress management plan a part of their approved arrangements.</w:t>
      </w:r>
    </w:p>
    <w:p w:rsidR="00AB33AF" w:rsidRDefault="009C4F5B" w:rsidP="00CD6489">
      <w:pPr>
        <w:ind w:left="1701"/>
      </w:pPr>
      <w:r>
        <w:t>The heat stress management plan should addr</w:t>
      </w:r>
      <w:r w:rsidR="00072398">
        <w:t>ess the following contingencies:</w:t>
      </w:r>
    </w:p>
    <w:p w:rsidR="00DA2367" w:rsidRDefault="00072398" w:rsidP="00CD6489">
      <w:pPr>
        <w:pStyle w:val="ListParagraph"/>
        <w:numPr>
          <w:ilvl w:val="0"/>
          <w:numId w:val="8"/>
        </w:numPr>
        <w:ind w:left="2127" w:hanging="426"/>
      </w:pPr>
      <w:r>
        <w:t xml:space="preserve">being </w:t>
      </w:r>
      <w:r w:rsidR="0091254D">
        <w:t xml:space="preserve">held </w:t>
      </w:r>
      <w:r w:rsidR="00DA2367">
        <w:t>at anchor</w:t>
      </w:r>
      <w:r w:rsidR="0091254D">
        <w:t xml:space="preserve"> awaiting clearance to go alongside</w:t>
      </w:r>
    </w:p>
    <w:p w:rsidR="0091254D" w:rsidRDefault="00072398" w:rsidP="00CD6489">
      <w:pPr>
        <w:pStyle w:val="ListParagraph"/>
        <w:numPr>
          <w:ilvl w:val="0"/>
          <w:numId w:val="8"/>
        </w:numPr>
        <w:ind w:left="2127" w:hanging="426"/>
      </w:pPr>
      <w:r>
        <w:t xml:space="preserve">adverse </w:t>
      </w:r>
      <w:r w:rsidR="0091254D">
        <w:t>weather conditions that hold the vessel at anchor (e.g. strong cros</w:t>
      </w:r>
      <w:r w:rsidR="003241F3">
        <w:t>s winds across channels or fog</w:t>
      </w:r>
      <w:r w:rsidR="00987374">
        <w:t>)</w:t>
      </w:r>
    </w:p>
    <w:p w:rsidR="0091254D" w:rsidRDefault="00072398" w:rsidP="00CD6489">
      <w:pPr>
        <w:pStyle w:val="ListParagraph"/>
        <w:numPr>
          <w:ilvl w:val="0"/>
          <w:numId w:val="8"/>
        </w:numPr>
        <w:ind w:left="2127" w:hanging="426"/>
      </w:pPr>
      <w:r>
        <w:t xml:space="preserve">rough </w:t>
      </w:r>
      <w:r w:rsidR="0091254D">
        <w:t>weather tha</w:t>
      </w:r>
      <w:r w:rsidR="003241F3">
        <w:t>t stops the pilot from arriving</w:t>
      </w:r>
    </w:p>
    <w:p w:rsidR="00DA2367" w:rsidRDefault="00072398" w:rsidP="00CD6489">
      <w:pPr>
        <w:pStyle w:val="ListParagraph"/>
        <w:numPr>
          <w:ilvl w:val="0"/>
          <w:numId w:val="8"/>
        </w:numPr>
        <w:ind w:left="2127" w:hanging="426"/>
      </w:pPr>
      <w:r>
        <w:t xml:space="preserve">unforeseen </w:t>
      </w:r>
      <w:r w:rsidR="0091254D">
        <w:t>reasons that hold the vessel</w:t>
      </w:r>
      <w:r w:rsidR="00DA2367">
        <w:t xml:space="preserve"> alongside prior to unloading</w:t>
      </w:r>
    </w:p>
    <w:p w:rsidR="00DA2367" w:rsidRDefault="00072398" w:rsidP="00CD6489">
      <w:pPr>
        <w:pStyle w:val="ListParagraph"/>
        <w:numPr>
          <w:ilvl w:val="0"/>
          <w:numId w:val="8"/>
        </w:numPr>
        <w:ind w:left="2127" w:hanging="426"/>
      </w:pPr>
      <w:r>
        <w:t xml:space="preserve">radiant </w:t>
      </w:r>
      <w:r w:rsidR="00DA2367">
        <w:t>heat</w:t>
      </w:r>
      <w:r w:rsidR="0091254D">
        <w:t xml:space="preserve"> sources that are </w:t>
      </w:r>
      <w:r w:rsidR="003241F3">
        <w:t xml:space="preserve">not factored </w:t>
      </w:r>
      <w:r w:rsidR="007E17D7">
        <w:t>into</w:t>
      </w:r>
      <w:r w:rsidR="003241F3">
        <w:t xml:space="preserve"> the HSRA model</w:t>
      </w:r>
    </w:p>
    <w:p w:rsidR="002653B8" w:rsidRDefault="00072398" w:rsidP="00CD6489">
      <w:pPr>
        <w:pStyle w:val="ListParagraph"/>
        <w:numPr>
          <w:ilvl w:val="0"/>
          <w:numId w:val="8"/>
        </w:numPr>
        <w:ind w:left="2127" w:hanging="426"/>
      </w:pPr>
      <w:r>
        <w:t xml:space="preserve">prolonged </w:t>
      </w:r>
      <w:r w:rsidR="002653B8">
        <w:t>exposure to hot conditions that are</w:t>
      </w:r>
      <w:r w:rsidR="003241F3">
        <w:t xml:space="preserve"> not factored </w:t>
      </w:r>
      <w:r w:rsidR="007E17D7">
        <w:t>into</w:t>
      </w:r>
      <w:r w:rsidR="003241F3">
        <w:t xml:space="preserve"> the HSRA model</w:t>
      </w:r>
    </w:p>
    <w:p w:rsidR="00F45CE5" w:rsidRDefault="00072398" w:rsidP="00CD6489">
      <w:pPr>
        <w:pStyle w:val="ListParagraph"/>
        <w:numPr>
          <w:ilvl w:val="0"/>
          <w:numId w:val="8"/>
        </w:numPr>
        <w:ind w:left="2127" w:hanging="426"/>
      </w:pPr>
      <w:r>
        <w:t xml:space="preserve">inability </w:t>
      </w:r>
      <w:r w:rsidR="00F45CE5">
        <w:t xml:space="preserve">to zig zag to maintain airflow across open decks due restrictions within sea channels (i.e. through </w:t>
      </w:r>
      <w:r w:rsidR="007E17D7">
        <w:t xml:space="preserve">the </w:t>
      </w:r>
      <w:r w:rsidR="00F45CE5">
        <w:t>Babel Mandeb and the Straits of Hormuz</w:t>
      </w:r>
      <w:r w:rsidR="00B776C3">
        <w:t>)</w:t>
      </w:r>
      <w:r w:rsidR="00F45CE5">
        <w:t>. This can also occur in heavy shipping zones in ancho</w:t>
      </w:r>
      <w:r w:rsidR="003241F3">
        <w:t>rage zones and on entering port.</w:t>
      </w:r>
    </w:p>
    <w:p w:rsidR="009A7300" w:rsidRPr="00CD6489" w:rsidRDefault="009A7300" w:rsidP="00CD6489">
      <w:pPr>
        <w:ind w:left="1701"/>
        <w:rPr>
          <w:b/>
          <w:i/>
        </w:rPr>
      </w:pPr>
      <w:r w:rsidRPr="00CD6489">
        <w:rPr>
          <w:b/>
          <w:i/>
        </w:rPr>
        <w:t xml:space="preserve">Best </w:t>
      </w:r>
      <w:r w:rsidR="001312A5">
        <w:rPr>
          <w:b/>
          <w:i/>
        </w:rPr>
        <w:t>resources</w:t>
      </w:r>
      <w:r w:rsidRPr="00CD6489">
        <w:rPr>
          <w:b/>
          <w:i/>
        </w:rPr>
        <w:t>:</w:t>
      </w:r>
    </w:p>
    <w:p w:rsidR="009A7300" w:rsidRDefault="009A7300" w:rsidP="00072398">
      <w:pPr>
        <w:pStyle w:val="Default"/>
        <w:spacing w:after="100"/>
        <w:ind w:left="1701"/>
        <w:jc w:val="both"/>
        <w:rPr>
          <w:rFonts w:asciiTheme="minorHAnsi" w:hAnsiTheme="minorHAnsi"/>
          <w:bCs/>
        </w:rPr>
      </w:pPr>
      <w:r w:rsidRPr="00A25025">
        <w:rPr>
          <w:rFonts w:asciiTheme="minorHAnsi" w:hAnsiTheme="minorHAnsi"/>
          <w:bCs/>
        </w:rPr>
        <w:t>Barnes, A, Beatty, D, Taylor, E, Stockman, C, Maloney, S, McCarthy, M (2004) Physiology of Heat Stress in Cattle and Sheep (LIVE.209). Prepared by Murdoch University for MLA/Livecorp.</w:t>
      </w:r>
    </w:p>
    <w:p w:rsidR="003241F3" w:rsidRPr="00CD6489" w:rsidRDefault="003241F3" w:rsidP="00CD6489">
      <w:pPr>
        <w:ind w:left="1701"/>
        <w:rPr>
          <w:b/>
          <w:i/>
        </w:rPr>
      </w:pPr>
      <w:r w:rsidRPr="00CD6489">
        <w:rPr>
          <w:b/>
          <w:i/>
        </w:rPr>
        <w:t>Further reading:</w:t>
      </w:r>
    </w:p>
    <w:p w:rsidR="003241F3" w:rsidRPr="00072398" w:rsidRDefault="003241F3" w:rsidP="00B5685A">
      <w:pPr>
        <w:pStyle w:val="Default"/>
        <w:spacing w:after="120"/>
        <w:ind w:left="1701"/>
        <w:jc w:val="both"/>
        <w:rPr>
          <w:rFonts w:asciiTheme="minorHAnsi" w:hAnsiTheme="minorHAnsi"/>
        </w:rPr>
      </w:pPr>
      <w:r>
        <w:rPr>
          <w:rFonts w:asciiTheme="minorHAnsi" w:hAnsiTheme="minorHAnsi"/>
          <w:bCs/>
        </w:rPr>
        <w:t>……….</w:t>
      </w:r>
      <w:r w:rsidRPr="00072398">
        <w:rPr>
          <w:rFonts w:asciiTheme="minorHAnsi" w:hAnsiTheme="minorHAnsi"/>
        </w:rPr>
        <w:t xml:space="preserve"> refer to </w:t>
      </w:r>
      <w:r>
        <w:rPr>
          <w:rFonts w:asciiTheme="minorHAnsi" w:hAnsiTheme="minorHAnsi"/>
          <w:bCs/>
        </w:rPr>
        <w:t xml:space="preserve">list of references in the </w:t>
      </w:r>
      <w:r w:rsidRPr="00072398">
        <w:rPr>
          <w:rFonts w:asciiTheme="minorHAnsi" w:hAnsiTheme="minorHAnsi"/>
        </w:rPr>
        <w:t>appendices.</w:t>
      </w:r>
    </w:p>
    <w:p w:rsidR="002922B6" w:rsidRDefault="002A4F6A" w:rsidP="00C24556">
      <w:pPr>
        <w:pStyle w:val="Heading3"/>
      </w:pPr>
      <w:bookmarkStart w:id="41" w:name="_Toc513467760"/>
      <w:bookmarkStart w:id="42" w:name="_Toc513812210"/>
      <w:r>
        <w:t>First port and p</w:t>
      </w:r>
      <w:r w:rsidR="00E63232">
        <w:t>ort unloading</w:t>
      </w:r>
      <w:r w:rsidR="002922B6">
        <w:t xml:space="preserve"> sequence</w:t>
      </w:r>
      <w:bookmarkEnd w:id="41"/>
      <w:bookmarkEnd w:id="42"/>
    </w:p>
    <w:p w:rsidR="006D6743" w:rsidRDefault="0041661A" w:rsidP="00CD6489">
      <w:pPr>
        <w:ind w:left="1701"/>
      </w:pPr>
      <w:r>
        <w:t xml:space="preserve">The notion of first port and unloading sequence has been </w:t>
      </w:r>
      <w:r w:rsidR="003241F3">
        <w:t>discussed, off and on,</w:t>
      </w:r>
      <w:r w:rsidR="001779CA">
        <w:t xml:space="preserve"> for some</w:t>
      </w:r>
      <w:r w:rsidR="00DF46F7">
        <w:t xml:space="preserve"> time (</w:t>
      </w:r>
      <w:r w:rsidR="002F06BD">
        <w:t>at least 15 years).</w:t>
      </w:r>
      <w:r w:rsidR="001779CA">
        <w:t xml:space="preserve"> </w:t>
      </w:r>
      <w:r w:rsidR="00DF46F7">
        <w:t xml:space="preserve">It </w:t>
      </w:r>
      <w:r w:rsidR="000D7A83">
        <w:t>first became an issue</w:t>
      </w:r>
      <w:r w:rsidR="00DF46F7">
        <w:t xml:space="preserve"> when vessels would regularly call into Muscat on their way to the Gulf ports and unload a small number (usually around 5,000) of heavy shipping wethers. Since Muscat is notorious for its fickle (and very</w:t>
      </w:r>
      <w:r w:rsidR="000D7A83">
        <w:t xml:space="preserve"> hot and humid) weather, </w:t>
      </w:r>
      <w:r w:rsidR="00DF46F7">
        <w:t>g</w:t>
      </w:r>
      <w:r w:rsidR="000D7A83">
        <w:t>oing alongside in Muscat could push</w:t>
      </w:r>
      <w:r w:rsidR="00DF46F7">
        <w:t xml:space="preserve"> an entire shipment of sheep beyond their heat tolerance levels, and this would occur regularly. The alternative </w:t>
      </w:r>
      <w:r w:rsidR="000D7A83">
        <w:t xml:space="preserve">strategy </w:t>
      </w:r>
      <w:r w:rsidR="00DF46F7">
        <w:t>is to sail direct to Kuwait and partly unload the vessel there (where conditions are usually hot but dry) and then negotiate the vessel back through other Gulf ports and finally unload the Muscat wethers last. Whilst this would involve taking a full shipment through the</w:t>
      </w:r>
      <w:r w:rsidR="009C4F5B">
        <w:t xml:space="preserve"> Straits of Hormuz, it is a marginally</w:t>
      </w:r>
      <w:r w:rsidR="00DF46F7">
        <w:t xml:space="preserve"> less risky strategy and was, it seemed</w:t>
      </w:r>
      <w:r w:rsidR="007E17D7">
        <w:t>,</w:t>
      </w:r>
      <w:r w:rsidR="00DF46F7">
        <w:t xml:space="preserve"> mandatory at various points of time.</w:t>
      </w:r>
    </w:p>
    <w:p w:rsidR="00AB254C" w:rsidRDefault="00AB254C" w:rsidP="00CD6489">
      <w:pPr>
        <w:ind w:left="1701"/>
      </w:pPr>
      <w:r>
        <w:t xml:space="preserve">Nevertheless, </w:t>
      </w:r>
      <w:r w:rsidR="0021230C">
        <w:t>if Kuwait is a destination port</w:t>
      </w:r>
      <w:r>
        <w:t xml:space="preserve"> it </w:t>
      </w:r>
      <w:r w:rsidR="009C4F5B">
        <w:t>sh</w:t>
      </w:r>
      <w:r w:rsidR="007B0478">
        <w:t>ould</w:t>
      </w:r>
      <w:r>
        <w:t xml:space="preserve"> be mandatory for the vessel to sail directly to Kuwait and then negotiate the other Gulf ports with fewer sheep on</w:t>
      </w:r>
      <w:r w:rsidR="00996814">
        <w:t xml:space="preserve"> </w:t>
      </w:r>
      <w:r>
        <w:t>board</w:t>
      </w:r>
      <w:r w:rsidR="00072398">
        <w:t>.</w:t>
      </w:r>
      <w:r>
        <w:t xml:space="preserve"> </w:t>
      </w:r>
    </w:p>
    <w:p w:rsidR="002F4691" w:rsidRDefault="00C5264C" w:rsidP="00C24556">
      <w:pPr>
        <w:pStyle w:val="Heading3"/>
      </w:pPr>
      <w:bookmarkStart w:id="43" w:name="_Toc513467761"/>
      <w:bookmarkStart w:id="44" w:name="_Toc513812211"/>
      <w:r>
        <w:t>The effect of w</w:t>
      </w:r>
      <w:r w:rsidR="002F4691">
        <w:t xml:space="preserve">inter </w:t>
      </w:r>
      <w:r w:rsidR="009925FA">
        <w:t>challenge</w:t>
      </w:r>
      <w:r w:rsidR="00424101">
        <w:t>s</w:t>
      </w:r>
      <w:r w:rsidR="002F4691">
        <w:t xml:space="preserve"> in Australia</w:t>
      </w:r>
      <w:r w:rsidR="002A4F6A">
        <w:t xml:space="preserve"> and </w:t>
      </w:r>
      <w:r w:rsidR="00424101">
        <w:t>property of origin</w:t>
      </w:r>
      <w:bookmarkEnd w:id="43"/>
      <w:bookmarkEnd w:id="44"/>
    </w:p>
    <w:p w:rsidR="00B776C3" w:rsidRDefault="00401115" w:rsidP="00CD6489">
      <w:pPr>
        <w:ind w:left="1701"/>
      </w:pPr>
      <w:r>
        <w:t xml:space="preserve">The later part of the northern </w:t>
      </w:r>
      <w:r w:rsidR="00971D49">
        <w:t xml:space="preserve">hemisphere </w:t>
      </w:r>
      <w:r>
        <w:t>summer coincides with the later part of the sout</w:t>
      </w:r>
      <w:r w:rsidR="003E11C4">
        <w:t>he</w:t>
      </w:r>
      <w:r w:rsidR="005C5BCF">
        <w:t>rn winter. This is characteris</w:t>
      </w:r>
      <w:r>
        <w:t>ed by wet, sometimes saturated conditions and a much higher risk of disease</w:t>
      </w:r>
      <w:r w:rsidR="0021230C">
        <w:t>s</w:t>
      </w:r>
      <w:r>
        <w:t xml:space="preserve"> such as Salmonellosis. The nutritional plane of sheep can be at its lowest coming out of winter, pending the spring flush of the season when sheep will often be at their strongest.</w:t>
      </w:r>
    </w:p>
    <w:p w:rsidR="00C93933" w:rsidRDefault="005C5BCF" w:rsidP="00CD6489">
      <w:pPr>
        <w:ind w:left="1701"/>
      </w:pPr>
      <w:r>
        <w:t>Acclimatis</w:t>
      </w:r>
      <w:r w:rsidR="00C93933">
        <w:t>ation also plays a part, and since there is a lag in the way in which sheep adjust their metabolic rate in response to the local weather, these sheep</w:t>
      </w:r>
      <w:r>
        <w:t xml:space="preserve"> will be the least acclimatis</w:t>
      </w:r>
      <w:r w:rsidR="007D6B4B">
        <w:t>ed with the greatest difference local temperature differences between where they come from and where they are going to.</w:t>
      </w:r>
    </w:p>
    <w:p w:rsidR="009925FA" w:rsidRDefault="00B776C3" w:rsidP="00CD6489">
      <w:pPr>
        <w:ind w:left="1701"/>
      </w:pPr>
      <w:r>
        <w:t>The industry has completed a strong body of research that outlines how to address Salmonellae, including prospects for a vacci</w:t>
      </w:r>
      <w:r w:rsidR="00C93933">
        <w:t>ne. There is scope to improve the</w:t>
      </w:r>
      <w:r>
        <w:t xml:space="preserve"> adoption </w:t>
      </w:r>
      <w:r w:rsidR="00C93933">
        <w:t xml:space="preserve">of </w:t>
      </w:r>
      <w:r w:rsidR="00DC0894">
        <w:t>research findings</w:t>
      </w:r>
      <w:r w:rsidR="00C93933">
        <w:t>.</w:t>
      </w:r>
    </w:p>
    <w:p w:rsidR="0021230C" w:rsidRDefault="0021230C" w:rsidP="00CD6489">
      <w:pPr>
        <w:ind w:left="1701"/>
      </w:pPr>
      <w:r>
        <w:t>Salmonellosis, when it occurs</w:t>
      </w:r>
      <w:r w:rsidR="00C24556">
        <w:t>,</w:t>
      </w:r>
      <w:r>
        <w:t xml:space="preserve"> is usually found in select lines of sheep and although these lines will inevitably be mixed into the consignment as a whole, the overall prevalence is generally low (although the severity of the disease results in a high mortality within these lines</w:t>
      </w:r>
      <w:r w:rsidR="00C93933">
        <w:t>)</w:t>
      </w:r>
      <w:r>
        <w:t xml:space="preserve">. </w:t>
      </w:r>
      <w:r w:rsidR="00A46658">
        <w:t xml:space="preserve">Research has shown that careful attention to the sourcing of sheep during the late winter period has a profound effect on mortality rates and </w:t>
      </w:r>
      <w:r w:rsidR="003B51F4">
        <w:t>this could be fashioned into a condition within the approved arrangement. Sourci</w:t>
      </w:r>
      <w:r w:rsidR="005C5BCF">
        <w:t>ng sheep from sale yards, utilis</w:t>
      </w:r>
      <w:r w:rsidR="003B51F4">
        <w:t>ing traders to depot sheep and sourcing sheep from pastoral areas during the late winter period, have all been shown to contribute strongly to mortality levels.</w:t>
      </w:r>
    </w:p>
    <w:p w:rsidR="008049C8" w:rsidRDefault="00DC0894" w:rsidP="00CD6489">
      <w:pPr>
        <w:ind w:left="1701"/>
      </w:pPr>
      <w:r>
        <w:t xml:space="preserve">This applies equally when addressing inanition. The research would indicate that there is a strong link between a subclinical Salmonellae and inanition but there is also evidence that it </w:t>
      </w:r>
      <w:r w:rsidR="00461F08">
        <w:t>can have a link to metabolic factors (i.e. the homeorhetic switch</w:t>
      </w:r>
      <w:r w:rsidR="008049C8">
        <w:t xml:space="preserve"> being the orchestrated or coordinated control of metabolism needed to support a physiological state)</w:t>
      </w:r>
      <w:r w:rsidR="003B51F4">
        <w:t>. Inanition is a feature of older, heavier and generally f</w:t>
      </w:r>
      <w:r w:rsidR="00C93933">
        <w:t xml:space="preserve">atter merino wethers. It is not suggested that </w:t>
      </w:r>
      <w:r w:rsidR="007D6B4B">
        <w:t>these be excluded from consignments at this point of time, since the risk assessment model will address many aspects in this regard, but consignments that include a significant number of this category of sheep should attract additional scrutiny.</w:t>
      </w:r>
    </w:p>
    <w:p w:rsidR="009A7300" w:rsidRPr="00CD6489" w:rsidRDefault="009A7300" w:rsidP="00CD6489">
      <w:pPr>
        <w:ind w:left="1701"/>
        <w:rPr>
          <w:b/>
          <w:i/>
        </w:rPr>
      </w:pPr>
      <w:r w:rsidRPr="00CD6489">
        <w:rPr>
          <w:b/>
          <w:i/>
        </w:rPr>
        <w:t xml:space="preserve">Best </w:t>
      </w:r>
      <w:r w:rsidR="001312A5">
        <w:rPr>
          <w:b/>
          <w:i/>
        </w:rPr>
        <w:t>resources</w:t>
      </w:r>
      <w:r w:rsidRPr="00CD6489">
        <w:rPr>
          <w:b/>
          <w:i/>
        </w:rPr>
        <w:t>:</w:t>
      </w:r>
    </w:p>
    <w:p w:rsidR="009A7300" w:rsidRPr="00F00B06" w:rsidRDefault="009A7300" w:rsidP="00CD6489">
      <w:pPr>
        <w:pStyle w:val="Default"/>
        <w:spacing w:after="100"/>
        <w:ind w:left="1701"/>
        <w:jc w:val="both"/>
        <w:rPr>
          <w:rFonts w:asciiTheme="minorHAnsi" w:hAnsiTheme="minorHAnsi"/>
          <w:bCs/>
        </w:rPr>
      </w:pPr>
      <w:r w:rsidRPr="00F00B06">
        <w:rPr>
          <w:rFonts w:asciiTheme="minorHAnsi" w:hAnsiTheme="minorHAnsi"/>
          <w:bCs/>
        </w:rPr>
        <w:t>Makin, K, House, J, Perkins, N, Curran, G (2010) Investigating mortality in sheep and lambs exported through Adelaide and Portland (B.LIVE.0123). Prepared by the University of Sydney for MLA/LiveCorp.</w:t>
      </w:r>
    </w:p>
    <w:p w:rsidR="00264764" w:rsidRPr="00CD6489" w:rsidRDefault="00264764" w:rsidP="00CD6489">
      <w:pPr>
        <w:ind w:left="1701"/>
        <w:rPr>
          <w:b/>
          <w:i/>
        </w:rPr>
      </w:pPr>
      <w:r w:rsidRPr="00CD6489">
        <w:rPr>
          <w:b/>
          <w:i/>
        </w:rPr>
        <w:t>Further reading:</w:t>
      </w:r>
    </w:p>
    <w:p w:rsidR="00264764" w:rsidRPr="00072398" w:rsidRDefault="00264764" w:rsidP="00C24556">
      <w:pPr>
        <w:pStyle w:val="Default"/>
        <w:spacing w:after="120"/>
        <w:ind w:left="1701"/>
        <w:jc w:val="both"/>
        <w:rPr>
          <w:rFonts w:asciiTheme="minorHAnsi" w:hAnsiTheme="minorHAnsi"/>
        </w:rPr>
      </w:pPr>
      <w:r>
        <w:rPr>
          <w:rFonts w:asciiTheme="minorHAnsi" w:hAnsiTheme="minorHAnsi"/>
          <w:bCs/>
        </w:rPr>
        <w:t>……….</w:t>
      </w:r>
      <w:r w:rsidRPr="00072398">
        <w:rPr>
          <w:rFonts w:asciiTheme="minorHAnsi" w:hAnsiTheme="minorHAnsi"/>
        </w:rPr>
        <w:t xml:space="preserve"> refer to </w:t>
      </w:r>
      <w:r>
        <w:rPr>
          <w:rFonts w:asciiTheme="minorHAnsi" w:hAnsiTheme="minorHAnsi"/>
          <w:bCs/>
        </w:rPr>
        <w:t xml:space="preserve">list of references in the </w:t>
      </w:r>
      <w:r w:rsidRPr="00072398">
        <w:rPr>
          <w:rFonts w:asciiTheme="minorHAnsi" w:hAnsiTheme="minorHAnsi"/>
        </w:rPr>
        <w:t>appendices.</w:t>
      </w:r>
    </w:p>
    <w:p w:rsidR="009925FA" w:rsidRDefault="001D5E13" w:rsidP="00C24556">
      <w:pPr>
        <w:pStyle w:val="Heading3"/>
      </w:pPr>
      <w:bookmarkStart w:id="45" w:name="_Toc513467762"/>
      <w:bookmarkStart w:id="46" w:name="_Toc513812212"/>
      <w:r>
        <w:t>Improved e</w:t>
      </w:r>
      <w:r w:rsidR="008421B1">
        <w:t>nvironmental monitoring</w:t>
      </w:r>
      <w:bookmarkEnd w:id="45"/>
      <w:bookmarkEnd w:id="46"/>
    </w:p>
    <w:p w:rsidR="00FF1394" w:rsidRDefault="00985156" w:rsidP="00CD6489">
      <w:pPr>
        <w:ind w:left="1701"/>
      </w:pPr>
      <w:r>
        <w:t>The current environmental monitoring on</w:t>
      </w:r>
      <w:r w:rsidR="00996814">
        <w:t xml:space="preserve"> </w:t>
      </w:r>
      <w:r>
        <w:t xml:space="preserve">board livestock vessels is conducted manually, once a day, using either a whirling hygrometer or </w:t>
      </w:r>
      <w:r w:rsidR="00210EE0">
        <w:t xml:space="preserve">by </w:t>
      </w:r>
      <w:r>
        <w:t xml:space="preserve">reading </w:t>
      </w:r>
      <w:r w:rsidR="0021230C">
        <w:t>wet and dry bulb thermometers at</w:t>
      </w:r>
      <w:r>
        <w:t xml:space="preserve"> strategic sites around the ship. Better methods are available and have been suggested to the industry. Automated measurement of both temperature and humidity, with real time measurements being relayed directly to the bridge would seem to be a sensible (and indeed minimum) requirement.</w:t>
      </w:r>
    </w:p>
    <w:p w:rsidR="00513611" w:rsidRDefault="00F96679" w:rsidP="00CD6489">
      <w:pPr>
        <w:ind w:left="1701"/>
      </w:pPr>
      <w:r>
        <w:t>A more robust method of measuring temperature and humidity is essential to any validation processes relating to either the HRSA model or the industry welfare indicators.</w:t>
      </w:r>
      <w:r w:rsidR="003E3D26">
        <w:t xml:space="preserve"> </w:t>
      </w:r>
      <w:r w:rsidR="00185042">
        <w:t>T</w:t>
      </w:r>
      <w:r w:rsidR="008746D4" w:rsidRPr="00185042">
        <w:t xml:space="preserve">he time frame is such that it is unlikely automated monitoring could be installed on vessels for this northern </w:t>
      </w:r>
      <w:r w:rsidR="00971D49">
        <w:t xml:space="preserve">hemisphere </w:t>
      </w:r>
      <w:r w:rsidR="008746D4" w:rsidRPr="00185042">
        <w:t>summer</w:t>
      </w:r>
      <w:r w:rsidR="00185042">
        <w:t>. A</w:t>
      </w:r>
      <w:r w:rsidR="008746D4" w:rsidRPr="00185042">
        <w:t xml:space="preserve"> </w:t>
      </w:r>
      <w:r w:rsidR="00513611" w:rsidRPr="00185042">
        <w:t xml:space="preserve">requirement that all vessels travelling to the Middle East during the northern </w:t>
      </w:r>
      <w:r w:rsidR="00971D49">
        <w:t xml:space="preserve">hemisphere </w:t>
      </w:r>
      <w:r w:rsidR="00513611" w:rsidRPr="00185042">
        <w:t>summer have automated continuous environmental monitoring equipment installed</w:t>
      </w:r>
      <w:r w:rsidR="00185042">
        <w:t>,</w:t>
      </w:r>
      <w:r w:rsidR="008746D4" w:rsidRPr="00185042">
        <w:t xml:space="preserve"> could be a condition within </w:t>
      </w:r>
      <w:r w:rsidR="00513611" w:rsidRPr="00185042">
        <w:t>approved arrangement</w:t>
      </w:r>
      <w:r w:rsidR="008746D4" w:rsidRPr="00185042">
        <w:t>s in any subsequent</w:t>
      </w:r>
      <w:r w:rsidR="008746D4">
        <w:t xml:space="preserve"> summer</w:t>
      </w:r>
      <w:r w:rsidR="00513611">
        <w:t>.</w:t>
      </w:r>
    </w:p>
    <w:p w:rsidR="009A7300" w:rsidRPr="00CD6489" w:rsidRDefault="009A7300" w:rsidP="00E3673D">
      <w:pPr>
        <w:spacing w:after="120"/>
        <w:ind w:left="1701"/>
        <w:rPr>
          <w:b/>
          <w:i/>
        </w:rPr>
      </w:pPr>
      <w:r w:rsidRPr="00CD6489">
        <w:rPr>
          <w:b/>
          <w:i/>
        </w:rPr>
        <w:t xml:space="preserve">Best </w:t>
      </w:r>
      <w:r w:rsidR="001312A5">
        <w:rPr>
          <w:b/>
          <w:i/>
        </w:rPr>
        <w:t>resources</w:t>
      </w:r>
      <w:r w:rsidRPr="00CD6489">
        <w:rPr>
          <w:b/>
          <w:i/>
        </w:rPr>
        <w:t>:</w:t>
      </w:r>
    </w:p>
    <w:p w:rsidR="009A7300" w:rsidRDefault="009A7300" w:rsidP="00CD6489">
      <w:pPr>
        <w:pStyle w:val="Default"/>
        <w:spacing w:after="120"/>
        <w:ind w:left="1701"/>
        <w:jc w:val="both"/>
        <w:rPr>
          <w:rFonts w:asciiTheme="minorHAnsi" w:hAnsiTheme="minorHAnsi"/>
          <w:bCs/>
        </w:rPr>
      </w:pPr>
      <w:r w:rsidRPr="00F00B06">
        <w:rPr>
          <w:rFonts w:asciiTheme="minorHAnsi" w:hAnsiTheme="minorHAnsi"/>
          <w:bCs/>
        </w:rPr>
        <w:t>Gray, J, Banhazi, TM, Kist, A C Saunders, T Banhazi (Eds) (2013) 'Review of wireless communication technologies for environmental monitoring in livestock buildings, SEAg 2013.' Perth, Australia. (EA).</w:t>
      </w:r>
    </w:p>
    <w:p w:rsidR="009A7300" w:rsidRDefault="009A7300" w:rsidP="00CD6489">
      <w:pPr>
        <w:pStyle w:val="Default"/>
        <w:spacing w:before="100" w:after="100"/>
        <w:ind w:left="1701"/>
        <w:jc w:val="both"/>
        <w:rPr>
          <w:rFonts w:asciiTheme="minorHAnsi" w:hAnsiTheme="minorHAnsi"/>
          <w:bCs/>
        </w:rPr>
      </w:pPr>
      <w:r w:rsidRPr="00ED5DAA">
        <w:rPr>
          <w:rFonts w:asciiTheme="minorHAnsi" w:hAnsiTheme="minorHAnsi"/>
          <w:bCs/>
        </w:rPr>
        <w:t>McCarthy, MR (2003) Pilot Monitoring of Shipboard Environmental Conditions and Animal Performance (LIVE.223). Prepared by Professional Agricultural Services Pty Ltd for MLA/Livestock.</w:t>
      </w:r>
    </w:p>
    <w:p w:rsidR="00264764" w:rsidRPr="00CD6489" w:rsidRDefault="00264764" w:rsidP="00E3673D">
      <w:pPr>
        <w:spacing w:after="120"/>
        <w:ind w:left="1701"/>
        <w:rPr>
          <w:b/>
          <w:i/>
        </w:rPr>
      </w:pPr>
      <w:r w:rsidRPr="00CD6489">
        <w:rPr>
          <w:b/>
          <w:i/>
        </w:rPr>
        <w:t>Further reading:</w:t>
      </w:r>
    </w:p>
    <w:p w:rsidR="00264764" w:rsidRPr="00072398" w:rsidRDefault="00264764" w:rsidP="00B5685A">
      <w:pPr>
        <w:pStyle w:val="Default"/>
        <w:spacing w:after="120"/>
        <w:ind w:left="1701"/>
        <w:jc w:val="both"/>
        <w:rPr>
          <w:rFonts w:asciiTheme="minorHAnsi" w:hAnsiTheme="minorHAnsi"/>
        </w:rPr>
      </w:pPr>
      <w:r>
        <w:rPr>
          <w:rFonts w:asciiTheme="minorHAnsi" w:hAnsiTheme="minorHAnsi"/>
          <w:bCs/>
        </w:rPr>
        <w:t>……….</w:t>
      </w:r>
      <w:r w:rsidRPr="00072398">
        <w:rPr>
          <w:rFonts w:asciiTheme="minorHAnsi" w:hAnsiTheme="minorHAnsi"/>
        </w:rPr>
        <w:t xml:space="preserve"> refer to </w:t>
      </w:r>
      <w:r>
        <w:rPr>
          <w:rFonts w:asciiTheme="minorHAnsi" w:hAnsiTheme="minorHAnsi"/>
          <w:bCs/>
        </w:rPr>
        <w:t xml:space="preserve">list of references in the </w:t>
      </w:r>
      <w:r w:rsidRPr="00072398">
        <w:rPr>
          <w:rFonts w:asciiTheme="minorHAnsi" w:hAnsiTheme="minorHAnsi"/>
        </w:rPr>
        <w:t>appendices.</w:t>
      </w:r>
    </w:p>
    <w:p w:rsidR="00987374" w:rsidRDefault="00987374">
      <w:pPr>
        <w:autoSpaceDE/>
        <w:autoSpaceDN/>
        <w:adjustRightInd/>
        <w:spacing w:after="0"/>
        <w:ind w:left="0"/>
        <w:jc w:val="left"/>
        <w:rPr>
          <w:b/>
        </w:rPr>
      </w:pPr>
      <w:bookmarkStart w:id="47" w:name="_Toc513467763"/>
      <w:r>
        <w:br w:type="page"/>
      </w:r>
    </w:p>
    <w:p w:rsidR="00E056FF" w:rsidRDefault="00E056FF" w:rsidP="00C24556">
      <w:pPr>
        <w:pStyle w:val="Heading3"/>
      </w:pPr>
      <w:bookmarkStart w:id="48" w:name="_Toc513812213"/>
      <w:r>
        <w:t>Training</w:t>
      </w:r>
      <w:bookmarkEnd w:id="47"/>
      <w:bookmarkEnd w:id="48"/>
    </w:p>
    <w:p w:rsidR="004746CA" w:rsidRDefault="00F05E84" w:rsidP="00CD6489">
      <w:pPr>
        <w:ind w:left="1701"/>
      </w:pPr>
      <w:r>
        <w:t>In general, there is a need to better understand the workings of the heat stress model bo</w:t>
      </w:r>
      <w:r w:rsidR="008746D4">
        <w:t>th in principle and in practice</w:t>
      </w:r>
      <w:r w:rsidR="00D771DD">
        <w:t xml:space="preserve"> and training aids would </w:t>
      </w:r>
      <w:r w:rsidR="00C96638">
        <w:t>assist in this process</w:t>
      </w:r>
      <w:r w:rsidR="00D771DD">
        <w:t xml:space="preserve"> (p</w:t>
      </w:r>
      <w:r w:rsidR="00C96638">
        <w:t>articularly in the use of both panting and heat stress scores</w:t>
      </w:r>
      <w:r w:rsidR="00D771DD">
        <w:t>)</w:t>
      </w:r>
      <w:r w:rsidR="00C96638">
        <w:t xml:space="preserve">. </w:t>
      </w:r>
      <w:r w:rsidR="007E5064">
        <w:t>Since these training aids would require both resources and time</w:t>
      </w:r>
      <w:r w:rsidR="005A0333">
        <w:t xml:space="preserve">, it is unlikely that they would be of much assistance </w:t>
      </w:r>
      <w:r w:rsidR="00E3673D">
        <w:t xml:space="preserve">during </w:t>
      </w:r>
      <w:r w:rsidR="005A0333">
        <w:t>this northern</w:t>
      </w:r>
      <w:r w:rsidR="00971D49">
        <w:t xml:space="preserve"> hemisphere</w:t>
      </w:r>
      <w:r w:rsidR="005A0333">
        <w:t xml:space="preserve"> summer. It is strongly recommended, however, that work on these is commenced with a </w:t>
      </w:r>
      <w:r w:rsidR="00E3673D">
        <w:t>view</w:t>
      </w:r>
      <w:r w:rsidR="005A0333">
        <w:t xml:space="preserve"> to having as full suite in place by the 2019 northern </w:t>
      </w:r>
      <w:r w:rsidR="00971D49">
        <w:t xml:space="preserve">hemisphere </w:t>
      </w:r>
      <w:r w:rsidR="005A0333">
        <w:t>summer.</w:t>
      </w:r>
      <w:r>
        <w:t xml:space="preserve"> </w:t>
      </w:r>
    </w:p>
    <w:p w:rsidR="009A7300" w:rsidRPr="00CD6489" w:rsidRDefault="009A7300" w:rsidP="00E3673D">
      <w:pPr>
        <w:spacing w:after="120"/>
        <w:ind w:left="1701"/>
        <w:rPr>
          <w:b/>
          <w:i/>
        </w:rPr>
      </w:pPr>
      <w:r w:rsidRPr="00CD6489">
        <w:rPr>
          <w:b/>
          <w:i/>
        </w:rPr>
        <w:t xml:space="preserve">Best </w:t>
      </w:r>
      <w:r w:rsidR="001312A5">
        <w:rPr>
          <w:b/>
          <w:i/>
        </w:rPr>
        <w:t>resources</w:t>
      </w:r>
      <w:r w:rsidRPr="00CD6489">
        <w:rPr>
          <w:b/>
          <w:i/>
        </w:rPr>
        <w:t>:</w:t>
      </w:r>
    </w:p>
    <w:p w:rsidR="004B05AA" w:rsidRPr="004B05AA" w:rsidRDefault="004B05AA" w:rsidP="00E3673D">
      <w:pPr>
        <w:pStyle w:val="Default"/>
        <w:spacing w:before="100" w:after="200"/>
        <w:ind w:left="1701"/>
        <w:jc w:val="both"/>
        <w:rPr>
          <w:rFonts w:asciiTheme="minorHAnsi" w:hAnsiTheme="minorHAnsi"/>
          <w:bCs/>
        </w:rPr>
      </w:pPr>
      <w:bookmarkStart w:id="49" w:name="_Toc513467764"/>
      <w:r>
        <w:rPr>
          <w:rFonts w:asciiTheme="minorHAnsi" w:hAnsiTheme="minorHAnsi"/>
          <w:bCs/>
        </w:rPr>
        <w:t>LiveCorp—</w:t>
      </w:r>
      <w:r w:rsidRPr="004B05AA">
        <w:rPr>
          <w:rFonts w:asciiTheme="minorHAnsi" w:hAnsiTheme="minorHAnsi"/>
          <w:bCs/>
        </w:rPr>
        <w:t>The Australian Livestock Export Corporation (2016) Shipboard Stockie’s Guide 2016. Prepared by the Harris Park Group for LiveCorp.</w:t>
      </w:r>
    </w:p>
    <w:p w:rsidR="001139EB" w:rsidRDefault="001139EB" w:rsidP="00C24556">
      <w:pPr>
        <w:pStyle w:val="Heading3"/>
      </w:pPr>
      <w:bookmarkStart w:id="50" w:name="_Toc513812214"/>
      <w:r>
        <w:t>Other</w:t>
      </w:r>
      <w:r w:rsidR="00B67DAD">
        <w:t xml:space="preserve"> considerations</w:t>
      </w:r>
      <w:bookmarkEnd w:id="49"/>
      <w:bookmarkEnd w:id="50"/>
    </w:p>
    <w:p w:rsidR="00A51A90" w:rsidRDefault="00A51A90" w:rsidP="00CD6489">
      <w:pPr>
        <w:ind w:left="1701"/>
      </w:pPr>
      <w:r>
        <w:t xml:space="preserve">There are a number of further considerations under this heading. These tend to be ship (or supply chain) specific rather than generic and include such things as using the stowage of excess fodder to provide insulation on the cover deck where radiant heat can be a factor. It may include stowing </w:t>
      </w:r>
      <w:r w:rsidR="00D771DD">
        <w:t>b</w:t>
      </w:r>
      <w:r w:rsidR="00C433B6">
        <w:t>os</w:t>
      </w:r>
      <w:r>
        <w:t xml:space="preserve"> </w:t>
      </w:r>
      <w:r w:rsidR="00D771DD">
        <w:t xml:space="preserve">indicus </w:t>
      </w:r>
      <w:r>
        <w:t xml:space="preserve">cattle on the port side pens that are exposed to radiant heat on open decks. It may include the use of wetting on the cover deck to harness the latent heat of evaporation and cool the uppermost decks. These are the one percenters that can make big differences provided that the fundamentals have been </w:t>
      </w:r>
      <w:r w:rsidR="00602684">
        <w:t>properly applied.</w:t>
      </w:r>
      <w:r w:rsidR="005814B4">
        <w:t xml:space="preserve"> These initiatives might be listed in </w:t>
      </w:r>
      <w:r w:rsidR="00D40F68">
        <w:t>the heat stress management plan include</w:t>
      </w:r>
      <w:r w:rsidR="0051658D">
        <w:t>d</w:t>
      </w:r>
      <w:r w:rsidR="00D40F68">
        <w:t xml:space="preserve"> as part of an approved arrangement.</w:t>
      </w:r>
      <w:r w:rsidR="005A0333">
        <w:t xml:space="preserve"> They are not likely to be part of any formal orders.</w:t>
      </w:r>
    </w:p>
    <w:p w:rsidR="005432C1" w:rsidRDefault="005432C1" w:rsidP="00CD6489">
      <w:pPr>
        <w:pStyle w:val="Heading3"/>
        <w:ind w:hanging="709"/>
      </w:pPr>
      <w:bookmarkStart w:id="51" w:name="_Toc513467495"/>
      <w:bookmarkStart w:id="52" w:name="_Toc513467767"/>
      <w:bookmarkStart w:id="53" w:name="_Toc513812215"/>
      <w:r>
        <w:t>Conditions in the receiving country</w:t>
      </w:r>
      <w:bookmarkEnd w:id="51"/>
      <w:bookmarkEnd w:id="52"/>
      <w:bookmarkEnd w:id="53"/>
    </w:p>
    <w:p w:rsidR="005432C1" w:rsidRDefault="005432C1" w:rsidP="00CD6489">
      <w:pPr>
        <w:spacing w:after="120"/>
        <w:ind w:left="1701"/>
      </w:pPr>
      <w:r>
        <w:t>This is outside the terms of reference of the review. It is however, very important and carries equal weight to any considerations in regards to shipboard conditions and conditions at the feedlots in destination countries may not necessarily reflect weather data collected for the destination ports</w:t>
      </w:r>
      <w:r w:rsidR="00D771DD">
        <w:t>.</w:t>
      </w:r>
    </w:p>
    <w:p w:rsidR="005432C1" w:rsidRDefault="005432C1" w:rsidP="00CD6489">
      <w:pPr>
        <w:spacing w:after="120"/>
        <w:ind w:left="1701"/>
      </w:pPr>
      <w:r>
        <w:t xml:space="preserve">Infrastructure ‘in country’ has improved and there is better access to shade and better attempts to cool animals during and after arrival. There have been MLA funded studies into these conditions (some with reports pending) but they have not been included in this review. </w:t>
      </w:r>
    </w:p>
    <w:p w:rsidR="005432C1" w:rsidRDefault="005432C1" w:rsidP="00CD6489">
      <w:pPr>
        <w:spacing w:after="120"/>
        <w:ind w:left="1701"/>
      </w:pPr>
      <w:r>
        <w:t>One of the big hazards in regards to the conditions in the receiving country is the overloading of feedlot facilities in destination countries in response to supply restrictions. Again, this is outside the scope of this review, but it is a real consideration and begs input from those with knowledge and experience in the region.</w:t>
      </w:r>
    </w:p>
    <w:p w:rsidR="003E0D7A" w:rsidRDefault="005432C1" w:rsidP="00CD6489">
      <w:pPr>
        <w:ind w:left="1701"/>
      </w:pPr>
      <w:r>
        <w:t xml:space="preserve">Whilst there is opportunity for </w:t>
      </w:r>
      <w:r w:rsidR="005140FA">
        <w:t>the Livestock Global Assurance Program</w:t>
      </w:r>
      <w:r>
        <w:t xml:space="preserve"> to foster and facilitate an international approach to animal welfare in the future, the reality of the immediate must be considered.</w:t>
      </w:r>
    </w:p>
    <w:p w:rsidR="00987374" w:rsidRDefault="00987374">
      <w:pPr>
        <w:autoSpaceDE/>
        <w:autoSpaceDN/>
        <w:adjustRightInd/>
        <w:spacing w:after="0"/>
        <w:ind w:left="0"/>
        <w:jc w:val="left"/>
        <w:rPr>
          <w:b/>
          <w:i/>
        </w:rPr>
      </w:pPr>
      <w:r>
        <w:rPr>
          <w:b/>
          <w:i/>
        </w:rPr>
        <w:br w:type="page"/>
      </w:r>
    </w:p>
    <w:p w:rsidR="003E0D7A" w:rsidRPr="00CD6489" w:rsidRDefault="003E0D7A" w:rsidP="00CD6489">
      <w:pPr>
        <w:spacing w:after="120"/>
        <w:ind w:left="1701"/>
        <w:rPr>
          <w:b/>
          <w:i/>
        </w:rPr>
      </w:pPr>
      <w:r w:rsidRPr="00CD6489">
        <w:rPr>
          <w:b/>
          <w:i/>
        </w:rPr>
        <w:t xml:space="preserve">Best </w:t>
      </w:r>
      <w:r w:rsidR="001312A5">
        <w:rPr>
          <w:b/>
          <w:i/>
        </w:rPr>
        <w:t>resources</w:t>
      </w:r>
      <w:r w:rsidRPr="00CD6489">
        <w:rPr>
          <w:b/>
          <w:i/>
        </w:rPr>
        <w:t>:</w:t>
      </w:r>
    </w:p>
    <w:p w:rsidR="003E0D7A" w:rsidRDefault="003E0D7A" w:rsidP="00CD6489">
      <w:pPr>
        <w:spacing w:after="120"/>
        <w:ind w:left="1701"/>
      </w:pPr>
      <w:r w:rsidRPr="00977CAD">
        <w:t>https://www.mla.com.au/research-and-development/search-rd-</w:t>
      </w:r>
      <w:r w:rsidR="00977CAD">
        <w:t>r</w:t>
      </w:r>
      <w:r w:rsidRPr="00977CAD">
        <w:t>eports/final-report-details/Determining-Temperature-and-Humidity-Thresholds-in-sheep-exported-from-Australia-to-the-Middle-East/3575</w:t>
      </w:r>
      <w:r w:rsidR="00977CAD">
        <w:br/>
        <w:t>……</w:t>
      </w:r>
      <w:r>
        <w:t>No pdf available</w:t>
      </w:r>
    </w:p>
    <w:p w:rsidR="003E0D7A" w:rsidRDefault="003E0D7A" w:rsidP="00CD6489">
      <w:pPr>
        <w:spacing w:after="120"/>
        <w:ind w:left="1701"/>
        <w:jc w:val="left"/>
      </w:pPr>
      <w:r w:rsidRPr="00977CAD">
        <w:t>https://www.mla.com.au/research-and-development/search-rd-</w:t>
      </w:r>
      <w:r w:rsidR="00977CAD">
        <w:t>r</w:t>
      </w:r>
      <w:r w:rsidRPr="00977CAD">
        <w:t>eports/final-report-details/Live-Export/Heat-load-in-sheep-exported-to-Middle-Eastern-feedlots/3183</w:t>
      </w:r>
      <w:r w:rsidR="00977CAD">
        <w:br/>
        <w:t>……</w:t>
      </w:r>
      <w:r>
        <w:t>No pdf available</w:t>
      </w:r>
    </w:p>
    <w:p w:rsidR="003E0D7A" w:rsidRDefault="003E0D7A" w:rsidP="00CD6489">
      <w:pPr>
        <w:ind w:left="1701"/>
      </w:pPr>
      <w:r w:rsidRPr="00977CAD">
        <w:t>https://www.mla.com.au/research-and-development/search-rd-reports/final-report-details/Live-Export/Heat-Management-in-the-Middle-East/3338</w:t>
      </w:r>
      <w:r w:rsidR="00977CAD">
        <w:br/>
        <w:t>……</w:t>
      </w:r>
      <w:r>
        <w:t>No pdf available</w:t>
      </w:r>
    </w:p>
    <w:p w:rsidR="009A7300" w:rsidRPr="0098785F" w:rsidRDefault="003E0D7A" w:rsidP="00CD6489">
      <w:pPr>
        <w:ind w:left="1701"/>
      </w:pPr>
      <w:r w:rsidRPr="00977CAD">
        <w:t>https://www.mla.com.au/research-and-development/search-rd-reports/final-report-details/Live-Export/Monitoring-Middle-East-feedlot-temperatures/3190</w:t>
      </w:r>
      <w:r w:rsidR="00977CAD">
        <w:br/>
        <w:t>……</w:t>
      </w:r>
      <w:r>
        <w:t>No pdf available</w:t>
      </w:r>
    </w:p>
    <w:p w:rsidR="00FD6AD6" w:rsidRDefault="00FD6AD6" w:rsidP="00CD6489">
      <w:pPr>
        <w:pStyle w:val="Heading2"/>
      </w:pPr>
      <w:bookmarkStart w:id="54" w:name="_Toc513467768"/>
      <w:bookmarkStart w:id="55" w:name="_Toc513812216"/>
      <w:r>
        <w:t>Recent and previous conditions</w:t>
      </w:r>
      <w:bookmarkEnd w:id="54"/>
      <w:bookmarkEnd w:id="55"/>
    </w:p>
    <w:p w:rsidR="003F5F50" w:rsidRDefault="003F5F50" w:rsidP="00CD6489">
      <w:pPr>
        <w:ind w:left="993"/>
      </w:pPr>
      <w:r>
        <w:t xml:space="preserve">A review of both recent and previous conditions within the approved arrangements associated with the export of sheep to the Middle East during the northern </w:t>
      </w:r>
      <w:r w:rsidR="00971D49">
        <w:t xml:space="preserve">hemisphere </w:t>
      </w:r>
      <w:r>
        <w:t xml:space="preserve">summer, demonstrate that the industry has </w:t>
      </w:r>
      <w:r w:rsidR="003532CA">
        <w:t>already implemented appropriate initiatives i</w:t>
      </w:r>
      <w:r w:rsidR="007D6B4B">
        <w:t>nto many approved arrangements.</w:t>
      </w:r>
    </w:p>
    <w:p w:rsidR="00FD6AD6" w:rsidRDefault="00FD6AD6" w:rsidP="00C24556">
      <w:pPr>
        <w:pStyle w:val="Heading2"/>
      </w:pPr>
      <w:bookmarkStart w:id="56" w:name="_Toc513467769"/>
      <w:bookmarkStart w:id="57" w:name="_Toc513812217"/>
      <w:r>
        <w:t>Administration of ASEL</w:t>
      </w:r>
      <w:bookmarkEnd w:id="56"/>
      <w:bookmarkEnd w:id="57"/>
    </w:p>
    <w:p w:rsidR="00FD6AD6" w:rsidRDefault="00FB4C7F" w:rsidP="00CD6489">
      <w:pPr>
        <w:ind w:left="993"/>
      </w:pPr>
      <w:r>
        <w:t>There is scope to improve the administration of ASEL. A higher level of thinking in the regulatory framework would identify more than just breaches of ASEL. It would also identify the motive behind these breaches and consider opportunity (in terms of points of vulnerability in the regulatory framework). This</w:t>
      </w:r>
      <w:r w:rsidR="00961D75">
        <w:t>,</w:t>
      </w:r>
      <w:r>
        <w:t xml:space="preserve"> combined with a determined will to regulate</w:t>
      </w:r>
      <w:r w:rsidR="00961D75">
        <w:t xml:space="preserve"> should underpin the assurances </w:t>
      </w:r>
      <w:r w:rsidR="00B014C3">
        <w:t xml:space="preserve">that this review was tasked to </w:t>
      </w:r>
      <w:r w:rsidR="00620AD4">
        <w:t>outline.</w:t>
      </w:r>
    </w:p>
    <w:p w:rsidR="00DA5377" w:rsidRDefault="00C16C83" w:rsidP="00C24556">
      <w:pPr>
        <w:pStyle w:val="Heading3"/>
      </w:pPr>
      <w:bookmarkStart w:id="58" w:name="_Toc513467770"/>
      <w:bookmarkStart w:id="59" w:name="_Toc513812218"/>
      <w:r>
        <w:t>DAWR’s interaction</w:t>
      </w:r>
      <w:r w:rsidR="00DA5377" w:rsidRPr="00814272">
        <w:t xml:space="preserve"> with AMSA for vessel approval</w:t>
      </w:r>
      <w:r>
        <w:t>.</w:t>
      </w:r>
      <w:bookmarkEnd w:id="58"/>
      <w:bookmarkEnd w:id="59"/>
    </w:p>
    <w:p w:rsidR="00C103ED" w:rsidRDefault="00C103ED" w:rsidP="00CD6489">
      <w:pPr>
        <w:ind w:left="1701"/>
      </w:pPr>
      <w:r>
        <w:t>The</w:t>
      </w:r>
      <w:r w:rsidR="00D771DD">
        <w:t>re</w:t>
      </w:r>
      <w:r>
        <w:t xml:space="preserve"> is a great opportunity to develop a much more integrated relationship between AMSA and DAWR. There is no impediment to this, and goodwill on behalf of both parties. </w:t>
      </w:r>
    </w:p>
    <w:p w:rsidR="002110CC" w:rsidRDefault="002110CC" w:rsidP="00C24556">
      <w:pPr>
        <w:pStyle w:val="Heading3"/>
      </w:pPr>
      <w:bookmarkStart w:id="60" w:name="_Toc513467771"/>
      <w:bookmarkStart w:id="61" w:name="_Toc513812219"/>
      <w:r>
        <w:t>T</w:t>
      </w:r>
      <w:r w:rsidR="00DA5377">
        <w:t>he effectiveness of current reporting requirements</w:t>
      </w:r>
      <w:r w:rsidR="00C16C83">
        <w:t>.</w:t>
      </w:r>
      <w:bookmarkEnd w:id="60"/>
      <w:bookmarkEnd w:id="61"/>
    </w:p>
    <w:p w:rsidR="00E84234" w:rsidRDefault="00E84234" w:rsidP="00CD6489">
      <w:pPr>
        <w:ind w:left="1701"/>
      </w:pPr>
      <w:r>
        <w:t xml:space="preserve">Reporting is currently in a state of flux. The engagement of </w:t>
      </w:r>
      <w:r w:rsidR="007E17D7">
        <w:t xml:space="preserve">IOs </w:t>
      </w:r>
      <w:r w:rsidR="003532CA">
        <w:t>changes many of the reporting dynamics</w:t>
      </w:r>
      <w:r>
        <w:t xml:space="preserve">. There will be a </w:t>
      </w:r>
      <w:r w:rsidR="00D773AC">
        <w:t>tentative period whereby teething problems are addressed and roles and reporting responsibilities find their natural place.</w:t>
      </w:r>
    </w:p>
    <w:p w:rsidR="00987374" w:rsidRDefault="00987374">
      <w:pPr>
        <w:autoSpaceDE/>
        <w:autoSpaceDN/>
        <w:adjustRightInd/>
        <w:spacing w:after="0"/>
        <w:ind w:left="0"/>
        <w:jc w:val="left"/>
        <w:rPr>
          <w:b/>
        </w:rPr>
      </w:pPr>
      <w:bookmarkStart w:id="62" w:name="_Toc513467772"/>
      <w:r>
        <w:br w:type="page"/>
      </w:r>
    </w:p>
    <w:p w:rsidR="00DA5377" w:rsidRDefault="00C16C83" w:rsidP="00C24556">
      <w:pPr>
        <w:pStyle w:val="Heading3"/>
      </w:pPr>
      <w:bookmarkStart w:id="63" w:name="_Toc513812220"/>
      <w:r>
        <w:t>A</w:t>
      </w:r>
      <w:r w:rsidR="002110CC">
        <w:t>dditional assurance that approved arrangements are being met.</w:t>
      </w:r>
      <w:bookmarkEnd w:id="62"/>
      <w:bookmarkEnd w:id="63"/>
    </w:p>
    <w:p w:rsidR="00D773AC" w:rsidRDefault="00D773AC" w:rsidP="00CD6489">
      <w:pPr>
        <w:ind w:left="1701"/>
      </w:pPr>
      <w:r>
        <w:t>There are no additional assurances required other than that the regulatory function is undertaken. This must involve some level of checking. Given that resources are scarce, it is suggested that they be directed at things that actually make the most difference, and in essence that means stocking density. Random checks of weights could be considered. As mentioned previously, restricted stocking densities will require a greater level of policing.</w:t>
      </w:r>
    </w:p>
    <w:p w:rsidR="00CD6489" w:rsidRDefault="00CD6489">
      <w:pPr>
        <w:autoSpaceDE/>
        <w:autoSpaceDN/>
        <w:adjustRightInd/>
        <w:spacing w:after="0"/>
        <w:ind w:left="0"/>
        <w:jc w:val="left"/>
        <w:rPr>
          <w:rFonts w:eastAsiaTheme="majorEastAsia" w:cstheme="majorBidi"/>
          <w:b/>
          <w:color w:val="1F4E79" w:themeColor="accent5" w:themeShade="80"/>
          <w:sz w:val="32"/>
          <w:szCs w:val="32"/>
        </w:rPr>
      </w:pPr>
      <w:bookmarkStart w:id="64" w:name="_Toc513467773"/>
      <w:r>
        <w:br w:type="page"/>
      </w:r>
    </w:p>
    <w:p w:rsidR="0091756D" w:rsidRDefault="0091756D" w:rsidP="00C24556">
      <w:pPr>
        <w:pStyle w:val="Heading1"/>
      </w:pPr>
      <w:bookmarkStart w:id="65" w:name="_Toc513812221"/>
      <w:r>
        <w:t>Conclusions</w:t>
      </w:r>
      <w:bookmarkEnd w:id="64"/>
      <w:bookmarkEnd w:id="65"/>
    </w:p>
    <w:p w:rsidR="00084ECA" w:rsidRDefault="00084ECA" w:rsidP="00C24556">
      <w:r w:rsidRPr="001F1B3A">
        <w:t xml:space="preserve">It became </w:t>
      </w:r>
      <w:r w:rsidR="001F1B3A">
        <w:t xml:space="preserve">apparent, very early on in the </w:t>
      </w:r>
      <w:r w:rsidR="0098785F">
        <w:t>review that</w:t>
      </w:r>
      <w:r w:rsidR="001F1B3A">
        <w:t xml:space="preserve"> the industry has been shaped by a repeating cycle of reactivity. Further</w:t>
      </w:r>
      <w:r w:rsidR="00415675">
        <w:t xml:space="preserve">more, there has been </w:t>
      </w:r>
      <w:r w:rsidR="001F1B3A">
        <w:t>a tendency for the regula</w:t>
      </w:r>
      <w:r w:rsidR="003C44BB">
        <w:t xml:space="preserve">tor to focus on peripheral, </w:t>
      </w:r>
      <w:r w:rsidR="001F1B3A">
        <w:t>easy to enforce aspects, and not the address the more difficult, core issues like stocking d</w:t>
      </w:r>
      <w:r w:rsidR="00D33C26">
        <w:t>ensity.</w:t>
      </w:r>
    </w:p>
    <w:p w:rsidR="00D33C26" w:rsidRDefault="00D33C26" w:rsidP="0059706B">
      <w:r>
        <w:t xml:space="preserve">In general, it is suggested that there be more focus on </w:t>
      </w:r>
      <w:r w:rsidR="0059706B">
        <w:t>key issues</w:t>
      </w:r>
      <w:r>
        <w:t>, and less on peripheral issues that divert time and resources.</w:t>
      </w:r>
    </w:p>
    <w:p w:rsidR="00D33C26" w:rsidRDefault="00012250" w:rsidP="00C24556">
      <w:r>
        <w:t>In keeping with this, there is no point amending (or adding) conditions to the approved arrangements, if the regulatory framework around the export of sheep to the Middle East during the northern hemisphere summer is ineffective.</w:t>
      </w:r>
    </w:p>
    <w:p w:rsidR="00012250" w:rsidRPr="001F1B3A" w:rsidRDefault="00012250" w:rsidP="00C24556">
      <w:r>
        <w:t xml:space="preserve">The announced review of the regulatory capabilities and culture in the regulation of live exports will commence shortly. It is strongly suggested that this take a </w:t>
      </w:r>
      <w:r w:rsidR="00977CAD">
        <w:t>‘</w:t>
      </w:r>
      <w:r>
        <w:t>reform as you go</w:t>
      </w:r>
      <w:r w:rsidR="00977CAD">
        <w:t>’</w:t>
      </w:r>
      <w:r>
        <w:t xml:space="preserve"> approach so that </w:t>
      </w:r>
      <w:r w:rsidR="00303A95">
        <w:t>any initiatives take hold for this northern hemisphere summer period.</w:t>
      </w:r>
    </w:p>
    <w:p w:rsidR="002C1AC8" w:rsidRPr="00072398" w:rsidRDefault="003532CA" w:rsidP="00C24556">
      <w:r w:rsidRPr="00072398">
        <w:t>A</w:t>
      </w:r>
      <w:r w:rsidR="00AB4D4E" w:rsidRPr="00072398">
        <w:t xml:space="preserve">fter having worked systematically through the terms of reference, </w:t>
      </w:r>
      <w:r w:rsidR="00D664E4">
        <w:t xml:space="preserve">the other </w:t>
      </w:r>
      <w:r w:rsidR="002C1AC8">
        <w:t xml:space="preserve">feature that </w:t>
      </w:r>
      <w:r w:rsidR="00AB4D4E" w:rsidRPr="00D664E4">
        <w:t xml:space="preserve">is </w:t>
      </w:r>
      <w:r w:rsidR="002C1AC8">
        <w:t xml:space="preserve">apparent </w:t>
      </w:r>
      <w:r w:rsidR="002C1AC8" w:rsidRPr="00072398">
        <w:t xml:space="preserve">is </w:t>
      </w:r>
      <w:r w:rsidR="00AB4D4E" w:rsidRPr="00072398">
        <w:t>the number of u</w:t>
      </w:r>
      <w:r w:rsidR="0044510C" w:rsidRPr="00072398">
        <w:t>nevolved</w:t>
      </w:r>
      <w:r w:rsidR="00AB4D4E" w:rsidRPr="00072398">
        <w:t xml:space="preserve"> or evolving</w:t>
      </w:r>
      <w:r w:rsidR="0044510C" w:rsidRPr="00072398">
        <w:t xml:space="preserve"> capabilities</w:t>
      </w:r>
      <w:r w:rsidR="00AB4D4E" w:rsidRPr="00072398">
        <w:t xml:space="preserve"> that litter the landscape. </w:t>
      </w:r>
      <w:r w:rsidR="002C1AC8">
        <w:t xml:space="preserve">For the most part, the industry has completed a large body of quality R&amp;D, but far too little of it has been picked up and turned into something operational. </w:t>
      </w:r>
      <w:r w:rsidR="00D55AEB">
        <w:t xml:space="preserve">Industry </w:t>
      </w:r>
      <w:r w:rsidR="00D55AEB" w:rsidRPr="00072398">
        <w:t xml:space="preserve">should </w:t>
      </w:r>
      <w:r w:rsidR="00D55AEB">
        <w:t xml:space="preserve">take this opportunity to identify </w:t>
      </w:r>
      <w:r w:rsidR="00E501E2">
        <w:t xml:space="preserve">any </w:t>
      </w:r>
      <w:r w:rsidR="00D55AEB">
        <w:t>obstruction and forge forward with new technology, much of which can transform the industry and better prepare it for the challenges ahead.</w:t>
      </w:r>
      <w:r w:rsidR="002C1AC8">
        <w:t xml:space="preserve"> </w:t>
      </w:r>
    </w:p>
    <w:p w:rsidR="00D55AEB" w:rsidRDefault="00D55AEB" w:rsidP="00C24556">
      <w:pPr>
        <w:rPr>
          <w:rFonts w:eastAsiaTheme="majorEastAsia" w:cstheme="majorBidi"/>
          <w:color w:val="000000" w:themeColor="text1"/>
          <w:sz w:val="32"/>
          <w:szCs w:val="32"/>
        </w:rPr>
      </w:pPr>
      <w:r>
        <w:br w:type="page"/>
      </w:r>
    </w:p>
    <w:p w:rsidR="00AB58E4" w:rsidRDefault="006D5180" w:rsidP="00C24556">
      <w:pPr>
        <w:pStyle w:val="Heading1"/>
      </w:pPr>
      <w:bookmarkStart w:id="66" w:name="_Toc513812222"/>
      <w:r>
        <w:t>Appendix</w:t>
      </w:r>
      <w:bookmarkEnd w:id="66"/>
    </w:p>
    <w:p w:rsidR="00AB58E4" w:rsidRDefault="001312A5" w:rsidP="00C24556">
      <w:pPr>
        <w:pStyle w:val="Heading2"/>
      </w:pPr>
      <w:bookmarkStart w:id="67" w:name="_Toc513812223"/>
      <w:r>
        <w:t>Further r</w:t>
      </w:r>
      <w:r w:rsidR="000A39A1">
        <w:t>eading</w:t>
      </w:r>
      <w:r w:rsidR="00072398">
        <w:t>—</w:t>
      </w:r>
      <w:r w:rsidR="00301C39">
        <w:t>List of references</w:t>
      </w:r>
      <w:bookmarkEnd w:id="67"/>
    </w:p>
    <w:p w:rsidR="00351C32" w:rsidRPr="00CD6489" w:rsidRDefault="00977CAD" w:rsidP="001312A5">
      <w:pPr>
        <w:spacing w:after="120"/>
        <w:ind w:left="992"/>
        <w:rPr>
          <w:b/>
        </w:rPr>
      </w:pPr>
      <w:r w:rsidRPr="00CD6489">
        <w:rPr>
          <w:b/>
        </w:rPr>
        <w:t xml:space="preserve">6.1.1: </w:t>
      </w:r>
      <w:r w:rsidR="00351C32" w:rsidRPr="00CD6489">
        <w:rPr>
          <w:b/>
        </w:rPr>
        <w:t>Ventilation and the assessment of heat stress risk</w:t>
      </w:r>
    </w:p>
    <w:p w:rsidR="00351C32" w:rsidRDefault="00351C32" w:rsidP="00351C32">
      <w:pPr>
        <w:pStyle w:val="Default"/>
        <w:spacing w:before="100" w:after="100"/>
        <w:ind w:left="992"/>
        <w:rPr>
          <w:rFonts w:asciiTheme="minorHAnsi" w:hAnsiTheme="minorHAnsi"/>
          <w:color w:val="auto"/>
        </w:rPr>
      </w:pPr>
      <w:r w:rsidRPr="00117C72">
        <w:rPr>
          <w:rFonts w:asciiTheme="minorHAnsi" w:hAnsiTheme="minorHAnsi"/>
          <w:color w:val="auto"/>
        </w:rPr>
        <w:t xml:space="preserve">Brown-Brandl, TM, </w:t>
      </w:r>
      <w:r>
        <w:rPr>
          <w:rFonts w:asciiTheme="minorHAnsi" w:hAnsiTheme="minorHAnsi"/>
          <w:color w:val="auto"/>
        </w:rPr>
        <w:t>Jones, DD, Woldt, WE (2005</w:t>
      </w:r>
      <w:r w:rsidRPr="00117C72">
        <w:rPr>
          <w:rFonts w:asciiTheme="minorHAnsi" w:hAnsiTheme="minorHAnsi"/>
          <w:color w:val="auto"/>
        </w:rPr>
        <w:t xml:space="preserve">) Evaluating Modelling Techniques for Cattle Heat Stress Prediction. </w:t>
      </w:r>
      <w:r w:rsidRPr="00117C72">
        <w:rPr>
          <w:rFonts w:asciiTheme="minorHAnsi" w:hAnsiTheme="minorHAnsi"/>
          <w:i/>
          <w:iCs/>
          <w:color w:val="auto"/>
        </w:rPr>
        <w:t xml:space="preserve">Biosystems Engineering </w:t>
      </w:r>
      <w:r w:rsidRPr="00117C72">
        <w:rPr>
          <w:rFonts w:asciiTheme="minorHAnsi" w:hAnsiTheme="minorHAnsi"/>
          <w:b/>
          <w:bCs/>
          <w:color w:val="auto"/>
        </w:rPr>
        <w:t>91</w:t>
      </w:r>
      <w:r w:rsidRPr="00117C72">
        <w:rPr>
          <w:rFonts w:asciiTheme="minorHAnsi" w:hAnsiTheme="minorHAnsi"/>
          <w:color w:val="auto"/>
        </w:rPr>
        <w:t>, 513</w:t>
      </w:r>
      <w:r w:rsidR="00072398">
        <w:rPr>
          <w:rFonts w:asciiTheme="minorHAnsi" w:hAnsiTheme="minorHAnsi"/>
          <w:color w:val="auto"/>
        </w:rPr>
        <w:t>–</w:t>
      </w:r>
      <w:r w:rsidRPr="00117C72">
        <w:rPr>
          <w:rFonts w:asciiTheme="minorHAnsi" w:hAnsiTheme="minorHAnsi"/>
          <w:color w:val="auto"/>
        </w:rPr>
        <w:t xml:space="preserve">524. </w:t>
      </w:r>
    </w:p>
    <w:p w:rsidR="00351C32" w:rsidRDefault="00351C32" w:rsidP="00351C32">
      <w:pPr>
        <w:pStyle w:val="Default"/>
        <w:spacing w:after="100"/>
        <w:ind w:left="992"/>
        <w:rPr>
          <w:rFonts w:asciiTheme="minorHAnsi" w:hAnsiTheme="minorHAnsi"/>
          <w:bCs/>
        </w:rPr>
      </w:pPr>
      <w:r w:rsidRPr="00A25025">
        <w:rPr>
          <w:rFonts w:asciiTheme="minorHAnsi" w:hAnsiTheme="minorHAnsi"/>
          <w:bCs/>
        </w:rPr>
        <w:t xml:space="preserve">Caulfield, MP, Cambridge, H, Foster, SF, McGreevy PD (2013) Heat stress: A major contributor to poor animal welfare associated with long-haul live export voyages. </w:t>
      </w:r>
      <w:r w:rsidRPr="00A25025">
        <w:rPr>
          <w:rFonts w:asciiTheme="minorHAnsi" w:hAnsiTheme="minorHAnsi"/>
          <w:bCs/>
          <w:i/>
        </w:rPr>
        <w:t xml:space="preserve">The Veterinary Journal </w:t>
      </w:r>
      <w:r w:rsidRPr="00A25025">
        <w:rPr>
          <w:rFonts w:asciiTheme="minorHAnsi" w:hAnsiTheme="minorHAnsi"/>
          <w:b/>
          <w:bCs/>
        </w:rPr>
        <w:t>199</w:t>
      </w:r>
      <w:r w:rsidRPr="00A25025">
        <w:rPr>
          <w:rFonts w:asciiTheme="minorHAnsi" w:hAnsiTheme="minorHAnsi"/>
          <w:bCs/>
        </w:rPr>
        <w:t>, 223</w:t>
      </w:r>
      <w:r w:rsidR="00072398">
        <w:rPr>
          <w:rFonts w:asciiTheme="minorHAnsi" w:hAnsiTheme="minorHAnsi"/>
          <w:bCs/>
        </w:rPr>
        <w:t>–</w:t>
      </w:r>
      <w:r w:rsidRPr="00A25025">
        <w:rPr>
          <w:rFonts w:asciiTheme="minorHAnsi" w:hAnsiTheme="minorHAnsi"/>
          <w:bCs/>
        </w:rPr>
        <w:t>228.</w:t>
      </w:r>
    </w:p>
    <w:p w:rsidR="00351C32" w:rsidRDefault="00351C32" w:rsidP="00351C32">
      <w:pPr>
        <w:pStyle w:val="Default"/>
        <w:spacing w:after="100"/>
        <w:ind w:left="992"/>
        <w:rPr>
          <w:rFonts w:asciiTheme="minorHAnsi" w:hAnsiTheme="minorHAnsi"/>
          <w:bCs/>
        </w:rPr>
      </w:pPr>
      <w:r w:rsidRPr="00F00B06">
        <w:rPr>
          <w:rFonts w:asciiTheme="minorHAnsi" w:hAnsiTheme="minorHAnsi"/>
          <w:bCs/>
        </w:rPr>
        <w:t>Eustace, C, Corry, S (2009) Revision of the heat stress risk assessment methodology to properly incorporate risk of heat stress while at port (B.LIV.0249). Prepared by AECOM Australia Pty Ltd for MLA/LiveCorp.</w:t>
      </w:r>
    </w:p>
    <w:p w:rsidR="00351C32" w:rsidRDefault="00351C32" w:rsidP="00351C32">
      <w:pPr>
        <w:pStyle w:val="Default"/>
        <w:spacing w:after="100"/>
        <w:ind w:left="992"/>
        <w:rPr>
          <w:rFonts w:asciiTheme="minorHAnsi" w:hAnsiTheme="minorHAnsi"/>
          <w:bCs/>
        </w:rPr>
      </w:pPr>
      <w:r w:rsidRPr="00F00B06">
        <w:rPr>
          <w:rFonts w:asciiTheme="minorHAnsi" w:hAnsiTheme="minorHAnsi"/>
          <w:bCs/>
        </w:rPr>
        <w:t>Ferguson, D, Fisher, A, White, B, Casey, R, Mayer, B (2008) Review of the Livestock Export Heat Stress Risk Assessment Model (HotStuff) (W.LIV.0262</w:t>
      </w:r>
      <w:r w:rsidR="00072398">
        <w:rPr>
          <w:rFonts w:asciiTheme="minorHAnsi" w:hAnsiTheme="minorHAnsi"/>
          <w:bCs/>
        </w:rPr>
        <w:t>–</w:t>
      </w:r>
      <w:r w:rsidRPr="00F00B06">
        <w:rPr>
          <w:rFonts w:asciiTheme="minorHAnsi" w:hAnsiTheme="minorHAnsi"/>
          <w:bCs/>
        </w:rPr>
        <w:t>0265). Prepared by CSIRO for MLA/LiveCorp.</w:t>
      </w:r>
    </w:p>
    <w:p w:rsidR="00351C32" w:rsidRPr="005F7596" w:rsidRDefault="00351C32" w:rsidP="00351C32">
      <w:pPr>
        <w:pStyle w:val="Default"/>
        <w:spacing w:before="100" w:after="100"/>
        <w:ind w:left="992"/>
        <w:rPr>
          <w:rFonts w:asciiTheme="minorHAnsi" w:hAnsiTheme="minorHAnsi"/>
          <w:color w:val="auto"/>
        </w:rPr>
      </w:pPr>
      <w:r>
        <w:rPr>
          <w:rFonts w:asciiTheme="minorHAnsi" w:hAnsiTheme="minorHAnsi"/>
          <w:color w:val="auto"/>
        </w:rPr>
        <w:t xml:space="preserve">Hales JRS, Webster, MED (1967) Respiratory function during thermal tachypnoea in sheep. </w:t>
      </w:r>
      <w:r>
        <w:rPr>
          <w:rFonts w:asciiTheme="minorHAnsi" w:hAnsiTheme="minorHAnsi"/>
          <w:i/>
          <w:color w:val="auto"/>
        </w:rPr>
        <w:t xml:space="preserve">Journal of Physiology </w:t>
      </w:r>
      <w:r>
        <w:rPr>
          <w:rFonts w:asciiTheme="minorHAnsi" w:hAnsiTheme="minorHAnsi"/>
          <w:b/>
          <w:color w:val="auto"/>
        </w:rPr>
        <w:t>190</w:t>
      </w:r>
      <w:r>
        <w:rPr>
          <w:rFonts w:asciiTheme="minorHAnsi" w:hAnsiTheme="minorHAnsi"/>
          <w:color w:val="auto"/>
        </w:rPr>
        <w:t>, 241</w:t>
      </w:r>
      <w:r w:rsidR="00072398">
        <w:rPr>
          <w:rFonts w:asciiTheme="minorHAnsi" w:hAnsiTheme="minorHAnsi"/>
          <w:color w:val="auto"/>
        </w:rPr>
        <w:t>–</w:t>
      </w:r>
      <w:r>
        <w:rPr>
          <w:rFonts w:asciiTheme="minorHAnsi" w:hAnsiTheme="minorHAnsi"/>
          <w:color w:val="auto"/>
        </w:rPr>
        <w:t>260.</w:t>
      </w:r>
    </w:p>
    <w:p w:rsidR="00351C32" w:rsidRDefault="00351C32" w:rsidP="00351C32">
      <w:pPr>
        <w:pStyle w:val="Default"/>
        <w:spacing w:after="100"/>
        <w:ind w:left="992"/>
        <w:rPr>
          <w:rFonts w:asciiTheme="minorHAnsi" w:hAnsiTheme="minorHAnsi"/>
          <w:bCs/>
        </w:rPr>
      </w:pPr>
      <w:r w:rsidRPr="00F00B06">
        <w:rPr>
          <w:rFonts w:asciiTheme="minorHAnsi" w:hAnsiTheme="minorHAnsi"/>
          <w:bCs/>
        </w:rPr>
        <w:t>MAMIC, PL (2002) Practical Ventilation Measures for Livestock Vessels. MLA and Livecorp No. ISBN: 1 74036 118 0, Sydney, NSW, Australia.</w:t>
      </w:r>
    </w:p>
    <w:p w:rsidR="00351C32" w:rsidRPr="00F00B06" w:rsidRDefault="00351C32" w:rsidP="00351C32">
      <w:pPr>
        <w:pStyle w:val="Default"/>
        <w:spacing w:after="100"/>
        <w:ind w:left="992"/>
        <w:rPr>
          <w:rFonts w:asciiTheme="minorHAnsi" w:hAnsiTheme="minorHAnsi"/>
          <w:bCs/>
        </w:rPr>
      </w:pPr>
      <w:r w:rsidRPr="00F00B06">
        <w:rPr>
          <w:rFonts w:asciiTheme="minorHAnsi" w:hAnsiTheme="minorHAnsi"/>
          <w:bCs/>
        </w:rPr>
        <w:t xml:space="preserve">MAMIC Pty Ltd (2000) Investigation of Ventilation </w:t>
      </w:r>
      <w:r w:rsidR="00AB3208">
        <w:rPr>
          <w:rFonts w:asciiTheme="minorHAnsi" w:hAnsiTheme="minorHAnsi"/>
          <w:bCs/>
        </w:rPr>
        <w:t>Efficacy on Livestock Vessels—</w:t>
      </w:r>
      <w:r w:rsidRPr="00F00B06">
        <w:rPr>
          <w:rFonts w:asciiTheme="minorHAnsi" w:hAnsiTheme="minorHAnsi"/>
          <w:bCs/>
        </w:rPr>
        <w:t xml:space="preserve">Literature Review (SBMR.002A). Prepared for MLA/Livecorp. </w:t>
      </w:r>
    </w:p>
    <w:p w:rsidR="00351C32" w:rsidRDefault="00351C32" w:rsidP="00351C32">
      <w:pPr>
        <w:pStyle w:val="Default"/>
        <w:spacing w:after="100"/>
        <w:ind w:left="992"/>
        <w:rPr>
          <w:rFonts w:asciiTheme="minorHAnsi" w:hAnsiTheme="minorHAnsi"/>
          <w:bCs/>
        </w:rPr>
      </w:pPr>
      <w:r w:rsidRPr="00F00B06">
        <w:rPr>
          <w:rFonts w:asciiTheme="minorHAnsi" w:hAnsiTheme="minorHAnsi"/>
          <w:bCs/>
        </w:rPr>
        <w:t>MAMIC/Maunsell Pty Ltd (2004) Investigation of Ventilation Efficacy on Live Sheep Vessels (LIVE.212). Prepared for MLA/Livecorp.</w:t>
      </w:r>
    </w:p>
    <w:p w:rsidR="00351C32" w:rsidRDefault="00351C32" w:rsidP="00351C32">
      <w:pPr>
        <w:pStyle w:val="Default"/>
        <w:spacing w:before="100" w:after="100"/>
        <w:ind w:left="992"/>
        <w:rPr>
          <w:rFonts w:asciiTheme="minorHAnsi" w:hAnsiTheme="minorHAnsi"/>
          <w:color w:val="auto"/>
        </w:rPr>
      </w:pPr>
      <w:r>
        <w:rPr>
          <w:rFonts w:asciiTheme="minorHAnsi" w:hAnsiTheme="minorHAnsi"/>
          <w:color w:val="auto"/>
        </w:rPr>
        <w:t xml:space="preserve">Nienabar, JA, Hahn, GL (2007) </w:t>
      </w:r>
      <w:r w:rsidRPr="008866B9">
        <w:rPr>
          <w:rFonts w:asciiTheme="minorHAnsi" w:hAnsiTheme="minorHAnsi"/>
          <w:color w:val="auto"/>
        </w:rPr>
        <w:t xml:space="preserve">Livestock production system management responses to thermal challenges. </w:t>
      </w:r>
      <w:r w:rsidRPr="008866B9">
        <w:rPr>
          <w:rFonts w:asciiTheme="minorHAnsi" w:hAnsiTheme="minorHAnsi"/>
          <w:i/>
          <w:color w:val="auto"/>
        </w:rPr>
        <w:t>International Journal of Biometeorology</w:t>
      </w:r>
      <w:r w:rsidRPr="008866B9">
        <w:rPr>
          <w:rFonts w:asciiTheme="minorHAnsi" w:hAnsiTheme="minorHAnsi"/>
          <w:color w:val="auto"/>
        </w:rPr>
        <w:t xml:space="preserve"> 52</w:t>
      </w:r>
      <w:r>
        <w:rPr>
          <w:rFonts w:asciiTheme="minorHAnsi" w:hAnsiTheme="minorHAnsi"/>
          <w:color w:val="auto"/>
        </w:rPr>
        <w:t>,</w:t>
      </w:r>
      <w:r w:rsidRPr="008866B9">
        <w:rPr>
          <w:rFonts w:asciiTheme="minorHAnsi" w:hAnsiTheme="minorHAnsi"/>
          <w:color w:val="auto"/>
        </w:rPr>
        <w:t xml:space="preserve"> 149</w:t>
      </w:r>
      <w:r w:rsidR="00AB3208">
        <w:rPr>
          <w:rFonts w:asciiTheme="minorHAnsi" w:hAnsiTheme="minorHAnsi"/>
          <w:color w:val="auto"/>
        </w:rPr>
        <w:t>–</w:t>
      </w:r>
      <w:r w:rsidRPr="008866B9">
        <w:rPr>
          <w:rFonts w:asciiTheme="minorHAnsi" w:hAnsiTheme="minorHAnsi"/>
          <w:color w:val="auto"/>
        </w:rPr>
        <w:t>157</w:t>
      </w:r>
      <w:r>
        <w:rPr>
          <w:rFonts w:asciiTheme="minorHAnsi" w:hAnsiTheme="minorHAnsi"/>
          <w:color w:val="auto"/>
        </w:rPr>
        <w:t>.</w:t>
      </w:r>
    </w:p>
    <w:p w:rsidR="00351C32" w:rsidRPr="00065E24" w:rsidRDefault="00351C32" w:rsidP="00351C32">
      <w:pPr>
        <w:pStyle w:val="Default"/>
        <w:spacing w:after="100"/>
        <w:ind w:left="992"/>
        <w:rPr>
          <w:rFonts w:asciiTheme="minorHAnsi" w:hAnsiTheme="minorHAnsi"/>
          <w:bCs/>
        </w:rPr>
      </w:pPr>
      <w:r w:rsidRPr="00065E24">
        <w:rPr>
          <w:rFonts w:asciiTheme="minorHAnsi" w:hAnsiTheme="minorHAnsi"/>
          <w:bCs/>
        </w:rPr>
        <w:t>Smith, S, Eustace, C, Stacey, C (2007) Assessing a method of incorporating jetting in the HS model and its commercial implications (B.LIV.0240). Prepared by Maunsell Australia Pty Ltd for MLA/LiveCorp.</w:t>
      </w:r>
    </w:p>
    <w:p w:rsidR="00351C32" w:rsidRDefault="00072398" w:rsidP="00351C32">
      <w:pPr>
        <w:pStyle w:val="Default"/>
        <w:spacing w:after="100"/>
        <w:ind w:left="992"/>
        <w:rPr>
          <w:rFonts w:asciiTheme="minorHAnsi" w:hAnsiTheme="minorHAnsi"/>
          <w:bCs/>
        </w:rPr>
      </w:pPr>
      <w:r>
        <w:rPr>
          <w:rFonts w:asciiTheme="minorHAnsi" w:hAnsiTheme="minorHAnsi"/>
          <w:bCs/>
        </w:rPr>
        <w:t>Stacey, C (2017) HotStuff V5—</w:t>
      </w:r>
      <w:r w:rsidR="00351C32" w:rsidRPr="00065E24">
        <w:rPr>
          <w:rFonts w:asciiTheme="minorHAnsi" w:hAnsiTheme="minorHAnsi"/>
          <w:bCs/>
        </w:rPr>
        <w:t>Improvements to the Live Export Heat Stress Risk Assessment Method (W.LIV.0277). Prepared by Stacey Agnew Pty Ltd for MLA/LiveCorp.</w:t>
      </w:r>
    </w:p>
    <w:p w:rsidR="00351C32" w:rsidRPr="00065E24" w:rsidRDefault="00351C32" w:rsidP="00351C32">
      <w:pPr>
        <w:pStyle w:val="Default"/>
        <w:spacing w:after="100"/>
        <w:ind w:left="992"/>
        <w:rPr>
          <w:rFonts w:asciiTheme="minorHAnsi" w:hAnsiTheme="minorHAnsi"/>
          <w:bCs/>
        </w:rPr>
      </w:pPr>
      <w:r w:rsidRPr="00065E24">
        <w:rPr>
          <w:rFonts w:asciiTheme="minorHAnsi" w:hAnsiTheme="minorHAnsi"/>
          <w:bCs/>
        </w:rPr>
        <w:t xml:space="preserve">Stacey, </w:t>
      </w:r>
      <w:r w:rsidR="00AB3208">
        <w:rPr>
          <w:rFonts w:asciiTheme="minorHAnsi" w:hAnsiTheme="minorHAnsi"/>
          <w:bCs/>
        </w:rPr>
        <w:t>C (2017) HotStuff V5 Addendum—</w:t>
      </w:r>
      <w:r w:rsidRPr="00065E24">
        <w:rPr>
          <w:rFonts w:asciiTheme="minorHAnsi" w:hAnsiTheme="minorHAnsi"/>
          <w:bCs/>
        </w:rPr>
        <w:t>Calculations within the Live Export Heat Stress Risk Assessment Method (W.LIV.0277). Prepared by Stacey Agnew Pty Ltd for MLA/LiveCorp.</w:t>
      </w:r>
    </w:p>
    <w:p w:rsidR="00351C32" w:rsidRPr="00196AB7" w:rsidRDefault="00351C32" w:rsidP="00CD6489">
      <w:pPr>
        <w:pStyle w:val="Default"/>
        <w:spacing w:after="200"/>
        <w:ind w:left="992"/>
        <w:rPr>
          <w:rFonts w:asciiTheme="minorHAnsi" w:hAnsiTheme="minorHAnsi"/>
          <w:bCs/>
        </w:rPr>
      </w:pPr>
      <w:r w:rsidRPr="00065E24">
        <w:rPr>
          <w:rFonts w:asciiTheme="minorHAnsi" w:hAnsiTheme="minorHAnsi"/>
          <w:bCs/>
        </w:rPr>
        <w:t>Stacey, C (2011) HotStuff V4 Improvements to the Live Export Heat Stress Risk Assessment Method (W.LIV.0277). Prepared by Stacey Agnew Pty Ltd for MLA/LiveCorp.</w:t>
      </w:r>
    </w:p>
    <w:p w:rsidR="00CD6489" w:rsidRDefault="00CD6489">
      <w:pPr>
        <w:autoSpaceDE/>
        <w:autoSpaceDN/>
        <w:adjustRightInd/>
        <w:spacing w:after="0"/>
        <w:ind w:left="0"/>
        <w:jc w:val="left"/>
      </w:pPr>
      <w:r>
        <w:br w:type="page"/>
      </w:r>
    </w:p>
    <w:p w:rsidR="00351C32" w:rsidRPr="00CD6489" w:rsidRDefault="00977CAD" w:rsidP="001312A5">
      <w:pPr>
        <w:spacing w:after="120"/>
        <w:ind w:left="992"/>
        <w:rPr>
          <w:b/>
        </w:rPr>
      </w:pPr>
      <w:r w:rsidRPr="00CD6489">
        <w:rPr>
          <w:b/>
        </w:rPr>
        <w:t xml:space="preserve">6.1.2: </w:t>
      </w:r>
      <w:r w:rsidR="00351C32" w:rsidRPr="00CD6489">
        <w:rPr>
          <w:b/>
        </w:rPr>
        <w:t>Verification of vessel’s PAT information</w:t>
      </w:r>
    </w:p>
    <w:p w:rsidR="00351C32" w:rsidRPr="00F00B06" w:rsidRDefault="00351C32" w:rsidP="00351C32">
      <w:pPr>
        <w:pStyle w:val="Default"/>
        <w:spacing w:after="100"/>
        <w:ind w:left="993"/>
        <w:rPr>
          <w:rFonts w:asciiTheme="minorHAnsi" w:hAnsiTheme="minorHAnsi"/>
          <w:bCs/>
        </w:rPr>
      </w:pPr>
      <w:r w:rsidRPr="00F00B06">
        <w:rPr>
          <w:rFonts w:asciiTheme="minorHAnsi" w:hAnsiTheme="minorHAnsi"/>
          <w:bCs/>
        </w:rPr>
        <w:t xml:space="preserve">MAMIC Pty Ltd (2000) Investigation of Ventilation </w:t>
      </w:r>
      <w:r w:rsidR="00072398">
        <w:rPr>
          <w:rFonts w:asciiTheme="minorHAnsi" w:hAnsiTheme="minorHAnsi"/>
          <w:bCs/>
        </w:rPr>
        <w:t>Efficacy on Livestock Vessels—</w:t>
      </w:r>
      <w:r w:rsidRPr="00F00B06">
        <w:rPr>
          <w:rFonts w:asciiTheme="minorHAnsi" w:hAnsiTheme="minorHAnsi"/>
          <w:bCs/>
        </w:rPr>
        <w:t xml:space="preserve">Literature Review (SBMR.002A). Prepared for MLA/Livecorp. </w:t>
      </w:r>
    </w:p>
    <w:p w:rsidR="00351C32" w:rsidRPr="00F00B06" w:rsidRDefault="00351C32" w:rsidP="00351C32">
      <w:pPr>
        <w:pStyle w:val="Default"/>
        <w:spacing w:after="100"/>
        <w:ind w:left="993"/>
        <w:rPr>
          <w:rFonts w:asciiTheme="minorHAnsi" w:hAnsiTheme="minorHAnsi"/>
          <w:bCs/>
        </w:rPr>
      </w:pPr>
      <w:r w:rsidRPr="00F00B06">
        <w:rPr>
          <w:rFonts w:asciiTheme="minorHAnsi" w:hAnsiTheme="minorHAnsi"/>
          <w:bCs/>
        </w:rPr>
        <w:t xml:space="preserve">MAMIC/Maunsell Pty Ltd (2003) Development of a Heat Stress Risk Assessment Model (LIVE.116). Prepared for MLA/Livecorp. </w:t>
      </w:r>
    </w:p>
    <w:p w:rsidR="00351C32" w:rsidRDefault="00351C32" w:rsidP="00351C32">
      <w:pPr>
        <w:pStyle w:val="Default"/>
        <w:spacing w:before="100" w:after="100"/>
        <w:ind w:left="993"/>
        <w:rPr>
          <w:rFonts w:asciiTheme="minorHAnsi" w:hAnsiTheme="minorHAnsi"/>
          <w:bCs/>
        </w:rPr>
      </w:pPr>
      <w:r w:rsidRPr="00F00B06">
        <w:rPr>
          <w:rFonts w:asciiTheme="minorHAnsi" w:hAnsiTheme="minorHAnsi"/>
          <w:bCs/>
        </w:rPr>
        <w:t>MAMIC/Maunsell Pty Ltd (2004) Investigation of Ventilation Efficacy on Live Sheep Vessels (LIVE.212). Prepared for MLA/Livecorp.</w:t>
      </w:r>
    </w:p>
    <w:p w:rsidR="00351C32" w:rsidRDefault="00072398" w:rsidP="00351C32">
      <w:pPr>
        <w:pStyle w:val="Default"/>
        <w:spacing w:after="100"/>
        <w:ind w:left="993"/>
        <w:rPr>
          <w:rFonts w:asciiTheme="minorHAnsi" w:hAnsiTheme="minorHAnsi"/>
          <w:bCs/>
        </w:rPr>
      </w:pPr>
      <w:r>
        <w:rPr>
          <w:rFonts w:asciiTheme="minorHAnsi" w:hAnsiTheme="minorHAnsi"/>
          <w:bCs/>
        </w:rPr>
        <w:t>Stacey, C (2017) HotStuff V5—</w:t>
      </w:r>
      <w:r w:rsidR="00351C32" w:rsidRPr="00065E24">
        <w:rPr>
          <w:rFonts w:asciiTheme="minorHAnsi" w:hAnsiTheme="minorHAnsi"/>
          <w:bCs/>
        </w:rPr>
        <w:t>Improvements to the Live Export Heat Stress Risk Assessment Method (W.LIV.0277). Prepared by Stacey Agnew Pty Ltd for MLA/LiveCorp.</w:t>
      </w:r>
    </w:p>
    <w:p w:rsidR="00351C32" w:rsidRPr="00065E24" w:rsidRDefault="00351C32" w:rsidP="00351C32">
      <w:pPr>
        <w:pStyle w:val="Default"/>
        <w:spacing w:after="100"/>
        <w:ind w:left="993"/>
        <w:rPr>
          <w:rFonts w:asciiTheme="minorHAnsi" w:hAnsiTheme="minorHAnsi"/>
          <w:bCs/>
        </w:rPr>
      </w:pPr>
      <w:r w:rsidRPr="00065E24">
        <w:rPr>
          <w:rFonts w:asciiTheme="minorHAnsi" w:hAnsiTheme="minorHAnsi"/>
          <w:bCs/>
        </w:rPr>
        <w:t xml:space="preserve">Stacey, </w:t>
      </w:r>
      <w:r w:rsidR="00072398">
        <w:rPr>
          <w:rFonts w:asciiTheme="minorHAnsi" w:hAnsiTheme="minorHAnsi"/>
          <w:bCs/>
        </w:rPr>
        <w:t>C (2017) HotStuff V5 Addendum—</w:t>
      </w:r>
      <w:r w:rsidRPr="00065E24">
        <w:rPr>
          <w:rFonts w:asciiTheme="minorHAnsi" w:hAnsiTheme="minorHAnsi"/>
          <w:bCs/>
        </w:rPr>
        <w:t>Calculations within the Live Export Heat Stress Risk Assessment Method (W.LIV.0277). Prepared by Stacey Agnew Pty Ltd for MLA/LiveCorp.</w:t>
      </w:r>
    </w:p>
    <w:p w:rsidR="00351C32" w:rsidRPr="00065E24" w:rsidRDefault="00351C32" w:rsidP="00CD6489">
      <w:pPr>
        <w:pStyle w:val="Default"/>
        <w:spacing w:after="200"/>
        <w:ind w:left="992"/>
        <w:rPr>
          <w:rFonts w:asciiTheme="minorHAnsi" w:hAnsiTheme="minorHAnsi"/>
          <w:bCs/>
        </w:rPr>
      </w:pPr>
      <w:r w:rsidRPr="00065E24">
        <w:rPr>
          <w:rFonts w:asciiTheme="minorHAnsi" w:hAnsiTheme="minorHAnsi"/>
          <w:bCs/>
        </w:rPr>
        <w:t>Stacey, C (2011) HotStuff V4 Improvements to the Live Export Heat Stress Risk Assessment Method (W.LIV.0277). Prepared by Stacey Agnew Pty Ltd for MLA/LiveCorp.</w:t>
      </w:r>
    </w:p>
    <w:p w:rsidR="00351C32" w:rsidRPr="00CD6489" w:rsidRDefault="00977CAD" w:rsidP="001312A5">
      <w:pPr>
        <w:spacing w:after="120"/>
        <w:ind w:left="992"/>
        <w:rPr>
          <w:b/>
        </w:rPr>
      </w:pPr>
      <w:r w:rsidRPr="00CD6489">
        <w:rPr>
          <w:b/>
        </w:rPr>
        <w:t xml:space="preserve">6.1.3: </w:t>
      </w:r>
      <w:r w:rsidR="00351C32" w:rsidRPr="00CD6489">
        <w:rPr>
          <w:b/>
        </w:rPr>
        <w:t>Stocking Density</w:t>
      </w:r>
    </w:p>
    <w:p w:rsidR="00351C32" w:rsidRDefault="00351C32" w:rsidP="00351C32">
      <w:pPr>
        <w:pStyle w:val="Default"/>
        <w:spacing w:after="100"/>
        <w:ind w:left="992"/>
        <w:rPr>
          <w:rFonts w:asciiTheme="minorHAnsi" w:hAnsiTheme="minorHAnsi"/>
          <w:bCs/>
        </w:rPr>
      </w:pPr>
      <w:r w:rsidRPr="00A25025">
        <w:rPr>
          <w:rFonts w:asciiTheme="minorHAnsi" w:hAnsiTheme="minorHAnsi"/>
          <w:bCs/>
        </w:rPr>
        <w:t>Barnes, A, Stockman, C (2008) Assessing the welfare and feeding behaviour of horned and polled sheep and cattle during export (B.LIV.0242). Prepared by Murdoch University for MLA/LiveCorp.</w:t>
      </w:r>
    </w:p>
    <w:p w:rsidR="00351C32" w:rsidRDefault="00351C32" w:rsidP="00351C32">
      <w:pPr>
        <w:pStyle w:val="Default"/>
        <w:spacing w:after="100"/>
        <w:ind w:left="992"/>
        <w:rPr>
          <w:rFonts w:asciiTheme="minorHAnsi" w:hAnsiTheme="minorHAnsi"/>
          <w:bCs/>
        </w:rPr>
      </w:pPr>
      <w:r w:rsidRPr="00AB06AD">
        <w:rPr>
          <w:rFonts w:asciiTheme="minorHAnsi" w:hAnsiTheme="minorHAnsi"/>
          <w:bCs/>
        </w:rPr>
        <w:t>MAMIC/Maunsell Pty Ltd (2004) Investigation of Ventilation Efficacy on Live Sheep Vessels (LIVE.212). Prepared for MLA/Livecorp.</w:t>
      </w:r>
    </w:p>
    <w:p w:rsidR="00351C32" w:rsidRDefault="00351C32" w:rsidP="00351C32">
      <w:pPr>
        <w:pStyle w:val="Default"/>
        <w:spacing w:after="100"/>
        <w:ind w:left="992"/>
        <w:rPr>
          <w:rFonts w:asciiTheme="minorHAnsi" w:hAnsiTheme="minorHAnsi"/>
          <w:bCs/>
        </w:rPr>
      </w:pPr>
      <w:r w:rsidRPr="00AB06AD">
        <w:rPr>
          <w:rFonts w:asciiTheme="minorHAnsi" w:hAnsiTheme="minorHAnsi"/>
          <w:bCs/>
        </w:rPr>
        <w:t>McCarthy, MR, Banhazi, T (2016) Bedding management and air quality on livestock</w:t>
      </w:r>
      <w:r w:rsidR="00072398">
        <w:rPr>
          <w:rFonts w:asciiTheme="minorHAnsi" w:hAnsiTheme="minorHAnsi"/>
          <w:bCs/>
        </w:rPr>
        <w:t xml:space="preserve"> vessels—</w:t>
      </w:r>
      <w:r w:rsidRPr="00AB06AD">
        <w:rPr>
          <w:rFonts w:asciiTheme="minorHAnsi" w:hAnsiTheme="minorHAnsi"/>
          <w:bCs/>
        </w:rPr>
        <w:t>A literature review (W.LIV.0290). Prepared by Global Livestock Solutions Pty Ltd for MLA/LiveCorp.</w:t>
      </w:r>
    </w:p>
    <w:p w:rsidR="00351C32" w:rsidRDefault="00351C32" w:rsidP="00351C32">
      <w:pPr>
        <w:pStyle w:val="Default"/>
        <w:spacing w:after="100"/>
        <w:ind w:left="992"/>
        <w:rPr>
          <w:rFonts w:asciiTheme="minorHAnsi" w:hAnsiTheme="minorHAnsi"/>
          <w:bCs/>
        </w:rPr>
      </w:pPr>
      <w:r>
        <w:rPr>
          <w:rFonts w:asciiTheme="minorHAnsi" w:hAnsiTheme="minorHAnsi"/>
          <w:bCs/>
        </w:rPr>
        <w:t xml:space="preserve">Sherwin, C and Johnson K.G. (1986) The influence of social factors on the use of shade by sheep. Journal of Applied Animal Behavioural Science 18 </w:t>
      </w:r>
      <w:r w:rsidR="00072398">
        <w:rPr>
          <w:rFonts w:asciiTheme="minorHAnsi" w:hAnsiTheme="minorHAnsi"/>
          <w:bCs/>
        </w:rPr>
        <w:t>143–</w:t>
      </w:r>
      <w:r>
        <w:rPr>
          <w:rFonts w:asciiTheme="minorHAnsi" w:hAnsiTheme="minorHAnsi"/>
          <w:bCs/>
        </w:rPr>
        <w:t>155.</w:t>
      </w:r>
    </w:p>
    <w:p w:rsidR="00351C32" w:rsidRPr="00196AB7" w:rsidRDefault="00351C32" w:rsidP="00CD6489">
      <w:pPr>
        <w:pStyle w:val="Default"/>
        <w:spacing w:after="200"/>
        <w:ind w:left="992"/>
        <w:rPr>
          <w:rFonts w:asciiTheme="minorHAnsi" w:hAnsiTheme="minorHAnsi"/>
          <w:bCs/>
        </w:rPr>
      </w:pPr>
      <w:r w:rsidRPr="00065E24">
        <w:rPr>
          <w:rFonts w:asciiTheme="minorHAnsi" w:hAnsiTheme="minorHAnsi"/>
          <w:bCs/>
        </w:rPr>
        <w:t>Shiell, K, Perkins, N, Hewitt, L (2013)</w:t>
      </w:r>
      <w:r w:rsidR="00072398">
        <w:rPr>
          <w:rFonts w:asciiTheme="minorHAnsi" w:hAnsiTheme="minorHAnsi"/>
          <w:bCs/>
        </w:rPr>
        <w:t xml:space="preserve"> Review of ASEL Scoping Study—</w:t>
      </w:r>
      <w:r w:rsidRPr="00065E24">
        <w:rPr>
          <w:rFonts w:asciiTheme="minorHAnsi" w:hAnsiTheme="minorHAnsi"/>
          <w:bCs/>
        </w:rPr>
        <w:t>Export of sheep from southern ports to the Middle East in winter months (W.LIV.0284). MLA/LiveCorp.</w:t>
      </w:r>
    </w:p>
    <w:p w:rsidR="00351C32" w:rsidRPr="00CD6489" w:rsidRDefault="00977CAD" w:rsidP="001312A5">
      <w:pPr>
        <w:spacing w:after="120"/>
        <w:ind w:left="992"/>
        <w:rPr>
          <w:b/>
        </w:rPr>
      </w:pPr>
      <w:r w:rsidRPr="00CD6489">
        <w:rPr>
          <w:b/>
        </w:rPr>
        <w:t xml:space="preserve">6.1.4: </w:t>
      </w:r>
      <w:r w:rsidR="00351C32" w:rsidRPr="00CD6489">
        <w:rPr>
          <w:b/>
        </w:rPr>
        <w:t>Bedding (Pad) Management</w:t>
      </w:r>
    </w:p>
    <w:p w:rsidR="00351C32" w:rsidRDefault="00351C32" w:rsidP="00CD6489">
      <w:pPr>
        <w:pStyle w:val="Default"/>
        <w:spacing w:after="200"/>
        <w:ind w:left="992"/>
        <w:rPr>
          <w:rFonts w:asciiTheme="minorHAnsi" w:hAnsiTheme="minorHAnsi"/>
          <w:bCs/>
        </w:rPr>
      </w:pPr>
      <w:r w:rsidRPr="00A25025">
        <w:rPr>
          <w:rFonts w:asciiTheme="minorHAnsi" w:hAnsiTheme="minorHAnsi"/>
          <w:bCs/>
        </w:rPr>
        <w:t>Banney, S, Henderson, A, Caston, K (2009) Management of Bedding during the Livestock Export Process. MLA Final Report, SYDNEY, NSW, Australia.</w:t>
      </w:r>
    </w:p>
    <w:p w:rsidR="00351C32" w:rsidRPr="00CD6489" w:rsidRDefault="00977CAD" w:rsidP="001312A5">
      <w:pPr>
        <w:spacing w:after="120"/>
        <w:ind w:left="992"/>
        <w:rPr>
          <w:b/>
        </w:rPr>
      </w:pPr>
      <w:r w:rsidRPr="00CD6489">
        <w:rPr>
          <w:b/>
        </w:rPr>
        <w:t xml:space="preserve">6.1.5: </w:t>
      </w:r>
      <w:r w:rsidR="00351C32" w:rsidRPr="00CD6489">
        <w:rPr>
          <w:b/>
        </w:rPr>
        <w:t>The role of the AAV and the observer</w:t>
      </w:r>
    </w:p>
    <w:p w:rsidR="00351C32" w:rsidRDefault="00351C32" w:rsidP="00351C32">
      <w:pPr>
        <w:pStyle w:val="Default"/>
        <w:spacing w:after="100"/>
        <w:ind w:left="992"/>
        <w:rPr>
          <w:rFonts w:asciiTheme="minorHAnsi" w:hAnsiTheme="minorHAnsi"/>
          <w:bCs/>
        </w:rPr>
      </w:pPr>
      <w:r w:rsidRPr="001F0D6A">
        <w:rPr>
          <w:rFonts w:asciiTheme="minorHAnsi" w:hAnsiTheme="minorHAnsi"/>
          <w:bCs/>
        </w:rPr>
        <w:t>Barnes, A, Beatty, D, Stockman, C, Miller</w:t>
      </w:r>
      <w:r w:rsidR="00072398">
        <w:rPr>
          <w:rFonts w:asciiTheme="minorHAnsi" w:hAnsiTheme="minorHAnsi"/>
          <w:bCs/>
        </w:rPr>
        <w:t>, D (2008) Inanition of Sheep—</w:t>
      </w:r>
      <w:r w:rsidRPr="001F0D6A">
        <w:rPr>
          <w:rFonts w:asciiTheme="minorHAnsi" w:hAnsiTheme="minorHAnsi"/>
          <w:bCs/>
        </w:rPr>
        <w:t>Literature Review (LIVE.243). Prepared by Murdoch University for MLA/LiveCorp.</w:t>
      </w:r>
    </w:p>
    <w:p w:rsidR="00351C32" w:rsidRDefault="00351C32" w:rsidP="00351C32">
      <w:pPr>
        <w:pStyle w:val="Default"/>
        <w:spacing w:after="100"/>
        <w:ind w:left="992"/>
        <w:rPr>
          <w:rFonts w:asciiTheme="minorHAnsi" w:hAnsiTheme="minorHAnsi"/>
          <w:bCs/>
        </w:rPr>
      </w:pPr>
      <w:r w:rsidRPr="00CC549F">
        <w:rPr>
          <w:rFonts w:asciiTheme="minorHAnsi" w:hAnsiTheme="minorHAnsi"/>
          <w:bCs/>
        </w:rPr>
        <w:t>Makin, K, House, J, Perkins, N, Curran, G (2010) Investigating mortality in sheep and lambs exported through Adelaide and Portland (B.LIVE.0123). Prepared by the University of Sydney for MLA/LiveCorp.</w:t>
      </w:r>
    </w:p>
    <w:p w:rsidR="00351C32" w:rsidRPr="00196AB7" w:rsidRDefault="00351C32" w:rsidP="00CD6489">
      <w:pPr>
        <w:pStyle w:val="Default"/>
        <w:spacing w:after="200"/>
        <w:ind w:left="992"/>
        <w:rPr>
          <w:rFonts w:asciiTheme="minorHAnsi" w:hAnsiTheme="minorHAnsi"/>
          <w:bCs/>
        </w:rPr>
      </w:pPr>
      <w:r w:rsidRPr="001F0D6A">
        <w:rPr>
          <w:rFonts w:asciiTheme="minorHAnsi" w:hAnsiTheme="minorHAnsi"/>
          <w:bCs/>
        </w:rPr>
        <w:t>Norris, RT, Norman, GJ (2003) Mortality and morbidity risk factors for livestock during sea transport from Australia (LIVE.216). Prepared by the Department of Agriculture, Western Australia for MLA/LiveCorp.</w:t>
      </w:r>
    </w:p>
    <w:p w:rsidR="00351C32" w:rsidRPr="00CD6489" w:rsidRDefault="00977CAD" w:rsidP="001312A5">
      <w:pPr>
        <w:spacing w:after="120"/>
        <w:ind w:left="992"/>
        <w:rPr>
          <w:b/>
        </w:rPr>
      </w:pPr>
      <w:r w:rsidRPr="00CD6489">
        <w:rPr>
          <w:b/>
        </w:rPr>
        <w:t xml:space="preserve">6.1.6: </w:t>
      </w:r>
      <w:r w:rsidR="00351C32" w:rsidRPr="00CD6489">
        <w:rPr>
          <w:b/>
        </w:rPr>
        <w:t>Provision of Australian Stockmen</w:t>
      </w:r>
    </w:p>
    <w:p w:rsidR="00351C32" w:rsidRPr="00196AB7" w:rsidRDefault="00351C32" w:rsidP="00CD6489">
      <w:pPr>
        <w:pStyle w:val="Default"/>
        <w:spacing w:after="200"/>
        <w:ind w:left="992"/>
        <w:rPr>
          <w:rFonts w:asciiTheme="minorHAnsi" w:hAnsiTheme="minorHAnsi"/>
          <w:bCs/>
        </w:rPr>
      </w:pPr>
      <w:r w:rsidRPr="00065E24">
        <w:rPr>
          <w:rFonts w:asciiTheme="minorHAnsi" w:hAnsiTheme="minorHAnsi"/>
          <w:bCs/>
        </w:rPr>
        <w:t>Shiell, K, Perkins, N, Hewitt, L (2013) Rev</w:t>
      </w:r>
      <w:r w:rsidR="00072398">
        <w:rPr>
          <w:rFonts w:asciiTheme="minorHAnsi" w:hAnsiTheme="minorHAnsi"/>
          <w:bCs/>
        </w:rPr>
        <w:t>iew of ASEL Scoping Study—</w:t>
      </w:r>
      <w:r w:rsidRPr="00065E24">
        <w:rPr>
          <w:rFonts w:asciiTheme="minorHAnsi" w:hAnsiTheme="minorHAnsi"/>
          <w:bCs/>
        </w:rPr>
        <w:t>Export of sheep from southern ports to the Middle East in winter months (W.LIV.0284). MLA/LiveCorp.</w:t>
      </w:r>
    </w:p>
    <w:p w:rsidR="00351C32" w:rsidRPr="00CD6489" w:rsidRDefault="00977CAD" w:rsidP="001312A5">
      <w:pPr>
        <w:spacing w:after="120"/>
        <w:ind w:left="992"/>
        <w:rPr>
          <w:b/>
        </w:rPr>
      </w:pPr>
      <w:r w:rsidRPr="00CD6489">
        <w:rPr>
          <w:b/>
        </w:rPr>
        <w:t xml:space="preserve">6.1.7: </w:t>
      </w:r>
      <w:r w:rsidR="00351C32" w:rsidRPr="00CD6489">
        <w:rPr>
          <w:b/>
        </w:rPr>
        <w:t>Mortality management</w:t>
      </w:r>
    </w:p>
    <w:p w:rsidR="00351C32" w:rsidRPr="00AB06AD" w:rsidRDefault="00351C32" w:rsidP="00351C32">
      <w:pPr>
        <w:pStyle w:val="Default"/>
        <w:spacing w:after="100"/>
        <w:ind w:left="992"/>
        <w:rPr>
          <w:rFonts w:asciiTheme="minorHAnsi" w:hAnsiTheme="minorHAnsi"/>
          <w:bCs/>
        </w:rPr>
      </w:pPr>
      <w:r w:rsidRPr="00AB06AD">
        <w:rPr>
          <w:rFonts w:asciiTheme="minorHAnsi" w:hAnsiTheme="minorHAnsi"/>
          <w:bCs/>
        </w:rPr>
        <w:t>McCarthy, MR, Banhazi, T (2016) Bedding management and air</w:t>
      </w:r>
      <w:r w:rsidR="00072398">
        <w:rPr>
          <w:rFonts w:asciiTheme="minorHAnsi" w:hAnsiTheme="minorHAnsi"/>
          <w:bCs/>
        </w:rPr>
        <w:t xml:space="preserve"> quality on livestock vessels—</w:t>
      </w:r>
      <w:r w:rsidRPr="00AB06AD">
        <w:rPr>
          <w:rFonts w:asciiTheme="minorHAnsi" w:hAnsiTheme="minorHAnsi"/>
          <w:bCs/>
        </w:rPr>
        <w:t>A literature review (W.LIV.0290). Prepared by Global Livestock Solutions Pty Ltd for MLA/LiveCorp.</w:t>
      </w:r>
    </w:p>
    <w:p w:rsidR="00351C32" w:rsidRDefault="00351C32" w:rsidP="00CD6489">
      <w:pPr>
        <w:pStyle w:val="Default"/>
        <w:spacing w:after="200"/>
        <w:ind w:left="992"/>
        <w:rPr>
          <w:rFonts w:asciiTheme="minorHAnsi" w:hAnsiTheme="minorHAnsi"/>
          <w:bCs/>
        </w:rPr>
      </w:pPr>
      <w:r w:rsidRPr="001F0D6A">
        <w:rPr>
          <w:rFonts w:asciiTheme="minorHAnsi" w:hAnsiTheme="minorHAnsi"/>
          <w:bCs/>
        </w:rPr>
        <w:t>Norris, RT, Norman, GJ (2003) Mortality and morbidity risk factors for livestock during sea transport from Australia (LIVE.216). Prepared by the Department of Agriculture, Western Australia for MLA/LiveCorp.</w:t>
      </w:r>
    </w:p>
    <w:p w:rsidR="00351C32" w:rsidRPr="00CD6489" w:rsidRDefault="00977CAD" w:rsidP="001312A5">
      <w:pPr>
        <w:spacing w:after="120"/>
        <w:ind w:left="992"/>
        <w:rPr>
          <w:b/>
        </w:rPr>
      </w:pPr>
      <w:r w:rsidRPr="00CD6489">
        <w:rPr>
          <w:b/>
        </w:rPr>
        <w:t xml:space="preserve">6.1.9: </w:t>
      </w:r>
      <w:r w:rsidR="00351C32" w:rsidRPr="00CD6489">
        <w:rPr>
          <w:b/>
        </w:rPr>
        <w:t>Reporting</w:t>
      </w:r>
    </w:p>
    <w:p w:rsidR="00351C32" w:rsidRDefault="00351C32" w:rsidP="00CD6489">
      <w:pPr>
        <w:pStyle w:val="Default"/>
        <w:spacing w:after="200"/>
        <w:ind w:left="992"/>
        <w:rPr>
          <w:rFonts w:asciiTheme="minorHAnsi" w:hAnsiTheme="minorHAnsi"/>
          <w:bCs/>
        </w:rPr>
      </w:pPr>
      <w:r w:rsidRPr="00ED5DAA">
        <w:rPr>
          <w:rFonts w:asciiTheme="minorHAnsi" w:hAnsiTheme="minorHAnsi"/>
          <w:bCs/>
        </w:rPr>
        <w:t xml:space="preserve">Norman, GJ (2017) National livestock export industry sheep, cattle and goat transport performance report 2016 (W.LIV.0291). Prepared by: Department of Agriculture and Food, Western Australia for </w:t>
      </w:r>
      <w:r w:rsidR="00610E24">
        <w:rPr>
          <w:rFonts w:asciiTheme="minorHAnsi" w:hAnsiTheme="minorHAnsi"/>
          <w:bCs/>
        </w:rPr>
        <w:t>MLA</w:t>
      </w:r>
      <w:r w:rsidRPr="00ED5DAA">
        <w:rPr>
          <w:rFonts w:asciiTheme="minorHAnsi" w:hAnsiTheme="minorHAnsi"/>
          <w:bCs/>
        </w:rPr>
        <w:t xml:space="preserve"> (MLA/LiveCorp).</w:t>
      </w:r>
    </w:p>
    <w:p w:rsidR="00351C32" w:rsidRPr="00CD6489" w:rsidRDefault="00977CAD" w:rsidP="001312A5">
      <w:pPr>
        <w:spacing w:after="120"/>
        <w:ind w:left="992"/>
        <w:rPr>
          <w:b/>
        </w:rPr>
      </w:pPr>
      <w:r w:rsidRPr="00CD6489">
        <w:rPr>
          <w:b/>
        </w:rPr>
        <w:t xml:space="preserve">6.1.10: </w:t>
      </w:r>
      <w:r w:rsidR="00351C32" w:rsidRPr="00CD6489">
        <w:rPr>
          <w:b/>
        </w:rPr>
        <w:t>Panting score</w:t>
      </w:r>
    </w:p>
    <w:p w:rsidR="00351C32" w:rsidRDefault="00351C32" w:rsidP="00CD6489">
      <w:pPr>
        <w:pStyle w:val="Default"/>
        <w:spacing w:after="200"/>
        <w:ind w:left="992"/>
        <w:rPr>
          <w:rFonts w:asciiTheme="minorHAnsi" w:hAnsiTheme="minorHAnsi"/>
          <w:color w:val="auto"/>
        </w:rPr>
      </w:pPr>
      <w:r>
        <w:rPr>
          <w:rFonts w:asciiTheme="minorHAnsi" w:hAnsiTheme="minorHAnsi"/>
          <w:color w:val="auto"/>
        </w:rPr>
        <w:t xml:space="preserve">Stockman, CA, Barnes, AL, Maloney, E, Taylor, McCarthy, M, Pethick, D (2011) </w:t>
      </w:r>
      <w:r w:rsidRPr="008866B9">
        <w:rPr>
          <w:rFonts w:asciiTheme="minorHAnsi" w:hAnsiTheme="minorHAnsi"/>
          <w:color w:val="auto"/>
        </w:rPr>
        <w:t xml:space="preserve">Effect of prolonged exposure to continuous heat and humidity similar to long </w:t>
      </w:r>
      <w:r>
        <w:rPr>
          <w:rFonts w:asciiTheme="minorHAnsi" w:hAnsiTheme="minorHAnsi"/>
          <w:color w:val="auto"/>
        </w:rPr>
        <w:t>haul voyages in Merino wethers.</w:t>
      </w:r>
      <w:r w:rsidRPr="008866B9">
        <w:rPr>
          <w:rFonts w:asciiTheme="minorHAnsi" w:hAnsiTheme="minorHAnsi"/>
          <w:color w:val="auto"/>
        </w:rPr>
        <w:t xml:space="preserve"> </w:t>
      </w:r>
      <w:r w:rsidRPr="008866B9">
        <w:rPr>
          <w:rFonts w:asciiTheme="minorHAnsi" w:hAnsiTheme="minorHAnsi"/>
          <w:i/>
          <w:color w:val="auto"/>
        </w:rPr>
        <w:t>Animal Production Science</w:t>
      </w:r>
      <w:r w:rsidRPr="008866B9">
        <w:rPr>
          <w:rFonts w:asciiTheme="minorHAnsi" w:hAnsiTheme="minorHAnsi"/>
          <w:color w:val="auto"/>
        </w:rPr>
        <w:t xml:space="preserve"> </w:t>
      </w:r>
      <w:r w:rsidRPr="008866B9">
        <w:rPr>
          <w:rFonts w:asciiTheme="minorHAnsi" w:hAnsiTheme="minorHAnsi"/>
          <w:b/>
          <w:color w:val="auto"/>
        </w:rPr>
        <w:t>51</w:t>
      </w:r>
      <w:r>
        <w:rPr>
          <w:rFonts w:asciiTheme="minorHAnsi" w:hAnsiTheme="minorHAnsi"/>
          <w:color w:val="auto"/>
        </w:rPr>
        <w:t>,</w:t>
      </w:r>
      <w:r w:rsidRPr="008866B9">
        <w:rPr>
          <w:rFonts w:asciiTheme="minorHAnsi" w:hAnsiTheme="minorHAnsi"/>
          <w:color w:val="auto"/>
        </w:rPr>
        <w:t xml:space="preserve"> 135</w:t>
      </w:r>
      <w:r w:rsidR="00072398">
        <w:rPr>
          <w:rFonts w:asciiTheme="minorHAnsi" w:hAnsiTheme="minorHAnsi"/>
          <w:color w:val="auto"/>
        </w:rPr>
        <w:t>–</w:t>
      </w:r>
      <w:r w:rsidRPr="008866B9">
        <w:rPr>
          <w:rFonts w:asciiTheme="minorHAnsi" w:hAnsiTheme="minorHAnsi"/>
          <w:color w:val="auto"/>
        </w:rPr>
        <w:t>143.</w:t>
      </w:r>
    </w:p>
    <w:p w:rsidR="00351C32" w:rsidRPr="00CD6489" w:rsidRDefault="00977CAD" w:rsidP="001312A5">
      <w:pPr>
        <w:spacing w:after="120"/>
        <w:ind w:left="992"/>
        <w:rPr>
          <w:b/>
        </w:rPr>
      </w:pPr>
      <w:r w:rsidRPr="00CD6489">
        <w:rPr>
          <w:b/>
        </w:rPr>
        <w:t xml:space="preserve">6.1.11: </w:t>
      </w:r>
      <w:r w:rsidR="00351C32" w:rsidRPr="00CD6489">
        <w:rPr>
          <w:b/>
        </w:rPr>
        <w:t>Animal Welfare indicators</w:t>
      </w:r>
    </w:p>
    <w:p w:rsidR="00351C32" w:rsidRPr="00A25025" w:rsidRDefault="00351C32" w:rsidP="00AB3208">
      <w:pPr>
        <w:pStyle w:val="Default"/>
        <w:spacing w:after="100"/>
        <w:ind w:left="992"/>
        <w:rPr>
          <w:rFonts w:asciiTheme="minorHAnsi" w:hAnsiTheme="minorHAnsi"/>
          <w:bCs/>
        </w:rPr>
      </w:pPr>
      <w:r w:rsidRPr="00A25025">
        <w:rPr>
          <w:rFonts w:asciiTheme="minorHAnsi" w:hAnsiTheme="minorHAnsi"/>
          <w:bCs/>
        </w:rPr>
        <w:t xml:space="preserve">Colditz, IG, Ferguson, DM, Collins, T, Matthews, L, Hemsworth, PH (2014) A Prototype Tool to Enable Farmers to Measure and Improve the Welfare Performance of the Farm Animal Enterprise: The United Field Index. </w:t>
      </w:r>
      <w:r w:rsidRPr="00A25025">
        <w:rPr>
          <w:rFonts w:asciiTheme="minorHAnsi" w:hAnsiTheme="minorHAnsi"/>
          <w:bCs/>
          <w:i/>
        </w:rPr>
        <w:t xml:space="preserve">Animals </w:t>
      </w:r>
      <w:r w:rsidRPr="00A25025">
        <w:rPr>
          <w:rFonts w:asciiTheme="minorHAnsi" w:hAnsiTheme="minorHAnsi"/>
          <w:b/>
          <w:bCs/>
        </w:rPr>
        <w:t>4</w:t>
      </w:r>
      <w:r w:rsidR="00072398">
        <w:rPr>
          <w:rFonts w:asciiTheme="minorHAnsi" w:hAnsiTheme="minorHAnsi"/>
          <w:bCs/>
        </w:rPr>
        <w:t>, 446–</w:t>
      </w:r>
      <w:r w:rsidRPr="00A25025">
        <w:rPr>
          <w:rFonts w:asciiTheme="minorHAnsi" w:hAnsiTheme="minorHAnsi"/>
          <w:bCs/>
        </w:rPr>
        <w:t>462.</w:t>
      </w:r>
    </w:p>
    <w:p w:rsidR="00351C32" w:rsidRPr="004B1D8B" w:rsidRDefault="00351C32" w:rsidP="00AB3208">
      <w:pPr>
        <w:pStyle w:val="Default"/>
        <w:spacing w:before="100" w:after="100"/>
        <w:ind w:left="992"/>
        <w:rPr>
          <w:rFonts w:asciiTheme="minorHAnsi" w:hAnsiTheme="minorHAnsi"/>
          <w:color w:val="auto"/>
        </w:rPr>
      </w:pPr>
      <w:r>
        <w:rPr>
          <w:rFonts w:asciiTheme="minorHAnsi" w:hAnsiTheme="minorHAnsi"/>
          <w:color w:val="auto"/>
        </w:rPr>
        <w:t xml:space="preserve">Fleming, T, Clarke, T, Wickham, S, Stockman, C, Collins, T, Miller, D, Barnes, A (2015) Animal Behaviour as a measure of animal welfare. </w:t>
      </w:r>
      <w:r>
        <w:rPr>
          <w:rFonts w:asciiTheme="minorHAnsi" w:hAnsiTheme="minorHAnsi"/>
          <w:i/>
          <w:color w:val="auto"/>
        </w:rPr>
        <w:t xml:space="preserve">2015 Research Findings in the School of Veterinary &amp; Life Sciences </w:t>
      </w:r>
      <w:r w:rsidRPr="004B1D8B">
        <w:rPr>
          <w:rFonts w:asciiTheme="minorHAnsi" w:hAnsiTheme="minorHAnsi"/>
          <w:b/>
          <w:color w:val="auto"/>
        </w:rPr>
        <w:t>2.01</w:t>
      </w:r>
      <w:r w:rsidR="00072398">
        <w:rPr>
          <w:rFonts w:asciiTheme="minorHAnsi" w:hAnsiTheme="minorHAnsi"/>
          <w:color w:val="auto"/>
        </w:rPr>
        <w:t>, 1–</w:t>
      </w:r>
      <w:r>
        <w:rPr>
          <w:rFonts w:asciiTheme="minorHAnsi" w:hAnsiTheme="minorHAnsi"/>
          <w:color w:val="auto"/>
        </w:rPr>
        <w:t>2.</w:t>
      </w:r>
    </w:p>
    <w:p w:rsidR="00351C32" w:rsidRDefault="00351C32" w:rsidP="00AB3208">
      <w:pPr>
        <w:pStyle w:val="Default"/>
        <w:spacing w:after="100"/>
        <w:ind w:left="992"/>
        <w:rPr>
          <w:rFonts w:asciiTheme="minorHAnsi" w:hAnsiTheme="minorHAnsi"/>
          <w:bCs/>
        </w:rPr>
      </w:pPr>
      <w:r w:rsidRPr="00ED5DAA">
        <w:rPr>
          <w:rFonts w:asciiTheme="minorHAnsi" w:hAnsiTheme="minorHAnsi"/>
          <w:bCs/>
        </w:rPr>
        <w:t xml:space="preserve">Phillips, CJC, Pines, MK, Latter, M, Muller, T, Petherick, JC, Norman, ST, Gaughan, JB (2012) Physiological and behavioral responses of sheep to gaseous ammonia. </w:t>
      </w:r>
      <w:r w:rsidRPr="00ED5DAA">
        <w:rPr>
          <w:rFonts w:asciiTheme="minorHAnsi" w:hAnsiTheme="minorHAnsi"/>
          <w:bCs/>
          <w:i/>
          <w:iCs/>
        </w:rPr>
        <w:t xml:space="preserve">Journal of Animal Science </w:t>
      </w:r>
      <w:r w:rsidRPr="00ED5DAA">
        <w:rPr>
          <w:rFonts w:asciiTheme="minorHAnsi" w:hAnsiTheme="minorHAnsi"/>
          <w:b/>
          <w:bCs/>
        </w:rPr>
        <w:t>90</w:t>
      </w:r>
      <w:r w:rsidRPr="00ED5DAA">
        <w:rPr>
          <w:rFonts w:asciiTheme="minorHAnsi" w:hAnsiTheme="minorHAnsi"/>
          <w:bCs/>
        </w:rPr>
        <w:t>, 1562</w:t>
      </w:r>
      <w:r w:rsidR="00072398">
        <w:rPr>
          <w:rFonts w:asciiTheme="minorHAnsi" w:hAnsiTheme="minorHAnsi"/>
          <w:bCs/>
        </w:rPr>
        <w:t>–</w:t>
      </w:r>
      <w:r w:rsidRPr="00ED5DAA">
        <w:rPr>
          <w:rFonts w:asciiTheme="minorHAnsi" w:hAnsiTheme="minorHAnsi"/>
          <w:bCs/>
        </w:rPr>
        <w:t>1569.</w:t>
      </w:r>
    </w:p>
    <w:p w:rsidR="00351C32" w:rsidRDefault="00351C32" w:rsidP="00AB3208">
      <w:pPr>
        <w:pStyle w:val="Default"/>
        <w:spacing w:after="100"/>
        <w:ind w:left="992"/>
        <w:rPr>
          <w:rFonts w:asciiTheme="minorHAnsi" w:hAnsiTheme="minorHAnsi"/>
          <w:bCs/>
        </w:rPr>
      </w:pPr>
      <w:r w:rsidRPr="00ED5DAA">
        <w:rPr>
          <w:rFonts w:asciiTheme="minorHAnsi" w:hAnsiTheme="minorHAnsi"/>
          <w:bCs/>
        </w:rPr>
        <w:t xml:space="preserve">Phillips, CJC, Santurtun, E (2013) The welfare of livestock transported by ship. </w:t>
      </w:r>
      <w:r w:rsidRPr="00ED5DAA">
        <w:rPr>
          <w:rFonts w:asciiTheme="minorHAnsi" w:hAnsiTheme="minorHAnsi"/>
          <w:bCs/>
          <w:i/>
        </w:rPr>
        <w:t xml:space="preserve">The Veterinary Journal </w:t>
      </w:r>
      <w:r w:rsidRPr="00ED5DAA">
        <w:rPr>
          <w:rFonts w:asciiTheme="minorHAnsi" w:hAnsiTheme="minorHAnsi"/>
          <w:b/>
          <w:bCs/>
        </w:rPr>
        <w:t>196</w:t>
      </w:r>
      <w:r w:rsidR="00072398">
        <w:rPr>
          <w:rFonts w:asciiTheme="minorHAnsi" w:hAnsiTheme="minorHAnsi"/>
          <w:bCs/>
        </w:rPr>
        <w:t>, 309–</w:t>
      </w:r>
      <w:r w:rsidRPr="00ED5DAA">
        <w:rPr>
          <w:rFonts w:asciiTheme="minorHAnsi" w:hAnsiTheme="minorHAnsi"/>
          <w:bCs/>
        </w:rPr>
        <w:t>314.</w:t>
      </w:r>
    </w:p>
    <w:p w:rsidR="00351C32" w:rsidRDefault="00351C32" w:rsidP="00AB3208">
      <w:pPr>
        <w:pStyle w:val="Default"/>
        <w:spacing w:after="100"/>
        <w:ind w:left="992"/>
        <w:rPr>
          <w:rFonts w:asciiTheme="minorHAnsi" w:hAnsiTheme="minorHAnsi"/>
          <w:bCs/>
        </w:rPr>
      </w:pPr>
      <w:r w:rsidRPr="00ED5DAA">
        <w:rPr>
          <w:rFonts w:asciiTheme="minorHAnsi" w:hAnsiTheme="minorHAnsi"/>
          <w:bCs/>
        </w:rPr>
        <w:t xml:space="preserve">Pines, M, Petherick, C, Gaughan, J, Phillips, C (2005) Developing alternative methods of measuring animal welfare on ships (LIVE.222). Prepared by the Centre for Animal Welfare and Ethics and The University of Queensland for </w:t>
      </w:r>
      <w:r w:rsidR="00610E24">
        <w:rPr>
          <w:rFonts w:asciiTheme="minorHAnsi" w:hAnsiTheme="minorHAnsi"/>
          <w:bCs/>
        </w:rPr>
        <w:t xml:space="preserve">MLA </w:t>
      </w:r>
      <w:r w:rsidRPr="00ED5DAA">
        <w:rPr>
          <w:rFonts w:asciiTheme="minorHAnsi" w:hAnsiTheme="minorHAnsi"/>
          <w:bCs/>
        </w:rPr>
        <w:t>(MLA/Livecorp).</w:t>
      </w:r>
    </w:p>
    <w:p w:rsidR="00351C32" w:rsidRDefault="00351C32" w:rsidP="00CD6489">
      <w:pPr>
        <w:pStyle w:val="Default"/>
        <w:spacing w:after="200"/>
        <w:ind w:left="992"/>
        <w:rPr>
          <w:rFonts w:asciiTheme="minorHAnsi" w:hAnsiTheme="minorHAnsi"/>
          <w:bCs/>
        </w:rPr>
      </w:pPr>
      <w:r>
        <w:rPr>
          <w:rFonts w:asciiTheme="minorHAnsi" w:hAnsiTheme="minorHAnsi"/>
          <w:bCs/>
        </w:rPr>
        <w:t>Wickham, S, Fleming T, Collins, T (2017) W.LIV.3032 Development and assessment of livestock welfare indicators. Prepared for MLA/Livecorp by Murdoch University.</w:t>
      </w:r>
    </w:p>
    <w:p w:rsidR="00351C32" w:rsidRPr="00CD6489" w:rsidRDefault="00977CAD" w:rsidP="001312A5">
      <w:pPr>
        <w:spacing w:after="120"/>
        <w:ind w:left="992"/>
        <w:rPr>
          <w:b/>
        </w:rPr>
      </w:pPr>
      <w:r w:rsidRPr="00CD6489">
        <w:rPr>
          <w:b/>
        </w:rPr>
        <w:t xml:space="preserve">6.1.12: </w:t>
      </w:r>
      <w:r w:rsidR="00351C32" w:rsidRPr="00CD6489">
        <w:rPr>
          <w:b/>
        </w:rPr>
        <w:t>Wool length</w:t>
      </w:r>
    </w:p>
    <w:p w:rsidR="00351C32" w:rsidRDefault="00351C32" w:rsidP="00CD6489">
      <w:pPr>
        <w:pStyle w:val="Default"/>
        <w:spacing w:after="200"/>
        <w:ind w:left="992"/>
        <w:rPr>
          <w:rFonts w:asciiTheme="minorHAnsi" w:hAnsiTheme="minorHAnsi"/>
          <w:bCs/>
        </w:rPr>
      </w:pPr>
      <w:r w:rsidRPr="00F00B06">
        <w:rPr>
          <w:rFonts w:asciiTheme="minorHAnsi" w:hAnsiTheme="minorHAnsi"/>
          <w:bCs/>
        </w:rPr>
        <w:t xml:space="preserve">MAMIC Pty Ltd (2000) Investigation of Ventilation </w:t>
      </w:r>
      <w:r w:rsidR="00072398">
        <w:rPr>
          <w:rFonts w:asciiTheme="minorHAnsi" w:hAnsiTheme="minorHAnsi"/>
          <w:bCs/>
        </w:rPr>
        <w:t>Efficacy on Livestock Vessels—</w:t>
      </w:r>
      <w:r w:rsidRPr="00F00B06">
        <w:rPr>
          <w:rFonts w:asciiTheme="minorHAnsi" w:hAnsiTheme="minorHAnsi"/>
          <w:bCs/>
        </w:rPr>
        <w:t xml:space="preserve">Literature Review (SBMR.002A). Prepared for MLA/Livecorp. </w:t>
      </w:r>
    </w:p>
    <w:p w:rsidR="00351C32" w:rsidRPr="00CD6489" w:rsidRDefault="00977CAD" w:rsidP="001312A5">
      <w:pPr>
        <w:spacing w:after="120"/>
        <w:ind w:left="992"/>
        <w:rPr>
          <w:b/>
        </w:rPr>
      </w:pPr>
      <w:r w:rsidRPr="00CD6489">
        <w:rPr>
          <w:b/>
        </w:rPr>
        <w:t xml:space="preserve">6.1.15: </w:t>
      </w:r>
      <w:r w:rsidR="00351C32" w:rsidRPr="00CD6489">
        <w:rPr>
          <w:b/>
        </w:rPr>
        <w:t>Heat stress management (morbidity) and contingency planning</w:t>
      </w:r>
    </w:p>
    <w:p w:rsidR="00351C32" w:rsidRDefault="00351C32" w:rsidP="00AB3208">
      <w:pPr>
        <w:pStyle w:val="Default"/>
        <w:spacing w:after="100"/>
        <w:ind w:left="992"/>
        <w:rPr>
          <w:rFonts w:asciiTheme="minorHAnsi" w:hAnsiTheme="minorHAnsi"/>
          <w:bCs/>
        </w:rPr>
      </w:pPr>
      <w:r w:rsidRPr="00A25025">
        <w:rPr>
          <w:rFonts w:asciiTheme="minorHAnsi" w:hAnsiTheme="minorHAnsi"/>
          <w:bCs/>
        </w:rPr>
        <w:t xml:space="preserve">Caulfield, MP, Cambridge, H, Foster, SF, McGreevy PD (2013) Heat stress: A major contributor to poor animal welfare associated with long-haul live export voyages. </w:t>
      </w:r>
      <w:r w:rsidRPr="00A25025">
        <w:rPr>
          <w:rFonts w:asciiTheme="minorHAnsi" w:hAnsiTheme="minorHAnsi"/>
          <w:bCs/>
          <w:i/>
        </w:rPr>
        <w:t xml:space="preserve">The Veterinary Journal </w:t>
      </w:r>
      <w:r w:rsidRPr="00A25025">
        <w:rPr>
          <w:rFonts w:asciiTheme="minorHAnsi" w:hAnsiTheme="minorHAnsi"/>
          <w:b/>
          <w:bCs/>
        </w:rPr>
        <w:t>199</w:t>
      </w:r>
      <w:r w:rsidR="00072398">
        <w:rPr>
          <w:rFonts w:asciiTheme="minorHAnsi" w:hAnsiTheme="minorHAnsi"/>
          <w:bCs/>
        </w:rPr>
        <w:t>, 223–</w:t>
      </w:r>
      <w:r w:rsidRPr="00A25025">
        <w:rPr>
          <w:rFonts w:asciiTheme="minorHAnsi" w:hAnsiTheme="minorHAnsi"/>
          <w:bCs/>
        </w:rPr>
        <w:t>228.</w:t>
      </w:r>
    </w:p>
    <w:p w:rsidR="00351C32" w:rsidRDefault="00351C32" w:rsidP="00AB3208">
      <w:pPr>
        <w:pStyle w:val="Default"/>
        <w:spacing w:after="100"/>
        <w:ind w:left="992"/>
        <w:rPr>
          <w:rFonts w:asciiTheme="minorHAnsi" w:hAnsiTheme="minorHAnsi"/>
          <w:bCs/>
        </w:rPr>
      </w:pPr>
      <w:r w:rsidRPr="00F00B06">
        <w:rPr>
          <w:rFonts w:asciiTheme="minorHAnsi" w:hAnsiTheme="minorHAnsi"/>
          <w:bCs/>
        </w:rPr>
        <w:t>Eustace, C, Corry, S (2009) Revision of the heat stress risk assessment methodology to properly incorporate risk of heat stress while at port (B.LIV.0249). Prepared by AECOM Australia Pty Ltd for MLA/LiveCorp.</w:t>
      </w:r>
    </w:p>
    <w:p w:rsidR="00351C32" w:rsidRDefault="00351C32" w:rsidP="00AB3208">
      <w:pPr>
        <w:pStyle w:val="Default"/>
        <w:spacing w:after="100"/>
        <w:ind w:left="992"/>
        <w:rPr>
          <w:rFonts w:asciiTheme="minorHAnsi" w:hAnsiTheme="minorHAnsi"/>
          <w:bCs/>
        </w:rPr>
      </w:pPr>
      <w:r w:rsidRPr="00F00B06">
        <w:rPr>
          <w:rFonts w:asciiTheme="minorHAnsi" w:hAnsiTheme="minorHAnsi"/>
          <w:bCs/>
        </w:rPr>
        <w:t>Ferguson, D, Fisher, A, White, B, Casey, R, Mayer, B (2008) Review of the Livestock Export Heat Stress Risk Assessment Model (HotStuff) (W.LIV.0262-0265). Prepared by CSIRO for MLA/LiveCorp.</w:t>
      </w:r>
    </w:p>
    <w:p w:rsidR="00351C32" w:rsidRDefault="00351C32" w:rsidP="00AB3208">
      <w:pPr>
        <w:pStyle w:val="Default"/>
        <w:spacing w:after="100"/>
        <w:ind w:left="992"/>
        <w:rPr>
          <w:rFonts w:asciiTheme="minorHAnsi" w:hAnsiTheme="minorHAnsi"/>
          <w:bCs/>
        </w:rPr>
      </w:pPr>
      <w:r w:rsidRPr="00F00B06">
        <w:rPr>
          <w:rFonts w:asciiTheme="minorHAnsi" w:hAnsiTheme="minorHAnsi"/>
          <w:bCs/>
        </w:rPr>
        <w:t>MAMIC, PL (2002) Practical Ventilation Measures for Livestock Vessels. MLA and Livecorp No. ISBN: 1 74036 118 0, Sydney, NSW, Australia.</w:t>
      </w:r>
    </w:p>
    <w:p w:rsidR="00351C32" w:rsidRDefault="00351C32" w:rsidP="00AB3208">
      <w:pPr>
        <w:pStyle w:val="Default"/>
        <w:spacing w:after="100"/>
        <w:ind w:left="992"/>
        <w:rPr>
          <w:rFonts w:asciiTheme="minorHAnsi" w:hAnsiTheme="minorHAnsi"/>
          <w:bCs/>
        </w:rPr>
      </w:pPr>
      <w:r w:rsidRPr="00F00B06">
        <w:rPr>
          <w:rFonts w:asciiTheme="minorHAnsi" w:hAnsiTheme="minorHAnsi"/>
          <w:bCs/>
        </w:rPr>
        <w:t>MAMIC/Maunsell Pty Ltd (2004) Investigation of Ventilation Efficacy on Live Sheep Vessels (LIVE.212). Prepared for MLA/Livecorp.</w:t>
      </w:r>
    </w:p>
    <w:p w:rsidR="00351C32" w:rsidRDefault="00072398" w:rsidP="00AB3208">
      <w:pPr>
        <w:pStyle w:val="Default"/>
        <w:spacing w:after="100"/>
        <w:ind w:left="992"/>
        <w:rPr>
          <w:rFonts w:asciiTheme="minorHAnsi" w:hAnsiTheme="minorHAnsi"/>
          <w:bCs/>
        </w:rPr>
      </w:pPr>
      <w:r>
        <w:rPr>
          <w:rFonts w:asciiTheme="minorHAnsi" w:hAnsiTheme="minorHAnsi"/>
          <w:bCs/>
        </w:rPr>
        <w:t>Stacey, C (2017) HotStuff V5—</w:t>
      </w:r>
      <w:r w:rsidR="00351C32" w:rsidRPr="00065E24">
        <w:rPr>
          <w:rFonts w:asciiTheme="minorHAnsi" w:hAnsiTheme="minorHAnsi"/>
          <w:bCs/>
        </w:rPr>
        <w:t>Improvements to the Live Export Heat Stress Risk Assessment Method (W.LIV.0277). Prepared by Stacey Agnew Pty Ltd for MLA/LiveCorp.</w:t>
      </w:r>
    </w:p>
    <w:p w:rsidR="00351C32" w:rsidRPr="00065E24" w:rsidRDefault="00351C32" w:rsidP="00AB3208">
      <w:pPr>
        <w:pStyle w:val="Default"/>
        <w:spacing w:after="100"/>
        <w:ind w:left="992"/>
        <w:rPr>
          <w:rFonts w:asciiTheme="minorHAnsi" w:hAnsiTheme="minorHAnsi"/>
          <w:bCs/>
        </w:rPr>
      </w:pPr>
      <w:r w:rsidRPr="00065E24">
        <w:rPr>
          <w:rFonts w:asciiTheme="minorHAnsi" w:hAnsiTheme="minorHAnsi"/>
          <w:bCs/>
        </w:rPr>
        <w:t xml:space="preserve">Stacey, </w:t>
      </w:r>
      <w:r w:rsidR="007E108C">
        <w:rPr>
          <w:rFonts w:asciiTheme="minorHAnsi" w:hAnsiTheme="minorHAnsi"/>
          <w:bCs/>
        </w:rPr>
        <w:t>C (2017) HotStuff V5 Addendum—</w:t>
      </w:r>
      <w:r w:rsidRPr="00065E24">
        <w:rPr>
          <w:rFonts w:asciiTheme="minorHAnsi" w:hAnsiTheme="minorHAnsi"/>
          <w:bCs/>
        </w:rPr>
        <w:t>Calculations within the Live Export Heat Stress Risk Assessment Method (W.LIV.0277). Prepared by Stacey Agnew Pty Ltd for MLA/LiveCorp.</w:t>
      </w:r>
    </w:p>
    <w:p w:rsidR="00351C32" w:rsidRDefault="00351C32" w:rsidP="00CD6489">
      <w:pPr>
        <w:pStyle w:val="Default"/>
        <w:spacing w:after="200"/>
        <w:ind w:left="992"/>
        <w:rPr>
          <w:rFonts w:asciiTheme="minorHAnsi" w:hAnsiTheme="minorHAnsi"/>
          <w:b/>
          <w:bCs/>
        </w:rPr>
      </w:pPr>
      <w:r w:rsidRPr="00065E24">
        <w:rPr>
          <w:rFonts w:asciiTheme="minorHAnsi" w:hAnsiTheme="minorHAnsi"/>
          <w:bCs/>
        </w:rPr>
        <w:t>Stacey, C (2011) HotStuff V4 Improvements to the Live Export Heat Stress Risk Assessment Method (W.LIV.0277). Prepared by Stacey Agnew Pty Ltd for MLA/LiveCorp.</w:t>
      </w:r>
    </w:p>
    <w:p w:rsidR="00351C32" w:rsidRPr="00CD6489" w:rsidRDefault="00977CAD" w:rsidP="001312A5">
      <w:pPr>
        <w:spacing w:after="120"/>
        <w:ind w:left="992"/>
        <w:rPr>
          <w:b/>
        </w:rPr>
      </w:pPr>
      <w:r w:rsidRPr="00CD6489">
        <w:rPr>
          <w:b/>
        </w:rPr>
        <w:t xml:space="preserve">6.1.17: </w:t>
      </w:r>
      <w:r w:rsidR="00351C32" w:rsidRPr="00CD6489">
        <w:rPr>
          <w:b/>
        </w:rPr>
        <w:t>The effect of winter challenges in Australia and property of origin</w:t>
      </w:r>
    </w:p>
    <w:p w:rsidR="00351C32" w:rsidRDefault="00351C32" w:rsidP="00AB3208">
      <w:pPr>
        <w:pStyle w:val="Default"/>
        <w:spacing w:after="100"/>
        <w:ind w:left="992"/>
        <w:rPr>
          <w:rFonts w:asciiTheme="minorHAnsi" w:hAnsiTheme="minorHAnsi"/>
          <w:bCs/>
        </w:rPr>
      </w:pPr>
      <w:r w:rsidRPr="001F0D6A">
        <w:rPr>
          <w:rFonts w:asciiTheme="minorHAnsi" w:hAnsiTheme="minorHAnsi"/>
          <w:bCs/>
        </w:rPr>
        <w:t>Barnes, A, Beatty, D, Stockman, C, Miller</w:t>
      </w:r>
      <w:r w:rsidR="00046F0C">
        <w:rPr>
          <w:rFonts w:asciiTheme="minorHAnsi" w:hAnsiTheme="minorHAnsi"/>
          <w:bCs/>
        </w:rPr>
        <w:t>, D (2008) Inanition of Sheep—</w:t>
      </w:r>
      <w:r w:rsidRPr="001F0D6A">
        <w:rPr>
          <w:rFonts w:asciiTheme="minorHAnsi" w:hAnsiTheme="minorHAnsi"/>
          <w:bCs/>
        </w:rPr>
        <w:t>Literature Review (LIVE.243). Prepared by Murdoch University for MLA/LiveCorp.</w:t>
      </w:r>
    </w:p>
    <w:p w:rsidR="00351C32" w:rsidRDefault="00351C32" w:rsidP="00AB3208">
      <w:pPr>
        <w:pStyle w:val="Default"/>
        <w:spacing w:after="100"/>
        <w:ind w:left="992"/>
        <w:rPr>
          <w:rFonts w:asciiTheme="minorHAnsi" w:hAnsiTheme="minorHAnsi"/>
          <w:bCs/>
        </w:rPr>
      </w:pPr>
      <w:r w:rsidRPr="001F0D6A">
        <w:rPr>
          <w:rFonts w:asciiTheme="minorHAnsi" w:hAnsiTheme="minorHAnsi"/>
          <w:bCs/>
        </w:rPr>
        <w:t>Norris, RT, Norman, GJ (2003) Mortality and morbidity risk factors for livestock during sea transport from Australia (LIVE.216). Prepared by the Department of Agriculture, Western Australia for MLA/LiveCorp.</w:t>
      </w:r>
    </w:p>
    <w:p w:rsidR="00351C32" w:rsidRPr="00196AB7" w:rsidRDefault="00351C32" w:rsidP="00CD6489">
      <w:pPr>
        <w:pStyle w:val="Default"/>
        <w:spacing w:after="200"/>
        <w:ind w:left="992"/>
        <w:rPr>
          <w:rFonts w:asciiTheme="minorHAnsi" w:hAnsiTheme="minorHAnsi"/>
          <w:bCs/>
        </w:rPr>
      </w:pPr>
      <w:r w:rsidRPr="00065E24">
        <w:rPr>
          <w:rFonts w:asciiTheme="minorHAnsi" w:hAnsiTheme="minorHAnsi"/>
          <w:bCs/>
        </w:rPr>
        <w:t>Shiell, K, Perkins, N, Hewitt, L (2013)</w:t>
      </w:r>
      <w:r w:rsidR="00046F0C">
        <w:rPr>
          <w:rFonts w:asciiTheme="minorHAnsi" w:hAnsiTheme="minorHAnsi"/>
          <w:bCs/>
        </w:rPr>
        <w:t xml:space="preserve"> Review of ASEL Scoping Study—</w:t>
      </w:r>
      <w:r w:rsidRPr="00065E24">
        <w:rPr>
          <w:rFonts w:asciiTheme="minorHAnsi" w:hAnsiTheme="minorHAnsi"/>
          <w:bCs/>
        </w:rPr>
        <w:t>Export of sheep from southern ports to the Middle East in winter months (W.LIV.0284). MLA/LiveCorp.</w:t>
      </w:r>
    </w:p>
    <w:p w:rsidR="001312A5" w:rsidRDefault="001312A5">
      <w:pPr>
        <w:autoSpaceDE/>
        <w:autoSpaceDN/>
        <w:adjustRightInd/>
        <w:spacing w:after="0"/>
        <w:ind w:left="0"/>
        <w:jc w:val="left"/>
        <w:rPr>
          <w:b/>
        </w:rPr>
      </w:pPr>
      <w:r>
        <w:rPr>
          <w:b/>
        </w:rPr>
        <w:br w:type="page"/>
      </w:r>
    </w:p>
    <w:p w:rsidR="00351C32" w:rsidRPr="00CD6489" w:rsidRDefault="00977CAD" w:rsidP="000729BB">
      <w:pPr>
        <w:spacing w:after="120"/>
        <w:ind w:left="992"/>
        <w:rPr>
          <w:b/>
        </w:rPr>
      </w:pPr>
      <w:r w:rsidRPr="00CD6489">
        <w:rPr>
          <w:b/>
        </w:rPr>
        <w:t xml:space="preserve">6.1.18: </w:t>
      </w:r>
      <w:r w:rsidR="00351C32" w:rsidRPr="00CD6489">
        <w:rPr>
          <w:b/>
        </w:rPr>
        <w:t>Improved environmental monitoring</w:t>
      </w:r>
    </w:p>
    <w:p w:rsidR="00351C32" w:rsidRPr="00117C72" w:rsidRDefault="00351C32" w:rsidP="000729BB">
      <w:pPr>
        <w:pStyle w:val="Default"/>
        <w:spacing w:after="80"/>
        <w:ind w:left="992"/>
        <w:rPr>
          <w:rFonts w:asciiTheme="minorHAnsi" w:hAnsiTheme="minorHAnsi"/>
        </w:rPr>
      </w:pPr>
      <w:r w:rsidRPr="00902CB7">
        <w:rPr>
          <w:rFonts w:asciiTheme="minorHAnsi" w:hAnsiTheme="minorHAnsi"/>
        </w:rPr>
        <w:t>Accioly, JM, Taylor, EG, Costa, ND, Clark, P, White, CL, Pluske, JR, Tudor, GD, Pethick, DW R Stockdale, J Heard, M Jenkin (Eds) (2004) 'Effect of atmospheric ammonia on bovine lung, Animal Production in Aus</w:t>
      </w:r>
      <w:r w:rsidR="00046F0C">
        <w:rPr>
          <w:rFonts w:asciiTheme="minorHAnsi" w:hAnsiTheme="minorHAnsi"/>
        </w:rPr>
        <w:t>tralia.' Victoria, Australia, 4–</w:t>
      </w:r>
      <w:r w:rsidRPr="00902CB7">
        <w:rPr>
          <w:rFonts w:asciiTheme="minorHAnsi" w:hAnsiTheme="minorHAnsi"/>
        </w:rPr>
        <w:t>8 July 2004. (CSIRO publishing)</w:t>
      </w:r>
      <w:r>
        <w:rPr>
          <w:rFonts w:asciiTheme="minorHAnsi" w:hAnsiTheme="minorHAnsi"/>
        </w:rPr>
        <w:t>.</w:t>
      </w:r>
      <w:r w:rsidRPr="00117C72">
        <w:rPr>
          <w:rFonts w:asciiTheme="minorHAnsi" w:hAnsiTheme="minorHAnsi"/>
        </w:rPr>
        <w:t xml:space="preserve"> </w:t>
      </w:r>
    </w:p>
    <w:p w:rsidR="00351C32" w:rsidRPr="00117C72" w:rsidRDefault="00351C32" w:rsidP="000729BB">
      <w:pPr>
        <w:pStyle w:val="Default"/>
        <w:spacing w:after="80"/>
        <w:ind w:left="992"/>
        <w:rPr>
          <w:rFonts w:asciiTheme="minorHAnsi" w:hAnsiTheme="minorHAnsi"/>
        </w:rPr>
      </w:pPr>
      <w:r w:rsidRPr="00902CB7">
        <w:rPr>
          <w:rFonts w:asciiTheme="minorHAnsi" w:hAnsiTheme="minorHAnsi"/>
        </w:rPr>
        <w:t>Banhazi, T, Berckmans, D (2008) 'Further developments of a user-friendly air quality monitoring system (BASE-Q), Central theme, technology for all: sharing the knowledge for development. Proceedings of the International Conference of Agricultural Engineering, XXXVII Brazilian Congress of Agricultural Engineering, International Livestock Environment Symposium-ILES VIII, Iguassu Falls City, Brazil, 31st August to 4th September, 2008.'. (International Commission of Agricultural Engineering (CIGR), Institut fur Landtechnik).</w:t>
      </w:r>
      <w:r w:rsidRPr="00117C72">
        <w:rPr>
          <w:rFonts w:asciiTheme="minorHAnsi" w:hAnsiTheme="minorHAnsi"/>
        </w:rPr>
        <w:t xml:space="preserve"> </w:t>
      </w:r>
    </w:p>
    <w:p w:rsidR="00351C32" w:rsidRPr="00196AB7" w:rsidRDefault="00351C32" w:rsidP="000729BB">
      <w:pPr>
        <w:pStyle w:val="Default"/>
        <w:spacing w:after="80"/>
        <w:ind w:left="992"/>
        <w:rPr>
          <w:rFonts w:asciiTheme="minorHAnsi" w:hAnsiTheme="minorHAnsi"/>
          <w:bCs/>
        </w:rPr>
      </w:pPr>
      <w:r w:rsidRPr="00A25025">
        <w:rPr>
          <w:rFonts w:asciiTheme="minorHAnsi" w:hAnsiTheme="minorHAnsi"/>
        </w:rPr>
        <w:t xml:space="preserve">Banhazi, TM (2009) User-friendly air quality monitoring system. </w:t>
      </w:r>
      <w:r w:rsidRPr="00A25025">
        <w:rPr>
          <w:rFonts w:asciiTheme="minorHAnsi" w:hAnsiTheme="minorHAnsi"/>
          <w:i/>
          <w:iCs/>
        </w:rPr>
        <w:t xml:space="preserve">Applied Engineering in Agriculture </w:t>
      </w:r>
      <w:r w:rsidRPr="00A25025">
        <w:rPr>
          <w:rFonts w:asciiTheme="minorHAnsi" w:hAnsiTheme="minorHAnsi"/>
          <w:b/>
          <w:bCs/>
        </w:rPr>
        <w:t>25</w:t>
      </w:r>
      <w:r w:rsidRPr="00A25025">
        <w:rPr>
          <w:rFonts w:asciiTheme="minorHAnsi" w:hAnsiTheme="minorHAnsi"/>
        </w:rPr>
        <w:t>, 281</w:t>
      </w:r>
      <w:r w:rsidR="00046F0C">
        <w:rPr>
          <w:rFonts w:asciiTheme="minorHAnsi" w:hAnsiTheme="minorHAnsi"/>
        </w:rPr>
        <w:t>–</w:t>
      </w:r>
      <w:r w:rsidRPr="00A25025">
        <w:rPr>
          <w:rFonts w:asciiTheme="minorHAnsi" w:hAnsiTheme="minorHAnsi"/>
        </w:rPr>
        <w:t>290.</w:t>
      </w:r>
    </w:p>
    <w:p w:rsidR="00351C32" w:rsidRDefault="00351C32" w:rsidP="000729BB">
      <w:pPr>
        <w:pStyle w:val="Default"/>
        <w:spacing w:after="80"/>
        <w:ind w:left="992"/>
        <w:rPr>
          <w:rFonts w:asciiTheme="minorHAnsi" w:hAnsiTheme="minorHAnsi"/>
          <w:bCs/>
        </w:rPr>
      </w:pPr>
      <w:r w:rsidRPr="00A25025">
        <w:rPr>
          <w:rFonts w:asciiTheme="minorHAnsi" w:hAnsiTheme="minorHAnsi"/>
          <w:bCs/>
        </w:rPr>
        <w:t>Clements, MS, Watt, AC, Debono, AP, Aziz, SM, Banhazi, TM T Banhazi, C Saunders (Eds) (2011) 'A low cost portable environmental monitoring system for livestock buildings, The Bi-annual Conference of the Australian Society of Engineering in Agriculture ' Gold Coast, Australia (SEAg).</w:t>
      </w:r>
    </w:p>
    <w:p w:rsidR="00351C32" w:rsidRDefault="00351C32" w:rsidP="000729BB">
      <w:pPr>
        <w:pStyle w:val="Default"/>
        <w:spacing w:after="80"/>
        <w:ind w:left="992"/>
        <w:rPr>
          <w:rFonts w:asciiTheme="minorHAnsi" w:hAnsiTheme="minorHAnsi"/>
          <w:bCs/>
        </w:rPr>
      </w:pPr>
      <w:r w:rsidRPr="00A25025">
        <w:rPr>
          <w:rFonts w:asciiTheme="minorHAnsi" w:hAnsiTheme="minorHAnsi"/>
          <w:bCs/>
        </w:rPr>
        <w:t>Costa, N, Acciolly, J, Cake, M (2003) Determining critical atmospheric ammonia levels for cattle, sheep and goats (LIVE.218). Murdoch University, School of Veterinary &amp; Biomedical Science &amp;</w:t>
      </w:r>
      <w:r w:rsidR="00610E24">
        <w:rPr>
          <w:rFonts w:asciiTheme="minorHAnsi" w:hAnsiTheme="minorHAnsi"/>
          <w:bCs/>
        </w:rPr>
        <w:t xml:space="preserve"> MLA</w:t>
      </w:r>
      <w:r w:rsidRPr="00A25025">
        <w:rPr>
          <w:rFonts w:asciiTheme="minorHAnsi" w:hAnsiTheme="minorHAnsi"/>
          <w:bCs/>
        </w:rPr>
        <w:t>.</w:t>
      </w:r>
    </w:p>
    <w:p w:rsidR="00351C32" w:rsidRPr="00F00B06" w:rsidRDefault="00351C32" w:rsidP="000729BB">
      <w:pPr>
        <w:pStyle w:val="Default"/>
        <w:spacing w:after="80"/>
        <w:ind w:left="992"/>
        <w:rPr>
          <w:rFonts w:asciiTheme="minorHAnsi" w:hAnsiTheme="minorHAnsi"/>
          <w:bCs/>
        </w:rPr>
      </w:pPr>
      <w:r w:rsidRPr="00F00B06">
        <w:rPr>
          <w:rFonts w:asciiTheme="minorHAnsi" w:hAnsiTheme="minorHAnsi"/>
          <w:bCs/>
        </w:rPr>
        <w:t xml:space="preserve">Gray, J, Banhazi, TM, Kist, A C Saunders, TM Banhazi (Eds) (2013) 'Implementation of wireless data handling for environmental monitoring in livestock buildings The Bi-annual Conference of the Australian Society of Engineering in Agriculture (SEAg 2013) ' Perth, Australia. (Australian Society of Engineering in Agriculture). </w:t>
      </w:r>
    </w:p>
    <w:p w:rsidR="00351C32" w:rsidRDefault="00351C32" w:rsidP="000729BB">
      <w:pPr>
        <w:pStyle w:val="Default"/>
        <w:spacing w:after="80"/>
        <w:ind w:left="992"/>
        <w:rPr>
          <w:rFonts w:asciiTheme="minorHAnsi" w:hAnsiTheme="minorHAnsi"/>
          <w:bCs/>
        </w:rPr>
      </w:pPr>
      <w:r w:rsidRPr="00AB06AD">
        <w:rPr>
          <w:rFonts w:asciiTheme="minorHAnsi" w:hAnsiTheme="minorHAnsi"/>
          <w:bCs/>
        </w:rPr>
        <w:t>McCarthy, MR, Banhazi, T (2016) Bedding management and air</w:t>
      </w:r>
      <w:r w:rsidR="008C0021">
        <w:rPr>
          <w:rFonts w:asciiTheme="minorHAnsi" w:hAnsiTheme="minorHAnsi"/>
          <w:bCs/>
        </w:rPr>
        <w:t xml:space="preserve"> quality on livestock vessels—</w:t>
      </w:r>
      <w:r w:rsidRPr="00AB06AD">
        <w:rPr>
          <w:rFonts w:asciiTheme="minorHAnsi" w:hAnsiTheme="minorHAnsi"/>
          <w:bCs/>
        </w:rPr>
        <w:t>A literature review (W.LIV.0290). Prepared by Global Livestock Solutions Pty Ltd for MLA/LiveCorp.</w:t>
      </w:r>
    </w:p>
    <w:p w:rsidR="00351C32" w:rsidRPr="00FE7B10" w:rsidRDefault="00351C32" w:rsidP="000729BB">
      <w:pPr>
        <w:pStyle w:val="Default"/>
        <w:spacing w:after="80"/>
        <w:ind w:left="992"/>
        <w:rPr>
          <w:rFonts w:asciiTheme="minorHAnsi" w:hAnsiTheme="minorHAnsi"/>
          <w:color w:val="auto"/>
        </w:rPr>
      </w:pPr>
      <w:r>
        <w:rPr>
          <w:rFonts w:asciiTheme="minorHAnsi" w:hAnsiTheme="minorHAnsi"/>
          <w:color w:val="auto"/>
        </w:rPr>
        <w:t>McCarthy, MR (2003</w:t>
      </w:r>
      <w:r w:rsidRPr="00117C72">
        <w:rPr>
          <w:rFonts w:asciiTheme="minorHAnsi" w:hAnsiTheme="minorHAnsi"/>
          <w:color w:val="auto"/>
        </w:rPr>
        <w:t>) Investigations into Reducing Odour Emissions from Partly Loaded Sheep Vessels whilst in Port (LIVE.213A -</w:t>
      </w:r>
      <w:r w:rsidR="008C0021">
        <w:rPr>
          <w:rFonts w:asciiTheme="minorHAnsi" w:hAnsiTheme="minorHAnsi"/>
          <w:color w:val="auto"/>
        </w:rPr>
        <w:t xml:space="preserve"> Literature Review, LIVE.213A—Final Report and LIVE.213B—</w:t>
      </w:r>
      <w:r w:rsidRPr="00117C72">
        <w:rPr>
          <w:rFonts w:asciiTheme="minorHAnsi" w:hAnsiTheme="minorHAnsi"/>
          <w:color w:val="auto"/>
        </w:rPr>
        <w:t xml:space="preserve">Final Report). Prepared by Professional Agricultural Services Pty Ltd for MLA/LiveCorp. </w:t>
      </w:r>
    </w:p>
    <w:p w:rsidR="00351C32" w:rsidRDefault="00351C32" w:rsidP="000729BB">
      <w:pPr>
        <w:pStyle w:val="Default"/>
        <w:spacing w:after="80"/>
        <w:ind w:left="992"/>
        <w:rPr>
          <w:rFonts w:asciiTheme="minorHAnsi" w:hAnsiTheme="minorHAnsi"/>
          <w:bCs/>
        </w:rPr>
      </w:pPr>
      <w:r w:rsidRPr="00ED5DAA">
        <w:rPr>
          <w:rFonts w:asciiTheme="minorHAnsi" w:hAnsiTheme="minorHAnsi"/>
          <w:bCs/>
        </w:rPr>
        <w:t xml:space="preserve">Phillips, CJC, Pines, MK, Latter, M, Muller, T, Petherick, JC, Norman, ST, Gaughan, JB (2012) Physiological and behavioral responses of sheep to gaseous ammonia. </w:t>
      </w:r>
      <w:r w:rsidRPr="00ED5DAA">
        <w:rPr>
          <w:rFonts w:asciiTheme="minorHAnsi" w:hAnsiTheme="minorHAnsi"/>
          <w:bCs/>
          <w:i/>
          <w:iCs/>
        </w:rPr>
        <w:t xml:space="preserve">Journal of Animal Science </w:t>
      </w:r>
      <w:r w:rsidRPr="00ED5DAA">
        <w:rPr>
          <w:rFonts w:asciiTheme="minorHAnsi" w:hAnsiTheme="minorHAnsi"/>
          <w:b/>
          <w:bCs/>
        </w:rPr>
        <w:t>90</w:t>
      </w:r>
      <w:r w:rsidR="008C0021">
        <w:rPr>
          <w:rFonts w:asciiTheme="minorHAnsi" w:hAnsiTheme="minorHAnsi"/>
          <w:bCs/>
        </w:rPr>
        <w:t>, 1562–</w:t>
      </w:r>
      <w:r w:rsidRPr="00ED5DAA">
        <w:rPr>
          <w:rFonts w:asciiTheme="minorHAnsi" w:hAnsiTheme="minorHAnsi"/>
          <w:bCs/>
        </w:rPr>
        <w:t>1569.</w:t>
      </w:r>
    </w:p>
    <w:p w:rsidR="00351C32" w:rsidRPr="00ED5DAA" w:rsidRDefault="00351C32" w:rsidP="000729BB">
      <w:pPr>
        <w:pStyle w:val="Default"/>
        <w:spacing w:after="80"/>
        <w:ind w:left="992"/>
        <w:rPr>
          <w:rFonts w:asciiTheme="minorHAnsi" w:hAnsiTheme="minorHAnsi"/>
          <w:bCs/>
        </w:rPr>
      </w:pPr>
      <w:r w:rsidRPr="00ED5DAA">
        <w:rPr>
          <w:rFonts w:asciiTheme="minorHAnsi" w:hAnsiTheme="minorHAnsi"/>
          <w:bCs/>
        </w:rPr>
        <w:t xml:space="preserve">Pines, MK, Phillips, CJC (2011) Accumulation of ammonia and other potentially noxious gases on live export shipments from Australia to the Middle East. </w:t>
      </w:r>
      <w:r w:rsidRPr="00ED5DAA">
        <w:rPr>
          <w:rFonts w:asciiTheme="minorHAnsi" w:hAnsiTheme="minorHAnsi"/>
          <w:bCs/>
          <w:i/>
          <w:iCs/>
        </w:rPr>
        <w:t xml:space="preserve">Journal of Environmental Monitoring </w:t>
      </w:r>
      <w:r w:rsidRPr="00ED5DAA">
        <w:rPr>
          <w:rFonts w:asciiTheme="minorHAnsi" w:hAnsiTheme="minorHAnsi"/>
          <w:b/>
          <w:bCs/>
        </w:rPr>
        <w:t>13</w:t>
      </w:r>
      <w:r w:rsidR="008C0021">
        <w:rPr>
          <w:rFonts w:asciiTheme="minorHAnsi" w:hAnsiTheme="minorHAnsi"/>
          <w:bCs/>
        </w:rPr>
        <w:t>, 2798–</w:t>
      </w:r>
      <w:r w:rsidRPr="00ED5DAA">
        <w:rPr>
          <w:rFonts w:asciiTheme="minorHAnsi" w:hAnsiTheme="minorHAnsi"/>
          <w:bCs/>
        </w:rPr>
        <w:t xml:space="preserve">2807. </w:t>
      </w:r>
    </w:p>
    <w:p w:rsidR="00351C32" w:rsidRPr="00011AC7" w:rsidRDefault="00351C32" w:rsidP="000729BB">
      <w:pPr>
        <w:pStyle w:val="Default"/>
        <w:spacing w:after="80"/>
        <w:ind w:left="992"/>
        <w:rPr>
          <w:rFonts w:asciiTheme="minorHAnsi" w:hAnsiTheme="minorHAnsi"/>
          <w:bCs/>
        </w:rPr>
      </w:pPr>
      <w:r w:rsidRPr="00ED5DAA">
        <w:rPr>
          <w:rFonts w:asciiTheme="minorHAnsi" w:hAnsiTheme="minorHAnsi"/>
          <w:bCs/>
        </w:rPr>
        <w:t xml:space="preserve">Pines, MK, Phillips, CJC (2013) Microclimatic conditions and their effects on sheep behavior during a live export shipment from Australia to the Middle East. </w:t>
      </w:r>
      <w:r w:rsidRPr="00ED5DAA">
        <w:rPr>
          <w:rFonts w:asciiTheme="minorHAnsi" w:hAnsiTheme="minorHAnsi"/>
          <w:bCs/>
          <w:i/>
          <w:iCs/>
        </w:rPr>
        <w:t xml:space="preserve">Journal of Animal Science </w:t>
      </w:r>
      <w:r w:rsidRPr="00ED5DAA">
        <w:rPr>
          <w:rFonts w:asciiTheme="minorHAnsi" w:hAnsiTheme="minorHAnsi"/>
          <w:b/>
          <w:bCs/>
        </w:rPr>
        <w:t>91</w:t>
      </w:r>
      <w:r w:rsidR="008C0021">
        <w:rPr>
          <w:rFonts w:asciiTheme="minorHAnsi" w:hAnsiTheme="minorHAnsi"/>
          <w:bCs/>
        </w:rPr>
        <w:t>, 4406–</w:t>
      </w:r>
      <w:r w:rsidRPr="00ED5DAA">
        <w:rPr>
          <w:rFonts w:asciiTheme="minorHAnsi" w:hAnsiTheme="minorHAnsi"/>
          <w:bCs/>
        </w:rPr>
        <w:t>4416.</w:t>
      </w:r>
    </w:p>
    <w:p w:rsidR="00AB3208" w:rsidRPr="000729BB" w:rsidRDefault="00351C32" w:rsidP="000729BB">
      <w:pPr>
        <w:pStyle w:val="Default"/>
        <w:spacing w:after="80"/>
        <w:ind w:left="992"/>
        <w:rPr>
          <w:rFonts w:asciiTheme="minorHAnsi" w:hAnsiTheme="minorHAnsi"/>
          <w:color w:val="auto"/>
        </w:rPr>
      </w:pPr>
      <w:r w:rsidRPr="00117C72">
        <w:rPr>
          <w:rFonts w:asciiTheme="minorHAnsi" w:hAnsiTheme="minorHAnsi"/>
          <w:color w:val="auto"/>
        </w:rPr>
        <w:t>Tudor, G, Acciolly, J, Pethick, D, Costa, N, Taylor, E, White, C (2003) Decreasing shipboard ammonia levels by optimising the nutritional performance of cattle and the environment on ship during live export (LIVE.202). Prepared by Murdoch University for MLA/Livecorp.</w:t>
      </w:r>
      <w:r w:rsidR="00AB3208">
        <w:br w:type="page"/>
      </w:r>
    </w:p>
    <w:p w:rsidR="0051731B" w:rsidRPr="0051731B" w:rsidRDefault="0051731B" w:rsidP="00C24556">
      <w:pPr>
        <w:pStyle w:val="Heading2"/>
      </w:pPr>
      <w:bookmarkStart w:id="68" w:name="_Toc513812224"/>
      <w:r w:rsidRPr="0051731B">
        <w:t>Abbreviations and acronyms</w:t>
      </w:r>
      <w:bookmarkEnd w:id="68"/>
    </w:p>
    <w:p w:rsidR="0051731B" w:rsidRDefault="00C3304D" w:rsidP="00C24556">
      <w:r>
        <w:rPr>
          <w:b/>
        </w:rPr>
        <w:t>AAV</w:t>
      </w:r>
      <w:r w:rsidR="00020C71">
        <w:tab/>
      </w:r>
      <w:r w:rsidR="00020C71">
        <w:tab/>
      </w:r>
      <w:r w:rsidR="002335AB">
        <w:t xml:space="preserve">Australian Government </w:t>
      </w:r>
      <w:r w:rsidR="00E3673D">
        <w:t>Accredited Veterinarian</w:t>
      </w:r>
    </w:p>
    <w:p w:rsidR="005140FA" w:rsidRPr="005140FA" w:rsidRDefault="005140FA" w:rsidP="00C24556">
      <w:r>
        <w:rPr>
          <w:b/>
        </w:rPr>
        <w:t>ALEC</w:t>
      </w:r>
      <w:r>
        <w:tab/>
      </w:r>
      <w:r>
        <w:tab/>
        <w:t>Australian Livestock Exporters’ Council</w:t>
      </w:r>
    </w:p>
    <w:p w:rsidR="00C3304D" w:rsidRPr="00020C71" w:rsidRDefault="00C3304D" w:rsidP="00C24556">
      <w:r>
        <w:rPr>
          <w:b/>
        </w:rPr>
        <w:t>AMSA</w:t>
      </w:r>
      <w:r w:rsidR="00020C71">
        <w:tab/>
      </w:r>
      <w:r w:rsidR="00020C71">
        <w:tab/>
      </w:r>
      <w:r w:rsidR="002335AB">
        <w:t>Australian Maritime Safety Authority</w:t>
      </w:r>
    </w:p>
    <w:p w:rsidR="00C3304D" w:rsidRDefault="00C3304D" w:rsidP="00C24556">
      <w:r>
        <w:rPr>
          <w:b/>
        </w:rPr>
        <w:t>ASEL</w:t>
      </w:r>
      <w:r w:rsidR="00020C71">
        <w:rPr>
          <w:b/>
        </w:rPr>
        <w:tab/>
      </w:r>
      <w:r w:rsidR="00020C71">
        <w:tab/>
        <w:t>Australian Standards for the Export of Livestock (Version 2.3)</w:t>
      </w:r>
    </w:p>
    <w:p w:rsidR="000E3DFE" w:rsidRPr="000E3DFE" w:rsidRDefault="000E3DFE" w:rsidP="00C24556">
      <w:r>
        <w:rPr>
          <w:b/>
        </w:rPr>
        <w:t>AVA</w:t>
      </w:r>
      <w:r>
        <w:tab/>
      </w:r>
      <w:r>
        <w:tab/>
        <w:t>Australian Veterinary Association</w:t>
      </w:r>
    </w:p>
    <w:p w:rsidR="00C3304D" w:rsidRDefault="00E3673D" w:rsidP="00C24556">
      <w:r>
        <w:rPr>
          <w:b/>
        </w:rPr>
        <w:t>e</w:t>
      </w:r>
      <w:r w:rsidR="00C3304D">
        <w:rPr>
          <w:b/>
        </w:rPr>
        <w:t>ph</w:t>
      </w:r>
      <w:r w:rsidR="002335AB">
        <w:tab/>
      </w:r>
      <w:r w:rsidR="002335AB">
        <w:tab/>
        <w:t>Exchanges per hour</w:t>
      </w:r>
    </w:p>
    <w:p w:rsidR="00941C03" w:rsidRDefault="00941C03" w:rsidP="00C24556">
      <w:r>
        <w:rPr>
          <w:b/>
        </w:rPr>
        <w:t>HSRA</w:t>
      </w:r>
      <w:r>
        <w:rPr>
          <w:b/>
        </w:rPr>
        <w:tab/>
      </w:r>
      <w:r>
        <w:rPr>
          <w:b/>
        </w:rPr>
        <w:tab/>
      </w:r>
      <w:r>
        <w:t>Heat stress risk assessment</w:t>
      </w:r>
    </w:p>
    <w:p w:rsidR="00941C03" w:rsidRPr="00941C03" w:rsidRDefault="00941C03" w:rsidP="00C24556">
      <w:r>
        <w:rPr>
          <w:b/>
        </w:rPr>
        <w:t>HST</w:t>
      </w:r>
      <w:r>
        <w:tab/>
      </w:r>
      <w:r>
        <w:tab/>
        <w:t>Heat stress threshold</w:t>
      </w:r>
    </w:p>
    <w:p w:rsidR="00941C03" w:rsidRPr="00020C71" w:rsidRDefault="00941C03" w:rsidP="00C24556">
      <w:r>
        <w:rPr>
          <w:b/>
        </w:rPr>
        <w:t>IO</w:t>
      </w:r>
      <w:r>
        <w:tab/>
      </w:r>
      <w:r>
        <w:tab/>
      </w:r>
      <w:r>
        <w:tab/>
        <w:t>Independent observer</w:t>
      </w:r>
    </w:p>
    <w:p w:rsidR="005140FA" w:rsidRPr="005140FA" w:rsidRDefault="005140FA" w:rsidP="00C24556">
      <w:r>
        <w:rPr>
          <w:b/>
        </w:rPr>
        <w:t>MARPOL</w:t>
      </w:r>
      <w:r>
        <w:tab/>
      </w:r>
      <w:r>
        <w:tab/>
        <w:t xml:space="preserve">The International Convention for the Prevention of Pollution </w:t>
      </w:r>
      <w:r w:rsidR="0025152D">
        <w:t>from</w:t>
      </w:r>
      <w:r w:rsidR="007953BA">
        <w:br/>
      </w:r>
      <w:r w:rsidR="007953BA">
        <w:tab/>
      </w:r>
      <w:r w:rsidR="007953BA">
        <w:tab/>
      </w:r>
      <w:r w:rsidR="007953BA">
        <w:tab/>
      </w:r>
      <w:r w:rsidR="0025152D">
        <w:t>S</w:t>
      </w:r>
      <w:r>
        <w:t>hips</w:t>
      </w:r>
    </w:p>
    <w:p w:rsidR="00C3304D" w:rsidRPr="00020C71" w:rsidRDefault="00C3304D" w:rsidP="00C24556">
      <w:r>
        <w:rPr>
          <w:b/>
        </w:rPr>
        <w:t>MLA</w:t>
      </w:r>
      <w:r w:rsidR="00020C71">
        <w:tab/>
      </w:r>
      <w:r w:rsidR="00020C71">
        <w:tab/>
        <w:t>Meat and Livestock Australia</w:t>
      </w:r>
    </w:p>
    <w:p w:rsidR="00C3304D" w:rsidRPr="002335AB" w:rsidRDefault="00C3304D" w:rsidP="00C24556">
      <w:r>
        <w:rPr>
          <w:b/>
        </w:rPr>
        <w:t>ML</w:t>
      </w:r>
      <w:r w:rsidR="002335AB">
        <w:tab/>
      </w:r>
      <w:r w:rsidR="002335AB">
        <w:tab/>
        <w:t>Mortality limit</w:t>
      </w:r>
    </w:p>
    <w:p w:rsidR="002B22F2" w:rsidRPr="006341AF" w:rsidRDefault="00941C03" w:rsidP="00C24556">
      <w:r>
        <w:rPr>
          <w:b/>
        </w:rPr>
        <w:t>PAT</w:t>
      </w:r>
      <w:r>
        <w:tab/>
      </w:r>
      <w:r>
        <w:tab/>
        <w:t>Pen air turnover</w:t>
      </w:r>
    </w:p>
    <w:sectPr w:rsidR="002B22F2" w:rsidRPr="006341AF" w:rsidSect="00524218">
      <w:headerReference w:type="even" r:id="rId14"/>
      <w:pgSz w:w="11900" w:h="16840"/>
      <w:pgMar w:top="1407" w:right="1440" w:bottom="1131" w:left="1440" w:header="49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4E9" w:rsidRDefault="00ED04E9" w:rsidP="00C24556">
      <w:r>
        <w:separator/>
      </w:r>
    </w:p>
    <w:p w:rsidR="00ED04E9" w:rsidRDefault="00ED04E9" w:rsidP="00C24556"/>
  </w:endnote>
  <w:endnote w:type="continuationSeparator" w:id="0">
    <w:p w:rsidR="00ED04E9" w:rsidRDefault="00ED04E9" w:rsidP="00C24556">
      <w:r>
        <w:continuationSeparator/>
      </w:r>
    </w:p>
    <w:p w:rsidR="00ED04E9" w:rsidRDefault="00ED04E9" w:rsidP="00C24556"/>
  </w:endnote>
  <w:endnote w:type="continuationNotice" w:id="1">
    <w:p w:rsidR="00ED04E9" w:rsidRDefault="00ED04E9" w:rsidP="00C24556"/>
    <w:p w:rsidR="00ED04E9" w:rsidRDefault="00ED04E9" w:rsidP="00C24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notTrueType/>
    <w:pitch w:val="variable"/>
    <w:sig w:usb0="00000003" w:usb1="00000000" w:usb2="00000000" w:usb3="00000000" w:csb0="00000001" w:csb1="00000000"/>
  </w:font>
  <w:font w:name="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F0" w:rsidRDefault="00D35FF0" w:rsidP="00C2455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35FF0" w:rsidRDefault="00D35FF0" w:rsidP="00C245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F0" w:rsidRPr="007933A5" w:rsidRDefault="00D35FF0" w:rsidP="000729BB">
    <w:pPr>
      <w:pStyle w:val="Footer"/>
    </w:pPr>
    <w:r>
      <w:rPr>
        <w:rStyle w:val="PageNumber"/>
      </w:rPr>
      <w:fldChar w:fldCharType="begin"/>
    </w:r>
    <w:r>
      <w:rPr>
        <w:rStyle w:val="PageNumber"/>
      </w:rPr>
      <w:instrText xml:space="preserve">PAGE  </w:instrText>
    </w:r>
    <w:r>
      <w:rPr>
        <w:rStyle w:val="PageNumber"/>
      </w:rPr>
      <w:fldChar w:fldCharType="separate"/>
    </w:r>
    <w:r w:rsidR="00646513">
      <w:rPr>
        <w:rStyle w:val="PageNumber"/>
        <w:noProof/>
      </w:rPr>
      <w:t>18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F0" w:rsidRDefault="00D35FF0">
    <w:pPr>
      <w:pStyle w:val="Footer"/>
    </w:pPr>
    <w:r>
      <w:fldChar w:fldCharType="begin"/>
    </w:r>
    <w:r>
      <w:instrText xml:space="preserve"> PAGE   \* MERGEFORMAT </w:instrText>
    </w:r>
    <w:r>
      <w:fldChar w:fldCharType="separate"/>
    </w:r>
    <w:r w:rsidR="0064651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4E9" w:rsidRDefault="00ED04E9" w:rsidP="00C24556">
      <w:r>
        <w:separator/>
      </w:r>
    </w:p>
    <w:p w:rsidR="00ED04E9" w:rsidRDefault="00ED04E9" w:rsidP="00C24556"/>
  </w:footnote>
  <w:footnote w:type="continuationSeparator" w:id="0">
    <w:p w:rsidR="00ED04E9" w:rsidRDefault="00ED04E9" w:rsidP="00C24556">
      <w:r>
        <w:continuationSeparator/>
      </w:r>
    </w:p>
    <w:p w:rsidR="00ED04E9" w:rsidRDefault="00ED04E9" w:rsidP="00C24556"/>
  </w:footnote>
  <w:footnote w:type="continuationNotice" w:id="1">
    <w:p w:rsidR="00ED04E9" w:rsidRDefault="00ED04E9" w:rsidP="00C24556"/>
    <w:p w:rsidR="00ED04E9" w:rsidRDefault="00ED04E9" w:rsidP="00C245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F0" w:rsidRDefault="00D35FF0" w:rsidP="00C245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D71A5"/>
    <w:multiLevelType w:val="hybridMultilevel"/>
    <w:tmpl w:val="250A402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29A6C55"/>
    <w:multiLevelType w:val="hybridMultilevel"/>
    <w:tmpl w:val="220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264D3"/>
    <w:multiLevelType w:val="multilevel"/>
    <w:tmpl w:val="7F7ACF62"/>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40" w:hanging="38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112625"/>
    <w:multiLevelType w:val="hybridMultilevel"/>
    <w:tmpl w:val="3042DD7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44E77E7"/>
    <w:multiLevelType w:val="hybridMultilevel"/>
    <w:tmpl w:val="31A2823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5" w15:restartNumberingAfterBreak="0">
    <w:nsid w:val="28EE722B"/>
    <w:multiLevelType w:val="hybridMultilevel"/>
    <w:tmpl w:val="60A86BB2"/>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6" w15:restartNumberingAfterBreak="0">
    <w:nsid w:val="2E967C8A"/>
    <w:multiLevelType w:val="hybridMultilevel"/>
    <w:tmpl w:val="68FC2658"/>
    <w:lvl w:ilvl="0" w:tplc="86F4C2D2">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F3532"/>
    <w:multiLevelType w:val="hybridMultilevel"/>
    <w:tmpl w:val="05B0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C4760"/>
    <w:multiLevelType w:val="hybridMultilevel"/>
    <w:tmpl w:val="10D4185E"/>
    <w:lvl w:ilvl="0" w:tplc="99F0F6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77812"/>
    <w:multiLevelType w:val="hybridMultilevel"/>
    <w:tmpl w:val="7EE6E2CC"/>
    <w:lvl w:ilvl="0" w:tplc="491E71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C3E99"/>
    <w:multiLevelType w:val="hybridMultilevel"/>
    <w:tmpl w:val="DCA64D1A"/>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1" w15:restartNumberingAfterBreak="0">
    <w:nsid w:val="43B71066"/>
    <w:multiLevelType w:val="hybridMultilevel"/>
    <w:tmpl w:val="992C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66653"/>
    <w:multiLevelType w:val="hybridMultilevel"/>
    <w:tmpl w:val="A184E9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48A81ECF"/>
    <w:multiLevelType w:val="hybridMultilevel"/>
    <w:tmpl w:val="91D413B4"/>
    <w:lvl w:ilvl="0" w:tplc="4892820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1430B"/>
    <w:multiLevelType w:val="hybridMultilevel"/>
    <w:tmpl w:val="4A726A4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5" w15:restartNumberingAfterBreak="0">
    <w:nsid w:val="4D0048C3"/>
    <w:multiLevelType w:val="hybridMultilevel"/>
    <w:tmpl w:val="C1FA5098"/>
    <w:lvl w:ilvl="0" w:tplc="3552011A">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990800"/>
    <w:multiLevelType w:val="hybridMultilevel"/>
    <w:tmpl w:val="4DB213E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15:restartNumberingAfterBreak="0">
    <w:nsid w:val="5CF44593"/>
    <w:multiLevelType w:val="hybridMultilevel"/>
    <w:tmpl w:val="A5485480"/>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8" w15:restartNumberingAfterBreak="0">
    <w:nsid w:val="5E193870"/>
    <w:multiLevelType w:val="hybridMultilevel"/>
    <w:tmpl w:val="9A9CF81A"/>
    <w:lvl w:ilvl="0" w:tplc="4606AE5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43A0F"/>
    <w:multiLevelType w:val="hybridMultilevel"/>
    <w:tmpl w:val="C5943720"/>
    <w:lvl w:ilvl="0" w:tplc="DC8EAE06">
      <w:start w:val="3"/>
      <w:numFmt w:val="bullet"/>
      <w:lvlText w:val=""/>
      <w:lvlJc w:val="left"/>
      <w:pPr>
        <w:ind w:left="460" w:hanging="360"/>
      </w:pPr>
      <w:rPr>
        <w:rFonts w:ascii="Wingdings" w:eastAsiaTheme="minorHAnsi" w:hAnsi="Wingdings"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6BE20391"/>
    <w:multiLevelType w:val="hybridMultilevel"/>
    <w:tmpl w:val="14CAE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832C9D"/>
    <w:multiLevelType w:val="hybridMultilevel"/>
    <w:tmpl w:val="B2B0C178"/>
    <w:lvl w:ilvl="0" w:tplc="9104B15C">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11A55"/>
    <w:multiLevelType w:val="hybridMultilevel"/>
    <w:tmpl w:val="A7727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B46732"/>
    <w:multiLevelType w:val="hybridMultilevel"/>
    <w:tmpl w:val="8ABE4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91BD6"/>
    <w:multiLevelType w:val="hybridMultilevel"/>
    <w:tmpl w:val="4EE0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F6A82"/>
    <w:multiLevelType w:val="hybridMultilevel"/>
    <w:tmpl w:val="9C389F94"/>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6" w15:restartNumberingAfterBreak="0">
    <w:nsid w:val="764E5CE3"/>
    <w:multiLevelType w:val="hybridMultilevel"/>
    <w:tmpl w:val="7D72E74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7" w15:restartNumberingAfterBreak="0">
    <w:nsid w:val="795A55E2"/>
    <w:multiLevelType w:val="hybridMultilevel"/>
    <w:tmpl w:val="112623AE"/>
    <w:lvl w:ilvl="0" w:tplc="B736259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E17696"/>
    <w:multiLevelType w:val="hybridMultilevel"/>
    <w:tmpl w:val="5C9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109D8"/>
    <w:multiLevelType w:val="hybridMultilevel"/>
    <w:tmpl w:val="A8FC682C"/>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start w:val="1"/>
      <w:numFmt w:val="bullet"/>
      <w:lvlText w:val=""/>
      <w:lvlJc w:val="left"/>
      <w:pPr>
        <w:ind w:left="2225" w:hanging="360"/>
      </w:pPr>
      <w:rPr>
        <w:rFonts w:ascii="Wingdings" w:hAnsi="Wingdings" w:hint="default"/>
      </w:rPr>
    </w:lvl>
    <w:lvl w:ilvl="3" w:tplc="0C090001">
      <w:start w:val="1"/>
      <w:numFmt w:val="bullet"/>
      <w:lvlText w:val=""/>
      <w:lvlJc w:val="left"/>
      <w:pPr>
        <w:ind w:left="2945" w:hanging="360"/>
      </w:pPr>
      <w:rPr>
        <w:rFonts w:ascii="Symbol" w:hAnsi="Symbol" w:hint="default"/>
      </w:rPr>
    </w:lvl>
    <w:lvl w:ilvl="4" w:tplc="0C090003">
      <w:start w:val="1"/>
      <w:numFmt w:val="bullet"/>
      <w:lvlText w:val="o"/>
      <w:lvlJc w:val="left"/>
      <w:pPr>
        <w:ind w:left="3665" w:hanging="360"/>
      </w:pPr>
      <w:rPr>
        <w:rFonts w:ascii="Courier New" w:hAnsi="Courier New" w:cs="Courier New" w:hint="default"/>
      </w:rPr>
    </w:lvl>
    <w:lvl w:ilvl="5" w:tplc="0C090005">
      <w:start w:val="1"/>
      <w:numFmt w:val="bullet"/>
      <w:lvlText w:val=""/>
      <w:lvlJc w:val="left"/>
      <w:pPr>
        <w:ind w:left="4385" w:hanging="360"/>
      </w:pPr>
      <w:rPr>
        <w:rFonts w:ascii="Wingdings" w:hAnsi="Wingdings" w:hint="default"/>
      </w:rPr>
    </w:lvl>
    <w:lvl w:ilvl="6" w:tplc="0C090001">
      <w:start w:val="1"/>
      <w:numFmt w:val="bullet"/>
      <w:lvlText w:val=""/>
      <w:lvlJc w:val="left"/>
      <w:pPr>
        <w:ind w:left="5105" w:hanging="360"/>
      </w:pPr>
      <w:rPr>
        <w:rFonts w:ascii="Symbol" w:hAnsi="Symbol" w:hint="default"/>
      </w:rPr>
    </w:lvl>
    <w:lvl w:ilvl="7" w:tplc="0C090003">
      <w:start w:val="1"/>
      <w:numFmt w:val="bullet"/>
      <w:lvlText w:val="o"/>
      <w:lvlJc w:val="left"/>
      <w:pPr>
        <w:ind w:left="5825" w:hanging="360"/>
      </w:pPr>
      <w:rPr>
        <w:rFonts w:ascii="Courier New" w:hAnsi="Courier New" w:cs="Courier New" w:hint="default"/>
      </w:rPr>
    </w:lvl>
    <w:lvl w:ilvl="8" w:tplc="0C090005">
      <w:start w:val="1"/>
      <w:numFmt w:val="bullet"/>
      <w:lvlText w:val=""/>
      <w:lvlJc w:val="left"/>
      <w:pPr>
        <w:ind w:left="6545" w:hanging="360"/>
      </w:pPr>
      <w:rPr>
        <w:rFonts w:ascii="Wingdings" w:hAnsi="Wingdings" w:hint="default"/>
      </w:rPr>
    </w:lvl>
  </w:abstractNum>
  <w:num w:numId="1">
    <w:abstractNumId w:val="2"/>
  </w:num>
  <w:num w:numId="2">
    <w:abstractNumId w:val="29"/>
  </w:num>
  <w:num w:numId="3">
    <w:abstractNumId w:val="7"/>
  </w:num>
  <w:num w:numId="4">
    <w:abstractNumId w:val="11"/>
  </w:num>
  <w:num w:numId="5">
    <w:abstractNumId w:val="28"/>
  </w:num>
  <w:num w:numId="6">
    <w:abstractNumId w:val="24"/>
  </w:num>
  <w:num w:numId="7">
    <w:abstractNumId w:val="1"/>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5"/>
  </w:num>
  <w:num w:numId="16">
    <w:abstractNumId w:val="6"/>
  </w:num>
  <w:num w:numId="17">
    <w:abstractNumId w:val="13"/>
  </w:num>
  <w:num w:numId="18">
    <w:abstractNumId w:val="19"/>
  </w:num>
  <w:num w:numId="19">
    <w:abstractNumId w:val="18"/>
  </w:num>
  <w:num w:numId="20">
    <w:abstractNumId w:val="27"/>
  </w:num>
  <w:num w:numId="21">
    <w:abstractNumId w:val="8"/>
  </w:num>
  <w:num w:numId="22">
    <w:abstractNumId w:val="9"/>
  </w:num>
  <w:num w:numId="23">
    <w:abstractNumId w:val="23"/>
  </w:num>
  <w:num w:numId="24">
    <w:abstractNumId w:val="20"/>
  </w:num>
  <w:num w:numId="25">
    <w:abstractNumId w:val="2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
  </w:num>
  <w:num w:numId="31">
    <w:abstractNumId w:val="2"/>
  </w:num>
  <w:num w:numId="32">
    <w:abstractNumId w:val="17"/>
  </w:num>
  <w:num w:numId="33">
    <w:abstractNumId w:val="5"/>
  </w:num>
  <w:num w:numId="34">
    <w:abstractNumId w:val="16"/>
  </w:num>
  <w:num w:numId="35">
    <w:abstractNumId w:val="4"/>
  </w:num>
  <w:num w:numId="36">
    <w:abstractNumId w:val="10"/>
  </w:num>
  <w:num w:numId="37">
    <w:abstractNumId w:val="3"/>
  </w:num>
  <w:num w:numId="38">
    <w:abstractNumId w:val="12"/>
  </w:num>
  <w:num w:numId="39">
    <w:abstractNumId w:val="0"/>
  </w:num>
  <w:num w:numId="40">
    <w:abstractNumId w:val="25"/>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3E"/>
    <w:rsid w:val="00000C8D"/>
    <w:rsid w:val="00002ED3"/>
    <w:rsid w:val="00003D05"/>
    <w:rsid w:val="00004FF3"/>
    <w:rsid w:val="0000502F"/>
    <w:rsid w:val="0000554E"/>
    <w:rsid w:val="0000630A"/>
    <w:rsid w:val="00007E2D"/>
    <w:rsid w:val="00010248"/>
    <w:rsid w:val="00012250"/>
    <w:rsid w:val="00012E2E"/>
    <w:rsid w:val="00013490"/>
    <w:rsid w:val="000154A4"/>
    <w:rsid w:val="00017EC0"/>
    <w:rsid w:val="00020C71"/>
    <w:rsid w:val="0002138F"/>
    <w:rsid w:val="00023E5D"/>
    <w:rsid w:val="00023FEE"/>
    <w:rsid w:val="00031BCB"/>
    <w:rsid w:val="000331DD"/>
    <w:rsid w:val="00043435"/>
    <w:rsid w:val="00043B08"/>
    <w:rsid w:val="00045984"/>
    <w:rsid w:val="00046F0C"/>
    <w:rsid w:val="000507A2"/>
    <w:rsid w:val="00050E4E"/>
    <w:rsid w:val="00051E0F"/>
    <w:rsid w:val="000521BB"/>
    <w:rsid w:val="00057FCC"/>
    <w:rsid w:val="00060FD7"/>
    <w:rsid w:val="00062844"/>
    <w:rsid w:val="000628FD"/>
    <w:rsid w:val="00065ACC"/>
    <w:rsid w:val="0007024C"/>
    <w:rsid w:val="00072073"/>
    <w:rsid w:val="00072398"/>
    <w:rsid w:val="000729BB"/>
    <w:rsid w:val="000776DD"/>
    <w:rsid w:val="00080E04"/>
    <w:rsid w:val="00083F75"/>
    <w:rsid w:val="00084ECA"/>
    <w:rsid w:val="000929D0"/>
    <w:rsid w:val="000932E6"/>
    <w:rsid w:val="00094AA1"/>
    <w:rsid w:val="00094AD8"/>
    <w:rsid w:val="00094D1F"/>
    <w:rsid w:val="000A39A1"/>
    <w:rsid w:val="000A475B"/>
    <w:rsid w:val="000A4ECF"/>
    <w:rsid w:val="000A69DF"/>
    <w:rsid w:val="000B0608"/>
    <w:rsid w:val="000B3300"/>
    <w:rsid w:val="000B38FB"/>
    <w:rsid w:val="000B7021"/>
    <w:rsid w:val="000B7204"/>
    <w:rsid w:val="000C1DF6"/>
    <w:rsid w:val="000C48AE"/>
    <w:rsid w:val="000C5978"/>
    <w:rsid w:val="000D0E50"/>
    <w:rsid w:val="000D1099"/>
    <w:rsid w:val="000D3429"/>
    <w:rsid w:val="000D4461"/>
    <w:rsid w:val="000D7A83"/>
    <w:rsid w:val="000E028D"/>
    <w:rsid w:val="000E1722"/>
    <w:rsid w:val="000E1AE7"/>
    <w:rsid w:val="000E221A"/>
    <w:rsid w:val="000E28CA"/>
    <w:rsid w:val="000E3836"/>
    <w:rsid w:val="000E3DFE"/>
    <w:rsid w:val="000E4F52"/>
    <w:rsid w:val="000E60FB"/>
    <w:rsid w:val="000E6A75"/>
    <w:rsid w:val="000E7A61"/>
    <w:rsid w:val="000F00DF"/>
    <w:rsid w:val="000F10C9"/>
    <w:rsid w:val="000F2AD3"/>
    <w:rsid w:val="000F58A5"/>
    <w:rsid w:val="001007FF"/>
    <w:rsid w:val="00105218"/>
    <w:rsid w:val="00106D7F"/>
    <w:rsid w:val="001119A3"/>
    <w:rsid w:val="001139EB"/>
    <w:rsid w:val="00114784"/>
    <w:rsid w:val="00117730"/>
    <w:rsid w:val="0012025F"/>
    <w:rsid w:val="00121C51"/>
    <w:rsid w:val="00121EAD"/>
    <w:rsid w:val="00123620"/>
    <w:rsid w:val="001246D6"/>
    <w:rsid w:val="00124CDC"/>
    <w:rsid w:val="001312A5"/>
    <w:rsid w:val="00135780"/>
    <w:rsid w:val="00137888"/>
    <w:rsid w:val="00143AC0"/>
    <w:rsid w:val="001526AA"/>
    <w:rsid w:val="00153780"/>
    <w:rsid w:val="001543FF"/>
    <w:rsid w:val="001552E9"/>
    <w:rsid w:val="0016029D"/>
    <w:rsid w:val="001606B5"/>
    <w:rsid w:val="001622D6"/>
    <w:rsid w:val="00164193"/>
    <w:rsid w:val="00164AFD"/>
    <w:rsid w:val="001675BE"/>
    <w:rsid w:val="00173410"/>
    <w:rsid w:val="001735D8"/>
    <w:rsid w:val="001779CA"/>
    <w:rsid w:val="00181727"/>
    <w:rsid w:val="00182858"/>
    <w:rsid w:val="00183201"/>
    <w:rsid w:val="00185042"/>
    <w:rsid w:val="00191B52"/>
    <w:rsid w:val="001941BD"/>
    <w:rsid w:val="0019451A"/>
    <w:rsid w:val="00195710"/>
    <w:rsid w:val="001A0B33"/>
    <w:rsid w:val="001A4F31"/>
    <w:rsid w:val="001A6239"/>
    <w:rsid w:val="001A6415"/>
    <w:rsid w:val="001A7770"/>
    <w:rsid w:val="001B3BAC"/>
    <w:rsid w:val="001B5063"/>
    <w:rsid w:val="001B50B4"/>
    <w:rsid w:val="001B73CB"/>
    <w:rsid w:val="001C4709"/>
    <w:rsid w:val="001C516A"/>
    <w:rsid w:val="001C63BD"/>
    <w:rsid w:val="001C6C98"/>
    <w:rsid w:val="001D0422"/>
    <w:rsid w:val="001D2A90"/>
    <w:rsid w:val="001D5586"/>
    <w:rsid w:val="001D5E13"/>
    <w:rsid w:val="001D6C84"/>
    <w:rsid w:val="001D74E3"/>
    <w:rsid w:val="001E39A2"/>
    <w:rsid w:val="001E4ED2"/>
    <w:rsid w:val="001E57FD"/>
    <w:rsid w:val="001E6A6D"/>
    <w:rsid w:val="001F1B3A"/>
    <w:rsid w:val="001F535C"/>
    <w:rsid w:val="001F6713"/>
    <w:rsid w:val="001F718D"/>
    <w:rsid w:val="00200424"/>
    <w:rsid w:val="00203461"/>
    <w:rsid w:val="00210EE0"/>
    <w:rsid w:val="002110CC"/>
    <w:rsid w:val="0021230C"/>
    <w:rsid w:val="00216BB7"/>
    <w:rsid w:val="002233E0"/>
    <w:rsid w:val="002274F8"/>
    <w:rsid w:val="002277E1"/>
    <w:rsid w:val="00232946"/>
    <w:rsid w:val="002335AB"/>
    <w:rsid w:val="0023390A"/>
    <w:rsid w:val="00234936"/>
    <w:rsid w:val="002376D1"/>
    <w:rsid w:val="00237FC1"/>
    <w:rsid w:val="00241D54"/>
    <w:rsid w:val="00245826"/>
    <w:rsid w:val="00247BA6"/>
    <w:rsid w:val="00250F72"/>
    <w:rsid w:val="0025152D"/>
    <w:rsid w:val="00252EE8"/>
    <w:rsid w:val="00253DE5"/>
    <w:rsid w:val="00255801"/>
    <w:rsid w:val="00256938"/>
    <w:rsid w:val="002602DF"/>
    <w:rsid w:val="00262E42"/>
    <w:rsid w:val="002641C7"/>
    <w:rsid w:val="0026471B"/>
    <w:rsid w:val="00264764"/>
    <w:rsid w:val="00264F26"/>
    <w:rsid w:val="002653B8"/>
    <w:rsid w:val="00272CBA"/>
    <w:rsid w:val="00281457"/>
    <w:rsid w:val="00281C5C"/>
    <w:rsid w:val="002821BB"/>
    <w:rsid w:val="0028237C"/>
    <w:rsid w:val="002842D7"/>
    <w:rsid w:val="00285B0D"/>
    <w:rsid w:val="00290DBA"/>
    <w:rsid w:val="002919B9"/>
    <w:rsid w:val="002922B6"/>
    <w:rsid w:val="0029641C"/>
    <w:rsid w:val="00296F65"/>
    <w:rsid w:val="002974EC"/>
    <w:rsid w:val="002979FC"/>
    <w:rsid w:val="002A1A2B"/>
    <w:rsid w:val="002A27D8"/>
    <w:rsid w:val="002A4F6A"/>
    <w:rsid w:val="002A6AA5"/>
    <w:rsid w:val="002A72B4"/>
    <w:rsid w:val="002A7467"/>
    <w:rsid w:val="002A770E"/>
    <w:rsid w:val="002B1BB1"/>
    <w:rsid w:val="002B22F2"/>
    <w:rsid w:val="002B2E26"/>
    <w:rsid w:val="002B30DE"/>
    <w:rsid w:val="002B4E3F"/>
    <w:rsid w:val="002B5348"/>
    <w:rsid w:val="002B5C11"/>
    <w:rsid w:val="002C1AC8"/>
    <w:rsid w:val="002C259A"/>
    <w:rsid w:val="002C2C69"/>
    <w:rsid w:val="002C2D97"/>
    <w:rsid w:val="002C4EE3"/>
    <w:rsid w:val="002C753D"/>
    <w:rsid w:val="002C7CCA"/>
    <w:rsid w:val="002C7F6C"/>
    <w:rsid w:val="002D04D9"/>
    <w:rsid w:val="002D09D4"/>
    <w:rsid w:val="002D1E1E"/>
    <w:rsid w:val="002D2E4A"/>
    <w:rsid w:val="002D3B45"/>
    <w:rsid w:val="002D4182"/>
    <w:rsid w:val="002D6E7F"/>
    <w:rsid w:val="002E47A5"/>
    <w:rsid w:val="002E604F"/>
    <w:rsid w:val="002E7D94"/>
    <w:rsid w:val="002F06BD"/>
    <w:rsid w:val="002F1C19"/>
    <w:rsid w:val="002F4691"/>
    <w:rsid w:val="00301C39"/>
    <w:rsid w:val="00303A95"/>
    <w:rsid w:val="00303FB2"/>
    <w:rsid w:val="00305002"/>
    <w:rsid w:val="003124BD"/>
    <w:rsid w:val="00313E28"/>
    <w:rsid w:val="00321B96"/>
    <w:rsid w:val="00321F5A"/>
    <w:rsid w:val="00322B32"/>
    <w:rsid w:val="003241F3"/>
    <w:rsid w:val="00326C4B"/>
    <w:rsid w:val="00326D3A"/>
    <w:rsid w:val="003277AE"/>
    <w:rsid w:val="00331CAA"/>
    <w:rsid w:val="003357A6"/>
    <w:rsid w:val="0033657A"/>
    <w:rsid w:val="003403BF"/>
    <w:rsid w:val="00340CF3"/>
    <w:rsid w:val="00341524"/>
    <w:rsid w:val="00342FF3"/>
    <w:rsid w:val="00347DD4"/>
    <w:rsid w:val="003515EF"/>
    <w:rsid w:val="00351C32"/>
    <w:rsid w:val="003532CA"/>
    <w:rsid w:val="00354225"/>
    <w:rsid w:val="00354828"/>
    <w:rsid w:val="00354C3B"/>
    <w:rsid w:val="00356F67"/>
    <w:rsid w:val="00357583"/>
    <w:rsid w:val="00364A4A"/>
    <w:rsid w:val="003662F1"/>
    <w:rsid w:val="00373016"/>
    <w:rsid w:val="0037309F"/>
    <w:rsid w:val="0037548A"/>
    <w:rsid w:val="003759D5"/>
    <w:rsid w:val="00375C1B"/>
    <w:rsid w:val="0038276D"/>
    <w:rsid w:val="0038522A"/>
    <w:rsid w:val="00393D02"/>
    <w:rsid w:val="00396399"/>
    <w:rsid w:val="00397236"/>
    <w:rsid w:val="003A220C"/>
    <w:rsid w:val="003A25B2"/>
    <w:rsid w:val="003A4D89"/>
    <w:rsid w:val="003A632D"/>
    <w:rsid w:val="003A67FE"/>
    <w:rsid w:val="003B0E63"/>
    <w:rsid w:val="003B0EC5"/>
    <w:rsid w:val="003B1456"/>
    <w:rsid w:val="003B3DB8"/>
    <w:rsid w:val="003B41A5"/>
    <w:rsid w:val="003B4A77"/>
    <w:rsid w:val="003B51F4"/>
    <w:rsid w:val="003C44BB"/>
    <w:rsid w:val="003C5894"/>
    <w:rsid w:val="003D15D3"/>
    <w:rsid w:val="003D21BC"/>
    <w:rsid w:val="003D289F"/>
    <w:rsid w:val="003D746A"/>
    <w:rsid w:val="003E0D7A"/>
    <w:rsid w:val="003E11C4"/>
    <w:rsid w:val="003E1C2C"/>
    <w:rsid w:val="003E2C4E"/>
    <w:rsid w:val="003E3D26"/>
    <w:rsid w:val="003E5A5B"/>
    <w:rsid w:val="003E7945"/>
    <w:rsid w:val="003F1747"/>
    <w:rsid w:val="003F18D3"/>
    <w:rsid w:val="003F32E2"/>
    <w:rsid w:val="003F3E6C"/>
    <w:rsid w:val="003F4992"/>
    <w:rsid w:val="003F5F50"/>
    <w:rsid w:val="003F7760"/>
    <w:rsid w:val="00401115"/>
    <w:rsid w:val="004120A2"/>
    <w:rsid w:val="004132B1"/>
    <w:rsid w:val="00413324"/>
    <w:rsid w:val="00413AC8"/>
    <w:rsid w:val="004146D9"/>
    <w:rsid w:val="00415675"/>
    <w:rsid w:val="00415C83"/>
    <w:rsid w:val="0041661A"/>
    <w:rsid w:val="00417D49"/>
    <w:rsid w:val="00420933"/>
    <w:rsid w:val="00421B9D"/>
    <w:rsid w:val="004229BF"/>
    <w:rsid w:val="00424101"/>
    <w:rsid w:val="00424BD4"/>
    <w:rsid w:val="00424C42"/>
    <w:rsid w:val="0042685D"/>
    <w:rsid w:val="004271F0"/>
    <w:rsid w:val="00427358"/>
    <w:rsid w:val="00430EC4"/>
    <w:rsid w:val="0043143B"/>
    <w:rsid w:val="0043204D"/>
    <w:rsid w:val="00432E8A"/>
    <w:rsid w:val="00433033"/>
    <w:rsid w:val="00437BB7"/>
    <w:rsid w:val="00437FE6"/>
    <w:rsid w:val="00441E03"/>
    <w:rsid w:val="004439D2"/>
    <w:rsid w:val="0044510C"/>
    <w:rsid w:val="00445407"/>
    <w:rsid w:val="00447CCC"/>
    <w:rsid w:val="004526AD"/>
    <w:rsid w:val="0045602E"/>
    <w:rsid w:val="00457A98"/>
    <w:rsid w:val="00457AAC"/>
    <w:rsid w:val="00461090"/>
    <w:rsid w:val="00461F08"/>
    <w:rsid w:val="00461F36"/>
    <w:rsid w:val="0046238B"/>
    <w:rsid w:val="004633FE"/>
    <w:rsid w:val="0046379A"/>
    <w:rsid w:val="00464E55"/>
    <w:rsid w:val="004661F2"/>
    <w:rsid w:val="00466762"/>
    <w:rsid w:val="00470269"/>
    <w:rsid w:val="0047086A"/>
    <w:rsid w:val="0047287E"/>
    <w:rsid w:val="00472C8F"/>
    <w:rsid w:val="00472ED8"/>
    <w:rsid w:val="004746CA"/>
    <w:rsid w:val="00475BA1"/>
    <w:rsid w:val="004771B3"/>
    <w:rsid w:val="004778E7"/>
    <w:rsid w:val="00480B8A"/>
    <w:rsid w:val="004833CD"/>
    <w:rsid w:val="0048354D"/>
    <w:rsid w:val="004847D2"/>
    <w:rsid w:val="0048699F"/>
    <w:rsid w:val="00494583"/>
    <w:rsid w:val="00495889"/>
    <w:rsid w:val="004A06F7"/>
    <w:rsid w:val="004A1AC6"/>
    <w:rsid w:val="004A1B03"/>
    <w:rsid w:val="004A2C02"/>
    <w:rsid w:val="004A3053"/>
    <w:rsid w:val="004A4A02"/>
    <w:rsid w:val="004A6B26"/>
    <w:rsid w:val="004B05AA"/>
    <w:rsid w:val="004B2E01"/>
    <w:rsid w:val="004C0BE8"/>
    <w:rsid w:val="004D5A55"/>
    <w:rsid w:val="004D704F"/>
    <w:rsid w:val="004E0DB5"/>
    <w:rsid w:val="004E143C"/>
    <w:rsid w:val="004E43F0"/>
    <w:rsid w:val="004E5A3C"/>
    <w:rsid w:val="004E67DB"/>
    <w:rsid w:val="004F2639"/>
    <w:rsid w:val="0050020F"/>
    <w:rsid w:val="00503254"/>
    <w:rsid w:val="00503CB5"/>
    <w:rsid w:val="00510F4E"/>
    <w:rsid w:val="005119C7"/>
    <w:rsid w:val="00513611"/>
    <w:rsid w:val="005140FA"/>
    <w:rsid w:val="0051658D"/>
    <w:rsid w:val="0051731B"/>
    <w:rsid w:val="00517CE4"/>
    <w:rsid w:val="00524218"/>
    <w:rsid w:val="005258E4"/>
    <w:rsid w:val="00526360"/>
    <w:rsid w:val="00526643"/>
    <w:rsid w:val="00527BAB"/>
    <w:rsid w:val="00527FD8"/>
    <w:rsid w:val="00530A38"/>
    <w:rsid w:val="005342B9"/>
    <w:rsid w:val="00536C4F"/>
    <w:rsid w:val="00536F08"/>
    <w:rsid w:val="005432C1"/>
    <w:rsid w:val="005439F2"/>
    <w:rsid w:val="00543E1F"/>
    <w:rsid w:val="005442EC"/>
    <w:rsid w:val="00550B3D"/>
    <w:rsid w:val="00552542"/>
    <w:rsid w:val="00552F63"/>
    <w:rsid w:val="005536D4"/>
    <w:rsid w:val="00553AB4"/>
    <w:rsid w:val="005564D2"/>
    <w:rsid w:val="00556981"/>
    <w:rsid w:val="00560FB0"/>
    <w:rsid w:val="00562615"/>
    <w:rsid w:val="0056347E"/>
    <w:rsid w:val="005660F1"/>
    <w:rsid w:val="005738DB"/>
    <w:rsid w:val="00574EF2"/>
    <w:rsid w:val="00575A2A"/>
    <w:rsid w:val="00575C2B"/>
    <w:rsid w:val="0057776E"/>
    <w:rsid w:val="005814B4"/>
    <w:rsid w:val="00584A7E"/>
    <w:rsid w:val="00587CD1"/>
    <w:rsid w:val="00587E5D"/>
    <w:rsid w:val="005923AE"/>
    <w:rsid w:val="0059264A"/>
    <w:rsid w:val="00595AD4"/>
    <w:rsid w:val="00595DC1"/>
    <w:rsid w:val="005964F5"/>
    <w:rsid w:val="0059706B"/>
    <w:rsid w:val="00597D65"/>
    <w:rsid w:val="005A0333"/>
    <w:rsid w:val="005A2F47"/>
    <w:rsid w:val="005A3374"/>
    <w:rsid w:val="005A4B0D"/>
    <w:rsid w:val="005A7D68"/>
    <w:rsid w:val="005C0E4B"/>
    <w:rsid w:val="005C3D0F"/>
    <w:rsid w:val="005C5406"/>
    <w:rsid w:val="005C5BCF"/>
    <w:rsid w:val="005C6B1E"/>
    <w:rsid w:val="005D127D"/>
    <w:rsid w:val="005D1EA2"/>
    <w:rsid w:val="005D51E9"/>
    <w:rsid w:val="005E0484"/>
    <w:rsid w:val="005E3362"/>
    <w:rsid w:val="005E370B"/>
    <w:rsid w:val="005E58F8"/>
    <w:rsid w:val="005F2A37"/>
    <w:rsid w:val="005F2B54"/>
    <w:rsid w:val="005F4B38"/>
    <w:rsid w:val="00602684"/>
    <w:rsid w:val="00606287"/>
    <w:rsid w:val="00606E25"/>
    <w:rsid w:val="00610DDF"/>
    <w:rsid w:val="00610E24"/>
    <w:rsid w:val="00613465"/>
    <w:rsid w:val="00616109"/>
    <w:rsid w:val="0061675C"/>
    <w:rsid w:val="0061776E"/>
    <w:rsid w:val="00617B8B"/>
    <w:rsid w:val="00620AD4"/>
    <w:rsid w:val="00620FD6"/>
    <w:rsid w:val="006234A4"/>
    <w:rsid w:val="006251A0"/>
    <w:rsid w:val="00625398"/>
    <w:rsid w:val="00626ECD"/>
    <w:rsid w:val="00627960"/>
    <w:rsid w:val="00630DD1"/>
    <w:rsid w:val="00631E5F"/>
    <w:rsid w:val="00633D7E"/>
    <w:rsid w:val="006341AF"/>
    <w:rsid w:val="006343E4"/>
    <w:rsid w:val="00634A8C"/>
    <w:rsid w:val="00635B75"/>
    <w:rsid w:val="006419AB"/>
    <w:rsid w:val="006420D7"/>
    <w:rsid w:val="00644C4C"/>
    <w:rsid w:val="0064502E"/>
    <w:rsid w:val="00645D30"/>
    <w:rsid w:val="00646513"/>
    <w:rsid w:val="00646ECA"/>
    <w:rsid w:val="006475C4"/>
    <w:rsid w:val="00652C83"/>
    <w:rsid w:val="006575A0"/>
    <w:rsid w:val="00657869"/>
    <w:rsid w:val="0066641B"/>
    <w:rsid w:val="0066669E"/>
    <w:rsid w:val="00670D68"/>
    <w:rsid w:val="00671FB0"/>
    <w:rsid w:val="006763B5"/>
    <w:rsid w:val="006805A7"/>
    <w:rsid w:val="00681541"/>
    <w:rsid w:val="006824B0"/>
    <w:rsid w:val="00684DC2"/>
    <w:rsid w:val="00690289"/>
    <w:rsid w:val="00691262"/>
    <w:rsid w:val="006919CF"/>
    <w:rsid w:val="006940CF"/>
    <w:rsid w:val="006943A1"/>
    <w:rsid w:val="00694A19"/>
    <w:rsid w:val="00697F65"/>
    <w:rsid w:val="006A122C"/>
    <w:rsid w:val="006A12A8"/>
    <w:rsid w:val="006A1A3E"/>
    <w:rsid w:val="006A2B93"/>
    <w:rsid w:val="006A5BCD"/>
    <w:rsid w:val="006B0E75"/>
    <w:rsid w:val="006B4469"/>
    <w:rsid w:val="006C1609"/>
    <w:rsid w:val="006C4F99"/>
    <w:rsid w:val="006C679A"/>
    <w:rsid w:val="006D0B0F"/>
    <w:rsid w:val="006D17B4"/>
    <w:rsid w:val="006D2579"/>
    <w:rsid w:val="006D5180"/>
    <w:rsid w:val="006D560B"/>
    <w:rsid w:val="006D6743"/>
    <w:rsid w:val="006E31B5"/>
    <w:rsid w:val="006E3AEF"/>
    <w:rsid w:val="006E497B"/>
    <w:rsid w:val="006E717D"/>
    <w:rsid w:val="006F266E"/>
    <w:rsid w:val="006F3CB2"/>
    <w:rsid w:val="006F4936"/>
    <w:rsid w:val="0070008D"/>
    <w:rsid w:val="00700AAD"/>
    <w:rsid w:val="00701D7A"/>
    <w:rsid w:val="00703020"/>
    <w:rsid w:val="00705B84"/>
    <w:rsid w:val="0070618D"/>
    <w:rsid w:val="00706208"/>
    <w:rsid w:val="0070741F"/>
    <w:rsid w:val="00711E79"/>
    <w:rsid w:val="00712525"/>
    <w:rsid w:val="007134EF"/>
    <w:rsid w:val="00713524"/>
    <w:rsid w:val="0072250E"/>
    <w:rsid w:val="00722B5B"/>
    <w:rsid w:val="00724D0C"/>
    <w:rsid w:val="00725075"/>
    <w:rsid w:val="007322B3"/>
    <w:rsid w:val="007362FF"/>
    <w:rsid w:val="00737C6E"/>
    <w:rsid w:val="00737EBC"/>
    <w:rsid w:val="00740C38"/>
    <w:rsid w:val="00743010"/>
    <w:rsid w:val="00743E56"/>
    <w:rsid w:val="007442A4"/>
    <w:rsid w:val="00750959"/>
    <w:rsid w:val="00750E81"/>
    <w:rsid w:val="0075367E"/>
    <w:rsid w:val="00753969"/>
    <w:rsid w:val="007551BD"/>
    <w:rsid w:val="00755A80"/>
    <w:rsid w:val="00760454"/>
    <w:rsid w:val="00760BFB"/>
    <w:rsid w:val="00765C19"/>
    <w:rsid w:val="007667EA"/>
    <w:rsid w:val="00771DD9"/>
    <w:rsid w:val="00771F55"/>
    <w:rsid w:val="007778A2"/>
    <w:rsid w:val="007778DD"/>
    <w:rsid w:val="007816C8"/>
    <w:rsid w:val="007819B6"/>
    <w:rsid w:val="00783653"/>
    <w:rsid w:val="0078522E"/>
    <w:rsid w:val="007933A5"/>
    <w:rsid w:val="007953BA"/>
    <w:rsid w:val="007953FD"/>
    <w:rsid w:val="00796F31"/>
    <w:rsid w:val="007A2007"/>
    <w:rsid w:val="007B0478"/>
    <w:rsid w:val="007B24E3"/>
    <w:rsid w:val="007B7001"/>
    <w:rsid w:val="007B7F41"/>
    <w:rsid w:val="007C0F58"/>
    <w:rsid w:val="007C2C45"/>
    <w:rsid w:val="007C4D81"/>
    <w:rsid w:val="007C4F84"/>
    <w:rsid w:val="007C52D7"/>
    <w:rsid w:val="007C5FD8"/>
    <w:rsid w:val="007D17A6"/>
    <w:rsid w:val="007D23EE"/>
    <w:rsid w:val="007D48AB"/>
    <w:rsid w:val="007D6B4B"/>
    <w:rsid w:val="007E0038"/>
    <w:rsid w:val="007E04F8"/>
    <w:rsid w:val="007E108C"/>
    <w:rsid w:val="007E17D7"/>
    <w:rsid w:val="007E3D1E"/>
    <w:rsid w:val="007E495E"/>
    <w:rsid w:val="007E5064"/>
    <w:rsid w:val="007E79F7"/>
    <w:rsid w:val="007F15BB"/>
    <w:rsid w:val="007F2064"/>
    <w:rsid w:val="007F2D1F"/>
    <w:rsid w:val="007F3F13"/>
    <w:rsid w:val="007F54E8"/>
    <w:rsid w:val="007F695A"/>
    <w:rsid w:val="008007ED"/>
    <w:rsid w:val="00801DA1"/>
    <w:rsid w:val="008047DB"/>
    <w:rsid w:val="008049C8"/>
    <w:rsid w:val="00816010"/>
    <w:rsid w:val="00816129"/>
    <w:rsid w:val="00816142"/>
    <w:rsid w:val="00816633"/>
    <w:rsid w:val="008205FE"/>
    <w:rsid w:val="00821AAF"/>
    <w:rsid w:val="00821D45"/>
    <w:rsid w:val="008222E2"/>
    <w:rsid w:val="0082626D"/>
    <w:rsid w:val="0083042F"/>
    <w:rsid w:val="00830595"/>
    <w:rsid w:val="00831777"/>
    <w:rsid w:val="00831914"/>
    <w:rsid w:val="0083495A"/>
    <w:rsid w:val="00834E73"/>
    <w:rsid w:val="0083711C"/>
    <w:rsid w:val="008421B1"/>
    <w:rsid w:val="00843353"/>
    <w:rsid w:val="0084549D"/>
    <w:rsid w:val="00847C48"/>
    <w:rsid w:val="00850AA1"/>
    <w:rsid w:val="00852BA5"/>
    <w:rsid w:val="00853AF6"/>
    <w:rsid w:val="00860725"/>
    <w:rsid w:val="008644BB"/>
    <w:rsid w:val="00867088"/>
    <w:rsid w:val="008701A2"/>
    <w:rsid w:val="008746D4"/>
    <w:rsid w:val="00884B3A"/>
    <w:rsid w:val="00887170"/>
    <w:rsid w:val="00890D0A"/>
    <w:rsid w:val="00895113"/>
    <w:rsid w:val="00895B60"/>
    <w:rsid w:val="008A44CC"/>
    <w:rsid w:val="008A72C0"/>
    <w:rsid w:val="008B5F79"/>
    <w:rsid w:val="008B63CF"/>
    <w:rsid w:val="008B7269"/>
    <w:rsid w:val="008C0021"/>
    <w:rsid w:val="008C6922"/>
    <w:rsid w:val="008C72A3"/>
    <w:rsid w:val="008C7E08"/>
    <w:rsid w:val="008D3513"/>
    <w:rsid w:val="008D4658"/>
    <w:rsid w:val="008D5AFF"/>
    <w:rsid w:val="008E20C0"/>
    <w:rsid w:val="008E40C3"/>
    <w:rsid w:val="008F10DC"/>
    <w:rsid w:val="008F4E58"/>
    <w:rsid w:val="008F51BE"/>
    <w:rsid w:val="008F7505"/>
    <w:rsid w:val="008F7875"/>
    <w:rsid w:val="00900062"/>
    <w:rsid w:val="0090011B"/>
    <w:rsid w:val="00901973"/>
    <w:rsid w:val="00901CAD"/>
    <w:rsid w:val="0090397D"/>
    <w:rsid w:val="0090420C"/>
    <w:rsid w:val="00906228"/>
    <w:rsid w:val="009066A6"/>
    <w:rsid w:val="0091254D"/>
    <w:rsid w:val="00916798"/>
    <w:rsid w:val="0091756D"/>
    <w:rsid w:val="00917980"/>
    <w:rsid w:val="009214EC"/>
    <w:rsid w:val="00923878"/>
    <w:rsid w:val="00923F8E"/>
    <w:rsid w:val="00931BD2"/>
    <w:rsid w:val="00936106"/>
    <w:rsid w:val="0093770F"/>
    <w:rsid w:val="009408D9"/>
    <w:rsid w:val="00941C03"/>
    <w:rsid w:val="00943454"/>
    <w:rsid w:val="00947493"/>
    <w:rsid w:val="00950B24"/>
    <w:rsid w:val="00953FF1"/>
    <w:rsid w:val="009562D8"/>
    <w:rsid w:val="0095734A"/>
    <w:rsid w:val="00957785"/>
    <w:rsid w:val="0096010C"/>
    <w:rsid w:val="00960C0C"/>
    <w:rsid w:val="009611BD"/>
    <w:rsid w:val="00961D75"/>
    <w:rsid w:val="009627E0"/>
    <w:rsid w:val="00966E3E"/>
    <w:rsid w:val="009676A8"/>
    <w:rsid w:val="00970EBD"/>
    <w:rsid w:val="009715C0"/>
    <w:rsid w:val="009718E0"/>
    <w:rsid w:val="00971D49"/>
    <w:rsid w:val="00972D08"/>
    <w:rsid w:val="009730ED"/>
    <w:rsid w:val="009762D2"/>
    <w:rsid w:val="00977CAD"/>
    <w:rsid w:val="00977DB3"/>
    <w:rsid w:val="00981347"/>
    <w:rsid w:val="00984C3C"/>
    <w:rsid w:val="00985156"/>
    <w:rsid w:val="00987374"/>
    <w:rsid w:val="0098785F"/>
    <w:rsid w:val="009925FA"/>
    <w:rsid w:val="00993FB7"/>
    <w:rsid w:val="009956DE"/>
    <w:rsid w:val="00996814"/>
    <w:rsid w:val="009A2B35"/>
    <w:rsid w:val="009A38D8"/>
    <w:rsid w:val="009A5B1A"/>
    <w:rsid w:val="009A659D"/>
    <w:rsid w:val="009A7300"/>
    <w:rsid w:val="009C2630"/>
    <w:rsid w:val="009C4BCD"/>
    <w:rsid w:val="009C4F5B"/>
    <w:rsid w:val="009C5A5D"/>
    <w:rsid w:val="009C5B4F"/>
    <w:rsid w:val="009D072A"/>
    <w:rsid w:val="009D2758"/>
    <w:rsid w:val="009D2A4D"/>
    <w:rsid w:val="009D2F72"/>
    <w:rsid w:val="009E0B28"/>
    <w:rsid w:val="009E0CA8"/>
    <w:rsid w:val="009E1735"/>
    <w:rsid w:val="009E3BFF"/>
    <w:rsid w:val="009E55D4"/>
    <w:rsid w:val="009E5A85"/>
    <w:rsid w:val="009E6E9B"/>
    <w:rsid w:val="009E72AF"/>
    <w:rsid w:val="009E7BD8"/>
    <w:rsid w:val="009F0ECB"/>
    <w:rsid w:val="009F1C6D"/>
    <w:rsid w:val="009F20CD"/>
    <w:rsid w:val="009F3442"/>
    <w:rsid w:val="009F459C"/>
    <w:rsid w:val="009F54AE"/>
    <w:rsid w:val="009F5815"/>
    <w:rsid w:val="009F6522"/>
    <w:rsid w:val="00A00AEE"/>
    <w:rsid w:val="00A00CFE"/>
    <w:rsid w:val="00A01DCD"/>
    <w:rsid w:val="00A02826"/>
    <w:rsid w:val="00A115F2"/>
    <w:rsid w:val="00A1492F"/>
    <w:rsid w:val="00A158FC"/>
    <w:rsid w:val="00A16EE7"/>
    <w:rsid w:val="00A176BD"/>
    <w:rsid w:val="00A20306"/>
    <w:rsid w:val="00A20D2C"/>
    <w:rsid w:val="00A21226"/>
    <w:rsid w:val="00A218F8"/>
    <w:rsid w:val="00A22010"/>
    <w:rsid w:val="00A242BF"/>
    <w:rsid w:val="00A26DD7"/>
    <w:rsid w:val="00A303DD"/>
    <w:rsid w:val="00A30A9B"/>
    <w:rsid w:val="00A311D3"/>
    <w:rsid w:val="00A32906"/>
    <w:rsid w:val="00A348BF"/>
    <w:rsid w:val="00A34AE9"/>
    <w:rsid w:val="00A36281"/>
    <w:rsid w:val="00A37BE6"/>
    <w:rsid w:val="00A37EEF"/>
    <w:rsid w:val="00A437BF"/>
    <w:rsid w:val="00A441FC"/>
    <w:rsid w:val="00A46658"/>
    <w:rsid w:val="00A50D54"/>
    <w:rsid w:val="00A51683"/>
    <w:rsid w:val="00A51A90"/>
    <w:rsid w:val="00A544D3"/>
    <w:rsid w:val="00A54AFF"/>
    <w:rsid w:val="00A557EA"/>
    <w:rsid w:val="00A564B1"/>
    <w:rsid w:val="00A5730C"/>
    <w:rsid w:val="00A608F4"/>
    <w:rsid w:val="00A6141B"/>
    <w:rsid w:val="00A61972"/>
    <w:rsid w:val="00A6562E"/>
    <w:rsid w:val="00A65912"/>
    <w:rsid w:val="00A661E6"/>
    <w:rsid w:val="00A66204"/>
    <w:rsid w:val="00A664F2"/>
    <w:rsid w:val="00A67731"/>
    <w:rsid w:val="00A72517"/>
    <w:rsid w:val="00A740D1"/>
    <w:rsid w:val="00A80728"/>
    <w:rsid w:val="00A80C16"/>
    <w:rsid w:val="00A81CC0"/>
    <w:rsid w:val="00A86236"/>
    <w:rsid w:val="00A8788D"/>
    <w:rsid w:val="00A93A38"/>
    <w:rsid w:val="00A95007"/>
    <w:rsid w:val="00A956B6"/>
    <w:rsid w:val="00AA120B"/>
    <w:rsid w:val="00AA1394"/>
    <w:rsid w:val="00AA17D0"/>
    <w:rsid w:val="00AA41D4"/>
    <w:rsid w:val="00AA75CD"/>
    <w:rsid w:val="00AB0439"/>
    <w:rsid w:val="00AB254C"/>
    <w:rsid w:val="00AB3208"/>
    <w:rsid w:val="00AB33AF"/>
    <w:rsid w:val="00AB3810"/>
    <w:rsid w:val="00AB4AF1"/>
    <w:rsid w:val="00AB4D4E"/>
    <w:rsid w:val="00AB58E4"/>
    <w:rsid w:val="00AC13AD"/>
    <w:rsid w:val="00AC2B11"/>
    <w:rsid w:val="00AC4C4D"/>
    <w:rsid w:val="00AC573E"/>
    <w:rsid w:val="00AD063A"/>
    <w:rsid w:val="00AD1776"/>
    <w:rsid w:val="00AD18F7"/>
    <w:rsid w:val="00AD2119"/>
    <w:rsid w:val="00AD556C"/>
    <w:rsid w:val="00AD65E1"/>
    <w:rsid w:val="00AF24BF"/>
    <w:rsid w:val="00AF6E43"/>
    <w:rsid w:val="00B004AB"/>
    <w:rsid w:val="00B0085C"/>
    <w:rsid w:val="00B01357"/>
    <w:rsid w:val="00B014C3"/>
    <w:rsid w:val="00B01EBD"/>
    <w:rsid w:val="00B02C45"/>
    <w:rsid w:val="00B03CEC"/>
    <w:rsid w:val="00B11135"/>
    <w:rsid w:val="00B1127D"/>
    <w:rsid w:val="00B15B98"/>
    <w:rsid w:val="00B2245C"/>
    <w:rsid w:val="00B23AE9"/>
    <w:rsid w:val="00B23B32"/>
    <w:rsid w:val="00B272D5"/>
    <w:rsid w:val="00B3077A"/>
    <w:rsid w:val="00B329F3"/>
    <w:rsid w:val="00B350BB"/>
    <w:rsid w:val="00B355E7"/>
    <w:rsid w:val="00B373E8"/>
    <w:rsid w:val="00B4279D"/>
    <w:rsid w:val="00B50856"/>
    <w:rsid w:val="00B5199D"/>
    <w:rsid w:val="00B54A33"/>
    <w:rsid w:val="00B56084"/>
    <w:rsid w:val="00B5685A"/>
    <w:rsid w:val="00B602D6"/>
    <w:rsid w:val="00B60828"/>
    <w:rsid w:val="00B60FE4"/>
    <w:rsid w:val="00B6214C"/>
    <w:rsid w:val="00B66D9C"/>
    <w:rsid w:val="00B67DAD"/>
    <w:rsid w:val="00B70A90"/>
    <w:rsid w:val="00B70B28"/>
    <w:rsid w:val="00B71CA0"/>
    <w:rsid w:val="00B76DA5"/>
    <w:rsid w:val="00B776C3"/>
    <w:rsid w:val="00B81853"/>
    <w:rsid w:val="00B81B22"/>
    <w:rsid w:val="00B82265"/>
    <w:rsid w:val="00B91E6E"/>
    <w:rsid w:val="00B926C2"/>
    <w:rsid w:val="00B92A46"/>
    <w:rsid w:val="00B92E19"/>
    <w:rsid w:val="00B957EA"/>
    <w:rsid w:val="00B960C3"/>
    <w:rsid w:val="00B96721"/>
    <w:rsid w:val="00B9692E"/>
    <w:rsid w:val="00B97F63"/>
    <w:rsid w:val="00BA2588"/>
    <w:rsid w:val="00BA32A8"/>
    <w:rsid w:val="00BA4E1B"/>
    <w:rsid w:val="00BA50EC"/>
    <w:rsid w:val="00BA5B16"/>
    <w:rsid w:val="00BA6E0D"/>
    <w:rsid w:val="00BB0E7C"/>
    <w:rsid w:val="00BB252D"/>
    <w:rsid w:val="00BB7DDF"/>
    <w:rsid w:val="00BC0DD3"/>
    <w:rsid w:val="00BC288A"/>
    <w:rsid w:val="00BC2890"/>
    <w:rsid w:val="00BC47F6"/>
    <w:rsid w:val="00BD0669"/>
    <w:rsid w:val="00BD5D17"/>
    <w:rsid w:val="00BD663F"/>
    <w:rsid w:val="00BE0146"/>
    <w:rsid w:val="00BE1B41"/>
    <w:rsid w:val="00BE36A2"/>
    <w:rsid w:val="00BE3E65"/>
    <w:rsid w:val="00BE7E66"/>
    <w:rsid w:val="00BF1DE4"/>
    <w:rsid w:val="00BF3F6A"/>
    <w:rsid w:val="00BF4DE3"/>
    <w:rsid w:val="00BF7926"/>
    <w:rsid w:val="00C014BB"/>
    <w:rsid w:val="00C02A94"/>
    <w:rsid w:val="00C058A2"/>
    <w:rsid w:val="00C103ED"/>
    <w:rsid w:val="00C10832"/>
    <w:rsid w:val="00C169AB"/>
    <w:rsid w:val="00C16C83"/>
    <w:rsid w:val="00C20700"/>
    <w:rsid w:val="00C21282"/>
    <w:rsid w:val="00C2313B"/>
    <w:rsid w:val="00C24556"/>
    <w:rsid w:val="00C25D6B"/>
    <w:rsid w:val="00C27EBB"/>
    <w:rsid w:val="00C31B28"/>
    <w:rsid w:val="00C3304D"/>
    <w:rsid w:val="00C3346B"/>
    <w:rsid w:val="00C433B6"/>
    <w:rsid w:val="00C46205"/>
    <w:rsid w:val="00C46F8F"/>
    <w:rsid w:val="00C471F4"/>
    <w:rsid w:val="00C5264C"/>
    <w:rsid w:val="00C52EDF"/>
    <w:rsid w:val="00C53AD6"/>
    <w:rsid w:val="00C542C8"/>
    <w:rsid w:val="00C54705"/>
    <w:rsid w:val="00C54997"/>
    <w:rsid w:val="00C54C66"/>
    <w:rsid w:val="00C54DFC"/>
    <w:rsid w:val="00C5670A"/>
    <w:rsid w:val="00C63A7B"/>
    <w:rsid w:val="00C7001F"/>
    <w:rsid w:val="00C70820"/>
    <w:rsid w:val="00C7083D"/>
    <w:rsid w:val="00C72F5C"/>
    <w:rsid w:val="00C73B8F"/>
    <w:rsid w:val="00C7552C"/>
    <w:rsid w:val="00C75BC3"/>
    <w:rsid w:val="00C75E0D"/>
    <w:rsid w:val="00C80B50"/>
    <w:rsid w:val="00C86E21"/>
    <w:rsid w:val="00C90E93"/>
    <w:rsid w:val="00C92900"/>
    <w:rsid w:val="00C93933"/>
    <w:rsid w:val="00C93A35"/>
    <w:rsid w:val="00C956D7"/>
    <w:rsid w:val="00C96638"/>
    <w:rsid w:val="00C973A5"/>
    <w:rsid w:val="00CA0941"/>
    <w:rsid w:val="00CA1748"/>
    <w:rsid w:val="00CA2504"/>
    <w:rsid w:val="00CA4032"/>
    <w:rsid w:val="00CA5CF5"/>
    <w:rsid w:val="00CA6CF1"/>
    <w:rsid w:val="00CA7815"/>
    <w:rsid w:val="00CB3514"/>
    <w:rsid w:val="00CB6012"/>
    <w:rsid w:val="00CB667F"/>
    <w:rsid w:val="00CC176B"/>
    <w:rsid w:val="00CC20BF"/>
    <w:rsid w:val="00CC2C19"/>
    <w:rsid w:val="00CC47C7"/>
    <w:rsid w:val="00CC7243"/>
    <w:rsid w:val="00CD05B7"/>
    <w:rsid w:val="00CD0DBD"/>
    <w:rsid w:val="00CD24E9"/>
    <w:rsid w:val="00CD2C84"/>
    <w:rsid w:val="00CD428B"/>
    <w:rsid w:val="00CD6489"/>
    <w:rsid w:val="00CE3484"/>
    <w:rsid w:val="00CE37DA"/>
    <w:rsid w:val="00CE47D3"/>
    <w:rsid w:val="00CE4BDD"/>
    <w:rsid w:val="00CE74F7"/>
    <w:rsid w:val="00CF5152"/>
    <w:rsid w:val="00CF72BC"/>
    <w:rsid w:val="00CF78A5"/>
    <w:rsid w:val="00D00F7C"/>
    <w:rsid w:val="00D1069B"/>
    <w:rsid w:val="00D114A8"/>
    <w:rsid w:val="00D11C66"/>
    <w:rsid w:val="00D16391"/>
    <w:rsid w:val="00D17705"/>
    <w:rsid w:val="00D17A6E"/>
    <w:rsid w:val="00D25087"/>
    <w:rsid w:val="00D25EDC"/>
    <w:rsid w:val="00D33C26"/>
    <w:rsid w:val="00D33EB0"/>
    <w:rsid w:val="00D35FF0"/>
    <w:rsid w:val="00D36544"/>
    <w:rsid w:val="00D40526"/>
    <w:rsid w:val="00D40F68"/>
    <w:rsid w:val="00D4213C"/>
    <w:rsid w:val="00D451A2"/>
    <w:rsid w:val="00D458ED"/>
    <w:rsid w:val="00D47024"/>
    <w:rsid w:val="00D53495"/>
    <w:rsid w:val="00D535C9"/>
    <w:rsid w:val="00D53864"/>
    <w:rsid w:val="00D543C0"/>
    <w:rsid w:val="00D55AEB"/>
    <w:rsid w:val="00D627E3"/>
    <w:rsid w:val="00D664E4"/>
    <w:rsid w:val="00D67149"/>
    <w:rsid w:val="00D75477"/>
    <w:rsid w:val="00D77104"/>
    <w:rsid w:val="00D771DD"/>
    <w:rsid w:val="00D773AC"/>
    <w:rsid w:val="00D77BDA"/>
    <w:rsid w:val="00D84BD3"/>
    <w:rsid w:val="00D85107"/>
    <w:rsid w:val="00D852E6"/>
    <w:rsid w:val="00D91711"/>
    <w:rsid w:val="00D9181D"/>
    <w:rsid w:val="00D94851"/>
    <w:rsid w:val="00D94BF9"/>
    <w:rsid w:val="00D94C38"/>
    <w:rsid w:val="00D95230"/>
    <w:rsid w:val="00D96A8C"/>
    <w:rsid w:val="00DA1F06"/>
    <w:rsid w:val="00DA2367"/>
    <w:rsid w:val="00DA439C"/>
    <w:rsid w:val="00DA5377"/>
    <w:rsid w:val="00DA5546"/>
    <w:rsid w:val="00DA5757"/>
    <w:rsid w:val="00DB287D"/>
    <w:rsid w:val="00DB4A71"/>
    <w:rsid w:val="00DB7CEF"/>
    <w:rsid w:val="00DC03C3"/>
    <w:rsid w:val="00DC0894"/>
    <w:rsid w:val="00DC0C41"/>
    <w:rsid w:val="00DC3371"/>
    <w:rsid w:val="00DC34A4"/>
    <w:rsid w:val="00DD0FA9"/>
    <w:rsid w:val="00DD16C0"/>
    <w:rsid w:val="00DD5879"/>
    <w:rsid w:val="00DE0545"/>
    <w:rsid w:val="00DF46F7"/>
    <w:rsid w:val="00DF48D8"/>
    <w:rsid w:val="00DF7DA7"/>
    <w:rsid w:val="00E001CA"/>
    <w:rsid w:val="00E00517"/>
    <w:rsid w:val="00E0279E"/>
    <w:rsid w:val="00E038B4"/>
    <w:rsid w:val="00E056FF"/>
    <w:rsid w:val="00E125F1"/>
    <w:rsid w:val="00E133F6"/>
    <w:rsid w:val="00E16B29"/>
    <w:rsid w:val="00E17157"/>
    <w:rsid w:val="00E175F6"/>
    <w:rsid w:val="00E20C69"/>
    <w:rsid w:val="00E25758"/>
    <w:rsid w:val="00E25F95"/>
    <w:rsid w:val="00E31DC8"/>
    <w:rsid w:val="00E32179"/>
    <w:rsid w:val="00E32FA2"/>
    <w:rsid w:val="00E33C83"/>
    <w:rsid w:val="00E3464E"/>
    <w:rsid w:val="00E3673D"/>
    <w:rsid w:val="00E37055"/>
    <w:rsid w:val="00E43CD6"/>
    <w:rsid w:val="00E44BB5"/>
    <w:rsid w:val="00E47B61"/>
    <w:rsid w:val="00E501E2"/>
    <w:rsid w:val="00E552E5"/>
    <w:rsid w:val="00E56095"/>
    <w:rsid w:val="00E576F6"/>
    <w:rsid w:val="00E601A8"/>
    <w:rsid w:val="00E606EF"/>
    <w:rsid w:val="00E608E7"/>
    <w:rsid w:val="00E60A85"/>
    <w:rsid w:val="00E61437"/>
    <w:rsid w:val="00E62F75"/>
    <w:rsid w:val="00E63232"/>
    <w:rsid w:val="00E63953"/>
    <w:rsid w:val="00E64875"/>
    <w:rsid w:val="00E654B8"/>
    <w:rsid w:val="00E66359"/>
    <w:rsid w:val="00E7032B"/>
    <w:rsid w:val="00E71F41"/>
    <w:rsid w:val="00E735DB"/>
    <w:rsid w:val="00E7471D"/>
    <w:rsid w:val="00E804D3"/>
    <w:rsid w:val="00E80A85"/>
    <w:rsid w:val="00E83427"/>
    <w:rsid w:val="00E84234"/>
    <w:rsid w:val="00E8725E"/>
    <w:rsid w:val="00E916C9"/>
    <w:rsid w:val="00E94AC7"/>
    <w:rsid w:val="00EA1193"/>
    <w:rsid w:val="00EA3A06"/>
    <w:rsid w:val="00EA4E12"/>
    <w:rsid w:val="00EA5CE8"/>
    <w:rsid w:val="00EB3585"/>
    <w:rsid w:val="00EB3ABC"/>
    <w:rsid w:val="00EB4F3D"/>
    <w:rsid w:val="00EB7F34"/>
    <w:rsid w:val="00EC759E"/>
    <w:rsid w:val="00EC7718"/>
    <w:rsid w:val="00ED04E9"/>
    <w:rsid w:val="00ED3246"/>
    <w:rsid w:val="00ED4B51"/>
    <w:rsid w:val="00ED6227"/>
    <w:rsid w:val="00ED726E"/>
    <w:rsid w:val="00ED7578"/>
    <w:rsid w:val="00EE2574"/>
    <w:rsid w:val="00EE57D3"/>
    <w:rsid w:val="00EF142E"/>
    <w:rsid w:val="00EF1915"/>
    <w:rsid w:val="00EF26FD"/>
    <w:rsid w:val="00EF29E7"/>
    <w:rsid w:val="00F0201A"/>
    <w:rsid w:val="00F04E8D"/>
    <w:rsid w:val="00F05E84"/>
    <w:rsid w:val="00F13BA9"/>
    <w:rsid w:val="00F1620A"/>
    <w:rsid w:val="00F17B83"/>
    <w:rsid w:val="00F22555"/>
    <w:rsid w:val="00F245F0"/>
    <w:rsid w:val="00F325AE"/>
    <w:rsid w:val="00F33274"/>
    <w:rsid w:val="00F35679"/>
    <w:rsid w:val="00F3654C"/>
    <w:rsid w:val="00F36577"/>
    <w:rsid w:val="00F368E8"/>
    <w:rsid w:val="00F45CE5"/>
    <w:rsid w:val="00F47DFD"/>
    <w:rsid w:val="00F520C0"/>
    <w:rsid w:val="00F539D2"/>
    <w:rsid w:val="00F552C3"/>
    <w:rsid w:val="00F63F94"/>
    <w:rsid w:val="00F67A3A"/>
    <w:rsid w:val="00F73599"/>
    <w:rsid w:val="00F74347"/>
    <w:rsid w:val="00F75052"/>
    <w:rsid w:val="00F75B0F"/>
    <w:rsid w:val="00F80A17"/>
    <w:rsid w:val="00F831B3"/>
    <w:rsid w:val="00F833DB"/>
    <w:rsid w:val="00F84785"/>
    <w:rsid w:val="00F84944"/>
    <w:rsid w:val="00F902C7"/>
    <w:rsid w:val="00F907BA"/>
    <w:rsid w:val="00F939B7"/>
    <w:rsid w:val="00F939B8"/>
    <w:rsid w:val="00F93DD3"/>
    <w:rsid w:val="00F95AD0"/>
    <w:rsid w:val="00F96679"/>
    <w:rsid w:val="00F96872"/>
    <w:rsid w:val="00F968D5"/>
    <w:rsid w:val="00F97D89"/>
    <w:rsid w:val="00FA04CD"/>
    <w:rsid w:val="00FA3669"/>
    <w:rsid w:val="00FA71F4"/>
    <w:rsid w:val="00FA7999"/>
    <w:rsid w:val="00FB0166"/>
    <w:rsid w:val="00FB09EF"/>
    <w:rsid w:val="00FB0DB7"/>
    <w:rsid w:val="00FB1C6C"/>
    <w:rsid w:val="00FB4C7F"/>
    <w:rsid w:val="00FB69E9"/>
    <w:rsid w:val="00FC06E5"/>
    <w:rsid w:val="00FC4ACD"/>
    <w:rsid w:val="00FC63B9"/>
    <w:rsid w:val="00FC6AAA"/>
    <w:rsid w:val="00FC7925"/>
    <w:rsid w:val="00FD0307"/>
    <w:rsid w:val="00FD032F"/>
    <w:rsid w:val="00FD5D21"/>
    <w:rsid w:val="00FD6AD6"/>
    <w:rsid w:val="00FE0714"/>
    <w:rsid w:val="00FE0D9C"/>
    <w:rsid w:val="00FE2367"/>
    <w:rsid w:val="00FE5CAA"/>
    <w:rsid w:val="00FE5F8C"/>
    <w:rsid w:val="00FF1394"/>
    <w:rsid w:val="00FF1B4D"/>
    <w:rsid w:val="00FF59AA"/>
    <w:rsid w:val="00FF7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F2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556"/>
    <w:pPr>
      <w:autoSpaceDE w:val="0"/>
      <w:autoSpaceDN w:val="0"/>
      <w:adjustRightInd w:val="0"/>
      <w:spacing w:after="200"/>
      <w:ind w:left="425"/>
      <w:jc w:val="both"/>
    </w:pPr>
    <w:rPr>
      <w:rFonts w:ascii="Calibri" w:hAnsi="Calibri" w:cs="Calibri"/>
      <w:color w:val="000000"/>
      <w:lang w:val="en-AU"/>
    </w:rPr>
  </w:style>
  <w:style w:type="paragraph" w:styleId="Heading1">
    <w:name w:val="heading 1"/>
    <w:basedOn w:val="Normal"/>
    <w:next w:val="Normal"/>
    <w:link w:val="Heading1Char"/>
    <w:uiPriority w:val="9"/>
    <w:qFormat/>
    <w:rsid w:val="00670D68"/>
    <w:pPr>
      <w:keepNext/>
      <w:keepLines/>
      <w:numPr>
        <w:numId w:val="1"/>
      </w:numPr>
      <w:spacing w:before="240" w:after="240"/>
      <w:ind w:left="426" w:hanging="426"/>
      <w:outlineLvl w:val="0"/>
    </w:pPr>
    <w:rPr>
      <w:rFonts w:eastAsiaTheme="majorEastAsia" w:cstheme="majorBidi"/>
      <w:b/>
      <w:color w:val="1F4E79" w:themeColor="accent5" w:themeShade="80"/>
      <w:sz w:val="32"/>
      <w:szCs w:val="32"/>
    </w:rPr>
  </w:style>
  <w:style w:type="paragraph" w:styleId="Heading2">
    <w:name w:val="heading 2"/>
    <w:basedOn w:val="Normal"/>
    <w:next w:val="Normal"/>
    <w:link w:val="Heading2Char"/>
    <w:uiPriority w:val="9"/>
    <w:unhideWhenUsed/>
    <w:qFormat/>
    <w:rsid w:val="0051731B"/>
    <w:pPr>
      <w:keepNext/>
      <w:keepLines/>
      <w:numPr>
        <w:ilvl w:val="1"/>
        <w:numId w:val="1"/>
      </w:numPr>
      <w:spacing w:before="120" w:after="240"/>
      <w:ind w:left="993" w:hanging="568"/>
      <w:outlineLvl w:val="1"/>
    </w:pPr>
    <w:rPr>
      <w:rFonts w:eastAsiaTheme="majorEastAsia" w:cstheme="majorBidi"/>
      <w:b/>
      <w:color w:val="000000" w:themeColor="text1"/>
      <w:sz w:val="26"/>
      <w:szCs w:val="26"/>
    </w:rPr>
  </w:style>
  <w:style w:type="paragraph" w:styleId="Heading3">
    <w:name w:val="heading 3"/>
    <w:basedOn w:val="ListParagraph"/>
    <w:link w:val="Heading3Char"/>
    <w:uiPriority w:val="9"/>
    <w:unhideWhenUsed/>
    <w:qFormat/>
    <w:rsid w:val="00634A8C"/>
    <w:pPr>
      <w:numPr>
        <w:ilvl w:val="2"/>
        <w:numId w:val="1"/>
      </w:numPr>
      <w:spacing w:after="120"/>
      <w:ind w:left="1701" w:hanging="708"/>
      <w:contextualSpacing w:val="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D68"/>
    <w:rPr>
      <w:rFonts w:eastAsiaTheme="majorEastAsia" w:cstheme="majorBidi"/>
      <w:b/>
      <w:color w:val="1F4E79" w:themeColor="accent5" w:themeShade="80"/>
      <w:sz w:val="32"/>
      <w:szCs w:val="32"/>
      <w:lang w:val="en-AU"/>
    </w:rPr>
  </w:style>
  <w:style w:type="character" w:customStyle="1" w:styleId="Heading2Char">
    <w:name w:val="Heading 2 Char"/>
    <w:basedOn w:val="DefaultParagraphFont"/>
    <w:link w:val="Heading2"/>
    <w:uiPriority w:val="9"/>
    <w:rsid w:val="0051731B"/>
    <w:rPr>
      <w:rFonts w:eastAsiaTheme="majorEastAsia" w:cstheme="majorBidi"/>
      <w:b/>
      <w:color w:val="000000" w:themeColor="text1"/>
      <w:sz w:val="26"/>
      <w:szCs w:val="26"/>
      <w:lang w:val="en-AU"/>
    </w:rPr>
  </w:style>
  <w:style w:type="character" w:customStyle="1" w:styleId="Heading3Char">
    <w:name w:val="Heading 3 Char"/>
    <w:basedOn w:val="DefaultParagraphFont"/>
    <w:link w:val="Heading3"/>
    <w:uiPriority w:val="9"/>
    <w:rsid w:val="00634A8C"/>
    <w:rPr>
      <w:b/>
      <w:lang w:val="en-AU"/>
    </w:rPr>
  </w:style>
  <w:style w:type="paragraph" w:styleId="ListParagraph">
    <w:name w:val="List Paragraph"/>
    <w:aliases w:val="NFP GP Bulleted List,List Paragraph1,Recommendation,Bulleted Para,FooterText,Bullet List,numbered,Paragraphe de liste1,Bulletr List Paragraph,列出段落,列出段落1,List Paragraph2,List Paragraph21,Listeafsnit1,Parágrafo da Lista1,Párrafo de lista1"/>
    <w:basedOn w:val="Normal"/>
    <w:link w:val="ListParagraphChar"/>
    <w:uiPriority w:val="34"/>
    <w:qFormat/>
    <w:rsid w:val="000E4F52"/>
    <w:pPr>
      <w:ind w:left="720"/>
      <w:contextualSpacing/>
    </w:pPr>
  </w:style>
  <w:style w:type="character" w:customStyle="1" w:styleId="bumpedfont15">
    <w:name w:val="bumpedfont15"/>
    <w:basedOn w:val="DefaultParagraphFont"/>
    <w:rsid w:val="003D289F"/>
  </w:style>
  <w:style w:type="character" w:customStyle="1" w:styleId="s4">
    <w:name w:val="s4"/>
    <w:basedOn w:val="DefaultParagraphFont"/>
    <w:rsid w:val="00CC2C19"/>
  </w:style>
  <w:style w:type="paragraph" w:styleId="TOC1">
    <w:name w:val="toc 1"/>
    <w:basedOn w:val="Normal"/>
    <w:next w:val="Normal"/>
    <w:autoRedefine/>
    <w:uiPriority w:val="39"/>
    <w:unhideWhenUsed/>
    <w:rsid w:val="001543FF"/>
    <w:pPr>
      <w:spacing w:before="120"/>
    </w:pPr>
    <w:rPr>
      <w:b/>
      <w:bCs/>
    </w:rPr>
  </w:style>
  <w:style w:type="paragraph" w:styleId="TOC2">
    <w:name w:val="toc 2"/>
    <w:basedOn w:val="Normal"/>
    <w:next w:val="Normal"/>
    <w:autoRedefine/>
    <w:uiPriority w:val="39"/>
    <w:unhideWhenUsed/>
    <w:rsid w:val="001543FF"/>
    <w:pPr>
      <w:ind w:left="240"/>
    </w:pPr>
    <w:rPr>
      <w:b/>
      <w:bCs/>
      <w:sz w:val="22"/>
      <w:szCs w:val="22"/>
    </w:rPr>
  </w:style>
  <w:style w:type="paragraph" w:styleId="TOC3">
    <w:name w:val="toc 3"/>
    <w:basedOn w:val="Normal"/>
    <w:next w:val="Normal"/>
    <w:autoRedefine/>
    <w:uiPriority w:val="39"/>
    <w:unhideWhenUsed/>
    <w:rsid w:val="00EF29E7"/>
    <w:pPr>
      <w:tabs>
        <w:tab w:val="left" w:pos="1276"/>
        <w:tab w:val="right" w:leader="dot" w:pos="9010"/>
      </w:tabs>
      <w:ind w:left="480"/>
    </w:pPr>
    <w:rPr>
      <w:sz w:val="22"/>
      <w:szCs w:val="22"/>
    </w:rPr>
  </w:style>
  <w:style w:type="paragraph" w:styleId="TOC4">
    <w:name w:val="toc 4"/>
    <w:basedOn w:val="Normal"/>
    <w:next w:val="Normal"/>
    <w:autoRedefine/>
    <w:uiPriority w:val="39"/>
    <w:unhideWhenUsed/>
    <w:rsid w:val="001543FF"/>
    <w:pPr>
      <w:ind w:left="720"/>
    </w:pPr>
    <w:rPr>
      <w:sz w:val="20"/>
      <w:szCs w:val="20"/>
    </w:rPr>
  </w:style>
  <w:style w:type="paragraph" w:styleId="TOC5">
    <w:name w:val="toc 5"/>
    <w:basedOn w:val="Normal"/>
    <w:next w:val="Normal"/>
    <w:autoRedefine/>
    <w:uiPriority w:val="39"/>
    <w:unhideWhenUsed/>
    <w:rsid w:val="001543FF"/>
    <w:pPr>
      <w:ind w:left="960"/>
    </w:pPr>
    <w:rPr>
      <w:sz w:val="20"/>
      <w:szCs w:val="20"/>
    </w:rPr>
  </w:style>
  <w:style w:type="paragraph" w:styleId="TOC6">
    <w:name w:val="toc 6"/>
    <w:basedOn w:val="Normal"/>
    <w:next w:val="Normal"/>
    <w:autoRedefine/>
    <w:uiPriority w:val="39"/>
    <w:unhideWhenUsed/>
    <w:rsid w:val="001543FF"/>
    <w:pPr>
      <w:ind w:left="1200"/>
    </w:pPr>
    <w:rPr>
      <w:sz w:val="20"/>
      <w:szCs w:val="20"/>
    </w:rPr>
  </w:style>
  <w:style w:type="paragraph" w:styleId="TOC7">
    <w:name w:val="toc 7"/>
    <w:basedOn w:val="Normal"/>
    <w:next w:val="Normal"/>
    <w:autoRedefine/>
    <w:uiPriority w:val="39"/>
    <w:unhideWhenUsed/>
    <w:rsid w:val="001543FF"/>
    <w:pPr>
      <w:ind w:left="1440"/>
    </w:pPr>
    <w:rPr>
      <w:sz w:val="20"/>
      <w:szCs w:val="20"/>
    </w:rPr>
  </w:style>
  <w:style w:type="paragraph" w:styleId="TOC8">
    <w:name w:val="toc 8"/>
    <w:basedOn w:val="Normal"/>
    <w:next w:val="Normal"/>
    <w:autoRedefine/>
    <w:uiPriority w:val="39"/>
    <w:unhideWhenUsed/>
    <w:rsid w:val="001543FF"/>
    <w:pPr>
      <w:ind w:left="1680"/>
    </w:pPr>
    <w:rPr>
      <w:sz w:val="20"/>
      <w:szCs w:val="20"/>
    </w:rPr>
  </w:style>
  <w:style w:type="paragraph" w:styleId="TOC9">
    <w:name w:val="toc 9"/>
    <w:basedOn w:val="Normal"/>
    <w:next w:val="Normal"/>
    <w:autoRedefine/>
    <w:uiPriority w:val="39"/>
    <w:unhideWhenUsed/>
    <w:rsid w:val="001543FF"/>
    <w:pPr>
      <w:ind w:left="1920"/>
    </w:pPr>
    <w:rPr>
      <w:sz w:val="20"/>
      <w:szCs w:val="20"/>
    </w:rPr>
  </w:style>
  <w:style w:type="paragraph" w:styleId="Header">
    <w:name w:val="header"/>
    <w:basedOn w:val="Normal"/>
    <w:link w:val="HeaderChar"/>
    <w:uiPriority w:val="99"/>
    <w:unhideWhenUsed/>
    <w:rsid w:val="00424BD4"/>
    <w:pPr>
      <w:tabs>
        <w:tab w:val="center" w:pos="4513"/>
        <w:tab w:val="right" w:pos="9026"/>
      </w:tabs>
    </w:pPr>
  </w:style>
  <w:style w:type="character" w:customStyle="1" w:styleId="HeaderChar">
    <w:name w:val="Header Char"/>
    <w:basedOn w:val="DefaultParagraphFont"/>
    <w:link w:val="Header"/>
    <w:uiPriority w:val="99"/>
    <w:rsid w:val="00424BD4"/>
  </w:style>
  <w:style w:type="paragraph" w:styleId="Footer">
    <w:name w:val="footer"/>
    <w:basedOn w:val="Normal"/>
    <w:link w:val="FooterChar"/>
    <w:uiPriority w:val="99"/>
    <w:unhideWhenUsed/>
    <w:rsid w:val="00424BD4"/>
    <w:pPr>
      <w:tabs>
        <w:tab w:val="center" w:pos="4513"/>
        <w:tab w:val="right" w:pos="9026"/>
      </w:tabs>
    </w:pPr>
  </w:style>
  <w:style w:type="character" w:customStyle="1" w:styleId="FooterChar">
    <w:name w:val="Footer Char"/>
    <w:basedOn w:val="DefaultParagraphFont"/>
    <w:link w:val="Footer"/>
    <w:uiPriority w:val="99"/>
    <w:rsid w:val="00424BD4"/>
  </w:style>
  <w:style w:type="table" w:styleId="TableGrid">
    <w:name w:val="Table Grid"/>
    <w:basedOn w:val="TableNormal"/>
    <w:uiPriority w:val="39"/>
    <w:rsid w:val="000F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72D08"/>
  </w:style>
  <w:style w:type="paragraph" w:styleId="BalloonText">
    <w:name w:val="Balloon Text"/>
    <w:basedOn w:val="Normal"/>
    <w:link w:val="BalloonTextChar"/>
    <w:uiPriority w:val="99"/>
    <w:semiHidden/>
    <w:unhideWhenUsed/>
    <w:rsid w:val="00A00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AEE"/>
    <w:rPr>
      <w:rFonts w:ascii="Segoe UI" w:hAnsi="Segoe UI" w:cs="Segoe UI"/>
      <w:sz w:val="18"/>
      <w:szCs w:val="18"/>
    </w:rPr>
  </w:style>
  <w:style w:type="character" w:customStyle="1" w:styleId="ListParagraphChar">
    <w:name w:val="List Paragraph Char"/>
    <w:aliases w:val="NFP GP Bulleted List Char,List Paragraph1 Char,Recommendation Char,Bulleted Para Char,FooterText Char,Bullet List Char,numbered Char,Paragraphe de liste1 Char,Bulletr List Paragraph Char,列出段落 Char,列出段落1 Char,List Paragraph2 Char"/>
    <w:basedOn w:val="DefaultParagraphFont"/>
    <w:link w:val="ListParagraph"/>
    <w:uiPriority w:val="34"/>
    <w:locked/>
    <w:rsid w:val="00575C2B"/>
  </w:style>
  <w:style w:type="paragraph" w:customStyle="1" w:styleId="Default">
    <w:name w:val="Default"/>
    <w:rsid w:val="00437FE6"/>
    <w:pPr>
      <w:autoSpaceDE w:val="0"/>
      <w:autoSpaceDN w:val="0"/>
      <w:adjustRightInd w:val="0"/>
    </w:pPr>
    <w:rPr>
      <w:rFonts w:ascii="Calibri" w:hAnsi="Calibri" w:cs="Calibri"/>
      <w:color w:val="000000"/>
      <w:lang w:val="en-AU"/>
    </w:rPr>
  </w:style>
  <w:style w:type="paragraph" w:styleId="FootnoteText">
    <w:name w:val="footnote text"/>
    <w:basedOn w:val="Normal"/>
    <w:link w:val="FootnoteTextChar"/>
    <w:uiPriority w:val="99"/>
    <w:semiHidden/>
    <w:unhideWhenUsed/>
    <w:rsid w:val="00644C4C"/>
    <w:rPr>
      <w:sz w:val="20"/>
      <w:szCs w:val="20"/>
    </w:rPr>
  </w:style>
  <w:style w:type="character" w:customStyle="1" w:styleId="FootnoteTextChar">
    <w:name w:val="Footnote Text Char"/>
    <w:basedOn w:val="DefaultParagraphFont"/>
    <w:link w:val="FootnoteText"/>
    <w:uiPriority w:val="99"/>
    <w:semiHidden/>
    <w:rsid w:val="00644C4C"/>
    <w:rPr>
      <w:sz w:val="20"/>
      <w:szCs w:val="20"/>
    </w:rPr>
  </w:style>
  <w:style w:type="character" w:styleId="FootnoteReference">
    <w:name w:val="footnote reference"/>
    <w:basedOn w:val="DefaultParagraphFont"/>
    <w:uiPriority w:val="99"/>
    <w:semiHidden/>
    <w:unhideWhenUsed/>
    <w:rsid w:val="00644C4C"/>
    <w:rPr>
      <w:vertAlign w:val="superscript"/>
    </w:rPr>
  </w:style>
  <w:style w:type="character" w:styleId="Hyperlink">
    <w:name w:val="Hyperlink"/>
    <w:basedOn w:val="DefaultParagraphFont"/>
    <w:uiPriority w:val="99"/>
    <w:unhideWhenUsed/>
    <w:rsid w:val="003E0D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557754">
      <w:bodyDiv w:val="1"/>
      <w:marLeft w:val="0"/>
      <w:marRight w:val="0"/>
      <w:marTop w:val="0"/>
      <w:marBottom w:val="0"/>
      <w:divBdr>
        <w:top w:val="none" w:sz="0" w:space="0" w:color="auto"/>
        <w:left w:val="none" w:sz="0" w:space="0" w:color="auto"/>
        <w:bottom w:val="none" w:sz="0" w:space="0" w:color="auto"/>
        <w:right w:val="none" w:sz="0" w:space="0" w:color="auto"/>
      </w:divBdr>
    </w:div>
    <w:div w:id="1095126616">
      <w:bodyDiv w:val="1"/>
      <w:marLeft w:val="0"/>
      <w:marRight w:val="0"/>
      <w:marTop w:val="0"/>
      <w:marBottom w:val="0"/>
      <w:divBdr>
        <w:top w:val="none" w:sz="0" w:space="0" w:color="auto"/>
        <w:left w:val="none" w:sz="0" w:space="0" w:color="auto"/>
        <w:bottom w:val="none" w:sz="0" w:space="0" w:color="auto"/>
        <w:right w:val="none" w:sz="0" w:space="0" w:color="auto"/>
      </w:divBdr>
    </w:div>
    <w:div w:id="1184779703">
      <w:bodyDiv w:val="1"/>
      <w:marLeft w:val="0"/>
      <w:marRight w:val="0"/>
      <w:marTop w:val="0"/>
      <w:marBottom w:val="0"/>
      <w:divBdr>
        <w:top w:val="none" w:sz="0" w:space="0" w:color="auto"/>
        <w:left w:val="none" w:sz="0" w:space="0" w:color="auto"/>
        <w:bottom w:val="none" w:sz="0" w:space="0" w:color="auto"/>
        <w:right w:val="none" w:sz="0" w:space="0" w:color="auto"/>
      </w:divBdr>
    </w:div>
    <w:div w:id="1315329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2510395880918995E-2"/>
          <c:y val="5.8273142213812412E-2"/>
          <c:w val="0.66924259843647915"/>
          <c:h val="0.82662337338361147"/>
        </c:manualLayout>
      </c:layout>
      <c:scatterChart>
        <c:scatterStyle val="smoothMarker"/>
        <c:varyColors val="0"/>
        <c:ser>
          <c:idx val="0"/>
          <c:order val="0"/>
          <c:spPr>
            <a:ln w="19050" cap="rnd">
              <a:solidFill>
                <a:schemeClr val="accent1"/>
              </a:solidFill>
              <a:round/>
            </a:ln>
            <a:effectLst/>
          </c:spPr>
          <c:marker>
            <c:symbol val="none"/>
          </c:marker>
          <c:xVal>
            <c:numRef>
              <c:f>Sheet2!$A$3:$A$43</c:f>
              <c:numCache>
                <c:formatCode>General</c:formatCode>
                <c:ptCount val="41"/>
                <c:pt idx="0">
                  <c:v>0</c:v>
                </c:pt>
                <c:pt idx="1">
                  <c:v>0.02</c:v>
                </c:pt>
                <c:pt idx="2">
                  <c:v>0.04</c:v>
                </c:pt>
                <c:pt idx="3">
                  <c:v>0.06</c:v>
                </c:pt>
                <c:pt idx="4">
                  <c:v>0.08</c:v>
                </c:pt>
                <c:pt idx="5">
                  <c:v>0.1</c:v>
                </c:pt>
                <c:pt idx="6">
                  <c:v>0.12000000000000001</c:v>
                </c:pt>
                <c:pt idx="7">
                  <c:v>0.14000000000000001</c:v>
                </c:pt>
                <c:pt idx="8">
                  <c:v>0.16</c:v>
                </c:pt>
                <c:pt idx="9">
                  <c:v>0.18</c:v>
                </c:pt>
                <c:pt idx="10">
                  <c:v>0.19999999999999998</c:v>
                </c:pt>
                <c:pt idx="11">
                  <c:v>0.3</c:v>
                </c:pt>
                <c:pt idx="12">
                  <c:v>0.4</c:v>
                </c:pt>
                <c:pt idx="13">
                  <c:v>0.5</c:v>
                </c:pt>
                <c:pt idx="14">
                  <c:v>0.6</c:v>
                </c:pt>
                <c:pt idx="15">
                  <c:v>0.7</c:v>
                </c:pt>
              </c:numCache>
            </c:numRef>
          </c:xVal>
          <c:yVal>
            <c:numRef>
              <c:f>Sheet2!$B$3:$B$43</c:f>
              <c:numCache>
                <c:formatCode>General</c:formatCode>
                <c:ptCount val="41"/>
                <c:pt idx="10" formatCode="0.00">
                  <c:v>0</c:v>
                </c:pt>
                <c:pt idx="11" formatCode="0.00">
                  <c:v>0.4</c:v>
                </c:pt>
                <c:pt idx="12" formatCode="0.00">
                  <c:v>0.57999999999999996</c:v>
                </c:pt>
                <c:pt idx="13" formatCode="0.00">
                  <c:v>0.7</c:v>
                </c:pt>
                <c:pt idx="14" formatCode="0.00">
                  <c:v>0.76</c:v>
                </c:pt>
                <c:pt idx="15" formatCode="0.00">
                  <c:v>0.78</c:v>
                </c:pt>
              </c:numCache>
            </c:numRef>
          </c:yVal>
          <c:smooth val="1"/>
        </c:ser>
        <c:ser>
          <c:idx val="2"/>
          <c:order val="2"/>
          <c:spPr>
            <a:ln w="19050" cap="rnd">
              <a:solidFill>
                <a:schemeClr val="accent3"/>
              </a:solidFill>
              <a:round/>
            </a:ln>
            <a:effectLst/>
          </c:spPr>
          <c:marker>
            <c:symbol val="none"/>
          </c:marker>
          <c:xVal>
            <c:numLit>
              <c:formatCode>General</c:formatCode>
              <c:ptCount val="1"/>
              <c:pt idx="0">
                <c:v>0.315</c:v>
              </c:pt>
            </c:numLit>
          </c:xVal>
          <c:yVal>
            <c:numLit>
              <c:formatCode>General</c:formatCode>
              <c:ptCount val="1"/>
              <c:pt idx="0">
                <c:v>1</c:v>
              </c:pt>
            </c:numLit>
          </c:yVal>
          <c:smooth val="1"/>
        </c:ser>
        <c:ser>
          <c:idx val="3"/>
          <c:order val="3"/>
          <c:spPr>
            <a:ln w="19050" cap="rnd">
              <a:solidFill>
                <a:schemeClr val="accent4"/>
              </a:solidFill>
              <a:round/>
            </a:ln>
            <a:effectLst/>
          </c:spPr>
          <c:marker>
            <c:symbol val="none"/>
          </c:marker>
          <c:xVal>
            <c:numLit>
              <c:formatCode>General</c:formatCode>
              <c:ptCount val="1"/>
              <c:pt idx="0">
                <c:v>0.35699999999999998</c:v>
              </c:pt>
            </c:numLit>
          </c:xVal>
          <c:yVal>
            <c:numLit>
              <c:formatCode>General</c:formatCode>
              <c:ptCount val="1"/>
              <c:pt idx="0">
                <c:v>1</c:v>
              </c:pt>
            </c:numLit>
          </c:yVal>
          <c:smooth val="1"/>
        </c:ser>
        <c:ser>
          <c:idx val="4"/>
          <c:order val="4"/>
          <c:spPr>
            <a:ln w="19050" cap="rnd">
              <a:solidFill>
                <a:schemeClr val="accent5"/>
              </a:solidFill>
              <a:round/>
            </a:ln>
            <a:effectLst/>
          </c:spPr>
          <c:marker>
            <c:symbol val="none"/>
          </c:marker>
          <c:xVal>
            <c:numLit>
              <c:formatCode>General</c:formatCode>
              <c:ptCount val="1"/>
              <c:pt idx="0">
                <c:v>0.37</c:v>
              </c:pt>
            </c:numLit>
          </c:xVal>
          <c:yVal>
            <c:numLit>
              <c:formatCode>General</c:formatCode>
              <c:ptCount val="1"/>
              <c:pt idx="0">
                <c:v>1</c:v>
              </c:pt>
            </c:numLit>
          </c:yVal>
          <c:smooth val="1"/>
        </c:ser>
        <c:ser>
          <c:idx val="5"/>
          <c:order val="5"/>
          <c:spPr>
            <a:ln w="19050" cap="rnd">
              <a:solidFill>
                <a:schemeClr val="accent6"/>
              </a:solidFill>
              <a:round/>
            </a:ln>
            <a:effectLst/>
          </c:spPr>
          <c:marker>
            <c:symbol val="none"/>
          </c:marker>
          <c:xVal>
            <c:numLit>
              <c:formatCode>General</c:formatCode>
              <c:ptCount val="1"/>
              <c:pt idx="0">
                <c:v>0.436</c:v>
              </c:pt>
            </c:numLit>
          </c:xVal>
          <c:yVal>
            <c:numLit>
              <c:formatCode>General</c:formatCode>
              <c:ptCount val="1"/>
              <c:pt idx="0">
                <c:v>1</c:v>
              </c:pt>
            </c:numLit>
          </c:yVal>
          <c:smooth val="1"/>
        </c:ser>
        <c:ser>
          <c:idx val="6"/>
          <c:order val="6"/>
          <c:spPr>
            <a:ln w="19050" cap="rnd">
              <a:solidFill>
                <a:schemeClr val="accent1">
                  <a:lumMod val="60000"/>
                </a:schemeClr>
              </a:solidFill>
              <a:round/>
            </a:ln>
            <a:effectLst/>
          </c:spPr>
          <c:marker>
            <c:symbol val="none"/>
          </c:marker>
          <c:xVal>
            <c:numLit>
              <c:formatCode>General</c:formatCode>
              <c:ptCount val="1"/>
              <c:pt idx="0">
                <c:v>0.621</c:v>
              </c:pt>
            </c:numLit>
          </c:xVal>
          <c:yVal>
            <c:numLit>
              <c:formatCode>General</c:formatCode>
              <c:ptCount val="1"/>
              <c:pt idx="0">
                <c:v>1</c:v>
              </c:pt>
            </c:numLit>
          </c:yVal>
          <c:smooth val="1"/>
        </c:ser>
        <c:ser>
          <c:idx val="7"/>
          <c:order val="7"/>
          <c:spPr>
            <a:ln w="19050" cap="rnd">
              <a:solidFill>
                <a:schemeClr val="accent2">
                  <a:lumMod val="60000"/>
                </a:schemeClr>
              </a:solidFill>
              <a:round/>
            </a:ln>
            <a:effectLst/>
          </c:spPr>
          <c:marker>
            <c:symbol val="none"/>
          </c:marker>
          <c:xVal>
            <c:numRef>
              <c:f>Sheet2!$H$12</c:f>
              <c:numCache>
                <c:formatCode>General</c:formatCode>
                <c:ptCount val="1"/>
                <c:pt idx="0">
                  <c:v>0.315</c:v>
                </c:pt>
              </c:numCache>
            </c:numRef>
          </c:xVal>
          <c:yVal>
            <c:numLit>
              <c:formatCode>General</c:formatCode>
              <c:ptCount val="1"/>
              <c:pt idx="0">
                <c:v>1</c:v>
              </c:pt>
            </c:numLit>
          </c:yVal>
          <c:smooth val="1"/>
        </c:ser>
        <c:ser>
          <c:idx val="8"/>
          <c:order val="8"/>
          <c:tx>
            <c:strRef>
              <c:f>Sheet2!$AE$21</c:f>
              <c:strCache>
                <c:ptCount val="1"/>
                <c:pt idx="0">
                  <c:v>ASEL (0.315 sq m / head)</c:v>
                </c:pt>
              </c:strCache>
            </c:strRef>
          </c:tx>
          <c:spPr>
            <a:ln w="19050" cap="rnd">
              <a:solidFill>
                <a:srgbClr val="FF0000"/>
              </a:solidFill>
              <a:round/>
            </a:ln>
            <a:effectLst/>
          </c:spPr>
          <c:marker>
            <c:symbol val="none"/>
          </c:marker>
          <c:xVal>
            <c:numRef>
              <c:f>Sheet2!$AE$39:$AE$46</c:f>
              <c:numCache>
                <c:formatCode>General</c:formatCode>
                <c:ptCount val="8"/>
                <c:pt idx="0">
                  <c:v>0.315</c:v>
                </c:pt>
                <c:pt idx="1">
                  <c:v>0.315</c:v>
                </c:pt>
                <c:pt idx="2">
                  <c:v>0.315</c:v>
                </c:pt>
                <c:pt idx="3">
                  <c:v>0.315</c:v>
                </c:pt>
              </c:numCache>
            </c:numRef>
          </c:xVal>
          <c:yVal>
            <c:numRef>
              <c:f>Sheet2!$AD$39:$AD$46</c:f>
              <c:numCache>
                <c:formatCode>General</c:formatCode>
                <c:ptCount val="8"/>
                <c:pt idx="0">
                  <c:v>0</c:v>
                </c:pt>
                <c:pt idx="1">
                  <c:v>0.2</c:v>
                </c:pt>
                <c:pt idx="2">
                  <c:v>0.4</c:v>
                </c:pt>
                <c:pt idx="3">
                  <c:v>0.435</c:v>
                </c:pt>
                <c:pt idx="4">
                  <c:v>0.51500000000000001</c:v>
                </c:pt>
                <c:pt idx="5">
                  <c:v>0.53500000000000003</c:v>
                </c:pt>
                <c:pt idx="6">
                  <c:v>0.63</c:v>
                </c:pt>
                <c:pt idx="7">
                  <c:v>0.76500000000000001</c:v>
                </c:pt>
              </c:numCache>
            </c:numRef>
          </c:yVal>
          <c:smooth val="1"/>
        </c:ser>
        <c:dLbls>
          <c:showLegendKey val="0"/>
          <c:showVal val="0"/>
          <c:showCatName val="0"/>
          <c:showSerName val="0"/>
          <c:showPercent val="0"/>
          <c:showBubbleSize val="0"/>
        </c:dLbls>
        <c:axId val="554418480"/>
        <c:axId val="333256464"/>
      </c:scatterChart>
      <c:scatterChart>
        <c:scatterStyle val="smoothMarker"/>
        <c:varyColors val="0"/>
        <c:ser>
          <c:idx val="1"/>
          <c:order val="1"/>
          <c:tx>
            <c:v>90% Amenity</c:v>
          </c:tx>
          <c:spPr>
            <a:ln w="19050" cap="rnd">
              <a:solidFill>
                <a:schemeClr val="accent2"/>
              </a:solidFill>
              <a:round/>
            </a:ln>
            <a:effectLst/>
          </c:spPr>
          <c:marker>
            <c:symbol val="none"/>
          </c:marker>
          <c:xVal>
            <c:numRef>
              <c:f>Sheet2!$A$3:$A$43</c:f>
              <c:numCache>
                <c:formatCode>General</c:formatCode>
                <c:ptCount val="41"/>
                <c:pt idx="0">
                  <c:v>0</c:v>
                </c:pt>
                <c:pt idx="1">
                  <c:v>0.02</c:v>
                </c:pt>
                <c:pt idx="2">
                  <c:v>0.04</c:v>
                </c:pt>
                <c:pt idx="3">
                  <c:v>0.06</c:v>
                </c:pt>
                <c:pt idx="4">
                  <c:v>0.08</c:v>
                </c:pt>
                <c:pt idx="5">
                  <c:v>0.1</c:v>
                </c:pt>
                <c:pt idx="6">
                  <c:v>0.12000000000000001</c:v>
                </c:pt>
                <c:pt idx="7">
                  <c:v>0.14000000000000001</c:v>
                </c:pt>
                <c:pt idx="8">
                  <c:v>0.16</c:v>
                </c:pt>
                <c:pt idx="9">
                  <c:v>0.18</c:v>
                </c:pt>
                <c:pt idx="10">
                  <c:v>0.19999999999999998</c:v>
                </c:pt>
                <c:pt idx="11">
                  <c:v>0.3</c:v>
                </c:pt>
                <c:pt idx="12">
                  <c:v>0.4</c:v>
                </c:pt>
                <c:pt idx="13">
                  <c:v>0.5</c:v>
                </c:pt>
                <c:pt idx="14">
                  <c:v>0.6</c:v>
                </c:pt>
                <c:pt idx="15">
                  <c:v>0.7</c:v>
                </c:pt>
              </c:numCache>
              <c:extLst xmlns:c15="http://schemas.microsoft.com/office/drawing/2012/chart"/>
            </c:numRef>
          </c:xVal>
          <c:yVal>
            <c:numRef>
              <c:f>Sheet2!$C$3:$C$43</c:f>
              <c:numCache>
                <c:formatCode>General</c:formatCode>
                <c:ptCount val="41"/>
                <c:pt idx="0">
                  <c:v>0.9</c:v>
                </c:pt>
                <c:pt idx="1">
                  <c:v>0.9</c:v>
                </c:pt>
                <c:pt idx="2">
                  <c:v>0.9</c:v>
                </c:pt>
                <c:pt idx="3">
                  <c:v>0.9</c:v>
                </c:pt>
                <c:pt idx="4">
                  <c:v>0.9</c:v>
                </c:pt>
                <c:pt idx="5">
                  <c:v>0.9</c:v>
                </c:pt>
                <c:pt idx="6">
                  <c:v>0.9</c:v>
                </c:pt>
                <c:pt idx="7">
                  <c:v>0.9</c:v>
                </c:pt>
                <c:pt idx="8">
                  <c:v>0.9</c:v>
                </c:pt>
                <c:pt idx="9">
                  <c:v>0.9</c:v>
                </c:pt>
                <c:pt idx="10">
                  <c:v>0.9</c:v>
                </c:pt>
                <c:pt idx="11">
                  <c:v>0.9</c:v>
                </c:pt>
                <c:pt idx="12">
                  <c:v>0.9</c:v>
                </c:pt>
                <c:pt idx="13">
                  <c:v>0.9</c:v>
                </c:pt>
                <c:pt idx="14">
                  <c:v>0.9</c:v>
                </c:pt>
                <c:pt idx="15">
                  <c:v>0.9</c:v>
                </c:pt>
                <c:pt idx="16">
                  <c:v>0.9</c:v>
                </c:pt>
                <c:pt idx="17">
                  <c:v>0.9</c:v>
                </c:pt>
                <c:pt idx="18">
                  <c:v>0.9</c:v>
                </c:pt>
                <c:pt idx="19">
                  <c:v>0.9</c:v>
                </c:pt>
                <c:pt idx="20">
                  <c:v>0.9</c:v>
                </c:pt>
                <c:pt idx="21">
                  <c:v>0.9</c:v>
                </c:pt>
                <c:pt idx="22">
                  <c:v>0.9</c:v>
                </c:pt>
                <c:pt idx="23">
                  <c:v>0.9</c:v>
                </c:pt>
                <c:pt idx="24">
                  <c:v>0.9</c:v>
                </c:pt>
                <c:pt idx="25">
                  <c:v>0.9</c:v>
                </c:pt>
                <c:pt idx="26">
                  <c:v>0.9</c:v>
                </c:pt>
                <c:pt idx="27">
                  <c:v>0.9</c:v>
                </c:pt>
                <c:pt idx="28">
                  <c:v>0.9</c:v>
                </c:pt>
                <c:pt idx="29">
                  <c:v>0.9</c:v>
                </c:pt>
                <c:pt idx="30">
                  <c:v>0.9</c:v>
                </c:pt>
                <c:pt idx="31">
                  <c:v>0.9</c:v>
                </c:pt>
                <c:pt idx="32">
                  <c:v>0.9</c:v>
                </c:pt>
                <c:pt idx="33">
                  <c:v>0.9</c:v>
                </c:pt>
                <c:pt idx="34">
                  <c:v>0.9</c:v>
                </c:pt>
                <c:pt idx="35">
                  <c:v>0.9</c:v>
                </c:pt>
                <c:pt idx="36">
                  <c:v>0.9</c:v>
                </c:pt>
                <c:pt idx="37">
                  <c:v>0.9</c:v>
                </c:pt>
                <c:pt idx="38">
                  <c:v>0.9</c:v>
                </c:pt>
                <c:pt idx="39">
                  <c:v>0.9</c:v>
                </c:pt>
                <c:pt idx="40">
                  <c:v>0.9</c:v>
                </c:pt>
              </c:numCache>
            </c:numRef>
          </c:yVal>
          <c:smooth val="1"/>
        </c:ser>
        <c:ser>
          <c:idx val="9"/>
          <c:order val="9"/>
          <c:tx>
            <c:strRef>
              <c:f>Sheet2!$AE$22</c:f>
              <c:strCache>
                <c:ptCount val="1"/>
                <c:pt idx="0">
                  <c:v>Allometric where k = 0.027 (0.357 sq m / head)</c:v>
                </c:pt>
              </c:strCache>
            </c:strRef>
          </c:tx>
          <c:spPr>
            <a:ln w="19050" cap="rnd">
              <a:solidFill>
                <a:srgbClr val="FFC000"/>
              </a:solidFill>
              <a:round/>
            </a:ln>
            <a:effectLst/>
          </c:spPr>
          <c:marker>
            <c:symbol val="none"/>
          </c:marker>
          <c:xVal>
            <c:numRef>
              <c:f>Sheet2!$AF$39:$AF$46</c:f>
              <c:numCache>
                <c:formatCode>General</c:formatCode>
                <c:ptCount val="8"/>
                <c:pt idx="0">
                  <c:v>0.35699999999999998</c:v>
                </c:pt>
                <c:pt idx="1">
                  <c:v>0.35699999999999998</c:v>
                </c:pt>
                <c:pt idx="2">
                  <c:v>0.35699999999999998</c:v>
                </c:pt>
                <c:pt idx="3">
                  <c:v>0.35699999999999998</c:v>
                </c:pt>
                <c:pt idx="4">
                  <c:v>0.35699999999999998</c:v>
                </c:pt>
              </c:numCache>
            </c:numRef>
          </c:xVal>
          <c:yVal>
            <c:numRef>
              <c:f>Sheet2!$AD$39:$AD$46</c:f>
              <c:numCache>
                <c:formatCode>General</c:formatCode>
                <c:ptCount val="8"/>
                <c:pt idx="0">
                  <c:v>0</c:v>
                </c:pt>
                <c:pt idx="1">
                  <c:v>0.2</c:v>
                </c:pt>
                <c:pt idx="2">
                  <c:v>0.4</c:v>
                </c:pt>
                <c:pt idx="3">
                  <c:v>0.435</c:v>
                </c:pt>
                <c:pt idx="4">
                  <c:v>0.51500000000000001</c:v>
                </c:pt>
                <c:pt idx="5">
                  <c:v>0.53500000000000003</c:v>
                </c:pt>
                <c:pt idx="6">
                  <c:v>0.63</c:v>
                </c:pt>
                <c:pt idx="7">
                  <c:v>0.76500000000000001</c:v>
                </c:pt>
              </c:numCache>
            </c:numRef>
          </c:yVal>
          <c:smooth val="1"/>
        </c:ser>
        <c:ser>
          <c:idx val="10"/>
          <c:order val="10"/>
          <c:tx>
            <c:strRef>
              <c:f>Sheet2!$AG$38</c:f>
              <c:strCache>
                <c:ptCount val="1"/>
                <c:pt idx="0">
                  <c:v>ASEL+17.5% (0.37 sq m / head)</c:v>
                </c:pt>
              </c:strCache>
            </c:strRef>
          </c:tx>
          <c:spPr>
            <a:ln w="19050" cap="rnd">
              <a:solidFill>
                <a:srgbClr val="92D050"/>
              </a:solidFill>
              <a:round/>
            </a:ln>
            <a:effectLst/>
          </c:spPr>
          <c:marker>
            <c:symbol val="none"/>
          </c:marker>
          <c:xVal>
            <c:numRef>
              <c:f>Sheet2!$AG$39:$AG$46</c:f>
              <c:numCache>
                <c:formatCode>General</c:formatCode>
                <c:ptCount val="8"/>
                <c:pt idx="0">
                  <c:v>0.37</c:v>
                </c:pt>
                <c:pt idx="1">
                  <c:v>0.37</c:v>
                </c:pt>
                <c:pt idx="2">
                  <c:v>0.37</c:v>
                </c:pt>
                <c:pt idx="3">
                  <c:v>0.37</c:v>
                </c:pt>
                <c:pt idx="4">
                  <c:v>0.37</c:v>
                </c:pt>
                <c:pt idx="5">
                  <c:v>0.37</c:v>
                </c:pt>
              </c:numCache>
            </c:numRef>
          </c:xVal>
          <c:yVal>
            <c:numRef>
              <c:f>Sheet2!$AD$39:$AD$46</c:f>
              <c:numCache>
                <c:formatCode>General</c:formatCode>
                <c:ptCount val="8"/>
                <c:pt idx="0">
                  <c:v>0</c:v>
                </c:pt>
                <c:pt idx="1">
                  <c:v>0.2</c:v>
                </c:pt>
                <c:pt idx="2">
                  <c:v>0.4</c:v>
                </c:pt>
                <c:pt idx="3">
                  <c:v>0.435</c:v>
                </c:pt>
                <c:pt idx="4">
                  <c:v>0.51500000000000001</c:v>
                </c:pt>
                <c:pt idx="5">
                  <c:v>0.53500000000000003</c:v>
                </c:pt>
                <c:pt idx="6">
                  <c:v>0.63</c:v>
                </c:pt>
                <c:pt idx="7">
                  <c:v>0.76500000000000001</c:v>
                </c:pt>
              </c:numCache>
            </c:numRef>
          </c:yVal>
          <c:smooth val="1"/>
        </c:ser>
        <c:ser>
          <c:idx val="11"/>
          <c:order val="11"/>
          <c:tx>
            <c:strRef>
              <c:f>Sheet2!$AH$38</c:f>
              <c:strCache>
                <c:ptCount val="1"/>
                <c:pt idx="0">
                  <c:v>Allometric where k = 0.033 (0.436 sq m / head)</c:v>
                </c:pt>
              </c:strCache>
            </c:strRef>
          </c:tx>
          <c:spPr>
            <a:ln w="19050" cap="rnd">
              <a:solidFill>
                <a:srgbClr val="00B0F0"/>
              </a:solidFill>
              <a:round/>
            </a:ln>
            <a:effectLst/>
          </c:spPr>
          <c:marker>
            <c:symbol val="none"/>
          </c:marker>
          <c:xVal>
            <c:numRef>
              <c:f>Sheet2!$AH$39:$AH$46</c:f>
              <c:numCache>
                <c:formatCode>General</c:formatCode>
                <c:ptCount val="8"/>
                <c:pt idx="0">
                  <c:v>0.436</c:v>
                </c:pt>
                <c:pt idx="1">
                  <c:v>0.436</c:v>
                </c:pt>
                <c:pt idx="2">
                  <c:v>0.436</c:v>
                </c:pt>
                <c:pt idx="3">
                  <c:v>0.436</c:v>
                </c:pt>
                <c:pt idx="4">
                  <c:v>0.436</c:v>
                </c:pt>
                <c:pt idx="5">
                  <c:v>0.436</c:v>
                </c:pt>
                <c:pt idx="6">
                  <c:v>0.436</c:v>
                </c:pt>
              </c:numCache>
            </c:numRef>
          </c:xVal>
          <c:yVal>
            <c:numRef>
              <c:f>Sheet2!$AD$39:$AD$46</c:f>
              <c:numCache>
                <c:formatCode>General</c:formatCode>
                <c:ptCount val="8"/>
                <c:pt idx="0">
                  <c:v>0</c:v>
                </c:pt>
                <c:pt idx="1">
                  <c:v>0.2</c:v>
                </c:pt>
                <c:pt idx="2">
                  <c:v>0.4</c:v>
                </c:pt>
                <c:pt idx="3">
                  <c:v>0.435</c:v>
                </c:pt>
                <c:pt idx="4">
                  <c:v>0.51500000000000001</c:v>
                </c:pt>
                <c:pt idx="5">
                  <c:v>0.53500000000000003</c:v>
                </c:pt>
                <c:pt idx="6">
                  <c:v>0.63</c:v>
                </c:pt>
                <c:pt idx="7">
                  <c:v>0.76500000000000001</c:v>
                </c:pt>
              </c:numCache>
            </c:numRef>
          </c:yVal>
          <c:smooth val="1"/>
        </c:ser>
        <c:ser>
          <c:idx val="12"/>
          <c:order val="12"/>
          <c:tx>
            <c:strRef>
              <c:f>Sheet2!$AI$38</c:f>
              <c:strCache>
                <c:ptCount val="1"/>
                <c:pt idx="0">
                  <c:v>Allometric where k = 0.047 (0.621 sq m / head)</c:v>
                </c:pt>
              </c:strCache>
            </c:strRef>
          </c:tx>
          <c:spPr>
            <a:ln w="19050" cap="rnd">
              <a:solidFill>
                <a:srgbClr val="7030A0"/>
              </a:solidFill>
              <a:round/>
            </a:ln>
            <a:effectLst/>
          </c:spPr>
          <c:marker>
            <c:symbol val="none"/>
          </c:marker>
          <c:xVal>
            <c:numRef>
              <c:f>Sheet2!$AI$39:$AI$46</c:f>
              <c:numCache>
                <c:formatCode>General</c:formatCode>
                <c:ptCount val="8"/>
                <c:pt idx="0">
                  <c:v>0.621</c:v>
                </c:pt>
                <c:pt idx="1">
                  <c:v>0.621</c:v>
                </c:pt>
                <c:pt idx="2">
                  <c:v>0.621</c:v>
                </c:pt>
                <c:pt idx="3">
                  <c:v>0.621</c:v>
                </c:pt>
                <c:pt idx="4">
                  <c:v>0.621</c:v>
                </c:pt>
                <c:pt idx="5">
                  <c:v>0.621</c:v>
                </c:pt>
                <c:pt idx="6">
                  <c:v>0.621</c:v>
                </c:pt>
                <c:pt idx="7">
                  <c:v>0.621</c:v>
                </c:pt>
              </c:numCache>
            </c:numRef>
          </c:xVal>
          <c:yVal>
            <c:numRef>
              <c:f>Sheet2!$AD$39:$AD$46</c:f>
              <c:numCache>
                <c:formatCode>General</c:formatCode>
                <c:ptCount val="8"/>
                <c:pt idx="0">
                  <c:v>0</c:v>
                </c:pt>
                <c:pt idx="1">
                  <c:v>0.2</c:v>
                </c:pt>
                <c:pt idx="2">
                  <c:v>0.4</c:v>
                </c:pt>
                <c:pt idx="3">
                  <c:v>0.435</c:v>
                </c:pt>
                <c:pt idx="4">
                  <c:v>0.51500000000000001</c:v>
                </c:pt>
                <c:pt idx="5">
                  <c:v>0.53500000000000003</c:v>
                </c:pt>
                <c:pt idx="6">
                  <c:v>0.63</c:v>
                </c:pt>
                <c:pt idx="7">
                  <c:v>0.76500000000000001</c:v>
                </c:pt>
              </c:numCache>
            </c:numRef>
          </c:yVal>
          <c:smooth val="1"/>
        </c:ser>
        <c:ser>
          <c:idx val="13"/>
          <c:order val="13"/>
          <c:spPr>
            <a:ln w="19050" cap="rnd">
              <a:solidFill>
                <a:schemeClr val="accent2">
                  <a:lumMod val="80000"/>
                  <a:lumOff val="20000"/>
                </a:schemeClr>
              </a:solidFill>
              <a:round/>
            </a:ln>
            <a:effectLst/>
          </c:spPr>
          <c:marker>
            <c:symbol val="none"/>
          </c:marker>
          <c:yVal>
            <c:numLit>
              <c:formatCode>General</c:formatCode>
              <c:ptCount val="1"/>
              <c:pt idx="0">
                <c:v>1</c:v>
              </c:pt>
            </c:numLit>
          </c:yVal>
          <c:smooth val="1"/>
        </c:ser>
        <c:dLbls>
          <c:showLegendKey val="0"/>
          <c:showVal val="0"/>
          <c:showCatName val="0"/>
          <c:showSerName val="0"/>
          <c:showPercent val="0"/>
          <c:showBubbleSize val="0"/>
        </c:dLbls>
        <c:axId val="565741928"/>
        <c:axId val="565739576"/>
        <c:extLst/>
      </c:scatterChart>
      <c:valAx>
        <c:axId val="554418480"/>
        <c:scaling>
          <c:orientation val="minMax"/>
          <c:max val="0.70000000000000007"/>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AU" sz="1100" b="1"/>
                  <a:t>Stocking</a:t>
                </a:r>
                <a:r>
                  <a:rPr lang="en-AU" sz="1100" b="1" baseline="0"/>
                  <a:t> Density (sq m/head)</a:t>
                </a:r>
                <a:endParaRPr lang="en-AU" sz="1100" b="1"/>
              </a:p>
            </c:rich>
          </c:tx>
          <c:layout>
            <c:manualLayout>
              <c:xMode val="edge"/>
              <c:yMode val="edge"/>
              <c:x val="0.20918833039439916"/>
              <c:y val="0.93386938615414783"/>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3256464"/>
        <c:crosses val="autoZero"/>
        <c:crossBetween val="midCat"/>
      </c:valAx>
      <c:valAx>
        <c:axId val="333256464"/>
        <c:scaling>
          <c:orientation val="minMax"/>
          <c:max val="1"/>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en-AU" sz="1100" b="1"/>
                  <a:t>Amenity</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554418480"/>
        <c:crosses val="autoZero"/>
        <c:crossBetween val="midCat"/>
      </c:valAx>
      <c:valAx>
        <c:axId val="565739576"/>
        <c:scaling>
          <c:orientation val="minMax"/>
        </c:scaling>
        <c:delete val="1"/>
        <c:axPos val="r"/>
        <c:numFmt formatCode="General" sourceLinked="1"/>
        <c:majorTickMark val="out"/>
        <c:minorTickMark val="none"/>
        <c:tickLblPos val="nextTo"/>
        <c:crossAx val="565741928"/>
        <c:crosses val="max"/>
        <c:crossBetween val="midCat"/>
      </c:valAx>
      <c:valAx>
        <c:axId val="565741928"/>
        <c:scaling>
          <c:orientation val="minMax"/>
        </c:scaling>
        <c:delete val="1"/>
        <c:axPos val="b"/>
        <c:numFmt formatCode="General" sourceLinked="1"/>
        <c:majorTickMark val="out"/>
        <c:minorTickMark val="none"/>
        <c:tickLblPos val="nextTo"/>
        <c:crossAx val="565739576"/>
        <c:crosses val="autoZero"/>
        <c:crossBetween val="midCat"/>
      </c:valAx>
      <c:spPr>
        <a:noFill/>
        <a:ln>
          <a:noFill/>
        </a:ln>
        <a:effectLst/>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egendEntry>
        <c:idx val="8"/>
        <c:delete val="1"/>
      </c:legendEntry>
      <c:legendEntry>
        <c:idx val="13"/>
        <c:delete val="1"/>
      </c:legendEntry>
      <c:layout>
        <c:manualLayout>
          <c:xMode val="edge"/>
          <c:yMode val="edge"/>
          <c:x val="0.71544721266826117"/>
          <c:y val="0.16905028467832969"/>
          <c:w val="0.2712490179304084"/>
          <c:h val="0.677588472650959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7614414-0B0A-4EA3-89FD-61AF0948108B}"/>
</file>

<file path=customXml/itemProps2.xml><?xml version="1.0" encoding="utf-8"?>
<ds:datastoreItem xmlns:ds="http://schemas.openxmlformats.org/officeDocument/2006/customXml" ds:itemID="{48669466-EC90-411D-93D6-B977CE60B764}"/>
</file>

<file path=customXml/itemProps3.xml><?xml version="1.0" encoding="utf-8"?>
<ds:datastoreItem xmlns:ds="http://schemas.openxmlformats.org/officeDocument/2006/customXml" ds:itemID="{A0B2EB54-CCD6-4562-80DF-BC1A4C646FEA}"/>
</file>

<file path=customXml/itemProps4.xml><?xml version="1.0" encoding="utf-8"?>
<ds:datastoreItem xmlns:ds="http://schemas.openxmlformats.org/officeDocument/2006/customXml" ds:itemID="{67245DFC-0E32-46B8-B3DF-DFBBE6EC2DCC}"/>
</file>

<file path=docProps/app.xml><?xml version="1.0" encoding="utf-8"?>
<Properties xmlns="http://schemas.openxmlformats.org/officeDocument/2006/extended-properties" xmlns:vt="http://schemas.openxmlformats.org/officeDocument/2006/docPropsVTypes">
  <Template>Normal.dotm</Template>
  <TotalTime>10</TotalTime>
  <Pages>1</Pages>
  <Words>12944</Words>
  <Characters>73785</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86556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McCarthy</dc:creator>
  <cp:keywords/>
  <dc:description/>
  <cp:lastModifiedBy>MATLEY ROSLYN</cp:lastModifiedBy>
  <cp:revision>3</cp:revision>
  <cp:lastPrinted>2018-05-15T07:56:00Z</cp:lastPrinted>
  <dcterms:created xsi:type="dcterms:W3CDTF">2018-05-15T07:55:00Z</dcterms:created>
  <dcterms:modified xsi:type="dcterms:W3CDTF">2018-05-15T08:05:00Z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