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6177" w14:textId="1220DEC6" w:rsidR="009960A5" w:rsidRPr="009960A5" w:rsidRDefault="00681A50" w:rsidP="00903FEE">
      <w:pPr>
        <w:pStyle w:val="Heading1"/>
      </w:pPr>
      <w:r>
        <w:t xml:space="preserve">Exporting non-prescribed goods: </w:t>
      </w:r>
      <w:r w:rsidR="00166898">
        <w:t>determining a non-prescribed good</w:t>
      </w:r>
    </w:p>
    <w:p w14:paraId="5E7ED969" w14:textId="77777777" w:rsidR="00371DFD" w:rsidRPr="00371DFD" w:rsidRDefault="00371DFD" w:rsidP="00371DFD">
      <w:r>
        <w:br w:type="page"/>
      </w:r>
    </w:p>
    <w:p w14:paraId="4367806A" w14:textId="4BAA72FB" w:rsidR="005B0148" w:rsidRPr="00903FEE" w:rsidRDefault="005B0148" w:rsidP="00681A50">
      <w:pPr>
        <w:rPr>
          <w:rStyle w:val="Strong"/>
        </w:rPr>
      </w:pPr>
      <w:r w:rsidRPr="00903FEE">
        <w:rPr>
          <w:rStyle w:val="Strong"/>
        </w:rPr>
        <w:lastRenderedPageBreak/>
        <w:t>The Australian Government Department of Agriculture</w:t>
      </w:r>
      <w:r w:rsidR="006F103D">
        <w:rPr>
          <w:rStyle w:val="Strong"/>
        </w:rPr>
        <w:t xml:space="preserve">, Water and the Environment </w:t>
      </w:r>
      <w:r w:rsidRPr="00903FEE">
        <w:rPr>
          <w:rStyle w:val="Strong"/>
        </w:rPr>
        <w:t>has created this</w:t>
      </w:r>
      <w:r w:rsidR="006F103D">
        <w:rPr>
          <w:rStyle w:val="Strong"/>
        </w:rPr>
        <w:t xml:space="preserve"> </w:t>
      </w:r>
      <w:r w:rsidRPr="00903FEE">
        <w:rPr>
          <w:rStyle w:val="Strong"/>
        </w:rPr>
        <w:t xml:space="preserve">guideline to assist those wishing to </w:t>
      </w:r>
      <w:r w:rsidR="00276535" w:rsidRPr="00903FEE">
        <w:rPr>
          <w:rStyle w:val="Strong"/>
        </w:rPr>
        <w:t>export non-prescribed g</w:t>
      </w:r>
      <w:r w:rsidR="005F0EC4" w:rsidRPr="00903FEE">
        <w:rPr>
          <w:rStyle w:val="Strong"/>
        </w:rPr>
        <w:t>oods.</w:t>
      </w:r>
    </w:p>
    <w:p w14:paraId="74B6323B" w14:textId="538E1BE9" w:rsidR="005B0148" w:rsidRPr="00903FEE" w:rsidRDefault="005B0148" w:rsidP="00681A50">
      <w:pPr>
        <w:rPr>
          <w:rStyle w:val="Strong"/>
        </w:rPr>
      </w:pPr>
      <w:r w:rsidRPr="00903FEE">
        <w:rPr>
          <w:rStyle w:val="Strong"/>
        </w:rPr>
        <w:t xml:space="preserve">This guideline sets out </w:t>
      </w:r>
      <w:r w:rsidR="00276535" w:rsidRPr="00903FEE">
        <w:rPr>
          <w:rStyle w:val="Strong"/>
        </w:rPr>
        <w:t xml:space="preserve">what </w:t>
      </w:r>
      <w:r w:rsidR="00A6243A" w:rsidRPr="00903FEE">
        <w:rPr>
          <w:rStyle w:val="Strong"/>
        </w:rPr>
        <w:t xml:space="preserve">constitutes a non-prescribed good and how to determine if a particular product </w:t>
      </w:r>
      <w:r w:rsidR="00554367">
        <w:rPr>
          <w:rStyle w:val="Strong"/>
        </w:rPr>
        <w:t>is</w:t>
      </w:r>
      <w:r w:rsidR="00A6243A" w:rsidRPr="00903FEE">
        <w:rPr>
          <w:rStyle w:val="Strong"/>
        </w:rPr>
        <w:t xml:space="preserve"> a prescribed or non-prescribed good</w:t>
      </w:r>
      <w:r w:rsidR="000E4D23" w:rsidRPr="00903FEE">
        <w:rPr>
          <w:rStyle w:val="Strong"/>
        </w:rPr>
        <w:t xml:space="preserve"> for the purpose of expor</w:t>
      </w:r>
      <w:r w:rsidR="006F103D">
        <w:rPr>
          <w:rStyle w:val="Strong"/>
        </w:rPr>
        <w:t>ting from Australia.</w:t>
      </w:r>
    </w:p>
    <w:p w14:paraId="3AE5FB4C" w14:textId="71286604" w:rsidR="006F103D" w:rsidRDefault="005B0148" w:rsidP="006F103D">
      <w:pPr>
        <w:pStyle w:val="Heading2"/>
      </w:pPr>
      <w:r w:rsidRPr="0019745A">
        <w:t>Background</w:t>
      </w:r>
    </w:p>
    <w:p w14:paraId="70EF31B6" w14:textId="2A96047C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This guideline provides information and instructions for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Australian businesses wanting to determine if their product</w:t>
      </w:r>
    </w:p>
    <w:p w14:paraId="4327E099" w14:textId="4CA2E584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is deemed to be non-prescribed under export legislation.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Exporters will need to read this guideline to understand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requirements for export. Exporters should also refer to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departments Manual of Importing Country Requirements</w:t>
      </w:r>
    </w:p>
    <w:p w14:paraId="5B6517BB" w14:textId="20B2308B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(</w:t>
      </w:r>
      <w:r>
        <w:rPr>
          <w:rFonts w:eastAsia="Times New Roman" w:cs="Cambria"/>
          <w:color w:val="000000"/>
          <w:sz w:val="20"/>
          <w:szCs w:val="24"/>
          <w:lang w:eastAsia="en-AU"/>
        </w:rPr>
        <w:t>Micor)</w:t>
      </w:r>
      <w:r>
        <w:rPr>
          <w:rFonts w:eastAsia="Times New Roman" w:cs="Cambria"/>
          <w:color w:val="853347"/>
          <w:sz w:val="20"/>
          <w:szCs w:val="24"/>
          <w:lang w:val="x-none" w:eastAsia="en-AU"/>
        </w:rPr>
        <w:t xml:space="preserve">.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Micor sets out the known requirements that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exporters and the department must meet for products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commodities to be accepted for import into specific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overseas countries</w:t>
      </w:r>
    </w:p>
    <w:p w14:paraId="6EFCF63F" w14:textId="77777777" w:rsidR="006F103D" w:rsidRP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290185D6" w14:textId="3C03F06E" w:rsidR="00DA39A0" w:rsidRDefault="000212A7" w:rsidP="00DA39A0">
      <w:pPr>
        <w:pStyle w:val="Heading2"/>
      </w:pPr>
      <w:r>
        <w:t>N</w:t>
      </w:r>
      <w:r w:rsidR="00DA39A0">
        <w:t>on-</w:t>
      </w:r>
      <w:r w:rsidR="004D367C">
        <w:t>p</w:t>
      </w:r>
      <w:r w:rsidR="00DA39A0">
        <w:t xml:space="preserve">rescribed </w:t>
      </w:r>
      <w:r w:rsidR="004D367C">
        <w:t>g</w:t>
      </w:r>
      <w:r w:rsidR="00DA39A0">
        <w:t>ood</w:t>
      </w:r>
      <w:r>
        <w:t>s</w:t>
      </w:r>
    </w:p>
    <w:p w14:paraId="7E2B772F" w14:textId="5D194B3A" w:rsidR="00BF0949" w:rsidRPr="00BF0949" w:rsidRDefault="00BF0949" w:rsidP="00BF0949">
      <w:pPr>
        <w:pStyle w:val="Heading3"/>
      </w:pPr>
      <w:r>
        <w:rPr>
          <w:lang w:eastAsia="ja-JP"/>
        </w:rPr>
        <w:t>Legislative overview</w:t>
      </w:r>
    </w:p>
    <w:p w14:paraId="6C7094CC" w14:textId="2D9DCAFD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Australia’s export control laws allow the Australian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Government to regulate the export of goods. These laws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support Australia’s reputation as a reliable, high-quality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source of exports. This maintains and improves export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opportunities for Australian agricultural and food products.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From March 2021, Australia’s agricultural, fishery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and forestry exports will be regulated under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i/>
          <w:color w:val="000000"/>
          <w:sz w:val="20"/>
          <w:szCs w:val="24"/>
          <w:lang w:val="x-none" w:eastAsia="en-AU"/>
        </w:rPr>
        <w:t xml:space="preserve">Export Control Act 2020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(Act) and the Export Control Rules.</w:t>
      </w:r>
    </w:p>
    <w:p w14:paraId="708EA1FF" w14:textId="77777777" w:rsidR="00BF0949" w:rsidRDefault="00BF0949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1BD45455" w14:textId="62B65013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The Act defines prescribed goods. Prescribed goods are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goods that are regulated by the Act and the Rules. The Rules</w:t>
      </w:r>
    </w:p>
    <w:p w14:paraId="025BB11B" w14:textId="69ECFEA4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list which goods are prescribed goods. All other goods are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goods (also referred to as NPGs).</w:t>
      </w:r>
    </w:p>
    <w:p w14:paraId="43F1BFDB" w14:textId="77777777" w:rsidR="00BF0949" w:rsidRDefault="00BF0949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12A5FEE0" w14:textId="7777777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Examples of prescribed goods are:</w:t>
      </w:r>
    </w:p>
    <w:p w14:paraId="052F9559" w14:textId="7777777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milk and milk products</w:t>
      </w:r>
    </w:p>
    <w:p w14:paraId="0D8123C5" w14:textId="7777777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fish and fish products</w:t>
      </w:r>
    </w:p>
    <w:p w14:paraId="2E45E507" w14:textId="7777777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plants and plant products</w:t>
      </w:r>
    </w:p>
    <w:p w14:paraId="4A701AAE" w14:textId="7777777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eggs and egg products</w:t>
      </w:r>
    </w:p>
    <w:p w14:paraId="49BC5695" w14:textId="7777777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meat and meat products</w:t>
      </w:r>
    </w:p>
    <w:p w14:paraId="59527602" w14:textId="7777777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organic products</w:t>
      </w:r>
    </w:p>
    <w:p w14:paraId="4B86096F" w14:textId="2C5A0C14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live animals.</w:t>
      </w:r>
    </w:p>
    <w:p w14:paraId="158E14BD" w14:textId="77777777" w:rsidR="00BF0949" w:rsidRDefault="00BF0949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66F9DA49" w14:textId="00324CF7" w:rsidR="006F103D" w:rsidRDefault="006F103D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The Export Control Rules set out the list of legislative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requirements that must be met by an exporter before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prescribed goods can be exported. A separate Export Control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Rule exists for each type of prescribed good (for example,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the Export Control (Meat and Meat Products) Rules 2020)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.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These specific commodity Rules set out the specifications to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be used when determining if a particular product should be</w:t>
      </w:r>
      <w:r w:rsidR="00BF094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deemed as a prescribed good under each commodity type.</w:t>
      </w:r>
    </w:p>
    <w:p w14:paraId="24BF42E0" w14:textId="77777777" w:rsidR="00BF0949" w:rsidRDefault="00BF0949" w:rsidP="006F103D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76905F4A" w14:textId="260FE4B6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Under each of the commodity-specific Rules, detailed clauses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are used to assess whether products which are very similar</w:t>
      </w:r>
    </w:p>
    <w:p w14:paraId="14D7C553" w14:textId="23F99489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to prescribed goods are deemed to be non-prescribed goods.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More information is outlined in the Commodity-specific</w:t>
      </w:r>
    </w:p>
    <w:p w14:paraId="34B9AB1D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details section of this guideline.</w:t>
      </w:r>
    </w:p>
    <w:p w14:paraId="559C1D99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49A138F0" w14:textId="2B0ADBA5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goods are not subject to most of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regulatory controls in the Act. If an importing country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requires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certification for non-prescribed goods, exporters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may apply for a government certificate. The main types of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goods are:</w:t>
      </w:r>
    </w:p>
    <w:p w14:paraId="4912285A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processed foods</w:t>
      </w:r>
    </w:p>
    <w:p w14:paraId="58A2E461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wool</w:t>
      </w:r>
    </w:p>
    <w:p w14:paraId="7C20355A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animal feed and pet food</w:t>
      </w:r>
    </w:p>
    <w:p w14:paraId="7AABAEE9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animal by-products.</w:t>
      </w:r>
    </w:p>
    <w:p w14:paraId="27620C2B" w14:textId="1EA6785F" w:rsidR="00BF0949" w:rsidRP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honey</w:t>
      </w:r>
      <w:r>
        <w:rPr>
          <w:rFonts w:eastAsia="Times New Roman" w:cs="Cambria"/>
          <w:color w:val="000000"/>
          <w:sz w:val="20"/>
          <w:szCs w:val="24"/>
          <w:lang w:eastAsia="en-AU"/>
        </w:rPr>
        <w:t>.</w:t>
      </w:r>
    </w:p>
    <w:p w14:paraId="34F990F8" w14:textId="77777777" w:rsidR="006F103D" w:rsidRPr="006F103D" w:rsidRDefault="006F103D" w:rsidP="006F103D">
      <w:pPr>
        <w:rPr>
          <w:lang w:eastAsia="ja-JP"/>
        </w:rPr>
      </w:pPr>
    </w:p>
    <w:p w14:paraId="5DFB6CE6" w14:textId="0501BC02" w:rsidR="00681A50" w:rsidRDefault="00681A50" w:rsidP="00903FEE">
      <w:pPr>
        <w:pStyle w:val="Heading3"/>
      </w:pPr>
      <w:r>
        <w:t>Commodity-specific details</w:t>
      </w:r>
    </w:p>
    <w:p w14:paraId="718E84AD" w14:textId="2E67C8F0" w:rsidR="00D6569D" w:rsidRDefault="000E4D23" w:rsidP="00903FEE">
      <w:pPr>
        <w:pStyle w:val="Heading4"/>
      </w:pPr>
      <w:r w:rsidRPr="00903FEE">
        <w:t xml:space="preserve">Milk </w:t>
      </w:r>
      <w:r w:rsidR="00B776BB">
        <w:t>a</w:t>
      </w:r>
      <w:r w:rsidRPr="00903FEE">
        <w:t xml:space="preserve">nd </w:t>
      </w:r>
      <w:r w:rsidR="00B776BB">
        <w:t>m</w:t>
      </w:r>
      <w:r w:rsidR="00097CFF" w:rsidRPr="00903FEE">
        <w:t>ilk</w:t>
      </w:r>
      <w:r w:rsidRPr="00903FEE">
        <w:t xml:space="preserve"> </w:t>
      </w:r>
      <w:r w:rsidR="00B776BB">
        <w:t>p</w:t>
      </w:r>
      <w:r w:rsidRPr="00903FEE">
        <w:t>roducts</w:t>
      </w:r>
    </w:p>
    <w:p w14:paraId="5E9462FF" w14:textId="7DA6B93C" w:rsidR="00BF0949" w:rsidRDefault="00BF0949" w:rsidP="00BF0949">
      <w:pPr>
        <w:rPr>
          <w:lang w:eastAsia="ja-JP"/>
        </w:rPr>
      </w:pPr>
    </w:p>
    <w:p w14:paraId="0B18DE07" w14:textId="7128053D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lastRenderedPageBreak/>
        <w:t>Milk and milk products derived from a bovine animal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and are intended to be exported as food are prescribed.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However, many dairy products are considered as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goods, for example:</w:t>
      </w:r>
    </w:p>
    <w:p w14:paraId="540A789A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ice cream and colostrum</w:t>
      </w:r>
    </w:p>
    <w:p w14:paraId="30C17F6B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cheesecake, bavarians and similar desserts</w:t>
      </w:r>
    </w:p>
    <w:p w14:paraId="1E21D3FC" w14:textId="569E505E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milk or milk products encased in pastry or a fruit or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vegetable product</w:t>
      </w:r>
    </w:p>
    <w:p w14:paraId="0D5EE46F" w14:textId="07877670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products where milk or milk products are not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major component</w:t>
      </w:r>
    </w:p>
    <w:p w14:paraId="001D2285" w14:textId="10231535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milk or milk products obtained from an animal other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than a bovine animal.</w:t>
      </w:r>
    </w:p>
    <w:p w14:paraId="2CF14B93" w14:textId="77777777" w:rsidR="00BF0949" w:rsidRP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7E659914" w14:textId="66737B6F" w:rsidR="00D6569D" w:rsidRPr="00B776BB" w:rsidRDefault="000E4D23" w:rsidP="00903FEE">
      <w:pPr>
        <w:pStyle w:val="Heading4"/>
      </w:pPr>
      <w:r w:rsidRPr="00B776BB">
        <w:t xml:space="preserve">Fish </w:t>
      </w:r>
      <w:r w:rsidR="00B776BB">
        <w:t>a</w:t>
      </w:r>
      <w:r w:rsidRPr="00B776BB">
        <w:t xml:space="preserve">nd </w:t>
      </w:r>
      <w:r w:rsidR="00B776BB">
        <w:t>f</w:t>
      </w:r>
      <w:r w:rsidRPr="00B776BB">
        <w:t xml:space="preserve">ish </w:t>
      </w:r>
      <w:r w:rsidR="00B776BB">
        <w:t>p</w:t>
      </w:r>
      <w:r w:rsidRPr="00B776BB">
        <w:t>roducts</w:t>
      </w:r>
    </w:p>
    <w:p w14:paraId="57F275B6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Fish and fish products intended to be exported as food are</w:t>
      </w:r>
    </w:p>
    <w:p w14:paraId="0B9ABE08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prescribed. Fish includes aquatic vertebrates and aquatic</w:t>
      </w:r>
    </w:p>
    <w:p w14:paraId="4A78F67F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invertebrates but excludes mammals and birds.</w:t>
      </w:r>
    </w:p>
    <w:p w14:paraId="1D954BD1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Fish and fish products that are considered non-prescribed</w:t>
      </w:r>
    </w:p>
    <w:p w14:paraId="038A5710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goods include:</w:t>
      </w:r>
    </w:p>
    <w:p w14:paraId="6D3AB4E3" w14:textId="3A3F04C3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empty shells</w:t>
      </w:r>
    </w:p>
    <w:p w14:paraId="57700C40" w14:textId="097CBE4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products where fish or fish products are not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major component, such as bakery products</w:t>
      </w:r>
    </w:p>
    <w:p w14:paraId="1B9EE23C" w14:textId="35264396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fish or fish products in the form of a tablet or capsule,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such as fish oil capsules</w:t>
      </w:r>
    </w:p>
    <w:p w14:paraId="4633E9F4" w14:textId="2BD4B9F8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fish or fish products that are for use as animal food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or pharmaceutical material</w:t>
      </w:r>
    </w:p>
    <w:p w14:paraId="1CBABAA8" w14:textId="6262E8CB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liquid fish and liquid fish products exported in a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consignment of not more than 10 litres</w:t>
      </w:r>
    </w:p>
    <w:p w14:paraId="3A112BD0" w14:textId="1D139DC3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dried fish and dried fish products (other than dried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abalone) exported in a consignment of not more than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2 kilograms</w:t>
      </w:r>
    </w:p>
    <w:p w14:paraId="4CDB2A6E" w14:textId="240DA350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fish or fish products of any other kind (other than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dried abalone) exported in a consignment of not more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than 10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kilograms.</w:t>
      </w:r>
    </w:p>
    <w:p w14:paraId="08958902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61E22B20" w14:textId="562E1742" w:rsidR="000E4D23" w:rsidRPr="00903FEE" w:rsidRDefault="000E4D23" w:rsidP="00903FEE">
      <w:pPr>
        <w:pStyle w:val="Heading4"/>
      </w:pPr>
      <w:r w:rsidRPr="00903FEE">
        <w:t xml:space="preserve">Plants </w:t>
      </w:r>
      <w:r w:rsidR="00B776BB">
        <w:t>a</w:t>
      </w:r>
      <w:r w:rsidRPr="00903FEE">
        <w:t xml:space="preserve">nd </w:t>
      </w:r>
      <w:r w:rsidR="00B776BB">
        <w:t>p</w:t>
      </w:r>
      <w:r w:rsidRPr="00903FEE">
        <w:t xml:space="preserve">lant </w:t>
      </w:r>
      <w:r w:rsidR="00B776BB">
        <w:t>p</w:t>
      </w:r>
      <w:r w:rsidRPr="00903FEE">
        <w:t>roducts</w:t>
      </w:r>
    </w:p>
    <w:p w14:paraId="2C509D15" w14:textId="79AA3530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Plants and plant products including prescribed grain,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h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ay, straw, and all fresh fruits and vegetables (including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mushrooms, herbs and sprouts) are prescribed. Prescribed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grain includes barley, canola, chickpeas, dried field peas, faba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beans, lentils, lupins, mung beans, oats, sorghum, soybeans,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wheat and whole vetch. Additionally, any other plant or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plant </w:t>
      </w:r>
      <w:r>
        <w:rPr>
          <w:rFonts w:eastAsia="Times New Roman" w:cs="Cambria"/>
          <w:color w:val="000000"/>
          <w:sz w:val="20"/>
          <w:szCs w:val="24"/>
          <w:lang w:eastAsia="en-AU"/>
        </w:rPr>
        <w:t>p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roduct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s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that are intended for export and requiring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 phytosanitary certificate to meet an importing country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requirement are also prescribed.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</w:p>
    <w:p w14:paraId="404D88AA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eastAsia="en-AU"/>
        </w:rPr>
      </w:pPr>
    </w:p>
    <w:p w14:paraId="0E0B78AA" w14:textId="5B3F278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All other plant and processed plant products are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goods.</w:t>
      </w:r>
    </w:p>
    <w:p w14:paraId="178AACEF" w14:textId="48850B46" w:rsidR="00D6569D" w:rsidRPr="00B776BB" w:rsidRDefault="000E4D23" w:rsidP="00903FEE">
      <w:pPr>
        <w:pStyle w:val="Heading4"/>
      </w:pPr>
      <w:r w:rsidRPr="00B776BB">
        <w:t xml:space="preserve">Eggs </w:t>
      </w:r>
      <w:r w:rsidR="00B776BB">
        <w:t>a</w:t>
      </w:r>
      <w:r w:rsidRPr="00B776BB">
        <w:t xml:space="preserve">nd </w:t>
      </w:r>
      <w:r w:rsidR="00B776BB">
        <w:t>e</w:t>
      </w:r>
      <w:r w:rsidRPr="00B776BB">
        <w:t xml:space="preserve">gg </w:t>
      </w:r>
      <w:r w:rsidR="00B776BB">
        <w:t>p</w:t>
      </w:r>
      <w:r w:rsidRPr="00B776BB">
        <w:t>roducts</w:t>
      </w:r>
    </w:p>
    <w:p w14:paraId="1CD37F64" w14:textId="7C4A1998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Eggs and egg products from the avian species </w:t>
      </w:r>
      <w:r>
        <w:rPr>
          <w:rFonts w:eastAsia="Times New Roman" w:cs="Cambria"/>
          <w:i/>
          <w:color w:val="000000"/>
          <w:sz w:val="20"/>
          <w:szCs w:val="24"/>
          <w:lang w:val="x-none" w:eastAsia="en-AU"/>
        </w:rPr>
        <w:t>Gallus gallus</w:t>
      </w:r>
      <w:r>
        <w:rPr>
          <w:rFonts w:eastAsia="Times New Roman" w:cs="Cambria"/>
          <w:i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(chickens) that are intended for export are prescribed.</w:t>
      </w:r>
      <w:r>
        <w:rPr>
          <w:rFonts w:eastAsia="Times New Roman" w:cs="Cambria"/>
          <w:i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Egg </w:t>
      </w:r>
      <w:r>
        <w:rPr>
          <w:rFonts w:eastAsia="Times New Roman" w:cs="Cambria"/>
          <w:color w:val="000000"/>
          <w:sz w:val="20"/>
          <w:szCs w:val="24"/>
          <w:lang w:eastAsia="en-AU"/>
        </w:rPr>
        <w:t>p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roduct means the contents of an egg removed from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its shell and in liquid, frozen or dried form.</w:t>
      </w:r>
      <w:r w:rsidR="0034536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Eggs and eggs products that are considered</w:t>
      </w:r>
      <w:r w:rsidR="0034536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include:</w:t>
      </w:r>
    </w:p>
    <w:p w14:paraId="1A3C4109" w14:textId="49D943A5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eggs and egg products from an avian species other</w:t>
      </w:r>
      <w:r w:rsidR="0034536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than </w:t>
      </w:r>
      <w:r>
        <w:rPr>
          <w:rFonts w:eastAsia="Times New Roman" w:cs="Cambria"/>
          <w:i/>
          <w:color w:val="000000"/>
          <w:sz w:val="20"/>
          <w:szCs w:val="24"/>
          <w:lang w:val="x-none" w:eastAsia="en-AU"/>
        </w:rPr>
        <w:t xml:space="preserve">Gallus gallus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(such as emu or duck eggs)</w:t>
      </w:r>
    </w:p>
    <w:p w14:paraId="185AE171" w14:textId="38D5C692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egg or egg products that are for use as animal food</w:t>
      </w:r>
      <w:r w:rsidR="0034536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or pharmaceutical material</w:t>
      </w:r>
    </w:p>
    <w:p w14:paraId="73F2327C" w14:textId="6B790346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products where eggs or egg products are not the</w:t>
      </w:r>
      <w:r w:rsidR="0034536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major component</w:t>
      </w:r>
    </w:p>
    <w:p w14:paraId="4A175F23" w14:textId="6267FFC6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liquid egg products exported in a consignment</w:t>
      </w:r>
      <w:r w:rsidR="0034536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of not more than 10 litres</w:t>
      </w:r>
    </w:p>
    <w:p w14:paraId="6F2603BB" w14:textId="1780E581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eggs and egg products of any other kind exported</w:t>
      </w:r>
      <w:r w:rsidR="0034536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in a consignment of not more than 10 kilograms</w:t>
      </w:r>
    </w:p>
    <w:p w14:paraId="2069FF9E" w14:textId="77777777" w:rsidR="00BF0949" w:rsidRDefault="00BF0949" w:rsidP="00BF094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egg products in the form of a tablet or capsule.</w:t>
      </w:r>
    </w:p>
    <w:p w14:paraId="10A98D42" w14:textId="63709166" w:rsidR="000E4D23" w:rsidRPr="00B776BB" w:rsidRDefault="000E4D23" w:rsidP="00903FEE">
      <w:pPr>
        <w:pStyle w:val="Heading4"/>
      </w:pPr>
      <w:r w:rsidRPr="00B776BB">
        <w:t xml:space="preserve">Meat </w:t>
      </w:r>
      <w:r w:rsidR="00B776BB">
        <w:t>a</w:t>
      </w:r>
      <w:r w:rsidRPr="00B776BB">
        <w:t xml:space="preserve">nd </w:t>
      </w:r>
      <w:r w:rsidR="00B776BB">
        <w:t>m</w:t>
      </w:r>
      <w:r w:rsidRPr="00B776BB">
        <w:t xml:space="preserve">eat </w:t>
      </w:r>
      <w:r w:rsidR="00B776BB">
        <w:t>p</w:t>
      </w:r>
      <w:r w:rsidRPr="00B776BB">
        <w:t>roducts</w:t>
      </w:r>
    </w:p>
    <w:p w14:paraId="5EEC8880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Meat and meat products derived from an animal of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bovine, bubaline, camelidae, caprine, cervidae, ovine, porcine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or soliped species and that are intended to be exported as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food are prescribed. Animals in these species include cattle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and </w:t>
      </w:r>
      <w:r>
        <w:rPr>
          <w:rFonts w:eastAsia="Times New Roman" w:cs="Cambria"/>
          <w:color w:val="000000"/>
          <w:sz w:val="20"/>
          <w:szCs w:val="24"/>
          <w:lang w:eastAsia="en-AU"/>
        </w:rPr>
        <w:t>b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ison, water buffalo, camels, goats, deer, sheep, pigs,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and horses and donkeys.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</w:p>
    <w:p w14:paraId="56D7CD9B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eastAsia="en-AU"/>
        </w:rPr>
      </w:pPr>
    </w:p>
    <w:p w14:paraId="3A5F2D20" w14:textId="467BC1A6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Meat and meat products that are considered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include:</w:t>
      </w:r>
    </w:p>
    <w:p w14:paraId="70530129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soup, soup powder or soup concentrate derived from meat</w:t>
      </w:r>
    </w:p>
    <w:p w14:paraId="3B60683F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meat extracts</w:t>
      </w:r>
    </w:p>
    <w:p w14:paraId="7C8C1785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tallow or gelatine derived from meat</w:t>
      </w:r>
    </w:p>
    <w:p w14:paraId="256F32F8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regenerated collagen products derived from meat</w:t>
      </w:r>
    </w:p>
    <w:p w14:paraId="2DF2B5F4" w14:textId="46AE253B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meat or meat products that are animal food or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pharmaceutical material</w:t>
      </w:r>
    </w:p>
    <w:p w14:paraId="533B19F2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meat products containing less than 5% mass of meat</w:t>
      </w:r>
    </w:p>
    <w:p w14:paraId="69CBB508" w14:textId="570B14ED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meat or meat products for export in a consignment of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not more than 10 kilograms.</w:t>
      </w:r>
    </w:p>
    <w:p w14:paraId="6CB40915" w14:textId="2A85A9D6" w:rsidR="00D6569D" w:rsidRPr="00B776BB" w:rsidRDefault="000E4D23" w:rsidP="00903FEE">
      <w:pPr>
        <w:pStyle w:val="Heading4"/>
      </w:pPr>
      <w:r w:rsidRPr="00B776BB">
        <w:lastRenderedPageBreak/>
        <w:t xml:space="preserve">Organic </w:t>
      </w:r>
      <w:r w:rsidR="00B776BB">
        <w:t>p</w:t>
      </w:r>
      <w:r w:rsidRPr="00B776BB">
        <w:t>roduce</w:t>
      </w:r>
    </w:p>
    <w:p w14:paraId="2BB802F9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All food, fibre, or any other products that are described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and/or labelled as organic, bio-dynamic, ecological, or by any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other word of similar indication, are prescribed goods.</w:t>
      </w:r>
    </w:p>
    <w:p w14:paraId="19FCA3B9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39CEE01D" w14:textId="70266755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Organic goods that are cosmetic products are non-prescribed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unless the goods are intended for export and need an </w:t>
      </w:r>
      <w:r>
        <w:rPr>
          <w:rFonts w:eastAsia="Times New Roman" w:cs="Cambria"/>
          <w:color w:val="000000"/>
          <w:sz w:val="20"/>
          <w:szCs w:val="24"/>
          <w:lang w:eastAsia="en-AU"/>
        </w:rPr>
        <w:t>o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rganic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goods certificate to meet an importing country requirement.</w:t>
      </w:r>
    </w:p>
    <w:p w14:paraId="15E7F7BC" w14:textId="77777777" w:rsidR="00AC33DC" w:rsidRDefault="00AC33DC" w:rsidP="00903FEE">
      <w:pPr>
        <w:pStyle w:val="Heading3"/>
      </w:pPr>
    </w:p>
    <w:p w14:paraId="091426F5" w14:textId="27342123" w:rsidR="00A03410" w:rsidRDefault="00B776BB" w:rsidP="00903FEE">
      <w:pPr>
        <w:pStyle w:val="Heading3"/>
      </w:pPr>
      <w:r>
        <w:t>Other non-prescribed goods</w:t>
      </w:r>
    </w:p>
    <w:p w14:paraId="370065C2" w14:textId="177C3469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Other goods that are considered as non-prescribed for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purpose of export include:</w:t>
      </w:r>
    </w:p>
    <w:p w14:paraId="254C8737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animal by-products</w:t>
      </w:r>
    </w:p>
    <w:p w14:paraId="03EC0441" w14:textId="77777777" w:rsidR="00345366" w:rsidRDefault="00345366" w:rsidP="00345366">
      <w:pPr>
        <w:autoSpaceDE w:val="0"/>
        <w:autoSpaceDN w:val="0"/>
        <w:adjustRightInd w:val="0"/>
        <w:snapToGrid w:val="0"/>
        <w:spacing w:before="96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wool</w:t>
      </w:r>
    </w:p>
    <w:p w14:paraId="106BD8BB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feathers</w:t>
      </w:r>
    </w:p>
    <w:p w14:paraId="14662A5E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goat hair</w:t>
      </w:r>
    </w:p>
    <w:p w14:paraId="2E7426F9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skins, hides and pelts</w:t>
      </w:r>
    </w:p>
    <w:p w14:paraId="3907FB98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leather</w:t>
      </w:r>
    </w:p>
    <w:p w14:paraId="3034CFBC" w14:textId="615436B6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trophies (such as those made of animal skins, hides and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feathers)</w:t>
      </w:r>
    </w:p>
    <w:p w14:paraId="57E1B3FB" w14:textId="50DC34D6" w:rsidR="00345366" w:rsidRDefault="00345366" w:rsidP="00345366">
      <w:pPr>
        <w:autoSpaceDE w:val="0"/>
        <w:autoSpaceDN w:val="0"/>
        <w:adjustRightInd w:val="0"/>
        <w:snapToGrid w:val="0"/>
        <w:spacing w:before="75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inedible blood and blood products, such as serum and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antisera</w:t>
      </w:r>
    </w:p>
    <w:p w14:paraId="08C29BB3" w14:textId="77777777" w:rsidR="00345366" w:rsidRDefault="00345366" w:rsidP="00345366">
      <w:pPr>
        <w:autoSpaceDE w:val="0"/>
        <w:autoSpaceDN w:val="0"/>
        <w:adjustRightInd w:val="0"/>
        <w:snapToGrid w:val="0"/>
        <w:spacing w:before="75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rendered meals</w:t>
      </w:r>
    </w:p>
    <w:p w14:paraId="2CDBCAA4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rendered fats and oils (of plant or animal origin)</w:t>
      </w:r>
    </w:p>
    <w:p w14:paraId="06F9BA4B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rendered fish products</w:t>
      </w:r>
    </w:p>
    <w:p w14:paraId="356C7204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gelatine and gelatine products</w:t>
      </w:r>
    </w:p>
    <w:p w14:paraId="1C5EC1B9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deer antler velvet</w:t>
      </w:r>
    </w:p>
    <w:p w14:paraId="7A3A8782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hard antlers</w:t>
      </w:r>
    </w:p>
    <w:p w14:paraId="326D73FF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animal placenta and placenta products</w:t>
      </w:r>
    </w:p>
    <w:p w14:paraId="2C07DB86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bones</w:t>
      </w:r>
    </w:p>
    <w:p w14:paraId="447D6E02" w14:textId="77777777" w:rsidR="00345366" w:rsidRDefault="00345366" w:rsidP="00345366">
      <w:pPr>
        <w:autoSpaceDE w:val="0"/>
        <w:autoSpaceDN w:val="0"/>
        <w:adjustRightInd w:val="0"/>
        <w:snapToGrid w:val="0"/>
        <w:spacing w:before="91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collagen</w:t>
      </w:r>
    </w:p>
    <w:p w14:paraId="1AF223C3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processed foods, beverages and ingredients</w:t>
      </w:r>
    </w:p>
    <w:p w14:paraId="3C9ABD3A" w14:textId="6E120F56" w:rsidR="00345366" w:rsidRDefault="00345366" w:rsidP="00345366">
      <w:pPr>
        <w:autoSpaceDE w:val="0"/>
        <w:autoSpaceDN w:val="0"/>
        <w:adjustRightInd w:val="0"/>
        <w:snapToGrid w:val="0"/>
        <w:spacing w:before="96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all processed foods and grocery items that do not fall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within the specifications of a prescribed good</w:t>
      </w:r>
    </w:p>
    <w:p w14:paraId="175A25E7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vitamins and nutritional supplements</w:t>
      </w:r>
    </w:p>
    <w:p w14:paraId="786CBB7F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honey and apiary products</w:t>
      </w:r>
    </w:p>
    <w:p w14:paraId="0FCAB163" w14:textId="3CA36EBB" w:rsidR="00345366" w:rsidRDefault="00345366" w:rsidP="00345366">
      <w:pPr>
        <w:autoSpaceDE w:val="0"/>
        <w:autoSpaceDN w:val="0"/>
        <w:adjustRightInd w:val="0"/>
        <w:snapToGrid w:val="0"/>
        <w:spacing w:before="96" w:after="0" w:line="240" w:lineRule="auto"/>
        <w:ind w:left="720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ascii="Wingdings" w:eastAsia="Times New Roman" w:hAnsi="Wingdings" w:cs="Wingdings"/>
          <w:color w:val="853347"/>
          <w:sz w:val="16"/>
          <w:szCs w:val="24"/>
          <w:lang w:val="x-none" w:eastAsia="en-AU"/>
        </w:rPr>
        <w:t xml:space="preserve">§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such as honey, honeycomb, beeswax, honeybee collected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pollen, propolis, royal jelly and bee venom</w:t>
      </w:r>
    </w:p>
    <w:p w14:paraId="6E03DCBB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water</w:t>
      </w:r>
    </w:p>
    <w:p w14:paraId="2537F3DC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cosmetics and cosmetic materials</w:t>
      </w:r>
    </w:p>
    <w:p w14:paraId="6E93178F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technical products (such as for laboratory use)</w:t>
      </w:r>
    </w:p>
    <w:p w14:paraId="24B156E1" w14:textId="00D3167A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pet food (raw, processed and treats), stock feed and stock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feed ingredients and supplements</w:t>
      </w:r>
    </w:p>
    <w:p w14:paraId="425ECBE8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shells (such as abalone, scallop and trochus)</w:t>
      </w:r>
    </w:p>
    <w:p w14:paraId="49C158C6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fertilisers (derived from plant or animal materials)</w:t>
      </w:r>
    </w:p>
    <w:p w14:paraId="19778770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17"/>
          <w:szCs w:val="24"/>
          <w:lang w:val="x-none" w:eastAsia="en-AU"/>
        </w:rPr>
        <w:t xml:space="preserve">•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human and animal remains.</w:t>
      </w:r>
    </w:p>
    <w:p w14:paraId="68A8C621" w14:textId="77777777" w:rsidR="00345366" w:rsidRDefault="00345366" w:rsidP="00903FEE">
      <w:pPr>
        <w:pStyle w:val="Heading3"/>
        <w:rPr>
          <w:lang w:eastAsia="ja-JP"/>
        </w:rPr>
      </w:pPr>
    </w:p>
    <w:p w14:paraId="5A125CDF" w14:textId="3E98029B" w:rsidR="00F97C99" w:rsidRDefault="00B776BB" w:rsidP="00903FEE">
      <w:pPr>
        <w:pStyle w:val="Heading3"/>
        <w:rPr>
          <w:lang w:eastAsia="ja-JP"/>
        </w:rPr>
      </w:pPr>
      <w:r>
        <w:rPr>
          <w:lang w:eastAsia="ja-JP"/>
        </w:rPr>
        <w:t>Non-prescribed goods handled by other agencies</w:t>
      </w:r>
    </w:p>
    <w:p w14:paraId="3EA6AAED" w14:textId="1BBDECCB" w:rsidR="00F97C99" w:rsidRPr="00D0642A" w:rsidRDefault="00F97C99" w:rsidP="00903FEE">
      <w:pPr>
        <w:pStyle w:val="Heading4"/>
      </w:pPr>
      <w:r w:rsidRPr="00D0642A">
        <w:t xml:space="preserve">Animal </w:t>
      </w:r>
      <w:r w:rsidR="00D0642A">
        <w:t>v</w:t>
      </w:r>
      <w:r w:rsidRPr="00D0642A">
        <w:t xml:space="preserve">accine and </w:t>
      </w:r>
      <w:r w:rsidR="00D0642A">
        <w:t>v</w:t>
      </w:r>
      <w:r w:rsidRPr="00D0642A">
        <w:t xml:space="preserve">eterinary </w:t>
      </w:r>
      <w:r w:rsidR="00D0642A">
        <w:t>m</w:t>
      </w:r>
      <w:r w:rsidRPr="00D0642A">
        <w:t>edicine</w:t>
      </w:r>
    </w:p>
    <w:p w14:paraId="66AF8F58" w14:textId="7D1FECBB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Any certification request for animal vaccine and veterinary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medicine should be referred to the Australian Pesticides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and Veterinary Medicines Authority (</w:t>
      </w:r>
      <w:hyperlink r:id="rId11" w:history="1">
        <w:r w:rsidRPr="00345366">
          <w:rPr>
            <w:rStyle w:val="Hyperlink"/>
            <w:rFonts w:eastAsia="Times New Roman" w:cs="Cambria"/>
            <w:sz w:val="20"/>
            <w:szCs w:val="24"/>
            <w:lang w:val="x-none" w:eastAsia="en-AU"/>
          </w:rPr>
          <w:t>APVMA</w:t>
        </w:r>
      </w:hyperlink>
      <w:r>
        <w:rPr>
          <w:rFonts w:eastAsia="Times New Roman" w:cs="Cambria"/>
          <w:color w:val="000000"/>
          <w:sz w:val="20"/>
          <w:szCs w:val="24"/>
          <w:lang w:val="x-none" w:eastAsia="en-AU"/>
        </w:rPr>
        <w:t>), in the first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instance. APVMA issues export certification for registered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and un-registered vaccine and veterinary medicines.</w:t>
      </w:r>
    </w:p>
    <w:p w14:paraId="1D9D36A2" w14:textId="5DD0339B" w:rsidR="007C587C" w:rsidRPr="00D0642A" w:rsidRDefault="00F97C99" w:rsidP="00903FEE">
      <w:pPr>
        <w:pStyle w:val="Heading4"/>
      </w:pPr>
      <w:r w:rsidRPr="00903FEE">
        <w:t>Human</w:t>
      </w:r>
      <w:r w:rsidR="007C587C" w:rsidRPr="00903FEE">
        <w:t xml:space="preserve"> </w:t>
      </w:r>
      <w:r w:rsidR="00D0642A">
        <w:t>v</w:t>
      </w:r>
      <w:r w:rsidR="007C587C" w:rsidRPr="00D0642A">
        <w:t xml:space="preserve">accine and </w:t>
      </w:r>
      <w:r w:rsidR="00D0642A">
        <w:t>h</w:t>
      </w:r>
      <w:r w:rsidR="007C587C" w:rsidRPr="00D0642A">
        <w:t xml:space="preserve">uman </w:t>
      </w:r>
      <w:r w:rsidR="00D0642A">
        <w:t>t</w:t>
      </w:r>
      <w:r w:rsidR="007C587C" w:rsidRPr="00D0642A">
        <w:t>herapeutics</w:t>
      </w:r>
    </w:p>
    <w:p w14:paraId="03F52AFF" w14:textId="7885168B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Human vaccine and therapeutic products requiring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certification should be referred to the Therapeutic Goods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Administration (</w:t>
      </w:r>
      <w:hyperlink r:id="rId12" w:history="1">
        <w:r w:rsidRPr="00345366">
          <w:rPr>
            <w:rStyle w:val="Hyperlink"/>
            <w:rFonts w:eastAsia="Times New Roman" w:cs="Cambria"/>
            <w:sz w:val="20"/>
            <w:szCs w:val="24"/>
            <w:lang w:val="x-none" w:eastAsia="en-AU"/>
          </w:rPr>
          <w:t>TGA</w:t>
        </w:r>
      </w:hyperlink>
      <w:r>
        <w:rPr>
          <w:rFonts w:eastAsia="Times New Roman" w:cs="Cambria"/>
          <w:color w:val="000000"/>
          <w:sz w:val="20"/>
          <w:szCs w:val="24"/>
          <w:lang w:val="x-none" w:eastAsia="en-AU"/>
        </w:rPr>
        <w:t>), in the first instance. The TGA can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issue export certification for a product that is registered,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listed, included or exempt from the Australian Register of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Therapeutic Goods.</w:t>
      </w:r>
    </w:p>
    <w:p w14:paraId="5499E16F" w14:textId="3D6750ED" w:rsidR="00992C70" w:rsidRPr="00D0642A" w:rsidRDefault="00083548" w:rsidP="00903FEE">
      <w:pPr>
        <w:pStyle w:val="Heading4"/>
      </w:pPr>
      <w:r w:rsidRPr="00903FEE">
        <w:lastRenderedPageBreak/>
        <w:t xml:space="preserve">Australian </w:t>
      </w:r>
      <w:r w:rsidR="00D0642A">
        <w:t>w</w:t>
      </w:r>
      <w:r w:rsidR="00992C70" w:rsidRPr="00D0642A">
        <w:t>ine</w:t>
      </w:r>
    </w:p>
    <w:p w14:paraId="1D22E8CE" w14:textId="7785751B" w:rsidR="00083548" w:rsidRPr="00903FEE" w:rsidRDefault="00083548" w:rsidP="00903FEE">
      <w:r w:rsidRPr="00903FEE">
        <w:t xml:space="preserve">Certification requests for wine exports should be referred to </w:t>
      </w:r>
      <w:hyperlink r:id="rId13" w:history="1">
        <w:r w:rsidRPr="00903FEE">
          <w:rPr>
            <w:rStyle w:val="Hyperlink"/>
          </w:rPr>
          <w:t>Wine Australia</w:t>
        </w:r>
      </w:hyperlink>
      <w:r w:rsidR="00345366">
        <w:t>.</w:t>
      </w:r>
    </w:p>
    <w:p w14:paraId="7CFEC707" w14:textId="194010D0" w:rsidR="00083548" w:rsidRPr="00D0642A" w:rsidRDefault="00083548" w:rsidP="00903FEE">
      <w:pPr>
        <w:pStyle w:val="Heading4"/>
      </w:pPr>
      <w:r w:rsidRPr="00903FEE">
        <w:t>Non-</w:t>
      </w:r>
      <w:r w:rsidR="00D0642A">
        <w:t>p</w:t>
      </w:r>
      <w:r w:rsidRPr="00D0642A">
        <w:t xml:space="preserve">rescribed </w:t>
      </w:r>
      <w:r w:rsidR="00D0642A">
        <w:t>g</w:t>
      </w:r>
      <w:r w:rsidRPr="00D0642A">
        <w:t xml:space="preserve">oods </w:t>
      </w:r>
      <w:r w:rsidR="00D0642A">
        <w:t>r</w:t>
      </w:r>
      <w:r w:rsidRPr="00D0642A">
        <w:t xml:space="preserve">equiring a </w:t>
      </w:r>
      <w:r w:rsidR="00D0642A">
        <w:t>c</w:t>
      </w:r>
      <w:r w:rsidRPr="00D0642A">
        <w:t xml:space="preserve">ertificate of </w:t>
      </w:r>
      <w:r w:rsidR="00D0642A">
        <w:t>o</w:t>
      </w:r>
      <w:r w:rsidRPr="00D0642A">
        <w:t>rigin</w:t>
      </w:r>
    </w:p>
    <w:p w14:paraId="38523FD0" w14:textId="767B43C5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The </w:t>
      </w:r>
      <w:hyperlink r:id="rId14" w:history="1">
        <w:r w:rsidRPr="00345366">
          <w:rPr>
            <w:rStyle w:val="Hyperlink"/>
            <w:rFonts w:eastAsia="Times New Roman" w:cs="Cambria"/>
            <w:sz w:val="20"/>
            <w:szCs w:val="24"/>
            <w:lang w:val="x-none" w:eastAsia="en-AU"/>
          </w:rPr>
          <w:t>Australian Chamber of Commerce and Industry</w:t>
        </w:r>
      </w:hyperlink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is authorised by the Australian Government to issue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Certificates of Origin for Australian business, both for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ordinary trade and for Australia’s free trade agreements.</w:t>
      </w:r>
    </w:p>
    <w:p w14:paraId="71E3C636" w14:textId="77777777" w:rsidR="00345366" w:rsidRP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1DB8597B" w14:textId="04F14E37" w:rsidR="003F3153" w:rsidRPr="00903FEE" w:rsidRDefault="00D0642A" w:rsidP="00903FEE">
      <w:pPr>
        <w:pStyle w:val="Heading3"/>
      </w:pPr>
      <w:r>
        <w:t>Goods not captured under export legislation</w:t>
      </w:r>
    </w:p>
    <w:p w14:paraId="094E1ACF" w14:textId="39C9D442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eastAsia="en-AU"/>
        </w:rPr>
        <w:t>S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ome product types are not captured under export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legislation. The department can only provide certification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for these goods in certain situations.</w:t>
      </w:r>
    </w:p>
    <w:p w14:paraId="0EE0A891" w14:textId="77777777" w:rsidR="00345366" w:rsidRDefault="00345366" w:rsidP="0034536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12BE2797" w14:textId="5DC019B2" w:rsidR="00D0642A" w:rsidRDefault="00554367" w:rsidP="00903FEE">
      <w:pPr>
        <w:rPr>
          <w:lang w:eastAsia="ja-JP"/>
        </w:rPr>
      </w:pPr>
      <w:r>
        <w:rPr>
          <w:lang w:eastAsia="ja-JP"/>
        </w:rPr>
        <w:t>C</w:t>
      </w:r>
      <w:r w:rsidR="003F3153">
        <w:rPr>
          <w:lang w:eastAsia="ja-JP"/>
        </w:rPr>
        <w:t xml:space="preserve">ontact the </w:t>
      </w:r>
      <w:hyperlink r:id="rId15" w:history="1">
        <w:r w:rsidR="00345366" w:rsidRPr="00345366">
          <w:rPr>
            <w:rStyle w:val="Hyperlink"/>
          </w:rPr>
          <w:t>Non-Prescribed Goods Export Program</w:t>
        </w:r>
      </w:hyperlink>
      <w:r w:rsidR="00345366">
        <w:t xml:space="preserve"> </w:t>
      </w:r>
      <w:r w:rsidR="003F3153">
        <w:t>for further information.</w:t>
      </w:r>
    </w:p>
    <w:p w14:paraId="2E6A46CD" w14:textId="7971FC38" w:rsidR="0046626B" w:rsidRDefault="00D0642A" w:rsidP="00903FEE">
      <w:pPr>
        <w:pStyle w:val="Heading3"/>
      </w:pPr>
      <w:r>
        <w:rPr>
          <w:lang w:eastAsia="ja-JP"/>
        </w:rPr>
        <w:t>Seeking a decision for a particular good</w:t>
      </w:r>
    </w:p>
    <w:p w14:paraId="26083507" w14:textId="4A70AEE2" w:rsidR="00642296" w:rsidRDefault="00345366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Ascertaining whether the product you wish to export is a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 is not always simple. In instances where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it is unclear, contact the </w:t>
      </w:r>
      <w:hyperlink r:id="rId16" w:history="1">
        <w:r w:rsidRPr="00642296">
          <w:rPr>
            <w:rStyle w:val="Hyperlink"/>
            <w:rFonts w:eastAsia="Times New Roman" w:cs="Cambria"/>
            <w:sz w:val="20"/>
            <w:szCs w:val="24"/>
            <w:lang w:val="x-none" w:eastAsia="en-AU"/>
          </w:rPr>
          <w:t>department’s nearest regional office</w:t>
        </w:r>
      </w:hyperlink>
      <w:r>
        <w:rPr>
          <w:rFonts w:eastAsia="Times New Roman" w:cs="Cambria"/>
          <w:color w:val="000000"/>
          <w:sz w:val="20"/>
          <w:szCs w:val="24"/>
          <w:lang w:val="x-none" w:eastAsia="en-AU"/>
        </w:rPr>
        <w:t>.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In instances where a product has not been exported from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Australia before, or where a more thorough assessment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is required to determine whether the product is a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non-prescribed good, contact the </w:t>
      </w:r>
      <w:hyperlink r:id="rId17" w:history="1">
        <w:r w:rsidRPr="00642296">
          <w:rPr>
            <w:rStyle w:val="Hyperlink"/>
            <w:rFonts w:eastAsia="Times New Roman" w:cs="Cambria"/>
            <w:sz w:val="20"/>
            <w:szCs w:val="24"/>
            <w:lang w:val="x-none" w:eastAsia="en-AU"/>
          </w:rPr>
          <w:t>Non-Prescribed Goods</w:t>
        </w:r>
        <w:r w:rsidR="00642296" w:rsidRPr="00642296">
          <w:rPr>
            <w:rStyle w:val="Hyperlink"/>
            <w:rFonts w:eastAsia="Times New Roman" w:cs="Cambria"/>
            <w:sz w:val="20"/>
            <w:szCs w:val="24"/>
            <w:lang w:eastAsia="en-AU"/>
          </w:rPr>
          <w:t xml:space="preserve"> </w:t>
        </w:r>
        <w:r w:rsidRPr="00642296">
          <w:rPr>
            <w:rStyle w:val="Hyperlink"/>
            <w:rFonts w:eastAsia="Times New Roman" w:cs="Cambria"/>
            <w:sz w:val="20"/>
            <w:szCs w:val="24"/>
            <w:lang w:val="x-none" w:eastAsia="en-AU"/>
          </w:rPr>
          <w:t>Export Program</w:t>
        </w:r>
      </w:hyperlink>
      <w:r>
        <w:rPr>
          <w:rFonts w:eastAsia="Times New Roman" w:cs="Cambria"/>
          <w:color w:val="853347"/>
          <w:sz w:val="20"/>
          <w:szCs w:val="24"/>
          <w:lang w:val="x-none"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for an assessment. The program’s contact</w:t>
      </w:r>
      <w:r w:rsidR="00642296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details are at the end of this guideline.</w:t>
      </w:r>
    </w:p>
    <w:p w14:paraId="5FF1E6BF" w14:textId="77777777" w:rsidR="00AC33DC" w:rsidRP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1D0A9285" w14:textId="2DDA5DEA" w:rsidR="00642296" w:rsidRPr="00AC33DC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b/>
          <w:sz w:val="34"/>
          <w:szCs w:val="34"/>
          <w:lang w:val="x-none" w:eastAsia="en-AU"/>
        </w:rPr>
      </w:pPr>
      <w:r w:rsidRPr="00AC33DC">
        <w:rPr>
          <w:rFonts w:eastAsia="Times New Roman" w:cs="Cambria"/>
          <w:b/>
          <w:sz w:val="34"/>
          <w:szCs w:val="34"/>
          <w:lang w:val="x-none" w:eastAsia="en-AU"/>
        </w:rPr>
        <w:t>How to export a non-prescribed</w:t>
      </w:r>
      <w:r w:rsidR="00AC33DC" w:rsidRPr="00AC33DC">
        <w:rPr>
          <w:rFonts w:eastAsia="Times New Roman" w:cs="Cambria"/>
          <w:b/>
          <w:sz w:val="34"/>
          <w:szCs w:val="34"/>
          <w:lang w:eastAsia="en-AU"/>
        </w:rPr>
        <w:t xml:space="preserve"> </w:t>
      </w:r>
      <w:r w:rsidRPr="00AC33DC">
        <w:rPr>
          <w:rFonts w:eastAsia="Times New Roman" w:cs="Cambria"/>
          <w:b/>
          <w:sz w:val="34"/>
          <w:szCs w:val="34"/>
          <w:lang w:val="x-none" w:eastAsia="en-AU"/>
        </w:rPr>
        <w:t>good</w:t>
      </w:r>
    </w:p>
    <w:p w14:paraId="656F3D80" w14:textId="630AD00E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Once you have ascertained that your product is a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 you will need to determine the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import </w:t>
      </w:r>
      <w:r>
        <w:rPr>
          <w:rFonts w:eastAsia="Times New Roman" w:cs="Cambria"/>
          <w:color w:val="000000"/>
          <w:sz w:val="20"/>
          <w:szCs w:val="24"/>
          <w:lang w:eastAsia="en-AU"/>
        </w:rPr>
        <w:t>r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equirements of the country you wish to export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to. As explained above Australia’s export legislation does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not include legislative requirements that must be met by</w:t>
      </w:r>
      <w:r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 exporter before the goods can be exported. This means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goods need only meet the importing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country requirements.</w:t>
      </w:r>
    </w:p>
    <w:p w14:paraId="74A20CA2" w14:textId="77777777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23997343" w14:textId="47ED66D5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Where known, the department outlines importing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country requirements in the Manual of Importing Country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Requirements (Micor ) database. Not all products to all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markets can be found in Micor. An importing country may</w:t>
      </w:r>
    </w:p>
    <w:p w14:paraId="609D3955" w14:textId="6C33FF76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have requirements to allow importation of these products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but, unfortunately, the department might not have the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specific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information on what these requirements. It is the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exporter’s responsibility to check with their importer/customer what</w:t>
      </w:r>
      <w:r w:rsidR="00AC33DC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>d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ocuments/requirements importing country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authorities will need to clear shipments of their products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upon arrival. This should be done well in advance of any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planned shipments, as failing to meet importing country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requirements may result in products being detained or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rejected at the exporter’s commercial risk.</w:t>
      </w:r>
    </w:p>
    <w:p w14:paraId="26AECAB4" w14:textId="77777777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3AC64249" w14:textId="549DD9A2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If an importing country requires certification for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goods, exporters may apply for a government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certificate. All applications for an export certificate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for a non-prescribed good must be made via EXDOC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(the department’s electronic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export document system)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or on a manual application form.</w:t>
      </w:r>
    </w:p>
    <w:p w14:paraId="7D27C4B0" w14:textId="77777777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3D60EC1F" w14:textId="5DB2F480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Note that non-prescribed goods do not require an export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permit. Previously, under the </w:t>
      </w:r>
      <w:r>
        <w:rPr>
          <w:rFonts w:eastAsia="Times New Roman" w:cs="Cambria"/>
          <w:i/>
          <w:color w:val="000000"/>
          <w:sz w:val="20"/>
          <w:szCs w:val="24"/>
          <w:lang w:val="x-none" w:eastAsia="en-AU"/>
        </w:rPr>
        <w:t xml:space="preserve">Export Control Act 1982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animal</w:t>
      </w:r>
    </w:p>
    <w:p w14:paraId="26DB38C9" w14:textId="387C798A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food and pharmaceutical material were prescribed goods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 xml:space="preserve">and as such required an export permit. Under the </w:t>
      </w:r>
      <w:r>
        <w:rPr>
          <w:rFonts w:eastAsia="Times New Roman" w:cs="Cambria"/>
          <w:i/>
          <w:color w:val="000000"/>
          <w:sz w:val="20"/>
          <w:szCs w:val="24"/>
          <w:lang w:val="x-none" w:eastAsia="en-AU"/>
        </w:rPr>
        <w:t>Export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i/>
          <w:color w:val="000000"/>
          <w:sz w:val="20"/>
          <w:szCs w:val="24"/>
          <w:lang w:val="x-none" w:eastAsia="en-AU"/>
        </w:rPr>
        <w:t xml:space="preserve">Control Act 2020,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as of 28 March 2021, animal food and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pharmaceutical material are non-prescribed goods and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therefore do not require an export permit.</w:t>
      </w:r>
    </w:p>
    <w:p w14:paraId="2A8A71E7" w14:textId="77777777" w:rsidR="00642296" w:rsidRDefault="00642296" w:rsidP="0064229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1BF4D1E9" w14:textId="7C522D98" w:rsidR="00AC33DC" w:rsidRDefault="00642296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color w:val="000000"/>
          <w:sz w:val="20"/>
          <w:szCs w:val="24"/>
          <w:lang w:val="x-none" w:eastAsia="en-AU"/>
        </w:rPr>
        <w:t>A letter of free sale may be required for registering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non-prescribed goods with an importing country authority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prior to export. These can be obtained from a Chamber of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Commerce. If the importing country requires a letter of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free sale to be issued by Australia’s competent authority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(the department) please contact the Non-Prescribed Goods</w:t>
      </w:r>
      <w:r w:rsidR="00797279">
        <w:rPr>
          <w:rFonts w:eastAsia="Times New Roman" w:cs="Cambria"/>
          <w:color w:val="000000"/>
          <w:sz w:val="20"/>
          <w:szCs w:val="24"/>
          <w:lang w:eastAsia="en-AU"/>
        </w:rPr>
        <w:t xml:space="preserve"> </w:t>
      </w:r>
      <w:r>
        <w:rPr>
          <w:rFonts w:eastAsia="Times New Roman" w:cs="Cambria"/>
          <w:color w:val="000000"/>
          <w:sz w:val="20"/>
          <w:szCs w:val="24"/>
          <w:lang w:val="x-none" w:eastAsia="en-AU"/>
        </w:rPr>
        <w:t>Export Program.</w:t>
      </w:r>
    </w:p>
    <w:p w14:paraId="77AC1088" w14:textId="77777777" w:rsidR="00AC33DC" w:rsidRP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000000"/>
          <w:sz w:val="20"/>
          <w:szCs w:val="24"/>
          <w:lang w:val="x-none" w:eastAsia="en-AU"/>
        </w:rPr>
      </w:pPr>
    </w:p>
    <w:p w14:paraId="0CC2F7BA" w14:textId="77777777" w:rsidR="00AC33DC" w:rsidRP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b/>
          <w:sz w:val="40"/>
          <w:szCs w:val="24"/>
          <w:lang w:val="x-none" w:eastAsia="en-AU"/>
        </w:rPr>
      </w:pPr>
      <w:r w:rsidRPr="00AC33DC">
        <w:rPr>
          <w:rFonts w:eastAsia="Times New Roman" w:cs="Cambria"/>
          <w:b/>
          <w:sz w:val="40"/>
          <w:szCs w:val="24"/>
          <w:lang w:val="x-none" w:eastAsia="en-AU"/>
        </w:rPr>
        <w:t>Useful links</w:t>
      </w:r>
    </w:p>
    <w:p w14:paraId="2EA64DD3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Manual of Importing Country Requirements (Micor)</w:t>
      </w:r>
    </w:p>
    <w:p w14:paraId="3D04546B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micor.agriculture.gov.au</w:t>
      </w:r>
    </w:p>
    <w:p w14:paraId="6A27729F" w14:textId="77777777" w:rsidR="00AC33DC" w:rsidRDefault="00AC33DC" w:rsidP="00944CF4">
      <w:pPr>
        <w:keepNext/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Export Documentation system (EXDOC)</w:t>
      </w:r>
    </w:p>
    <w:p w14:paraId="0665313B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agriculture.gov.au/export/certification/exdoc</w:t>
      </w:r>
    </w:p>
    <w:p w14:paraId="731E5463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Export legislation</w:t>
      </w:r>
    </w:p>
    <w:p w14:paraId="6D983D64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agriculture.gov.au/biosecurity/quarantine/legislation</w:t>
      </w:r>
    </w:p>
    <w:p w14:paraId="04782708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Non-prescribed goods fees and charges</w:t>
      </w:r>
    </w:p>
    <w:p w14:paraId="107E2192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lastRenderedPageBreak/>
        <w:t>agriculture.gov.au/fees/charging-guidelines</w:t>
      </w:r>
    </w:p>
    <w:p w14:paraId="51DA9257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Australian Government Free Trade Agreement Portal</w:t>
      </w:r>
    </w:p>
    <w:p w14:paraId="492CE534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ftaportal.dfat.gov.au/</w:t>
      </w:r>
    </w:p>
    <w:p w14:paraId="5A61CE4F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Australian Trade and Investment Commission</w:t>
      </w:r>
    </w:p>
    <w:p w14:paraId="7534A568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austrade.gov.au</w:t>
      </w:r>
    </w:p>
    <w:p w14:paraId="7FBA7885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Australian Food and Grocery Council</w:t>
      </w:r>
    </w:p>
    <w:p w14:paraId="2FAE7C54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afgc.org.au</w:t>
      </w:r>
    </w:p>
    <w:p w14:paraId="53E47FA7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Australian Hide Skin and Leather Exporters</w:t>
      </w:r>
    </w:p>
    <w:p w14:paraId="0001FB0B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Association Ltd</w:t>
      </w:r>
    </w:p>
    <w:p w14:paraId="67089283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ahslea.com.au</w:t>
      </w:r>
    </w:p>
    <w:p w14:paraId="4EE98A4D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Australian Honey Bee Industry Council</w:t>
      </w:r>
    </w:p>
    <w:p w14:paraId="706B8416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honeybee.org.au</w:t>
      </w:r>
    </w:p>
    <w:p w14:paraId="67B73135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Australian Renderers Association Inc</w:t>
      </w:r>
    </w:p>
    <w:p w14:paraId="79E7A9C6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ausrenderers.com.au</w:t>
      </w:r>
    </w:p>
    <w:p w14:paraId="476903DF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Feed Ingredients and Additives Association Australia</w:t>
      </w:r>
    </w:p>
    <w:p w14:paraId="22C64E11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fiaaa.com.au</w:t>
      </w:r>
    </w:p>
    <w:p w14:paraId="2CADA3AA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Pet Food Industry Association of Australia Inc</w:t>
      </w:r>
    </w:p>
    <w:p w14:paraId="1C6C8129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pfiaa.com.au</w:t>
      </w:r>
    </w:p>
    <w:p w14:paraId="09A3B18D" w14:textId="77777777" w:rsidR="00AC33DC" w:rsidRDefault="00AC33DC" w:rsidP="00AC33DC">
      <w:pPr>
        <w:autoSpaceDE w:val="0"/>
        <w:autoSpaceDN w:val="0"/>
        <w:adjustRightInd w:val="0"/>
        <w:snapToGrid w:val="0"/>
        <w:spacing w:before="151" w:after="0" w:line="240" w:lineRule="auto"/>
        <w:rPr>
          <w:rFonts w:eastAsia="Times New Roman" w:cs="Cambria"/>
          <w:b/>
          <w:color w:val="000000"/>
          <w:sz w:val="20"/>
          <w:szCs w:val="24"/>
          <w:lang w:val="x-none" w:eastAsia="en-AU"/>
        </w:rPr>
      </w:pPr>
      <w:r>
        <w:rPr>
          <w:rFonts w:eastAsia="Times New Roman" w:cs="Cambria"/>
          <w:b/>
          <w:color w:val="000000"/>
          <w:sz w:val="20"/>
          <w:szCs w:val="24"/>
          <w:lang w:val="x-none" w:eastAsia="en-AU"/>
        </w:rPr>
        <w:t>Wine Australia</w:t>
      </w:r>
    </w:p>
    <w:p w14:paraId="67DF35C7" w14:textId="77777777" w:rsidR="00AC33DC" w:rsidRDefault="00AC33DC" w:rsidP="00AC33DC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mbria"/>
          <w:color w:val="853347"/>
          <w:sz w:val="20"/>
          <w:szCs w:val="24"/>
          <w:lang w:val="x-none" w:eastAsia="en-AU"/>
        </w:rPr>
      </w:pPr>
      <w:r>
        <w:rPr>
          <w:rFonts w:eastAsia="Times New Roman" w:cs="Cambria"/>
          <w:color w:val="853347"/>
          <w:sz w:val="20"/>
          <w:szCs w:val="24"/>
          <w:lang w:val="x-none" w:eastAsia="en-AU"/>
        </w:rPr>
        <w:t>wineaustralia.com</w:t>
      </w:r>
    </w:p>
    <w:p w14:paraId="2E5C8A2B" w14:textId="77777777" w:rsidR="00AC33DC" w:rsidRDefault="00AC33DC" w:rsidP="00903FEE">
      <w:pPr>
        <w:rPr>
          <w:lang w:val="en-GB" w:eastAsia="en-AU"/>
        </w:rPr>
      </w:pPr>
    </w:p>
    <w:p w14:paraId="5E65672E" w14:textId="77777777" w:rsidR="00371DFD" w:rsidRDefault="00371DFD" w:rsidP="00371DFD">
      <w:pPr>
        <w:pStyle w:val="Heading2"/>
      </w:pPr>
      <w:r>
        <w:t>Contact</w:t>
      </w:r>
    </w:p>
    <w:p w14:paraId="733430D1" w14:textId="10299070" w:rsidR="00371DFD" w:rsidRDefault="000F4215" w:rsidP="00D0642A">
      <w:r>
        <w:t>Non-Prescribed Goods</w:t>
      </w:r>
      <w:r w:rsidR="00AC33DC">
        <w:t xml:space="preserve"> Export</w:t>
      </w:r>
      <w:r w:rsidR="0075169E">
        <w:t xml:space="preserve"> Program</w:t>
      </w:r>
      <w:r w:rsidR="00371DFD" w:rsidRPr="00371DFD">
        <w:br/>
        <w:t>Residues a</w:t>
      </w:r>
      <w:r w:rsidR="00371DFD">
        <w:t>nd Food Branch</w:t>
      </w:r>
      <w:r w:rsidR="00371DFD">
        <w:br/>
        <w:t>Exports Division</w:t>
      </w:r>
      <w:r w:rsidR="00371DFD" w:rsidRPr="00371DFD">
        <w:br/>
      </w:r>
      <w:r w:rsidR="00371DFD" w:rsidRPr="00371DFD">
        <w:rPr>
          <w:b/>
        </w:rPr>
        <w:t>Department of Agriculture</w:t>
      </w:r>
      <w:r w:rsidR="00AC33DC">
        <w:rPr>
          <w:b/>
        </w:rPr>
        <w:t xml:space="preserve">, </w:t>
      </w:r>
      <w:proofErr w:type="gramStart"/>
      <w:r w:rsidR="00AC33DC">
        <w:rPr>
          <w:b/>
        </w:rPr>
        <w:t>Water</w:t>
      </w:r>
      <w:proofErr w:type="gramEnd"/>
      <w:r w:rsidR="00AC33DC">
        <w:rPr>
          <w:b/>
        </w:rPr>
        <w:t xml:space="preserve"> and the Environment</w:t>
      </w:r>
      <w:r w:rsidR="00371DFD">
        <w:br/>
      </w:r>
      <w:r w:rsidR="00371DFD" w:rsidRPr="00371DFD">
        <w:t xml:space="preserve">Phone: </w:t>
      </w:r>
      <w:r w:rsidR="004466DD">
        <w:t>1800 900 090</w:t>
      </w:r>
      <w:r w:rsidR="00371DFD" w:rsidRPr="00371DFD">
        <w:br/>
        <w:t>GPO Box 858, Canberra ACT 2601</w:t>
      </w:r>
    </w:p>
    <w:p w14:paraId="3441AB5A" w14:textId="790D4ECB" w:rsidR="00371DFD" w:rsidRPr="00371DFD" w:rsidRDefault="00906F30" w:rsidP="00371DFD">
      <w:r>
        <w:t xml:space="preserve">Email: </w:t>
      </w:r>
      <w:hyperlink r:id="rId18" w:history="1">
        <w:r w:rsidR="00AC33DC" w:rsidRPr="00C70936">
          <w:rPr>
            <w:rStyle w:val="Hyperlink"/>
          </w:rPr>
          <w:t>NPGexports@awe.gov.au</w:t>
        </w:r>
      </w:hyperlink>
    </w:p>
    <w:sectPr w:rsidR="00371DFD" w:rsidRPr="00371DFD" w:rsidSect="00DB5719">
      <w:headerReference w:type="default" r:id="rId19"/>
      <w:footerReference w:type="default" r:id="rId20"/>
      <w:headerReference w:type="first" r:id="rId21"/>
      <w:pgSz w:w="11906" w:h="16838"/>
      <w:pgMar w:top="993" w:right="707" w:bottom="1440" w:left="85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36462" w14:textId="77777777" w:rsidR="00642296" w:rsidRDefault="00642296" w:rsidP="007C64C9">
      <w:pPr>
        <w:spacing w:after="0" w:line="240" w:lineRule="auto"/>
      </w:pPr>
      <w:r>
        <w:separator/>
      </w:r>
    </w:p>
  </w:endnote>
  <w:endnote w:type="continuationSeparator" w:id="0">
    <w:p w14:paraId="4355B6D7" w14:textId="77777777" w:rsidR="00642296" w:rsidRDefault="00642296" w:rsidP="007C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Pro">
    <w:charset w:val="00"/>
    <w:family w:val="auto"/>
    <w:pitch w:val="variable"/>
    <w:sig w:usb0="00000003" w:usb1="00000000" w:usb2="00000000" w:usb3="00000000" w:csb0="00000001" w:csb1="00000000"/>
  </w:font>
  <w:font w:name="MiloPro-Light">
    <w:charset w:val="00"/>
    <w:family w:val="auto"/>
    <w:pitch w:val="variable"/>
    <w:sig w:usb0="00000003" w:usb1="00000000" w:usb2="00000000" w:usb3="00000000" w:csb0="00000001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loPro-Medi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E1AF5" w14:textId="635D6B8C" w:rsidR="00642296" w:rsidRDefault="00666EF7" w:rsidP="007C64C9">
    <w:pPr>
      <w:pStyle w:val="Footer"/>
    </w:pPr>
    <w:r w:rsidRPr="00666EF7">
      <w:t xml:space="preserve">Department of Agriculture, </w:t>
    </w:r>
    <w:proofErr w:type="gramStart"/>
    <w:r w:rsidRPr="00666EF7">
      <w:t>Water</w:t>
    </w:r>
    <w:proofErr w:type="gramEnd"/>
    <w:r w:rsidRPr="00666EF7">
      <w:t xml:space="preserve"> and the Environment</w:t>
    </w:r>
  </w:p>
  <w:p w14:paraId="5F9D0ED4" w14:textId="77777777" w:rsidR="00642296" w:rsidRDefault="00642296" w:rsidP="007C64C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D0F90" w14:textId="77777777" w:rsidR="00642296" w:rsidRDefault="00642296" w:rsidP="007C64C9">
      <w:pPr>
        <w:spacing w:after="0" w:line="240" w:lineRule="auto"/>
      </w:pPr>
      <w:r>
        <w:separator/>
      </w:r>
    </w:p>
  </w:footnote>
  <w:footnote w:type="continuationSeparator" w:id="0">
    <w:p w14:paraId="08D10878" w14:textId="77777777" w:rsidR="00642296" w:rsidRDefault="00642296" w:rsidP="007C6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946A" w14:textId="78301F39" w:rsidR="00642296" w:rsidRDefault="00642296" w:rsidP="00087F57">
    <w:pPr>
      <w:pStyle w:val="Header"/>
      <w:tabs>
        <w:tab w:val="center" w:pos="5174"/>
      </w:tabs>
      <w:jc w:val="left"/>
    </w:pPr>
    <w:r>
      <w:t>Non-prescribed goods guideline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3FDB" w14:textId="40024A13" w:rsidR="00642296" w:rsidRDefault="00106230" w:rsidP="00DB5719">
    <w:pPr>
      <w:pStyle w:val="Header"/>
      <w:jc w:val="left"/>
    </w:pPr>
    <w:r>
      <w:rPr>
        <w:noProof/>
      </w:rPr>
      <w:drawing>
        <wp:inline distT="0" distB="0" distL="0" distR="0" wp14:anchorId="32E0926B" wp14:editId="6CCAE0D7">
          <wp:extent cx="2417064" cy="725424"/>
          <wp:effectExtent l="0" t="0" r="254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5ACA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2F60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2343DB"/>
    <w:multiLevelType w:val="singleLevel"/>
    <w:tmpl w:val="BBC86B10"/>
    <w:lvl w:ilvl="0">
      <w:start w:val="1"/>
      <w:numFmt w:val="upperRoman"/>
      <w:pStyle w:val="ListNumber3"/>
      <w:lvlText w:val="%1."/>
      <w:lvlJc w:val="right"/>
      <w:pPr>
        <w:ind w:left="180" w:hanging="180"/>
      </w:pPr>
      <w:rPr>
        <w:rFonts w:hint="default"/>
        <w:color w:val="auto"/>
      </w:rPr>
    </w:lvl>
  </w:abstractNum>
  <w:abstractNum w:abstractNumId="4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numStyleLink w:val="ListBullets"/>
  </w:abstractNum>
  <w:abstractNum w:abstractNumId="7" w15:restartNumberingAfterBreak="0">
    <w:nsid w:val="31ED1954"/>
    <w:multiLevelType w:val="hybridMultilevel"/>
    <w:tmpl w:val="E72C4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D3238"/>
    <w:multiLevelType w:val="hybridMultilevel"/>
    <w:tmpl w:val="99805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E2E4A"/>
    <w:multiLevelType w:val="hybridMultilevel"/>
    <w:tmpl w:val="B7086130"/>
    <w:lvl w:ilvl="0" w:tplc="72C4534E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2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C9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C5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00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C1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48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09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C8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45452"/>
    <w:multiLevelType w:val="hybridMultilevel"/>
    <w:tmpl w:val="37EE3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95947AC"/>
    <w:multiLevelType w:val="hybridMultilevel"/>
    <w:tmpl w:val="93268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122A0"/>
    <w:multiLevelType w:val="multilevel"/>
    <w:tmpl w:val="BC8603C0"/>
    <w:styleLink w:val="ListNumbers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9724E95"/>
    <w:multiLevelType w:val="hybridMultilevel"/>
    <w:tmpl w:val="3C26F84E"/>
    <w:lvl w:ilvl="0" w:tplc="4626AE1A">
      <w:start w:val="1"/>
      <w:numFmt w:val="decimal"/>
      <w:pStyle w:val="Heading2numbered"/>
      <w:lvlText w:val="%1"/>
      <w:lvlJc w:val="left"/>
      <w:pPr>
        <w:ind w:left="428" w:hanging="360"/>
      </w:pPr>
      <w:rPr>
        <w:rFonts w:hint="default"/>
      </w:rPr>
    </w:lvl>
    <w:lvl w:ilvl="1" w:tplc="C242E5DE" w:tentative="1">
      <w:start w:val="1"/>
      <w:numFmt w:val="lowerLetter"/>
      <w:lvlText w:val="%2."/>
      <w:lvlJc w:val="left"/>
      <w:pPr>
        <w:ind w:left="1440" w:hanging="360"/>
      </w:pPr>
    </w:lvl>
    <w:lvl w:ilvl="2" w:tplc="08D8A894" w:tentative="1">
      <w:start w:val="1"/>
      <w:numFmt w:val="lowerRoman"/>
      <w:lvlText w:val="%3."/>
      <w:lvlJc w:val="right"/>
      <w:pPr>
        <w:ind w:left="2160" w:hanging="180"/>
      </w:pPr>
    </w:lvl>
    <w:lvl w:ilvl="3" w:tplc="A85658A6" w:tentative="1">
      <w:start w:val="1"/>
      <w:numFmt w:val="decimal"/>
      <w:lvlText w:val="%4."/>
      <w:lvlJc w:val="left"/>
      <w:pPr>
        <w:ind w:left="2880" w:hanging="360"/>
      </w:pPr>
    </w:lvl>
    <w:lvl w:ilvl="4" w:tplc="4B02F5E4" w:tentative="1">
      <w:start w:val="1"/>
      <w:numFmt w:val="lowerLetter"/>
      <w:lvlText w:val="%5."/>
      <w:lvlJc w:val="left"/>
      <w:pPr>
        <w:ind w:left="3600" w:hanging="360"/>
      </w:pPr>
    </w:lvl>
    <w:lvl w:ilvl="5" w:tplc="C36ECD14" w:tentative="1">
      <w:start w:val="1"/>
      <w:numFmt w:val="lowerRoman"/>
      <w:lvlText w:val="%6."/>
      <w:lvlJc w:val="right"/>
      <w:pPr>
        <w:ind w:left="4320" w:hanging="180"/>
      </w:pPr>
    </w:lvl>
    <w:lvl w:ilvl="6" w:tplc="37704796" w:tentative="1">
      <w:start w:val="1"/>
      <w:numFmt w:val="decimal"/>
      <w:lvlText w:val="%7."/>
      <w:lvlJc w:val="left"/>
      <w:pPr>
        <w:ind w:left="5040" w:hanging="360"/>
      </w:pPr>
    </w:lvl>
    <w:lvl w:ilvl="7" w:tplc="C0A057AE" w:tentative="1">
      <w:start w:val="1"/>
      <w:numFmt w:val="lowerLetter"/>
      <w:lvlText w:val="%8."/>
      <w:lvlJc w:val="left"/>
      <w:pPr>
        <w:ind w:left="5760" w:hanging="360"/>
      </w:pPr>
    </w:lvl>
    <w:lvl w:ilvl="8" w:tplc="1F1484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4"/>
  </w:num>
  <w:num w:numId="5">
    <w:abstractNumId w:val="5"/>
  </w:num>
  <w:num w:numId="6">
    <w:abstractNumId w:val="0"/>
  </w:num>
  <w:num w:numId="7">
    <w:abstractNumId w:val="6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2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FD"/>
    <w:rsid w:val="000013CF"/>
    <w:rsid w:val="0001021A"/>
    <w:rsid w:val="000104D3"/>
    <w:rsid w:val="0002098D"/>
    <w:rsid w:val="000212A7"/>
    <w:rsid w:val="0002426C"/>
    <w:rsid w:val="00030A7E"/>
    <w:rsid w:val="00053BAE"/>
    <w:rsid w:val="000542C4"/>
    <w:rsid w:val="00066C16"/>
    <w:rsid w:val="00083548"/>
    <w:rsid w:val="00087F57"/>
    <w:rsid w:val="0009424C"/>
    <w:rsid w:val="00097CFF"/>
    <w:rsid w:val="000C0154"/>
    <w:rsid w:val="000C259E"/>
    <w:rsid w:val="000D2F6F"/>
    <w:rsid w:val="000D3D53"/>
    <w:rsid w:val="000D7530"/>
    <w:rsid w:val="000E4D23"/>
    <w:rsid w:val="000F4215"/>
    <w:rsid w:val="000F4268"/>
    <w:rsid w:val="00102A2F"/>
    <w:rsid w:val="00106230"/>
    <w:rsid w:val="00121D4F"/>
    <w:rsid w:val="00123B07"/>
    <w:rsid w:val="00127458"/>
    <w:rsid w:val="00127C3D"/>
    <w:rsid w:val="00135168"/>
    <w:rsid w:val="00152F00"/>
    <w:rsid w:val="00166898"/>
    <w:rsid w:val="0019745A"/>
    <w:rsid w:val="001A38B5"/>
    <w:rsid w:val="001A61E8"/>
    <w:rsid w:val="001C345F"/>
    <w:rsid w:val="001D3AD2"/>
    <w:rsid w:val="001D4868"/>
    <w:rsid w:val="001E097D"/>
    <w:rsid w:val="001E1619"/>
    <w:rsid w:val="001F0F1D"/>
    <w:rsid w:val="001F508A"/>
    <w:rsid w:val="0020024A"/>
    <w:rsid w:val="00202992"/>
    <w:rsid w:val="0020570C"/>
    <w:rsid w:val="00207F36"/>
    <w:rsid w:val="00220A59"/>
    <w:rsid w:val="00242261"/>
    <w:rsid w:val="00250901"/>
    <w:rsid w:val="00256D67"/>
    <w:rsid w:val="0026051A"/>
    <w:rsid w:val="002703F3"/>
    <w:rsid w:val="00276535"/>
    <w:rsid w:val="00280EA7"/>
    <w:rsid w:val="002919A5"/>
    <w:rsid w:val="002A03C3"/>
    <w:rsid w:val="002B4C25"/>
    <w:rsid w:val="002C5F86"/>
    <w:rsid w:val="002C69B2"/>
    <w:rsid w:val="002D2BEF"/>
    <w:rsid w:val="002E62F1"/>
    <w:rsid w:val="002F6426"/>
    <w:rsid w:val="00300D42"/>
    <w:rsid w:val="00306245"/>
    <w:rsid w:val="003219F5"/>
    <w:rsid w:val="00342752"/>
    <w:rsid w:val="00343556"/>
    <w:rsid w:val="00345366"/>
    <w:rsid w:val="003615D2"/>
    <w:rsid w:val="00371DFD"/>
    <w:rsid w:val="00373D8A"/>
    <w:rsid w:val="00374E34"/>
    <w:rsid w:val="00375A46"/>
    <w:rsid w:val="00381447"/>
    <w:rsid w:val="0038157B"/>
    <w:rsid w:val="0039270D"/>
    <w:rsid w:val="00393DC1"/>
    <w:rsid w:val="003944E1"/>
    <w:rsid w:val="003A32FB"/>
    <w:rsid w:val="003A53D7"/>
    <w:rsid w:val="003C3AB4"/>
    <w:rsid w:val="003C4897"/>
    <w:rsid w:val="003D1916"/>
    <w:rsid w:val="003D3CAC"/>
    <w:rsid w:val="003E5738"/>
    <w:rsid w:val="003F0F5A"/>
    <w:rsid w:val="003F3153"/>
    <w:rsid w:val="003F7A1F"/>
    <w:rsid w:val="00411D7D"/>
    <w:rsid w:val="0041204C"/>
    <w:rsid w:val="004132C6"/>
    <w:rsid w:val="0044207B"/>
    <w:rsid w:val="004452F9"/>
    <w:rsid w:val="004466DD"/>
    <w:rsid w:val="0045146E"/>
    <w:rsid w:val="004524E2"/>
    <w:rsid w:val="0046626B"/>
    <w:rsid w:val="00473216"/>
    <w:rsid w:val="0048420F"/>
    <w:rsid w:val="004842F4"/>
    <w:rsid w:val="004908CA"/>
    <w:rsid w:val="004A2EB9"/>
    <w:rsid w:val="004B684E"/>
    <w:rsid w:val="004D0612"/>
    <w:rsid w:val="004D367C"/>
    <w:rsid w:val="00501C6E"/>
    <w:rsid w:val="00507A6F"/>
    <w:rsid w:val="00526096"/>
    <w:rsid w:val="00532E7E"/>
    <w:rsid w:val="0053645C"/>
    <w:rsid w:val="00554367"/>
    <w:rsid w:val="005654E9"/>
    <w:rsid w:val="00570CBD"/>
    <w:rsid w:val="00570E5B"/>
    <w:rsid w:val="00572453"/>
    <w:rsid w:val="00582D6A"/>
    <w:rsid w:val="00592460"/>
    <w:rsid w:val="00594C20"/>
    <w:rsid w:val="005B0148"/>
    <w:rsid w:val="005B44CE"/>
    <w:rsid w:val="005C00AC"/>
    <w:rsid w:val="005C15DD"/>
    <w:rsid w:val="005C16BA"/>
    <w:rsid w:val="005D48A2"/>
    <w:rsid w:val="005D5C6C"/>
    <w:rsid w:val="005E727C"/>
    <w:rsid w:val="005F067E"/>
    <w:rsid w:val="005F0EC4"/>
    <w:rsid w:val="005F5ACE"/>
    <w:rsid w:val="00601756"/>
    <w:rsid w:val="006133F1"/>
    <w:rsid w:val="0062038E"/>
    <w:rsid w:val="006266F0"/>
    <w:rsid w:val="006335A6"/>
    <w:rsid w:val="00642296"/>
    <w:rsid w:val="006450F7"/>
    <w:rsid w:val="00647AF7"/>
    <w:rsid w:val="00666EF7"/>
    <w:rsid w:val="00681A50"/>
    <w:rsid w:val="00681ED5"/>
    <w:rsid w:val="006908F6"/>
    <w:rsid w:val="0069225E"/>
    <w:rsid w:val="006936EE"/>
    <w:rsid w:val="00693D1F"/>
    <w:rsid w:val="006952B4"/>
    <w:rsid w:val="006B2EDE"/>
    <w:rsid w:val="006B6CB3"/>
    <w:rsid w:val="006E0013"/>
    <w:rsid w:val="006E1C1F"/>
    <w:rsid w:val="006E2B7B"/>
    <w:rsid w:val="006E4F36"/>
    <w:rsid w:val="006F103D"/>
    <w:rsid w:val="006F40EB"/>
    <w:rsid w:val="006F65AB"/>
    <w:rsid w:val="00713D3A"/>
    <w:rsid w:val="00734C31"/>
    <w:rsid w:val="00741C4A"/>
    <w:rsid w:val="0074307F"/>
    <w:rsid w:val="0074322F"/>
    <w:rsid w:val="00747BA9"/>
    <w:rsid w:val="0075169E"/>
    <w:rsid w:val="007529A3"/>
    <w:rsid w:val="00754A40"/>
    <w:rsid w:val="00774453"/>
    <w:rsid w:val="00775EB0"/>
    <w:rsid w:val="00797279"/>
    <w:rsid w:val="007A15AC"/>
    <w:rsid w:val="007B6F8F"/>
    <w:rsid w:val="007C105D"/>
    <w:rsid w:val="007C587C"/>
    <w:rsid w:val="007C64C9"/>
    <w:rsid w:val="007C6E2A"/>
    <w:rsid w:val="007C7F56"/>
    <w:rsid w:val="007E2B7F"/>
    <w:rsid w:val="00812690"/>
    <w:rsid w:val="008178D9"/>
    <w:rsid w:val="00832F21"/>
    <w:rsid w:val="0083579F"/>
    <w:rsid w:val="00842327"/>
    <w:rsid w:val="00845FD3"/>
    <w:rsid w:val="008470BD"/>
    <w:rsid w:val="00857D61"/>
    <w:rsid w:val="00875F66"/>
    <w:rsid w:val="00893022"/>
    <w:rsid w:val="00895183"/>
    <w:rsid w:val="008974DF"/>
    <w:rsid w:val="008A2723"/>
    <w:rsid w:val="008B1A6D"/>
    <w:rsid w:val="008C19BD"/>
    <w:rsid w:val="008C5E7A"/>
    <w:rsid w:val="008D4746"/>
    <w:rsid w:val="008D6471"/>
    <w:rsid w:val="0090265F"/>
    <w:rsid w:val="00903FEE"/>
    <w:rsid w:val="00906F30"/>
    <w:rsid w:val="00907065"/>
    <w:rsid w:val="00927139"/>
    <w:rsid w:val="009314A9"/>
    <w:rsid w:val="0093384B"/>
    <w:rsid w:val="00936C96"/>
    <w:rsid w:val="009407A9"/>
    <w:rsid w:val="0094423E"/>
    <w:rsid w:val="00944641"/>
    <w:rsid w:val="00944CF4"/>
    <w:rsid w:val="0096275F"/>
    <w:rsid w:val="00965620"/>
    <w:rsid w:val="00984C68"/>
    <w:rsid w:val="00986788"/>
    <w:rsid w:val="00990586"/>
    <w:rsid w:val="009920B0"/>
    <w:rsid w:val="00992C70"/>
    <w:rsid w:val="009960A5"/>
    <w:rsid w:val="009A1C04"/>
    <w:rsid w:val="009A5AA6"/>
    <w:rsid w:val="009A783E"/>
    <w:rsid w:val="009B2E6A"/>
    <w:rsid w:val="009B52EA"/>
    <w:rsid w:val="009D5CBB"/>
    <w:rsid w:val="009E4756"/>
    <w:rsid w:val="00A03410"/>
    <w:rsid w:val="00A06404"/>
    <w:rsid w:val="00A5003C"/>
    <w:rsid w:val="00A50982"/>
    <w:rsid w:val="00A6048F"/>
    <w:rsid w:val="00A6243A"/>
    <w:rsid w:val="00A74909"/>
    <w:rsid w:val="00A806EF"/>
    <w:rsid w:val="00A917E8"/>
    <w:rsid w:val="00A976E2"/>
    <w:rsid w:val="00AA71F4"/>
    <w:rsid w:val="00AB0962"/>
    <w:rsid w:val="00AC13D1"/>
    <w:rsid w:val="00AC33DC"/>
    <w:rsid w:val="00AD1484"/>
    <w:rsid w:val="00AD411A"/>
    <w:rsid w:val="00AF20FD"/>
    <w:rsid w:val="00B0156B"/>
    <w:rsid w:val="00B05D1C"/>
    <w:rsid w:val="00B12F07"/>
    <w:rsid w:val="00B133B6"/>
    <w:rsid w:val="00B27DAF"/>
    <w:rsid w:val="00B43B54"/>
    <w:rsid w:val="00B52FA5"/>
    <w:rsid w:val="00B54CEC"/>
    <w:rsid w:val="00B634DD"/>
    <w:rsid w:val="00B64619"/>
    <w:rsid w:val="00B77528"/>
    <w:rsid w:val="00B776BB"/>
    <w:rsid w:val="00B848FB"/>
    <w:rsid w:val="00B85159"/>
    <w:rsid w:val="00B91806"/>
    <w:rsid w:val="00BA7BB6"/>
    <w:rsid w:val="00BB1EB7"/>
    <w:rsid w:val="00BB3795"/>
    <w:rsid w:val="00BC0D84"/>
    <w:rsid w:val="00BC29DF"/>
    <w:rsid w:val="00BE282F"/>
    <w:rsid w:val="00BE360A"/>
    <w:rsid w:val="00BE64A6"/>
    <w:rsid w:val="00BF0949"/>
    <w:rsid w:val="00BF2899"/>
    <w:rsid w:val="00C150F9"/>
    <w:rsid w:val="00C17495"/>
    <w:rsid w:val="00C23109"/>
    <w:rsid w:val="00C335F3"/>
    <w:rsid w:val="00C3631D"/>
    <w:rsid w:val="00C60A90"/>
    <w:rsid w:val="00C6285C"/>
    <w:rsid w:val="00C6464F"/>
    <w:rsid w:val="00C66BC1"/>
    <w:rsid w:val="00C72855"/>
    <w:rsid w:val="00C80DEB"/>
    <w:rsid w:val="00C972EF"/>
    <w:rsid w:val="00CB5DA8"/>
    <w:rsid w:val="00CB65AC"/>
    <w:rsid w:val="00CD3DC2"/>
    <w:rsid w:val="00CD7F6A"/>
    <w:rsid w:val="00CE4325"/>
    <w:rsid w:val="00CF0A7B"/>
    <w:rsid w:val="00D03FF1"/>
    <w:rsid w:val="00D0642A"/>
    <w:rsid w:val="00D1195B"/>
    <w:rsid w:val="00D13729"/>
    <w:rsid w:val="00D16E58"/>
    <w:rsid w:val="00D31CA7"/>
    <w:rsid w:val="00D35303"/>
    <w:rsid w:val="00D37072"/>
    <w:rsid w:val="00D425B7"/>
    <w:rsid w:val="00D45BB0"/>
    <w:rsid w:val="00D625E8"/>
    <w:rsid w:val="00D63617"/>
    <w:rsid w:val="00D6569D"/>
    <w:rsid w:val="00D72A55"/>
    <w:rsid w:val="00D74FD5"/>
    <w:rsid w:val="00D80676"/>
    <w:rsid w:val="00D8146D"/>
    <w:rsid w:val="00D85FB2"/>
    <w:rsid w:val="00D96A72"/>
    <w:rsid w:val="00DA39A0"/>
    <w:rsid w:val="00DB3839"/>
    <w:rsid w:val="00DB3C81"/>
    <w:rsid w:val="00DB5719"/>
    <w:rsid w:val="00DC34A2"/>
    <w:rsid w:val="00DC7989"/>
    <w:rsid w:val="00DD2DF6"/>
    <w:rsid w:val="00DD61DB"/>
    <w:rsid w:val="00DD79E2"/>
    <w:rsid w:val="00DE0DFB"/>
    <w:rsid w:val="00DF2A96"/>
    <w:rsid w:val="00DF32C1"/>
    <w:rsid w:val="00DF5AC6"/>
    <w:rsid w:val="00E0164A"/>
    <w:rsid w:val="00E02D6D"/>
    <w:rsid w:val="00E17CDD"/>
    <w:rsid w:val="00E22E65"/>
    <w:rsid w:val="00E2538D"/>
    <w:rsid w:val="00E37A33"/>
    <w:rsid w:val="00E40119"/>
    <w:rsid w:val="00E43251"/>
    <w:rsid w:val="00E44AB8"/>
    <w:rsid w:val="00E45EEA"/>
    <w:rsid w:val="00E628A8"/>
    <w:rsid w:val="00E75570"/>
    <w:rsid w:val="00E83729"/>
    <w:rsid w:val="00E97ADE"/>
    <w:rsid w:val="00EA69D9"/>
    <w:rsid w:val="00EB19CF"/>
    <w:rsid w:val="00EB5AFB"/>
    <w:rsid w:val="00EB7467"/>
    <w:rsid w:val="00EC3569"/>
    <w:rsid w:val="00EC761F"/>
    <w:rsid w:val="00ED74FE"/>
    <w:rsid w:val="00EE1B31"/>
    <w:rsid w:val="00EE6A15"/>
    <w:rsid w:val="00EF659A"/>
    <w:rsid w:val="00F04132"/>
    <w:rsid w:val="00F0539B"/>
    <w:rsid w:val="00F07AC7"/>
    <w:rsid w:val="00F13237"/>
    <w:rsid w:val="00F32789"/>
    <w:rsid w:val="00F533E5"/>
    <w:rsid w:val="00F63994"/>
    <w:rsid w:val="00F7661E"/>
    <w:rsid w:val="00F84D3E"/>
    <w:rsid w:val="00F85F93"/>
    <w:rsid w:val="00F878B1"/>
    <w:rsid w:val="00F87F39"/>
    <w:rsid w:val="00F932F3"/>
    <w:rsid w:val="00F966DB"/>
    <w:rsid w:val="00F97C99"/>
    <w:rsid w:val="00F97E1D"/>
    <w:rsid w:val="00FA029A"/>
    <w:rsid w:val="00FA5D41"/>
    <w:rsid w:val="00FB0162"/>
    <w:rsid w:val="00FC1C1E"/>
    <w:rsid w:val="00FD7F24"/>
    <w:rsid w:val="00FE0C92"/>
    <w:rsid w:val="00FE2B27"/>
    <w:rsid w:val="00FF1D7B"/>
    <w:rsid w:val="00FF451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818282C"/>
  <w15:docId w15:val="{E1BBFB63-A3D5-4821-A594-8FF9D673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B6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D625E8"/>
    <w:pPr>
      <w:keepNext/>
      <w:keepLines/>
      <w:spacing w:before="240" w:after="120"/>
      <w:outlineLvl w:val="0"/>
    </w:pPr>
    <w:rPr>
      <w:rFonts w:ascii="Calibri" w:hAnsi="Calibri" w:cstheme="minorBidi"/>
      <w:b/>
      <w:bCs/>
      <w:color w:val="000000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BC29DF"/>
    <w:pPr>
      <w:spacing w:after="0" w:line="240" w:lineRule="auto"/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3944E1"/>
    <w:pPr>
      <w:keepNext/>
      <w:keepLines/>
      <w:outlineLvl w:val="2"/>
    </w:pPr>
    <w:rPr>
      <w:rFonts w:eastAsia="Times New Roman"/>
      <w:b/>
      <w:bCs/>
      <w:sz w:val="34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3E5738"/>
    <w:pPr>
      <w:spacing w:before="120" w:line="240" w:lineRule="auto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944E1"/>
    <w:pPr>
      <w:keepNext/>
      <w:keepLines/>
      <w:spacing w:before="200" w:after="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5D5C6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D625E8"/>
    <w:rPr>
      <w:rFonts w:ascii="Calibri" w:hAnsi="Calibri" w:cstheme="minorBidi"/>
      <w:b/>
      <w:bCs/>
      <w:color w:val="000000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BC29DF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3944E1"/>
    <w:rPr>
      <w:rFonts w:eastAsia="Times New Roman"/>
      <w:b/>
      <w:bCs/>
      <w:sz w:val="3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3E5738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944E1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32F21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895183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895183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895183"/>
    <w:pPr>
      <w:keepNext/>
      <w:spacing w:after="120" w:line="240" w:lineRule="auto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D16E58"/>
    <w:pPr>
      <w:numPr>
        <w:numId w:val="7"/>
      </w:numPr>
      <w:spacing w:before="120" w:after="120"/>
    </w:pPr>
  </w:style>
  <w:style w:type="paragraph" w:styleId="ListNumber">
    <w:name w:val="List Number"/>
    <w:basedOn w:val="Normal"/>
    <w:uiPriority w:val="9"/>
    <w:qFormat/>
    <w:rsid w:val="0019745A"/>
    <w:pPr>
      <w:spacing w:before="120" w:after="120"/>
      <w:ind w:left="709" w:hanging="180"/>
    </w:pPr>
    <w:rPr>
      <w:lang w:val="en-GB" w:eastAsia="en-AU"/>
    </w:rPr>
  </w:style>
  <w:style w:type="paragraph" w:styleId="ListBullet2">
    <w:name w:val="List Bullet 2"/>
    <w:basedOn w:val="Normal"/>
    <w:uiPriority w:val="8"/>
    <w:qFormat/>
    <w:rsid w:val="00D16E58"/>
    <w:pPr>
      <w:numPr>
        <w:ilvl w:val="1"/>
        <w:numId w:val="7"/>
      </w:numPr>
      <w:spacing w:before="120" w:after="120"/>
      <w:contextualSpacing/>
    </w:pPr>
  </w:style>
  <w:style w:type="paragraph" w:styleId="ListNumber2">
    <w:name w:val="List Number 2"/>
    <w:uiPriority w:val="10"/>
    <w:qFormat/>
    <w:rsid w:val="00747BA9"/>
    <w:pPr>
      <w:numPr>
        <w:ilvl w:val="1"/>
        <w:numId w:val="9"/>
      </w:numPr>
      <w:spacing w:before="120" w:after="120" w:line="264" w:lineRule="auto"/>
      <w:ind w:left="794" w:hanging="369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747BA9"/>
    <w:pPr>
      <w:numPr>
        <w:ilvl w:val="2"/>
        <w:numId w:val="9"/>
      </w:numPr>
      <w:spacing w:before="120" w:after="120" w:line="264" w:lineRule="auto"/>
      <w:ind w:left="1077" w:hanging="170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7C64C9"/>
    <w:pPr>
      <w:tabs>
        <w:tab w:val="center" w:pos="4820"/>
      </w:tabs>
      <w:jc w:val="center"/>
    </w:pPr>
    <w:rPr>
      <w:rFonts w:ascii="Calibri" w:eastAsia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895183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895183"/>
    <w:rPr>
      <w:b/>
      <w:bCs/>
    </w:rPr>
  </w:style>
  <w:style w:type="character" w:styleId="Emphasis">
    <w:name w:val="Emphasis"/>
    <w:basedOn w:val="DefaultParagraphFont"/>
    <w:uiPriority w:val="99"/>
    <w:qFormat/>
    <w:rsid w:val="00895183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895183"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895183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895183"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895183"/>
    <w:pPr>
      <w:tabs>
        <w:tab w:val="center" w:pos="4536"/>
      </w:tabs>
      <w:spacing w:after="120" w:line="240" w:lineRule="auto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27"/>
    <w:unhideWhenUsed/>
    <w:rsid w:val="0002426C"/>
    <w:pPr>
      <w:tabs>
        <w:tab w:val="center" w:pos="4513"/>
        <w:tab w:val="right" w:pos="9026"/>
      </w:tabs>
      <w:jc w:val="center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27"/>
    <w:rsid w:val="0002426C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9314A9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895183"/>
    <w:pPr>
      <w:spacing w:before="120" w:line="264" w:lineRule="auto"/>
      <w:contextualSpacing/>
    </w:pPr>
    <w:rPr>
      <w:sz w:val="18"/>
    </w:rPr>
  </w:style>
  <w:style w:type="paragraph" w:customStyle="1" w:styleId="Heading2numbered">
    <w:name w:val="Heading 2 numbered"/>
    <w:basedOn w:val="Heading2"/>
    <w:qFormat/>
    <w:rsid w:val="005D48A2"/>
    <w:pPr>
      <w:numPr>
        <w:numId w:val="4"/>
      </w:numPr>
      <w:ind w:left="851" w:hanging="851"/>
    </w:pPr>
  </w:style>
  <w:style w:type="paragraph" w:customStyle="1" w:styleId="TableText">
    <w:name w:val="Table Text"/>
    <w:basedOn w:val="Normal"/>
    <w:uiPriority w:val="13"/>
    <w:qFormat/>
    <w:rsid w:val="00895183"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895183"/>
    <w:pPr>
      <w:keepNext/>
    </w:pPr>
    <w:rPr>
      <w:b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895183"/>
    <w:pPr>
      <w:spacing w:after="720"/>
    </w:pPr>
  </w:style>
  <w:style w:type="paragraph" w:customStyle="1" w:styleId="Glossary">
    <w:name w:val="Glossary"/>
    <w:basedOn w:val="Normal"/>
    <w:link w:val="GlossaryChar"/>
    <w:uiPriority w:val="28"/>
    <w:qFormat/>
    <w:rsid w:val="00895183"/>
    <w:pPr>
      <w:spacing w:before="120" w:after="120"/>
      <w:ind w:left="2126" w:hanging="2126"/>
    </w:pPr>
    <w:rPr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sid w:val="00895183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paragraph" w:customStyle="1" w:styleId="BoxTextBullet">
    <w:name w:val="Box Text Bullet"/>
    <w:basedOn w:val="BoxText"/>
    <w:uiPriority w:val="21"/>
    <w:qFormat/>
    <w:rsid w:val="009314A9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895183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9314A9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895183"/>
    <w:pPr>
      <w:tabs>
        <w:tab w:val="center" w:pos="4820"/>
      </w:tabs>
      <w:spacing w:after="0" w:line="240" w:lineRule="auto"/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26"/>
    <w:unhideWhenUsed/>
    <w:rsid w:val="0002426C"/>
    <w:pPr>
      <w:tabs>
        <w:tab w:val="center" w:pos="4513"/>
        <w:tab w:val="right" w:pos="9026"/>
      </w:tabs>
      <w:jc w:val="center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26"/>
    <w:rsid w:val="0002426C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9314A9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Heading1sub">
    <w:name w:val="Heading 1 sub"/>
    <w:basedOn w:val="Normal"/>
    <w:qFormat/>
    <w:rsid w:val="003E5738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4F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647AF7"/>
    <w:pPr>
      <w:spacing w:after="0"/>
    </w:pPr>
  </w:style>
  <w:style w:type="paragraph" w:customStyle="1" w:styleId="Author">
    <w:name w:val="Author"/>
    <w:basedOn w:val="Normal"/>
    <w:next w:val="Normal"/>
    <w:qFormat/>
    <w:rsid w:val="00E83729"/>
    <w:pPr>
      <w:spacing w:after="60"/>
    </w:pPr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A7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83E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83E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E4756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D16E58"/>
    <w:pPr>
      <w:numPr>
        <w:numId w:val="5"/>
      </w:numPr>
    </w:pPr>
  </w:style>
  <w:style w:type="paragraph" w:styleId="ListBullet4">
    <w:name w:val="List Bullet 4"/>
    <w:basedOn w:val="Normal"/>
    <w:uiPriority w:val="99"/>
    <w:unhideWhenUsed/>
    <w:rsid w:val="007A15AC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unhideWhenUsed/>
    <w:rsid w:val="00D16E58"/>
    <w:pPr>
      <w:numPr>
        <w:ilvl w:val="2"/>
        <w:numId w:val="7"/>
      </w:numPr>
      <w:contextualSpacing/>
    </w:pPr>
  </w:style>
  <w:style w:type="numbering" w:customStyle="1" w:styleId="ListNumbers">
    <w:name w:val="ListNumbers"/>
    <w:uiPriority w:val="99"/>
    <w:rsid w:val="00747BA9"/>
    <w:pPr>
      <w:numPr>
        <w:numId w:val="8"/>
      </w:numPr>
    </w:pPr>
  </w:style>
  <w:style w:type="paragraph" w:customStyle="1" w:styleId="CoverHeading1BookCoversFrontcover">
    <w:name w:val="Cover Heading 1 (Book Covers:Front cover)"/>
    <w:basedOn w:val="Normal"/>
    <w:uiPriority w:val="99"/>
    <w:rsid w:val="00371DFD"/>
    <w:pPr>
      <w:widowControl w:val="0"/>
      <w:suppressAutoHyphens/>
      <w:autoSpaceDE w:val="0"/>
      <w:autoSpaceDN w:val="0"/>
      <w:adjustRightInd w:val="0"/>
      <w:spacing w:after="0" w:line="520" w:lineRule="atLeast"/>
      <w:textAlignment w:val="center"/>
    </w:pPr>
    <w:rPr>
      <w:rFonts w:ascii="MiloPro" w:eastAsiaTheme="minorHAnsi" w:hAnsi="MiloPro" w:cs="MiloPro"/>
      <w:color w:val="FFFFFF"/>
      <w:sz w:val="52"/>
      <w:szCs w:val="52"/>
      <w:lang w:val="en-GB" w:eastAsia="en-AU"/>
    </w:rPr>
  </w:style>
  <w:style w:type="paragraph" w:customStyle="1" w:styleId="CoverHeading2BookCoversFrontcover">
    <w:name w:val="Cover Heading 2 (Book Covers:Front cover)"/>
    <w:basedOn w:val="Normal"/>
    <w:next w:val="Normal"/>
    <w:uiPriority w:val="99"/>
    <w:rsid w:val="00371DFD"/>
    <w:pPr>
      <w:widowControl w:val="0"/>
      <w:suppressAutoHyphens/>
      <w:autoSpaceDE w:val="0"/>
      <w:autoSpaceDN w:val="0"/>
      <w:adjustRightInd w:val="0"/>
      <w:spacing w:before="57" w:after="0" w:line="520" w:lineRule="atLeast"/>
      <w:textAlignment w:val="center"/>
    </w:pPr>
    <w:rPr>
      <w:rFonts w:ascii="MiloPro-Light" w:eastAsiaTheme="minorHAnsi" w:hAnsi="MiloPro-Light" w:cs="MiloPro-Light"/>
      <w:color w:val="FFFFFF"/>
      <w:sz w:val="50"/>
      <w:szCs w:val="50"/>
      <w:lang w:val="en-GB" w:eastAsia="en-AU"/>
    </w:rPr>
  </w:style>
  <w:style w:type="paragraph" w:customStyle="1" w:styleId="BodycopyInsideSpreads">
    <w:name w:val="Body copy (Inside Spreads)"/>
    <w:basedOn w:val="Normal"/>
    <w:next w:val="Normal"/>
    <w:uiPriority w:val="99"/>
    <w:rsid w:val="00371DFD"/>
    <w:pPr>
      <w:widowControl w:val="0"/>
      <w:suppressAutoHyphens/>
      <w:autoSpaceDE w:val="0"/>
      <w:autoSpaceDN w:val="0"/>
      <w:adjustRightInd w:val="0"/>
      <w:spacing w:before="85" w:after="28" w:line="288" w:lineRule="auto"/>
      <w:textAlignment w:val="center"/>
    </w:pPr>
    <w:rPr>
      <w:rFonts w:eastAsiaTheme="minorHAnsi" w:cs="Cambria"/>
      <w:color w:val="000000"/>
      <w:spacing w:val="-3"/>
      <w:sz w:val="17"/>
      <w:szCs w:val="17"/>
      <w:lang w:val="en-GB" w:eastAsia="en-AU"/>
    </w:rPr>
  </w:style>
  <w:style w:type="paragraph" w:customStyle="1" w:styleId="SubHeading2InsideSpreads">
    <w:name w:val="Sub Heading 2 (Inside Spreads)"/>
    <w:basedOn w:val="Normal"/>
    <w:next w:val="Normal"/>
    <w:uiPriority w:val="99"/>
    <w:rsid w:val="00371DFD"/>
    <w:pPr>
      <w:widowControl w:val="0"/>
      <w:suppressAutoHyphens/>
      <w:autoSpaceDE w:val="0"/>
      <w:autoSpaceDN w:val="0"/>
      <w:adjustRightInd w:val="0"/>
      <w:spacing w:before="170" w:after="0" w:line="280" w:lineRule="atLeast"/>
      <w:textAlignment w:val="center"/>
    </w:pPr>
    <w:rPr>
      <w:rFonts w:ascii="Cambria-Bold" w:eastAsiaTheme="minorHAnsi" w:hAnsi="Cambria-Bold" w:cs="Cambria-Bold"/>
      <w:b/>
      <w:bCs/>
      <w:color w:val="853247"/>
      <w:spacing w:val="-5"/>
      <w:sz w:val="24"/>
      <w:szCs w:val="24"/>
      <w:lang w:val="en-GB" w:eastAsia="en-AU"/>
    </w:rPr>
  </w:style>
  <w:style w:type="paragraph" w:customStyle="1" w:styleId="BulletPointsInsideSpreadsBulletPointsListsMainBulletPoints">
    <w:name w:val="Bullet Points (Inside Spreads:Bullet Points &amp; Lists:Main Bullet Points)"/>
    <w:basedOn w:val="Normal"/>
    <w:uiPriority w:val="99"/>
    <w:rsid w:val="00371DFD"/>
    <w:pPr>
      <w:widowControl w:val="0"/>
      <w:tabs>
        <w:tab w:val="left" w:pos="170"/>
      </w:tabs>
      <w:suppressAutoHyphens/>
      <w:autoSpaceDE w:val="0"/>
      <w:autoSpaceDN w:val="0"/>
      <w:adjustRightInd w:val="0"/>
      <w:spacing w:before="28" w:after="28" w:line="210" w:lineRule="atLeast"/>
      <w:ind w:left="170" w:hanging="170"/>
      <w:textAlignment w:val="center"/>
    </w:pPr>
    <w:rPr>
      <w:rFonts w:eastAsiaTheme="minorHAnsi" w:cs="Cambria"/>
      <w:color w:val="000000"/>
      <w:spacing w:val="-3"/>
      <w:sz w:val="17"/>
      <w:szCs w:val="17"/>
      <w:lang w:val="en-GB" w:eastAsia="en-AU"/>
    </w:rPr>
  </w:style>
  <w:style w:type="character" w:customStyle="1" w:styleId="BoldBodyCopyBodyCopy">
    <w:name w:val="Bold Body Copy (Body Copy)"/>
    <w:uiPriority w:val="99"/>
    <w:rsid w:val="00371DFD"/>
    <w:rPr>
      <w:b/>
      <w:bCs/>
    </w:rPr>
  </w:style>
  <w:style w:type="character" w:customStyle="1" w:styleId="links">
    <w:name w:val="links"/>
    <w:uiPriority w:val="99"/>
    <w:rsid w:val="00371DFD"/>
    <w:rPr>
      <w:color w:val="853247"/>
      <w:u w:val="none"/>
    </w:rPr>
  </w:style>
  <w:style w:type="paragraph" w:customStyle="1" w:styleId="CoverNotes-HeadingsBookCoversBackCover">
    <w:name w:val="Cover Notes-Headings (Book Covers:Back Cover)"/>
    <w:basedOn w:val="Normal"/>
    <w:next w:val="Normal"/>
    <w:uiPriority w:val="99"/>
    <w:rsid w:val="00371DFD"/>
    <w:pPr>
      <w:widowControl w:val="0"/>
      <w:suppressAutoHyphens/>
      <w:autoSpaceDE w:val="0"/>
      <w:autoSpaceDN w:val="0"/>
      <w:adjustRightInd w:val="0"/>
      <w:spacing w:before="85" w:after="0" w:line="288" w:lineRule="auto"/>
      <w:textAlignment w:val="center"/>
    </w:pPr>
    <w:rPr>
      <w:rFonts w:ascii="MiloPro-Medi" w:eastAsiaTheme="minorHAnsi" w:hAnsi="MiloPro-Medi" w:cs="MiloPro-Medi"/>
      <w:color w:val="FFFFFF"/>
      <w:sz w:val="18"/>
      <w:szCs w:val="18"/>
      <w:lang w:val="en-GB" w:eastAsia="en-AU"/>
    </w:rPr>
  </w:style>
  <w:style w:type="character" w:customStyle="1" w:styleId="CoverNotes-CallToActionCover">
    <w:name w:val="Cover Notes-Call To Action (Cover)"/>
    <w:uiPriority w:val="99"/>
    <w:rsid w:val="00371DFD"/>
    <w:rPr>
      <w:rFonts w:ascii="MiloPro-Medi" w:hAnsi="MiloPro-Medi" w:cs="MiloPro-Medi"/>
      <w:outline/>
      <w:color w:val="000000"/>
      <w:spacing w:val="0"/>
      <w:sz w:val="18"/>
      <w:szCs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NoParagraphStyle">
    <w:name w:val="[No Paragraph Style]"/>
    <w:rsid w:val="00371D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CoverNotes-NoSpaceAfterBookCoversBackCover">
    <w:name w:val="Cover Notes-No Space After (Book Covers:Back Cover)"/>
    <w:basedOn w:val="NoParagraphStyle"/>
    <w:next w:val="NoParagraphStyle"/>
    <w:uiPriority w:val="99"/>
    <w:rsid w:val="00371DFD"/>
    <w:pPr>
      <w:tabs>
        <w:tab w:val="left" w:pos="2680"/>
      </w:tabs>
      <w:suppressAutoHyphens/>
    </w:pPr>
    <w:rPr>
      <w:rFonts w:ascii="MiloPro-Light" w:hAnsi="MiloPro-Light" w:cs="MiloPro-Light"/>
      <w:color w:val="FFFFFF"/>
      <w:sz w:val="18"/>
      <w:szCs w:val="18"/>
    </w:rPr>
  </w:style>
  <w:style w:type="character" w:customStyle="1" w:styleId="BodyBulletPointBulletsandLists">
    <w:name w:val="Body Bullet Point (Bullets and Lists)"/>
    <w:uiPriority w:val="99"/>
    <w:rsid w:val="00371DFD"/>
    <w:rPr>
      <w:color w:val="853247"/>
      <w:position w:val="1"/>
      <w:sz w:val="17"/>
      <w:szCs w:val="17"/>
    </w:rPr>
  </w:style>
  <w:style w:type="paragraph" w:customStyle="1" w:styleId="TableTitleTables">
    <w:name w:val="Table Title (Tables)"/>
    <w:basedOn w:val="NoParagraphStyle"/>
    <w:uiPriority w:val="99"/>
    <w:rsid w:val="00E2538D"/>
    <w:pPr>
      <w:suppressAutoHyphens/>
      <w:spacing w:after="113" w:line="220" w:lineRule="atLeast"/>
    </w:pPr>
    <w:rPr>
      <w:rFonts w:ascii="MiloPro" w:hAnsi="MiloPro" w:cs="MiloPro"/>
      <w:color w:val="853247"/>
      <w:spacing w:val="-2"/>
      <w:sz w:val="20"/>
      <w:szCs w:val="20"/>
      <w:lang w:val="en-US"/>
    </w:rPr>
  </w:style>
  <w:style w:type="paragraph" w:customStyle="1" w:styleId="TableBodyTextLeftTables">
    <w:name w:val="Table Body Text (Left) (Tables)"/>
    <w:basedOn w:val="NoParagraphStyle"/>
    <w:uiPriority w:val="99"/>
    <w:rsid w:val="00E2538D"/>
    <w:pPr>
      <w:suppressAutoHyphens/>
      <w:spacing w:before="28" w:after="28"/>
    </w:pPr>
    <w:rPr>
      <w:rFonts w:ascii="MiloPro-Light" w:hAnsi="MiloPro-Light" w:cs="MiloPro-Light"/>
      <w:sz w:val="15"/>
      <w:szCs w:val="15"/>
      <w:lang w:val="en-US"/>
    </w:rPr>
  </w:style>
  <w:style w:type="paragraph" w:customStyle="1" w:styleId="TableFootnoteTables">
    <w:name w:val="Table Footnote (Tables)"/>
    <w:basedOn w:val="NoParagraphStyle"/>
    <w:uiPriority w:val="99"/>
    <w:rsid w:val="00E2538D"/>
    <w:pPr>
      <w:suppressAutoHyphens/>
      <w:spacing w:before="85" w:line="180" w:lineRule="atLeast"/>
    </w:pPr>
    <w:rPr>
      <w:rFonts w:ascii="MiloPro" w:hAnsi="MiloPro" w:cs="MiloPro"/>
      <w:sz w:val="14"/>
      <w:szCs w:val="14"/>
      <w:lang w:val="en-US"/>
    </w:rPr>
  </w:style>
  <w:style w:type="paragraph" w:customStyle="1" w:styleId="SubHeading1InsideSpreads">
    <w:name w:val="Sub Heading 1 (Inside Spreads)"/>
    <w:basedOn w:val="NoParagraphStyle"/>
    <w:next w:val="NoParagraphStyle"/>
    <w:uiPriority w:val="99"/>
    <w:rsid w:val="005B0148"/>
    <w:pPr>
      <w:suppressAutoHyphens/>
      <w:spacing w:before="170" w:line="300" w:lineRule="atLeast"/>
    </w:pPr>
    <w:rPr>
      <w:rFonts w:ascii="Cambria-Bold" w:hAnsi="Cambria-Bold" w:cs="Cambria-Bold"/>
      <w:b/>
      <w:bCs/>
      <w:color w:val="491225"/>
      <w:spacing w:val="-6"/>
      <w:sz w:val="28"/>
      <w:szCs w:val="28"/>
    </w:rPr>
  </w:style>
  <w:style w:type="paragraph" w:customStyle="1" w:styleId="SubHeading3InsideSpreads">
    <w:name w:val="Sub Heading 3 (Inside Spreads)"/>
    <w:basedOn w:val="NoParagraphStyle"/>
    <w:next w:val="NoParagraphStyle"/>
    <w:uiPriority w:val="99"/>
    <w:rsid w:val="00DF5AC6"/>
    <w:pPr>
      <w:suppressAutoHyphens/>
      <w:spacing w:before="170" w:line="240" w:lineRule="atLeast"/>
    </w:pPr>
    <w:rPr>
      <w:rFonts w:ascii="Cambria-Bold" w:hAnsi="Cambria-Bold" w:cs="Cambria-Bold"/>
      <w:b/>
      <w:bCs/>
      <w:color w:val="EB7F62"/>
      <w:spacing w:val="-4"/>
      <w:sz w:val="20"/>
      <w:szCs w:val="20"/>
    </w:rPr>
  </w:style>
  <w:style w:type="paragraph" w:customStyle="1" w:styleId="RomanInsideSpreadsBulletPointsListsMainBulletPoints">
    <w:name w:val="Roman (Inside Spreads:Bullet Points &amp; Lists:Main Bullet Points)"/>
    <w:basedOn w:val="BodycopyInsideSpreads"/>
    <w:uiPriority w:val="99"/>
    <w:rsid w:val="00DF5AC6"/>
    <w:pPr>
      <w:spacing w:before="0"/>
      <w:ind w:left="567" w:hanging="397"/>
    </w:pPr>
  </w:style>
  <w:style w:type="character" w:customStyle="1" w:styleId="ItalicsbodyBodyCopy">
    <w:name w:val="Italics body (Body Copy)"/>
    <w:uiPriority w:val="99"/>
    <w:rsid w:val="00DF5AC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F0EC4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rsid w:val="005F0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semiHidden/>
    <w:qFormat/>
    <w:rsid w:val="00373D8A"/>
    <w:pPr>
      <w:ind w:left="720"/>
      <w:contextualSpacing/>
    </w:pPr>
  </w:style>
  <w:style w:type="paragraph" w:styleId="Revision">
    <w:name w:val="Revision"/>
    <w:hidden/>
    <w:uiPriority w:val="99"/>
    <w:semiHidden/>
    <w:rsid w:val="007C105D"/>
    <w:rPr>
      <w:rFonts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5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ineaustralia.com/" TargetMode="External"/><Relationship Id="rId18" Type="http://schemas.openxmlformats.org/officeDocument/2006/relationships/hyperlink" Target="mailto:NPGexports@awe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tga.gov.au/" TargetMode="External"/><Relationship Id="rId17" Type="http://schemas.openxmlformats.org/officeDocument/2006/relationships/hyperlink" Target="mailto:npgexports@aw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about/contact/our-offic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vma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pgexports@awe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lianchamber.com.a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BC472-D9EE-471F-AC5D-AF55CF2F4C09}">
  <ds:schemaRefs>
    <ds:schemaRef ds:uri="http://schemas.microsoft.com/office/2006/metadata/properties"/>
    <ds:schemaRef ds:uri="2b53c995-2120-4bc0-8922-c25044d37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5b51c2-b2ac-4224-a5b5-06990905782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61CCA8-5F9D-4658-AF53-7A279854B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B6E9-E595-4056-8850-BF590FF62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D29F5-D3DE-4916-9358-27052458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Exporting non-prescribed goods: determining a non-prescribed good</vt:lpstr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Exporting non-prescribed goods: determining a non-prescribed good</dc:title>
  <dc:creator>Department of Agriculture and Water Resources</dc:creator>
  <cp:lastModifiedBy>Grocott, Paul</cp:lastModifiedBy>
  <cp:revision>7</cp:revision>
  <cp:lastPrinted>2016-08-29T03:05:00Z</cp:lastPrinted>
  <dcterms:created xsi:type="dcterms:W3CDTF">2021-03-10T02:26:00Z</dcterms:created>
  <dcterms:modified xsi:type="dcterms:W3CDTF">2021-03-10T04:38:00Z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