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FE8B" w14:textId="77777777" w:rsidR="00161CF3" w:rsidRDefault="000F1590" w:rsidP="00161CF3">
      <w:pPr>
        <w:pStyle w:val="Heading1"/>
      </w:pPr>
      <w:bookmarkStart w:id="0" w:name="_Toc381014281"/>
      <w:r>
        <w:t xml:space="preserve">Application for booking at PEQ – Avian </w:t>
      </w:r>
      <w:proofErr w:type="gramStart"/>
      <w:r>
        <w:t>compound</w:t>
      </w:r>
      <w:proofErr w:type="gramEnd"/>
    </w:p>
    <w:p w14:paraId="0D85D05F" w14:textId="77777777" w:rsidR="00161CF3" w:rsidRDefault="006A1A4B" w:rsidP="00161CF3">
      <w:pPr>
        <w:pStyle w:val="BodyText"/>
      </w:pPr>
      <w:r>
        <w:pict w14:anchorId="7E266A54">
          <v:rect id="_x0000_i1025" style="width:451.3pt;height:3pt" o:hralign="center" o:hrstd="t" o:hrnoshade="t" o:hr="t" fillcolor="#d5d2ca" stroked="f"/>
        </w:pict>
      </w:r>
    </w:p>
    <w:p w14:paraId="5BF6C264" w14:textId="6330B88E" w:rsidR="000F7A29" w:rsidRDefault="00694DDB" w:rsidP="00177A6B">
      <w:pPr>
        <w:pStyle w:val="BodyText"/>
      </w:pPr>
      <w:r>
        <w:t xml:space="preserve">This form </w:t>
      </w:r>
      <w:r w:rsidR="003B603F">
        <w:t xml:space="preserve">is to be submitted by </w:t>
      </w:r>
      <w:r w:rsidR="00202242">
        <w:t xml:space="preserve">30 </w:t>
      </w:r>
      <w:r w:rsidR="003B603F">
        <w:t xml:space="preserve">April </w:t>
      </w:r>
      <w:r w:rsidR="000F7A29">
        <w:t xml:space="preserve">each year </w:t>
      </w:r>
      <w:r w:rsidR="003B603F">
        <w:t>for</w:t>
      </w:r>
      <w:r w:rsidR="000F7A29">
        <w:t>:</w:t>
      </w:r>
      <w:r w:rsidR="003B603F">
        <w:t xml:space="preserve"> </w:t>
      </w:r>
    </w:p>
    <w:p w14:paraId="1539A428" w14:textId="29BDCE0C" w:rsidR="000F7A29" w:rsidRDefault="003B603F" w:rsidP="000F7A29">
      <w:pPr>
        <w:pStyle w:val="ListBullet"/>
      </w:pPr>
      <w:r>
        <w:t xml:space="preserve">booking requests for </w:t>
      </w:r>
      <w:r w:rsidR="000F7A29">
        <w:t>the following calendar year</w:t>
      </w:r>
    </w:p>
    <w:p w14:paraId="4FDCF18E" w14:textId="05ED9F36" w:rsidR="000C6A10" w:rsidRDefault="000F7A29" w:rsidP="000F7A29">
      <w:pPr>
        <w:pStyle w:val="ListBullet"/>
      </w:pPr>
      <w:r>
        <w:t>expressions of interest for the further two calendar years</w:t>
      </w:r>
      <w:r w:rsidR="003B603F">
        <w:t>.</w:t>
      </w:r>
    </w:p>
    <w:p w14:paraId="0F8856E2" w14:textId="71965C6D" w:rsidR="00336F75" w:rsidRDefault="00336F75" w:rsidP="00AC123A">
      <w:pPr>
        <w:pStyle w:val="BodyText"/>
        <w:rPr>
          <w:lang w:val="en-US"/>
        </w:rPr>
      </w:pPr>
      <w:r>
        <w:rPr>
          <w:lang w:val="en-US"/>
        </w:rPr>
        <w:t xml:space="preserve">Booking schedule </w:t>
      </w:r>
      <w:r w:rsidR="005A6263" w:rsidRPr="0064007F">
        <w:rPr>
          <w:lang w:val="en-US"/>
        </w:rPr>
        <w:t xml:space="preserve">and due date for </w:t>
      </w:r>
      <w:r w:rsidR="00C061E5">
        <w:rPr>
          <w:lang w:val="en-US"/>
        </w:rPr>
        <w:t xml:space="preserve">the </w:t>
      </w:r>
      <w:r w:rsidR="005A6263" w:rsidRPr="0064007F">
        <w:rPr>
          <w:lang w:val="en-US"/>
        </w:rPr>
        <w:t xml:space="preserve">reservation </w:t>
      </w:r>
      <w:r w:rsidR="00C061E5">
        <w:rPr>
          <w:lang w:val="en-US"/>
        </w:rPr>
        <w:t xml:space="preserve">confirmation </w:t>
      </w:r>
      <w:r w:rsidR="005A6263" w:rsidRPr="0064007F">
        <w:rPr>
          <w:lang w:val="en-US"/>
        </w:rPr>
        <w:t>charge</w:t>
      </w:r>
      <w:r w:rsidR="005A6263">
        <w:rPr>
          <w:lang w:val="en-US"/>
        </w:rPr>
        <w:t xml:space="preserve"> </w:t>
      </w:r>
      <w:r>
        <w:rPr>
          <w:lang w:val="en-US"/>
        </w:rPr>
        <w:t xml:space="preserve">will be advised </w:t>
      </w:r>
      <w:r w:rsidR="0064007F">
        <w:rPr>
          <w:lang w:val="en-US"/>
        </w:rPr>
        <w:t>on or before</w:t>
      </w:r>
      <w:r>
        <w:rPr>
          <w:lang w:val="en-US"/>
        </w:rPr>
        <w:t xml:space="preserve"> 30 June</w:t>
      </w:r>
      <w:r w:rsidR="001130D2">
        <w:rPr>
          <w:lang w:val="en-US"/>
        </w:rPr>
        <w:t xml:space="preserve"> </w:t>
      </w:r>
      <w:r w:rsidR="000F7A29">
        <w:rPr>
          <w:lang w:val="en-US"/>
        </w:rPr>
        <w:t>each year</w:t>
      </w:r>
      <w:r w:rsidR="003B603F">
        <w:rPr>
          <w:lang w:val="en-US"/>
        </w:rPr>
        <w:t>.</w:t>
      </w:r>
      <w:r w:rsidR="000C6A10">
        <w:rPr>
          <w:lang w:val="en-US"/>
        </w:rPr>
        <w:t xml:space="preserve"> </w:t>
      </w:r>
    </w:p>
    <w:p w14:paraId="7C79CFF3" w14:textId="564E0797" w:rsidR="00161CF3" w:rsidRDefault="001130D2" w:rsidP="00AC123A">
      <w:pPr>
        <w:pStyle w:val="BodyText"/>
        <w:rPr>
          <w:lang w:val="en-US"/>
        </w:rPr>
      </w:pPr>
      <w:r>
        <w:rPr>
          <w:lang w:val="en-US"/>
        </w:rPr>
        <w:t>The i</w:t>
      </w:r>
      <w:r w:rsidR="00336F75">
        <w:rPr>
          <w:lang w:val="en-US"/>
        </w:rPr>
        <w:t xml:space="preserve">mport dates for hatching eggs will generally occur in </w:t>
      </w:r>
      <w:r w:rsidR="00336F75" w:rsidRPr="00336F75">
        <w:rPr>
          <w:b/>
          <w:lang w:val="en-US"/>
        </w:rPr>
        <w:t>January</w:t>
      </w:r>
      <w:r w:rsidR="00336F75">
        <w:rPr>
          <w:lang w:val="en-US"/>
        </w:rPr>
        <w:t xml:space="preserve">, </w:t>
      </w:r>
      <w:proofErr w:type="gramStart"/>
      <w:r w:rsidR="00336F75" w:rsidRPr="00336F75">
        <w:rPr>
          <w:b/>
          <w:lang w:val="en-US"/>
        </w:rPr>
        <w:t>May</w:t>
      </w:r>
      <w:proofErr w:type="gramEnd"/>
      <w:r w:rsidR="00336F75">
        <w:rPr>
          <w:lang w:val="en-US"/>
        </w:rPr>
        <w:t xml:space="preserve"> and </w:t>
      </w:r>
      <w:r w:rsidR="00336F75" w:rsidRPr="00336F75">
        <w:rPr>
          <w:b/>
          <w:lang w:val="en-US"/>
        </w:rPr>
        <w:t>September</w:t>
      </w:r>
      <w:r w:rsidR="00336F75">
        <w:rPr>
          <w:lang w:val="en-US"/>
        </w:rPr>
        <w:t xml:space="preserve"> each year</w:t>
      </w:r>
      <w:r w:rsidR="00694DDB">
        <w:rPr>
          <w:lang w:val="en-US"/>
        </w:rPr>
        <w:t xml:space="preserve"> but these intake windows can be subject to change.</w:t>
      </w:r>
    </w:p>
    <w:p w14:paraId="4DBFAFAB" w14:textId="4ED967D5" w:rsidR="000F07DB" w:rsidRDefault="000F07DB" w:rsidP="00AC123A">
      <w:pPr>
        <w:pStyle w:val="BodyText"/>
        <w:rPr>
          <w:lang w:val="en-US"/>
        </w:rPr>
      </w:pPr>
      <w:r>
        <w:rPr>
          <w:lang w:val="en-US"/>
        </w:rPr>
        <w:t xml:space="preserve">Once your reservation has been confirmed, you will be invoiced approximately 20% of the </w:t>
      </w:r>
      <w:r w:rsidR="001130D2">
        <w:rPr>
          <w:lang w:val="en-US"/>
        </w:rPr>
        <w:t xml:space="preserve">scheduled </w:t>
      </w:r>
      <w:r>
        <w:rPr>
          <w:lang w:val="en-US"/>
        </w:rPr>
        <w:t xml:space="preserve">importation charge. </w:t>
      </w:r>
    </w:p>
    <w:p w14:paraId="2177061E" w14:textId="1E5831A6" w:rsidR="000F07DB" w:rsidRDefault="001130D2" w:rsidP="00AC123A">
      <w:pPr>
        <w:pStyle w:val="BodyText"/>
        <w:rPr>
          <w:lang w:val="en-US"/>
        </w:rPr>
      </w:pPr>
      <w:r>
        <w:rPr>
          <w:lang w:val="en-US"/>
        </w:rPr>
        <w:t>Six</w:t>
      </w:r>
      <w:r w:rsidR="000F07DB">
        <w:rPr>
          <w:lang w:val="en-US"/>
        </w:rPr>
        <w:t xml:space="preserve"> months prior to your consignment arriving, you will be invoiced for the remaining importation charge and husbandry fees.</w:t>
      </w:r>
      <w:r>
        <w:rPr>
          <w:lang w:val="en-US"/>
        </w:rPr>
        <w:t xml:space="preserve"> The fees incurred additionally e.g. testing, veterinarians, cleaning, consumables will </w:t>
      </w:r>
      <w:proofErr w:type="gramStart"/>
      <w:r>
        <w:rPr>
          <w:lang w:val="en-US"/>
        </w:rPr>
        <w:t>charged</w:t>
      </w:r>
      <w:proofErr w:type="gramEnd"/>
      <w:r>
        <w:rPr>
          <w:lang w:val="en-US"/>
        </w:rPr>
        <w:t xml:space="preserve"> at the end of the consignment.</w:t>
      </w:r>
    </w:p>
    <w:p w14:paraId="5886935D" w14:textId="3DD02B01" w:rsidR="000F07DB" w:rsidRDefault="000F07DB" w:rsidP="00AC123A">
      <w:pPr>
        <w:pStyle w:val="BodyText"/>
        <w:rPr>
          <w:lang w:val="en-US"/>
        </w:rPr>
      </w:pPr>
    </w:p>
    <w:p w14:paraId="6A84DD9A" w14:textId="149AB16B" w:rsidR="007334B6" w:rsidRDefault="00336F75" w:rsidP="000B7000">
      <w:pPr>
        <w:pStyle w:val="BodyText"/>
        <w:rPr>
          <w:lang w:val="en-US"/>
        </w:rPr>
      </w:pPr>
      <w:r>
        <w:rPr>
          <w:lang w:val="en-US"/>
        </w:rPr>
        <w:t>Application for booking f</w:t>
      </w:r>
      <w:r w:rsidR="007334B6">
        <w:rPr>
          <w:lang w:val="en-US"/>
        </w:rPr>
        <w:t>orms must be sent to the department via email</w:t>
      </w:r>
      <w:r w:rsidR="008F148D">
        <w:rPr>
          <w:lang w:val="en-US"/>
        </w:rPr>
        <w:t xml:space="preserve"> or phone </w:t>
      </w:r>
      <w:r w:rsidR="000C6A10">
        <w:rPr>
          <w:lang w:val="en-US"/>
        </w:rPr>
        <w:t>03 8318 8239</w:t>
      </w:r>
      <w:r w:rsidR="008F148D">
        <w:rPr>
          <w:lang w:val="en-US"/>
        </w:rPr>
        <w:t xml:space="preserve"> for assistance</w:t>
      </w:r>
      <w:r w:rsidR="007334B6">
        <w:rPr>
          <w:lang w:val="en-US"/>
        </w:rPr>
        <w:t xml:space="preserve">. </w:t>
      </w:r>
    </w:p>
    <w:p w14:paraId="06365A61" w14:textId="3064B909" w:rsidR="00161CF3" w:rsidRPr="004C6841" w:rsidRDefault="007334B6" w:rsidP="00161CF3">
      <w:pPr>
        <w:pStyle w:val="ListBullet"/>
        <w:rPr>
          <w:lang w:val="en-US"/>
        </w:rPr>
      </w:pPr>
      <w:r>
        <w:rPr>
          <w:lang w:val="en-US"/>
        </w:rPr>
        <w:t xml:space="preserve">Email: </w:t>
      </w:r>
      <w:hyperlink r:id="rId8" w:history="1">
        <w:r w:rsidR="000F7A29">
          <w:rPr>
            <w:rStyle w:val="Hyperlink"/>
            <w:lang w:val="en-US"/>
          </w:rPr>
          <w:t>micklehamavian@aff.gov.au</w:t>
        </w:r>
      </w:hyperlink>
      <w:r w:rsidR="000C6A10">
        <w:rPr>
          <w:lang w:val="en-US"/>
        </w:rPr>
        <w:t xml:space="preserve"> </w:t>
      </w:r>
    </w:p>
    <w:p w14:paraId="6E35F142" w14:textId="60C61F4B" w:rsidR="00161CF3" w:rsidRPr="004C6841" w:rsidRDefault="008F148D" w:rsidP="00161CF3">
      <w:pPr>
        <w:pStyle w:val="ListBullet"/>
        <w:rPr>
          <w:lang w:val="en-US"/>
        </w:rPr>
      </w:pPr>
      <w:r>
        <w:rPr>
          <w:lang w:val="en-US"/>
        </w:rPr>
        <w:t xml:space="preserve">The department may </w:t>
      </w:r>
      <w:r w:rsidR="001130D2">
        <w:rPr>
          <w:lang w:val="en-US"/>
        </w:rPr>
        <w:t xml:space="preserve">need to </w:t>
      </w:r>
      <w:r>
        <w:rPr>
          <w:lang w:val="en-US"/>
        </w:rPr>
        <w:t>contact you to discuss alternative options if your preferred booking is unavailable. The department will endeavor to accommodate all requests and facilitate access for all parties</w:t>
      </w:r>
      <w:r w:rsidR="00AF307E">
        <w:rPr>
          <w:lang w:val="en-US"/>
        </w:rPr>
        <w:t>. T</w:t>
      </w:r>
      <w:r>
        <w:rPr>
          <w:lang w:val="en-US"/>
        </w:rPr>
        <w:t>he department make</w:t>
      </w:r>
      <w:r w:rsidR="001130D2">
        <w:rPr>
          <w:lang w:val="en-US"/>
        </w:rPr>
        <w:t>s</w:t>
      </w:r>
      <w:r>
        <w:rPr>
          <w:lang w:val="en-US"/>
        </w:rPr>
        <w:t xml:space="preserve"> decisions about final </w:t>
      </w:r>
      <w:r w:rsidR="00987401">
        <w:rPr>
          <w:lang w:val="en-US"/>
        </w:rPr>
        <w:t>allocations</w:t>
      </w:r>
      <w:r w:rsidR="00534E78">
        <w:rPr>
          <w:lang w:val="en-US"/>
        </w:rPr>
        <w:t xml:space="preserve"> </w:t>
      </w:r>
      <w:r w:rsidR="001130D2">
        <w:rPr>
          <w:lang w:val="en-US"/>
        </w:rPr>
        <w:t>with</w:t>
      </w:r>
      <w:r w:rsidR="00534E78">
        <w:rPr>
          <w:lang w:val="en-US"/>
        </w:rPr>
        <w:t xml:space="preserve"> fairness and transparency </w:t>
      </w:r>
      <w:r w:rsidR="001130D2">
        <w:rPr>
          <w:lang w:val="en-US"/>
        </w:rPr>
        <w:t xml:space="preserve">and </w:t>
      </w:r>
      <w:r w:rsidR="00534E78">
        <w:rPr>
          <w:lang w:val="en-US"/>
        </w:rPr>
        <w:t>without compromising personal and commercial-in-confidence information</w:t>
      </w:r>
      <w:r>
        <w:rPr>
          <w:lang w:val="en-US"/>
        </w:rPr>
        <w:t>.</w:t>
      </w:r>
    </w:p>
    <w:p w14:paraId="26756FC2" w14:textId="6044B3B6" w:rsidR="00161CF3" w:rsidRDefault="001130D2" w:rsidP="00161CF3">
      <w:pPr>
        <w:pStyle w:val="ListBullet"/>
        <w:rPr>
          <w:lang w:val="en-US"/>
        </w:rPr>
      </w:pPr>
      <w:r>
        <w:rPr>
          <w:lang w:val="en-US"/>
        </w:rPr>
        <w:t xml:space="preserve">When scheduling </w:t>
      </w:r>
      <w:r w:rsidR="008F148D">
        <w:rPr>
          <w:lang w:val="en-US"/>
        </w:rPr>
        <w:t>booking allocations, the department consider</w:t>
      </w:r>
      <w:r>
        <w:rPr>
          <w:lang w:val="en-US"/>
        </w:rPr>
        <w:t>s</w:t>
      </w:r>
      <w:r w:rsidR="008F148D">
        <w:rPr>
          <w:lang w:val="en-US"/>
        </w:rPr>
        <w:t xml:space="preserve"> the following criteria</w:t>
      </w:r>
      <w:r w:rsidR="00987401">
        <w:rPr>
          <w:lang w:val="en-US"/>
        </w:rPr>
        <w:t>:</w:t>
      </w:r>
    </w:p>
    <w:p w14:paraId="024D25D8" w14:textId="77777777" w:rsidR="008F148D" w:rsidRDefault="008F148D" w:rsidP="008F148D">
      <w:pPr>
        <w:pStyle w:val="ListBullet"/>
        <w:ind w:left="568"/>
        <w:rPr>
          <w:lang w:val="en-US"/>
        </w:rPr>
      </w:pPr>
      <w:r>
        <w:rPr>
          <w:lang w:val="en-US"/>
        </w:rPr>
        <w:t>Access/availability for all importers</w:t>
      </w:r>
    </w:p>
    <w:p w14:paraId="64B18411" w14:textId="58686847" w:rsidR="008F148D" w:rsidRDefault="008F148D" w:rsidP="008F148D">
      <w:pPr>
        <w:pStyle w:val="ListBullet"/>
        <w:ind w:left="568"/>
        <w:rPr>
          <w:lang w:val="en-US"/>
        </w:rPr>
      </w:pPr>
      <w:r>
        <w:rPr>
          <w:lang w:val="en-US"/>
        </w:rPr>
        <w:t>History of compliance</w:t>
      </w:r>
    </w:p>
    <w:p w14:paraId="3875531F" w14:textId="3D1490D3" w:rsidR="00E1755E" w:rsidRDefault="00E1755E" w:rsidP="008F148D">
      <w:pPr>
        <w:pStyle w:val="ListBullet"/>
        <w:ind w:left="568"/>
        <w:rPr>
          <w:lang w:val="en-US"/>
        </w:rPr>
      </w:pPr>
      <w:r>
        <w:rPr>
          <w:lang w:val="en-US"/>
        </w:rPr>
        <w:t xml:space="preserve">Ability to meet import conditions from exporting </w:t>
      </w:r>
      <w:proofErr w:type="gramStart"/>
      <w:r>
        <w:rPr>
          <w:lang w:val="en-US"/>
        </w:rPr>
        <w:t>country</w:t>
      </w:r>
      <w:proofErr w:type="gramEnd"/>
    </w:p>
    <w:p w14:paraId="09246DA7" w14:textId="60843EC2" w:rsidR="008F148D" w:rsidRDefault="00534E78" w:rsidP="008F148D">
      <w:pPr>
        <w:pStyle w:val="ListBullet"/>
        <w:ind w:left="568"/>
        <w:rPr>
          <w:lang w:val="en-US"/>
        </w:rPr>
      </w:pPr>
      <w:r>
        <w:rPr>
          <w:lang w:val="en-US"/>
        </w:rPr>
        <w:t xml:space="preserve">History of </w:t>
      </w:r>
      <w:r w:rsidR="00E1755E">
        <w:rPr>
          <w:lang w:val="en-US"/>
        </w:rPr>
        <w:t xml:space="preserve">compliant use of facility </w:t>
      </w:r>
      <w:r w:rsidR="008F148D">
        <w:rPr>
          <w:lang w:val="en-US"/>
        </w:rPr>
        <w:t xml:space="preserve">and </w:t>
      </w:r>
      <w:r w:rsidR="00E1755E">
        <w:rPr>
          <w:lang w:val="en-US"/>
        </w:rPr>
        <w:t xml:space="preserve">punctual </w:t>
      </w:r>
      <w:r w:rsidR="008F148D">
        <w:rPr>
          <w:lang w:val="en-US"/>
        </w:rPr>
        <w:t>payment for services</w:t>
      </w:r>
    </w:p>
    <w:p w14:paraId="4C687E27" w14:textId="547F8162" w:rsidR="00E1755E" w:rsidRDefault="00E1755E" w:rsidP="008F148D">
      <w:pPr>
        <w:pStyle w:val="ListBullet"/>
        <w:ind w:left="568"/>
        <w:rPr>
          <w:lang w:val="en-US"/>
        </w:rPr>
      </w:pPr>
      <w:r>
        <w:rPr>
          <w:lang w:val="en-US"/>
        </w:rPr>
        <w:t xml:space="preserve">Flexibility in arrival date to fit intake windows for full use of facility by other </w:t>
      </w:r>
      <w:proofErr w:type="gramStart"/>
      <w:r>
        <w:rPr>
          <w:lang w:val="en-US"/>
        </w:rPr>
        <w:t>importers</w:t>
      </w:r>
      <w:proofErr w:type="gramEnd"/>
    </w:p>
    <w:p w14:paraId="558F523E" w14:textId="77777777" w:rsidR="008F148D" w:rsidRPr="004C6841" w:rsidRDefault="00987401" w:rsidP="008F148D">
      <w:pPr>
        <w:pStyle w:val="ListBullet"/>
        <w:ind w:left="568"/>
        <w:rPr>
          <w:lang w:val="en-US"/>
        </w:rPr>
      </w:pPr>
      <w:r>
        <w:rPr>
          <w:lang w:val="en-US"/>
        </w:rPr>
        <w:t xml:space="preserve">Fit and proper persons tests for all new importers or those that have a history of </w:t>
      </w:r>
      <w:proofErr w:type="spellStart"/>
      <w:r>
        <w:rPr>
          <w:lang w:val="en-US"/>
        </w:rPr>
        <w:t>non-compliance</w:t>
      </w:r>
      <w:proofErr w:type="spellEnd"/>
      <w:r>
        <w:rPr>
          <w:lang w:val="en-US"/>
        </w:rPr>
        <w:t>.</w:t>
      </w:r>
    </w:p>
    <w:p w14:paraId="765305AA" w14:textId="5A105D9F" w:rsidR="00161CF3" w:rsidRDefault="00987401" w:rsidP="00161CF3">
      <w:pPr>
        <w:pStyle w:val="ListBullet"/>
        <w:rPr>
          <w:lang w:val="en-US"/>
        </w:rPr>
      </w:pPr>
      <w:r>
        <w:rPr>
          <w:lang w:val="en-US"/>
        </w:rPr>
        <w:t xml:space="preserve">Bookings and import permits </w:t>
      </w:r>
      <w:r w:rsidR="00E1755E">
        <w:rPr>
          <w:lang w:val="en-US"/>
        </w:rPr>
        <w:t>can</w:t>
      </w:r>
      <w:r>
        <w:rPr>
          <w:lang w:val="en-US"/>
        </w:rPr>
        <w:t xml:space="preserve"> be granted to individuals</w:t>
      </w:r>
      <w:r w:rsidR="00E1755E">
        <w:rPr>
          <w:lang w:val="en-US"/>
        </w:rPr>
        <w:t xml:space="preserve"> </w:t>
      </w:r>
      <w:r>
        <w:rPr>
          <w:lang w:val="en-US"/>
        </w:rPr>
        <w:t>and companies. Groups will not be considered</w:t>
      </w:r>
      <w:r w:rsidR="00161CF3" w:rsidRPr="004C6841">
        <w:rPr>
          <w:lang w:val="en-US"/>
        </w:rPr>
        <w:t>.</w:t>
      </w:r>
    </w:p>
    <w:p w14:paraId="6A0D2F3C" w14:textId="625055EC" w:rsidR="00161CF3" w:rsidRPr="00534E78" w:rsidRDefault="003A132B" w:rsidP="001C1A47">
      <w:pPr>
        <w:pStyle w:val="ListBullet"/>
        <w:rPr>
          <w:lang w:val="en-US"/>
        </w:rPr>
      </w:pPr>
      <w:r w:rsidRPr="00534E78">
        <w:rPr>
          <w:lang w:val="en-US"/>
        </w:rPr>
        <w:t>A separate import permit application is required</w:t>
      </w:r>
      <w:r w:rsidR="00534E78" w:rsidRPr="00534E78">
        <w:rPr>
          <w:lang w:val="en-US"/>
        </w:rPr>
        <w:t xml:space="preserve">. </w:t>
      </w:r>
      <w:r w:rsidR="00161CF3" w:rsidRPr="00534E78">
        <w:rPr>
          <w:lang w:val="en-US"/>
        </w:rPr>
        <w:t xml:space="preserve">Please visit </w:t>
      </w:r>
      <w:r w:rsidR="00E62F13" w:rsidRPr="00534E78">
        <w:rPr>
          <w:lang w:val="en-US"/>
        </w:rPr>
        <w:t xml:space="preserve">the </w:t>
      </w:r>
      <w:hyperlink r:id="rId9" w:history="1">
        <w:r w:rsidR="00E62F13" w:rsidRPr="00534E78">
          <w:rPr>
            <w:rStyle w:val="Hyperlink"/>
            <w:lang w:val="en-US"/>
          </w:rPr>
          <w:t>Notice to Industry – Fertile egg (poultry) imports</w:t>
        </w:r>
      </w:hyperlink>
      <w:r w:rsidR="00E62F13" w:rsidRPr="00534E78">
        <w:rPr>
          <w:lang w:val="en-US"/>
        </w:rPr>
        <w:t xml:space="preserve"> </w:t>
      </w:r>
      <w:r w:rsidR="00177A6B">
        <w:rPr>
          <w:lang w:val="en-US"/>
        </w:rPr>
        <w:t xml:space="preserve">or </w:t>
      </w:r>
      <w:hyperlink r:id="rId10" w:history="1">
        <w:r w:rsidR="00177A6B" w:rsidRPr="00177A6B">
          <w:rPr>
            <w:rStyle w:val="Hyperlink"/>
            <w:lang w:val="en-US"/>
          </w:rPr>
          <w:t>Notice to Industry – Pigeon Imports</w:t>
        </w:r>
      </w:hyperlink>
      <w:r w:rsidR="00177A6B">
        <w:rPr>
          <w:lang w:val="en-US"/>
        </w:rPr>
        <w:t xml:space="preserve"> </w:t>
      </w:r>
      <w:r w:rsidR="00E62F13" w:rsidRPr="00534E78">
        <w:rPr>
          <w:lang w:val="en-US"/>
        </w:rPr>
        <w:t>on the department’s website</w:t>
      </w:r>
      <w:r w:rsidR="00161CF3" w:rsidRPr="00534E78">
        <w:rPr>
          <w:lang w:val="en-US"/>
        </w:rPr>
        <w:t xml:space="preserve"> for more information regarding</w:t>
      </w:r>
      <w:r w:rsidRPr="00534E78">
        <w:rPr>
          <w:lang w:val="en-US"/>
        </w:rPr>
        <w:t xml:space="preserve"> requirements for import and</w:t>
      </w:r>
      <w:r w:rsidR="00161CF3" w:rsidRPr="00534E78">
        <w:rPr>
          <w:lang w:val="en-US"/>
        </w:rPr>
        <w:t xml:space="preserve"> the </w:t>
      </w:r>
      <w:r w:rsidR="00987401" w:rsidRPr="00534E78">
        <w:rPr>
          <w:lang w:val="en-US"/>
        </w:rPr>
        <w:t xml:space="preserve">timeline for </w:t>
      </w:r>
      <w:r w:rsidRPr="00534E78">
        <w:rPr>
          <w:lang w:val="en-US"/>
        </w:rPr>
        <w:t>submitting applications and forms</w:t>
      </w:r>
      <w:r w:rsidR="00161CF3" w:rsidRPr="00534E78">
        <w:rPr>
          <w:lang w:val="en-US"/>
        </w:rPr>
        <w:t>.</w:t>
      </w:r>
    </w:p>
    <w:p w14:paraId="4983A895" w14:textId="7963E66B" w:rsidR="00177A6B" w:rsidRDefault="00177A6B" w:rsidP="000B7000">
      <w:pPr>
        <w:pStyle w:val="BodyText"/>
        <w:rPr>
          <w:lang w:val="en-US"/>
        </w:rPr>
      </w:pPr>
      <w:r>
        <w:rPr>
          <w:lang w:val="en-US"/>
        </w:rPr>
        <w:br w:type="page"/>
      </w:r>
    </w:p>
    <w:p w14:paraId="286D04F5" w14:textId="77777777" w:rsidR="00177A6B" w:rsidRPr="004C6841" w:rsidRDefault="00177A6B" w:rsidP="00AC123A">
      <w:pPr>
        <w:pStyle w:val="BodyText"/>
        <w:rPr>
          <w:lang w:val="en-US"/>
        </w:rPr>
      </w:pP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587"/>
        <w:gridCol w:w="1587"/>
        <w:gridCol w:w="1590"/>
      </w:tblGrid>
      <w:tr w:rsidR="00881AD1" w14:paraId="1ABF26BC" w14:textId="77777777" w:rsidTr="0043229A">
        <w:trPr>
          <w:cantSplit/>
          <w:tblHeader/>
        </w:trPr>
        <w:tc>
          <w:tcPr>
            <w:tcW w:w="4251" w:type="dxa"/>
            <w:tcBorders>
              <w:bottom w:val="single" w:sz="4" w:space="0" w:color="FFFFFF"/>
            </w:tcBorders>
            <w:shd w:val="clear" w:color="auto" w:fill="000000"/>
          </w:tcPr>
          <w:p w14:paraId="45BC6146" w14:textId="77777777" w:rsidR="00161CF3" w:rsidRPr="00B21719" w:rsidRDefault="003A132B" w:rsidP="00987401">
            <w:pPr>
              <w:pStyle w:val="Tableheadings"/>
              <w:rPr>
                <w:lang w:val="en-US"/>
              </w:rPr>
            </w:pPr>
            <w:r>
              <w:rPr>
                <w:lang w:val="en-US"/>
              </w:rPr>
              <w:t>Date of this application:</w:t>
            </w:r>
          </w:p>
        </w:tc>
        <w:tc>
          <w:tcPr>
            <w:tcW w:w="4764" w:type="dxa"/>
            <w:gridSpan w:val="3"/>
          </w:tcPr>
          <w:p w14:paraId="66EC8535" w14:textId="501E5E66" w:rsidR="00161CF3" w:rsidRDefault="003A132B" w:rsidP="003439CA">
            <w:pPr>
              <w:rPr>
                <w:lang w:val="en-US"/>
              </w:rPr>
            </w:pPr>
            <w:r w:rsidRPr="00881AD1">
              <w:rPr>
                <w:color w:val="808080" w:themeColor="background1" w:themeShade="80"/>
                <w:lang w:val="en-US"/>
              </w:rPr>
              <w:t>e.g. 15 April 20</w:t>
            </w:r>
            <w:r w:rsidR="00694DDB">
              <w:rPr>
                <w:color w:val="808080" w:themeColor="background1" w:themeShade="80"/>
                <w:lang w:val="en-US"/>
              </w:rPr>
              <w:t>2</w:t>
            </w:r>
            <w:r w:rsidR="000C6A10">
              <w:rPr>
                <w:color w:val="808080" w:themeColor="background1" w:themeShade="80"/>
                <w:lang w:val="en-US"/>
              </w:rPr>
              <w:t>3</w:t>
            </w:r>
          </w:p>
        </w:tc>
      </w:tr>
      <w:tr w:rsidR="003A132B" w14:paraId="45F804DD" w14:textId="77777777" w:rsidTr="0043229A">
        <w:trPr>
          <w:cantSplit/>
          <w:tblHeader/>
        </w:trPr>
        <w:tc>
          <w:tcPr>
            <w:tcW w:w="4251" w:type="dxa"/>
            <w:tcBorders>
              <w:top w:val="single" w:sz="4" w:space="0" w:color="FFFFFF"/>
              <w:bottom w:val="single" w:sz="4" w:space="0" w:color="FFFFFF"/>
            </w:tcBorders>
            <w:shd w:val="clear" w:color="auto" w:fill="000000"/>
          </w:tcPr>
          <w:p w14:paraId="323DC407" w14:textId="77777777" w:rsidR="003A132B" w:rsidRDefault="003A132B" w:rsidP="003439CA">
            <w:pPr>
              <w:pStyle w:val="Tableheadings"/>
              <w:rPr>
                <w:lang w:val="en-US"/>
              </w:rPr>
            </w:pPr>
            <w:r>
              <w:rPr>
                <w:lang w:val="en-US"/>
              </w:rPr>
              <w:t>Importer name (contact person and company name)</w:t>
            </w:r>
            <w:r w:rsidRPr="00B21719">
              <w:rPr>
                <w:lang w:val="en-US"/>
              </w:rPr>
              <w:t>:</w:t>
            </w:r>
          </w:p>
        </w:tc>
        <w:tc>
          <w:tcPr>
            <w:tcW w:w="4764" w:type="dxa"/>
            <w:gridSpan w:val="3"/>
          </w:tcPr>
          <w:p w14:paraId="06961032" w14:textId="77777777" w:rsidR="003A132B" w:rsidRDefault="003A132B" w:rsidP="003439CA">
            <w:pPr>
              <w:rPr>
                <w:lang w:val="en-US"/>
              </w:rPr>
            </w:pPr>
          </w:p>
        </w:tc>
      </w:tr>
      <w:tr w:rsidR="00881AD1" w14:paraId="2FCF26D0" w14:textId="77777777" w:rsidTr="0043229A">
        <w:trPr>
          <w:cantSplit/>
          <w:tblHeader/>
        </w:trPr>
        <w:tc>
          <w:tcPr>
            <w:tcW w:w="4251" w:type="dxa"/>
            <w:tcBorders>
              <w:top w:val="single" w:sz="4" w:space="0" w:color="FFFFFF"/>
              <w:bottom w:val="single" w:sz="4" w:space="0" w:color="FFFFFF"/>
            </w:tcBorders>
            <w:shd w:val="clear" w:color="auto" w:fill="000000"/>
          </w:tcPr>
          <w:p w14:paraId="56DF5CB0" w14:textId="54461E8A" w:rsidR="00987401" w:rsidRDefault="00987401" w:rsidP="003439CA">
            <w:pPr>
              <w:pStyle w:val="Tableheadings"/>
              <w:rPr>
                <w:lang w:val="en-US"/>
              </w:rPr>
            </w:pPr>
            <w:r>
              <w:rPr>
                <w:lang w:val="en-US"/>
              </w:rPr>
              <w:t>Importer address</w:t>
            </w:r>
            <w:r w:rsidR="00800931">
              <w:rPr>
                <w:lang w:val="en-US"/>
              </w:rPr>
              <w:t>:</w:t>
            </w:r>
            <w:r>
              <w:rPr>
                <w:lang w:val="en-US"/>
              </w:rPr>
              <w:t xml:space="preserve"> </w:t>
            </w:r>
          </w:p>
          <w:p w14:paraId="51F3B3F0" w14:textId="210E70AC" w:rsidR="00987401" w:rsidRDefault="00336F75" w:rsidP="003439CA">
            <w:pPr>
              <w:pStyle w:val="Tableheadings"/>
              <w:rPr>
                <w:lang w:val="en-US"/>
              </w:rPr>
            </w:pPr>
            <w:r>
              <w:rPr>
                <w:lang w:val="en-US"/>
              </w:rPr>
              <w:t>E</w:t>
            </w:r>
            <w:r w:rsidR="00987401">
              <w:rPr>
                <w:lang w:val="en-US"/>
              </w:rPr>
              <w:t>mail</w:t>
            </w:r>
            <w:r>
              <w:rPr>
                <w:lang w:val="en-US"/>
              </w:rPr>
              <w:t xml:space="preserve"> address</w:t>
            </w:r>
            <w:r w:rsidR="00800931">
              <w:rPr>
                <w:lang w:val="en-US"/>
              </w:rPr>
              <w:t>:</w:t>
            </w:r>
          </w:p>
          <w:p w14:paraId="0D4ADC87" w14:textId="77777777" w:rsidR="00161CF3" w:rsidRPr="00B21719" w:rsidRDefault="00336F75" w:rsidP="003439CA">
            <w:pPr>
              <w:pStyle w:val="Tableheadings"/>
              <w:rPr>
                <w:lang w:val="en-US"/>
              </w:rPr>
            </w:pPr>
            <w:r>
              <w:rPr>
                <w:lang w:val="en-US"/>
              </w:rPr>
              <w:t>P</w:t>
            </w:r>
            <w:r w:rsidR="00987401">
              <w:rPr>
                <w:lang w:val="en-US"/>
              </w:rPr>
              <w:t>hone numbers</w:t>
            </w:r>
            <w:r w:rsidR="00161CF3">
              <w:rPr>
                <w:lang w:val="en-US"/>
              </w:rPr>
              <w:t>:</w:t>
            </w:r>
          </w:p>
        </w:tc>
        <w:tc>
          <w:tcPr>
            <w:tcW w:w="4764" w:type="dxa"/>
            <w:gridSpan w:val="3"/>
          </w:tcPr>
          <w:p w14:paraId="0BFACE75" w14:textId="77777777" w:rsidR="00161CF3" w:rsidRDefault="00161CF3" w:rsidP="003439CA">
            <w:pPr>
              <w:rPr>
                <w:lang w:val="en-US"/>
              </w:rPr>
            </w:pPr>
          </w:p>
        </w:tc>
      </w:tr>
      <w:tr w:rsidR="003A132B" w14:paraId="3604C5DF" w14:textId="77777777" w:rsidTr="0043229A">
        <w:trPr>
          <w:cantSplit/>
          <w:tblHeader/>
        </w:trPr>
        <w:tc>
          <w:tcPr>
            <w:tcW w:w="4251" w:type="dxa"/>
            <w:tcBorders>
              <w:top w:val="single" w:sz="4" w:space="0" w:color="FFFFFF"/>
              <w:bottom w:val="single" w:sz="4" w:space="0" w:color="FFFFFF"/>
            </w:tcBorders>
            <w:shd w:val="clear" w:color="auto" w:fill="000000"/>
          </w:tcPr>
          <w:p w14:paraId="3910B7E7" w14:textId="77777777" w:rsidR="003A132B" w:rsidRDefault="003A132B" w:rsidP="003439CA">
            <w:pPr>
              <w:pStyle w:val="Tableheadings"/>
              <w:rPr>
                <w:lang w:val="en-US"/>
              </w:rPr>
            </w:pPr>
            <w:r>
              <w:rPr>
                <w:lang w:val="en-US"/>
              </w:rPr>
              <w:t>Importer signature:</w:t>
            </w:r>
          </w:p>
        </w:tc>
        <w:tc>
          <w:tcPr>
            <w:tcW w:w="4764" w:type="dxa"/>
            <w:gridSpan w:val="3"/>
            <w:tcBorders>
              <w:bottom w:val="nil"/>
            </w:tcBorders>
          </w:tcPr>
          <w:p w14:paraId="516BF78D" w14:textId="77777777" w:rsidR="003A132B" w:rsidRDefault="003A132B" w:rsidP="003439CA">
            <w:pPr>
              <w:rPr>
                <w:lang w:val="en-US"/>
              </w:rPr>
            </w:pPr>
          </w:p>
        </w:tc>
      </w:tr>
      <w:tr w:rsidR="002110CC" w14:paraId="7D184713" w14:textId="77777777" w:rsidTr="00FD1810">
        <w:trPr>
          <w:cantSplit/>
          <w:trHeight w:val="340"/>
          <w:tblHeader/>
        </w:trPr>
        <w:tc>
          <w:tcPr>
            <w:tcW w:w="4251" w:type="dxa"/>
            <w:tcBorders>
              <w:top w:val="single" w:sz="4" w:space="0" w:color="FFFFFF"/>
              <w:bottom w:val="single" w:sz="4" w:space="0" w:color="FFFFFF"/>
              <w:right w:val="single" w:sz="4" w:space="0" w:color="auto"/>
            </w:tcBorders>
            <w:shd w:val="clear" w:color="auto" w:fill="000000"/>
          </w:tcPr>
          <w:p w14:paraId="1B4783AD" w14:textId="4C57DE02" w:rsidR="000F7A29" w:rsidRDefault="006A2F90" w:rsidP="0043229A">
            <w:pPr>
              <w:pStyle w:val="Tableheadings"/>
              <w:spacing w:before="0" w:after="0"/>
              <w:rPr>
                <w:lang w:val="en-US"/>
              </w:rPr>
            </w:pPr>
            <w:r>
              <w:rPr>
                <w:lang w:val="en-US"/>
              </w:rPr>
              <w:t>Requested date/s of import for the following calendar year</w:t>
            </w:r>
            <w:r w:rsidRPr="004C6841">
              <w:rPr>
                <w:lang w:val="en-US"/>
              </w:rPr>
              <w:t>:</w:t>
            </w:r>
          </w:p>
        </w:tc>
        <w:tc>
          <w:tcPr>
            <w:tcW w:w="1587" w:type="dxa"/>
            <w:tcBorders>
              <w:top w:val="single" w:sz="4" w:space="0" w:color="FFFFFF"/>
              <w:left w:val="single" w:sz="4" w:space="0" w:color="auto"/>
              <w:right w:val="single" w:sz="4" w:space="0" w:color="FFFFFF" w:themeColor="background1"/>
            </w:tcBorders>
            <w:shd w:val="clear" w:color="auto" w:fill="000000" w:themeFill="text1"/>
            <w:vAlign w:val="center"/>
          </w:tcPr>
          <w:p w14:paraId="21934E8E" w14:textId="56AD3F27" w:rsidR="000F7A29" w:rsidRPr="0043229A" w:rsidRDefault="000F7A29" w:rsidP="0043229A">
            <w:pPr>
              <w:pStyle w:val="Tableheadings"/>
              <w:spacing w:before="0" w:after="0"/>
              <w:jc w:val="center"/>
              <w:rPr>
                <w:sz w:val="20"/>
                <w:szCs w:val="20"/>
              </w:rPr>
            </w:pPr>
            <w:r w:rsidRPr="0043229A">
              <w:rPr>
                <w:sz w:val="20"/>
                <w:szCs w:val="20"/>
              </w:rPr>
              <w:t>Jan. intake</w:t>
            </w:r>
          </w:p>
        </w:tc>
        <w:tc>
          <w:tcPr>
            <w:tcW w:w="1587" w:type="dxa"/>
            <w:tcBorders>
              <w:top w:val="single" w:sz="4" w:space="0" w:color="FFFFFF"/>
              <w:left w:val="single" w:sz="4" w:space="0" w:color="FFFFFF" w:themeColor="background1"/>
              <w:right w:val="single" w:sz="4" w:space="0" w:color="FFFFFF" w:themeColor="background1"/>
            </w:tcBorders>
            <w:shd w:val="clear" w:color="auto" w:fill="000000" w:themeFill="text1"/>
            <w:vAlign w:val="center"/>
          </w:tcPr>
          <w:p w14:paraId="2B3954BC" w14:textId="42971B1D" w:rsidR="000F7A29" w:rsidRPr="0043229A" w:rsidRDefault="000F7A29" w:rsidP="0043229A">
            <w:pPr>
              <w:pStyle w:val="Tableheadings"/>
              <w:spacing w:before="0" w:after="0"/>
              <w:jc w:val="center"/>
              <w:rPr>
                <w:sz w:val="20"/>
                <w:szCs w:val="20"/>
              </w:rPr>
            </w:pPr>
            <w:r w:rsidRPr="0043229A">
              <w:rPr>
                <w:sz w:val="20"/>
                <w:szCs w:val="20"/>
              </w:rPr>
              <w:t>May intake</w:t>
            </w:r>
          </w:p>
        </w:tc>
        <w:tc>
          <w:tcPr>
            <w:tcW w:w="1590" w:type="dxa"/>
            <w:tcBorders>
              <w:top w:val="single" w:sz="4" w:space="0" w:color="FFFFFF"/>
              <w:left w:val="single" w:sz="4" w:space="0" w:color="FFFFFF" w:themeColor="background1"/>
            </w:tcBorders>
            <w:shd w:val="clear" w:color="auto" w:fill="000000" w:themeFill="text1"/>
            <w:vAlign w:val="center"/>
          </w:tcPr>
          <w:p w14:paraId="51747E26" w14:textId="1195DF3B" w:rsidR="000F7A29" w:rsidRPr="0043229A" w:rsidRDefault="000F7A29" w:rsidP="0043229A">
            <w:pPr>
              <w:pStyle w:val="Tableheadings"/>
              <w:spacing w:before="0" w:after="0"/>
              <w:jc w:val="center"/>
              <w:rPr>
                <w:sz w:val="20"/>
                <w:szCs w:val="20"/>
              </w:rPr>
            </w:pPr>
            <w:r w:rsidRPr="0043229A">
              <w:rPr>
                <w:sz w:val="20"/>
                <w:szCs w:val="20"/>
              </w:rPr>
              <w:t>Sept. intake</w:t>
            </w:r>
          </w:p>
        </w:tc>
      </w:tr>
      <w:tr w:rsidR="002110CC" w14:paraId="3B0F72C4" w14:textId="77777777" w:rsidTr="0043229A">
        <w:trPr>
          <w:cantSplit/>
          <w:trHeight w:val="680"/>
          <w:tblHeader/>
        </w:trPr>
        <w:tc>
          <w:tcPr>
            <w:tcW w:w="4251" w:type="dxa"/>
            <w:tcBorders>
              <w:top w:val="single" w:sz="4" w:space="0" w:color="000000"/>
              <w:bottom w:val="single" w:sz="4" w:space="0" w:color="000000"/>
            </w:tcBorders>
            <w:shd w:val="clear" w:color="auto" w:fill="000000"/>
          </w:tcPr>
          <w:p w14:paraId="5E0A199B" w14:textId="5F9C942E" w:rsidR="00881AD1" w:rsidRPr="00B21719" w:rsidRDefault="00881AD1" w:rsidP="003439CA">
            <w:pPr>
              <w:pStyle w:val="Tableheadings"/>
              <w:rPr>
                <w:lang w:val="en-US"/>
              </w:rPr>
            </w:pPr>
          </w:p>
        </w:tc>
        <w:tc>
          <w:tcPr>
            <w:tcW w:w="1587" w:type="dxa"/>
            <w:vAlign w:val="center"/>
          </w:tcPr>
          <w:p w14:paraId="44853643" w14:textId="074EADB9" w:rsidR="00881AD1" w:rsidRPr="00881AD1" w:rsidRDefault="00881AD1" w:rsidP="0043229A">
            <w:pPr>
              <w:jc w:val="center"/>
              <w:rPr>
                <w:color w:val="808080" w:themeColor="background1" w:themeShade="80"/>
                <w:lang w:val="en-US"/>
              </w:rPr>
            </w:pPr>
            <w:r w:rsidRPr="00881AD1">
              <w:rPr>
                <w:color w:val="808080" w:themeColor="background1" w:themeShade="80"/>
                <w:lang w:val="en-US"/>
              </w:rPr>
              <w:t>e.g.31/1/202</w:t>
            </w:r>
            <w:r w:rsidR="000C6A10">
              <w:rPr>
                <w:color w:val="808080" w:themeColor="background1" w:themeShade="80"/>
                <w:lang w:val="en-US"/>
              </w:rPr>
              <w:t>6</w:t>
            </w:r>
          </w:p>
        </w:tc>
        <w:tc>
          <w:tcPr>
            <w:tcW w:w="1587" w:type="dxa"/>
            <w:vAlign w:val="center"/>
          </w:tcPr>
          <w:p w14:paraId="457F71D8" w14:textId="77777777" w:rsidR="00881AD1" w:rsidRPr="00881AD1" w:rsidRDefault="00881AD1" w:rsidP="0043229A">
            <w:pPr>
              <w:jc w:val="center"/>
              <w:rPr>
                <w:color w:val="808080" w:themeColor="background1" w:themeShade="80"/>
                <w:lang w:val="en-US"/>
              </w:rPr>
            </w:pPr>
            <w:r w:rsidRPr="00881AD1">
              <w:rPr>
                <w:color w:val="808080" w:themeColor="background1" w:themeShade="80"/>
                <w:lang w:val="en-US"/>
              </w:rPr>
              <w:t>-</w:t>
            </w:r>
          </w:p>
        </w:tc>
        <w:tc>
          <w:tcPr>
            <w:tcW w:w="1590" w:type="dxa"/>
            <w:vAlign w:val="center"/>
          </w:tcPr>
          <w:p w14:paraId="453F4C93" w14:textId="5FCD0BB1" w:rsidR="00881AD1" w:rsidRPr="00881AD1" w:rsidRDefault="00881AD1" w:rsidP="0043229A">
            <w:pPr>
              <w:jc w:val="center"/>
              <w:rPr>
                <w:color w:val="808080" w:themeColor="background1" w:themeShade="80"/>
                <w:lang w:val="en-US"/>
              </w:rPr>
            </w:pPr>
            <w:r w:rsidRPr="00881AD1">
              <w:rPr>
                <w:color w:val="808080" w:themeColor="background1" w:themeShade="80"/>
                <w:lang w:val="en-US"/>
              </w:rPr>
              <w:t>14/9/20</w:t>
            </w:r>
            <w:r w:rsidR="00694DDB">
              <w:rPr>
                <w:color w:val="808080" w:themeColor="background1" w:themeShade="80"/>
                <w:lang w:val="en-US"/>
              </w:rPr>
              <w:t>2</w:t>
            </w:r>
            <w:r w:rsidR="000C6A10">
              <w:rPr>
                <w:color w:val="808080" w:themeColor="background1" w:themeShade="80"/>
                <w:lang w:val="en-US"/>
              </w:rPr>
              <w:t>6</w:t>
            </w:r>
          </w:p>
        </w:tc>
      </w:tr>
      <w:tr w:rsidR="002110CC" w14:paraId="7AC60A79" w14:textId="77777777" w:rsidTr="0043229A">
        <w:trPr>
          <w:cantSplit/>
          <w:trHeight w:val="680"/>
          <w:tblHeader/>
        </w:trPr>
        <w:tc>
          <w:tcPr>
            <w:tcW w:w="4251" w:type="dxa"/>
            <w:tcBorders>
              <w:top w:val="single" w:sz="4" w:space="0" w:color="000000"/>
              <w:bottom w:val="single" w:sz="4" w:space="0" w:color="FFFFFF"/>
            </w:tcBorders>
            <w:shd w:val="clear" w:color="auto" w:fill="000000" w:themeFill="text1"/>
          </w:tcPr>
          <w:p w14:paraId="4026FE27" w14:textId="77777777" w:rsidR="00202242" w:rsidRDefault="00202242" w:rsidP="003439CA">
            <w:pPr>
              <w:pStyle w:val="Tableheadings"/>
              <w:rPr>
                <w:lang w:val="en-US"/>
              </w:rPr>
            </w:pPr>
          </w:p>
        </w:tc>
        <w:tc>
          <w:tcPr>
            <w:tcW w:w="1587" w:type="dxa"/>
            <w:vAlign w:val="center"/>
          </w:tcPr>
          <w:p w14:paraId="32F0E8CC" w14:textId="77777777" w:rsidR="00202242" w:rsidRPr="00881AD1" w:rsidRDefault="00202242" w:rsidP="0043229A">
            <w:pPr>
              <w:jc w:val="center"/>
              <w:rPr>
                <w:color w:val="808080" w:themeColor="background1" w:themeShade="80"/>
                <w:lang w:val="en-US"/>
              </w:rPr>
            </w:pPr>
          </w:p>
        </w:tc>
        <w:tc>
          <w:tcPr>
            <w:tcW w:w="1587" w:type="dxa"/>
            <w:vAlign w:val="center"/>
          </w:tcPr>
          <w:p w14:paraId="5F1FB0A6" w14:textId="77777777" w:rsidR="00202242" w:rsidRPr="00881AD1" w:rsidRDefault="00202242" w:rsidP="0043229A">
            <w:pPr>
              <w:jc w:val="center"/>
              <w:rPr>
                <w:color w:val="808080" w:themeColor="background1" w:themeShade="80"/>
                <w:lang w:val="en-US"/>
              </w:rPr>
            </w:pPr>
          </w:p>
        </w:tc>
        <w:tc>
          <w:tcPr>
            <w:tcW w:w="1590" w:type="dxa"/>
            <w:vAlign w:val="center"/>
          </w:tcPr>
          <w:p w14:paraId="5DC8C8A3" w14:textId="77777777" w:rsidR="00202242" w:rsidRPr="00881AD1" w:rsidRDefault="00202242" w:rsidP="0043229A">
            <w:pPr>
              <w:jc w:val="center"/>
              <w:rPr>
                <w:color w:val="808080" w:themeColor="background1" w:themeShade="80"/>
                <w:lang w:val="en-US"/>
              </w:rPr>
            </w:pPr>
          </w:p>
        </w:tc>
      </w:tr>
      <w:tr w:rsidR="002110CC" w14:paraId="5E7F35D5" w14:textId="77777777" w:rsidTr="0043229A">
        <w:trPr>
          <w:cantSplit/>
          <w:trHeight w:val="680"/>
          <w:tblHeader/>
        </w:trPr>
        <w:tc>
          <w:tcPr>
            <w:tcW w:w="4251" w:type="dxa"/>
            <w:tcBorders>
              <w:top w:val="single" w:sz="4" w:space="0" w:color="FFFFFF"/>
              <w:bottom w:val="nil"/>
            </w:tcBorders>
            <w:shd w:val="clear" w:color="auto" w:fill="000000"/>
          </w:tcPr>
          <w:p w14:paraId="744C6A4B" w14:textId="77777777" w:rsidR="00881AD1" w:rsidRPr="004C6841" w:rsidRDefault="00881AD1" w:rsidP="003439CA">
            <w:pPr>
              <w:pStyle w:val="Tableheadings"/>
              <w:rPr>
                <w:lang w:val="en-US"/>
              </w:rPr>
            </w:pPr>
            <w:r>
              <w:rPr>
                <w:lang w:val="en-US"/>
              </w:rPr>
              <w:t>Requested number of units for each intake:</w:t>
            </w:r>
          </w:p>
        </w:tc>
        <w:tc>
          <w:tcPr>
            <w:tcW w:w="1587" w:type="dxa"/>
            <w:vAlign w:val="center"/>
          </w:tcPr>
          <w:p w14:paraId="3296B1D0" w14:textId="77777777" w:rsidR="00881AD1" w:rsidRPr="00881AD1" w:rsidRDefault="00881AD1" w:rsidP="0043229A">
            <w:pPr>
              <w:jc w:val="center"/>
              <w:rPr>
                <w:color w:val="808080" w:themeColor="background1" w:themeShade="80"/>
                <w:lang w:val="en-US"/>
              </w:rPr>
            </w:pPr>
            <w:r w:rsidRPr="00881AD1">
              <w:rPr>
                <w:color w:val="808080" w:themeColor="background1" w:themeShade="80"/>
                <w:lang w:val="en-US"/>
              </w:rPr>
              <w:t>e.g. 3</w:t>
            </w:r>
          </w:p>
        </w:tc>
        <w:tc>
          <w:tcPr>
            <w:tcW w:w="1587" w:type="dxa"/>
            <w:vAlign w:val="center"/>
          </w:tcPr>
          <w:p w14:paraId="5A30480F" w14:textId="77777777" w:rsidR="00881AD1" w:rsidRPr="00881AD1" w:rsidRDefault="00881AD1" w:rsidP="0043229A">
            <w:pPr>
              <w:jc w:val="center"/>
              <w:rPr>
                <w:color w:val="808080" w:themeColor="background1" w:themeShade="80"/>
                <w:lang w:val="en-US"/>
              </w:rPr>
            </w:pPr>
            <w:r w:rsidRPr="00881AD1">
              <w:rPr>
                <w:color w:val="808080" w:themeColor="background1" w:themeShade="80"/>
                <w:lang w:val="en-US"/>
              </w:rPr>
              <w:t>0</w:t>
            </w:r>
          </w:p>
        </w:tc>
        <w:tc>
          <w:tcPr>
            <w:tcW w:w="1590" w:type="dxa"/>
            <w:vAlign w:val="center"/>
          </w:tcPr>
          <w:p w14:paraId="09495CF1" w14:textId="77777777" w:rsidR="00881AD1" w:rsidRPr="00881AD1" w:rsidRDefault="00881AD1" w:rsidP="0043229A">
            <w:pPr>
              <w:jc w:val="center"/>
              <w:rPr>
                <w:color w:val="808080" w:themeColor="background1" w:themeShade="80"/>
                <w:lang w:val="en-US"/>
              </w:rPr>
            </w:pPr>
            <w:r w:rsidRPr="00881AD1">
              <w:rPr>
                <w:color w:val="808080" w:themeColor="background1" w:themeShade="80"/>
                <w:lang w:val="en-US"/>
              </w:rPr>
              <w:t>2</w:t>
            </w:r>
          </w:p>
        </w:tc>
      </w:tr>
      <w:tr w:rsidR="002110CC" w14:paraId="1B9B10BF" w14:textId="77777777" w:rsidTr="0043229A">
        <w:trPr>
          <w:cantSplit/>
          <w:trHeight w:val="680"/>
          <w:tblHeader/>
        </w:trPr>
        <w:tc>
          <w:tcPr>
            <w:tcW w:w="4251" w:type="dxa"/>
            <w:tcBorders>
              <w:top w:val="single" w:sz="4" w:space="0" w:color="FFFFFF"/>
              <w:bottom w:val="single" w:sz="4" w:space="0" w:color="FFFFFF"/>
            </w:tcBorders>
            <w:shd w:val="clear" w:color="auto" w:fill="000000"/>
          </w:tcPr>
          <w:p w14:paraId="02CB8753" w14:textId="6ACF6A5D" w:rsidR="00787432" w:rsidRDefault="00787432" w:rsidP="000F7A29">
            <w:pPr>
              <w:pStyle w:val="Tableheadings"/>
              <w:rPr>
                <w:lang w:val="en-US"/>
              </w:rPr>
            </w:pPr>
            <w:r>
              <w:rPr>
                <w:lang w:val="en-US"/>
              </w:rPr>
              <w:t>Species (e.g. commercial chicken/duck/</w:t>
            </w:r>
            <w:r w:rsidR="002110CC">
              <w:rPr>
                <w:lang w:val="en-US"/>
              </w:rPr>
              <w:t xml:space="preserve"> </w:t>
            </w:r>
            <w:r>
              <w:rPr>
                <w:lang w:val="en-US"/>
              </w:rPr>
              <w:t>turkey/fancy chicken/pigeon):</w:t>
            </w:r>
          </w:p>
        </w:tc>
        <w:tc>
          <w:tcPr>
            <w:tcW w:w="1587" w:type="dxa"/>
          </w:tcPr>
          <w:p w14:paraId="551321F7" w14:textId="77777777" w:rsidR="00787432" w:rsidRPr="00881AD1" w:rsidRDefault="00787432" w:rsidP="000F7A29">
            <w:pPr>
              <w:rPr>
                <w:color w:val="808080" w:themeColor="background1" w:themeShade="80"/>
                <w:lang w:val="en-US"/>
              </w:rPr>
            </w:pPr>
          </w:p>
        </w:tc>
        <w:tc>
          <w:tcPr>
            <w:tcW w:w="1587" w:type="dxa"/>
          </w:tcPr>
          <w:p w14:paraId="5A0AE984" w14:textId="77777777" w:rsidR="00787432" w:rsidRPr="00881AD1" w:rsidRDefault="00787432" w:rsidP="000F7A29">
            <w:pPr>
              <w:rPr>
                <w:color w:val="808080" w:themeColor="background1" w:themeShade="80"/>
                <w:lang w:val="en-US"/>
              </w:rPr>
            </w:pPr>
          </w:p>
        </w:tc>
        <w:tc>
          <w:tcPr>
            <w:tcW w:w="1590" w:type="dxa"/>
          </w:tcPr>
          <w:p w14:paraId="6FAD43F1" w14:textId="77777777" w:rsidR="00787432" w:rsidRPr="00881AD1" w:rsidRDefault="00787432" w:rsidP="000F7A29">
            <w:pPr>
              <w:rPr>
                <w:color w:val="808080" w:themeColor="background1" w:themeShade="80"/>
                <w:lang w:val="en-US"/>
              </w:rPr>
            </w:pPr>
          </w:p>
        </w:tc>
      </w:tr>
      <w:tr w:rsidR="002110CC" w14:paraId="287737F7" w14:textId="77777777" w:rsidTr="0043229A">
        <w:trPr>
          <w:cantSplit/>
          <w:trHeight w:val="680"/>
          <w:tblHeader/>
        </w:trPr>
        <w:tc>
          <w:tcPr>
            <w:tcW w:w="4251" w:type="dxa"/>
            <w:tcBorders>
              <w:top w:val="single" w:sz="4" w:space="0" w:color="FFFFFF"/>
              <w:bottom w:val="single" w:sz="4" w:space="0" w:color="FFFFFF"/>
            </w:tcBorders>
            <w:shd w:val="clear" w:color="auto" w:fill="000000"/>
          </w:tcPr>
          <w:p w14:paraId="60ADA23A" w14:textId="56D6D5FA" w:rsidR="000F7A29" w:rsidRDefault="000F7A29" w:rsidP="000F7A29">
            <w:pPr>
              <w:pStyle w:val="Tableheadings"/>
              <w:rPr>
                <w:lang w:val="en-US"/>
              </w:rPr>
            </w:pPr>
            <w:r>
              <w:rPr>
                <w:lang w:val="en-US"/>
              </w:rPr>
              <w:t>Proposed country/</w:t>
            </w:r>
            <w:proofErr w:type="spellStart"/>
            <w:r>
              <w:rPr>
                <w:lang w:val="en-US"/>
              </w:rPr>
              <w:t>ies</w:t>
            </w:r>
            <w:proofErr w:type="spellEnd"/>
            <w:r>
              <w:rPr>
                <w:lang w:val="en-US"/>
              </w:rPr>
              <w:t xml:space="preserve"> of export</w:t>
            </w:r>
            <w:r w:rsidRPr="004C6841">
              <w:rPr>
                <w:lang w:val="en-US"/>
              </w:rPr>
              <w:t>:</w:t>
            </w:r>
          </w:p>
        </w:tc>
        <w:tc>
          <w:tcPr>
            <w:tcW w:w="1587" w:type="dxa"/>
          </w:tcPr>
          <w:p w14:paraId="6BD9BAC9" w14:textId="77777777" w:rsidR="000F7A29" w:rsidRPr="00881AD1" w:rsidRDefault="000F7A29" w:rsidP="000F7A29">
            <w:pPr>
              <w:rPr>
                <w:color w:val="808080" w:themeColor="background1" w:themeShade="80"/>
                <w:lang w:val="en-US"/>
              </w:rPr>
            </w:pPr>
          </w:p>
        </w:tc>
        <w:tc>
          <w:tcPr>
            <w:tcW w:w="1587" w:type="dxa"/>
          </w:tcPr>
          <w:p w14:paraId="1ADFA845" w14:textId="77777777" w:rsidR="000F7A29" w:rsidRPr="00881AD1" w:rsidRDefault="000F7A29" w:rsidP="000F7A29">
            <w:pPr>
              <w:rPr>
                <w:color w:val="808080" w:themeColor="background1" w:themeShade="80"/>
                <w:lang w:val="en-US"/>
              </w:rPr>
            </w:pPr>
          </w:p>
        </w:tc>
        <w:tc>
          <w:tcPr>
            <w:tcW w:w="1590" w:type="dxa"/>
          </w:tcPr>
          <w:p w14:paraId="00357BEB" w14:textId="29F9B677" w:rsidR="000F7A29" w:rsidRPr="00881AD1" w:rsidRDefault="000F7A29" w:rsidP="000F7A29">
            <w:pPr>
              <w:rPr>
                <w:color w:val="808080" w:themeColor="background1" w:themeShade="80"/>
                <w:lang w:val="en-US"/>
              </w:rPr>
            </w:pPr>
          </w:p>
        </w:tc>
      </w:tr>
      <w:tr w:rsidR="00881AD1" w14:paraId="491AE941" w14:textId="77777777" w:rsidTr="0043229A">
        <w:trPr>
          <w:cantSplit/>
          <w:trHeight w:val="1632"/>
          <w:tblHeader/>
        </w:trPr>
        <w:tc>
          <w:tcPr>
            <w:tcW w:w="4251" w:type="dxa"/>
            <w:tcBorders>
              <w:top w:val="single" w:sz="4" w:space="0" w:color="FFFFFF"/>
              <w:bottom w:val="single" w:sz="4" w:space="0" w:color="FFFFFF"/>
            </w:tcBorders>
            <w:shd w:val="clear" w:color="auto" w:fill="000000"/>
          </w:tcPr>
          <w:p w14:paraId="514113A1" w14:textId="323058AA" w:rsidR="00336F75" w:rsidRDefault="00336F75" w:rsidP="003439CA">
            <w:pPr>
              <w:pStyle w:val="Tableheadings"/>
              <w:rPr>
                <w:lang w:val="en-US"/>
              </w:rPr>
            </w:pPr>
            <w:r>
              <w:rPr>
                <w:lang w:val="en-US"/>
              </w:rPr>
              <w:t>Priority considerations</w:t>
            </w:r>
            <w:r w:rsidR="002110CC">
              <w:rPr>
                <w:lang w:val="en-US"/>
              </w:rPr>
              <w:t>:</w:t>
            </w:r>
          </w:p>
          <w:p w14:paraId="489AECDE" w14:textId="77777777" w:rsidR="00336F75" w:rsidRPr="0043229A" w:rsidRDefault="00336F75" w:rsidP="0043229A">
            <w:pPr>
              <w:pStyle w:val="Tableheadings"/>
              <w:numPr>
                <w:ilvl w:val="0"/>
                <w:numId w:val="15"/>
              </w:numPr>
              <w:rPr>
                <w:i/>
                <w:iCs/>
                <w:sz w:val="18"/>
                <w:szCs w:val="18"/>
                <w:lang w:val="en-US"/>
              </w:rPr>
            </w:pPr>
            <w:r w:rsidRPr="0043229A">
              <w:rPr>
                <w:i/>
                <w:iCs/>
                <w:sz w:val="18"/>
                <w:szCs w:val="18"/>
                <w:lang w:val="en-US"/>
              </w:rPr>
              <w:t xml:space="preserve">e.g. dates are </w:t>
            </w:r>
            <w:proofErr w:type="gramStart"/>
            <w:r w:rsidRPr="0043229A">
              <w:rPr>
                <w:i/>
                <w:iCs/>
                <w:sz w:val="18"/>
                <w:szCs w:val="18"/>
                <w:lang w:val="en-US"/>
              </w:rPr>
              <w:t>firm</w:t>
            </w:r>
            <w:proofErr w:type="gramEnd"/>
          </w:p>
          <w:p w14:paraId="7A7DD145" w14:textId="77777777" w:rsidR="00336F75" w:rsidRPr="0043229A" w:rsidRDefault="00336F75" w:rsidP="0043229A">
            <w:pPr>
              <w:pStyle w:val="Tableheadings"/>
              <w:numPr>
                <w:ilvl w:val="0"/>
                <w:numId w:val="15"/>
              </w:numPr>
              <w:rPr>
                <w:i/>
                <w:iCs/>
                <w:sz w:val="18"/>
                <w:szCs w:val="18"/>
                <w:lang w:val="en-US"/>
              </w:rPr>
            </w:pPr>
            <w:r w:rsidRPr="0043229A">
              <w:rPr>
                <w:i/>
                <w:iCs/>
                <w:sz w:val="18"/>
                <w:szCs w:val="18"/>
                <w:lang w:val="en-US"/>
              </w:rPr>
              <w:t>dates are flexible +/- 2 weeks/</w:t>
            </w:r>
            <w:proofErr w:type="gramStart"/>
            <w:r w:rsidRPr="0043229A">
              <w:rPr>
                <w:i/>
                <w:iCs/>
                <w:sz w:val="18"/>
                <w:szCs w:val="18"/>
                <w:lang w:val="en-US"/>
              </w:rPr>
              <w:t>months</w:t>
            </w:r>
            <w:proofErr w:type="gramEnd"/>
          </w:p>
          <w:p w14:paraId="47D22EFD" w14:textId="77777777" w:rsidR="00161CF3" w:rsidRPr="004C6841" w:rsidRDefault="00336F75" w:rsidP="0043229A">
            <w:pPr>
              <w:pStyle w:val="Tableheadings"/>
              <w:numPr>
                <w:ilvl w:val="0"/>
                <w:numId w:val="15"/>
              </w:numPr>
              <w:rPr>
                <w:lang w:val="en-US"/>
              </w:rPr>
            </w:pPr>
            <w:r w:rsidRPr="0043229A">
              <w:rPr>
                <w:i/>
                <w:iCs/>
                <w:sz w:val="18"/>
                <w:szCs w:val="18"/>
                <w:lang w:val="en-US"/>
              </w:rPr>
              <w:t>number of units – prefer 3 but will take 2</w:t>
            </w:r>
          </w:p>
        </w:tc>
        <w:tc>
          <w:tcPr>
            <w:tcW w:w="4764" w:type="dxa"/>
            <w:gridSpan w:val="3"/>
            <w:tcBorders>
              <w:bottom w:val="nil"/>
            </w:tcBorders>
          </w:tcPr>
          <w:p w14:paraId="68B37EF8" w14:textId="0D38A2E7" w:rsidR="00881AD1" w:rsidRDefault="00881AD1" w:rsidP="003439CA">
            <w:pPr>
              <w:rPr>
                <w:lang w:val="en-US"/>
              </w:rPr>
            </w:pPr>
          </w:p>
        </w:tc>
      </w:tr>
      <w:tr w:rsidR="002110CC" w14:paraId="78CDE26B" w14:textId="77777777" w:rsidTr="0043229A">
        <w:trPr>
          <w:cantSplit/>
          <w:trHeight w:val="340"/>
          <w:tblHeader/>
        </w:trPr>
        <w:tc>
          <w:tcPr>
            <w:tcW w:w="4251" w:type="dxa"/>
            <w:tcBorders>
              <w:top w:val="single" w:sz="4" w:space="0" w:color="FFFFFF"/>
            </w:tcBorders>
            <w:shd w:val="clear" w:color="auto" w:fill="000000"/>
          </w:tcPr>
          <w:p w14:paraId="13B05680" w14:textId="35DE9FEC" w:rsidR="000F7A29" w:rsidRDefault="006A2F90" w:rsidP="0043229A">
            <w:pPr>
              <w:pStyle w:val="Tableheadings"/>
              <w:spacing w:before="0" w:after="0"/>
              <w:rPr>
                <w:lang w:val="en-US"/>
              </w:rPr>
            </w:pPr>
            <w:r>
              <w:rPr>
                <w:lang w:val="en-US"/>
              </w:rPr>
              <w:t>Expression of interest for import dates for the two years following the booking period</w:t>
            </w:r>
            <w:r w:rsidRPr="004C6841">
              <w:rPr>
                <w:lang w:val="en-US"/>
              </w:rPr>
              <w:t>:</w:t>
            </w:r>
          </w:p>
        </w:tc>
        <w:tc>
          <w:tcPr>
            <w:tcW w:w="1587" w:type="dxa"/>
            <w:tcBorders>
              <w:top w:val="single" w:sz="4" w:space="0" w:color="FFFFFF"/>
              <w:right w:val="single" w:sz="4" w:space="0" w:color="FFFFFF" w:themeColor="background1"/>
            </w:tcBorders>
            <w:shd w:val="clear" w:color="auto" w:fill="000000" w:themeFill="text1"/>
            <w:vAlign w:val="center"/>
          </w:tcPr>
          <w:p w14:paraId="6EF32D3C" w14:textId="741CE581" w:rsidR="000F7A29" w:rsidRPr="0043229A" w:rsidDel="000F7A29" w:rsidRDefault="000F7A29" w:rsidP="0043229A">
            <w:pPr>
              <w:pStyle w:val="Tableheadings"/>
              <w:spacing w:before="0" w:after="0"/>
              <w:jc w:val="center"/>
              <w:rPr>
                <w:sz w:val="20"/>
                <w:szCs w:val="20"/>
              </w:rPr>
            </w:pPr>
            <w:r w:rsidRPr="00231B43">
              <w:rPr>
                <w:sz w:val="20"/>
                <w:szCs w:val="20"/>
              </w:rPr>
              <w:t>Jan. intake</w:t>
            </w:r>
          </w:p>
        </w:tc>
        <w:tc>
          <w:tcPr>
            <w:tcW w:w="1587" w:type="dxa"/>
            <w:tcBorders>
              <w:top w:val="single" w:sz="4" w:space="0" w:color="FFFFFF"/>
              <w:left w:val="single" w:sz="4" w:space="0" w:color="FFFFFF" w:themeColor="background1"/>
              <w:right w:val="single" w:sz="4" w:space="0" w:color="FFFFFF" w:themeColor="background1"/>
            </w:tcBorders>
            <w:shd w:val="clear" w:color="auto" w:fill="000000" w:themeFill="text1"/>
            <w:vAlign w:val="center"/>
          </w:tcPr>
          <w:p w14:paraId="021B549B" w14:textId="139D6C25" w:rsidR="000F7A29" w:rsidRPr="0043229A" w:rsidRDefault="000F7A29" w:rsidP="0043229A">
            <w:pPr>
              <w:pStyle w:val="Tableheadings"/>
              <w:spacing w:before="0" w:after="0"/>
              <w:jc w:val="center"/>
              <w:rPr>
                <w:sz w:val="20"/>
                <w:szCs w:val="20"/>
              </w:rPr>
            </w:pPr>
            <w:r w:rsidRPr="00231B43">
              <w:rPr>
                <w:sz w:val="20"/>
                <w:szCs w:val="20"/>
              </w:rPr>
              <w:t>May intake</w:t>
            </w:r>
          </w:p>
        </w:tc>
        <w:tc>
          <w:tcPr>
            <w:tcW w:w="1587" w:type="dxa"/>
            <w:tcBorders>
              <w:top w:val="single" w:sz="4" w:space="0" w:color="FFFFFF"/>
              <w:left w:val="single" w:sz="4" w:space="0" w:color="FFFFFF" w:themeColor="background1"/>
            </w:tcBorders>
            <w:shd w:val="clear" w:color="auto" w:fill="000000" w:themeFill="text1"/>
            <w:vAlign w:val="center"/>
          </w:tcPr>
          <w:p w14:paraId="6D8970E2" w14:textId="194A78AC" w:rsidR="000F7A29" w:rsidRPr="0043229A" w:rsidDel="000F7A29" w:rsidRDefault="000F7A29" w:rsidP="0043229A">
            <w:pPr>
              <w:pStyle w:val="Tableheadings"/>
              <w:spacing w:before="0" w:after="0"/>
              <w:jc w:val="center"/>
              <w:rPr>
                <w:sz w:val="20"/>
                <w:szCs w:val="20"/>
              </w:rPr>
            </w:pPr>
            <w:r w:rsidRPr="00231B43">
              <w:rPr>
                <w:sz w:val="20"/>
                <w:szCs w:val="20"/>
              </w:rPr>
              <w:t>Sept. intake</w:t>
            </w:r>
          </w:p>
        </w:tc>
      </w:tr>
      <w:tr w:rsidR="00FD1810" w14:paraId="5DDFAA28" w14:textId="77777777" w:rsidTr="00FD1810">
        <w:trPr>
          <w:cantSplit/>
          <w:trHeight w:val="680"/>
          <w:tblHeader/>
        </w:trPr>
        <w:tc>
          <w:tcPr>
            <w:tcW w:w="4251" w:type="dxa"/>
            <w:vMerge w:val="restart"/>
            <w:tcBorders>
              <w:top w:val="single" w:sz="4" w:space="0" w:color="auto"/>
            </w:tcBorders>
            <w:shd w:val="clear" w:color="auto" w:fill="000000"/>
          </w:tcPr>
          <w:p w14:paraId="3ECBC5F3" w14:textId="430D31CB" w:rsidR="00881AD1" w:rsidRPr="0043229A" w:rsidRDefault="00FD1810" w:rsidP="0043229A">
            <w:pPr>
              <w:pStyle w:val="Tableheadings"/>
              <w:spacing w:before="240"/>
              <w:jc w:val="right"/>
              <w:rPr>
                <w:b w:val="0"/>
                <w:bCs/>
                <w:i/>
                <w:iCs/>
                <w:sz w:val="18"/>
                <w:szCs w:val="18"/>
                <w:lang w:val="en-US"/>
              </w:rPr>
            </w:pPr>
            <w:r w:rsidRPr="0043229A">
              <w:rPr>
                <w:b w:val="0"/>
                <w:bCs/>
                <w:i/>
                <w:iCs/>
                <w:sz w:val="18"/>
                <w:szCs w:val="18"/>
                <w:lang w:val="en-US"/>
              </w:rPr>
              <w:t>1</w:t>
            </w:r>
            <w:r w:rsidRPr="0043229A">
              <w:rPr>
                <w:b w:val="0"/>
                <w:bCs/>
                <w:i/>
                <w:iCs/>
                <w:sz w:val="18"/>
                <w:szCs w:val="18"/>
                <w:vertAlign w:val="superscript"/>
                <w:lang w:val="en-US"/>
              </w:rPr>
              <w:t>st</w:t>
            </w:r>
            <w:r w:rsidRPr="0043229A">
              <w:rPr>
                <w:b w:val="0"/>
                <w:bCs/>
                <w:i/>
                <w:iCs/>
                <w:sz w:val="18"/>
                <w:szCs w:val="18"/>
                <w:lang w:val="en-US"/>
              </w:rPr>
              <w:t xml:space="preserve"> </w:t>
            </w:r>
            <w:proofErr w:type="spellStart"/>
            <w:r w:rsidRPr="0043229A">
              <w:rPr>
                <w:b w:val="0"/>
                <w:bCs/>
                <w:i/>
                <w:iCs/>
                <w:sz w:val="18"/>
                <w:szCs w:val="18"/>
                <w:lang w:val="en-US"/>
              </w:rPr>
              <w:t>yr</w:t>
            </w:r>
            <w:proofErr w:type="spellEnd"/>
          </w:p>
          <w:p w14:paraId="4962D778" w14:textId="77777777" w:rsidR="00FD1810" w:rsidRPr="0043229A" w:rsidRDefault="00FD1810" w:rsidP="00FD1810">
            <w:pPr>
              <w:pStyle w:val="Tableheadings"/>
              <w:jc w:val="right"/>
              <w:rPr>
                <w:b w:val="0"/>
                <w:bCs/>
                <w:i/>
                <w:iCs/>
                <w:sz w:val="18"/>
                <w:szCs w:val="18"/>
                <w:lang w:val="en-US"/>
              </w:rPr>
            </w:pPr>
          </w:p>
          <w:p w14:paraId="28733171" w14:textId="604DBAED" w:rsidR="00FD1810" w:rsidRPr="0043229A" w:rsidRDefault="00FD1810" w:rsidP="0043229A">
            <w:pPr>
              <w:pStyle w:val="Tableheadings"/>
              <w:jc w:val="right"/>
              <w:rPr>
                <w:b w:val="0"/>
                <w:bCs/>
                <w:sz w:val="18"/>
                <w:szCs w:val="18"/>
                <w:lang w:val="en-US"/>
              </w:rPr>
            </w:pPr>
            <w:r w:rsidRPr="0043229A">
              <w:rPr>
                <w:b w:val="0"/>
                <w:bCs/>
                <w:i/>
                <w:iCs/>
                <w:sz w:val="18"/>
                <w:szCs w:val="18"/>
                <w:lang w:val="en-US"/>
              </w:rPr>
              <w:t>2</w:t>
            </w:r>
            <w:r w:rsidRPr="0043229A">
              <w:rPr>
                <w:b w:val="0"/>
                <w:bCs/>
                <w:i/>
                <w:iCs/>
                <w:sz w:val="18"/>
                <w:szCs w:val="18"/>
                <w:vertAlign w:val="superscript"/>
                <w:lang w:val="en-US"/>
              </w:rPr>
              <w:t>nd</w:t>
            </w:r>
            <w:r w:rsidRPr="0043229A">
              <w:rPr>
                <w:b w:val="0"/>
                <w:bCs/>
                <w:i/>
                <w:iCs/>
                <w:sz w:val="18"/>
                <w:szCs w:val="18"/>
                <w:lang w:val="en-US"/>
              </w:rPr>
              <w:t xml:space="preserve"> </w:t>
            </w:r>
            <w:proofErr w:type="spellStart"/>
            <w:r w:rsidRPr="0043229A">
              <w:rPr>
                <w:b w:val="0"/>
                <w:bCs/>
                <w:i/>
                <w:iCs/>
                <w:sz w:val="18"/>
                <w:szCs w:val="18"/>
                <w:lang w:val="en-US"/>
              </w:rPr>
              <w:t>yr</w:t>
            </w:r>
            <w:proofErr w:type="spellEnd"/>
          </w:p>
        </w:tc>
        <w:tc>
          <w:tcPr>
            <w:tcW w:w="1587" w:type="dxa"/>
          </w:tcPr>
          <w:p w14:paraId="663C72D2" w14:textId="59FD7B01" w:rsidR="00881AD1" w:rsidRPr="00881AD1" w:rsidRDefault="00881AD1" w:rsidP="003439CA">
            <w:pPr>
              <w:rPr>
                <w:color w:val="808080" w:themeColor="background1" w:themeShade="80"/>
                <w:lang w:val="en-US"/>
              </w:rPr>
            </w:pPr>
          </w:p>
        </w:tc>
        <w:tc>
          <w:tcPr>
            <w:tcW w:w="1587" w:type="dxa"/>
          </w:tcPr>
          <w:p w14:paraId="380DDA06" w14:textId="6C64BFAF" w:rsidR="00881AD1" w:rsidRPr="00881AD1" w:rsidRDefault="00881AD1" w:rsidP="003439CA">
            <w:pPr>
              <w:rPr>
                <w:color w:val="808080" w:themeColor="background1" w:themeShade="80"/>
                <w:lang w:val="en-US"/>
              </w:rPr>
            </w:pPr>
          </w:p>
        </w:tc>
        <w:tc>
          <w:tcPr>
            <w:tcW w:w="1587" w:type="dxa"/>
          </w:tcPr>
          <w:p w14:paraId="0671FC10" w14:textId="468A80CC" w:rsidR="00881AD1" w:rsidRPr="00881AD1" w:rsidRDefault="00881AD1" w:rsidP="003439CA">
            <w:pPr>
              <w:rPr>
                <w:color w:val="808080" w:themeColor="background1" w:themeShade="80"/>
                <w:lang w:val="en-US"/>
              </w:rPr>
            </w:pPr>
          </w:p>
        </w:tc>
      </w:tr>
      <w:tr w:rsidR="00881AD1" w14:paraId="07102F61" w14:textId="77777777" w:rsidTr="0043229A">
        <w:trPr>
          <w:cantSplit/>
          <w:trHeight w:val="680"/>
          <w:tblHeader/>
        </w:trPr>
        <w:tc>
          <w:tcPr>
            <w:tcW w:w="4251" w:type="dxa"/>
            <w:vMerge/>
            <w:tcBorders>
              <w:bottom w:val="single" w:sz="4" w:space="0" w:color="FFFFFF"/>
            </w:tcBorders>
            <w:shd w:val="clear" w:color="auto" w:fill="000000"/>
          </w:tcPr>
          <w:p w14:paraId="688FB125" w14:textId="77777777" w:rsidR="00881AD1" w:rsidRDefault="00881AD1" w:rsidP="003439CA">
            <w:pPr>
              <w:pStyle w:val="Tableheadings"/>
              <w:rPr>
                <w:lang w:val="en-US"/>
              </w:rPr>
            </w:pPr>
          </w:p>
        </w:tc>
        <w:tc>
          <w:tcPr>
            <w:tcW w:w="1587" w:type="dxa"/>
          </w:tcPr>
          <w:p w14:paraId="6B8BD8DE" w14:textId="104E0CFC" w:rsidR="00881AD1" w:rsidRPr="00881AD1" w:rsidRDefault="00881AD1" w:rsidP="003439CA">
            <w:pPr>
              <w:rPr>
                <w:color w:val="808080" w:themeColor="background1" w:themeShade="80"/>
                <w:lang w:val="en-US"/>
              </w:rPr>
            </w:pPr>
          </w:p>
        </w:tc>
        <w:tc>
          <w:tcPr>
            <w:tcW w:w="1587" w:type="dxa"/>
          </w:tcPr>
          <w:p w14:paraId="6F0BA339" w14:textId="1D54E1DC" w:rsidR="00881AD1" w:rsidRPr="00881AD1" w:rsidRDefault="00881AD1" w:rsidP="003439CA">
            <w:pPr>
              <w:rPr>
                <w:color w:val="808080" w:themeColor="background1" w:themeShade="80"/>
                <w:lang w:val="en-US"/>
              </w:rPr>
            </w:pPr>
          </w:p>
        </w:tc>
        <w:tc>
          <w:tcPr>
            <w:tcW w:w="1587" w:type="dxa"/>
          </w:tcPr>
          <w:p w14:paraId="2C81B52C" w14:textId="572990EF" w:rsidR="00881AD1" w:rsidRPr="00881AD1" w:rsidRDefault="00881AD1" w:rsidP="003439CA">
            <w:pPr>
              <w:rPr>
                <w:color w:val="808080" w:themeColor="background1" w:themeShade="80"/>
                <w:lang w:val="en-US"/>
              </w:rPr>
            </w:pPr>
          </w:p>
        </w:tc>
      </w:tr>
      <w:tr w:rsidR="00881AD1" w14:paraId="43F9FEFC" w14:textId="77777777" w:rsidTr="0043229A">
        <w:trPr>
          <w:cantSplit/>
          <w:trHeight w:val="1134"/>
          <w:tblHeader/>
        </w:trPr>
        <w:tc>
          <w:tcPr>
            <w:tcW w:w="4251" w:type="dxa"/>
            <w:tcBorders>
              <w:top w:val="single" w:sz="4" w:space="0" w:color="FFFFFF"/>
              <w:bottom w:val="single" w:sz="4" w:space="0" w:color="FFFFFF"/>
            </w:tcBorders>
            <w:shd w:val="clear" w:color="auto" w:fill="000000"/>
          </w:tcPr>
          <w:p w14:paraId="12F66047" w14:textId="77777777" w:rsidR="00161CF3" w:rsidRDefault="00881AD1" w:rsidP="003439CA">
            <w:pPr>
              <w:pStyle w:val="Tableheadings"/>
              <w:rPr>
                <w:lang w:val="en-US"/>
              </w:rPr>
            </w:pPr>
            <w:r>
              <w:rPr>
                <w:lang w:val="en-US"/>
              </w:rPr>
              <w:t>Special requests</w:t>
            </w:r>
            <w:r w:rsidR="00161CF3" w:rsidRPr="004C6841">
              <w:rPr>
                <w:lang w:val="en-US"/>
              </w:rPr>
              <w:t>:</w:t>
            </w:r>
          </w:p>
          <w:p w14:paraId="10D83493" w14:textId="77777777" w:rsidR="00881AD1" w:rsidRPr="004C6841" w:rsidRDefault="00881AD1" w:rsidP="003439CA">
            <w:pPr>
              <w:pStyle w:val="Tableheadings"/>
              <w:rPr>
                <w:lang w:val="en-US"/>
              </w:rPr>
            </w:pPr>
          </w:p>
        </w:tc>
        <w:tc>
          <w:tcPr>
            <w:tcW w:w="4764" w:type="dxa"/>
            <w:gridSpan w:val="3"/>
          </w:tcPr>
          <w:p w14:paraId="5165A865" w14:textId="77777777" w:rsidR="00161CF3" w:rsidRDefault="00161CF3" w:rsidP="003439CA">
            <w:pPr>
              <w:rPr>
                <w:lang w:val="en-US"/>
              </w:rPr>
            </w:pPr>
          </w:p>
        </w:tc>
      </w:tr>
      <w:tr w:rsidR="00881AD1" w14:paraId="25A26341" w14:textId="77777777" w:rsidTr="0043229A">
        <w:trPr>
          <w:cantSplit/>
          <w:trHeight w:val="1191"/>
          <w:tblHeader/>
        </w:trPr>
        <w:tc>
          <w:tcPr>
            <w:tcW w:w="4251" w:type="dxa"/>
            <w:tcBorders>
              <w:top w:val="single" w:sz="4" w:space="0" w:color="FFFFFF"/>
              <w:bottom w:val="single" w:sz="4" w:space="0" w:color="FFFFFF"/>
            </w:tcBorders>
            <w:shd w:val="clear" w:color="auto" w:fill="000000"/>
          </w:tcPr>
          <w:p w14:paraId="68B7F0A5" w14:textId="4EF7CC26" w:rsidR="00161CF3" w:rsidRPr="004C6841" w:rsidRDefault="00881AD1" w:rsidP="003439CA">
            <w:pPr>
              <w:pStyle w:val="Tableheadings"/>
              <w:rPr>
                <w:lang w:val="en-US"/>
              </w:rPr>
            </w:pPr>
            <w:r>
              <w:rPr>
                <w:lang w:val="en-US"/>
              </w:rPr>
              <w:t>Contingency arrangements e.g. possible swaps with other companies/</w:t>
            </w:r>
            <w:r w:rsidR="002110CC">
              <w:rPr>
                <w:lang w:val="en-US"/>
              </w:rPr>
              <w:t xml:space="preserve"> </w:t>
            </w:r>
            <w:r>
              <w:rPr>
                <w:lang w:val="en-US"/>
              </w:rPr>
              <w:t>consignments</w:t>
            </w:r>
            <w:r w:rsidR="00161CF3" w:rsidRPr="004C6841">
              <w:rPr>
                <w:lang w:val="en-US"/>
              </w:rPr>
              <w:t>:</w:t>
            </w:r>
          </w:p>
        </w:tc>
        <w:tc>
          <w:tcPr>
            <w:tcW w:w="4764" w:type="dxa"/>
            <w:gridSpan w:val="3"/>
          </w:tcPr>
          <w:p w14:paraId="7397E7BE" w14:textId="77777777" w:rsidR="00161CF3" w:rsidRDefault="00161CF3" w:rsidP="003439CA">
            <w:pPr>
              <w:rPr>
                <w:lang w:val="en-US"/>
              </w:rPr>
            </w:pPr>
          </w:p>
        </w:tc>
      </w:tr>
      <w:tr w:rsidR="00881AD1" w14:paraId="74E928A8" w14:textId="77777777" w:rsidTr="0043229A">
        <w:trPr>
          <w:cantSplit/>
          <w:tblHeader/>
        </w:trPr>
        <w:tc>
          <w:tcPr>
            <w:tcW w:w="4251" w:type="dxa"/>
            <w:tcBorders>
              <w:top w:val="single" w:sz="4" w:space="0" w:color="FFFFFF"/>
            </w:tcBorders>
            <w:shd w:val="clear" w:color="auto" w:fill="000000"/>
          </w:tcPr>
          <w:p w14:paraId="61C67892" w14:textId="6C7787D2" w:rsidR="00161CF3" w:rsidRPr="004C6841" w:rsidRDefault="005A6263" w:rsidP="003439CA">
            <w:pPr>
              <w:pStyle w:val="Tableheadings"/>
              <w:rPr>
                <w:lang w:val="en-US"/>
              </w:rPr>
            </w:pPr>
            <w:r>
              <w:rPr>
                <w:lang w:val="en-US"/>
              </w:rPr>
              <w:t>Reservation charge</w:t>
            </w:r>
            <w:r w:rsidR="003A132B">
              <w:rPr>
                <w:lang w:val="en-US"/>
              </w:rPr>
              <w:t xml:space="preserve"> has been paid (Y/N) or will be paid on date</w:t>
            </w:r>
            <w:r w:rsidR="00161CF3" w:rsidRPr="004C6841">
              <w:rPr>
                <w:lang w:val="en-US"/>
              </w:rPr>
              <w:t>:</w:t>
            </w:r>
          </w:p>
        </w:tc>
        <w:tc>
          <w:tcPr>
            <w:tcW w:w="4764" w:type="dxa"/>
            <w:gridSpan w:val="3"/>
          </w:tcPr>
          <w:p w14:paraId="762141E0" w14:textId="40A27BD9" w:rsidR="003A132B" w:rsidRDefault="003A132B" w:rsidP="003A132B">
            <w:pPr>
              <w:rPr>
                <w:lang w:val="en-US"/>
              </w:rPr>
            </w:pPr>
          </w:p>
        </w:tc>
      </w:tr>
    </w:tbl>
    <w:p w14:paraId="64FEB5CA" w14:textId="77777777" w:rsidR="00161CF3" w:rsidRDefault="008D69BA" w:rsidP="00161CF3">
      <w:pPr>
        <w:spacing w:before="0" w:after="0"/>
      </w:pPr>
      <w:r>
        <w:rPr>
          <w:b/>
          <w:sz w:val="32"/>
          <w:szCs w:val="32"/>
          <w:highlight w:val="yellow"/>
        </w:rPr>
        <w:br w:type="page"/>
      </w:r>
    </w:p>
    <w:p w14:paraId="49BF98FC" w14:textId="77777777" w:rsidR="008907F2" w:rsidRPr="00177A6B" w:rsidRDefault="008907F2" w:rsidP="00177A6B">
      <w:pPr>
        <w:pStyle w:val="BodyText"/>
      </w:pPr>
    </w:p>
    <w:p w14:paraId="1A90E458" w14:textId="77777777" w:rsidR="00161CF3" w:rsidRDefault="00161CF3" w:rsidP="00161CF3">
      <w:pPr>
        <w:pStyle w:val="Heading2"/>
      </w:pPr>
      <w:r>
        <w:t>Privacy notice</w:t>
      </w:r>
    </w:p>
    <w:p w14:paraId="4394D544" w14:textId="77777777" w:rsidR="00161CF3" w:rsidRDefault="00161CF3" w:rsidP="00AC123A">
      <w:pPr>
        <w:pStyle w:val="BodyText"/>
      </w:pPr>
      <w:r>
        <w:t xml:space="preserve">‘Personal information’ means information or an opinion about an identified individual, or an individual who is reasonably identifiable. </w:t>
      </w:r>
      <w:r w:rsidR="007A34FD">
        <w:t>Personal information</w:t>
      </w:r>
      <w:r>
        <w:t xml:space="preserve"> that is collected under or in accordance with the </w:t>
      </w:r>
      <w:r w:rsidRPr="007A34FD">
        <w:rPr>
          <w:i/>
        </w:rPr>
        <w:t>Biosecurity Act 2015</w:t>
      </w:r>
      <w:r>
        <w:t xml:space="preserve"> is also ‘protected information’ under the </w:t>
      </w:r>
      <w:r w:rsidRPr="007A34FD">
        <w:rPr>
          <w:i/>
        </w:rPr>
        <w:t>Biosecurity Act 2015</w:t>
      </w:r>
      <w:r>
        <w:t>.</w:t>
      </w:r>
    </w:p>
    <w:p w14:paraId="3FC66E9D" w14:textId="38C3EE20" w:rsidR="00AC123A" w:rsidRDefault="00161CF3" w:rsidP="00AC123A">
      <w:pPr>
        <w:pStyle w:val="BodyText"/>
      </w:pPr>
      <w:r>
        <w:t>The collection of ‘protected information’ including personal and sensitive information by the Department of Agric</w:t>
      </w:r>
      <w:r w:rsidR="007A34FD">
        <w:t>ulture</w:t>
      </w:r>
      <w:r w:rsidR="0036660E">
        <w:t xml:space="preserve">, </w:t>
      </w:r>
      <w:r w:rsidR="00125936">
        <w:t>Fisheries and Forestry</w:t>
      </w:r>
      <w:r w:rsidR="007A34FD">
        <w:t xml:space="preserve"> (the </w:t>
      </w:r>
      <w:r>
        <w:t xml:space="preserve">department) in relation to this form is being collected under the </w:t>
      </w:r>
      <w:r w:rsidRPr="007A34FD">
        <w:rPr>
          <w:i/>
        </w:rPr>
        <w:t xml:space="preserve">Biosecurity Act 2015 </w:t>
      </w:r>
      <w:r>
        <w:t xml:space="preserve">for the purposes of </w:t>
      </w:r>
      <w:r w:rsidR="0036660E">
        <w:t xml:space="preserve">maintaining the booking schedule for the Mickleham PEQ avian compound </w:t>
      </w:r>
      <w:r>
        <w:t>and related purposes. If the relevant personal information requested in this f</w:t>
      </w:r>
      <w:r w:rsidR="007A34FD">
        <w:t>orm is not provided by you, the </w:t>
      </w:r>
      <w:r>
        <w:t xml:space="preserve">department may be unable to provide </w:t>
      </w:r>
      <w:r w:rsidR="0036660E">
        <w:t>a booking</w:t>
      </w:r>
      <w:r>
        <w:t xml:space="preserve"> for your impor</w:t>
      </w:r>
      <w:r w:rsidR="007A34FD">
        <w:t>t. Information collected by the </w:t>
      </w:r>
      <w:r>
        <w:t xml:space="preserve">department will only be used or disclosed as authorised under the </w:t>
      </w:r>
      <w:r w:rsidRPr="007A34FD">
        <w:rPr>
          <w:i/>
        </w:rPr>
        <w:t>Biosecurity Act 2015</w:t>
      </w:r>
      <w:r>
        <w:t>.</w:t>
      </w:r>
    </w:p>
    <w:p w14:paraId="3A8E5FDE" w14:textId="77777777" w:rsidR="00161CF3" w:rsidRPr="005472D0" w:rsidRDefault="00161CF3" w:rsidP="00AC123A">
      <w:pPr>
        <w:pStyle w:val="BodyText"/>
      </w:pPr>
      <w:r w:rsidRPr="005472D0">
        <w:rPr>
          <w:szCs w:val="22"/>
        </w:rPr>
        <w:t xml:space="preserve">The personal information requested on this form may be disclosed to the police or other commonwealth agencies. It will not usually be disclosed overseas. In every case it will only be disclosed if authorised by the </w:t>
      </w:r>
      <w:r w:rsidRPr="005472D0">
        <w:rPr>
          <w:i/>
          <w:szCs w:val="22"/>
        </w:rPr>
        <w:t>Biosecurity Act 2015</w:t>
      </w:r>
      <w:r w:rsidRPr="005472D0">
        <w:rPr>
          <w:szCs w:val="22"/>
        </w:rPr>
        <w:t>.</w:t>
      </w:r>
    </w:p>
    <w:p w14:paraId="47DBC5A1" w14:textId="5E24228F" w:rsidR="00161CF3" w:rsidRPr="005472D0" w:rsidRDefault="0036660E" w:rsidP="008907F2">
      <w:pPr>
        <w:pStyle w:val="BodyText"/>
        <w:rPr>
          <w:szCs w:val="22"/>
        </w:rPr>
      </w:pPr>
      <w:r w:rsidRPr="005472D0">
        <w:rPr>
          <w:szCs w:val="22"/>
        </w:rPr>
        <w:t xml:space="preserve">See our </w:t>
      </w:r>
      <w:bookmarkStart w:id="1" w:name="_Hlk59192005"/>
      <w:r w:rsidRPr="005472D0">
        <w:rPr>
          <w:rStyle w:val="Hyperlink"/>
          <w:lang w:val="en-US"/>
        </w:rPr>
        <w:fldChar w:fldCharType="begin"/>
      </w:r>
      <w:r w:rsidR="00773CF0">
        <w:rPr>
          <w:rStyle w:val="Hyperlink"/>
          <w:lang w:val="en-US"/>
        </w:rPr>
        <w:instrText>HYPERLINK "https://www.agriculture.gov.au/about/commitment/privacy"</w:instrText>
      </w:r>
      <w:r w:rsidRPr="005472D0">
        <w:rPr>
          <w:rStyle w:val="Hyperlink"/>
          <w:lang w:val="en-US"/>
        </w:rPr>
      </w:r>
      <w:r w:rsidRPr="005472D0">
        <w:rPr>
          <w:rStyle w:val="Hyperlink"/>
          <w:lang w:val="en-US"/>
        </w:rPr>
        <w:fldChar w:fldCharType="separate"/>
      </w:r>
      <w:r w:rsidRPr="005472D0">
        <w:rPr>
          <w:rStyle w:val="Hyperlink"/>
          <w:lang w:val="en-US"/>
        </w:rPr>
        <w:t>Privacy Policy</w:t>
      </w:r>
      <w:r w:rsidRPr="005472D0">
        <w:rPr>
          <w:rStyle w:val="Hyperlink"/>
          <w:lang w:val="en-US"/>
        </w:rPr>
        <w:fldChar w:fldCharType="end"/>
      </w:r>
      <w:bookmarkEnd w:id="1"/>
      <w:r w:rsidR="005472D0" w:rsidRPr="005472D0">
        <w:rPr>
          <w:szCs w:val="22"/>
        </w:rPr>
        <w:t xml:space="preserve"> </w:t>
      </w:r>
      <w:r w:rsidRPr="005472D0">
        <w:rPr>
          <w:szCs w:val="22"/>
        </w:rPr>
        <w:t>to learn more about accessing or correcting personal information or making a complaint.</w:t>
      </w:r>
      <w:r w:rsidR="00695A1D" w:rsidRPr="005472D0">
        <w:rPr>
          <w:szCs w:val="22"/>
        </w:rPr>
        <w:t xml:space="preserve"> </w:t>
      </w:r>
      <w:r w:rsidR="00161CF3" w:rsidRPr="005472D0">
        <w:rPr>
          <w:szCs w:val="22"/>
        </w:rPr>
        <w:t>Alternatively, telephone the department on +61 2 6272 3933.</w:t>
      </w:r>
      <w:bookmarkEnd w:id="0"/>
    </w:p>
    <w:sectPr w:rsidR="00161CF3" w:rsidRPr="005472D0" w:rsidSect="00787432">
      <w:headerReference w:type="default" r:id="rId11"/>
      <w:footerReference w:type="default" r:id="rId12"/>
      <w:headerReference w:type="first" r:id="rId13"/>
      <w:footerReference w:type="first" r:id="rId14"/>
      <w:pgSz w:w="11906" w:h="16838"/>
      <w:pgMar w:top="922" w:right="1440" w:bottom="1440" w:left="1440" w:header="426"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8FEF" w14:textId="77777777" w:rsidR="00567CE4" w:rsidRDefault="00567CE4">
      <w:pPr>
        <w:spacing w:after="0"/>
      </w:pPr>
      <w:r>
        <w:separator/>
      </w:r>
    </w:p>
    <w:p w14:paraId="21E67B0C" w14:textId="77777777" w:rsidR="00567CE4" w:rsidRDefault="00567CE4"/>
  </w:endnote>
  <w:endnote w:type="continuationSeparator" w:id="0">
    <w:p w14:paraId="270FBFDE" w14:textId="77777777" w:rsidR="00567CE4" w:rsidRDefault="00567CE4">
      <w:pPr>
        <w:spacing w:after="0"/>
      </w:pPr>
      <w:r>
        <w:continuationSeparator/>
      </w:r>
    </w:p>
    <w:p w14:paraId="2240623F" w14:textId="77777777" w:rsidR="00567CE4" w:rsidRDefault="00567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7E41" w14:textId="70AA12DD" w:rsidR="007273C2" w:rsidRDefault="00881AD1">
    <w:pPr>
      <w:pStyle w:val="Footer"/>
      <w:tabs>
        <w:tab w:val="clear" w:pos="4513"/>
        <w:tab w:val="clear" w:pos="9026"/>
        <w:tab w:val="right" w:pos="9356"/>
      </w:tabs>
      <w:ind w:left="-567" w:right="-330"/>
      <w:rPr>
        <w:i/>
        <w:sz w:val="18"/>
      </w:rPr>
    </w:pPr>
    <w:r>
      <w:rPr>
        <w:i/>
        <w:sz w:val="18"/>
      </w:rPr>
      <w:t>Application for booking at PEQ – Avian compound</w:t>
    </w:r>
    <w:r w:rsidR="007273C2">
      <w:rPr>
        <w:i/>
        <w:sz w:val="18"/>
      </w:rPr>
      <w:tab/>
    </w:r>
    <w:r w:rsidR="007273C2">
      <w:rPr>
        <w:sz w:val="18"/>
      </w:rPr>
      <w:t xml:space="preserve">Version no.: </w:t>
    </w:r>
    <w:sdt>
      <w:sdtPr>
        <w:rPr>
          <w:sz w:val="18"/>
        </w:rPr>
        <w:alias w:val="Revision Number"/>
        <w:tag w:val="RevisionNumber"/>
        <w:id w:val="66237798"/>
        <w:placeholder>
          <w:docPart w:val="EA638123B6B944F0ADA52BBF62093744"/>
        </w:placeholder>
        <w:text/>
      </w:sdtPr>
      <w:sdtEndPr/>
      <w:sdtContent>
        <w:r w:rsidR="000F7A29">
          <w:rPr>
            <w:sz w:val="18"/>
          </w:rPr>
          <w:t>4</w:t>
        </w:r>
      </w:sdtContent>
    </w:sdt>
  </w:p>
  <w:p w14:paraId="765276B3" w14:textId="64AC975E" w:rsidR="007273C2" w:rsidRDefault="006B66E7" w:rsidP="00F94330">
    <w:pPr>
      <w:pStyle w:val="Footer"/>
      <w:tabs>
        <w:tab w:val="clear" w:pos="9026"/>
        <w:tab w:val="left" w:pos="1659"/>
        <w:tab w:val="right" w:pos="9356"/>
      </w:tabs>
      <w:ind w:left="-567" w:right="-330"/>
    </w:pPr>
    <w:r>
      <w:rPr>
        <w:sz w:val="18"/>
      </w:rPr>
      <w:t xml:space="preserve">Published: </w:t>
    </w:r>
    <w:r w:rsidR="000F7A29">
      <w:rPr>
        <w:sz w:val="18"/>
      </w:rPr>
      <w:t>May 2024</w:t>
    </w:r>
    <w:r w:rsidR="00F94330">
      <w:rPr>
        <w:sz w:val="18"/>
      </w:rPr>
      <w:tab/>
    </w:r>
    <w:r w:rsidR="007273C2">
      <w:tab/>
    </w:r>
    <w:r w:rsidR="007273C2">
      <w:rPr>
        <w:sz w:val="18"/>
        <w:szCs w:val="18"/>
      </w:rPr>
      <w:fldChar w:fldCharType="begin"/>
    </w:r>
    <w:r w:rsidR="007273C2">
      <w:rPr>
        <w:sz w:val="18"/>
        <w:szCs w:val="18"/>
      </w:rPr>
      <w:instrText xml:space="preserve"> PAGE  \* Arabic  \* MERGEFORMAT </w:instrText>
    </w:r>
    <w:r w:rsidR="007273C2">
      <w:rPr>
        <w:sz w:val="18"/>
        <w:szCs w:val="18"/>
      </w:rPr>
      <w:fldChar w:fldCharType="separate"/>
    </w:r>
    <w:r w:rsidR="00C061E5">
      <w:rPr>
        <w:noProof/>
        <w:sz w:val="18"/>
        <w:szCs w:val="18"/>
      </w:rPr>
      <w:t>3</w:t>
    </w:r>
    <w:r w:rsidR="007273C2">
      <w:rPr>
        <w:sz w:val="18"/>
        <w:szCs w:val="18"/>
      </w:rPr>
      <w:fldChar w:fldCharType="end"/>
    </w:r>
    <w:r w:rsidR="007273C2">
      <w:rPr>
        <w:sz w:val="18"/>
        <w:szCs w:val="18"/>
      </w:rPr>
      <w:t xml:space="preserve"> of </w:t>
    </w:r>
    <w:r w:rsidR="007273C2">
      <w:rPr>
        <w:sz w:val="18"/>
        <w:szCs w:val="18"/>
      </w:rPr>
      <w:fldChar w:fldCharType="begin"/>
    </w:r>
    <w:r w:rsidR="007273C2">
      <w:rPr>
        <w:sz w:val="18"/>
        <w:szCs w:val="18"/>
      </w:rPr>
      <w:instrText xml:space="preserve"> NUMPAGES  \* Arabic  \* MERGEFORMAT </w:instrText>
    </w:r>
    <w:r w:rsidR="007273C2">
      <w:rPr>
        <w:sz w:val="18"/>
        <w:szCs w:val="18"/>
      </w:rPr>
      <w:fldChar w:fldCharType="separate"/>
    </w:r>
    <w:r w:rsidR="00C061E5">
      <w:rPr>
        <w:noProof/>
        <w:sz w:val="18"/>
        <w:szCs w:val="18"/>
      </w:rPr>
      <w:t>3</w:t>
    </w:r>
    <w:r w:rsidR="007273C2">
      <w:rPr>
        <w:sz w:val="18"/>
        <w:szCs w:val="18"/>
      </w:rPr>
      <w:fldChar w:fldCharType="end"/>
    </w:r>
  </w:p>
  <w:p w14:paraId="54A0B13B" w14:textId="77777777" w:rsidR="007273C2" w:rsidRDefault="007273C2">
    <w:pPr>
      <w:pStyle w:val="Footer"/>
      <w:tabs>
        <w:tab w:val="clear" w:pos="9026"/>
        <w:tab w:val="right" w:pos="9356"/>
      </w:tabs>
      <w:ind w:left="-56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1FE8" w14:textId="4C37EC1B" w:rsidR="00787432" w:rsidRDefault="00787432" w:rsidP="00787432">
    <w:pPr>
      <w:pStyle w:val="Footer"/>
      <w:tabs>
        <w:tab w:val="clear" w:pos="4513"/>
        <w:tab w:val="clear" w:pos="9026"/>
        <w:tab w:val="right" w:pos="9356"/>
      </w:tabs>
      <w:ind w:left="-567" w:right="-330"/>
      <w:rPr>
        <w:i/>
        <w:sz w:val="18"/>
      </w:rPr>
    </w:pPr>
    <w:r>
      <w:rPr>
        <w:i/>
        <w:sz w:val="18"/>
      </w:rPr>
      <w:t>Application for booking at PEQ – Avian compound</w:t>
    </w:r>
    <w:r>
      <w:rPr>
        <w:i/>
        <w:sz w:val="18"/>
      </w:rPr>
      <w:tab/>
    </w:r>
    <w:r>
      <w:rPr>
        <w:sz w:val="18"/>
      </w:rPr>
      <w:t xml:space="preserve">Version no.: </w:t>
    </w:r>
    <w:sdt>
      <w:sdtPr>
        <w:rPr>
          <w:sz w:val="18"/>
        </w:rPr>
        <w:alias w:val="Revision Number"/>
        <w:tag w:val="RevisionNumber"/>
        <w:id w:val="-629096597"/>
        <w:placeholder>
          <w:docPart w:val="A7176FC7A6E24BFA906468E4286F2287"/>
        </w:placeholder>
        <w:text/>
      </w:sdtPr>
      <w:sdtEndPr/>
      <w:sdtContent>
        <w:r>
          <w:rPr>
            <w:sz w:val="18"/>
          </w:rPr>
          <w:t>4</w:t>
        </w:r>
      </w:sdtContent>
    </w:sdt>
  </w:p>
  <w:p w14:paraId="37A103F6" w14:textId="5460AB58" w:rsidR="00787432" w:rsidRDefault="00787432" w:rsidP="00787432">
    <w:pPr>
      <w:pStyle w:val="Footer"/>
      <w:tabs>
        <w:tab w:val="clear" w:pos="9026"/>
        <w:tab w:val="left" w:pos="1659"/>
        <w:tab w:val="right" w:pos="9356"/>
      </w:tabs>
      <w:ind w:left="-567" w:right="-330"/>
    </w:pPr>
    <w:r>
      <w:rPr>
        <w:sz w:val="18"/>
      </w:rPr>
      <w:t>Published: May 2024</w:t>
    </w:r>
    <w:r>
      <w:rPr>
        <w:sz w:val="18"/>
      </w:rPr>
      <w:tab/>
    </w:r>
    <w:r>
      <w:tab/>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3</w:t>
    </w:r>
    <w:r>
      <w:rPr>
        <w:sz w:val="18"/>
        <w:szCs w:val="18"/>
      </w:rPr>
      <w:fldChar w:fldCharType="end"/>
    </w:r>
  </w:p>
  <w:p w14:paraId="300233FF" w14:textId="77777777" w:rsidR="007273C2" w:rsidRDefault="0072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B227" w14:textId="77777777" w:rsidR="00567CE4" w:rsidRDefault="00567CE4">
      <w:pPr>
        <w:spacing w:after="0"/>
      </w:pPr>
      <w:r>
        <w:separator/>
      </w:r>
    </w:p>
    <w:p w14:paraId="3EB847ED" w14:textId="77777777" w:rsidR="00567CE4" w:rsidRDefault="00567CE4"/>
  </w:footnote>
  <w:footnote w:type="continuationSeparator" w:id="0">
    <w:p w14:paraId="6E4969BE" w14:textId="77777777" w:rsidR="00567CE4" w:rsidRDefault="00567CE4">
      <w:pPr>
        <w:spacing w:after="0"/>
      </w:pPr>
      <w:r>
        <w:continuationSeparator/>
      </w:r>
    </w:p>
    <w:p w14:paraId="116AA14D" w14:textId="77777777" w:rsidR="00567CE4" w:rsidRDefault="00567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AC07" w14:textId="7D7B98DA" w:rsidR="007273C2" w:rsidRPr="0074673E" w:rsidRDefault="0074673E" w:rsidP="0074673E">
    <w:pPr>
      <w:pStyle w:val="Header"/>
      <w:tabs>
        <w:tab w:val="clear" w:pos="9026"/>
        <w:tab w:val="right" w:pos="9356"/>
      </w:tabs>
      <w:ind w:right="-330"/>
      <w:rPr>
        <w:sz w:val="18"/>
        <w:szCs w:val="18"/>
      </w:rPr>
    </w:pPr>
    <w:r>
      <w:rPr>
        <w:sz w:val="18"/>
        <w:szCs w:val="18"/>
        <w:lang w:val="en-US" w:eastAsia="zh-TW"/>
      </w:rPr>
      <w:tab/>
    </w:r>
    <w:r>
      <w:rPr>
        <w:sz w:val="18"/>
        <w:szCs w:val="18"/>
        <w:lang w:val="en-US" w:eastAsia="zh-TW"/>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A596" w14:textId="3B232789" w:rsidR="00787432" w:rsidRDefault="00787432">
    <w:pPr>
      <w:pStyle w:val="Header"/>
    </w:pPr>
    <w:r>
      <w:rPr>
        <w:noProof/>
      </w:rPr>
      <w:drawing>
        <wp:inline distT="0" distB="0" distL="0" distR="0" wp14:anchorId="4EB092AD" wp14:editId="66F7E3DE">
          <wp:extent cx="1971675" cy="569937"/>
          <wp:effectExtent l="0" t="0" r="0" b="1905"/>
          <wp:docPr id="7" name="Picture 7"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699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DA1914"/>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7DA671F"/>
    <w:multiLevelType w:val="hybridMultilevel"/>
    <w:tmpl w:val="E47E4A34"/>
    <w:lvl w:ilvl="0" w:tplc="7D0E12C4">
      <w:start w:val="1"/>
      <w:numFmt w:val="decimal"/>
      <w:lvlText w:val="%1."/>
      <w:lvlJc w:val="left"/>
      <w:pPr>
        <w:ind w:left="720" w:hanging="360"/>
      </w:pPr>
      <w:rPr>
        <w:rFonts w:hint="default"/>
      </w:rPr>
    </w:lvl>
    <w:lvl w:ilvl="1" w:tplc="195C32A2">
      <w:start w:val="1"/>
      <w:numFmt w:val="lowerLetter"/>
      <w:lvlText w:val="%2."/>
      <w:lvlJc w:val="left"/>
      <w:pPr>
        <w:ind w:left="1440" w:hanging="360"/>
      </w:pPr>
      <w:rPr>
        <w:b/>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65603C"/>
    <w:multiLevelType w:val="hybridMultilevel"/>
    <w:tmpl w:val="7E8A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263C0AC2"/>
    <w:multiLevelType w:val="hybridMultilevel"/>
    <w:tmpl w:val="D4C66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30174B"/>
    <w:multiLevelType w:val="hybridMultilevel"/>
    <w:tmpl w:val="F8FC7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41550F"/>
    <w:multiLevelType w:val="hybridMultilevel"/>
    <w:tmpl w:val="CD666C32"/>
    <w:lvl w:ilvl="0" w:tplc="45F8C5B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FC0EF3"/>
    <w:multiLevelType w:val="hybridMultilevel"/>
    <w:tmpl w:val="5128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48AF3293"/>
    <w:multiLevelType w:val="hybridMultilevel"/>
    <w:tmpl w:val="E23470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C426E5E"/>
    <w:multiLevelType w:val="hybridMultilevel"/>
    <w:tmpl w:val="D108A458"/>
    <w:lvl w:ilvl="0" w:tplc="77B6EF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F132E4"/>
    <w:multiLevelType w:val="multilevel"/>
    <w:tmpl w:val="18F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060EB"/>
    <w:multiLevelType w:val="hybridMultilevel"/>
    <w:tmpl w:val="CF326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A166CA"/>
    <w:multiLevelType w:val="hybridMultilevel"/>
    <w:tmpl w:val="EFDC6CD4"/>
    <w:lvl w:ilvl="0" w:tplc="824C3298">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656520">
    <w:abstractNumId w:val="1"/>
  </w:num>
  <w:num w:numId="2" w16cid:durableId="1817184972">
    <w:abstractNumId w:val="8"/>
  </w:num>
  <w:num w:numId="3" w16cid:durableId="1986930964">
    <w:abstractNumId w:val="3"/>
  </w:num>
  <w:num w:numId="4" w16cid:durableId="852911718">
    <w:abstractNumId w:val="10"/>
  </w:num>
  <w:num w:numId="5" w16cid:durableId="769665761">
    <w:abstractNumId w:val="0"/>
  </w:num>
  <w:num w:numId="6" w16cid:durableId="1948268159">
    <w:abstractNumId w:val="10"/>
  </w:num>
  <w:num w:numId="7" w16cid:durableId="1849557901">
    <w:abstractNumId w:val="13"/>
  </w:num>
  <w:num w:numId="8" w16cid:durableId="1630547312">
    <w:abstractNumId w:val="5"/>
  </w:num>
  <w:num w:numId="9" w16cid:durableId="33502438">
    <w:abstractNumId w:val="2"/>
  </w:num>
  <w:num w:numId="10" w16cid:durableId="559219462">
    <w:abstractNumId w:val="7"/>
  </w:num>
  <w:num w:numId="11" w16cid:durableId="27023845">
    <w:abstractNumId w:val="11"/>
  </w:num>
  <w:num w:numId="12" w16cid:durableId="1052146347">
    <w:abstractNumId w:val="4"/>
  </w:num>
  <w:num w:numId="13" w16cid:durableId="872499951">
    <w:abstractNumId w:val="6"/>
  </w:num>
  <w:num w:numId="14" w16cid:durableId="547688488">
    <w:abstractNumId w:val="9"/>
  </w:num>
  <w:num w:numId="15" w16cid:durableId="1838225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001E1"/>
    <w:rsid w:val="000070D4"/>
    <w:rsid w:val="00033058"/>
    <w:rsid w:val="00033FDD"/>
    <w:rsid w:val="00035A53"/>
    <w:rsid w:val="000366BF"/>
    <w:rsid w:val="00054F2D"/>
    <w:rsid w:val="00056C91"/>
    <w:rsid w:val="00062710"/>
    <w:rsid w:val="00070DA2"/>
    <w:rsid w:val="00084E07"/>
    <w:rsid w:val="0009112F"/>
    <w:rsid w:val="000B7000"/>
    <w:rsid w:val="000C025E"/>
    <w:rsid w:val="000C6A10"/>
    <w:rsid w:val="000C717D"/>
    <w:rsid w:val="000D4657"/>
    <w:rsid w:val="000E637B"/>
    <w:rsid w:val="000F07DB"/>
    <w:rsid w:val="000F1590"/>
    <w:rsid w:val="000F7A29"/>
    <w:rsid w:val="001130D2"/>
    <w:rsid w:val="00120FA7"/>
    <w:rsid w:val="00125936"/>
    <w:rsid w:val="00153CA4"/>
    <w:rsid w:val="00161CF3"/>
    <w:rsid w:val="00163ECE"/>
    <w:rsid w:val="00177251"/>
    <w:rsid w:val="00177A6B"/>
    <w:rsid w:val="001C139F"/>
    <w:rsid w:val="001D0898"/>
    <w:rsid w:val="001D186A"/>
    <w:rsid w:val="001D4D55"/>
    <w:rsid w:val="001E62E3"/>
    <w:rsid w:val="001F1731"/>
    <w:rsid w:val="00202242"/>
    <w:rsid w:val="002110CC"/>
    <w:rsid w:val="00212CF8"/>
    <w:rsid w:val="00232714"/>
    <w:rsid w:val="002372E7"/>
    <w:rsid w:val="00254B40"/>
    <w:rsid w:val="00280B6C"/>
    <w:rsid w:val="00281921"/>
    <w:rsid w:val="00292FCC"/>
    <w:rsid w:val="0029397E"/>
    <w:rsid w:val="00296227"/>
    <w:rsid w:val="002A1DAE"/>
    <w:rsid w:val="002D2D1D"/>
    <w:rsid w:val="002F41DC"/>
    <w:rsid w:val="00312897"/>
    <w:rsid w:val="003179BA"/>
    <w:rsid w:val="00325BCE"/>
    <w:rsid w:val="00336A90"/>
    <w:rsid w:val="00336F75"/>
    <w:rsid w:val="003451C3"/>
    <w:rsid w:val="00361DB7"/>
    <w:rsid w:val="00362016"/>
    <w:rsid w:val="0036660E"/>
    <w:rsid w:val="00371701"/>
    <w:rsid w:val="00380ECB"/>
    <w:rsid w:val="003A132B"/>
    <w:rsid w:val="003A5B5F"/>
    <w:rsid w:val="003B33EF"/>
    <w:rsid w:val="003B603F"/>
    <w:rsid w:val="003C4786"/>
    <w:rsid w:val="004010B9"/>
    <w:rsid w:val="00403AD6"/>
    <w:rsid w:val="00430AEE"/>
    <w:rsid w:val="0043229A"/>
    <w:rsid w:val="004477DE"/>
    <w:rsid w:val="00447E1D"/>
    <w:rsid w:val="00470FF0"/>
    <w:rsid w:val="00491DEE"/>
    <w:rsid w:val="0049502B"/>
    <w:rsid w:val="00497024"/>
    <w:rsid w:val="004A15D8"/>
    <w:rsid w:val="004C38B0"/>
    <w:rsid w:val="004D2AEC"/>
    <w:rsid w:val="004D6D37"/>
    <w:rsid w:val="00522309"/>
    <w:rsid w:val="0052689B"/>
    <w:rsid w:val="0053276A"/>
    <w:rsid w:val="00534E78"/>
    <w:rsid w:val="00536F1F"/>
    <w:rsid w:val="005425A7"/>
    <w:rsid w:val="00545B2C"/>
    <w:rsid w:val="00545F95"/>
    <w:rsid w:val="005472D0"/>
    <w:rsid w:val="005662B5"/>
    <w:rsid w:val="00567CE4"/>
    <w:rsid w:val="00590B39"/>
    <w:rsid w:val="005A6263"/>
    <w:rsid w:val="005C6E66"/>
    <w:rsid w:val="005E4D16"/>
    <w:rsid w:val="005F449B"/>
    <w:rsid w:val="00621CC4"/>
    <w:rsid w:val="0064007F"/>
    <w:rsid w:val="00644E34"/>
    <w:rsid w:val="0065155D"/>
    <w:rsid w:val="006614DC"/>
    <w:rsid w:val="00662909"/>
    <w:rsid w:val="00694DDB"/>
    <w:rsid w:val="00695A1D"/>
    <w:rsid w:val="00697BEC"/>
    <w:rsid w:val="006A1A4B"/>
    <w:rsid w:val="006A2F90"/>
    <w:rsid w:val="006B0C24"/>
    <w:rsid w:val="006B1D77"/>
    <w:rsid w:val="006B66E7"/>
    <w:rsid w:val="006C1DFB"/>
    <w:rsid w:val="006C7FF6"/>
    <w:rsid w:val="006E4059"/>
    <w:rsid w:val="006E45F2"/>
    <w:rsid w:val="00700088"/>
    <w:rsid w:val="0072352A"/>
    <w:rsid w:val="007273C2"/>
    <w:rsid w:val="007334B6"/>
    <w:rsid w:val="007344F1"/>
    <w:rsid w:val="0074673E"/>
    <w:rsid w:val="00746ECA"/>
    <w:rsid w:val="007644A1"/>
    <w:rsid w:val="0076735D"/>
    <w:rsid w:val="00773CF0"/>
    <w:rsid w:val="00782D10"/>
    <w:rsid w:val="007852A1"/>
    <w:rsid w:val="00787432"/>
    <w:rsid w:val="007A34FD"/>
    <w:rsid w:val="007B0C99"/>
    <w:rsid w:val="007B36AD"/>
    <w:rsid w:val="007E213F"/>
    <w:rsid w:val="00800931"/>
    <w:rsid w:val="0083751F"/>
    <w:rsid w:val="008465E8"/>
    <w:rsid w:val="008619DB"/>
    <w:rsid w:val="00864639"/>
    <w:rsid w:val="00872087"/>
    <w:rsid w:val="00880098"/>
    <w:rsid w:val="00881AD1"/>
    <w:rsid w:val="008907F2"/>
    <w:rsid w:val="008B22BA"/>
    <w:rsid w:val="008C4575"/>
    <w:rsid w:val="008D69BA"/>
    <w:rsid w:val="008E3E90"/>
    <w:rsid w:val="008E4403"/>
    <w:rsid w:val="008F148D"/>
    <w:rsid w:val="00901FF3"/>
    <w:rsid w:val="00916787"/>
    <w:rsid w:val="0097361C"/>
    <w:rsid w:val="00982988"/>
    <w:rsid w:val="00983623"/>
    <w:rsid w:val="00987401"/>
    <w:rsid w:val="009B48F8"/>
    <w:rsid w:val="009F1C14"/>
    <w:rsid w:val="009F4138"/>
    <w:rsid w:val="009F558D"/>
    <w:rsid w:val="009F6536"/>
    <w:rsid w:val="00A06EAE"/>
    <w:rsid w:val="00A12C49"/>
    <w:rsid w:val="00A17037"/>
    <w:rsid w:val="00A31428"/>
    <w:rsid w:val="00A7209D"/>
    <w:rsid w:val="00A83C61"/>
    <w:rsid w:val="00AA100D"/>
    <w:rsid w:val="00AA4E24"/>
    <w:rsid w:val="00AB1E57"/>
    <w:rsid w:val="00AC123A"/>
    <w:rsid w:val="00AC57CC"/>
    <w:rsid w:val="00AC658D"/>
    <w:rsid w:val="00AE2184"/>
    <w:rsid w:val="00AF307E"/>
    <w:rsid w:val="00B07394"/>
    <w:rsid w:val="00B1410E"/>
    <w:rsid w:val="00B36600"/>
    <w:rsid w:val="00B46001"/>
    <w:rsid w:val="00B570B2"/>
    <w:rsid w:val="00B70FFE"/>
    <w:rsid w:val="00B77057"/>
    <w:rsid w:val="00B83D09"/>
    <w:rsid w:val="00B85317"/>
    <w:rsid w:val="00B93A2B"/>
    <w:rsid w:val="00B950A2"/>
    <w:rsid w:val="00BB115B"/>
    <w:rsid w:val="00BB78E8"/>
    <w:rsid w:val="00BC031D"/>
    <w:rsid w:val="00BC2E38"/>
    <w:rsid w:val="00BE16D2"/>
    <w:rsid w:val="00C061E5"/>
    <w:rsid w:val="00C155CC"/>
    <w:rsid w:val="00C24CA8"/>
    <w:rsid w:val="00C426B5"/>
    <w:rsid w:val="00C46593"/>
    <w:rsid w:val="00C55A27"/>
    <w:rsid w:val="00C66F18"/>
    <w:rsid w:val="00C7107B"/>
    <w:rsid w:val="00C71580"/>
    <w:rsid w:val="00C7355C"/>
    <w:rsid w:val="00C872F1"/>
    <w:rsid w:val="00C97379"/>
    <w:rsid w:val="00CC401B"/>
    <w:rsid w:val="00CD0591"/>
    <w:rsid w:val="00D132A6"/>
    <w:rsid w:val="00D14B42"/>
    <w:rsid w:val="00D42536"/>
    <w:rsid w:val="00D43EF8"/>
    <w:rsid w:val="00D45BE0"/>
    <w:rsid w:val="00D767CF"/>
    <w:rsid w:val="00D81AE6"/>
    <w:rsid w:val="00D90DF8"/>
    <w:rsid w:val="00D96E97"/>
    <w:rsid w:val="00DC7734"/>
    <w:rsid w:val="00DE7CF4"/>
    <w:rsid w:val="00DF729A"/>
    <w:rsid w:val="00E1154D"/>
    <w:rsid w:val="00E1755E"/>
    <w:rsid w:val="00E347A9"/>
    <w:rsid w:val="00E42385"/>
    <w:rsid w:val="00E55791"/>
    <w:rsid w:val="00E61F5D"/>
    <w:rsid w:val="00E62F13"/>
    <w:rsid w:val="00E771AF"/>
    <w:rsid w:val="00E90E4A"/>
    <w:rsid w:val="00E924CC"/>
    <w:rsid w:val="00EA5446"/>
    <w:rsid w:val="00EA7AFE"/>
    <w:rsid w:val="00EC151A"/>
    <w:rsid w:val="00ED4CF4"/>
    <w:rsid w:val="00EE03F8"/>
    <w:rsid w:val="00EE1704"/>
    <w:rsid w:val="00F20BDB"/>
    <w:rsid w:val="00F32DB8"/>
    <w:rsid w:val="00F4197C"/>
    <w:rsid w:val="00F56EF2"/>
    <w:rsid w:val="00F652FB"/>
    <w:rsid w:val="00F807D6"/>
    <w:rsid w:val="00F85AEC"/>
    <w:rsid w:val="00F941C8"/>
    <w:rsid w:val="00F94330"/>
    <w:rsid w:val="00FA6F60"/>
    <w:rsid w:val="00FD1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017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body"/>
    <w:qFormat/>
    <w:rsid w:val="00212CF8"/>
    <w:pPr>
      <w:spacing w:before="60" w:after="120"/>
    </w:p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pPr>
      <w:keepNext/>
      <w:keepLines/>
      <w:outlineLvl w:val="2"/>
    </w:pPr>
    <w:rPr>
      <w:rFonts w:eastAsia="Times New Roman"/>
      <w:b/>
      <w:bCs/>
      <w:sz w:val="26"/>
    </w:rPr>
  </w:style>
  <w:style w:type="paragraph" w:styleId="Heading4">
    <w:name w:val="heading 4"/>
    <w:basedOn w:val="Normal"/>
    <w:next w:val="Normal"/>
    <w:link w:val="Heading4Char"/>
    <w:uiPriority w:val="9"/>
    <w:unhideWhenUsed/>
    <w:pPr>
      <w:keepNext/>
      <w:keepLines/>
      <w:outlineLvl w:val="3"/>
    </w:pPr>
    <w:rPr>
      <w:rFonts w:eastAsia="Times New Roman"/>
      <w:b/>
      <w:bCs/>
      <w:iCs/>
      <w:color w:val="000000"/>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Pr>
      <w:rFonts w:eastAsia="Times New Roman"/>
      <w:b/>
      <w:bCs/>
      <w:sz w:val="26"/>
      <w:szCs w:val="22"/>
      <w:lang w:eastAsia="en-US"/>
    </w:rPr>
  </w:style>
  <w:style w:type="character" w:customStyle="1" w:styleId="Heading4Char">
    <w:name w:val="Heading 4 Char"/>
    <w:link w:val="Heading4"/>
    <w:uiPriority w:val="9"/>
    <w:rPr>
      <w:rFonts w:eastAsia="Times New Roman"/>
      <w:b/>
      <w:bCs/>
      <w:iCs/>
      <w:color w:val="000000"/>
      <w:sz w:val="22"/>
      <w:szCs w:val="22"/>
      <w:lang w:eastAsia="en-US"/>
    </w:rPr>
  </w:style>
  <w:style w:type="character" w:customStyle="1" w:styleId="Heading5Char">
    <w:name w:val="Heading 5 Char"/>
    <w:link w:val="Heading5"/>
    <w:uiPriority w:val="9"/>
    <w:semiHidden/>
    <w:rPr>
      <w:rFonts w:ascii="Cambria" w:eastAsia="Times New Roman" w:hAnsi="Cambria" w:cs="Times New Roman"/>
      <w:color w:val="243F6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3451C3"/>
    <w:pPr>
      <w:tabs>
        <w:tab w:val="left" w:pos="426"/>
        <w:tab w:val="right" w:leader="dot" w:pos="8397"/>
      </w:tabs>
      <w:spacing w:after="0"/>
    </w:pPr>
    <w:rPr>
      <w:rFonts w:eastAsia="Times New Roman"/>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C139F"/>
    <w:pPr>
      <w:tabs>
        <w:tab w:val="center" w:pos="4513"/>
        <w:tab w:val="right" w:pos="9026"/>
      </w:tabs>
      <w:spacing w:before="40" w:after="0"/>
    </w:pPr>
  </w:style>
  <w:style w:type="character" w:customStyle="1" w:styleId="FooterChar">
    <w:name w:val="Footer Char"/>
    <w:basedOn w:val="DefaultParagraphFont"/>
    <w:link w:val="Footer"/>
    <w:uiPriority w:val="99"/>
    <w:rsid w:val="001C139F"/>
    <w:rPr>
      <w:sz w:val="22"/>
      <w:szCs w:val="22"/>
      <w:lang w:eastAsia="en-US"/>
    </w:rPr>
  </w:style>
  <w:style w:type="paragraph" w:customStyle="1" w:styleId="Bulletlist-Indented">
    <w:name w:val="Bullet list - Indented"/>
    <w:basedOn w:val="Normal"/>
    <w:link w:val="Bulletlist-IndentedChar"/>
    <w:rsid w:val="00D90DF8"/>
    <w:pPr>
      <w:numPr>
        <w:ilvl w:val="2"/>
        <w:numId w:val="3"/>
      </w:num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D90DF8"/>
    <w:rPr>
      <w:rFonts w:ascii="Cambria" w:hAnsi="Cambria"/>
      <w:b/>
      <w:color w:val="404A29"/>
      <w:sz w:val="28"/>
    </w:rPr>
  </w:style>
  <w:style w:type="character" w:styleId="Hyperlink">
    <w:name w:val="Hyperlink"/>
    <w:uiPriority w:val="99"/>
    <w:unhideWhenUsed/>
    <w:rPr>
      <w:color w:val="0000FF"/>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C71580"/>
    <w:pPr>
      <w:spacing w:before="120" w:after="120"/>
    </w:pPr>
    <w:rPr>
      <w:rFonts w:eastAsia="Times New Roman"/>
      <w:szCs w:val="24"/>
      <w:lang w:eastAsia="en-US"/>
    </w:rPr>
  </w:style>
  <w:style w:type="character" w:customStyle="1" w:styleId="BodyTextChar">
    <w:name w:val="Body Text Char"/>
    <w:link w:val="BodyText"/>
    <w:rsid w:val="00C71580"/>
    <w:rPr>
      <w:rFonts w:eastAsia="Times New Roman"/>
      <w:szCs w:val="24"/>
      <w:lang w:eastAsia="en-US"/>
    </w:rPr>
  </w:style>
  <w:style w:type="paragraph" w:styleId="ListBullet">
    <w:name w:val="List Bullet"/>
    <w:basedOn w:val="BodyText"/>
    <w:link w:val="ListBulletChar"/>
    <w:qFormat/>
    <w:pPr>
      <w:numPr>
        <w:numId w:val="5"/>
      </w:numPr>
      <w:spacing w:after="60"/>
      <w:ind w:left="284" w:hanging="284"/>
    </w:pPr>
  </w:style>
  <w:style w:type="paragraph" w:customStyle="1" w:styleId="Tableheadings">
    <w:name w:val="Table headings"/>
    <w:basedOn w:val="Normal"/>
    <w:qFormat/>
    <w:rsid w:val="0083751F"/>
    <w:rPr>
      <w:b/>
      <w:color w:val="FFFFFF"/>
    </w:rPr>
  </w:style>
  <w:style w:type="character" w:customStyle="1" w:styleId="ListBulletChar">
    <w:name w:val="List Bullet Char"/>
    <w:basedOn w:val="BodyTextChar"/>
    <w:link w:val="ListBullet"/>
    <w:rPr>
      <w:rFonts w:eastAsia="Times New Roman"/>
      <w:sz w:val="22"/>
      <w:szCs w:val="24"/>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FollowedHyperlink">
    <w:name w:val="FollowedHyperlink"/>
    <w:uiPriority w:val="99"/>
    <w:semiHidden/>
    <w:unhideWhenUsed/>
    <w:rsid w:val="00BB115B"/>
    <w:rPr>
      <w:color w:val="954F72"/>
      <w:u w:val="single"/>
    </w:rPr>
  </w:style>
  <w:style w:type="paragraph" w:styleId="TOC2">
    <w:name w:val="toc 2"/>
    <w:basedOn w:val="Normal"/>
    <w:next w:val="Normal"/>
    <w:autoRedefine/>
    <w:uiPriority w:val="39"/>
    <w:unhideWhenUsed/>
    <w:rsid w:val="008D69BA"/>
    <w:pPr>
      <w:spacing w:after="100"/>
      <w:ind w:left="220"/>
    </w:pPr>
  </w:style>
  <w:style w:type="paragraph" w:styleId="TOC3">
    <w:name w:val="toc 3"/>
    <w:basedOn w:val="Normal"/>
    <w:next w:val="Normal"/>
    <w:autoRedefine/>
    <w:uiPriority w:val="39"/>
    <w:unhideWhenUsed/>
    <w:rsid w:val="008D69BA"/>
    <w:pPr>
      <w:spacing w:after="100"/>
      <w:ind w:left="440"/>
    </w:pPr>
  </w:style>
  <w:style w:type="character" w:styleId="PlaceholderText">
    <w:name w:val="Placeholder Text"/>
    <w:basedOn w:val="DefaultParagraphFont"/>
    <w:uiPriority w:val="99"/>
    <w:semiHidden/>
    <w:rsid w:val="00662909"/>
    <w:rPr>
      <w:color w:val="808080"/>
    </w:rPr>
  </w:style>
  <w:style w:type="paragraph" w:customStyle="1" w:styleId="Default">
    <w:name w:val="Default"/>
    <w:basedOn w:val="Normal"/>
    <w:rsid w:val="00161CF3"/>
    <w:pPr>
      <w:autoSpaceDE w:val="0"/>
      <w:autoSpaceDN w:val="0"/>
      <w:spacing w:before="0" w:after="0"/>
    </w:pPr>
    <w:rPr>
      <w:color w:val="000000"/>
      <w:sz w:val="24"/>
      <w:szCs w:val="24"/>
    </w:rPr>
  </w:style>
  <w:style w:type="paragraph" w:styleId="Revision">
    <w:name w:val="Revision"/>
    <w:hidden/>
    <w:uiPriority w:val="99"/>
    <w:semiHidden/>
    <w:rsid w:val="00497024"/>
  </w:style>
  <w:style w:type="character" w:styleId="UnresolvedMention">
    <w:name w:val="Unresolved Mention"/>
    <w:basedOn w:val="DefaultParagraphFont"/>
    <w:uiPriority w:val="99"/>
    <w:semiHidden/>
    <w:unhideWhenUsed/>
    <w:rsid w:val="000C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9508">
      <w:bodyDiv w:val="1"/>
      <w:marLeft w:val="0"/>
      <w:marRight w:val="0"/>
      <w:marTop w:val="0"/>
      <w:marBottom w:val="0"/>
      <w:divBdr>
        <w:top w:val="none" w:sz="0" w:space="0" w:color="auto"/>
        <w:left w:val="none" w:sz="0" w:space="0" w:color="auto"/>
        <w:bottom w:val="none" w:sz="0" w:space="0" w:color="auto"/>
        <w:right w:val="none" w:sz="0" w:space="0" w:color="auto"/>
      </w:divBdr>
    </w:div>
    <w:div w:id="1255625229">
      <w:bodyDiv w:val="1"/>
      <w:marLeft w:val="0"/>
      <w:marRight w:val="0"/>
      <w:marTop w:val="0"/>
      <w:marBottom w:val="0"/>
      <w:divBdr>
        <w:top w:val="none" w:sz="0" w:space="0" w:color="auto"/>
        <w:left w:val="none" w:sz="0" w:space="0" w:color="auto"/>
        <w:bottom w:val="none" w:sz="0" w:space="0" w:color="auto"/>
        <w:right w:val="none" w:sz="0" w:space="0" w:color="auto"/>
      </w:divBdr>
    </w:div>
    <w:div w:id="1743796052">
      <w:bodyDiv w:val="1"/>
      <w:marLeft w:val="0"/>
      <w:marRight w:val="0"/>
      <w:marTop w:val="0"/>
      <w:marBottom w:val="0"/>
      <w:divBdr>
        <w:top w:val="none" w:sz="0" w:space="0" w:color="auto"/>
        <w:left w:val="none" w:sz="0" w:space="0" w:color="auto"/>
        <w:bottom w:val="none" w:sz="0" w:space="0" w:color="auto"/>
        <w:right w:val="none" w:sz="0" w:space="0" w:color="auto"/>
      </w:divBdr>
      <w:divsChild>
        <w:div w:id="737477501">
          <w:marLeft w:val="0"/>
          <w:marRight w:val="0"/>
          <w:marTop w:val="0"/>
          <w:marBottom w:val="0"/>
          <w:divBdr>
            <w:top w:val="none" w:sz="0" w:space="0" w:color="auto"/>
            <w:left w:val="none" w:sz="0" w:space="0" w:color="auto"/>
            <w:bottom w:val="none" w:sz="0" w:space="0" w:color="auto"/>
            <w:right w:val="none" w:sz="0" w:space="0" w:color="auto"/>
          </w:divBdr>
          <w:divsChild>
            <w:div w:id="1959944116">
              <w:marLeft w:val="2"/>
              <w:marRight w:val="0"/>
              <w:marTop w:val="0"/>
              <w:marBottom w:val="0"/>
              <w:divBdr>
                <w:top w:val="none" w:sz="0" w:space="0" w:color="auto"/>
                <w:left w:val="single" w:sz="4" w:space="0" w:color="CCCCCC"/>
                <w:bottom w:val="none" w:sz="0" w:space="0" w:color="auto"/>
                <w:right w:val="single" w:sz="4" w:space="0" w:color="CCCCCC"/>
              </w:divBdr>
              <w:divsChild>
                <w:div w:id="1096827535">
                  <w:marLeft w:val="0"/>
                  <w:marRight w:val="0"/>
                  <w:marTop w:val="0"/>
                  <w:marBottom w:val="0"/>
                  <w:divBdr>
                    <w:top w:val="none" w:sz="0" w:space="0" w:color="auto"/>
                    <w:left w:val="none" w:sz="0" w:space="0" w:color="auto"/>
                    <w:bottom w:val="none" w:sz="0" w:space="0" w:color="auto"/>
                    <w:right w:val="none" w:sz="0" w:space="0" w:color="auto"/>
                  </w:divBdr>
                  <w:divsChild>
                    <w:div w:id="389578686">
                      <w:marLeft w:val="0"/>
                      <w:marRight w:val="0"/>
                      <w:marTop w:val="0"/>
                      <w:marBottom w:val="0"/>
                      <w:divBdr>
                        <w:top w:val="none" w:sz="0" w:space="0" w:color="auto"/>
                        <w:left w:val="none" w:sz="0" w:space="0" w:color="auto"/>
                        <w:bottom w:val="none" w:sz="0" w:space="0" w:color="auto"/>
                        <w:right w:val="none" w:sz="0" w:space="0" w:color="auto"/>
                      </w:divBdr>
                      <w:divsChild>
                        <w:div w:id="1160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klehamavian@aff.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riculture.gov.au/biosecurity-trade/import/goods/live-animals/live-pigeons/notice-to-industry-live-pigeons" TargetMode="External"/><Relationship Id="rId4" Type="http://schemas.openxmlformats.org/officeDocument/2006/relationships/settings" Target="settings.xml"/><Relationship Id="rId9" Type="http://schemas.openxmlformats.org/officeDocument/2006/relationships/hyperlink" Target="https://www.agriculture.gov.au/biosecurity-trade/import/goods/live-animals/fertile-egg-imports/notice-to-industry-fertile-egg-imports/noi-import-fertile-egg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38123B6B944F0ADA52BBF62093744"/>
        <w:category>
          <w:name w:val="General"/>
          <w:gallery w:val="placeholder"/>
        </w:category>
        <w:types>
          <w:type w:val="bbPlcHdr"/>
        </w:types>
        <w:behaviors>
          <w:behavior w:val="content"/>
        </w:behaviors>
        <w:guid w:val="{13616520-532B-44F0-9CE7-09815B6A1E5B}"/>
      </w:docPartPr>
      <w:docPartBody>
        <w:p w:rsidR="00B24A43" w:rsidRDefault="00E95192">
          <w:r w:rsidRPr="00B550CB">
            <w:rPr>
              <w:rStyle w:val="PlaceholderText"/>
            </w:rPr>
            <w:t>[Revision Number]</w:t>
          </w:r>
        </w:p>
      </w:docPartBody>
    </w:docPart>
    <w:docPart>
      <w:docPartPr>
        <w:name w:val="A7176FC7A6E24BFA906468E4286F2287"/>
        <w:category>
          <w:name w:val="General"/>
          <w:gallery w:val="placeholder"/>
        </w:category>
        <w:types>
          <w:type w:val="bbPlcHdr"/>
        </w:types>
        <w:behaviors>
          <w:behavior w:val="content"/>
        </w:behaviors>
        <w:guid w:val="{DD1143E1-233A-4CB9-AE11-0AB565B185AC}"/>
      </w:docPartPr>
      <w:docPartBody>
        <w:p w:rsidR="00965BF4" w:rsidRDefault="00965BF4" w:rsidP="00965BF4">
          <w:pPr>
            <w:pStyle w:val="A7176FC7A6E24BFA906468E4286F2287"/>
          </w:pPr>
          <w:r w:rsidRPr="00B550CB">
            <w:rPr>
              <w:rStyle w:val="PlaceholderText"/>
            </w:rPr>
            <w:t>[Revision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92"/>
    <w:rsid w:val="00040FC5"/>
    <w:rsid w:val="000546A3"/>
    <w:rsid w:val="001E48BE"/>
    <w:rsid w:val="002B18C7"/>
    <w:rsid w:val="00326D9D"/>
    <w:rsid w:val="00697415"/>
    <w:rsid w:val="00965BF4"/>
    <w:rsid w:val="00A10CA8"/>
    <w:rsid w:val="00A63FDA"/>
    <w:rsid w:val="00B24A43"/>
    <w:rsid w:val="00C2662A"/>
    <w:rsid w:val="00C43E37"/>
    <w:rsid w:val="00C8098C"/>
    <w:rsid w:val="00E9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BF4"/>
    <w:rPr>
      <w:color w:val="808080"/>
    </w:rPr>
  </w:style>
  <w:style w:type="paragraph" w:customStyle="1" w:styleId="A7176FC7A6E24BFA906468E4286F2287">
    <w:name w:val="A7176FC7A6E24BFA906468E4286F2287"/>
    <w:rsid w:val="00965BF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38F6-C128-4C5A-84CE-058D07EB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Links>
    <vt:vector size="102" baseType="variant">
      <vt:variant>
        <vt:i4>65624</vt:i4>
      </vt:variant>
      <vt:variant>
        <vt:i4>102</vt:i4>
      </vt:variant>
      <vt:variant>
        <vt:i4>0</vt:i4>
      </vt:variant>
      <vt:variant>
        <vt:i4>5</vt:i4>
      </vt:variant>
      <vt:variant>
        <vt:lpwstr>http://mylink.agdaff.gov.au/team/IML/IML/Practice Statement Framework style guide.pdf</vt:lpwstr>
      </vt:variant>
      <vt:variant>
        <vt:lpwstr/>
      </vt:variant>
      <vt:variant>
        <vt:i4>65624</vt:i4>
      </vt:variant>
      <vt:variant>
        <vt:i4>96</vt:i4>
      </vt:variant>
      <vt:variant>
        <vt:i4>0</vt:i4>
      </vt:variant>
      <vt:variant>
        <vt:i4>5</vt:i4>
      </vt:variant>
      <vt:variant>
        <vt:lpwstr>http://mylink.agdaff.gov.au/team/IML/IML/Practice Statement Framework style guide.pdf</vt:lpwstr>
      </vt:variant>
      <vt:variant>
        <vt:lpwstr/>
      </vt:variant>
      <vt:variant>
        <vt:i4>1638454</vt:i4>
      </vt:variant>
      <vt:variant>
        <vt:i4>89</vt:i4>
      </vt:variant>
      <vt:variant>
        <vt:i4>0</vt:i4>
      </vt:variant>
      <vt:variant>
        <vt:i4>5</vt:i4>
      </vt:variant>
      <vt:variant>
        <vt:lpwstr/>
      </vt:variant>
      <vt:variant>
        <vt:lpwstr>_Toc407107581</vt:lpwstr>
      </vt:variant>
      <vt:variant>
        <vt:i4>1638454</vt:i4>
      </vt:variant>
      <vt:variant>
        <vt:i4>83</vt:i4>
      </vt:variant>
      <vt:variant>
        <vt:i4>0</vt:i4>
      </vt:variant>
      <vt:variant>
        <vt:i4>5</vt:i4>
      </vt:variant>
      <vt:variant>
        <vt:lpwstr/>
      </vt:variant>
      <vt:variant>
        <vt:lpwstr>_Toc407107580</vt:lpwstr>
      </vt:variant>
      <vt:variant>
        <vt:i4>1441846</vt:i4>
      </vt:variant>
      <vt:variant>
        <vt:i4>77</vt:i4>
      </vt:variant>
      <vt:variant>
        <vt:i4>0</vt:i4>
      </vt:variant>
      <vt:variant>
        <vt:i4>5</vt:i4>
      </vt:variant>
      <vt:variant>
        <vt:lpwstr/>
      </vt:variant>
      <vt:variant>
        <vt:lpwstr>_Toc407107579</vt:lpwstr>
      </vt:variant>
      <vt:variant>
        <vt:i4>1441846</vt:i4>
      </vt:variant>
      <vt:variant>
        <vt:i4>71</vt:i4>
      </vt:variant>
      <vt:variant>
        <vt:i4>0</vt:i4>
      </vt:variant>
      <vt:variant>
        <vt:i4>5</vt:i4>
      </vt:variant>
      <vt:variant>
        <vt:lpwstr/>
      </vt:variant>
      <vt:variant>
        <vt:lpwstr>_Toc407107578</vt:lpwstr>
      </vt:variant>
      <vt:variant>
        <vt:i4>1441846</vt:i4>
      </vt:variant>
      <vt:variant>
        <vt:i4>65</vt:i4>
      </vt:variant>
      <vt:variant>
        <vt:i4>0</vt:i4>
      </vt:variant>
      <vt:variant>
        <vt:i4>5</vt:i4>
      </vt:variant>
      <vt:variant>
        <vt:lpwstr/>
      </vt:variant>
      <vt:variant>
        <vt:lpwstr>_Toc407107577</vt:lpwstr>
      </vt:variant>
      <vt:variant>
        <vt:i4>1441846</vt:i4>
      </vt:variant>
      <vt:variant>
        <vt:i4>59</vt:i4>
      </vt:variant>
      <vt:variant>
        <vt:i4>0</vt:i4>
      </vt:variant>
      <vt:variant>
        <vt:i4>5</vt:i4>
      </vt:variant>
      <vt:variant>
        <vt:lpwstr/>
      </vt:variant>
      <vt:variant>
        <vt:lpwstr>_Toc407107576</vt:lpwstr>
      </vt:variant>
      <vt:variant>
        <vt:i4>1441846</vt:i4>
      </vt:variant>
      <vt:variant>
        <vt:i4>53</vt:i4>
      </vt:variant>
      <vt:variant>
        <vt:i4>0</vt:i4>
      </vt:variant>
      <vt:variant>
        <vt:i4>5</vt:i4>
      </vt:variant>
      <vt:variant>
        <vt:lpwstr/>
      </vt:variant>
      <vt:variant>
        <vt:lpwstr>_Toc407107575</vt:lpwstr>
      </vt:variant>
      <vt:variant>
        <vt:i4>1441846</vt:i4>
      </vt:variant>
      <vt:variant>
        <vt:i4>47</vt:i4>
      </vt:variant>
      <vt:variant>
        <vt:i4>0</vt:i4>
      </vt:variant>
      <vt:variant>
        <vt:i4>5</vt:i4>
      </vt:variant>
      <vt:variant>
        <vt:lpwstr/>
      </vt:variant>
      <vt:variant>
        <vt:lpwstr>_Toc407107574</vt:lpwstr>
      </vt:variant>
      <vt:variant>
        <vt:i4>1441846</vt:i4>
      </vt:variant>
      <vt:variant>
        <vt:i4>41</vt:i4>
      </vt:variant>
      <vt:variant>
        <vt:i4>0</vt:i4>
      </vt:variant>
      <vt:variant>
        <vt:i4>5</vt:i4>
      </vt:variant>
      <vt:variant>
        <vt:lpwstr/>
      </vt:variant>
      <vt:variant>
        <vt:lpwstr>_Toc407107573</vt:lpwstr>
      </vt:variant>
      <vt:variant>
        <vt:i4>1441846</vt:i4>
      </vt:variant>
      <vt:variant>
        <vt:i4>35</vt:i4>
      </vt:variant>
      <vt:variant>
        <vt:i4>0</vt:i4>
      </vt:variant>
      <vt:variant>
        <vt:i4>5</vt:i4>
      </vt:variant>
      <vt:variant>
        <vt:lpwstr/>
      </vt:variant>
      <vt:variant>
        <vt:lpwstr>_Toc407107572</vt:lpwstr>
      </vt:variant>
      <vt:variant>
        <vt:i4>1441846</vt:i4>
      </vt:variant>
      <vt:variant>
        <vt:i4>29</vt:i4>
      </vt:variant>
      <vt:variant>
        <vt:i4>0</vt:i4>
      </vt:variant>
      <vt:variant>
        <vt:i4>5</vt:i4>
      </vt:variant>
      <vt:variant>
        <vt:lpwstr/>
      </vt:variant>
      <vt:variant>
        <vt:lpwstr>_Toc407107571</vt:lpwstr>
      </vt:variant>
      <vt:variant>
        <vt:i4>1441846</vt:i4>
      </vt:variant>
      <vt:variant>
        <vt:i4>23</vt:i4>
      </vt:variant>
      <vt:variant>
        <vt:i4>0</vt:i4>
      </vt:variant>
      <vt:variant>
        <vt:i4>5</vt:i4>
      </vt:variant>
      <vt:variant>
        <vt:lpwstr/>
      </vt:variant>
      <vt:variant>
        <vt:lpwstr>_Toc407107570</vt:lpwstr>
      </vt:variant>
      <vt:variant>
        <vt:i4>1507382</vt:i4>
      </vt:variant>
      <vt:variant>
        <vt:i4>17</vt:i4>
      </vt:variant>
      <vt:variant>
        <vt:i4>0</vt:i4>
      </vt:variant>
      <vt:variant>
        <vt:i4>5</vt:i4>
      </vt:variant>
      <vt:variant>
        <vt:lpwstr/>
      </vt:variant>
      <vt:variant>
        <vt:lpwstr>_Toc407107569</vt:lpwstr>
      </vt:variant>
      <vt:variant>
        <vt:i4>1507382</vt:i4>
      </vt:variant>
      <vt:variant>
        <vt:i4>11</vt:i4>
      </vt:variant>
      <vt:variant>
        <vt:i4>0</vt:i4>
      </vt:variant>
      <vt:variant>
        <vt:i4>5</vt:i4>
      </vt:variant>
      <vt:variant>
        <vt:lpwstr/>
      </vt:variant>
      <vt:variant>
        <vt:lpwstr>_Toc407107568</vt:lpwstr>
      </vt:variant>
      <vt:variant>
        <vt:i4>5439568</vt:i4>
      </vt:variant>
      <vt:variant>
        <vt:i4>2585</vt:i4>
      </vt:variant>
      <vt:variant>
        <vt:i4>1026</vt:i4>
      </vt:variant>
      <vt:variant>
        <vt:i4>4</vt:i4>
      </vt:variant>
      <vt:variant>
        <vt:lpwstr>http://mylink.agdaff.gov.au/Comms/PrintPub/Logos/Departmental Logos/Department of Agriculture/Left Aligned/Master Inline-TIF.tif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2024-05-23T21:52:00Z</dcterms:created>
  <dcterms:modified xsi:type="dcterms:W3CDTF">2024-05-23T21:52:00Z</dcterms:modified>
</cp:coreProperties>
</file>