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A667" w14:textId="557705FF" w:rsidR="00B875DD" w:rsidRDefault="00FD55A8" w:rsidP="00B2341A">
      <w:r w:rsidRPr="00F72D28">
        <w:rPr>
          <w:noProof/>
          <w:color w:val="auto"/>
          <w:lang w:eastAsia="en-AU"/>
        </w:rPr>
        <w:drawing>
          <wp:anchor distT="0" distB="0" distL="114300" distR="114300" simplePos="0" relativeHeight="251658240" behindDoc="0" locked="0" layoutInCell="1" allowOverlap="1" wp14:anchorId="70E73C6F" wp14:editId="044285E9">
            <wp:simplePos x="0" y="0"/>
            <wp:positionH relativeFrom="column">
              <wp:posOffset>19823</wp:posOffset>
            </wp:positionH>
            <wp:positionV relativeFrom="paragraph">
              <wp:posOffset>3479</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59F40DD3" w14:textId="77777777" w:rsidR="00FD55A8" w:rsidRDefault="00FD55A8" w:rsidP="000E2F09">
      <w:pPr>
        <w:pStyle w:val="Titlepageheading1"/>
        <w:spacing w:before="240"/>
        <w:ind w:left="1276"/>
        <w:contextualSpacing w:val="0"/>
        <w:rPr>
          <w:sz w:val="38"/>
          <w:szCs w:val="38"/>
        </w:rPr>
      </w:pPr>
    </w:p>
    <w:p w14:paraId="76ABBB5F" w14:textId="378A13AC" w:rsidR="00097BE7" w:rsidRPr="00DE5016" w:rsidRDefault="00630148" w:rsidP="000E2F09">
      <w:pPr>
        <w:pStyle w:val="Titlepageheading1"/>
        <w:spacing w:before="240"/>
        <w:ind w:left="1276"/>
        <w:contextualSpacing w:val="0"/>
        <w:rPr>
          <w:sz w:val="38"/>
          <w:szCs w:val="38"/>
        </w:rPr>
      </w:pPr>
      <w:r>
        <w:rPr>
          <w:sz w:val="38"/>
          <w:szCs w:val="38"/>
        </w:rPr>
        <w:t xml:space="preserve">Approved </w:t>
      </w:r>
      <w:r w:rsidR="00FD55A8">
        <w:rPr>
          <w:sz w:val="38"/>
          <w:szCs w:val="38"/>
        </w:rPr>
        <w:t>a</w:t>
      </w:r>
      <w:r>
        <w:rPr>
          <w:sz w:val="38"/>
          <w:szCs w:val="38"/>
        </w:rPr>
        <w:t>rrangement</w:t>
      </w:r>
    </w:p>
    <w:p w14:paraId="35401250" w14:textId="15A9003F" w:rsidR="00D32969" w:rsidRDefault="007A1AA9" w:rsidP="00D32969">
      <w:pPr>
        <w:pStyle w:val="Titlepageheading1"/>
        <w:spacing w:before="240"/>
        <w:ind w:left="1276"/>
        <w:contextualSpacing w:val="0"/>
        <w:rPr>
          <w:rStyle w:val="Titlepageheading2"/>
          <w:sz w:val="36"/>
          <w:szCs w:val="36"/>
        </w:rPr>
      </w:pPr>
      <w:r>
        <w:rPr>
          <w:rStyle w:val="Titlepageheading2"/>
          <w:sz w:val="36"/>
          <w:szCs w:val="36"/>
        </w:rPr>
        <w:t>Class 2.41 Verification of Packaging for Airfreight Perishables</w:t>
      </w:r>
    </w:p>
    <w:p w14:paraId="760B68FE" w14:textId="77777777" w:rsidR="003B4BE3" w:rsidRPr="00A7334C" w:rsidRDefault="00630148" w:rsidP="003B4BE3">
      <w:pPr>
        <w:pStyle w:val="Titlepageheading1"/>
        <w:spacing w:before="240"/>
        <w:ind w:left="1276"/>
        <w:contextualSpacing w:val="0"/>
        <w:rPr>
          <w:sz w:val="38"/>
          <w:szCs w:val="38"/>
        </w:rPr>
      </w:pPr>
      <w:r>
        <w:rPr>
          <w:sz w:val="38"/>
          <w:szCs w:val="38"/>
        </w:rPr>
        <w:t>Requirements</w:t>
      </w:r>
    </w:p>
    <w:p w14:paraId="2EC7C1A0" w14:textId="77777777" w:rsidR="00B875DD" w:rsidRPr="000E2F09" w:rsidRDefault="00B875DD" w:rsidP="008E0052">
      <w:pPr>
        <w:pStyle w:val="Biosecuritytagline"/>
        <w:rPr>
          <w:sz w:val="2"/>
          <w:szCs w:val="2"/>
        </w:rPr>
      </w:pPr>
    </w:p>
    <w:p w14:paraId="405BD996" w14:textId="0E705730"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BB5CCD">
        <w:rPr>
          <w:rStyle w:val="PlaceholderText"/>
          <w:rFonts w:asciiTheme="majorHAnsi" w:hAnsiTheme="majorHAnsi" w:cstheme="majorHAnsi"/>
          <w:b/>
          <w:color w:val="808080" w:themeColor="background1" w:themeShade="80"/>
          <w:sz w:val="28"/>
          <w:szCs w:val="24"/>
        </w:rPr>
        <w:t>1.</w:t>
      </w:r>
      <w:r w:rsidR="0008493B">
        <w:rPr>
          <w:rStyle w:val="PlaceholderText"/>
          <w:rFonts w:asciiTheme="majorHAnsi" w:hAnsiTheme="majorHAnsi" w:cstheme="majorHAnsi"/>
          <w:b/>
          <w:color w:val="808080" w:themeColor="background1" w:themeShade="80"/>
          <w:sz w:val="28"/>
          <w:szCs w:val="24"/>
        </w:rPr>
        <w:t>1</w:t>
      </w:r>
    </w:p>
    <w:p w14:paraId="1EB72DC1"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74630BEB" w14:textId="77777777" w:rsidR="000E2F09" w:rsidRDefault="00827E0C" w:rsidP="000E2F09">
      <w:pPr>
        <w:jc w:val="center"/>
        <w:rPr>
          <w:rFonts w:asciiTheme="majorHAnsi" w:hAnsiTheme="majorHAnsi" w:cstheme="majorHAnsi"/>
        </w:rPr>
      </w:pPr>
      <w:r>
        <w:rPr>
          <w:noProof/>
          <w:lang w:eastAsia="en-AU"/>
        </w:rPr>
        <w:drawing>
          <wp:inline distT="0" distB="0" distL="0" distR="0" wp14:anchorId="603E0532" wp14:editId="465A2901">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16CD292A"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57B0EE3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39AFE2DD" w14:textId="77777777" w:rsidR="00E34981" w:rsidRPr="00C10BEB" w:rsidRDefault="00E34981" w:rsidP="00622C81">
      <w:pPr>
        <w:pStyle w:val="smalltext"/>
        <w:ind w:right="-64"/>
        <w:rPr>
          <w:rFonts w:asciiTheme="majorHAnsi" w:hAnsiTheme="majorHAnsi" w:cstheme="majorHAnsi"/>
          <w:sz w:val="22"/>
          <w:szCs w:val="22"/>
        </w:rPr>
      </w:pPr>
    </w:p>
    <w:p w14:paraId="2B9F102D"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103C6AA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78D4A6D7" w14:textId="77777777" w:rsidR="00097BE7" w:rsidRPr="00C10BEB" w:rsidRDefault="00097BE7" w:rsidP="00D32218">
      <w:pPr>
        <w:pStyle w:val="smalltext"/>
        <w:ind w:right="-64"/>
        <w:rPr>
          <w:rFonts w:asciiTheme="majorHAnsi" w:hAnsiTheme="majorHAnsi" w:cstheme="majorHAnsi"/>
          <w:sz w:val="22"/>
          <w:szCs w:val="22"/>
        </w:rPr>
      </w:pPr>
    </w:p>
    <w:p w14:paraId="111170F5"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65271B60"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All material in this publication is licensed under a Creative Commons Attribution 3.0 Australia Licence, save for content supplied by third parties, </w:t>
      </w:r>
      <w:proofErr w:type="gramStart"/>
      <w:r w:rsidRPr="00C10BEB">
        <w:rPr>
          <w:rFonts w:asciiTheme="majorHAnsi" w:hAnsiTheme="majorHAnsi" w:cstheme="majorHAnsi"/>
          <w:sz w:val="22"/>
          <w:szCs w:val="22"/>
        </w:rPr>
        <w:t>logos</w:t>
      </w:r>
      <w:proofErr w:type="gramEnd"/>
      <w:r w:rsidRPr="00C10BEB">
        <w:rPr>
          <w:rFonts w:asciiTheme="majorHAnsi" w:hAnsiTheme="majorHAnsi" w:cstheme="majorHAnsi"/>
          <w:sz w:val="22"/>
          <w:szCs w:val="22"/>
        </w:rPr>
        <w:t xml:space="preserve"> and the Commonwealth Coat of Arms.</w:t>
      </w:r>
    </w:p>
    <w:p w14:paraId="285230CE" w14:textId="77777777" w:rsidR="00097BE7" w:rsidRPr="00C10BEB" w:rsidRDefault="00097BE7" w:rsidP="00D32218">
      <w:pPr>
        <w:pStyle w:val="smalltext"/>
        <w:ind w:right="-64"/>
        <w:rPr>
          <w:rFonts w:asciiTheme="majorHAnsi" w:hAnsiTheme="majorHAnsi" w:cstheme="majorHAnsi"/>
          <w:sz w:val="22"/>
          <w:szCs w:val="22"/>
        </w:rPr>
      </w:pPr>
    </w:p>
    <w:p w14:paraId="74271D22"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1B959A70" w14:textId="77777777" w:rsidR="00097BE7" w:rsidRPr="00C10BEB" w:rsidRDefault="00097BE7" w:rsidP="00D32218">
      <w:pPr>
        <w:pStyle w:val="smalltext"/>
        <w:ind w:right="-64"/>
        <w:rPr>
          <w:rFonts w:asciiTheme="majorHAnsi" w:hAnsiTheme="majorHAnsi" w:cstheme="majorHAnsi"/>
          <w:sz w:val="22"/>
          <w:szCs w:val="22"/>
        </w:rPr>
      </w:pPr>
    </w:p>
    <w:p w14:paraId="5552828B" w14:textId="6877592E"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sidR="0008493B">
        <w:rPr>
          <w:rFonts w:ascii="Calibri" w:hAnsi="Calibri" w:cs="Calibri"/>
          <w:sz w:val="22"/>
        </w:rPr>
        <w:t>7</w:t>
      </w:r>
      <w:r w:rsidRPr="00C53F98">
        <w:rPr>
          <w:rFonts w:ascii="Calibri" w:hAnsi="Calibri" w:cs="Calibri"/>
          <w:sz w:val="22"/>
        </w:rPr>
        <w:t xml:space="preserve">, </w:t>
      </w:r>
      <w:r w:rsidR="00630148">
        <w:rPr>
          <w:rFonts w:ascii="Calibri" w:hAnsi="Calibri" w:cs="Calibri"/>
          <w:sz w:val="22"/>
        </w:rPr>
        <w:t>AA</w:t>
      </w:r>
      <w:r w:rsidR="008227DD">
        <w:rPr>
          <w:rFonts w:ascii="Calibri" w:hAnsi="Calibri" w:cs="Calibri"/>
          <w:sz w:val="22"/>
        </w:rPr>
        <w:t xml:space="preserve"> for 2.41</w:t>
      </w:r>
      <w:r w:rsidRPr="00C53F98">
        <w:rPr>
          <w:rFonts w:ascii="Calibri" w:hAnsi="Calibri" w:cs="Calibri"/>
          <w:sz w:val="22"/>
        </w:rPr>
        <w:t xml:space="preserve"> </w:t>
      </w:r>
      <w:r w:rsidR="0001125D">
        <w:rPr>
          <w:rFonts w:ascii="Calibri" w:hAnsi="Calibri" w:cs="Calibri"/>
          <w:sz w:val="22"/>
        </w:rPr>
        <w:t xml:space="preserve">Verification of Packaging for Airfreight </w:t>
      </w:r>
      <w:r w:rsidR="00E02366">
        <w:rPr>
          <w:rFonts w:ascii="Calibri" w:hAnsi="Calibri" w:cs="Calibri"/>
          <w:sz w:val="22"/>
        </w:rPr>
        <w:t xml:space="preserve">Perishables </w:t>
      </w:r>
      <w:r w:rsidR="00E02366" w:rsidRPr="00C53F98">
        <w:rPr>
          <w:rFonts w:ascii="Calibri" w:hAnsi="Calibri" w:cs="Calibri"/>
          <w:sz w:val="22"/>
        </w:rPr>
        <w:t>-</w:t>
      </w:r>
      <w:r w:rsidRPr="00C53F98">
        <w:rPr>
          <w:rFonts w:ascii="Calibri" w:hAnsi="Calibri" w:cs="Calibri"/>
          <w:sz w:val="22"/>
        </w:rPr>
        <w:t xml:space="preserve"> </w:t>
      </w:r>
      <w:r w:rsidR="00630148">
        <w:rPr>
          <w:rFonts w:ascii="Calibri" w:hAnsi="Calibri" w:cs="Calibri"/>
          <w:sz w:val="22"/>
        </w:rPr>
        <w:t>Requirements</w:t>
      </w:r>
      <w:r w:rsidRPr="00C53F98">
        <w:rPr>
          <w:rFonts w:ascii="Calibri" w:hAnsi="Calibri" w:cs="Calibri"/>
          <w:sz w:val="22"/>
        </w:rPr>
        <w:t>, (</w:t>
      </w:r>
      <w:r w:rsidR="00630148">
        <w:rPr>
          <w:rFonts w:ascii="Calibri" w:hAnsi="Calibri" w:cs="Calibri"/>
          <w:sz w:val="22"/>
        </w:rPr>
        <w:t>AA</w:t>
      </w:r>
      <w:r w:rsidRPr="00C53F98">
        <w:rPr>
          <w:rFonts w:ascii="Calibri" w:hAnsi="Calibri" w:cs="Calibri"/>
          <w:sz w:val="22"/>
        </w:rPr>
        <w:t xml:space="preserve"> </w:t>
      </w:r>
      <w:r>
        <w:rPr>
          <w:rFonts w:ascii="Calibri" w:hAnsi="Calibri" w:cs="Calibri"/>
          <w:sz w:val="22"/>
        </w:rPr>
        <w:t>for</w:t>
      </w:r>
      <w:r w:rsidR="008227DD">
        <w:rPr>
          <w:rFonts w:ascii="Calibri" w:hAnsi="Calibri" w:cs="Calibri"/>
          <w:sz w:val="22"/>
        </w:rPr>
        <w:t xml:space="preserve"> 2.41</w:t>
      </w:r>
      <w:r>
        <w:rPr>
          <w:rFonts w:ascii="Calibri" w:hAnsi="Calibri" w:cs="Calibri"/>
          <w:sz w:val="22"/>
        </w:rPr>
        <w:t xml:space="preserve"> </w:t>
      </w:r>
      <w:r w:rsidR="0001125D">
        <w:rPr>
          <w:rFonts w:ascii="Calibri" w:hAnsi="Calibri" w:cs="Calibri"/>
          <w:sz w:val="22"/>
        </w:rPr>
        <w:t xml:space="preserve">Verification of Packaging for Airfreight </w:t>
      </w:r>
      <w:r w:rsidR="00E02366">
        <w:rPr>
          <w:rFonts w:ascii="Calibri" w:hAnsi="Calibri" w:cs="Calibri"/>
          <w:sz w:val="22"/>
        </w:rPr>
        <w:t xml:space="preserve">Perishables </w:t>
      </w:r>
      <w:r w:rsidR="00E02366" w:rsidRPr="00C53F98">
        <w:rPr>
          <w:rFonts w:ascii="Calibri" w:hAnsi="Calibri" w:cs="Calibri"/>
          <w:sz w:val="22"/>
        </w:rPr>
        <w:t>-</w:t>
      </w:r>
      <w:r w:rsidRPr="00C53F98">
        <w:rPr>
          <w:rFonts w:ascii="Calibri" w:hAnsi="Calibri" w:cs="Calibri"/>
          <w:sz w:val="22"/>
        </w:rPr>
        <w:t xml:space="preserve"> </w:t>
      </w:r>
      <w:r w:rsidR="00630148">
        <w:rPr>
          <w:rFonts w:ascii="Calibri" w:hAnsi="Calibri" w:cs="Calibri"/>
          <w:sz w:val="22"/>
        </w:rPr>
        <w:t>Requirements</w:t>
      </w:r>
      <w:r w:rsidRPr="00C53F98">
        <w:rPr>
          <w:rFonts w:ascii="Calibri" w:hAnsi="Calibri" w:cs="Calibri"/>
          <w:sz w:val="22"/>
        </w:rPr>
        <w:t xml:space="preserve"> prepared for the Department of Agriculture</w:t>
      </w:r>
      <w:r w:rsidR="00FD55A8">
        <w:rPr>
          <w:rFonts w:ascii="Calibri" w:hAnsi="Calibri" w:cs="Calibri"/>
          <w:sz w:val="22"/>
        </w:rPr>
        <w:t xml:space="preserve">, </w:t>
      </w:r>
      <w:proofErr w:type="gramStart"/>
      <w:r>
        <w:rPr>
          <w:rFonts w:ascii="Calibri" w:hAnsi="Calibri" w:cs="Calibri"/>
          <w:sz w:val="22"/>
        </w:rPr>
        <w:t>Water</w:t>
      </w:r>
      <w:proofErr w:type="gramEnd"/>
      <w:r>
        <w:rPr>
          <w:rFonts w:ascii="Calibri" w:hAnsi="Calibri" w:cs="Calibri"/>
          <w:sz w:val="22"/>
        </w:rPr>
        <w:t xml:space="preserve"> </w:t>
      </w:r>
      <w:r w:rsidR="00FD55A8">
        <w:rPr>
          <w:rFonts w:ascii="Calibri" w:hAnsi="Calibri" w:cs="Calibri"/>
          <w:sz w:val="22"/>
        </w:rPr>
        <w:t>and the Environment</w:t>
      </w:r>
      <w:r w:rsidRPr="00C53F98">
        <w:rPr>
          <w:rFonts w:ascii="Calibri" w:hAnsi="Calibri" w:cs="Calibri"/>
          <w:sz w:val="22"/>
        </w:rPr>
        <w:t>), Canberra.</w:t>
      </w:r>
    </w:p>
    <w:p w14:paraId="5966EFC0" w14:textId="77777777" w:rsidR="00E34981" w:rsidRPr="00C10BEB" w:rsidRDefault="00E34981" w:rsidP="00D32218">
      <w:pPr>
        <w:pStyle w:val="smalltext"/>
        <w:ind w:right="-64"/>
        <w:rPr>
          <w:rFonts w:asciiTheme="majorHAnsi" w:hAnsiTheme="majorHAnsi" w:cstheme="majorHAnsi"/>
          <w:sz w:val="22"/>
          <w:szCs w:val="22"/>
        </w:rPr>
      </w:pPr>
    </w:p>
    <w:p w14:paraId="5D08901C" w14:textId="6DB742AB"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FD55A8">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FD55A8">
        <w:rPr>
          <w:rStyle w:val="Strong"/>
          <w:rFonts w:asciiTheme="majorHAnsi" w:hAnsiTheme="majorHAnsi" w:cstheme="majorHAnsi"/>
          <w:sz w:val="22"/>
          <w:szCs w:val="22"/>
        </w:rPr>
        <w:t>and the Environment</w:t>
      </w:r>
    </w:p>
    <w:p w14:paraId="2C8D6993"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4817F95B"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1254AA4E" w14:textId="77777777" w:rsidR="00FD55A8" w:rsidRPr="009F0ACE" w:rsidRDefault="00FD55A8" w:rsidP="00FD55A8">
      <w:pPr>
        <w:pStyle w:val="smalltext"/>
        <w:ind w:right="-64"/>
        <w:rPr>
          <w:rFonts w:asciiTheme="majorHAnsi" w:hAnsiTheme="majorHAnsi" w:cstheme="majorHAnsi"/>
          <w:sz w:val="22"/>
          <w:szCs w:val="22"/>
        </w:rPr>
      </w:pPr>
      <w:r w:rsidRPr="009F0ACE">
        <w:rPr>
          <w:rFonts w:asciiTheme="majorHAnsi" w:hAnsiTheme="majorHAnsi" w:cstheme="majorHAnsi"/>
          <w:sz w:val="22"/>
          <w:szCs w:val="22"/>
        </w:rPr>
        <w:t>Telephone 1800 900 090</w:t>
      </w:r>
    </w:p>
    <w:p w14:paraId="7440145B" w14:textId="354DC29D"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bookmarkStart w:id="0" w:name="_Hlk88059821"/>
      <w:r w:rsidR="00FD55A8">
        <w:rPr>
          <w:rFonts w:asciiTheme="majorHAnsi" w:hAnsiTheme="majorHAnsi" w:cstheme="majorHAnsi"/>
          <w:sz w:val="22"/>
          <w:szCs w:val="22"/>
        </w:rPr>
        <w:fldChar w:fldCharType="begin"/>
      </w:r>
      <w:r w:rsidR="00FD55A8">
        <w:rPr>
          <w:rFonts w:asciiTheme="majorHAnsi" w:hAnsiTheme="majorHAnsi" w:cstheme="majorHAnsi"/>
          <w:sz w:val="22"/>
          <w:szCs w:val="22"/>
        </w:rPr>
        <w:instrText xml:space="preserve"> HYPERLINK "https://www.awe.gov.au/" </w:instrText>
      </w:r>
      <w:r w:rsidR="00FD55A8">
        <w:rPr>
          <w:rFonts w:asciiTheme="majorHAnsi" w:hAnsiTheme="majorHAnsi" w:cstheme="majorHAnsi"/>
          <w:sz w:val="22"/>
          <w:szCs w:val="22"/>
        </w:rPr>
        <w:fldChar w:fldCharType="separate"/>
      </w:r>
      <w:r w:rsidR="00FD55A8" w:rsidRPr="00FD55A8">
        <w:rPr>
          <w:rStyle w:val="Hyperlink"/>
          <w:rFonts w:asciiTheme="majorHAnsi" w:hAnsiTheme="majorHAnsi" w:cstheme="majorHAnsi"/>
          <w:sz w:val="22"/>
          <w:szCs w:val="22"/>
        </w:rPr>
        <w:t>awe.gov.au</w:t>
      </w:r>
      <w:r w:rsidR="00FD55A8">
        <w:rPr>
          <w:rFonts w:asciiTheme="majorHAnsi" w:hAnsiTheme="majorHAnsi" w:cstheme="majorHAnsi"/>
          <w:sz w:val="22"/>
          <w:szCs w:val="22"/>
        </w:rPr>
        <w:fldChar w:fldCharType="end"/>
      </w:r>
      <w:bookmarkEnd w:id="0"/>
    </w:p>
    <w:p w14:paraId="5959E7EF" w14:textId="77777777" w:rsidR="00D32218" w:rsidRPr="00C10BEB" w:rsidRDefault="00D32218" w:rsidP="00D32218">
      <w:pPr>
        <w:pStyle w:val="smalltext"/>
        <w:ind w:right="-64"/>
        <w:rPr>
          <w:rFonts w:asciiTheme="majorHAnsi" w:hAnsiTheme="majorHAnsi" w:cstheme="majorHAnsi"/>
          <w:sz w:val="22"/>
          <w:szCs w:val="22"/>
        </w:rPr>
      </w:pPr>
    </w:p>
    <w:p w14:paraId="6923A5D8"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4"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179E5080" w14:textId="77777777" w:rsidR="00D32218" w:rsidRPr="00C10BEB" w:rsidRDefault="00D32218" w:rsidP="00D32218">
      <w:pPr>
        <w:pStyle w:val="smalltext"/>
        <w:ind w:right="-64"/>
        <w:rPr>
          <w:rFonts w:asciiTheme="majorHAnsi" w:hAnsiTheme="majorHAnsi" w:cstheme="majorHAnsi"/>
          <w:sz w:val="22"/>
          <w:szCs w:val="22"/>
        </w:rPr>
      </w:pPr>
    </w:p>
    <w:p w14:paraId="2F82E9BC" w14:textId="2CB2B2F5"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FD55A8">
        <w:rPr>
          <w:rFonts w:asciiTheme="majorHAnsi" w:hAnsiTheme="majorHAnsi" w:cstheme="majorHAnsi"/>
          <w:sz w:val="22"/>
          <w:szCs w:val="22"/>
        </w:rPr>
        <w:t xml:space="preserve">, </w:t>
      </w:r>
      <w:r w:rsidR="002B6799">
        <w:rPr>
          <w:rFonts w:asciiTheme="majorHAnsi" w:hAnsiTheme="majorHAnsi" w:cstheme="majorHAnsi"/>
          <w:sz w:val="22"/>
          <w:szCs w:val="22"/>
        </w:rPr>
        <w:t xml:space="preserve">Water </w:t>
      </w:r>
      <w:r w:rsidR="00FD55A8">
        <w:rPr>
          <w:rFonts w:asciiTheme="majorHAnsi" w:hAnsiTheme="majorHAnsi" w:cstheme="majorHAnsi"/>
          <w:sz w:val="22"/>
          <w:szCs w:val="22"/>
        </w:rPr>
        <w:t>and the Environment</w:t>
      </w:r>
      <w:r w:rsidR="00FD55A8"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xml:space="preserve">, its employees and advisers disclaim all liability, including liability for negligence, for any loss, damage, injury, </w:t>
      </w:r>
      <w:proofErr w:type="gramStart"/>
      <w:r w:rsidRPr="00C10BEB">
        <w:rPr>
          <w:rFonts w:asciiTheme="majorHAnsi" w:hAnsiTheme="majorHAnsi" w:cstheme="majorHAnsi"/>
          <w:sz w:val="22"/>
          <w:szCs w:val="22"/>
        </w:rPr>
        <w:t>expense</w:t>
      </w:r>
      <w:proofErr w:type="gramEnd"/>
      <w:r w:rsidRPr="00C10BEB">
        <w:rPr>
          <w:rFonts w:asciiTheme="majorHAnsi" w:hAnsiTheme="majorHAnsi" w:cstheme="majorHAnsi"/>
          <w:sz w:val="22"/>
          <w:szCs w:val="22"/>
        </w:rPr>
        <w:t xml:space="preserve"> or cost incurred by any person as a result of accessing, using or relying upon any of the information or data in this publication to the maximum extent permitted by law.</w:t>
      </w:r>
    </w:p>
    <w:p w14:paraId="4C4DA3B8" w14:textId="77777777" w:rsidR="004F2E5A" w:rsidRPr="00C10BEB" w:rsidRDefault="004F2E5A">
      <w:pPr>
        <w:pStyle w:val="smalltext"/>
        <w:ind w:right="-428"/>
        <w:rPr>
          <w:rFonts w:asciiTheme="majorHAnsi" w:hAnsiTheme="majorHAnsi" w:cstheme="majorHAnsi"/>
          <w:sz w:val="22"/>
          <w:szCs w:val="22"/>
        </w:rPr>
      </w:pPr>
    </w:p>
    <w:p w14:paraId="598E9C30"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4F0ACF2E"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35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436"/>
        <w:gridCol w:w="3260"/>
      </w:tblGrid>
      <w:tr w:rsidR="00AA3179" w:rsidRPr="00C10BEB" w14:paraId="398F24E4" w14:textId="77777777" w:rsidTr="0008493B">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6CBAE735"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944D1BE"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3436" w:type="dxa"/>
            <w:tcBorders>
              <w:top w:val="single" w:sz="12" w:space="0" w:color="C00000"/>
              <w:left w:val="nil"/>
              <w:bottom w:val="single" w:sz="12" w:space="0" w:color="C00000"/>
              <w:right w:val="nil"/>
            </w:tcBorders>
            <w:shd w:val="clear" w:color="auto" w:fill="F2DBDB" w:themeFill="accent2" w:themeFillTint="33"/>
            <w:vAlign w:val="center"/>
          </w:tcPr>
          <w:p w14:paraId="402F38AB" w14:textId="77777777" w:rsidR="00116F8E" w:rsidRPr="00C10BEB" w:rsidRDefault="00207C4C" w:rsidP="00B816D0">
            <w:pPr>
              <w:pStyle w:val="tableboldright"/>
              <w:spacing w:before="40" w:after="40" w:line="280" w:lineRule="atLeast"/>
              <w:jc w:val="left"/>
              <w:rPr>
                <w:rFonts w:asciiTheme="majorHAnsi" w:hAnsiTheme="majorHAnsi" w:cstheme="majorHAnsi"/>
                <w:szCs w:val="22"/>
              </w:rPr>
            </w:pPr>
            <w:r w:rsidRPr="00C10BEB">
              <w:rPr>
                <w:rFonts w:asciiTheme="majorHAnsi" w:hAnsiTheme="majorHAnsi" w:cstheme="majorHAnsi"/>
                <w:szCs w:val="22"/>
              </w:rPr>
              <w:t>Amendments</w:t>
            </w:r>
          </w:p>
        </w:tc>
        <w:tc>
          <w:tcPr>
            <w:tcW w:w="3260" w:type="dxa"/>
            <w:tcBorders>
              <w:top w:val="single" w:sz="12" w:space="0" w:color="C00000"/>
              <w:left w:val="nil"/>
              <w:bottom w:val="single" w:sz="12" w:space="0" w:color="C00000"/>
              <w:right w:val="nil"/>
            </w:tcBorders>
            <w:shd w:val="clear" w:color="auto" w:fill="F2DBDB" w:themeFill="accent2" w:themeFillTint="33"/>
            <w:vAlign w:val="center"/>
          </w:tcPr>
          <w:p w14:paraId="6E9DDF5F" w14:textId="77777777" w:rsidR="00116F8E" w:rsidRPr="00C10BEB" w:rsidRDefault="00207C4C" w:rsidP="00B816D0">
            <w:pPr>
              <w:pStyle w:val="tableboldright"/>
              <w:spacing w:before="40" w:after="40" w:line="280" w:lineRule="atLeast"/>
              <w:jc w:val="left"/>
              <w:rPr>
                <w:rFonts w:asciiTheme="majorHAnsi" w:hAnsiTheme="majorHAnsi" w:cstheme="majorHAnsi"/>
                <w:szCs w:val="22"/>
              </w:rPr>
            </w:pPr>
            <w:r w:rsidRPr="00C10BEB">
              <w:rPr>
                <w:rFonts w:asciiTheme="majorHAnsi" w:hAnsiTheme="majorHAnsi" w:cstheme="majorHAnsi"/>
                <w:szCs w:val="22"/>
              </w:rPr>
              <w:t>Approved by</w:t>
            </w:r>
          </w:p>
        </w:tc>
      </w:tr>
      <w:tr w:rsidR="003B4BE3" w:rsidRPr="00C10BEB" w14:paraId="66C59C49" w14:textId="77777777" w:rsidTr="0008493B">
        <w:trPr>
          <w:tblHeader/>
        </w:trPr>
        <w:tc>
          <w:tcPr>
            <w:tcW w:w="1668" w:type="dxa"/>
            <w:tcBorders>
              <w:top w:val="single" w:sz="12" w:space="0" w:color="C00000"/>
              <w:left w:val="nil"/>
              <w:bottom w:val="single" w:sz="4" w:space="0" w:color="auto"/>
              <w:right w:val="nil"/>
            </w:tcBorders>
            <w:vAlign w:val="center"/>
          </w:tcPr>
          <w:p w14:paraId="43870F87" w14:textId="3C837F87" w:rsidR="003B4BE3" w:rsidRPr="00C10BEB" w:rsidRDefault="008C6949" w:rsidP="008C6949">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4/1</w:t>
            </w:r>
            <w:r w:rsidR="0010693C">
              <w:rPr>
                <w:rFonts w:asciiTheme="majorHAnsi" w:eastAsia="Calibri" w:hAnsiTheme="majorHAnsi" w:cstheme="majorHAnsi"/>
                <w:sz w:val="22"/>
                <w:szCs w:val="22"/>
              </w:rPr>
              <w:t>/201</w:t>
            </w:r>
            <w:r>
              <w:rPr>
                <w:rFonts w:asciiTheme="majorHAnsi" w:eastAsia="Calibri" w:hAnsiTheme="majorHAnsi" w:cstheme="majorHAnsi"/>
                <w:sz w:val="22"/>
                <w:szCs w:val="22"/>
              </w:rPr>
              <w:t>7</w:t>
            </w:r>
          </w:p>
        </w:tc>
        <w:tc>
          <w:tcPr>
            <w:tcW w:w="992" w:type="dxa"/>
            <w:tcBorders>
              <w:top w:val="single" w:sz="12" w:space="0" w:color="C00000"/>
              <w:left w:val="nil"/>
              <w:bottom w:val="single" w:sz="4" w:space="0" w:color="auto"/>
              <w:right w:val="nil"/>
            </w:tcBorders>
            <w:shd w:val="clear" w:color="auto" w:fill="auto"/>
            <w:vAlign w:val="center"/>
          </w:tcPr>
          <w:p w14:paraId="2F6B7992" w14:textId="11099F63" w:rsidR="003B4BE3" w:rsidRPr="00C10BEB" w:rsidRDefault="0010693C" w:rsidP="00925C38">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1.0</w:t>
            </w:r>
          </w:p>
        </w:tc>
        <w:tc>
          <w:tcPr>
            <w:tcW w:w="3436" w:type="dxa"/>
            <w:tcBorders>
              <w:top w:val="single" w:sz="12" w:space="0" w:color="C00000"/>
              <w:left w:val="nil"/>
              <w:bottom w:val="single" w:sz="4" w:space="0" w:color="auto"/>
              <w:right w:val="nil"/>
            </w:tcBorders>
            <w:vAlign w:val="center"/>
          </w:tcPr>
          <w:p w14:paraId="4923B379" w14:textId="454FB64C" w:rsidR="003B4BE3" w:rsidRPr="00C10BEB" w:rsidRDefault="002D6D30" w:rsidP="00925C38">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Release for industry consultation</w:t>
            </w:r>
          </w:p>
        </w:tc>
        <w:tc>
          <w:tcPr>
            <w:tcW w:w="3260" w:type="dxa"/>
            <w:tcBorders>
              <w:top w:val="single" w:sz="12" w:space="0" w:color="C00000"/>
              <w:left w:val="nil"/>
              <w:bottom w:val="single" w:sz="4" w:space="0" w:color="auto"/>
              <w:right w:val="nil"/>
            </w:tcBorders>
            <w:shd w:val="clear" w:color="auto" w:fill="auto"/>
            <w:vAlign w:val="center"/>
          </w:tcPr>
          <w:p w14:paraId="79A91633" w14:textId="6494C79D" w:rsidR="003B4BE3" w:rsidRPr="00C10BEB" w:rsidRDefault="00027052" w:rsidP="00925C38">
            <w:pPr>
              <w:pStyle w:val="Default"/>
              <w:spacing w:before="60"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r w:rsidR="0008493B" w:rsidRPr="00C10BEB" w14:paraId="6CFCDD1B" w14:textId="77777777" w:rsidTr="00833034">
        <w:trPr>
          <w:tblHeader/>
        </w:trPr>
        <w:tc>
          <w:tcPr>
            <w:tcW w:w="1668" w:type="dxa"/>
            <w:tcBorders>
              <w:top w:val="single" w:sz="4" w:space="0" w:color="auto"/>
              <w:left w:val="nil"/>
              <w:bottom w:val="single" w:sz="4" w:space="0" w:color="auto"/>
              <w:right w:val="nil"/>
            </w:tcBorders>
            <w:vAlign w:val="center"/>
          </w:tcPr>
          <w:p w14:paraId="34100364" w14:textId="4422BE39" w:rsidR="0008493B" w:rsidRDefault="0008493B" w:rsidP="008C6949">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15/3/2017</w:t>
            </w:r>
          </w:p>
        </w:tc>
        <w:tc>
          <w:tcPr>
            <w:tcW w:w="992" w:type="dxa"/>
            <w:tcBorders>
              <w:top w:val="single" w:sz="4" w:space="0" w:color="auto"/>
              <w:left w:val="nil"/>
              <w:bottom w:val="single" w:sz="4" w:space="0" w:color="auto"/>
              <w:right w:val="nil"/>
            </w:tcBorders>
            <w:shd w:val="clear" w:color="auto" w:fill="auto"/>
            <w:vAlign w:val="center"/>
          </w:tcPr>
          <w:p w14:paraId="655EE42C" w14:textId="4E33293F" w:rsidR="0008493B" w:rsidRDefault="0008493B" w:rsidP="00925C38">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1.1</w:t>
            </w:r>
          </w:p>
        </w:tc>
        <w:tc>
          <w:tcPr>
            <w:tcW w:w="3436" w:type="dxa"/>
            <w:tcBorders>
              <w:top w:val="single" w:sz="4" w:space="0" w:color="auto"/>
              <w:left w:val="nil"/>
              <w:bottom w:val="single" w:sz="4" w:space="0" w:color="auto"/>
              <w:right w:val="nil"/>
            </w:tcBorders>
            <w:vAlign w:val="center"/>
          </w:tcPr>
          <w:p w14:paraId="04646BD1" w14:textId="333ACE45" w:rsidR="0008493B" w:rsidRDefault="0008493B" w:rsidP="00925C38">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Final release </w:t>
            </w:r>
          </w:p>
        </w:tc>
        <w:tc>
          <w:tcPr>
            <w:tcW w:w="3260" w:type="dxa"/>
            <w:tcBorders>
              <w:top w:val="single" w:sz="4" w:space="0" w:color="auto"/>
              <w:left w:val="nil"/>
              <w:bottom w:val="single" w:sz="4" w:space="0" w:color="auto"/>
              <w:right w:val="nil"/>
            </w:tcBorders>
            <w:shd w:val="clear" w:color="auto" w:fill="auto"/>
            <w:vAlign w:val="center"/>
          </w:tcPr>
          <w:p w14:paraId="1B88DFC2" w14:textId="3D1AA8FE" w:rsidR="0008493B" w:rsidRDefault="0008493B" w:rsidP="00925C38">
            <w:pPr>
              <w:pStyle w:val="Default"/>
              <w:spacing w:before="60"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r w:rsidR="00833034" w:rsidRPr="00C10BEB" w14:paraId="38A2A07E" w14:textId="77777777" w:rsidTr="00833034">
        <w:trPr>
          <w:tblHeader/>
        </w:trPr>
        <w:tc>
          <w:tcPr>
            <w:tcW w:w="1668" w:type="dxa"/>
            <w:tcBorders>
              <w:top w:val="single" w:sz="4" w:space="0" w:color="auto"/>
              <w:left w:val="nil"/>
              <w:bottom w:val="single" w:sz="12" w:space="0" w:color="C00000"/>
              <w:right w:val="nil"/>
            </w:tcBorders>
            <w:vAlign w:val="center"/>
          </w:tcPr>
          <w:p w14:paraId="5D1D7212" w14:textId="72B03CAD" w:rsidR="00833034" w:rsidRDefault="00833034" w:rsidP="00833034">
            <w:pPr>
              <w:pStyle w:val="Default"/>
              <w:spacing w:before="60" w:after="60"/>
              <w:rPr>
                <w:rFonts w:asciiTheme="majorHAnsi" w:eastAsia="Calibri" w:hAnsiTheme="majorHAnsi" w:cstheme="majorHAnsi"/>
                <w:sz w:val="22"/>
                <w:szCs w:val="22"/>
              </w:rPr>
            </w:pPr>
            <w:r w:rsidRPr="00833034">
              <w:rPr>
                <w:rFonts w:asciiTheme="majorHAnsi" w:eastAsia="Calibri" w:hAnsiTheme="majorHAnsi" w:cstheme="majorHAnsi"/>
                <w:sz w:val="22"/>
                <w:szCs w:val="22"/>
              </w:rPr>
              <w:t>1</w:t>
            </w:r>
            <w:r w:rsidR="0058564E">
              <w:rPr>
                <w:rFonts w:asciiTheme="majorHAnsi" w:eastAsia="Calibri" w:hAnsiTheme="majorHAnsi" w:cstheme="majorHAnsi"/>
                <w:sz w:val="22"/>
                <w:szCs w:val="22"/>
              </w:rPr>
              <w:t>8</w:t>
            </w:r>
            <w:r w:rsidRPr="00833034">
              <w:rPr>
                <w:rFonts w:asciiTheme="majorHAnsi" w:eastAsia="Calibri" w:hAnsiTheme="majorHAnsi" w:cstheme="majorHAnsi"/>
                <w:sz w:val="22"/>
                <w:szCs w:val="22"/>
              </w:rPr>
              <w:t xml:space="preserve"> November 2021</w:t>
            </w:r>
          </w:p>
        </w:tc>
        <w:tc>
          <w:tcPr>
            <w:tcW w:w="992" w:type="dxa"/>
            <w:tcBorders>
              <w:top w:val="single" w:sz="4" w:space="0" w:color="auto"/>
              <w:left w:val="nil"/>
              <w:bottom w:val="single" w:sz="12" w:space="0" w:color="C00000"/>
              <w:right w:val="nil"/>
            </w:tcBorders>
            <w:shd w:val="clear" w:color="auto" w:fill="auto"/>
            <w:vAlign w:val="center"/>
          </w:tcPr>
          <w:p w14:paraId="4DAE0118" w14:textId="6EA924D5" w:rsidR="00833034" w:rsidRDefault="00833034" w:rsidP="00833034">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1.1</w:t>
            </w:r>
          </w:p>
        </w:tc>
        <w:tc>
          <w:tcPr>
            <w:tcW w:w="3436" w:type="dxa"/>
            <w:tcBorders>
              <w:top w:val="single" w:sz="4" w:space="0" w:color="auto"/>
              <w:left w:val="nil"/>
              <w:bottom w:val="single" w:sz="12" w:space="0" w:color="C00000"/>
              <w:right w:val="nil"/>
            </w:tcBorders>
          </w:tcPr>
          <w:p w14:paraId="276CC66B" w14:textId="535262F0" w:rsidR="00833034" w:rsidRDefault="00833034" w:rsidP="00833034">
            <w:pPr>
              <w:pStyle w:val="Default"/>
              <w:spacing w:before="60" w:after="60"/>
              <w:rPr>
                <w:rFonts w:asciiTheme="majorHAnsi" w:eastAsia="Calibri" w:hAnsiTheme="majorHAnsi" w:cstheme="majorHAnsi"/>
                <w:sz w:val="22"/>
                <w:szCs w:val="22"/>
              </w:rPr>
            </w:pPr>
            <w:r w:rsidRPr="00833034">
              <w:rPr>
                <w:rFonts w:asciiTheme="majorHAnsi" w:eastAsia="Calibri" w:hAnsiTheme="majorHAnsi" w:cstheme="majorHAnsi"/>
                <w:sz w:val="22"/>
                <w:szCs w:val="22"/>
              </w:rPr>
              <w:t>Added biosecurity risk information to the purpose statement in Table 1</w:t>
            </w:r>
          </w:p>
        </w:tc>
        <w:tc>
          <w:tcPr>
            <w:tcW w:w="3260" w:type="dxa"/>
            <w:tcBorders>
              <w:top w:val="single" w:sz="4" w:space="0" w:color="auto"/>
              <w:left w:val="nil"/>
              <w:bottom w:val="single" w:sz="12" w:space="0" w:color="C00000"/>
              <w:right w:val="nil"/>
            </w:tcBorders>
            <w:shd w:val="clear" w:color="auto" w:fill="auto"/>
            <w:vAlign w:val="center"/>
          </w:tcPr>
          <w:p w14:paraId="1304C267" w14:textId="1AAA7F69" w:rsidR="00833034" w:rsidRDefault="00833034" w:rsidP="00833034">
            <w:pPr>
              <w:pStyle w:val="Default"/>
              <w:spacing w:before="60" w:after="60" w:line="280" w:lineRule="atLeast"/>
              <w:rPr>
                <w:rFonts w:asciiTheme="majorHAnsi" w:eastAsia="Calibri" w:hAnsiTheme="majorHAnsi" w:cstheme="majorHAnsi"/>
                <w:sz w:val="22"/>
                <w:szCs w:val="22"/>
              </w:rPr>
            </w:pPr>
            <w:r w:rsidRPr="00833034">
              <w:rPr>
                <w:rFonts w:asciiTheme="majorHAnsi" w:eastAsia="Calibri" w:hAnsiTheme="majorHAnsi" w:cstheme="majorHAnsi"/>
                <w:sz w:val="22"/>
                <w:szCs w:val="22"/>
              </w:rPr>
              <w:t>Approved Arrangements section</w:t>
            </w:r>
          </w:p>
        </w:tc>
      </w:tr>
    </w:tbl>
    <w:p w14:paraId="1B242CEB" w14:textId="77777777" w:rsidR="00AA3179" w:rsidRPr="000E4C0D" w:rsidRDefault="00AA3179" w:rsidP="00AA3179">
      <w:pPr>
        <w:spacing w:after="0" w:line="240" w:lineRule="auto"/>
        <w:rPr>
          <w:rFonts w:asciiTheme="majorHAnsi" w:hAnsiTheme="majorHAnsi"/>
          <w:sz w:val="24"/>
          <w:szCs w:val="24"/>
        </w:rPr>
      </w:pPr>
    </w:p>
    <w:p w14:paraId="55DBEC77" w14:textId="77777777" w:rsidR="00D6237A" w:rsidRDefault="003E0959" w:rsidP="003B4BE3">
      <w:pPr>
        <w:pStyle w:val="TOC2"/>
      </w:pPr>
      <w:r>
        <w:br w:type="page"/>
      </w:r>
    </w:p>
    <w:p w14:paraId="710B7AC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6EF105A0" w14:textId="71BF6711" w:rsidR="009A5062" w:rsidRDefault="00A6597F">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477350967" w:history="1">
        <w:r w:rsidR="009A5062" w:rsidRPr="00B52FA2">
          <w:rPr>
            <w:rStyle w:val="Hyperlink"/>
            <w:noProof/>
          </w:rPr>
          <w:t>Guide to using this document</w:t>
        </w:r>
        <w:r w:rsidR="009A5062">
          <w:rPr>
            <w:noProof/>
            <w:webHidden/>
          </w:rPr>
          <w:tab/>
        </w:r>
        <w:r w:rsidR="009A5062">
          <w:rPr>
            <w:noProof/>
            <w:webHidden/>
          </w:rPr>
          <w:fldChar w:fldCharType="begin"/>
        </w:r>
        <w:r w:rsidR="009A5062">
          <w:rPr>
            <w:noProof/>
            <w:webHidden/>
          </w:rPr>
          <w:instrText xml:space="preserve"> PAGEREF _Toc477350967 \h </w:instrText>
        </w:r>
        <w:r w:rsidR="009A5062">
          <w:rPr>
            <w:noProof/>
            <w:webHidden/>
          </w:rPr>
        </w:r>
        <w:r w:rsidR="009A5062">
          <w:rPr>
            <w:noProof/>
            <w:webHidden/>
          </w:rPr>
          <w:fldChar w:fldCharType="separate"/>
        </w:r>
        <w:r w:rsidR="00833034">
          <w:rPr>
            <w:noProof/>
            <w:webHidden/>
          </w:rPr>
          <w:t>4</w:t>
        </w:r>
        <w:r w:rsidR="009A5062">
          <w:rPr>
            <w:noProof/>
            <w:webHidden/>
          </w:rPr>
          <w:fldChar w:fldCharType="end"/>
        </w:r>
      </w:hyperlink>
    </w:p>
    <w:p w14:paraId="2F71C650" w14:textId="20118168" w:rsidR="009A5062" w:rsidRDefault="008F45D2">
      <w:pPr>
        <w:pStyle w:val="TOC1"/>
        <w:tabs>
          <w:tab w:val="right" w:pos="9487"/>
        </w:tabs>
        <w:rPr>
          <w:rFonts w:eastAsiaTheme="minorEastAsia" w:cstheme="minorBidi"/>
          <w:b w:val="0"/>
          <w:noProof/>
          <w:color w:val="auto"/>
          <w:sz w:val="22"/>
          <w:szCs w:val="22"/>
          <w:lang w:eastAsia="en-AU"/>
        </w:rPr>
      </w:pPr>
      <w:hyperlink w:anchor="_Toc477350968" w:history="1">
        <w:r w:rsidR="009A5062" w:rsidRPr="00B52FA2">
          <w:rPr>
            <w:rStyle w:val="Hyperlink"/>
            <w:noProof/>
          </w:rPr>
          <w:t>Definitions</w:t>
        </w:r>
        <w:r w:rsidR="009A5062">
          <w:rPr>
            <w:noProof/>
            <w:webHidden/>
          </w:rPr>
          <w:tab/>
        </w:r>
        <w:r w:rsidR="009A5062">
          <w:rPr>
            <w:noProof/>
            <w:webHidden/>
          </w:rPr>
          <w:fldChar w:fldCharType="begin"/>
        </w:r>
        <w:r w:rsidR="009A5062">
          <w:rPr>
            <w:noProof/>
            <w:webHidden/>
          </w:rPr>
          <w:instrText xml:space="preserve"> PAGEREF _Toc477350968 \h </w:instrText>
        </w:r>
        <w:r w:rsidR="009A5062">
          <w:rPr>
            <w:noProof/>
            <w:webHidden/>
          </w:rPr>
        </w:r>
        <w:r w:rsidR="009A5062">
          <w:rPr>
            <w:noProof/>
            <w:webHidden/>
          </w:rPr>
          <w:fldChar w:fldCharType="separate"/>
        </w:r>
        <w:r w:rsidR="00833034">
          <w:rPr>
            <w:noProof/>
            <w:webHidden/>
          </w:rPr>
          <w:t>4</w:t>
        </w:r>
        <w:r w:rsidR="009A5062">
          <w:rPr>
            <w:noProof/>
            <w:webHidden/>
          </w:rPr>
          <w:fldChar w:fldCharType="end"/>
        </w:r>
      </w:hyperlink>
    </w:p>
    <w:p w14:paraId="3AD1A6EE" w14:textId="16906A2F" w:rsidR="009A5062" w:rsidRDefault="008F45D2">
      <w:pPr>
        <w:pStyle w:val="TOC1"/>
        <w:tabs>
          <w:tab w:val="right" w:pos="9487"/>
        </w:tabs>
        <w:rPr>
          <w:rFonts w:eastAsiaTheme="minorEastAsia" w:cstheme="minorBidi"/>
          <w:b w:val="0"/>
          <w:noProof/>
          <w:color w:val="auto"/>
          <w:sz w:val="22"/>
          <w:szCs w:val="22"/>
          <w:lang w:eastAsia="en-AU"/>
        </w:rPr>
      </w:pPr>
      <w:hyperlink w:anchor="_Toc477350969" w:history="1">
        <w:r w:rsidR="009A5062" w:rsidRPr="00B52FA2">
          <w:rPr>
            <w:rStyle w:val="Hyperlink"/>
            <w:noProof/>
          </w:rPr>
          <w:t>Other documents</w:t>
        </w:r>
        <w:r w:rsidR="009A5062">
          <w:rPr>
            <w:noProof/>
            <w:webHidden/>
          </w:rPr>
          <w:tab/>
        </w:r>
        <w:r w:rsidR="009A5062">
          <w:rPr>
            <w:noProof/>
            <w:webHidden/>
          </w:rPr>
          <w:fldChar w:fldCharType="begin"/>
        </w:r>
        <w:r w:rsidR="009A5062">
          <w:rPr>
            <w:noProof/>
            <w:webHidden/>
          </w:rPr>
          <w:instrText xml:space="preserve"> PAGEREF _Toc477350969 \h </w:instrText>
        </w:r>
        <w:r w:rsidR="009A5062">
          <w:rPr>
            <w:noProof/>
            <w:webHidden/>
          </w:rPr>
        </w:r>
        <w:r w:rsidR="009A5062">
          <w:rPr>
            <w:noProof/>
            <w:webHidden/>
          </w:rPr>
          <w:fldChar w:fldCharType="separate"/>
        </w:r>
        <w:r w:rsidR="00833034">
          <w:rPr>
            <w:noProof/>
            <w:webHidden/>
          </w:rPr>
          <w:t>4</w:t>
        </w:r>
        <w:r w:rsidR="009A5062">
          <w:rPr>
            <w:noProof/>
            <w:webHidden/>
          </w:rPr>
          <w:fldChar w:fldCharType="end"/>
        </w:r>
      </w:hyperlink>
    </w:p>
    <w:p w14:paraId="17FDD753" w14:textId="514696E2" w:rsidR="009A5062" w:rsidRDefault="008F45D2">
      <w:pPr>
        <w:pStyle w:val="TOC1"/>
        <w:tabs>
          <w:tab w:val="right" w:pos="9487"/>
        </w:tabs>
        <w:rPr>
          <w:rFonts w:eastAsiaTheme="minorEastAsia" w:cstheme="minorBidi"/>
          <w:b w:val="0"/>
          <w:noProof/>
          <w:color w:val="auto"/>
          <w:sz w:val="22"/>
          <w:szCs w:val="22"/>
          <w:lang w:eastAsia="en-AU"/>
        </w:rPr>
      </w:pPr>
      <w:hyperlink w:anchor="_Toc477350970" w:history="1">
        <w:r w:rsidR="009A5062" w:rsidRPr="00B52FA2">
          <w:rPr>
            <w:rStyle w:val="Hyperlink"/>
            <w:noProof/>
          </w:rPr>
          <w:t>Nonconformity guide</w:t>
        </w:r>
        <w:r w:rsidR="009A5062">
          <w:rPr>
            <w:noProof/>
            <w:webHidden/>
          </w:rPr>
          <w:tab/>
        </w:r>
        <w:r w:rsidR="009A5062">
          <w:rPr>
            <w:noProof/>
            <w:webHidden/>
          </w:rPr>
          <w:fldChar w:fldCharType="begin"/>
        </w:r>
        <w:r w:rsidR="009A5062">
          <w:rPr>
            <w:noProof/>
            <w:webHidden/>
          </w:rPr>
          <w:instrText xml:space="preserve"> PAGEREF _Toc477350970 \h </w:instrText>
        </w:r>
        <w:r w:rsidR="009A5062">
          <w:rPr>
            <w:noProof/>
            <w:webHidden/>
          </w:rPr>
        </w:r>
        <w:r w:rsidR="009A5062">
          <w:rPr>
            <w:noProof/>
            <w:webHidden/>
          </w:rPr>
          <w:fldChar w:fldCharType="separate"/>
        </w:r>
        <w:r w:rsidR="00833034">
          <w:rPr>
            <w:noProof/>
            <w:webHidden/>
          </w:rPr>
          <w:t>4</w:t>
        </w:r>
        <w:r w:rsidR="009A5062">
          <w:rPr>
            <w:noProof/>
            <w:webHidden/>
          </w:rPr>
          <w:fldChar w:fldCharType="end"/>
        </w:r>
      </w:hyperlink>
    </w:p>
    <w:p w14:paraId="003A3CFC" w14:textId="1E613A88" w:rsidR="009A5062" w:rsidRDefault="008F45D2">
      <w:pPr>
        <w:pStyle w:val="TOC1"/>
        <w:tabs>
          <w:tab w:val="right" w:pos="9487"/>
        </w:tabs>
        <w:rPr>
          <w:rFonts w:eastAsiaTheme="minorEastAsia" w:cstheme="minorBidi"/>
          <w:b w:val="0"/>
          <w:noProof/>
          <w:color w:val="auto"/>
          <w:sz w:val="22"/>
          <w:szCs w:val="22"/>
          <w:lang w:eastAsia="en-AU"/>
        </w:rPr>
      </w:pPr>
      <w:hyperlink w:anchor="_Toc477350971" w:history="1">
        <w:r w:rsidR="009A5062" w:rsidRPr="00B52FA2">
          <w:rPr>
            <w:rStyle w:val="Hyperlink"/>
            <w:noProof/>
          </w:rPr>
          <w:t>AA requirements</w:t>
        </w:r>
        <w:r w:rsidR="009A5062">
          <w:rPr>
            <w:noProof/>
            <w:webHidden/>
          </w:rPr>
          <w:tab/>
        </w:r>
        <w:r w:rsidR="009A5062">
          <w:rPr>
            <w:noProof/>
            <w:webHidden/>
          </w:rPr>
          <w:fldChar w:fldCharType="begin"/>
        </w:r>
        <w:r w:rsidR="009A5062">
          <w:rPr>
            <w:noProof/>
            <w:webHidden/>
          </w:rPr>
          <w:instrText xml:space="preserve"> PAGEREF _Toc477350971 \h </w:instrText>
        </w:r>
        <w:r w:rsidR="009A5062">
          <w:rPr>
            <w:noProof/>
            <w:webHidden/>
          </w:rPr>
        </w:r>
        <w:r w:rsidR="009A5062">
          <w:rPr>
            <w:noProof/>
            <w:webHidden/>
          </w:rPr>
          <w:fldChar w:fldCharType="separate"/>
        </w:r>
        <w:r w:rsidR="00833034">
          <w:rPr>
            <w:noProof/>
            <w:webHidden/>
          </w:rPr>
          <w:t>5</w:t>
        </w:r>
        <w:r w:rsidR="009A5062">
          <w:rPr>
            <w:noProof/>
            <w:webHidden/>
          </w:rPr>
          <w:fldChar w:fldCharType="end"/>
        </w:r>
      </w:hyperlink>
    </w:p>
    <w:p w14:paraId="55423B01" w14:textId="70896177" w:rsidR="009A5062" w:rsidRDefault="008F45D2">
      <w:pPr>
        <w:pStyle w:val="TOC2"/>
        <w:rPr>
          <w:rFonts w:asciiTheme="minorHAnsi" w:eastAsiaTheme="minorEastAsia" w:hAnsiTheme="minorHAnsi" w:cstheme="minorBidi"/>
          <w:b w:val="0"/>
          <w:color w:val="auto"/>
          <w:lang w:eastAsia="en-AU"/>
        </w:rPr>
      </w:pPr>
      <w:hyperlink w:anchor="_Toc477350972" w:history="1">
        <w:r w:rsidR="009A5062" w:rsidRPr="00B52FA2">
          <w:rPr>
            <w:rStyle w:val="Hyperlink"/>
          </w:rPr>
          <w:t>1    Purpose</w:t>
        </w:r>
        <w:r w:rsidR="009A5062">
          <w:rPr>
            <w:webHidden/>
          </w:rPr>
          <w:tab/>
        </w:r>
        <w:r w:rsidR="009A5062">
          <w:rPr>
            <w:webHidden/>
          </w:rPr>
          <w:fldChar w:fldCharType="begin"/>
        </w:r>
        <w:r w:rsidR="009A5062">
          <w:rPr>
            <w:webHidden/>
          </w:rPr>
          <w:instrText xml:space="preserve"> PAGEREF _Toc477350972 \h </w:instrText>
        </w:r>
        <w:r w:rsidR="009A5062">
          <w:rPr>
            <w:webHidden/>
          </w:rPr>
        </w:r>
        <w:r w:rsidR="009A5062">
          <w:rPr>
            <w:webHidden/>
          </w:rPr>
          <w:fldChar w:fldCharType="separate"/>
        </w:r>
        <w:r w:rsidR="00833034">
          <w:rPr>
            <w:webHidden/>
          </w:rPr>
          <w:t>5</w:t>
        </w:r>
        <w:r w:rsidR="009A5062">
          <w:rPr>
            <w:webHidden/>
          </w:rPr>
          <w:fldChar w:fldCharType="end"/>
        </w:r>
      </w:hyperlink>
    </w:p>
    <w:p w14:paraId="68DE7CB0" w14:textId="0E0C6B8D" w:rsidR="009A5062" w:rsidRDefault="008F45D2">
      <w:pPr>
        <w:pStyle w:val="TOC2"/>
        <w:rPr>
          <w:rFonts w:asciiTheme="minorHAnsi" w:eastAsiaTheme="minorEastAsia" w:hAnsiTheme="minorHAnsi" w:cstheme="minorBidi"/>
          <w:b w:val="0"/>
          <w:color w:val="auto"/>
          <w:lang w:eastAsia="en-AU"/>
        </w:rPr>
      </w:pPr>
      <w:hyperlink w:anchor="_Toc477350973" w:history="1">
        <w:r w:rsidR="009A5062" w:rsidRPr="00B52FA2">
          <w:rPr>
            <w:rStyle w:val="Hyperlink"/>
          </w:rPr>
          <w:t>2    Scope</w:t>
        </w:r>
        <w:r w:rsidR="009A5062">
          <w:rPr>
            <w:webHidden/>
          </w:rPr>
          <w:tab/>
        </w:r>
        <w:r w:rsidR="009A5062">
          <w:rPr>
            <w:webHidden/>
          </w:rPr>
          <w:fldChar w:fldCharType="begin"/>
        </w:r>
        <w:r w:rsidR="009A5062">
          <w:rPr>
            <w:webHidden/>
          </w:rPr>
          <w:instrText xml:space="preserve"> PAGEREF _Toc477350973 \h </w:instrText>
        </w:r>
        <w:r w:rsidR="009A5062">
          <w:rPr>
            <w:webHidden/>
          </w:rPr>
        </w:r>
        <w:r w:rsidR="009A5062">
          <w:rPr>
            <w:webHidden/>
          </w:rPr>
          <w:fldChar w:fldCharType="separate"/>
        </w:r>
        <w:r w:rsidR="00833034">
          <w:rPr>
            <w:webHidden/>
          </w:rPr>
          <w:t>5</w:t>
        </w:r>
        <w:r w:rsidR="009A5062">
          <w:rPr>
            <w:webHidden/>
          </w:rPr>
          <w:fldChar w:fldCharType="end"/>
        </w:r>
      </w:hyperlink>
    </w:p>
    <w:p w14:paraId="3A6266AC" w14:textId="006B5BAD" w:rsidR="009A5062" w:rsidRDefault="008F45D2">
      <w:pPr>
        <w:pStyle w:val="TOC2"/>
        <w:rPr>
          <w:rFonts w:asciiTheme="minorHAnsi" w:eastAsiaTheme="minorEastAsia" w:hAnsiTheme="minorHAnsi" w:cstheme="minorBidi"/>
          <w:b w:val="0"/>
          <w:color w:val="auto"/>
          <w:lang w:eastAsia="en-AU"/>
        </w:rPr>
      </w:pPr>
      <w:hyperlink w:anchor="_Toc477350974" w:history="1">
        <w:r w:rsidR="009A5062" w:rsidRPr="00B52FA2">
          <w:rPr>
            <w:rStyle w:val="Hyperlink"/>
          </w:rPr>
          <w:t>3    Operating Requirements</w:t>
        </w:r>
        <w:r w:rsidR="009A5062">
          <w:rPr>
            <w:webHidden/>
          </w:rPr>
          <w:tab/>
        </w:r>
        <w:r w:rsidR="009A5062">
          <w:rPr>
            <w:webHidden/>
          </w:rPr>
          <w:fldChar w:fldCharType="begin"/>
        </w:r>
        <w:r w:rsidR="009A5062">
          <w:rPr>
            <w:webHidden/>
          </w:rPr>
          <w:instrText xml:space="preserve"> PAGEREF _Toc477350974 \h </w:instrText>
        </w:r>
        <w:r w:rsidR="009A5062">
          <w:rPr>
            <w:webHidden/>
          </w:rPr>
        </w:r>
        <w:r w:rsidR="009A5062">
          <w:rPr>
            <w:webHidden/>
          </w:rPr>
          <w:fldChar w:fldCharType="separate"/>
        </w:r>
        <w:r w:rsidR="00833034">
          <w:rPr>
            <w:webHidden/>
          </w:rPr>
          <w:t>5</w:t>
        </w:r>
        <w:r w:rsidR="009A5062">
          <w:rPr>
            <w:webHidden/>
          </w:rPr>
          <w:fldChar w:fldCharType="end"/>
        </w:r>
      </w:hyperlink>
    </w:p>
    <w:p w14:paraId="6C099C30" w14:textId="5E8833B9" w:rsidR="009A5062" w:rsidRDefault="00833034">
      <w:pPr>
        <w:pStyle w:val="TOC2"/>
        <w:rPr>
          <w:rFonts w:asciiTheme="minorHAnsi" w:eastAsiaTheme="minorEastAsia" w:hAnsiTheme="minorHAnsi" w:cstheme="minorBidi"/>
          <w:b w:val="0"/>
          <w:color w:val="auto"/>
          <w:lang w:eastAsia="en-AU"/>
        </w:rPr>
      </w:pPr>
      <w:hyperlink w:anchor="_Toc477350975" w:history="1">
        <w:r w:rsidR="009A5062" w:rsidRPr="00B52FA2">
          <w:rPr>
            <w:rStyle w:val="Hyperlink"/>
          </w:rPr>
          <w:t>4    Administration and Management</w:t>
        </w:r>
        <w:r w:rsidR="009A5062">
          <w:rPr>
            <w:webHidden/>
          </w:rPr>
          <w:tab/>
        </w:r>
        <w:r w:rsidR="009A5062">
          <w:rPr>
            <w:webHidden/>
          </w:rPr>
          <w:fldChar w:fldCharType="begin"/>
        </w:r>
        <w:r w:rsidR="009A5062">
          <w:rPr>
            <w:webHidden/>
          </w:rPr>
          <w:instrText xml:space="preserve"> PAGEREF _Toc477350975 \h </w:instrText>
        </w:r>
        <w:r w:rsidR="009A5062">
          <w:rPr>
            <w:webHidden/>
          </w:rPr>
        </w:r>
        <w:r w:rsidR="009A5062">
          <w:rPr>
            <w:webHidden/>
          </w:rPr>
          <w:fldChar w:fldCharType="separate"/>
        </w:r>
        <w:r>
          <w:rPr>
            <w:webHidden/>
          </w:rPr>
          <w:t>7</w:t>
        </w:r>
        <w:r w:rsidR="009A5062">
          <w:rPr>
            <w:webHidden/>
          </w:rPr>
          <w:fldChar w:fldCharType="end"/>
        </w:r>
      </w:hyperlink>
    </w:p>
    <w:p w14:paraId="47B9D71F" w14:textId="63FAEB3B" w:rsidR="009A5062" w:rsidRDefault="008F45D2">
      <w:pPr>
        <w:pStyle w:val="TOC2"/>
        <w:rPr>
          <w:rFonts w:asciiTheme="minorHAnsi" w:eastAsiaTheme="minorEastAsia" w:hAnsiTheme="minorHAnsi" w:cstheme="minorBidi"/>
          <w:b w:val="0"/>
          <w:color w:val="auto"/>
          <w:lang w:eastAsia="en-AU"/>
        </w:rPr>
      </w:pPr>
      <w:hyperlink w:anchor="_Toc477350976" w:history="1">
        <w:r w:rsidR="009A5062" w:rsidRPr="00B52FA2">
          <w:rPr>
            <w:rStyle w:val="Hyperlink"/>
          </w:rPr>
          <w:t>5    General</w:t>
        </w:r>
        <w:r w:rsidR="009A5062">
          <w:rPr>
            <w:webHidden/>
          </w:rPr>
          <w:tab/>
        </w:r>
        <w:r w:rsidR="009A5062">
          <w:rPr>
            <w:webHidden/>
          </w:rPr>
          <w:fldChar w:fldCharType="begin"/>
        </w:r>
        <w:r w:rsidR="009A5062">
          <w:rPr>
            <w:webHidden/>
          </w:rPr>
          <w:instrText xml:space="preserve"> PAGEREF _Toc477350976 \h </w:instrText>
        </w:r>
        <w:r w:rsidR="009A5062">
          <w:rPr>
            <w:webHidden/>
          </w:rPr>
        </w:r>
        <w:r w:rsidR="009A5062">
          <w:rPr>
            <w:webHidden/>
          </w:rPr>
          <w:fldChar w:fldCharType="separate"/>
        </w:r>
        <w:r w:rsidR="00833034">
          <w:rPr>
            <w:webHidden/>
          </w:rPr>
          <w:t>7</w:t>
        </w:r>
        <w:r w:rsidR="009A5062">
          <w:rPr>
            <w:webHidden/>
          </w:rPr>
          <w:fldChar w:fldCharType="end"/>
        </w:r>
      </w:hyperlink>
    </w:p>
    <w:p w14:paraId="659FDBE2" w14:textId="77777777" w:rsidR="007C7EA9" w:rsidRDefault="00A6597F" w:rsidP="003B4BE3">
      <w:pPr>
        <w:pStyle w:val="TOC2"/>
        <w:rPr>
          <w:color w:val="auto"/>
        </w:rPr>
      </w:pPr>
      <w:r w:rsidRPr="00833C04">
        <w:rPr>
          <w:b w:val="0"/>
        </w:rPr>
        <w:fldChar w:fldCharType="end"/>
      </w:r>
    </w:p>
    <w:p w14:paraId="40C36849" w14:textId="77777777" w:rsidR="00CA4030" w:rsidRDefault="00CA4030">
      <w:pPr>
        <w:spacing w:after="0" w:line="240" w:lineRule="auto"/>
        <w:rPr>
          <w:color w:val="auto"/>
        </w:rPr>
      </w:pPr>
      <w:r>
        <w:rPr>
          <w:color w:val="auto"/>
        </w:rPr>
        <w:br w:type="page"/>
      </w:r>
    </w:p>
    <w:p w14:paraId="238483AD" w14:textId="77777777" w:rsidR="000E4C0D" w:rsidRPr="00852CFB" w:rsidRDefault="000E4C0D" w:rsidP="000E4C0D">
      <w:pPr>
        <w:pStyle w:val="Heading1"/>
      </w:pPr>
      <w:bookmarkStart w:id="1" w:name="_Toc403377522"/>
      <w:bookmarkStart w:id="2" w:name="_Toc403650283"/>
      <w:bookmarkStart w:id="3" w:name="_Toc477350967"/>
      <w:r w:rsidRPr="00852CFB">
        <w:lastRenderedPageBreak/>
        <w:t>Guide to using this document</w:t>
      </w:r>
      <w:bookmarkEnd w:id="1"/>
      <w:bookmarkEnd w:id="2"/>
      <w:bookmarkEnd w:id="3"/>
    </w:p>
    <w:p w14:paraId="2DBC3E71" w14:textId="77777777"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otherwise known as an Approved Arrangement (AA).</w:t>
      </w:r>
    </w:p>
    <w:p w14:paraId="29B4508A" w14:textId="77777777" w:rsidR="000E4C0D" w:rsidRPr="00C10BEB" w:rsidRDefault="000E4C0D" w:rsidP="000E4C0D">
      <w:pPr>
        <w:spacing w:after="0" w:line="240" w:lineRule="auto"/>
        <w:rPr>
          <w:rFonts w:asciiTheme="majorHAnsi" w:hAnsiTheme="majorHAnsi" w:cstheme="majorHAnsi"/>
        </w:rPr>
      </w:pPr>
    </w:p>
    <w:p w14:paraId="05828FA9"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requirements to be met for the approval, </w:t>
      </w:r>
      <w:proofErr w:type="gramStart"/>
      <w:r w:rsidRPr="00C10BEB">
        <w:rPr>
          <w:rFonts w:asciiTheme="majorHAnsi" w:hAnsiTheme="majorHAnsi" w:cstheme="majorHAnsi"/>
        </w:rPr>
        <w:t>operation</w:t>
      </w:r>
      <w:proofErr w:type="gramEnd"/>
      <w:r w:rsidRPr="00C10BEB">
        <w:rPr>
          <w:rFonts w:asciiTheme="majorHAnsi" w:hAnsiTheme="majorHAnsi" w:cstheme="majorHAnsi"/>
        </w:rPr>
        <w:t xml:space="preserve"> and audit of this class of </w:t>
      </w:r>
      <w:r w:rsidR="00630148">
        <w:rPr>
          <w:rFonts w:asciiTheme="majorHAnsi" w:hAnsiTheme="majorHAnsi" w:cstheme="majorHAnsi"/>
        </w:rPr>
        <w:t>AA</w:t>
      </w:r>
      <w:r w:rsidRPr="00C10BEB">
        <w:rPr>
          <w:rFonts w:asciiTheme="majorHAnsi" w:hAnsiTheme="majorHAnsi" w:cstheme="majorHAnsi"/>
        </w:rPr>
        <w:t xml:space="preserve">. Compliance with the </w:t>
      </w:r>
      <w:r w:rsidR="00630148">
        <w:rPr>
          <w:rFonts w:asciiTheme="majorHAnsi" w:hAnsiTheme="majorHAnsi" w:cstheme="majorHAnsi"/>
        </w:rPr>
        <w:t>requirements</w:t>
      </w:r>
      <w:r w:rsidRPr="00C10BEB">
        <w:rPr>
          <w:rFonts w:asciiTheme="majorHAnsi" w:hAnsiTheme="majorHAnsi" w:cstheme="majorHAnsi"/>
        </w:rPr>
        <w:t xml:space="preserve"> will be assessed by audit. </w:t>
      </w:r>
    </w:p>
    <w:p w14:paraId="7CCDEB7B" w14:textId="77777777" w:rsidR="000E4C0D" w:rsidRPr="00C10BEB" w:rsidRDefault="000E4C0D" w:rsidP="000E4C0D">
      <w:pPr>
        <w:pStyle w:val="ListParagraph"/>
        <w:spacing w:after="0" w:line="240" w:lineRule="auto"/>
        <w:ind w:left="0"/>
        <w:rPr>
          <w:rFonts w:asciiTheme="majorHAnsi" w:hAnsiTheme="majorHAnsi" w:cstheme="majorHAnsi"/>
        </w:rPr>
      </w:pPr>
    </w:p>
    <w:p w14:paraId="02CFCA85"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Applicant chooses to use automatic language translation services in connection with this document, it is done so at the Applicant’s risk.</w:t>
      </w:r>
    </w:p>
    <w:p w14:paraId="7898F51A" w14:textId="77777777" w:rsidR="000E4C0D" w:rsidRPr="00C10BEB" w:rsidRDefault="000E4C0D" w:rsidP="000E4C0D">
      <w:pPr>
        <w:spacing w:after="0" w:line="240" w:lineRule="auto"/>
        <w:rPr>
          <w:rFonts w:asciiTheme="majorHAnsi" w:hAnsiTheme="majorHAnsi" w:cstheme="majorHAnsi"/>
        </w:rPr>
      </w:pPr>
    </w:p>
    <w:p w14:paraId="1EFFEDC5"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2B6799">
        <w:rPr>
          <w:rFonts w:asciiTheme="majorHAnsi" w:hAnsiTheme="majorHAnsi" w:cstheme="majorHAnsi"/>
        </w:rPr>
        <w:t xml:space="preserve"> and Water Resources</w:t>
      </w:r>
      <w:r w:rsidRPr="00C10BEB">
        <w:rPr>
          <w:rFonts w:asciiTheme="majorHAnsi" w:hAnsiTheme="majorHAnsi" w:cstheme="majorHAnsi"/>
        </w:rPr>
        <w:t>. Any references to contacting the department mean contacting your closest regional office.</w:t>
      </w:r>
    </w:p>
    <w:p w14:paraId="5B516AC4" w14:textId="77777777" w:rsidR="000E4C0D" w:rsidRPr="00C10BEB" w:rsidRDefault="000E4C0D" w:rsidP="000E4C0D">
      <w:pPr>
        <w:spacing w:after="0" w:line="240" w:lineRule="auto"/>
        <w:rPr>
          <w:rFonts w:asciiTheme="majorHAnsi" w:hAnsiTheme="majorHAnsi" w:cstheme="majorHAnsi"/>
        </w:rPr>
      </w:pPr>
    </w:p>
    <w:p w14:paraId="5D79D6FD" w14:textId="2A352E6E"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630148">
        <w:rPr>
          <w:rFonts w:asciiTheme="majorHAnsi" w:hAnsiTheme="majorHAnsi" w:cstheme="majorHAnsi"/>
        </w:rPr>
        <w:t>AAs</w:t>
      </w:r>
      <w:r w:rsidRPr="00C10BEB">
        <w:rPr>
          <w:rFonts w:asciiTheme="majorHAnsi" w:hAnsiTheme="majorHAnsi" w:cstheme="majorHAnsi"/>
        </w:rPr>
        <w:t xml:space="preserve">, regional contact details and copies of relevant </w:t>
      </w:r>
      <w:r w:rsidR="00630148">
        <w:rPr>
          <w:rFonts w:asciiTheme="majorHAnsi" w:hAnsiTheme="majorHAnsi" w:cstheme="majorHAnsi"/>
        </w:rPr>
        <w:t>AA</w:t>
      </w:r>
      <w:r w:rsidRPr="00C10BEB">
        <w:rPr>
          <w:rFonts w:asciiTheme="majorHAnsi" w:hAnsiTheme="majorHAnsi" w:cstheme="majorHAnsi"/>
        </w:rPr>
        <w:t xml:space="preserve"> documentation is available on the department’s website: </w:t>
      </w:r>
      <w:hyperlink r:id="rId15" w:history="1">
        <w:r w:rsidR="00FD55A8" w:rsidRPr="00FD55A8">
          <w:rPr>
            <w:rStyle w:val="Hyperlink"/>
            <w:rFonts w:asciiTheme="majorHAnsi" w:hAnsiTheme="majorHAnsi" w:cstheme="majorHAnsi"/>
          </w:rPr>
          <w:t>awe.gov.au</w:t>
        </w:r>
      </w:hyperlink>
      <w:r w:rsidRPr="00C10BEB">
        <w:rPr>
          <w:rFonts w:asciiTheme="majorHAnsi" w:hAnsiTheme="majorHAnsi"/>
        </w:rPr>
        <w:t>.</w:t>
      </w:r>
    </w:p>
    <w:p w14:paraId="2639966E" w14:textId="77777777" w:rsidR="000E4C0D" w:rsidRPr="00C10BEB" w:rsidRDefault="000E4C0D" w:rsidP="000E4C0D">
      <w:pPr>
        <w:spacing w:after="0" w:line="240" w:lineRule="auto"/>
        <w:rPr>
          <w:rFonts w:asciiTheme="majorHAnsi" w:hAnsiTheme="majorHAnsi"/>
        </w:rPr>
      </w:pPr>
    </w:p>
    <w:p w14:paraId="0A4CD0BB" w14:textId="77777777" w:rsidR="000E4C0D" w:rsidRDefault="000E4C0D" w:rsidP="000E4C0D">
      <w:pPr>
        <w:pStyle w:val="Heading1"/>
      </w:pPr>
      <w:bookmarkStart w:id="4" w:name="_Toc403377523"/>
      <w:bookmarkStart w:id="5" w:name="_Toc403650284"/>
      <w:bookmarkStart w:id="6" w:name="_Toc477350968"/>
      <w:r w:rsidRPr="003E0959">
        <w:t>Definitions</w:t>
      </w:r>
      <w:bookmarkEnd w:id="4"/>
      <w:bookmarkEnd w:id="5"/>
      <w:bookmarkEnd w:id="6"/>
    </w:p>
    <w:p w14:paraId="3FF05672" w14:textId="2908BE45" w:rsidR="000E4C0D" w:rsidRPr="00C10BEB" w:rsidRDefault="00B3195F" w:rsidP="001E21A1">
      <w:pPr>
        <w:spacing w:after="12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 xml:space="preserve">. </w:t>
      </w:r>
      <w:r w:rsidR="007A1AA9" w:rsidRPr="0010693C">
        <w:rPr>
          <w:rFonts w:asciiTheme="majorHAnsi" w:hAnsiTheme="majorHAnsi" w:cstheme="majorHAnsi"/>
        </w:rPr>
        <w:t>Further Class specific terms are defined below.</w:t>
      </w:r>
      <w:r w:rsidR="000E4C0D" w:rsidRPr="00C10BEB">
        <w:rPr>
          <w:rFonts w:asciiTheme="majorHAnsi" w:hAnsiTheme="majorHAnsi" w:cstheme="majorHAnsi"/>
        </w:rPr>
        <w:t xml:space="preserve"> </w:t>
      </w:r>
    </w:p>
    <w:tbl>
      <w:tblPr>
        <w:tblW w:w="0" w:type="auto"/>
        <w:tblInd w:w="306"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2078"/>
        <w:gridCol w:w="6922"/>
      </w:tblGrid>
      <w:tr w:rsidR="007A1AA9" w:rsidRPr="007A1AA9" w14:paraId="3BFBF5A1" w14:textId="77777777" w:rsidTr="003D6918">
        <w:tc>
          <w:tcPr>
            <w:tcW w:w="2078" w:type="dxa"/>
            <w:tcBorders>
              <w:bottom w:val="single" w:sz="8" w:space="0" w:color="000000"/>
            </w:tcBorders>
            <w:shd w:val="clear" w:color="auto" w:fill="000000"/>
          </w:tcPr>
          <w:p w14:paraId="35E3AE4B" w14:textId="77777777" w:rsidR="007A1AA9" w:rsidRPr="007A1AA9" w:rsidRDefault="007A1AA9" w:rsidP="001E21A1">
            <w:pPr>
              <w:spacing w:before="60" w:after="60" w:line="240" w:lineRule="auto"/>
              <w:rPr>
                <w:rFonts w:asciiTheme="majorHAnsi" w:hAnsiTheme="majorHAnsi"/>
                <w:b/>
                <w:bCs/>
                <w:color w:val="FFFFFF"/>
              </w:rPr>
            </w:pPr>
            <w:r w:rsidRPr="007A1AA9">
              <w:rPr>
                <w:rFonts w:asciiTheme="majorHAnsi" w:hAnsiTheme="majorHAnsi"/>
                <w:b/>
                <w:bCs/>
                <w:color w:val="FFFFFF"/>
              </w:rPr>
              <w:t>Term</w:t>
            </w:r>
          </w:p>
        </w:tc>
        <w:tc>
          <w:tcPr>
            <w:tcW w:w="6922" w:type="dxa"/>
            <w:tcBorders>
              <w:bottom w:val="single" w:sz="8" w:space="0" w:color="000000"/>
            </w:tcBorders>
            <w:shd w:val="clear" w:color="auto" w:fill="000000"/>
          </w:tcPr>
          <w:p w14:paraId="7AA235EE" w14:textId="77777777" w:rsidR="007A1AA9" w:rsidRPr="007A1AA9" w:rsidRDefault="007A1AA9" w:rsidP="001E21A1">
            <w:pPr>
              <w:spacing w:before="60" w:after="60" w:line="240" w:lineRule="auto"/>
              <w:ind w:left="567" w:hanging="567"/>
              <w:rPr>
                <w:rFonts w:asciiTheme="majorHAnsi" w:hAnsiTheme="majorHAnsi"/>
                <w:b/>
                <w:bCs/>
                <w:color w:val="FFFFFF"/>
              </w:rPr>
            </w:pPr>
            <w:r w:rsidRPr="007A1AA9">
              <w:rPr>
                <w:rFonts w:asciiTheme="majorHAnsi" w:hAnsiTheme="majorHAnsi"/>
                <w:b/>
                <w:bCs/>
                <w:color w:val="FFFFFF"/>
              </w:rPr>
              <w:t>Definition</w:t>
            </w:r>
          </w:p>
        </w:tc>
      </w:tr>
      <w:tr w:rsidR="007A1AA9" w:rsidRPr="007A1AA9" w14:paraId="3DF950E4" w14:textId="77777777" w:rsidTr="003D6918">
        <w:tc>
          <w:tcPr>
            <w:tcW w:w="2078" w:type="dxa"/>
            <w:tcBorders>
              <w:top w:val="single" w:sz="8" w:space="0" w:color="000000"/>
              <w:left w:val="single" w:sz="8" w:space="0" w:color="000000"/>
              <w:bottom w:val="single" w:sz="8" w:space="0" w:color="000000"/>
              <w:right w:val="single" w:sz="8" w:space="0" w:color="000000"/>
            </w:tcBorders>
          </w:tcPr>
          <w:p w14:paraId="4C0AF93B" w14:textId="23E3E7DF" w:rsidR="007A1AA9" w:rsidRPr="007A1AA9" w:rsidRDefault="007A1AA9" w:rsidP="001E21A1">
            <w:pPr>
              <w:spacing w:before="60" w:after="60" w:line="240" w:lineRule="auto"/>
              <w:rPr>
                <w:rFonts w:asciiTheme="majorHAnsi" w:hAnsiTheme="majorHAnsi"/>
                <w:b/>
                <w:bCs/>
              </w:rPr>
            </w:pPr>
            <w:r w:rsidRPr="007A1AA9">
              <w:rPr>
                <w:rFonts w:asciiTheme="majorHAnsi" w:hAnsiTheme="majorHAnsi"/>
                <w:b/>
                <w:bCs/>
              </w:rPr>
              <w:t xml:space="preserve">Airfreight </w:t>
            </w:r>
            <w:r w:rsidR="00984231">
              <w:rPr>
                <w:rFonts w:asciiTheme="majorHAnsi" w:hAnsiTheme="majorHAnsi"/>
                <w:b/>
                <w:bCs/>
              </w:rPr>
              <w:t>p</w:t>
            </w:r>
            <w:r w:rsidRPr="007A1AA9">
              <w:rPr>
                <w:rFonts w:asciiTheme="majorHAnsi" w:hAnsiTheme="majorHAnsi"/>
                <w:b/>
                <w:bCs/>
              </w:rPr>
              <w:t>erishables</w:t>
            </w:r>
          </w:p>
        </w:tc>
        <w:tc>
          <w:tcPr>
            <w:tcW w:w="6922" w:type="dxa"/>
            <w:tcBorders>
              <w:top w:val="single" w:sz="8" w:space="0" w:color="000000"/>
              <w:left w:val="single" w:sz="8" w:space="0" w:color="000000"/>
              <w:bottom w:val="single" w:sz="8" w:space="0" w:color="000000"/>
              <w:right w:val="single" w:sz="8" w:space="0" w:color="000000"/>
            </w:tcBorders>
          </w:tcPr>
          <w:p w14:paraId="5C081ACF" w14:textId="014529EB" w:rsidR="007A1AA9" w:rsidRPr="007A1AA9" w:rsidRDefault="007A1AA9" w:rsidP="001E21A1">
            <w:pPr>
              <w:spacing w:before="60" w:after="60" w:line="240" w:lineRule="auto"/>
              <w:rPr>
                <w:rFonts w:asciiTheme="majorHAnsi" w:hAnsiTheme="majorHAnsi"/>
                <w:bCs/>
              </w:rPr>
            </w:pPr>
            <w:r w:rsidRPr="007A1AA9">
              <w:rPr>
                <w:rFonts w:asciiTheme="majorHAnsi" w:hAnsiTheme="majorHAnsi"/>
                <w:bCs/>
              </w:rPr>
              <w:t>Fresh fruit and vegetables, cut flowers (including foliage which forms part of the consignment) and nursery stock (excluding tissue culture)</w:t>
            </w:r>
            <w:r w:rsidR="002B37E9">
              <w:rPr>
                <w:rFonts w:asciiTheme="majorHAnsi" w:hAnsiTheme="majorHAnsi"/>
                <w:bCs/>
              </w:rPr>
              <w:t xml:space="preserve"> imported as airfreight and subject to biosecurity control</w:t>
            </w:r>
            <w:r w:rsidR="005E43F9">
              <w:rPr>
                <w:rFonts w:asciiTheme="majorHAnsi" w:hAnsiTheme="majorHAnsi"/>
                <w:bCs/>
              </w:rPr>
              <w:t>.</w:t>
            </w:r>
          </w:p>
        </w:tc>
      </w:tr>
      <w:tr w:rsidR="00A3766B" w:rsidRPr="007A1AA9" w14:paraId="5D5DE911" w14:textId="77777777" w:rsidTr="003D6918">
        <w:tc>
          <w:tcPr>
            <w:tcW w:w="2078" w:type="dxa"/>
            <w:tcBorders>
              <w:top w:val="single" w:sz="8" w:space="0" w:color="000000"/>
              <w:left w:val="single" w:sz="8" w:space="0" w:color="000000"/>
              <w:bottom w:val="single" w:sz="8" w:space="0" w:color="000000"/>
              <w:right w:val="single" w:sz="8" w:space="0" w:color="000000"/>
            </w:tcBorders>
          </w:tcPr>
          <w:p w14:paraId="7ED50CD0" w14:textId="52AD965B" w:rsidR="00A3766B" w:rsidRDefault="00A3766B" w:rsidP="001E21A1">
            <w:pPr>
              <w:spacing w:before="60" w:after="60" w:line="240" w:lineRule="auto"/>
              <w:rPr>
                <w:rFonts w:asciiTheme="majorHAnsi" w:hAnsiTheme="majorHAnsi"/>
                <w:b/>
                <w:bCs/>
              </w:rPr>
            </w:pPr>
            <w:r>
              <w:rPr>
                <w:rFonts w:asciiTheme="majorHAnsi" w:hAnsiTheme="majorHAnsi"/>
                <w:b/>
                <w:bCs/>
              </w:rPr>
              <w:t>Secure packaging</w:t>
            </w:r>
          </w:p>
        </w:tc>
        <w:tc>
          <w:tcPr>
            <w:tcW w:w="6922" w:type="dxa"/>
            <w:tcBorders>
              <w:top w:val="single" w:sz="8" w:space="0" w:color="000000"/>
              <w:left w:val="single" w:sz="8" w:space="0" w:color="000000"/>
              <w:bottom w:val="single" w:sz="8" w:space="0" w:color="000000"/>
              <w:right w:val="single" w:sz="8" w:space="0" w:color="000000"/>
            </w:tcBorders>
          </w:tcPr>
          <w:p w14:paraId="4E5992B4" w14:textId="27E75E9A" w:rsidR="00A3766B" w:rsidRDefault="00A3766B" w:rsidP="00CB1482">
            <w:pPr>
              <w:spacing w:before="60" w:after="60" w:line="240" w:lineRule="auto"/>
              <w:rPr>
                <w:rFonts w:asciiTheme="majorHAnsi" w:hAnsiTheme="majorHAnsi"/>
                <w:bCs/>
              </w:rPr>
            </w:pPr>
            <w:r>
              <w:rPr>
                <w:rFonts w:asciiTheme="majorHAnsi" w:hAnsiTheme="majorHAnsi"/>
                <w:bCs/>
              </w:rPr>
              <w:t xml:space="preserve">Secure packaging options, as </w:t>
            </w:r>
            <w:r w:rsidR="00CB1482">
              <w:rPr>
                <w:rFonts w:asciiTheme="majorHAnsi" w:hAnsiTheme="majorHAnsi"/>
                <w:bCs/>
              </w:rPr>
              <w:t xml:space="preserve">prescribed </w:t>
            </w:r>
            <w:r>
              <w:rPr>
                <w:rFonts w:asciiTheme="majorHAnsi" w:hAnsiTheme="majorHAnsi"/>
                <w:bCs/>
              </w:rPr>
              <w:t>in this document, that provide insect proof containment of goods subject to biosecurity control.</w:t>
            </w:r>
          </w:p>
        </w:tc>
      </w:tr>
      <w:tr w:rsidR="00B544AB" w:rsidRPr="007A1AA9" w14:paraId="2E63F35F" w14:textId="77777777" w:rsidTr="003D6918">
        <w:tc>
          <w:tcPr>
            <w:tcW w:w="2078" w:type="dxa"/>
            <w:tcBorders>
              <w:top w:val="single" w:sz="8" w:space="0" w:color="000000"/>
              <w:left w:val="single" w:sz="8" w:space="0" w:color="000000"/>
              <w:bottom w:val="single" w:sz="8" w:space="0" w:color="000000"/>
              <w:right w:val="single" w:sz="8" w:space="0" w:color="000000"/>
            </w:tcBorders>
          </w:tcPr>
          <w:p w14:paraId="30D4F0D3" w14:textId="5A1E06C9" w:rsidR="00E77914" w:rsidRPr="007A1AA9" w:rsidRDefault="00E77914" w:rsidP="001E21A1">
            <w:pPr>
              <w:spacing w:before="60" w:after="60" w:line="240" w:lineRule="auto"/>
              <w:rPr>
                <w:rFonts w:asciiTheme="majorHAnsi" w:hAnsiTheme="majorHAnsi"/>
                <w:b/>
                <w:bCs/>
              </w:rPr>
            </w:pPr>
            <w:r>
              <w:rPr>
                <w:rFonts w:asciiTheme="majorHAnsi" w:hAnsiTheme="majorHAnsi"/>
                <w:b/>
                <w:bCs/>
              </w:rPr>
              <w:t>Carton</w:t>
            </w:r>
          </w:p>
        </w:tc>
        <w:tc>
          <w:tcPr>
            <w:tcW w:w="6922" w:type="dxa"/>
            <w:tcBorders>
              <w:top w:val="single" w:sz="8" w:space="0" w:color="000000"/>
              <w:left w:val="single" w:sz="8" w:space="0" w:color="000000"/>
              <w:bottom w:val="single" w:sz="8" w:space="0" w:color="000000"/>
              <w:right w:val="single" w:sz="8" w:space="0" w:color="000000"/>
            </w:tcBorders>
          </w:tcPr>
          <w:p w14:paraId="74279AA0" w14:textId="7EAC2EED" w:rsidR="00E77914" w:rsidRPr="007A1AA9" w:rsidRDefault="00E77914" w:rsidP="001E21A1">
            <w:pPr>
              <w:spacing w:before="60" w:after="60" w:line="240" w:lineRule="auto"/>
              <w:rPr>
                <w:rFonts w:asciiTheme="majorHAnsi" w:hAnsiTheme="majorHAnsi"/>
                <w:bCs/>
              </w:rPr>
            </w:pPr>
            <w:r>
              <w:rPr>
                <w:rFonts w:asciiTheme="majorHAnsi" w:hAnsiTheme="majorHAnsi"/>
                <w:bCs/>
              </w:rPr>
              <w:t xml:space="preserve">Carton, </w:t>
            </w:r>
            <w:proofErr w:type="gramStart"/>
            <w:r>
              <w:rPr>
                <w:rFonts w:asciiTheme="majorHAnsi" w:hAnsiTheme="majorHAnsi"/>
                <w:bCs/>
              </w:rPr>
              <w:t>package</w:t>
            </w:r>
            <w:proofErr w:type="gramEnd"/>
            <w:r>
              <w:rPr>
                <w:rFonts w:asciiTheme="majorHAnsi" w:hAnsiTheme="majorHAnsi"/>
                <w:bCs/>
              </w:rPr>
              <w:t xml:space="preserve"> or box used to pack </w:t>
            </w:r>
            <w:r w:rsidR="00A3766B">
              <w:rPr>
                <w:rFonts w:asciiTheme="majorHAnsi" w:hAnsiTheme="majorHAnsi"/>
                <w:bCs/>
              </w:rPr>
              <w:t>goods subject to biosecurity control</w:t>
            </w:r>
          </w:p>
        </w:tc>
      </w:tr>
      <w:tr w:rsidR="007A1AA9" w:rsidRPr="007A1AA9" w14:paraId="68468F61" w14:textId="77777777" w:rsidTr="003D6918">
        <w:tc>
          <w:tcPr>
            <w:tcW w:w="2078" w:type="dxa"/>
            <w:tcBorders>
              <w:top w:val="single" w:sz="8" w:space="0" w:color="000000"/>
              <w:left w:val="single" w:sz="8" w:space="0" w:color="000000"/>
              <w:bottom w:val="single" w:sz="8" w:space="0" w:color="000000"/>
              <w:right w:val="single" w:sz="8" w:space="0" w:color="000000"/>
            </w:tcBorders>
          </w:tcPr>
          <w:p w14:paraId="1178CF21" w14:textId="40B8AF8B" w:rsidR="007A1AA9" w:rsidRPr="007A1AA9" w:rsidRDefault="006573C5" w:rsidP="001E21A1">
            <w:pPr>
              <w:spacing w:before="60" w:after="0" w:line="240" w:lineRule="auto"/>
              <w:rPr>
                <w:rFonts w:asciiTheme="majorHAnsi" w:hAnsiTheme="majorHAnsi"/>
                <w:b/>
                <w:bCs/>
              </w:rPr>
            </w:pPr>
            <w:r>
              <w:rPr>
                <w:rFonts w:asciiTheme="majorHAnsi" w:hAnsiTheme="majorHAnsi"/>
                <w:b/>
                <w:bCs/>
              </w:rPr>
              <w:t xml:space="preserve">Enclosed </w:t>
            </w:r>
            <w:r w:rsidR="007D64A4">
              <w:rPr>
                <w:rFonts w:asciiTheme="majorHAnsi" w:hAnsiTheme="majorHAnsi"/>
                <w:b/>
                <w:bCs/>
              </w:rPr>
              <w:t>c</w:t>
            </w:r>
            <w:r w:rsidR="007A1AA9" w:rsidRPr="007A1AA9">
              <w:rPr>
                <w:rFonts w:asciiTheme="majorHAnsi" w:hAnsiTheme="majorHAnsi"/>
                <w:b/>
                <w:bCs/>
              </w:rPr>
              <w:t>ontainer</w:t>
            </w:r>
          </w:p>
        </w:tc>
        <w:tc>
          <w:tcPr>
            <w:tcW w:w="6922" w:type="dxa"/>
            <w:tcBorders>
              <w:top w:val="single" w:sz="8" w:space="0" w:color="000000"/>
              <w:left w:val="single" w:sz="8" w:space="0" w:color="000000"/>
              <w:bottom w:val="single" w:sz="8" w:space="0" w:color="000000"/>
              <w:right w:val="single" w:sz="8" w:space="0" w:color="000000"/>
            </w:tcBorders>
          </w:tcPr>
          <w:p w14:paraId="62AECD73" w14:textId="07C46674" w:rsidR="007A1AA9" w:rsidRPr="007A1AA9" w:rsidRDefault="007A1AA9" w:rsidP="001E21A1">
            <w:pPr>
              <w:spacing w:before="60" w:after="60" w:line="240" w:lineRule="auto"/>
              <w:rPr>
                <w:rFonts w:asciiTheme="majorHAnsi" w:hAnsiTheme="majorHAnsi"/>
                <w:bCs/>
              </w:rPr>
            </w:pPr>
            <w:r w:rsidRPr="007A1AA9">
              <w:rPr>
                <w:rFonts w:asciiTheme="majorHAnsi" w:hAnsiTheme="majorHAnsi"/>
                <w:bCs/>
              </w:rPr>
              <w:t xml:space="preserve">An enclosed </w:t>
            </w:r>
            <w:r w:rsidR="00E02DA5">
              <w:rPr>
                <w:rFonts w:asciiTheme="majorHAnsi" w:hAnsiTheme="majorHAnsi"/>
                <w:bCs/>
              </w:rPr>
              <w:t>6-</w:t>
            </w:r>
            <w:r w:rsidRPr="007A1AA9">
              <w:rPr>
                <w:rFonts w:asciiTheme="majorHAnsi" w:hAnsiTheme="majorHAnsi"/>
                <w:bCs/>
              </w:rPr>
              <w:t xml:space="preserve">sided container. </w:t>
            </w:r>
          </w:p>
          <w:p w14:paraId="26ECC060" w14:textId="05B89963" w:rsidR="00A03903" w:rsidRDefault="00A03903" w:rsidP="001E21A1">
            <w:pPr>
              <w:spacing w:after="0" w:line="240" w:lineRule="auto"/>
              <w:rPr>
                <w:rFonts w:asciiTheme="majorHAnsi" w:hAnsiTheme="majorHAnsi"/>
                <w:bCs/>
              </w:rPr>
            </w:pPr>
            <w:r>
              <w:rPr>
                <w:rFonts w:asciiTheme="majorHAnsi" w:hAnsiTheme="majorHAnsi"/>
                <w:bCs/>
              </w:rPr>
              <w:t>Includes:</w:t>
            </w:r>
          </w:p>
          <w:p w14:paraId="231F8409" w14:textId="15E120B1" w:rsidR="00A03903" w:rsidRDefault="00451047" w:rsidP="001E21A1">
            <w:pPr>
              <w:pStyle w:val="ListParagraph"/>
              <w:numPr>
                <w:ilvl w:val="0"/>
                <w:numId w:val="53"/>
              </w:numPr>
              <w:spacing w:after="0" w:line="240" w:lineRule="auto"/>
              <w:ind w:left="329" w:hanging="357"/>
              <w:contextualSpacing w:val="0"/>
              <w:rPr>
                <w:rFonts w:asciiTheme="majorHAnsi" w:hAnsiTheme="majorHAnsi"/>
                <w:bCs/>
              </w:rPr>
            </w:pPr>
            <w:r>
              <w:rPr>
                <w:rFonts w:asciiTheme="majorHAnsi" w:hAnsiTheme="majorHAnsi"/>
                <w:bCs/>
              </w:rPr>
              <w:t>c</w:t>
            </w:r>
            <w:r w:rsidR="00A03903">
              <w:rPr>
                <w:rFonts w:asciiTheme="majorHAnsi" w:hAnsiTheme="majorHAnsi"/>
                <w:bCs/>
              </w:rPr>
              <w:t>ontainers w</w:t>
            </w:r>
            <w:r w:rsidR="00A03903" w:rsidRPr="0001125D">
              <w:rPr>
                <w:rFonts w:asciiTheme="majorHAnsi" w:hAnsiTheme="majorHAnsi"/>
                <w:bCs/>
              </w:rPr>
              <w:t>ith</w:t>
            </w:r>
            <w:r w:rsidR="00A03903">
              <w:rPr>
                <w:rFonts w:asciiTheme="majorHAnsi" w:hAnsiTheme="majorHAnsi"/>
                <w:bCs/>
              </w:rPr>
              <w:t xml:space="preserve"> </w:t>
            </w:r>
            <w:r w:rsidR="00A03903" w:rsidRPr="0001125D">
              <w:rPr>
                <w:rFonts w:asciiTheme="majorHAnsi" w:hAnsiTheme="majorHAnsi"/>
                <w:bCs/>
              </w:rPr>
              <w:t>solid sides,</w:t>
            </w:r>
            <w:r w:rsidR="00694C4C" w:rsidRPr="0001125D">
              <w:rPr>
                <w:rFonts w:asciiTheme="majorHAnsi" w:hAnsiTheme="majorHAnsi"/>
                <w:bCs/>
              </w:rPr>
              <w:t xml:space="preserve"> </w:t>
            </w:r>
            <w:r w:rsidR="00A03903">
              <w:rPr>
                <w:rFonts w:asciiTheme="majorHAnsi" w:hAnsiTheme="majorHAnsi"/>
                <w:bCs/>
              </w:rPr>
              <w:t>or</w:t>
            </w:r>
          </w:p>
          <w:p w14:paraId="04332B2D" w14:textId="77777777" w:rsidR="007A1AA9" w:rsidRDefault="007A1AA9" w:rsidP="005A5728">
            <w:pPr>
              <w:pStyle w:val="ListParagraph"/>
              <w:numPr>
                <w:ilvl w:val="0"/>
                <w:numId w:val="53"/>
              </w:numPr>
              <w:spacing w:after="60" w:line="240" w:lineRule="auto"/>
              <w:ind w:left="329" w:hanging="357"/>
              <w:contextualSpacing w:val="0"/>
              <w:rPr>
                <w:rFonts w:asciiTheme="majorHAnsi" w:hAnsiTheme="majorHAnsi"/>
                <w:bCs/>
              </w:rPr>
            </w:pPr>
            <w:r w:rsidRPr="0001125D">
              <w:rPr>
                <w:rFonts w:asciiTheme="majorHAnsi" w:hAnsiTheme="majorHAnsi"/>
                <w:bCs/>
              </w:rPr>
              <w:t>U</w:t>
            </w:r>
            <w:r w:rsidR="00694C4C" w:rsidRPr="0001125D">
              <w:rPr>
                <w:rFonts w:asciiTheme="majorHAnsi" w:hAnsiTheme="majorHAnsi"/>
                <w:bCs/>
              </w:rPr>
              <w:t xml:space="preserve">nit </w:t>
            </w:r>
            <w:r w:rsidRPr="0001125D">
              <w:rPr>
                <w:rFonts w:asciiTheme="majorHAnsi" w:hAnsiTheme="majorHAnsi"/>
                <w:bCs/>
              </w:rPr>
              <w:t>L</w:t>
            </w:r>
            <w:r w:rsidR="00694C4C" w:rsidRPr="0001125D">
              <w:rPr>
                <w:rFonts w:asciiTheme="majorHAnsi" w:hAnsiTheme="majorHAnsi"/>
                <w:bCs/>
              </w:rPr>
              <w:t xml:space="preserve">oad </w:t>
            </w:r>
            <w:r w:rsidRPr="0001125D">
              <w:rPr>
                <w:rFonts w:asciiTheme="majorHAnsi" w:hAnsiTheme="majorHAnsi"/>
                <w:bCs/>
              </w:rPr>
              <w:t>D</w:t>
            </w:r>
            <w:r w:rsidR="00694C4C" w:rsidRPr="0001125D">
              <w:rPr>
                <w:rFonts w:asciiTheme="majorHAnsi" w:hAnsiTheme="majorHAnsi"/>
                <w:bCs/>
              </w:rPr>
              <w:t>evice</w:t>
            </w:r>
            <w:r w:rsidR="00A03903">
              <w:rPr>
                <w:rFonts w:asciiTheme="majorHAnsi" w:hAnsiTheme="majorHAnsi"/>
                <w:bCs/>
              </w:rPr>
              <w:t>s</w:t>
            </w:r>
            <w:r w:rsidR="00694C4C" w:rsidRPr="0001125D">
              <w:rPr>
                <w:rFonts w:asciiTheme="majorHAnsi" w:hAnsiTheme="majorHAnsi"/>
                <w:bCs/>
              </w:rPr>
              <w:t xml:space="preserve"> (ULD</w:t>
            </w:r>
            <w:r w:rsidR="00A03903">
              <w:rPr>
                <w:rFonts w:asciiTheme="majorHAnsi" w:hAnsiTheme="majorHAnsi"/>
                <w:bCs/>
              </w:rPr>
              <w:t>s</w:t>
            </w:r>
            <w:r w:rsidR="00694C4C" w:rsidRPr="0001125D">
              <w:rPr>
                <w:rFonts w:asciiTheme="majorHAnsi" w:hAnsiTheme="majorHAnsi"/>
                <w:bCs/>
              </w:rPr>
              <w:t>)</w:t>
            </w:r>
            <w:r w:rsidRPr="0001125D">
              <w:rPr>
                <w:rFonts w:asciiTheme="majorHAnsi" w:hAnsiTheme="majorHAnsi"/>
                <w:bCs/>
              </w:rPr>
              <w:t xml:space="preserve"> with tarpaulin sides</w:t>
            </w:r>
            <w:r w:rsidR="00A03903">
              <w:rPr>
                <w:rFonts w:asciiTheme="majorHAnsi" w:hAnsiTheme="majorHAnsi"/>
                <w:bCs/>
              </w:rPr>
              <w:t xml:space="preserve"> </w:t>
            </w:r>
            <w:r w:rsidR="007B28CC">
              <w:rPr>
                <w:rFonts w:asciiTheme="majorHAnsi" w:hAnsiTheme="majorHAnsi"/>
                <w:bCs/>
              </w:rPr>
              <w:t>that have</w:t>
            </w:r>
            <w:r w:rsidR="00451047">
              <w:rPr>
                <w:rFonts w:asciiTheme="majorHAnsi" w:hAnsiTheme="majorHAnsi"/>
                <w:bCs/>
              </w:rPr>
              <w:t xml:space="preserve"> no holes or gaps.</w:t>
            </w:r>
          </w:p>
          <w:p w14:paraId="670C91E9" w14:textId="2C9A722D" w:rsidR="00CA2DF8" w:rsidRPr="00CA2DF8" w:rsidRDefault="00CA2DF8" w:rsidP="001E21A1">
            <w:pPr>
              <w:spacing w:after="60" w:line="240" w:lineRule="auto"/>
              <w:ind w:left="-28"/>
              <w:rPr>
                <w:rFonts w:asciiTheme="majorHAnsi" w:hAnsiTheme="majorHAnsi"/>
                <w:bCs/>
              </w:rPr>
            </w:pPr>
            <w:r>
              <w:rPr>
                <w:rFonts w:asciiTheme="majorHAnsi" w:hAnsiTheme="majorHAnsi"/>
                <w:bCs/>
              </w:rPr>
              <w:t>Exclude</w:t>
            </w:r>
            <w:r w:rsidR="005A5728">
              <w:rPr>
                <w:rFonts w:asciiTheme="majorHAnsi" w:hAnsiTheme="majorHAnsi"/>
                <w:bCs/>
              </w:rPr>
              <w:t>s</w:t>
            </w:r>
            <w:r>
              <w:rPr>
                <w:rFonts w:asciiTheme="majorHAnsi" w:hAnsiTheme="majorHAnsi"/>
                <w:bCs/>
              </w:rPr>
              <w:t xml:space="preserve"> </w:t>
            </w:r>
            <w:r>
              <w:rPr>
                <w:rFonts w:asciiTheme="majorHAnsi" w:hAnsiTheme="majorHAnsi"/>
              </w:rPr>
              <w:t>consignments without secure packaging placed in an enclosed vehicle.</w:t>
            </w:r>
          </w:p>
        </w:tc>
      </w:tr>
    </w:tbl>
    <w:p w14:paraId="3C2E24C4" w14:textId="77777777" w:rsidR="007A1AA9" w:rsidRPr="00C10BEB" w:rsidRDefault="007A1AA9" w:rsidP="000E4C0D">
      <w:pPr>
        <w:spacing w:after="0" w:line="240" w:lineRule="auto"/>
        <w:rPr>
          <w:rFonts w:asciiTheme="majorHAnsi" w:hAnsiTheme="majorHAnsi"/>
        </w:rPr>
      </w:pPr>
    </w:p>
    <w:p w14:paraId="514556A2" w14:textId="77777777" w:rsidR="000E4C0D" w:rsidRPr="00A87CE4" w:rsidRDefault="000E4C0D" w:rsidP="000E4C0D">
      <w:pPr>
        <w:pStyle w:val="Heading1"/>
      </w:pPr>
      <w:bookmarkStart w:id="7" w:name="_Toc403377524"/>
      <w:bookmarkStart w:id="8" w:name="_Toc403650285"/>
      <w:bookmarkStart w:id="9" w:name="_Toc477350969"/>
      <w:r w:rsidRPr="00A87CE4">
        <w:t>Other documents</w:t>
      </w:r>
      <w:bookmarkEnd w:id="7"/>
      <w:bookmarkEnd w:id="8"/>
      <w:bookmarkEnd w:id="9"/>
    </w:p>
    <w:p w14:paraId="6C19601D"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AA</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sidR="00630148">
        <w:rPr>
          <w:rFonts w:asciiTheme="majorHAnsi" w:hAnsiTheme="majorHAnsi" w:cstheme="majorHAnsi"/>
        </w:rPr>
        <w:t>n AA</w:t>
      </w:r>
      <w:r w:rsidRPr="00C10BEB">
        <w:rPr>
          <w:rFonts w:asciiTheme="majorHAnsi" w:hAnsiTheme="majorHAnsi" w:cstheme="majorHAnsi"/>
        </w:rPr>
        <w:t>.</w:t>
      </w:r>
    </w:p>
    <w:p w14:paraId="24891B84" w14:textId="77777777" w:rsidR="000E4C0D" w:rsidRPr="00C10BEB" w:rsidRDefault="000E4C0D" w:rsidP="000E4C0D">
      <w:pPr>
        <w:spacing w:after="0" w:line="240" w:lineRule="auto"/>
        <w:rPr>
          <w:rFonts w:asciiTheme="majorHAnsi" w:hAnsiTheme="majorHAnsi"/>
        </w:rPr>
      </w:pPr>
    </w:p>
    <w:p w14:paraId="3AF16ED8" w14:textId="77777777" w:rsidR="000E4C0D" w:rsidRDefault="00891978" w:rsidP="000E4C0D">
      <w:pPr>
        <w:pStyle w:val="Heading1"/>
        <w:ind w:right="-1"/>
      </w:pPr>
      <w:bookmarkStart w:id="10" w:name="_Toc403377526"/>
      <w:bookmarkStart w:id="11" w:name="_Toc403650286"/>
      <w:bookmarkStart w:id="12" w:name="_Toc477350970"/>
      <w:r>
        <w:t>Non</w:t>
      </w:r>
      <w:r w:rsidR="000E4C0D" w:rsidRPr="006B7007">
        <w:t>conformity guide</w:t>
      </w:r>
      <w:bookmarkEnd w:id="10"/>
      <w:bookmarkEnd w:id="11"/>
      <w:bookmarkEnd w:id="12"/>
    </w:p>
    <w:p w14:paraId="5B3630C7"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630148">
        <w:rPr>
          <w:rFonts w:asciiTheme="majorHAnsi" w:hAnsiTheme="majorHAnsi" w:cstheme="majorHAnsi"/>
        </w:rPr>
        <w:t>requirement</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criteria remains at the discretion of the </w:t>
      </w:r>
      <w:r w:rsidR="00630148">
        <w:rPr>
          <w:rFonts w:asciiTheme="majorHAnsi" w:hAnsiTheme="majorHAnsi" w:cstheme="majorHAnsi"/>
        </w:rPr>
        <w:t>Biosecurity</w:t>
      </w:r>
      <w:r w:rsidR="000E4C0D" w:rsidRPr="00C10BEB">
        <w:rPr>
          <w:rFonts w:asciiTheme="majorHAnsi" w:hAnsiTheme="majorHAnsi" w:cstheme="majorHAnsi"/>
        </w:rPr>
        <w:t xml:space="preserve"> Officer. </w:t>
      </w:r>
    </w:p>
    <w:p w14:paraId="48FA3A1A" w14:textId="77777777" w:rsidR="000E4C0D" w:rsidRPr="00C10BEB" w:rsidRDefault="000E4C0D" w:rsidP="000E4C0D">
      <w:pPr>
        <w:spacing w:after="0" w:line="240" w:lineRule="auto"/>
        <w:ind w:right="-1"/>
        <w:rPr>
          <w:rFonts w:asciiTheme="majorHAnsi" w:hAnsiTheme="majorHAnsi" w:cstheme="majorHAnsi"/>
        </w:rPr>
      </w:pPr>
    </w:p>
    <w:p w14:paraId="3E5D31D6" w14:textId="4AC7C0A2" w:rsidR="004D09DF" w:rsidRDefault="00891978" w:rsidP="001E21A1">
      <w:pPr>
        <w:spacing w:after="0" w:line="240" w:lineRule="auto"/>
        <w:ind w:right="-1"/>
        <w:rPr>
          <w:rFonts w:eastAsia="MS Gothic"/>
          <w:b/>
          <w:bCs/>
          <w:iCs/>
          <w:color w:val="C00000"/>
          <w:sz w:val="28"/>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630148">
        <w:rPr>
          <w:rFonts w:asciiTheme="majorHAnsi" w:hAnsiTheme="majorHAnsi" w:cstheme="majorHAnsi"/>
          <w:i/>
        </w:rPr>
        <w:t>AA</w:t>
      </w:r>
      <w:r w:rsidR="000E4C0D" w:rsidRPr="00C10BEB">
        <w:rPr>
          <w:rFonts w:asciiTheme="majorHAnsi" w:hAnsiTheme="majorHAnsi" w:cstheme="majorHAnsi"/>
          <w:i/>
        </w:rPr>
        <w:t xml:space="preserve"> General Policies</w:t>
      </w:r>
      <w:r w:rsidR="000E4C0D" w:rsidRPr="00C10BEB">
        <w:rPr>
          <w:rFonts w:asciiTheme="majorHAnsi" w:hAnsiTheme="majorHAnsi" w:cstheme="majorHAnsi"/>
        </w:rPr>
        <w:t>.</w:t>
      </w:r>
      <w:r w:rsidR="004D09DF">
        <w:br w:type="page"/>
      </w:r>
    </w:p>
    <w:p w14:paraId="184DA960" w14:textId="77777777" w:rsidR="005D27A3" w:rsidRPr="00A476CB" w:rsidRDefault="00630148" w:rsidP="006D1F6C">
      <w:pPr>
        <w:pStyle w:val="Heading1"/>
        <w:ind w:right="-1"/>
      </w:pPr>
      <w:bookmarkStart w:id="13" w:name="_Toc477350971"/>
      <w:r>
        <w:lastRenderedPageBreak/>
        <w:t>AA requirements</w:t>
      </w:r>
      <w:bookmarkEnd w:id="13"/>
    </w:p>
    <w:tbl>
      <w:tblPr>
        <w:tblStyle w:val="TableGrid"/>
        <w:tblW w:w="5000" w:type="pct"/>
        <w:jc w:val="center"/>
        <w:tblLook w:val="06A0" w:firstRow="1" w:lastRow="0" w:firstColumn="1" w:lastColumn="0" w:noHBand="1" w:noVBand="1"/>
      </w:tblPr>
      <w:tblGrid>
        <w:gridCol w:w="7089"/>
        <w:gridCol w:w="2408"/>
      </w:tblGrid>
      <w:tr w:rsidR="00B70F1E" w:rsidRPr="004D7E7A" w14:paraId="0931A581" w14:textId="77777777" w:rsidTr="00833C04">
        <w:trPr>
          <w:trHeight w:val="460"/>
          <w:tblHeader/>
          <w:jc w:val="center"/>
        </w:trPr>
        <w:tc>
          <w:tcPr>
            <w:tcW w:w="3732" w:type="pct"/>
            <w:tcBorders>
              <w:top w:val="single" w:sz="12" w:space="0" w:color="C00000"/>
              <w:left w:val="nil"/>
              <w:bottom w:val="single" w:sz="12" w:space="0" w:color="C00000"/>
              <w:right w:val="nil"/>
            </w:tcBorders>
            <w:shd w:val="clear" w:color="auto" w:fill="FFFFFF" w:themeFill="background1"/>
            <w:vAlign w:val="center"/>
          </w:tcPr>
          <w:p w14:paraId="7667780D" w14:textId="77777777" w:rsidR="00B70F1E" w:rsidRDefault="00630148" w:rsidP="00ED7078">
            <w:pPr>
              <w:spacing w:before="40" w:after="40" w:line="240" w:lineRule="auto"/>
              <w:jc w:val="center"/>
              <w:rPr>
                <w:b/>
              </w:rPr>
            </w:pPr>
            <w:r>
              <w:rPr>
                <w:b/>
              </w:rPr>
              <w:t>Requirements</w:t>
            </w:r>
          </w:p>
        </w:tc>
        <w:tc>
          <w:tcPr>
            <w:tcW w:w="1268" w:type="pct"/>
            <w:tcBorders>
              <w:top w:val="single" w:sz="12" w:space="0" w:color="C00000"/>
              <w:left w:val="nil"/>
              <w:bottom w:val="single" w:sz="12" w:space="0" w:color="C00000"/>
              <w:right w:val="nil"/>
            </w:tcBorders>
            <w:shd w:val="clear" w:color="auto" w:fill="FFFFFF" w:themeFill="background1"/>
            <w:vAlign w:val="center"/>
          </w:tcPr>
          <w:p w14:paraId="7A75830E" w14:textId="77777777" w:rsidR="00B70F1E" w:rsidRDefault="00891978" w:rsidP="003C74CB">
            <w:pPr>
              <w:spacing w:before="40" w:after="40" w:line="240" w:lineRule="auto"/>
              <w:ind w:right="-218"/>
              <w:rPr>
                <w:b/>
              </w:rPr>
            </w:pPr>
            <w:r>
              <w:rPr>
                <w:b/>
              </w:rPr>
              <w:t>Non</w:t>
            </w:r>
            <w:r w:rsidR="00B70F1E" w:rsidRPr="004D7E7A">
              <w:rPr>
                <w:b/>
              </w:rPr>
              <w:t>conformity guide</w:t>
            </w:r>
          </w:p>
        </w:tc>
      </w:tr>
      <w:tr w:rsidR="00B70F1E" w:rsidRPr="00852CFB" w14:paraId="2E36C9BD" w14:textId="77777777" w:rsidTr="00833C04">
        <w:trPr>
          <w:trHeight w:val="191"/>
          <w:jc w:val="center"/>
        </w:trPr>
        <w:tc>
          <w:tcPr>
            <w:tcW w:w="3732" w:type="pct"/>
            <w:tcBorders>
              <w:top w:val="single" w:sz="12" w:space="0" w:color="C00000"/>
              <w:left w:val="nil"/>
              <w:bottom w:val="single" w:sz="12" w:space="0" w:color="C00000"/>
              <w:right w:val="nil"/>
            </w:tcBorders>
            <w:shd w:val="clear" w:color="auto" w:fill="E5B8B7" w:themeFill="accent2" w:themeFillTint="66"/>
          </w:tcPr>
          <w:p w14:paraId="50A6EB40" w14:textId="3F22424A" w:rsidR="00B70F1E" w:rsidRDefault="00B70F1E" w:rsidP="00873392">
            <w:pPr>
              <w:pStyle w:val="Heading2"/>
              <w:spacing w:beforeLines="40" w:before="96" w:afterLines="40" w:after="96" w:line="240" w:lineRule="auto"/>
            </w:pPr>
            <w:bookmarkStart w:id="14" w:name="_Toc477350972"/>
            <w:r w:rsidRPr="00852CFB">
              <w:t>1</w:t>
            </w:r>
            <w:r w:rsidR="00D812DD">
              <w:t xml:space="preserve">    </w:t>
            </w:r>
            <w:r w:rsidR="003B4BE3">
              <w:t>Purpose</w:t>
            </w:r>
            <w:bookmarkEnd w:id="14"/>
          </w:p>
        </w:tc>
        <w:tc>
          <w:tcPr>
            <w:tcW w:w="1268" w:type="pct"/>
            <w:tcBorders>
              <w:top w:val="single" w:sz="12" w:space="0" w:color="C00000"/>
              <w:left w:val="nil"/>
              <w:bottom w:val="single" w:sz="12" w:space="0" w:color="C00000"/>
              <w:right w:val="nil"/>
            </w:tcBorders>
            <w:shd w:val="clear" w:color="auto" w:fill="E5B8B7" w:themeFill="accent2" w:themeFillTint="66"/>
            <w:vAlign w:val="center"/>
          </w:tcPr>
          <w:p w14:paraId="2E9BE898" w14:textId="77777777" w:rsidR="00B70F1E" w:rsidRDefault="00B70F1E" w:rsidP="00873392">
            <w:pPr>
              <w:pStyle w:val="Heading2"/>
              <w:spacing w:beforeLines="40" w:before="96" w:afterLines="40" w:after="96" w:line="240" w:lineRule="auto"/>
            </w:pPr>
          </w:p>
        </w:tc>
      </w:tr>
      <w:tr w:rsidR="00B70F1E" w:rsidRPr="004D7E7A" w14:paraId="31ADF4B4" w14:textId="77777777" w:rsidTr="00833C04">
        <w:trPr>
          <w:trHeight w:val="175"/>
          <w:jc w:val="center"/>
        </w:trPr>
        <w:tc>
          <w:tcPr>
            <w:tcW w:w="3732" w:type="pct"/>
            <w:tcBorders>
              <w:left w:val="nil"/>
              <w:right w:val="nil"/>
            </w:tcBorders>
          </w:tcPr>
          <w:p w14:paraId="06E62C2F" w14:textId="77777777" w:rsidR="00C72181" w:rsidRDefault="00C72181" w:rsidP="00873392">
            <w:pPr>
              <w:spacing w:beforeLines="40" w:before="96" w:afterLines="40" w:after="96" w:line="240" w:lineRule="auto"/>
              <w:rPr>
                <w:rFonts w:asciiTheme="majorHAnsi" w:hAnsiTheme="majorHAnsi" w:cstheme="majorHAnsi"/>
                <w:bCs/>
              </w:rPr>
            </w:pPr>
            <w:r w:rsidRPr="003B664C">
              <w:rPr>
                <w:rFonts w:asciiTheme="majorHAnsi" w:hAnsiTheme="majorHAnsi" w:cstheme="majorHAnsi"/>
                <w:bCs/>
              </w:rPr>
              <w:t>1.1</w:t>
            </w:r>
          </w:p>
          <w:p w14:paraId="4C7718D1" w14:textId="047961FB" w:rsidR="00F86009" w:rsidRDefault="00045FE2" w:rsidP="00F86009">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Approved </w:t>
            </w:r>
            <w:r w:rsidR="00E02366">
              <w:rPr>
                <w:rFonts w:asciiTheme="majorHAnsi" w:hAnsiTheme="majorHAnsi" w:cstheme="majorHAnsi"/>
                <w:bCs/>
              </w:rPr>
              <w:t>Arrangement</w:t>
            </w:r>
            <w:r>
              <w:rPr>
                <w:rFonts w:asciiTheme="majorHAnsi" w:hAnsiTheme="majorHAnsi" w:cstheme="majorHAnsi"/>
                <w:bCs/>
              </w:rPr>
              <w:t xml:space="preserve"> (AA) for the</w:t>
            </w:r>
            <w:r w:rsidR="00F86009">
              <w:rPr>
                <w:rFonts w:asciiTheme="majorHAnsi" w:hAnsiTheme="majorHAnsi" w:cstheme="majorHAnsi"/>
                <w:bCs/>
              </w:rPr>
              <w:t xml:space="preserve">: </w:t>
            </w:r>
          </w:p>
          <w:p w14:paraId="6D297DF2" w14:textId="1C775366" w:rsidR="00F86009" w:rsidRDefault="00045FE2" w:rsidP="001E21A1">
            <w:pPr>
              <w:pStyle w:val="ListParagraph"/>
              <w:numPr>
                <w:ilvl w:val="0"/>
                <w:numId w:val="42"/>
              </w:numPr>
              <w:spacing w:before="120" w:after="0" w:line="240" w:lineRule="auto"/>
              <w:ind w:left="595" w:hanging="357"/>
              <w:contextualSpacing w:val="0"/>
              <w:rPr>
                <w:rFonts w:asciiTheme="majorHAnsi" w:hAnsiTheme="majorHAnsi" w:cstheme="majorHAnsi"/>
                <w:bCs/>
              </w:rPr>
            </w:pPr>
            <w:r w:rsidRPr="00F86009">
              <w:rPr>
                <w:rFonts w:asciiTheme="majorHAnsi" w:hAnsiTheme="majorHAnsi" w:cstheme="majorHAnsi"/>
                <w:bCs/>
              </w:rPr>
              <w:t xml:space="preserve">verification </w:t>
            </w:r>
            <w:r w:rsidR="00A96A33" w:rsidRPr="00F86009">
              <w:rPr>
                <w:rFonts w:asciiTheme="majorHAnsi" w:hAnsiTheme="majorHAnsi" w:cstheme="majorHAnsi"/>
                <w:bCs/>
              </w:rPr>
              <w:t xml:space="preserve">of </w:t>
            </w:r>
            <w:r w:rsidR="00E82B66">
              <w:rPr>
                <w:rFonts w:asciiTheme="majorHAnsi" w:hAnsiTheme="majorHAnsi" w:cstheme="majorHAnsi"/>
                <w:bCs/>
              </w:rPr>
              <w:t xml:space="preserve">consignment </w:t>
            </w:r>
            <w:r w:rsidR="00E01A0B" w:rsidRPr="00F86009">
              <w:rPr>
                <w:rFonts w:asciiTheme="majorHAnsi" w:hAnsiTheme="majorHAnsi" w:cstheme="majorHAnsi"/>
                <w:bCs/>
              </w:rPr>
              <w:t xml:space="preserve">packaging </w:t>
            </w:r>
            <w:r w:rsidR="00F86009">
              <w:rPr>
                <w:rFonts w:asciiTheme="majorHAnsi" w:hAnsiTheme="majorHAnsi" w:cstheme="majorHAnsi"/>
                <w:bCs/>
              </w:rPr>
              <w:t>for</w:t>
            </w:r>
            <w:r w:rsidR="00E01A0B" w:rsidRPr="00F86009">
              <w:rPr>
                <w:rFonts w:asciiTheme="majorHAnsi" w:hAnsiTheme="majorHAnsi" w:cstheme="majorHAnsi"/>
                <w:bCs/>
              </w:rPr>
              <w:t xml:space="preserve"> airfreight perishables, </w:t>
            </w:r>
            <w:r w:rsidRPr="00F86009">
              <w:rPr>
                <w:rFonts w:asciiTheme="majorHAnsi" w:hAnsiTheme="majorHAnsi" w:cstheme="majorHAnsi"/>
                <w:bCs/>
              </w:rPr>
              <w:t xml:space="preserve">and </w:t>
            </w:r>
          </w:p>
          <w:p w14:paraId="01F172C2" w14:textId="77777777" w:rsidR="00BF777D" w:rsidRDefault="00045FE2" w:rsidP="001E21A1">
            <w:pPr>
              <w:pStyle w:val="ListParagraph"/>
              <w:numPr>
                <w:ilvl w:val="0"/>
                <w:numId w:val="42"/>
              </w:numPr>
              <w:spacing w:after="120" w:line="240" w:lineRule="auto"/>
              <w:ind w:left="595" w:hanging="357"/>
              <w:contextualSpacing w:val="0"/>
              <w:rPr>
                <w:rFonts w:asciiTheme="majorHAnsi" w:hAnsiTheme="majorHAnsi" w:cstheme="majorHAnsi"/>
                <w:bCs/>
              </w:rPr>
            </w:pPr>
            <w:r w:rsidRPr="00F86009">
              <w:rPr>
                <w:rFonts w:asciiTheme="majorHAnsi" w:hAnsiTheme="majorHAnsi" w:cstheme="majorHAnsi"/>
                <w:bCs/>
              </w:rPr>
              <w:t xml:space="preserve">securing </w:t>
            </w:r>
            <w:r w:rsidR="00E82B66">
              <w:rPr>
                <w:rFonts w:asciiTheme="majorHAnsi" w:hAnsiTheme="majorHAnsi" w:cstheme="majorHAnsi"/>
                <w:bCs/>
              </w:rPr>
              <w:t xml:space="preserve">of airfreight perishable consignments </w:t>
            </w:r>
            <w:r w:rsidR="001E6959">
              <w:rPr>
                <w:rFonts w:asciiTheme="majorHAnsi" w:hAnsiTheme="majorHAnsi" w:cstheme="majorHAnsi"/>
                <w:bCs/>
              </w:rPr>
              <w:t>for transport</w:t>
            </w:r>
            <w:r w:rsidR="00F86009">
              <w:rPr>
                <w:rFonts w:asciiTheme="majorHAnsi" w:hAnsiTheme="majorHAnsi" w:cstheme="majorHAnsi"/>
                <w:bCs/>
              </w:rPr>
              <w:t>.</w:t>
            </w:r>
            <w:r w:rsidRPr="00F86009">
              <w:rPr>
                <w:rFonts w:asciiTheme="majorHAnsi" w:hAnsiTheme="majorHAnsi" w:cstheme="majorHAnsi"/>
                <w:bCs/>
              </w:rPr>
              <w:t xml:space="preserve"> </w:t>
            </w:r>
          </w:p>
          <w:p w14:paraId="10AD9A9E" w14:textId="77777777" w:rsidR="00833034" w:rsidRPr="00833034" w:rsidRDefault="00833034" w:rsidP="00833034">
            <w:pPr>
              <w:spacing w:after="120" w:line="240" w:lineRule="auto"/>
              <w:rPr>
                <w:rFonts w:asciiTheme="majorHAnsi" w:hAnsiTheme="majorHAnsi" w:cstheme="majorHAnsi"/>
                <w:bCs/>
              </w:rPr>
            </w:pPr>
            <w:r w:rsidRPr="00833034">
              <w:rPr>
                <w:rFonts w:asciiTheme="majorHAnsi" w:hAnsiTheme="majorHAnsi" w:cstheme="majorHAnsi"/>
                <w:bCs/>
              </w:rPr>
              <w:t>Examples of biosecurity risks associated with goods subject to biosecurity control handled under a class 2.41 approved arrangement include:</w:t>
            </w:r>
          </w:p>
          <w:p w14:paraId="6F1155CB" w14:textId="49BD4E12" w:rsidR="00833034" w:rsidRPr="00833034" w:rsidRDefault="00833034" w:rsidP="00833034">
            <w:pPr>
              <w:pStyle w:val="ListParagraph"/>
              <w:numPr>
                <w:ilvl w:val="0"/>
                <w:numId w:val="42"/>
              </w:numPr>
              <w:spacing w:after="120" w:line="240" w:lineRule="auto"/>
              <w:ind w:left="595" w:hanging="357"/>
              <w:contextualSpacing w:val="0"/>
              <w:rPr>
                <w:rFonts w:asciiTheme="majorHAnsi" w:hAnsiTheme="majorHAnsi" w:cstheme="majorHAnsi"/>
                <w:bCs/>
              </w:rPr>
            </w:pPr>
            <w:r w:rsidRPr="00833034">
              <w:rPr>
                <w:rFonts w:asciiTheme="majorHAnsi" w:hAnsiTheme="majorHAnsi" w:cstheme="majorHAnsi"/>
                <w:bCs/>
              </w:rPr>
              <w:t xml:space="preserve">infestation of insects in or on the goods, packaging material or containers e.g., timber pests (e.g., termites, </w:t>
            </w:r>
            <w:proofErr w:type="gramStart"/>
            <w:r w:rsidRPr="00833034">
              <w:rPr>
                <w:rFonts w:asciiTheme="majorHAnsi" w:hAnsiTheme="majorHAnsi" w:cstheme="majorHAnsi"/>
                <w:bCs/>
              </w:rPr>
              <w:t>ants</w:t>
            </w:r>
            <w:proofErr w:type="gramEnd"/>
            <w:r w:rsidRPr="00833034">
              <w:rPr>
                <w:rFonts w:asciiTheme="majorHAnsi" w:hAnsiTheme="majorHAnsi" w:cstheme="majorHAnsi"/>
                <w:bCs/>
              </w:rPr>
              <w:t xml:space="preserve"> and larvae), stored product pests (e.g., beetles and larvae), insects seeking refuge (e.g., ants, bees, wasps, moths and spiders), hitchhiker pests (e.g., brown marmorated stink bug), and plant pests (e.g., fruit flies, mites and thrips etc)</w:t>
            </w:r>
          </w:p>
          <w:p w14:paraId="07154802" w14:textId="1748E5DB" w:rsidR="00833034" w:rsidRPr="00833034" w:rsidRDefault="00833034" w:rsidP="00833034">
            <w:pPr>
              <w:pStyle w:val="ListParagraph"/>
              <w:numPr>
                <w:ilvl w:val="0"/>
                <w:numId w:val="42"/>
              </w:numPr>
              <w:spacing w:after="120" w:line="240" w:lineRule="auto"/>
              <w:ind w:left="595" w:hanging="357"/>
              <w:contextualSpacing w:val="0"/>
              <w:rPr>
                <w:rFonts w:asciiTheme="majorHAnsi" w:hAnsiTheme="majorHAnsi" w:cstheme="majorHAnsi"/>
                <w:bCs/>
              </w:rPr>
            </w:pPr>
            <w:r w:rsidRPr="00833034">
              <w:rPr>
                <w:rFonts w:asciiTheme="majorHAnsi" w:hAnsiTheme="majorHAnsi" w:cstheme="majorHAnsi"/>
                <w:bCs/>
              </w:rPr>
              <w:t>animals such as rodents, reptiles, geckos, birds, and cats that can inadvertently travel in containers</w:t>
            </w:r>
          </w:p>
          <w:p w14:paraId="5678208F" w14:textId="30FE44CE" w:rsidR="00833034" w:rsidRPr="00833034" w:rsidRDefault="00833034" w:rsidP="00833034">
            <w:pPr>
              <w:pStyle w:val="ListParagraph"/>
              <w:numPr>
                <w:ilvl w:val="0"/>
                <w:numId w:val="42"/>
              </w:numPr>
              <w:spacing w:after="120" w:line="240" w:lineRule="auto"/>
              <w:ind w:left="595" w:hanging="357"/>
              <w:contextualSpacing w:val="0"/>
              <w:rPr>
                <w:rFonts w:asciiTheme="majorHAnsi" w:hAnsiTheme="majorHAnsi" w:cstheme="majorHAnsi"/>
                <w:bCs/>
              </w:rPr>
            </w:pPr>
            <w:r w:rsidRPr="00833034">
              <w:rPr>
                <w:rFonts w:asciiTheme="majorHAnsi" w:hAnsiTheme="majorHAnsi" w:cstheme="majorHAnsi"/>
                <w:bCs/>
              </w:rPr>
              <w:t>contamination of soil or plant material in or on goods, packaging material or containers e.g., soil can contain seeds of exotic plants or weeds, plant diseases, insects and insect eggs, and soil-borne animal diseases such as foot and mouth disease</w:t>
            </w:r>
          </w:p>
          <w:p w14:paraId="5985F1C1" w14:textId="609AD843" w:rsidR="00833034" w:rsidRPr="00833034" w:rsidRDefault="00833034" w:rsidP="00833034">
            <w:pPr>
              <w:pStyle w:val="ListParagraph"/>
              <w:numPr>
                <w:ilvl w:val="0"/>
                <w:numId w:val="42"/>
              </w:numPr>
              <w:spacing w:after="120" w:line="240" w:lineRule="auto"/>
              <w:ind w:left="595" w:hanging="357"/>
              <w:contextualSpacing w:val="0"/>
              <w:rPr>
                <w:rFonts w:asciiTheme="majorHAnsi" w:hAnsiTheme="majorHAnsi" w:cstheme="majorHAnsi"/>
                <w:bCs/>
              </w:rPr>
            </w:pPr>
            <w:r w:rsidRPr="00833034">
              <w:rPr>
                <w:rFonts w:asciiTheme="majorHAnsi" w:hAnsiTheme="majorHAnsi" w:cstheme="majorHAnsi"/>
                <w:bCs/>
              </w:rPr>
              <w:t>other contamination such as water can contain mosquito larvae and algae. Mosquitos are vectors for various diseases</w:t>
            </w:r>
          </w:p>
          <w:p w14:paraId="029850DC" w14:textId="26976CEA" w:rsidR="00833034" w:rsidRPr="00833034" w:rsidRDefault="00833034" w:rsidP="00833034">
            <w:pPr>
              <w:pStyle w:val="ListParagraph"/>
              <w:numPr>
                <w:ilvl w:val="0"/>
                <w:numId w:val="42"/>
              </w:numPr>
              <w:spacing w:after="120" w:line="240" w:lineRule="auto"/>
              <w:ind w:left="595" w:hanging="357"/>
              <w:contextualSpacing w:val="0"/>
              <w:rPr>
                <w:rFonts w:asciiTheme="majorHAnsi" w:hAnsiTheme="majorHAnsi" w:cstheme="majorHAnsi"/>
                <w:bCs/>
              </w:rPr>
            </w:pPr>
            <w:r w:rsidRPr="00833034">
              <w:rPr>
                <w:rFonts w:asciiTheme="majorHAnsi" w:hAnsiTheme="majorHAnsi" w:cstheme="majorHAnsi"/>
                <w:bCs/>
              </w:rPr>
              <w:t>plant diseases associated with goods that are made of or contain plant material e.g., Karnal bunt of wheat, citrus greening, leaf blight</w:t>
            </w:r>
            <w:r>
              <w:rPr>
                <w:rFonts w:asciiTheme="majorHAnsi" w:hAnsiTheme="majorHAnsi" w:cstheme="majorHAnsi"/>
                <w:bCs/>
              </w:rPr>
              <w:t>.</w:t>
            </w:r>
          </w:p>
          <w:p w14:paraId="4739B65B" w14:textId="6394AFE3" w:rsidR="00833034" w:rsidRPr="00833034" w:rsidRDefault="00833034" w:rsidP="00833034">
            <w:pPr>
              <w:spacing w:after="120" w:line="240" w:lineRule="auto"/>
              <w:rPr>
                <w:rFonts w:asciiTheme="majorHAnsi" w:hAnsiTheme="majorHAnsi" w:cstheme="majorHAnsi"/>
                <w:bCs/>
              </w:rPr>
            </w:pPr>
            <w:r w:rsidRPr="00833034">
              <w:rPr>
                <w:rFonts w:asciiTheme="majorHAnsi" w:hAnsiTheme="majorHAnsi" w:cstheme="majorHAnsi"/>
                <w:bCs/>
              </w:rPr>
              <w:t xml:space="preserve">Information on biosecurity import conditions and biosecurity risks for imported goods, containers, other cargo and arriving vessels is available on the </w:t>
            </w:r>
            <w:hyperlink r:id="rId16" w:history="1">
              <w:r w:rsidRPr="00833034">
                <w:rPr>
                  <w:rStyle w:val="Hyperlink"/>
                  <w:rFonts w:asciiTheme="majorHAnsi" w:hAnsiTheme="majorHAnsi" w:cstheme="majorHAnsi"/>
                  <w:bCs/>
                </w:rPr>
                <w:t>department's website</w:t>
              </w:r>
            </w:hyperlink>
            <w:r w:rsidRPr="00833034">
              <w:rPr>
                <w:rFonts w:asciiTheme="majorHAnsi" w:hAnsiTheme="majorHAnsi" w:cstheme="majorHAnsi"/>
                <w:bCs/>
              </w:rPr>
              <w:t>.</w:t>
            </w:r>
          </w:p>
        </w:tc>
        <w:tc>
          <w:tcPr>
            <w:tcW w:w="1268" w:type="pct"/>
            <w:tcBorders>
              <w:left w:val="nil"/>
              <w:right w:val="nil"/>
            </w:tcBorders>
            <w:vAlign w:val="center"/>
          </w:tcPr>
          <w:p w14:paraId="0C158C24" w14:textId="4AFBA571" w:rsidR="00B70F1E" w:rsidRDefault="00FB5389" w:rsidP="00793A2D">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N/A</w:t>
            </w:r>
          </w:p>
        </w:tc>
      </w:tr>
      <w:tr w:rsidR="00C72181" w:rsidRPr="00852CFB" w14:paraId="19FA140E" w14:textId="77777777" w:rsidTr="00833C04">
        <w:trPr>
          <w:trHeight w:val="191"/>
          <w:jc w:val="center"/>
        </w:trPr>
        <w:tc>
          <w:tcPr>
            <w:tcW w:w="3732" w:type="pct"/>
            <w:tcBorders>
              <w:top w:val="single" w:sz="12" w:space="0" w:color="C00000"/>
              <w:left w:val="nil"/>
              <w:bottom w:val="single" w:sz="12" w:space="0" w:color="C00000"/>
              <w:right w:val="nil"/>
            </w:tcBorders>
            <w:shd w:val="clear" w:color="auto" w:fill="E5B8B7" w:themeFill="accent2" w:themeFillTint="66"/>
          </w:tcPr>
          <w:p w14:paraId="60969451" w14:textId="39B65937" w:rsidR="00C72181" w:rsidRDefault="00C72181" w:rsidP="00873392">
            <w:pPr>
              <w:pStyle w:val="Heading2"/>
              <w:spacing w:beforeLines="40" w:before="96" w:afterLines="40" w:after="96" w:line="240" w:lineRule="auto"/>
            </w:pPr>
            <w:bookmarkStart w:id="15" w:name="_Toc477350973"/>
            <w:r>
              <w:t>2</w:t>
            </w:r>
            <w:r w:rsidR="00D812DD">
              <w:t xml:space="preserve">    </w:t>
            </w:r>
            <w:r w:rsidR="006C36C9">
              <w:t>Scope</w:t>
            </w:r>
            <w:bookmarkEnd w:id="15"/>
          </w:p>
        </w:tc>
        <w:tc>
          <w:tcPr>
            <w:tcW w:w="1268" w:type="pct"/>
            <w:tcBorders>
              <w:top w:val="single" w:sz="12" w:space="0" w:color="C00000"/>
              <w:left w:val="nil"/>
              <w:bottom w:val="single" w:sz="12" w:space="0" w:color="C00000"/>
              <w:right w:val="nil"/>
            </w:tcBorders>
            <w:shd w:val="clear" w:color="auto" w:fill="E5B8B7" w:themeFill="accent2" w:themeFillTint="66"/>
            <w:vAlign w:val="center"/>
          </w:tcPr>
          <w:p w14:paraId="0BC4DA5F" w14:textId="77777777" w:rsidR="00C72181" w:rsidRDefault="00C72181" w:rsidP="00873392">
            <w:pPr>
              <w:pStyle w:val="Heading2"/>
              <w:spacing w:beforeLines="40" w:before="96" w:afterLines="40" w:after="96" w:line="240" w:lineRule="auto"/>
            </w:pPr>
          </w:p>
        </w:tc>
      </w:tr>
      <w:tr w:rsidR="00B70F1E" w:rsidRPr="0055128E" w14:paraId="5A39E944" w14:textId="77777777" w:rsidTr="00833C04">
        <w:trPr>
          <w:trHeight w:val="175"/>
          <w:jc w:val="center"/>
        </w:trPr>
        <w:tc>
          <w:tcPr>
            <w:tcW w:w="3732" w:type="pct"/>
            <w:tcBorders>
              <w:left w:val="nil"/>
              <w:right w:val="nil"/>
            </w:tcBorders>
          </w:tcPr>
          <w:p w14:paraId="29E010A3" w14:textId="77777777" w:rsidR="0019132C" w:rsidRDefault="0019132C" w:rsidP="0055128E">
            <w:pPr>
              <w:spacing w:beforeLines="40" w:before="96" w:afterLines="40" w:after="96" w:line="240" w:lineRule="auto"/>
              <w:rPr>
                <w:rFonts w:asciiTheme="majorHAnsi" w:hAnsiTheme="majorHAnsi" w:cstheme="majorHAnsi"/>
                <w:bCs/>
              </w:rPr>
            </w:pPr>
            <w:r w:rsidRPr="003B664C">
              <w:rPr>
                <w:rFonts w:asciiTheme="majorHAnsi" w:hAnsiTheme="majorHAnsi" w:cstheme="majorHAnsi"/>
                <w:bCs/>
              </w:rPr>
              <w:t>2.1</w:t>
            </w:r>
          </w:p>
          <w:p w14:paraId="7DABF67E" w14:textId="532A31FC" w:rsidR="00E82B66" w:rsidRPr="00B2798D" w:rsidRDefault="006078CD" w:rsidP="00B2798D">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The Verification of Packaging for Airfreight Perishables </w:t>
            </w:r>
            <w:r w:rsidR="003D6918">
              <w:rPr>
                <w:rFonts w:asciiTheme="majorHAnsi" w:hAnsiTheme="majorHAnsi" w:cstheme="majorHAnsi"/>
                <w:bCs/>
              </w:rPr>
              <w:t>AA</w:t>
            </w:r>
            <w:r w:rsidR="003D6918" w:rsidRPr="006C36C9">
              <w:rPr>
                <w:rFonts w:asciiTheme="majorHAnsi" w:hAnsiTheme="majorHAnsi" w:cstheme="majorHAnsi"/>
                <w:bCs/>
              </w:rPr>
              <w:t xml:space="preserve"> </w:t>
            </w:r>
            <w:r w:rsidR="006C36C9" w:rsidRPr="006C36C9">
              <w:rPr>
                <w:rFonts w:asciiTheme="majorHAnsi" w:hAnsiTheme="majorHAnsi" w:cstheme="majorHAnsi"/>
                <w:bCs/>
              </w:rPr>
              <w:t>is limited</w:t>
            </w:r>
            <w:r w:rsidR="00045FE2">
              <w:rPr>
                <w:rFonts w:asciiTheme="majorHAnsi" w:hAnsiTheme="majorHAnsi" w:cstheme="majorHAnsi"/>
                <w:bCs/>
              </w:rPr>
              <w:t xml:space="preserve"> </w:t>
            </w:r>
            <w:r>
              <w:rPr>
                <w:rFonts w:asciiTheme="majorHAnsi" w:hAnsiTheme="majorHAnsi" w:cstheme="majorHAnsi"/>
                <w:bCs/>
              </w:rPr>
              <w:t>to</w:t>
            </w:r>
            <w:r w:rsidR="002B37E9">
              <w:rPr>
                <w:rFonts w:asciiTheme="majorHAnsi" w:hAnsiTheme="majorHAnsi" w:cstheme="majorHAnsi"/>
                <w:bCs/>
              </w:rPr>
              <w:t xml:space="preserve"> consignments of</w:t>
            </w:r>
            <w:r w:rsidR="00B2798D">
              <w:rPr>
                <w:rFonts w:asciiTheme="majorHAnsi" w:hAnsiTheme="majorHAnsi" w:cstheme="majorHAnsi"/>
                <w:bCs/>
              </w:rPr>
              <w:t xml:space="preserve"> airfreight perishables </w:t>
            </w:r>
            <w:r w:rsidR="00045FE2" w:rsidRPr="00B2798D">
              <w:rPr>
                <w:rFonts w:asciiTheme="majorHAnsi" w:hAnsiTheme="majorHAnsi" w:cstheme="majorHAnsi"/>
                <w:bCs/>
              </w:rPr>
              <w:t xml:space="preserve">directed by the department for </w:t>
            </w:r>
            <w:r w:rsidR="00364D14" w:rsidRPr="00B2798D">
              <w:rPr>
                <w:rFonts w:asciiTheme="majorHAnsi" w:hAnsiTheme="majorHAnsi" w:cstheme="majorHAnsi"/>
                <w:bCs/>
              </w:rPr>
              <w:t xml:space="preserve">packaging </w:t>
            </w:r>
            <w:r w:rsidR="00045FE2" w:rsidRPr="00B2798D">
              <w:rPr>
                <w:rFonts w:asciiTheme="majorHAnsi" w:hAnsiTheme="majorHAnsi" w:cstheme="majorHAnsi"/>
                <w:bCs/>
              </w:rPr>
              <w:t>verification, prior to a</w:t>
            </w:r>
            <w:r w:rsidR="00CD1A2B" w:rsidRPr="00B2798D">
              <w:rPr>
                <w:rFonts w:asciiTheme="majorHAnsi" w:hAnsiTheme="majorHAnsi" w:cstheme="majorHAnsi"/>
                <w:bCs/>
              </w:rPr>
              <w:t xml:space="preserve"> biosecurity inspection</w:t>
            </w:r>
            <w:r w:rsidR="004118BC" w:rsidRPr="00B2798D">
              <w:rPr>
                <w:rFonts w:asciiTheme="majorHAnsi" w:hAnsiTheme="majorHAnsi" w:cstheme="majorHAnsi"/>
                <w:bCs/>
              </w:rPr>
              <w:t>.</w:t>
            </w:r>
          </w:p>
        </w:tc>
        <w:tc>
          <w:tcPr>
            <w:tcW w:w="1268" w:type="pct"/>
            <w:tcBorders>
              <w:left w:val="nil"/>
              <w:right w:val="nil"/>
            </w:tcBorders>
            <w:vAlign w:val="center"/>
          </w:tcPr>
          <w:p w14:paraId="491C3569" w14:textId="6D6B53BF" w:rsidR="00B70F1E" w:rsidRDefault="00FB5389" w:rsidP="00793A2D">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 xml:space="preserve">Major or </w:t>
            </w:r>
            <w:r w:rsidR="00E02366">
              <w:rPr>
                <w:rFonts w:asciiTheme="majorHAnsi" w:hAnsiTheme="majorHAnsi" w:cstheme="majorHAnsi"/>
                <w:bCs/>
              </w:rPr>
              <w:t>critical</w:t>
            </w:r>
          </w:p>
        </w:tc>
      </w:tr>
      <w:tr w:rsidR="00F44C93" w:rsidRPr="0055128E" w14:paraId="7458D33C" w14:textId="77777777" w:rsidTr="00833C04">
        <w:trPr>
          <w:trHeight w:val="175"/>
          <w:jc w:val="center"/>
        </w:trPr>
        <w:tc>
          <w:tcPr>
            <w:tcW w:w="3732" w:type="pct"/>
            <w:tcBorders>
              <w:left w:val="nil"/>
              <w:right w:val="nil"/>
            </w:tcBorders>
          </w:tcPr>
          <w:p w14:paraId="0EACA959" w14:textId="10E97B40" w:rsidR="00F44C93" w:rsidRDefault="00F44C93"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2.2</w:t>
            </w:r>
          </w:p>
          <w:p w14:paraId="26180196" w14:textId="2B756E8F" w:rsidR="00630567" w:rsidRDefault="008718B2" w:rsidP="00630567">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Activities </w:t>
            </w:r>
            <w:r w:rsidR="00F44C93">
              <w:rPr>
                <w:rFonts w:asciiTheme="majorHAnsi" w:hAnsiTheme="majorHAnsi" w:cstheme="majorHAnsi"/>
                <w:bCs/>
              </w:rPr>
              <w:t>outlined in this AA must occur</w:t>
            </w:r>
            <w:r w:rsidR="00630567">
              <w:rPr>
                <w:rFonts w:asciiTheme="majorHAnsi" w:hAnsiTheme="majorHAnsi" w:cstheme="majorHAnsi"/>
                <w:bCs/>
              </w:rPr>
              <w:t>:</w:t>
            </w:r>
            <w:r w:rsidR="00F44C93">
              <w:rPr>
                <w:rFonts w:asciiTheme="majorHAnsi" w:hAnsiTheme="majorHAnsi" w:cstheme="majorHAnsi"/>
                <w:bCs/>
              </w:rPr>
              <w:t xml:space="preserve"> </w:t>
            </w:r>
          </w:p>
          <w:p w14:paraId="1A4281CA" w14:textId="77777777" w:rsidR="00630567" w:rsidRDefault="00975DEA" w:rsidP="003B5D3A">
            <w:pPr>
              <w:pStyle w:val="ListParagraph"/>
              <w:numPr>
                <w:ilvl w:val="0"/>
                <w:numId w:val="61"/>
              </w:numPr>
              <w:spacing w:beforeLines="40" w:before="96" w:afterLines="40" w:after="96" w:line="240" w:lineRule="auto"/>
              <w:rPr>
                <w:rFonts w:asciiTheme="majorHAnsi" w:hAnsiTheme="majorHAnsi" w:cstheme="majorHAnsi"/>
                <w:bCs/>
              </w:rPr>
            </w:pPr>
            <w:r w:rsidRPr="003B5D3A">
              <w:rPr>
                <w:rFonts w:asciiTheme="majorHAnsi" w:hAnsiTheme="majorHAnsi" w:cstheme="majorHAnsi"/>
                <w:bCs/>
              </w:rPr>
              <w:t xml:space="preserve">at </w:t>
            </w:r>
            <w:r w:rsidR="00630567" w:rsidRPr="003B5D3A">
              <w:rPr>
                <w:rFonts w:asciiTheme="majorHAnsi" w:hAnsiTheme="majorHAnsi" w:cstheme="majorHAnsi"/>
                <w:bCs/>
              </w:rPr>
              <w:t>the</w:t>
            </w:r>
            <w:r w:rsidRPr="003B5D3A">
              <w:rPr>
                <w:rFonts w:asciiTheme="majorHAnsi" w:hAnsiTheme="majorHAnsi" w:cstheme="majorHAnsi"/>
                <w:bCs/>
              </w:rPr>
              <w:t xml:space="preserve"> AA site </w:t>
            </w:r>
            <w:r w:rsidR="00630567" w:rsidRPr="003B5D3A">
              <w:rPr>
                <w:rFonts w:asciiTheme="majorHAnsi" w:hAnsiTheme="majorHAnsi" w:cstheme="majorHAnsi"/>
                <w:bCs/>
              </w:rPr>
              <w:t>listed on the biosecurity direction</w:t>
            </w:r>
            <w:r w:rsidR="00630567">
              <w:rPr>
                <w:rFonts w:asciiTheme="majorHAnsi" w:hAnsiTheme="majorHAnsi" w:cstheme="majorHAnsi"/>
                <w:bCs/>
              </w:rPr>
              <w:t xml:space="preserve">, </w:t>
            </w:r>
          </w:p>
          <w:p w14:paraId="18A9B156" w14:textId="511B8147" w:rsidR="00F44C93" w:rsidRPr="003B5D3A" w:rsidRDefault="00975DEA" w:rsidP="003B5D3A">
            <w:pPr>
              <w:pStyle w:val="ListParagraph"/>
              <w:numPr>
                <w:ilvl w:val="0"/>
                <w:numId w:val="61"/>
              </w:numPr>
              <w:spacing w:beforeLines="40" w:before="96" w:afterLines="40" w:after="96" w:line="240" w:lineRule="auto"/>
              <w:rPr>
                <w:rFonts w:asciiTheme="majorHAnsi" w:hAnsiTheme="majorHAnsi" w:cstheme="majorHAnsi"/>
                <w:bCs/>
              </w:rPr>
            </w:pPr>
            <w:r w:rsidRPr="003B5D3A">
              <w:rPr>
                <w:rFonts w:asciiTheme="majorHAnsi" w:hAnsiTheme="majorHAnsi" w:cstheme="majorHAnsi"/>
                <w:bCs/>
              </w:rPr>
              <w:t xml:space="preserve">prior to movement to an AA site for biosecurity </w:t>
            </w:r>
            <w:r w:rsidR="000915A8">
              <w:rPr>
                <w:rFonts w:asciiTheme="majorHAnsi" w:hAnsiTheme="majorHAnsi" w:cstheme="majorHAnsi"/>
                <w:bCs/>
              </w:rPr>
              <w:t>intervention</w:t>
            </w:r>
            <w:r w:rsidRPr="003B5D3A">
              <w:rPr>
                <w:rFonts w:asciiTheme="majorHAnsi" w:hAnsiTheme="majorHAnsi" w:cstheme="majorHAnsi"/>
                <w:bCs/>
              </w:rPr>
              <w:t>.</w:t>
            </w:r>
          </w:p>
        </w:tc>
        <w:tc>
          <w:tcPr>
            <w:tcW w:w="1268" w:type="pct"/>
            <w:tcBorders>
              <w:left w:val="nil"/>
              <w:right w:val="nil"/>
            </w:tcBorders>
            <w:vAlign w:val="center"/>
          </w:tcPr>
          <w:p w14:paraId="4104E883" w14:textId="10B32B1E" w:rsidR="00F44C93" w:rsidRDefault="00975DEA" w:rsidP="00793A2D">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 xml:space="preserve">Major or </w:t>
            </w:r>
            <w:proofErr w:type="spellStart"/>
            <w:r>
              <w:rPr>
                <w:rFonts w:asciiTheme="majorHAnsi" w:hAnsiTheme="majorHAnsi" w:cstheme="majorHAnsi"/>
                <w:bCs/>
              </w:rPr>
              <w:t>crtical</w:t>
            </w:r>
            <w:proofErr w:type="spellEnd"/>
          </w:p>
        </w:tc>
      </w:tr>
      <w:tr w:rsidR="00C72181" w:rsidRPr="00852CFB" w14:paraId="05983CB0" w14:textId="77777777" w:rsidTr="00833C04">
        <w:trPr>
          <w:trHeight w:val="191"/>
          <w:jc w:val="center"/>
        </w:trPr>
        <w:tc>
          <w:tcPr>
            <w:tcW w:w="3732" w:type="pct"/>
            <w:tcBorders>
              <w:top w:val="single" w:sz="12" w:space="0" w:color="C00000"/>
              <w:left w:val="nil"/>
              <w:bottom w:val="single" w:sz="12" w:space="0" w:color="C00000"/>
              <w:right w:val="nil"/>
            </w:tcBorders>
            <w:shd w:val="clear" w:color="auto" w:fill="E5B8B7" w:themeFill="accent2" w:themeFillTint="66"/>
          </w:tcPr>
          <w:p w14:paraId="69CF3B5D" w14:textId="43707AC6" w:rsidR="00C72181" w:rsidRDefault="00C72181" w:rsidP="00EF221B">
            <w:pPr>
              <w:pStyle w:val="Heading2"/>
              <w:spacing w:beforeLines="40" w:before="96" w:afterLines="40" w:after="96" w:line="240" w:lineRule="auto"/>
            </w:pPr>
            <w:bookmarkStart w:id="16" w:name="_Toc477350974"/>
            <w:r>
              <w:t>3</w:t>
            </w:r>
            <w:r w:rsidR="00D812DD">
              <w:t xml:space="preserve">    </w:t>
            </w:r>
            <w:r w:rsidR="00F91D16" w:rsidRPr="0010693C">
              <w:rPr>
                <w:color w:val="auto"/>
              </w:rPr>
              <w:t>Operating Requirements</w:t>
            </w:r>
            <w:bookmarkEnd w:id="16"/>
          </w:p>
        </w:tc>
        <w:tc>
          <w:tcPr>
            <w:tcW w:w="1268" w:type="pct"/>
            <w:tcBorders>
              <w:top w:val="single" w:sz="12" w:space="0" w:color="C00000"/>
              <w:left w:val="nil"/>
              <w:bottom w:val="single" w:sz="12" w:space="0" w:color="C00000"/>
              <w:right w:val="nil"/>
            </w:tcBorders>
            <w:shd w:val="clear" w:color="auto" w:fill="E5B8B7" w:themeFill="accent2" w:themeFillTint="66"/>
            <w:vAlign w:val="center"/>
          </w:tcPr>
          <w:p w14:paraId="4E253CBF" w14:textId="77777777" w:rsidR="00C72181" w:rsidRDefault="00C72181" w:rsidP="00873392">
            <w:pPr>
              <w:pStyle w:val="Heading2"/>
              <w:spacing w:beforeLines="40" w:before="96" w:afterLines="40" w:after="96" w:line="240" w:lineRule="auto"/>
            </w:pPr>
          </w:p>
        </w:tc>
      </w:tr>
      <w:tr w:rsidR="00D76065" w:rsidRPr="0055128E" w14:paraId="0D205A42" w14:textId="77777777" w:rsidTr="00D81565">
        <w:trPr>
          <w:trHeight w:val="175"/>
          <w:jc w:val="center"/>
        </w:trPr>
        <w:tc>
          <w:tcPr>
            <w:tcW w:w="3732" w:type="pct"/>
            <w:tcBorders>
              <w:top w:val="single" w:sz="4" w:space="0" w:color="auto"/>
              <w:left w:val="nil"/>
              <w:bottom w:val="single" w:sz="4" w:space="0" w:color="auto"/>
              <w:right w:val="nil"/>
            </w:tcBorders>
          </w:tcPr>
          <w:p w14:paraId="104FD842" w14:textId="77777777" w:rsidR="00D76065" w:rsidRDefault="00D76065"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3.1</w:t>
            </w:r>
          </w:p>
          <w:p w14:paraId="7ACBFAFC" w14:textId="0CDEDE3A" w:rsidR="00D76065" w:rsidRDefault="00D76065" w:rsidP="00D76065">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Knockdown spray must be applied to insects detected during deconsolidation and/or packaging verification of airfreight perishables.   </w:t>
            </w:r>
          </w:p>
        </w:tc>
        <w:tc>
          <w:tcPr>
            <w:tcW w:w="1268" w:type="pct"/>
            <w:tcBorders>
              <w:top w:val="single" w:sz="4" w:space="0" w:color="auto"/>
              <w:left w:val="nil"/>
              <w:bottom w:val="single" w:sz="4" w:space="0" w:color="auto"/>
              <w:right w:val="nil"/>
            </w:tcBorders>
            <w:vAlign w:val="center"/>
          </w:tcPr>
          <w:p w14:paraId="7E6894C6" w14:textId="566FD4C7" w:rsidR="00D76065" w:rsidRDefault="00D76065" w:rsidP="003E05A7">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55128E" w:rsidRPr="0055128E" w14:paraId="0E6D09AB" w14:textId="77777777" w:rsidTr="00D81565">
        <w:trPr>
          <w:trHeight w:val="175"/>
          <w:jc w:val="center"/>
        </w:trPr>
        <w:tc>
          <w:tcPr>
            <w:tcW w:w="3732" w:type="pct"/>
            <w:tcBorders>
              <w:top w:val="single" w:sz="4" w:space="0" w:color="auto"/>
              <w:left w:val="nil"/>
              <w:bottom w:val="single" w:sz="4" w:space="0" w:color="auto"/>
              <w:right w:val="nil"/>
            </w:tcBorders>
          </w:tcPr>
          <w:p w14:paraId="08B88285" w14:textId="18F511AA" w:rsidR="0055128E" w:rsidRPr="0055128E" w:rsidRDefault="00716089"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3</w:t>
            </w:r>
            <w:r w:rsidR="0055128E" w:rsidRPr="0055128E">
              <w:rPr>
                <w:rFonts w:asciiTheme="majorHAnsi" w:hAnsiTheme="majorHAnsi" w:cstheme="majorHAnsi"/>
                <w:bCs/>
              </w:rPr>
              <w:t>.</w:t>
            </w:r>
            <w:r w:rsidR="00D76065">
              <w:rPr>
                <w:rFonts w:asciiTheme="majorHAnsi" w:hAnsiTheme="majorHAnsi" w:cstheme="majorHAnsi"/>
                <w:bCs/>
              </w:rPr>
              <w:t>2</w:t>
            </w:r>
          </w:p>
          <w:p w14:paraId="5A975851" w14:textId="0CB3616E" w:rsidR="0018068C" w:rsidRPr="006C36C9" w:rsidRDefault="00FF6CC2" w:rsidP="006C36C9">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Consignment packaging for </w:t>
            </w:r>
            <w:r w:rsidR="00F22BC9">
              <w:rPr>
                <w:rFonts w:asciiTheme="majorHAnsi" w:hAnsiTheme="majorHAnsi" w:cstheme="majorHAnsi"/>
                <w:bCs/>
              </w:rPr>
              <w:t>airfreight perishables</w:t>
            </w:r>
            <w:r w:rsidR="00607399">
              <w:rPr>
                <w:rFonts w:asciiTheme="majorHAnsi" w:hAnsiTheme="majorHAnsi" w:cstheme="majorHAnsi"/>
                <w:bCs/>
              </w:rPr>
              <w:t xml:space="preserve"> must be verified for compliance </w:t>
            </w:r>
            <w:r w:rsidR="006C36C9" w:rsidRPr="006C36C9">
              <w:rPr>
                <w:rFonts w:asciiTheme="majorHAnsi" w:hAnsiTheme="majorHAnsi" w:cstheme="majorHAnsi"/>
                <w:bCs/>
              </w:rPr>
              <w:t xml:space="preserve">with one or more of the following secure packaging options: </w:t>
            </w:r>
          </w:p>
          <w:p w14:paraId="2F5A1C28" w14:textId="15DF42CB" w:rsidR="0065582F" w:rsidRPr="0065582F" w:rsidRDefault="006C36C9" w:rsidP="00C240F7">
            <w:pPr>
              <w:pStyle w:val="ListParagraph"/>
              <w:numPr>
                <w:ilvl w:val="0"/>
                <w:numId w:val="57"/>
              </w:numPr>
              <w:spacing w:after="120" w:line="240" w:lineRule="auto"/>
              <w:ind w:left="459"/>
              <w:contextualSpacing w:val="0"/>
              <w:rPr>
                <w:rFonts w:asciiTheme="majorHAnsi" w:hAnsiTheme="majorHAnsi"/>
              </w:rPr>
            </w:pPr>
            <w:r w:rsidRPr="0065582F">
              <w:rPr>
                <w:rFonts w:asciiTheme="majorHAnsi" w:hAnsiTheme="majorHAnsi"/>
              </w:rPr>
              <w:t>Integral cartons</w:t>
            </w:r>
            <w:r w:rsidR="00F22BC9">
              <w:rPr>
                <w:rFonts w:asciiTheme="majorHAnsi" w:hAnsiTheme="majorHAnsi"/>
              </w:rPr>
              <w:t>.</w:t>
            </w:r>
          </w:p>
          <w:p w14:paraId="46C85AA1" w14:textId="2944B442" w:rsidR="0001125D" w:rsidRPr="0065582F" w:rsidRDefault="003F6E07" w:rsidP="00C240F7">
            <w:pPr>
              <w:spacing w:after="120" w:line="240" w:lineRule="auto"/>
              <w:ind w:left="459"/>
              <w:rPr>
                <w:rFonts w:asciiTheme="majorHAnsi" w:hAnsiTheme="majorHAnsi"/>
              </w:rPr>
            </w:pPr>
            <w:r>
              <w:rPr>
                <w:rFonts w:asciiTheme="majorHAnsi" w:hAnsiTheme="majorHAnsi"/>
              </w:rPr>
              <w:t xml:space="preserve">Goods </w:t>
            </w:r>
            <w:r w:rsidR="0036083F" w:rsidRPr="0065582F">
              <w:rPr>
                <w:rFonts w:asciiTheme="majorHAnsi" w:hAnsiTheme="majorHAnsi"/>
              </w:rPr>
              <w:t xml:space="preserve">must </w:t>
            </w:r>
            <w:r w:rsidR="006C36C9" w:rsidRPr="0065582F">
              <w:rPr>
                <w:rFonts w:asciiTheme="majorHAnsi" w:hAnsiTheme="majorHAnsi"/>
              </w:rPr>
              <w:t xml:space="preserve">be packed in integral (fully enclosed) cartons </w:t>
            </w:r>
            <w:r w:rsidR="00BD5A25" w:rsidRPr="0065582F">
              <w:rPr>
                <w:rFonts w:asciiTheme="majorHAnsi" w:hAnsiTheme="majorHAnsi"/>
              </w:rPr>
              <w:t xml:space="preserve">that </w:t>
            </w:r>
            <w:r w:rsidR="006C36C9" w:rsidRPr="0065582F">
              <w:rPr>
                <w:rFonts w:asciiTheme="majorHAnsi" w:hAnsiTheme="majorHAnsi"/>
              </w:rPr>
              <w:t>hav</w:t>
            </w:r>
            <w:r w:rsidR="00F22BC9">
              <w:rPr>
                <w:rFonts w:asciiTheme="majorHAnsi" w:hAnsiTheme="majorHAnsi"/>
              </w:rPr>
              <w:t>e</w:t>
            </w:r>
            <w:r w:rsidR="006C36C9" w:rsidRPr="0065582F">
              <w:rPr>
                <w:rFonts w:asciiTheme="majorHAnsi" w:hAnsiTheme="majorHAnsi"/>
              </w:rPr>
              <w:t xml:space="preserve"> no ventilation holes</w:t>
            </w:r>
            <w:r w:rsidR="007D64A4">
              <w:rPr>
                <w:rFonts w:asciiTheme="majorHAnsi" w:hAnsiTheme="majorHAnsi"/>
              </w:rPr>
              <w:t>, and</w:t>
            </w:r>
            <w:r w:rsidR="00E77914" w:rsidRPr="0065582F">
              <w:rPr>
                <w:rFonts w:asciiTheme="majorHAnsi" w:hAnsiTheme="majorHAnsi"/>
              </w:rPr>
              <w:t xml:space="preserve"> </w:t>
            </w:r>
            <w:r w:rsidR="00F22BC9">
              <w:rPr>
                <w:rFonts w:asciiTheme="majorHAnsi" w:hAnsiTheme="majorHAnsi"/>
              </w:rPr>
              <w:t xml:space="preserve">with </w:t>
            </w:r>
            <w:r w:rsidR="0001125D" w:rsidRPr="0065582F">
              <w:rPr>
                <w:rFonts w:asciiTheme="majorHAnsi" w:hAnsiTheme="majorHAnsi"/>
              </w:rPr>
              <w:t xml:space="preserve">lids </w:t>
            </w:r>
            <w:r w:rsidR="007D64A4">
              <w:rPr>
                <w:rFonts w:asciiTheme="majorHAnsi" w:hAnsiTheme="majorHAnsi"/>
              </w:rPr>
              <w:t>tightly fix</w:t>
            </w:r>
            <w:r>
              <w:rPr>
                <w:rFonts w:asciiTheme="majorHAnsi" w:hAnsiTheme="majorHAnsi"/>
              </w:rPr>
              <w:t>ed</w:t>
            </w:r>
            <w:r w:rsidR="0001125D" w:rsidRPr="0065582F">
              <w:rPr>
                <w:rFonts w:asciiTheme="majorHAnsi" w:hAnsiTheme="majorHAnsi"/>
              </w:rPr>
              <w:t xml:space="preserve"> to the bases.</w:t>
            </w:r>
          </w:p>
          <w:p w14:paraId="208BDD8C" w14:textId="31122ECD" w:rsidR="0001125D" w:rsidRPr="0065582F" w:rsidRDefault="006C36C9" w:rsidP="00C240F7">
            <w:pPr>
              <w:pStyle w:val="ListParagraph"/>
              <w:numPr>
                <w:ilvl w:val="0"/>
                <w:numId w:val="57"/>
              </w:numPr>
              <w:spacing w:after="120" w:line="240" w:lineRule="auto"/>
              <w:ind w:left="459"/>
              <w:contextualSpacing w:val="0"/>
              <w:rPr>
                <w:rFonts w:asciiTheme="majorHAnsi" w:hAnsiTheme="majorHAnsi"/>
              </w:rPr>
            </w:pPr>
            <w:r w:rsidRPr="0065582F">
              <w:rPr>
                <w:rFonts w:asciiTheme="majorHAnsi" w:hAnsiTheme="majorHAnsi"/>
              </w:rPr>
              <w:t>Ventilation holes of cartons covere</w:t>
            </w:r>
            <w:r w:rsidR="0001125D" w:rsidRPr="0065582F">
              <w:rPr>
                <w:rFonts w:asciiTheme="majorHAnsi" w:hAnsiTheme="majorHAnsi"/>
              </w:rPr>
              <w:t>d</w:t>
            </w:r>
            <w:r w:rsidR="00F22BC9">
              <w:rPr>
                <w:rFonts w:asciiTheme="majorHAnsi" w:hAnsiTheme="majorHAnsi"/>
              </w:rPr>
              <w:t>.</w:t>
            </w:r>
          </w:p>
          <w:p w14:paraId="4546A99D" w14:textId="40DFD212" w:rsidR="0065582F" w:rsidRPr="0065582F" w:rsidRDefault="003A5334" w:rsidP="00C240F7">
            <w:pPr>
              <w:spacing w:after="120" w:line="240" w:lineRule="auto"/>
              <w:ind w:left="459"/>
              <w:rPr>
                <w:rFonts w:asciiTheme="majorHAnsi" w:hAnsiTheme="majorHAnsi"/>
              </w:rPr>
            </w:pPr>
            <w:r w:rsidRPr="0065582F">
              <w:rPr>
                <w:rFonts w:asciiTheme="majorHAnsi" w:hAnsiTheme="majorHAnsi"/>
              </w:rPr>
              <w:t>V</w:t>
            </w:r>
            <w:r w:rsidR="006C36C9" w:rsidRPr="0065582F">
              <w:rPr>
                <w:rFonts w:asciiTheme="majorHAnsi" w:hAnsiTheme="majorHAnsi"/>
              </w:rPr>
              <w:t xml:space="preserve">entilation holes must </w:t>
            </w:r>
            <w:r w:rsidR="00E77914" w:rsidRPr="0065582F">
              <w:rPr>
                <w:rFonts w:asciiTheme="majorHAnsi" w:hAnsiTheme="majorHAnsi"/>
              </w:rPr>
              <w:t>be</w:t>
            </w:r>
            <w:r w:rsidR="006C36C9" w:rsidRPr="0065582F">
              <w:rPr>
                <w:rFonts w:asciiTheme="majorHAnsi" w:hAnsiTheme="majorHAnsi"/>
              </w:rPr>
              <w:t xml:space="preserve"> covered/sealed with a mesh/screen of no more than 1.6 mm </w:t>
            </w:r>
            <w:r w:rsidR="0020727E" w:rsidRPr="0065582F">
              <w:rPr>
                <w:rFonts w:asciiTheme="majorHAnsi" w:hAnsiTheme="majorHAnsi"/>
              </w:rPr>
              <w:t xml:space="preserve">diameter </w:t>
            </w:r>
            <w:r w:rsidR="006C36C9" w:rsidRPr="0065582F">
              <w:rPr>
                <w:rFonts w:asciiTheme="majorHAnsi" w:hAnsiTheme="majorHAnsi"/>
              </w:rPr>
              <w:t>pore size and not less than 0.16</w:t>
            </w:r>
            <w:r w:rsidR="00E82B66" w:rsidRPr="0065582F">
              <w:rPr>
                <w:rFonts w:asciiTheme="majorHAnsi" w:hAnsiTheme="majorHAnsi"/>
              </w:rPr>
              <w:t>mm</w:t>
            </w:r>
            <w:r w:rsidR="006C36C9" w:rsidRPr="0065582F">
              <w:rPr>
                <w:rFonts w:asciiTheme="majorHAnsi" w:hAnsiTheme="majorHAnsi"/>
              </w:rPr>
              <w:t xml:space="preserve"> strand thickness. Alternatively, </w:t>
            </w:r>
            <w:r w:rsidR="00E02366" w:rsidRPr="0065582F">
              <w:rPr>
                <w:rFonts w:asciiTheme="majorHAnsi" w:hAnsiTheme="majorHAnsi"/>
              </w:rPr>
              <w:t>ventilation</w:t>
            </w:r>
            <w:r w:rsidR="006C36C9" w:rsidRPr="0065582F">
              <w:rPr>
                <w:rFonts w:asciiTheme="majorHAnsi" w:hAnsiTheme="majorHAnsi"/>
              </w:rPr>
              <w:t xml:space="preserve"> holes </w:t>
            </w:r>
            <w:r w:rsidR="005E43F9" w:rsidRPr="0065582F">
              <w:rPr>
                <w:rFonts w:asciiTheme="majorHAnsi" w:hAnsiTheme="majorHAnsi"/>
              </w:rPr>
              <w:t xml:space="preserve">must </w:t>
            </w:r>
            <w:r w:rsidR="006C36C9" w:rsidRPr="0065582F">
              <w:rPr>
                <w:rFonts w:asciiTheme="majorHAnsi" w:hAnsiTheme="majorHAnsi"/>
              </w:rPr>
              <w:t>be taped over.</w:t>
            </w:r>
          </w:p>
          <w:p w14:paraId="79DC72AC" w14:textId="266C6FD5" w:rsidR="0065582F" w:rsidRPr="0065582F" w:rsidRDefault="00F22BC9" w:rsidP="00C240F7">
            <w:pPr>
              <w:pStyle w:val="ListParagraph"/>
              <w:numPr>
                <w:ilvl w:val="0"/>
                <w:numId w:val="57"/>
              </w:numPr>
              <w:spacing w:after="120" w:line="240" w:lineRule="auto"/>
              <w:ind w:left="459"/>
              <w:contextualSpacing w:val="0"/>
              <w:rPr>
                <w:rFonts w:asciiTheme="majorHAnsi" w:hAnsiTheme="majorHAnsi"/>
              </w:rPr>
            </w:pPr>
            <w:r>
              <w:rPr>
                <w:rFonts w:asciiTheme="majorHAnsi" w:hAnsiTheme="majorHAnsi"/>
              </w:rPr>
              <w:t>Polythene liners.</w:t>
            </w:r>
          </w:p>
          <w:p w14:paraId="61DF88C5" w14:textId="719FFDF8" w:rsidR="0065582F" w:rsidRPr="0065582F" w:rsidRDefault="006C36C9" w:rsidP="00C240F7">
            <w:pPr>
              <w:spacing w:after="120" w:line="240" w:lineRule="auto"/>
              <w:ind w:left="459"/>
              <w:rPr>
                <w:rFonts w:asciiTheme="majorHAnsi" w:hAnsiTheme="majorHAnsi"/>
              </w:rPr>
            </w:pPr>
            <w:r w:rsidRPr="0065582F">
              <w:rPr>
                <w:rFonts w:asciiTheme="majorHAnsi" w:hAnsiTheme="majorHAnsi"/>
              </w:rPr>
              <w:t>Vented cartons with polythene liners</w:t>
            </w:r>
            <w:r w:rsidR="008F2510" w:rsidRPr="0065582F">
              <w:rPr>
                <w:rFonts w:asciiTheme="majorHAnsi" w:hAnsiTheme="majorHAnsi"/>
              </w:rPr>
              <w:t>/bags</w:t>
            </w:r>
            <w:r w:rsidRPr="0065582F">
              <w:rPr>
                <w:rFonts w:asciiTheme="majorHAnsi" w:hAnsiTheme="majorHAnsi"/>
              </w:rPr>
              <w:t xml:space="preserve"> </w:t>
            </w:r>
            <w:r w:rsidR="008F2510" w:rsidRPr="0065582F">
              <w:rPr>
                <w:rFonts w:asciiTheme="majorHAnsi" w:hAnsiTheme="majorHAnsi"/>
              </w:rPr>
              <w:t>must be sealed. Overlapping folded edges of the polythene liner is considered sealed.</w:t>
            </w:r>
          </w:p>
          <w:p w14:paraId="735477B5" w14:textId="290AFB4C" w:rsidR="0065582F" w:rsidRPr="0065582F" w:rsidRDefault="006C36C9" w:rsidP="00C240F7">
            <w:pPr>
              <w:pStyle w:val="ListParagraph"/>
              <w:numPr>
                <w:ilvl w:val="0"/>
                <w:numId w:val="57"/>
              </w:numPr>
              <w:spacing w:after="120" w:line="240" w:lineRule="auto"/>
              <w:ind w:left="459"/>
              <w:contextualSpacing w:val="0"/>
              <w:rPr>
                <w:rFonts w:asciiTheme="majorHAnsi" w:hAnsiTheme="majorHAnsi"/>
              </w:rPr>
            </w:pPr>
            <w:r w:rsidRPr="0065582F">
              <w:rPr>
                <w:rFonts w:asciiTheme="majorHAnsi" w:hAnsiTheme="majorHAnsi"/>
              </w:rPr>
              <w:t>Me</w:t>
            </w:r>
            <w:r w:rsidR="00123755">
              <w:rPr>
                <w:rFonts w:asciiTheme="majorHAnsi" w:hAnsiTheme="majorHAnsi"/>
              </w:rPr>
              <w:t>shed</w:t>
            </w:r>
            <w:r w:rsidRPr="0065582F">
              <w:rPr>
                <w:rFonts w:asciiTheme="majorHAnsi" w:hAnsiTheme="majorHAnsi"/>
              </w:rPr>
              <w:t xml:space="preserve"> or</w:t>
            </w:r>
            <w:r w:rsidR="0020727E" w:rsidRPr="0065582F">
              <w:rPr>
                <w:rFonts w:asciiTheme="majorHAnsi" w:hAnsiTheme="majorHAnsi"/>
              </w:rPr>
              <w:t xml:space="preserve"> plastic</w:t>
            </w:r>
            <w:r w:rsidRPr="0065582F">
              <w:rPr>
                <w:rFonts w:asciiTheme="majorHAnsi" w:hAnsiTheme="majorHAnsi"/>
              </w:rPr>
              <w:t xml:space="preserve"> </w:t>
            </w:r>
            <w:r w:rsidR="0020727E" w:rsidRPr="0065582F">
              <w:rPr>
                <w:rFonts w:asciiTheme="majorHAnsi" w:hAnsiTheme="majorHAnsi"/>
              </w:rPr>
              <w:t>(</w:t>
            </w:r>
            <w:r w:rsidRPr="0065582F">
              <w:rPr>
                <w:rFonts w:asciiTheme="majorHAnsi" w:hAnsiTheme="majorHAnsi"/>
              </w:rPr>
              <w:t>shrink</w:t>
            </w:r>
            <w:r w:rsidR="0020727E" w:rsidRPr="0065582F">
              <w:rPr>
                <w:rFonts w:asciiTheme="majorHAnsi" w:hAnsiTheme="majorHAnsi"/>
              </w:rPr>
              <w:t>)</w:t>
            </w:r>
            <w:r w:rsidRPr="0065582F">
              <w:rPr>
                <w:rFonts w:asciiTheme="majorHAnsi" w:hAnsiTheme="majorHAnsi"/>
              </w:rPr>
              <w:t xml:space="preserve"> wrapped pallets </w:t>
            </w:r>
            <w:r w:rsidR="008A6865" w:rsidRPr="0065582F">
              <w:rPr>
                <w:rFonts w:asciiTheme="majorHAnsi" w:hAnsiTheme="majorHAnsi"/>
              </w:rPr>
              <w:t xml:space="preserve">or </w:t>
            </w:r>
            <w:r w:rsidR="007D64A4">
              <w:rPr>
                <w:rFonts w:asciiTheme="majorHAnsi" w:hAnsiTheme="majorHAnsi"/>
              </w:rPr>
              <w:t>ULDs</w:t>
            </w:r>
            <w:r w:rsidR="00F22BC9">
              <w:rPr>
                <w:rFonts w:asciiTheme="majorHAnsi" w:hAnsiTheme="majorHAnsi"/>
              </w:rPr>
              <w:t>.</w:t>
            </w:r>
          </w:p>
          <w:p w14:paraId="7AF8BC39" w14:textId="4DCA6564" w:rsidR="0065582F" w:rsidRPr="0065582F" w:rsidRDefault="0020727E" w:rsidP="00C240F7">
            <w:pPr>
              <w:spacing w:after="120" w:line="240" w:lineRule="auto"/>
              <w:ind w:left="459"/>
              <w:rPr>
                <w:rFonts w:asciiTheme="majorHAnsi" w:hAnsiTheme="majorHAnsi"/>
              </w:rPr>
            </w:pPr>
            <w:r w:rsidRPr="0065582F">
              <w:rPr>
                <w:rFonts w:asciiTheme="majorHAnsi" w:hAnsiTheme="majorHAnsi"/>
              </w:rPr>
              <w:t xml:space="preserve">ULDs transporting cartons with </w:t>
            </w:r>
            <w:r w:rsidR="00E02366" w:rsidRPr="0065582F">
              <w:rPr>
                <w:rFonts w:asciiTheme="majorHAnsi" w:hAnsiTheme="majorHAnsi"/>
              </w:rPr>
              <w:t>ventilation</w:t>
            </w:r>
            <w:r w:rsidRPr="0065582F">
              <w:rPr>
                <w:rFonts w:asciiTheme="majorHAnsi" w:hAnsiTheme="majorHAnsi"/>
              </w:rPr>
              <w:t xml:space="preserve"> holes/gaps, or </w:t>
            </w:r>
            <w:r w:rsidR="00C67E24">
              <w:rPr>
                <w:rFonts w:asciiTheme="majorHAnsi" w:hAnsiTheme="majorHAnsi"/>
              </w:rPr>
              <w:t xml:space="preserve">palletised </w:t>
            </w:r>
            <w:r w:rsidRPr="0065582F">
              <w:rPr>
                <w:rFonts w:asciiTheme="majorHAnsi" w:hAnsiTheme="majorHAnsi"/>
              </w:rPr>
              <w:t>c</w:t>
            </w:r>
            <w:r w:rsidR="006C36C9" w:rsidRPr="0065582F">
              <w:rPr>
                <w:rFonts w:asciiTheme="majorHAnsi" w:hAnsiTheme="majorHAnsi"/>
              </w:rPr>
              <w:t>artons with vent</w:t>
            </w:r>
            <w:r w:rsidR="00C00F4B" w:rsidRPr="0065582F">
              <w:rPr>
                <w:rFonts w:asciiTheme="majorHAnsi" w:hAnsiTheme="majorHAnsi"/>
              </w:rPr>
              <w:t>ilation</w:t>
            </w:r>
            <w:r w:rsidR="006C36C9" w:rsidRPr="0065582F">
              <w:rPr>
                <w:rFonts w:asciiTheme="majorHAnsi" w:hAnsiTheme="majorHAnsi"/>
              </w:rPr>
              <w:t xml:space="preserve"> holes</w:t>
            </w:r>
            <w:r w:rsidRPr="0065582F">
              <w:rPr>
                <w:rFonts w:asciiTheme="majorHAnsi" w:hAnsiTheme="majorHAnsi"/>
              </w:rPr>
              <w:t>/</w:t>
            </w:r>
            <w:r w:rsidR="006C36C9" w:rsidRPr="0065582F">
              <w:rPr>
                <w:rFonts w:asciiTheme="majorHAnsi" w:hAnsiTheme="majorHAnsi"/>
              </w:rPr>
              <w:t xml:space="preserve"> gaps must be</w:t>
            </w:r>
            <w:r w:rsidR="00C67E24">
              <w:rPr>
                <w:rFonts w:asciiTheme="majorHAnsi" w:hAnsiTheme="majorHAnsi"/>
              </w:rPr>
              <w:t xml:space="preserve"> fully</w:t>
            </w:r>
            <w:r w:rsidR="006C36C9" w:rsidRPr="0065582F">
              <w:rPr>
                <w:rFonts w:asciiTheme="majorHAnsi" w:hAnsiTheme="majorHAnsi"/>
              </w:rPr>
              <w:t xml:space="preserve"> covered or wrapped with polythene/plastic/foil sheet or mesh/screen of no more than 1.6 mm diameter pore size and not less than 0.16</w:t>
            </w:r>
            <w:r w:rsidR="007D64A4">
              <w:rPr>
                <w:rFonts w:asciiTheme="majorHAnsi" w:hAnsiTheme="majorHAnsi"/>
              </w:rPr>
              <w:t>mm</w:t>
            </w:r>
            <w:r w:rsidR="006C36C9" w:rsidRPr="0065582F">
              <w:rPr>
                <w:rFonts w:asciiTheme="majorHAnsi" w:hAnsiTheme="majorHAnsi"/>
              </w:rPr>
              <w:t xml:space="preserve"> strand thickness.</w:t>
            </w:r>
          </w:p>
          <w:p w14:paraId="5BFA71A7" w14:textId="5AA45ABA" w:rsidR="0065582F" w:rsidRPr="0065582F" w:rsidRDefault="0020727E" w:rsidP="00C240F7">
            <w:pPr>
              <w:pStyle w:val="ListParagraph"/>
              <w:numPr>
                <w:ilvl w:val="0"/>
                <w:numId w:val="57"/>
              </w:numPr>
              <w:spacing w:after="120" w:line="240" w:lineRule="auto"/>
              <w:ind w:left="453" w:hanging="357"/>
              <w:contextualSpacing w:val="0"/>
              <w:rPr>
                <w:rFonts w:asciiTheme="majorHAnsi" w:hAnsiTheme="majorHAnsi"/>
              </w:rPr>
            </w:pPr>
            <w:r w:rsidRPr="0065582F">
              <w:rPr>
                <w:rFonts w:asciiTheme="majorHAnsi" w:hAnsiTheme="majorHAnsi"/>
              </w:rPr>
              <w:t>Cartons packed in</w:t>
            </w:r>
            <w:r w:rsidR="006573C5" w:rsidRPr="0065582F">
              <w:rPr>
                <w:rFonts w:asciiTheme="majorHAnsi" w:hAnsiTheme="majorHAnsi"/>
              </w:rPr>
              <w:t xml:space="preserve"> </w:t>
            </w:r>
            <w:r w:rsidRPr="0065582F">
              <w:rPr>
                <w:rFonts w:asciiTheme="majorHAnsi" w:hAnsiTheme="majorHAnsi"/>
              </w:rPr>
              <w:t xml:space="preserve">an </w:t>
            </w:r>
            <w:r w:rsidR="006573C5" w:rsidRPr="0065582F">
              <w:rPr>
                <w:rFonts w:asciiTheme="majorHAnsi" w:hAnsiTheme="majorHAnsi"/>
              </w:rPr>
              <w:t xml:space="preserve">enclosed </w:t>
            </w:r>
            <w:r w:rsidR="00FD6F6D" w:rsidRPr="0065582F">
              <w:rPr>
                <w:rFonts w:asciiTheme="majorHAnsi" w:hAnsiTheme="majorHAnsi"/>
              </w:rPr>
              <w:t>container</w:t>
            </w:r>
            <w:r w:rsidR="007D64A4">
              <w:rPr>
                <w:rFonts w:asciiTheme="majorHAnsi" w:hAnsiTheme="majorHAnsi"/>
              </w:rPr>
              <w:t>.</w:t>
            </w:r>
          </w:p>
          <w:p w14:paraId="292E6C78" w14:textId="25575FF0" w:rsidR="0065582F" w:rsidRPr="0065582F" w:rsidRDefault="006C36C9" w:rsidP="00C240F7">
            <w:pPr>
              <w:pStyle w:val="ListParagraph"/>
              <w:numPr>
                <w:ilvl w:val="0"/>
                <w:numId w:val="57"/>
              </w:numPr>
              <w:spacing w:after="120" w:line="240" w:lineRule="auto"/>
              <w:ind w:left="459"/>
              <w:contextualSpacing w:val="0"/>
              <w:rPr>
                <w:rFonts w:asciiTheme="majorHAnsi" w:hAnsiTheme="majorHAnsi"/>
              </w:rPr>
            </w:pPr>
            <w:r w:rsidRPr="0065582F">
              <w:rPr>
                <w:rFonts w:asciiTheme="majorHAnsi" w:hAnsiTheme="majorHAnsi"/>
              </w:rPr>
              <w:t>Other packaging requirements prescribed by the department</w:t>
            </w:r>
            <w:r w:rsidR="00F22BC9">
              <w:rPr>
                <w:rFonts w:asciiTheme="majorHAnsi" w:hAnsiTheme="majorHAnsi"/>
              </w:rPr>
              <w:t>.</w:t>
            </w:r>
          </w:p>
          <w:p w14:paraId="5D3CCB07" w14:textId="0635D607" w:rsidR="0055128E" w:rsidRPr="0065582F" w:rsidRDefault="006C36C9" w:rsidP="00C240F7">
            <w:pPr>
              <w:spacing w:line="240" w:lineRule="auto"/>
              <w:ind w:left="459"/>
            </w:pPr>
            <w:r w:rsidRPr="0065582F">
              <w:rPr>
                <w:rFonts w:asciiTheme="majorHAnsi" w:hAnsiTheme="majorHAnsi"/>
              </w:rPr>
              <w:t xml:space="preserve">This includes, but is not limited to, a direction or Import Permit issued by the department that prescribes packaging requirements that are different from the secure packaging options detailed in this </w:t>
            </w:r>
            <w:r w:rsidR="007D64A4">
              <w:rPr>
                <w:rFonts w:asciiTheme="majorHAnsi" w:hAnsiTheme="majorHAnsi"/>
              </w:rPr>
              <w:t>document</w:t>
            </w:r>
            <w:r w:rsidR="003D6918" w:rsidRPr="0065582F">
              <w:rPr>
                <w:rFonts w:asciiTheme="majorHAnsi" w:hAnsiTheme="majorHAnsi"/>
              </w:rPr>
              <w:t>.</w:t>
            </w:r>
          </w:p>
        </w:tc>
        <w:tc>
          <w:tcPr>
            <w:tcW w:w="1268" w:type="pct"/>
            <w:tcBorders>
              <w:top w:val="single" w:sz="4" w:space="0" w:color="auto"/>
              <w:left w:val="nil"/>
              <w:bottom w:val="single" w:sz="4" w:space="0" w:color="auto"/>
              <w:right w:val="nil"/>
            </w:tcBorders>
            <w:vAlign w:val="center"/>
          </w:tcPr>
          <w:p w14:paraId="0045BCEA" w14:textId="1E302FE5" w:rsidR="0055128E" w:rsidRDefault="00C37E86" w:rsidP="003E05A7">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w:t>
            </w:r>
            <w:r w:rsidR="00FB5389">
              <w:rPr>
                <w:rFonts w:asciiTheme="majorHAnsi" w:hAnsiTheme="majorHAnsi" w:cstheme="majorHAnsi"/>
                <w:bCs/>
              </w:rPr>
              <w:t>ritical</w:t>
            </w:r>
          </w:p>
        </w:tc>
      </w:tr>
      <w:tr w:rsidR="00B70F1E" w:rsidRPr="0055128E" w14:paraId="715F456D" w14:textId="77777777" w:rsidTr="00A4600D">
        <w:trPr>
          <w:cantSplit/>
          <w:trHeight w:val="175"/>
          <w:jc w:val="center"/>
        </w:trPr>
        <w:tc>
          <w:tcPr>
            <w:tcW w:w="3732" w:type="pct"/>
            <w:tcBorders>
              <w:left w:val="nil"/>
              <w:bottom w:val="single" w:sz="4" w:space="0" w:color="auto"/>
              <w:right w:val="nil"/>
            </w:tcBorders>
          </w:tcPr>
          <w:p w14:paraId="7491E9E7" w14:textId="58AD750D" w:rsidR="0019132C" w:rsidRPr="0055128E" w:rsidRDefault="00CA2DF8"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3.</w:t>
            </w:r>
            <w:r w:rsidR="006A6FA0">
              <w:rPr>
                <w:rFonts w:asciiTheme="majorHAnsi" w:hAnsiTheme="majorHAnsi" w:cstheme="majorHAnsi"/>
                <w:bCs/>
              </w:rPr>
              <w:t>3</w:t>
            </w:r>
          </w:p>
          <w:p w14:paraId="1CC74A2A" w14:textId="5C0A6B16" w:rsidR="006C36C9" w:rsidRDefault="004210C5" w:rsidP="006C36C9">
            <w:pPr>
              <w:spacing w:beforeLines="40" w:before="96" w:afterLines="40" w:after="96" w:line="240" w:lineRule="auto"/>
              <w:rPr>
                <w:rFonts w:asciiTheme="majorHAnsi" w:hAnsiTheme="majorHAnsi" w:cstheme="majorHAnsi"/>
                <w:bCs/>
              </w:rPr>
            </w:pPr>
            <w:r>
              <w:rPr>
                <w:rFonts w:asciiTheme="majorHAnsi" w:hAnsiTheme="majorHAnsi" w:cstheme="majorHAnsi"/>
                <w:bCs/>
              </w:rPr>
              <w:t>Airfreight perishables</w:t>
            </w:r>
            <w:r w:rsidR="009D630D">
              <w:rPr>
                <w:rFonts w:asciiTheme="majorHAnsi" w:hAnsiTheme="majorHAnsi" w:cstheme="majorHAnsi"/>
                <w:bCs/>
              </w:rPr>
              <w:t xml:space="preserve"> </w:t>
            </w:r>
            <w:r>
              <w:rPr>
                <w:rFonts w:asciiTheme="majorHAnsi" w:hAnsiTheme="majorHAnsi" w:cstheme="majorHAnsi"/>
                <w:bCs/>
              </w:rPr>
              <w:t xml:space="preserve">verified as </w:t>
            </w:r>
            <w:r w:rsidR="00015684">
              <w:rPr>
                <w:rFonts w:asciiTheme="majorHAnsi" w:hAnsiTheme="majorHAnsi" w:cstheme="majorHAnsi"/>
                <w:bCs/>
              </w:rPr>
              <w:t>with</w:t>
            </w:r>
            <w:r w:rsidR="00FD6F6D">
              <w:rPr>
                <w:rFonts w:asciiTheme="majorHAnsi" w:hAnsiTheme="majorHAnsi" w:cstheme="majorHAnsi"/>
                <w:bCs/>
              </w:rPr>
              <w:t xml:space="preserve">out secure </w:t>
            </w:r>
            <w:r w:rsidR="00F84BEB">
              <w:rPr>
                <w:rFonts w:asciiTheme="majorHAnsi" w:hAnsiTheme="majorHAnsi" w:cstheme="majorHAnsi"/>
                <w:bCs/>
              </w:rPr>
              <w:t xml:space="preserve">packaging must be </w:t>
            </w:r>
            <w:r w:rsidR="00E02366">
              <w:rPr>
                <w:rFonts w:asciiTheme="majorHAnsi" w:hAnsiTheme="majorHAnsi" w:cstheme="majorHAnsi"/>
                <w:bCs/>
              </w:rPr>
              <w:t>immediately</w:t>
            </w:r>
            <w:r w:rsidR="007245F6">
              <w:rPr>
                <w:rFonts w:asciiTheme="majorHAnsi" w:hAnsiTheme="majorHAnsi" w:cstheme="majorHAnsi"/>
                <w:bCs/>
              </w:rPr>
              <w:t xml:space="preserve"> secured with one or more of the following secure packaging options</w:t>
            </w:r>
            <w:r w:rsidR="00203671" w:rsidRPr="000061ED">
              <w:rPr>
                <w:rFonts w:asciiTheme="majorHAnsi" w:hAnsiTheme="majorHAnsi"/>
              </w:rPr>
              <w:t>:</w:t>
            </w:r>
          </w:p>
          <w:p w14:paraId="037BB971" w14:textId="1DD04081" w:rsidR="003B5D3A" w:rsidRDefault="00FC1164" w:rsidP="003B5D3A">
            <w:pPr>
              <w:pStyle w:val="ListParagraph"/>
              <w:numPr>
                <w:ilvl w:val="0"/>
                <w:numId w:val="52"/>
              </w:numPr>
              <w:spacing w:beforeLines="40" w:before="96" w:afterLines="40" w:after="96"/>
              <w:ind w:left="459"/>
              <w:contextualSpacing w:val="0"/>
              <w:rPr>
                <w:rFonts w:asciiTheme="majorHAnsi" w:hAnsiTheme="majorHAnsi"/>
              </w:rPr>
            </w:pPr>
            <w:r>
              <w:rPr>
                <w:rFonts w:asciiTheme="majorHAnsi" w:hAnsiTheme="majorHAnsi" w:cstheme="majorHAnsi"/>
                <w:bCs/>
              </w:rPr>
              <w:t>P</w:t>
            </w:r>
            <w:r w:rsidR="00194723" w:rsidRPr="00F44C93">
              <w:rPr>
                <w:rFonts w:asciiTheme="majorHAnsi" w:hAnsiTheme="majorHAnsi" w:cstheme="majorHAnsi"/>
                <w:bCs/>
              </w:rPr>
              <w:t>laced</w:t>
            </w:r>
            <w:r w:rsidR="00194723" w:rsidRPr="00F44C93">
              <w:rPr>
                <w:rFonts w:asciiTheme="majorHAnsi" w:hAnsiTheme="majorHAnsi"/>
              </w:rPr>
              <w:t xml:space="preserve"> </w:t>
            </w:r>
            <w:r w:rsidR="003970F7" w:rsidRPr="00F44C93">
              <w:rPr>
                <w:rFonts w:asciiTheme="majorHAnsi" w:hAnsiTheme="majorHAnsi"/>
              </w:rPr>
              <w:t xml:space="preserve">in an enclosed </w:t>
            </w:r>
            <w:r w:rsidR="00CA2DF8" w:rsidRPr="00F44C93">
              <w:rPr>
                <w:rFonts w:asciiTheme="majorHAnsi" w:hAnsiTheme="majorHAnsi"/>
              </w:rPr>
              <w:t>container</w:t>
            </w:r>
            <w:r>
              <w:rPr>
                <w:rFonts w:asciiTheme="majorHAnsi" w:hAnsiTheme="majorHAnsi"/>
              </w:rPr>
              <w:t>.</w:t>
            </w:r>
          </w:p>
          <w:p w14:paraId="75E0A331" w14:textId="6E90537F" w:rsidR="003B5D3A" w:rsidRPr="003B5D3A" w:rsidRDefault="00E02366" w:rsidP="003B5D3A">
            <w:pPr>
              <w:pStyle w:val="ListParagraph"/>
              <w:numPr>
                <w:ilvl w:val="0"/>
                <w:numId w:val="52"/>
              </w:numPr>
              <w:spacing w:beforeLines="40" w:before="96" w:afterLines="40" w:after="96"/>
              <w:ind w:left="459"/>
              <w:contextualSpacing w:val="0"/>
              <w:rPr>
                <w:rFonts w:asciiTheme="majorHAnsi" w:hAnsiTheme="majorHAnsi"/>
              </w:rPr>
            </w:pPr>
            <w:r w:rsidRPr="003B5D3A">
              <w:rPr>
                <w:rFonts w:asciiTheme="majorHAnsi" w:hAnsiTheme="majorHAnsi" w:cstheme="majorHAnsi"/>
                <w:bCs/>
              </w:rPr>
              <w:t>Ventilation</w:t>
            </w:r>
            <w:r w:rsidR="00FC1164">
              <w:rPr>
                <w:rFonts w:asciiTheme="majorHAnsi" w:hAnsiTheme="majorHAnsi" w:cstheme="majorHAnsi"/>
                <w:bCs/>
              </w:rPr>
              <w:t xml:space="preserve"> holes of cartons covered.</w:t>
            </w:r>
          </w:p>
          <w:p w14:paraId="2F91BCE4" w14:textId="7E78D4C9" w:rsidR="003B5D3A" w:rsidRDefault="00E02366" w:rsidP="003B5D3A">
            <w:pPr>
              <w:pStyle w:val="ListParagraph"/>
              <w:spacing w:beforeLines="40" w:before="96" w:afterLines="40" w:after="96"/>
              <w:ind w:left="459"/>
              <w:contextualSpacing w:val="0"/>
              <w:rPr>
                <w:rFonts w:asciiTheme="majorHAnsi" w:hAnsiTheme="majorHAnsi"/>
              </w:rPr>
            </w:pPr>
            <w:r w:rsidRPr="003B5D3A">
              <w:rPr>
                <w:rFonts w:asciiTheme="majorHAnsi" w:hAnsiTheme="majorHAnsi"/>
              </w:rPr>
              <w:t>Ventilation</w:t>
            </w:r>
            <w:r w:rsidR="003A5334" w:rsidRPr="003B5D3A">
              <w:rPr>
                <w:rFonts w:asciiTheme="majorHAnsi" w:hAnsiTheme="majorHAnsi"/>
              </w:rPr>
              <w:t xml:space="preserve"> h</w:t>
            </w:r>
            <w:r w:rsidR="00203671" w:rsidRPr="003B5D3A">
              <w:rPr>
                <w:rFonts w:asciiTheme="majorHAnsi" w:hAnsiTheme="majorHAnsi"/>
              </w:rPr>
              <w:t xml:space="preserve">oles must be covered/sealed with a mesh/screen of no more than 1.6 mm </w:t>
            </w:r>
            <w:r w:rsidR="003A5334" w:rsidRPr="003B5D3A">
              <w:rPr>
                <w:rFonts w:asciiTheme="majorHAnsi" w:hAnsiTheme="majorHAnsi"/>
              </w:rPr>
              <w:t xml:space="preserve">diameter </w:t>
            </w:r>
            <w:r w:rsidR="00203671" w:rsidRPr="003B5D3A">
              <w:rPr>
                <w:rFonts w:asciiTheme="majorHAnsi" w:hAnsiTheme="majorHAnsi"/>
              </w:rPr>
              <w:t xml:space="preserve">pore size and not less than 0.16mm strand thickness. Alternatively, </w:t>
            </w:r>
            <w:r w:rsidRPr="003B5D3A">
              <w:rPr>
                <w:rFonts w:asciiTheme="majorHAnsi" w:hAnsiTheme="majorHAnsi"/>
              </w:rPr>
              <w:t>ventilation</w:t>
            </w:r>
            <w:r w:rsidR="00203671" w:rsidRPr="003B5D3A">
              <w:rPr>
                <w:rFonts w:asciiTheme="majorHAnsi" w:hAnsiTheme="majorHAnsi"/>
              </w:rPr>
              <w:t xml:space="preserve"> holes </w:t>
            </w:r>
            <w:r w:rsidR="003A5334" w:rsidRPr="003B5D3A">
              <w:rPr>
                <w:rFonts w:asciiTheme="majorHAnsi" w:hAnsiTheme="majorHAnsi"/>
              </w:rPr>
              <w:t xml:space="preserve">must </w:t>
            </w:r>
            <w:r w:rsidR="00EE4424">
              <w:rPr>
                <w:rFonts w:asciiTheme="majorHAnsi" w:hAnsiTheme="majorHAnsi"/>
              </w:rPr>
              <w:t>be taped over.</w:t>
            </w:r>
          </w:p>
          <w:p w14:paraId="3719143B" w14:textId="72C1A935" w:rsidR="00203671" w:rsidRPr="003B5D3A" w:rsidRDefault="007E5016" w:rsidP="003B5D3A">
            <w:pPr>
              <w:pStyle w:val="ListParagraph"/>
              <w:numPr>
                <w:ilvl w:val="0"/>
                <w:numId w:val="52"/>
              </w:numPr>
              <w:spacing w:beforeLines="40" w:before="96" w:afterLines="40" w:after="96"/>
              <w:ind w:left="459"/>
              <w:contextualSpacing w:val="0"/>
              <w:rPr>
                <w:rFonts w:asciiTheme="majorHAnsi" w:hAnsiTheme="majorHAnsi"/>
              </w:rPr>
            </w:pPr>
            <w:r w:rsidRPr="003B5D3A">
              <w:rPr>
                <w:rFonts w:asciiTheme="majorHAnsi" w:eastAsia="Calibri" w:hAnsiTheme="majorHAnsi" w:cs="Times New Roman"/>
                <w:color w:val="000000"/>
              </w:rPr>
              <w:t>M</w:t>
            </w:r>
            <w:r w:rsidR="00203671" w:rsidRPr="003B5D3A">
              <w:rPr>
                <w:rFonts w:asciiTheme="majorHAnsi" w:eastAsia="Calibri" w:hAnsiTheme="majorHAnsi" w:cs="Times New Roman"/>
                <w:color w:val="000000"/>
              </w:rPr>
              <w:t xml:space="preserve">esh or </w:t>
            </w:r>
            <w:r w:rsidR="003970F7" w:rsidRPr="003B5D3A">
              <w:rPr>
                <w:rFonts w:asciiTheme="majorHAnsi" w:eastAsia="Calibri" w:hAnsiTheme="majorHAnsi" w:cs="Times New Roman"/>
                <w:color w:val="000000"/>
              </w:rPr>
              <w:t xml:space="preserve">plastic </w:t>
            </w:r>
            <w:r w:rsidR="00105314" w:rsidRPr="003B5D3A">
              <w:rPr>
                <w:rFonts w:asciiTheme="majorHAnsi" w:hAnsiTheme="majorHAnsi"/>
              </w:rPr>
              <w:t>(</w:t>
            </w:r>
            <w:r w:rsidR="00203671" w:rsidRPr="003B5D3A">
              <w:rPr>
                <w:rFonts w:asciiTheme="majorHAnsi" w:eastAsia="Calibri" w:hAnsiTheme="majorHAnsi" w:cs="Times New Roman"/>
                <w:color w:val="000000"/>
              </w:rPr>
              <w:t>shrink</w:t>
            </w:r>
            <w:r w:rsidR="003970F7" w:rsidRPr="003B5D3A">
              <w:rPr>
                <w:rFonts w:asciiTheme="majorHAnsi" w:eastAsia="Calibri" w:hAnsiTheme="majorHAnsi" w:cs="Times New Roman"/>
                <w:color w:val="000000"/>
              </w:rPr>
              <w:t>)</w:t>
            </w:r>
            <w:r w:rsidR="00203671" w:rsidRPr="003B5D3A">
              <w:rPr>
                <w:rFonts w:asciiTheme="majorHAnsi" w:eastAsia="Calibri" w:hAnsiTheme="majorHAnsi" w:cs="Times New Roman"/>
                <w:color w:val="000000"/>
              </w:rPr>
              <w:t xml:space="preserve"> wrap </w:t>
            </w:r>
            <w:r w:rsidRPr="003B5D3A">
              <w:rPr>
                <w:rFonts w:asciiTheme="majorHAnsi" w:eastAsia="Calibri" w:hAnsiTheme="majorHAnsi" w:cs="Times New Roman"/>
                <w:color w:val="000000"/>
              </w:rPr>
              <w:t xml:space="preserve">applied </w:t>
            </w:r>
            <w:r w:rsidR="00203671" w:rsidRPr="003B5D3A">
              <w:rPr>
                <w:rFonts w:asciiTheme="majorHAnsi" w:eastAsia="Calibri" w:hAnsiTheme="majorHAnsi" w:cs="Times New Roman"/>
                <w:color w:val="000000"/>
              </w:rPr>
              <w:t xml:space="preserve">to </w:t>
            </w:r>
            <w:r w:rsidR="003970F7" w:rsidRPr="003B5D3A">
              <w:rPr>
                <w:rFonts w:asciiTheme="majorHAnsi" w:eastAsia="Calibri" w:hAnsiTheme="majorHAnsi" w:cs="Times New Roman"/>
                <w:color w:val="000000"/>
              </w:rPr>
              <w:t xml:space="preserve">the goods or </w:t>
            </w:r>
            <w:r w:rsidR="003A5334" w:rsidRPr="003B5D3A">
              <w:rPr>
                <w:rFonts w:asciiTheme="majorHAnsi" w:eastAsia="Calibri" w:hAnsiTheme="majorHAnsi" w:cs="Times New Roman"/>
                <w:color w:val="000000"/>
              </w:rPr>
              <w:t xml:space="preserve">the </w:t>
            </w:r>
            <w:r w:rsidR="003970F7" w:rsidRPr="003B5D3A">
              <w:rPr>
                <w:rFonts w:asciiTheme="majorHAnsi" w:eastAsia="Calibri" w:hAnsiTheme="majorHAnsi" w:cs="Times New Roman"/>
                <w:color w:val="000000"/>
              </w:rPr>
              <w:t>ULD</w:t>
            </w:r>
            <w:r w:rsidR="003A5334" w:rsidRPr="003B5D3A">
              <w:rPr>
                <w:rFonts w:asciiTheme="majorHAnsi" w:eastAsia="Calibri" w:hAnsiTheme="majorHAnsi" w:cs="Times New Roman"/>
                <w:color w:val="000000"/>
              </w:rPr>
              <w:t xml:space="preserve"> transporting the goods.</w:t>
            </w:r>
          </w:p>
          <w:p w14:paraId="7D5AA027" w14:textId="715F2297" w:rsidR="003A5334" w:rsidRPr="00E82B66" w:rsidRDefault="00EE4424" w:rsidP="00EE4424">
            <w:pPr>
              <w:spacing w:beforeLines="40" w:before="96" w:afterLines="40" w:after="96"/>
              <w:ind w:left="459"/>
            </w:pPr>
            <w:r>
              <w:rPr>
                <w:rFonts w:asciiTheme="majorHAnsi" w:hAnsiTheme="majorHAnsi"/>
              </w:rPr>
              <w:t>Cartons of airfreight perishables</w:t>
            </w:r>
            <w:r w:rsidR="0020727E" w:rsidRPr="003B5D3A">
              <w:rPr>
                <w:rFonts w:asciiTheme="majorHAnsi" w:hAnsiTheme="majorHAnsi"/>
              </w:rPr>
              <w:t>,</w:t>
            </w:r>
            <w:r w:rsidR="00123755" w:rsidRPr="003B5D3A">
              <w:rPr>
                <w:rFonts w:asciiTheme="majorHAnsi" w:hAnsiTheme="majorHAnsi"/>
              </w:rPr>
              <w:t xml:space="preserve"> </w:t>
            </w:r>
            <w:r w:rsidR="00E77914" w:rsidRPr="003B5D3A">
              <w:rPr>
                <w:rFonts w:asciiTheme="majorHAnsi" w:hAnsiTheme="majorHAnsi"/>
              </w:rPr>
              <w:t>whether loose or palletised</w:t>
            </w:r>
            <w:r w:rsidR="0020727E" w:rsidRPr="003B5D3A">
              <w:rPr>
                <w:rFonts w:asciiTheme="majorHAnsi" w:hAnsiTheme="majorHAnsi"/>
              </w:rPr>
              <w:t>,</w:t>
            </w:r>
            <w:r w:rsidR="00E77914" w:rsidRPr="003B5D3A">
              <w:rPr>
                <w:rFonts w:asciiTheme="majorHAnsi" w:hAnsiTheme="majorHAnsi"/>
              </w:rPr>
              <w:t xml:space="preserve"> or the ULD</w:t>
            </w:r>
            <w:r w:rsidR="00203671" w:rsidRPr="003B5D3A">
              <w:rPr>
                <w:rFonts w:asciiTheme="majorHAnsi" w:hAnsiTheme="majorHAnsi"/>
              </w:rPr>
              <w:t xml:space="preserve"> </w:t>
            </w:r>
            <w:r w:rsidR="00123755" w:rsidRPr="003B5D3A">
              <w:rPr>
                <w:rFonts w:asciiTheme="majorHAnsi" w:hAnsiTheme="majorHAnsi"/>
              </w:rPr>
              <w:t xml:space="preserve">transporting </w:t>
            </w:r>
            <w:r>
              <w:rPr>
                <w:rFonts w:asciiTheme="majorHAnsi" w:hAnsiTheme="majorHAnsi"/>
              </w:rPr>
              <w:t>cartons</w:t>
            </w:r>
            <w:r w:rsidR="00123755" w:rsidRPr="003B5D3A">
              <w:rPr>
                <w:rFonts w:asciiTheme="majorHAnsi" w:hAnsiTheme="majorHAnsi"/>
              </w:rPr>
              <w:t xml:space="preserve"> </w:t>
            </w:r>
            <w:r w:rsidR="00203671" w:rsidRPr="003B5D3A">
              <w:rPr>
                <w:rFonts w:asciiTheme="majorHAnsi" w:hAnsiTheme="majorHAnsi"/>
              </w:rPr>
              <w:t xml:space="preserve">must be </w:t>
            </w:r>
            <w:r w:rsidR="00C67E24">
              <w:rPr>
                <w:rFonts w:asciiTheme="majorHAnsi" w:hAnsiTheme="majorHAnsi"/>
              </w:rPr>
              <w:t xml:space="preserve">fully </w:t>
            </w:r>
            <w:r w:rsidR="00203671" w:rsidRPr="003B5D3A">
              <w:rPr>
                <w:rFonts w:asciiTheme="majorHAnsi" w:hAnsiTheme="majorHAnsi"/>
              </w:rPr>
              <w:t>covered or wrapped with polythene/plastic/foil sheet or mesh/screen of no more than 1.6 mm diameter pore size and not less than 0.16mm strand thickness.</w:t>
            </w:r>
            <w:r w:rsidR="003970F7" w:rsidRPr="003B5D3A">
              <w:rPr>
                <w:rFonts w:asciiTheme="majorHAnsi" w:hAnsiTheme="majorHAnsi"/>
              </w:rPr>
              <w:t xml:space="preserve"> </w:t>
            </w:r>
          </w:p>
        </w:tc>
        <w:tc>
          <w:tcPr>
            <w:tcW w:w="1268" w:type="pct"/>
            <w:tcBorders>
              <w:left w:val="nil"/>
              <w:bottom w:val="single" w:sz="4" w:space="0" w:color="auto"/>
              <w:right w:val="nil"/>
            </w:tcBorders>
            <w:vAlign w:val="center"/>
          </w:tcPr>
          <w:p w14:paraId="18BEF8E6" w14:textId="4DD3875C" w:rsidR="00B70F1E" w:rsidRDefault="00C37E86" w:rsidP="003E05A7">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w:t>
            </w:r>
            <w:r w:rsidR="00FB5389">
              <w:rPr>
                <w:rFonts w:asciiTheme="majorHAnsi" w:hAnsiTheme="majorHAnsi" w:cstheme="majorHAnsi"/>
                <w:bCs/>
              </w:rPr>
              <w:t>ritical</w:t>
            </w:r>
          </w:p>
        </w:tc>
      </w:tr>
      <w:tr w:rsidR="002D6D30" w:rsidRPr="0055128E" w14:paraId="4A5BB7E8" w14:textId="77777777" w:rsidTr="00F42C2E">
        <w:trPr>
          <w:trHeight w:val="175"/>
          <w:jc w:val="center"/>
        </w:trPr>
        <w:tc>
          <w:tcPr>
            <w:tcW w:w="3732" w:type="pct"/>
            <w:tcBorders>
              <w:top w:val="single" w:sz="4" w:space="0" w:color="auto"/>
              <w:left w:val="nil"/>
              <w:bottom w:val="single" w:sz="4" w:space="0" w:color="auto"/>
              <w:right w:val="nil"/>
            </w:tcBorders>
          </w:tcPr>
          <w:p w14:paraId="65820DF0" w14:textId="7BBBA208" w:rsidR="002D6D30" w:rsidRPr="0055128E" w:rsidRDefault="002D6D30" w:rsidP="00F42C2E">
            <w:pPr>
              <w:spacing w:beforeLines="40" w:before="96" w:afterLines="40" w:after="96" w:line="240" w:lineRule="auto"/>
              <w:rPr>
                <w:rFonts w:asciiTheme="majorHAnsi" w:hAnsiTheme="majorHAnsi" w:cstheme="majorHAnsi"/>
                <w:bCs/>
              </w:rPr>
            </w:pPr>
            <w:r>
              <w:rPr>
                <w:rFonts w:asciiTheme="majorHAnsi" w:hAnsiTheme="majorHAnsi" w:cstheme="majorHAnsi"/>
                <w:bCs/>
              </w:rPr>
              <w:t>3</w:t>
            </w:r>
            <w:r w:rsidRPr="0055128E">
              <w:rPr>
                <w:rFonts w:asciiTheme="majorHAnsi" w:hAnsiTheme="majorHAnsi" w:cstheme="majorHAnsi"/>
                <w:bCs/>
              </w:rPr>
              <w:t>.</w:t>
            </w:r>
            <w:r w:rsidR="006A6FA0">
              <w:rPr>
                <w:rFonts w:asciiTheme="majorHAnsi" w:hAnsiTheme="majorHAnsi" w:cstheme="majorHAnsi"/>
                <w:bCs/>
              </w:rPr>
              <w:t>4</w:t>
            </w:r>
          </w:p>
          <w:p w14:paraId="495D975D" w14:textId="6844107A" w:rsidR="002D6D30" w:rsidRPr="0055128E" w:rsidRDefault="002D6D30" w:rsidP="00731993">
            <w:pPr>
              <w:spacing w:beforeLines="40" w:before="96" w:afterLines="40" w:after="96" w:line="240" w:lineRule="auto"/>
              <w:rPr>
                <w:rFonts w:asciiTheme="majorHAnsi" w:hAnsiTheme="majorHAnsi" w:cstheme="majorHAnsi"/>
                <w:bCs/>
              </w:rPr>
            </w:pPr>
            <w:r>
              <w:rPr>
                <w:rFonts w:asciiTheme="majorHAnsi" w:hAnsiTheme="majorHAnsi" w:cstheme="majorHAnsi"/>
                <w:bCs/>
              </w:rPr>
              <w:t>A</w:t>
            </w:r>
            <w:r w:rsidRPr="006C36C9">
              <w:rPr>
                <w:rFonts w:asciiTheme="majorHAnsi" w:hAnsiTheme="majorHAnsi" w:cstheme="majorHAnsi"/>
                <w:bCs/>
              </w:rPr>
              <w:t xml:space="preserve"> </w:t>
            </w:r>
            <w:r>
              <w:rPr>
                <w:rFonts w:asciiTheme="majorHAnsi" w:hAnsiTheme="majorHAnsi" w:cstheme="majorHAnsi"/>
                <w:bCs/>
              </w:rPr>
              <w:t>biosecurity</w:t>
            </w:r>
            <w:r w:rsidRPr="006C36C9">
              <w:rPr>
                <w:rFonts w:asciiTheme="majorHAnsi" w:hAnsiTheme="majorHAnsi" w:cstheme="majorHAnsi"/>
                <w:bCs/>
              </w:rPr>
              <w:t xml:space="preserve"> </w:t>
            </w:r>
            <w:r>
              <w:rPr>
                <w:rFonts w:asciiTheme="majorHAnsi" w:hAnsiTheme="majorHAnsi" w:cstheme="majorHAnsi"/>
                <w:bCs/>
              </w:rPr>
              <w:t>d</w:t>
            </w:r>
            <w:r w:rsidRPr="006C36C9">
              <w:rPr>
                <w:rFonts w:asciiTheme="majorHAnsi" w:hAnsiTheme="majorHAnsi" w:cstheme="majorHAnsi"/>
                <w:bCs/>
              </w:rPr>
              <w:t xml:space="preserve">irection authorising movement of </w:t>
            </w:r>
            <w:r>
              <w:rPr>
                <w:rFonts w:asciiTheme="majorHAnsi" w:hAnsiTheme="majorHAnsi" w:cstheme="majorHAnsi"/>
                <w:bCs/>
              </w:rPr>
              <w:t xml:space="preserve">airfreight perishables must be </w:t>
            </w:r>
            <w:r w:rsidRPr="006C36C9">
              <w:rPr>
                <w:rFonts w:asciiTheme="majorHAnsi" w:hAnsiTheme="majorHAnsi" w:cstheme="majorHAnsi"/>
                <w:bCs/>
              </w:rPr>
              <w:t>obtained from the department prior to transfer to a</w:t>
            </w:r>
            <w:r>
              <w:rPr>
                <w:rFonts w:asciiTheme="majorHAnsi" w:hAnsiTheme="majorHAnsi" w:cstheme="majorHAnsi"/>
                <w:bCs/>
              </w:rPr>
              <w:t>n AA site</w:t>
            </w:r>
            <w:r w:rsidRPr="006C36C9">
              <w:rPr>
                <w:rFonts w:asciiTheme="majorHAnsi" w:hAnsiTheme="majorHAnsi" w:cstheme="majorHAnsi"/>
                <w:bCs/>
              </w:rPr>
              <w:t>.</w:t>
            </w:r>
          </w:p>
        </w:tc>
        <w:tc>
          <w:tcPr>
            <w:tcW w:w="1268" w:type="pct"/>
            <w:tcBorders>
              <w:top w:val="single" w:sz="4" w:space="0" w:color="auto"/>
              <w:left w:val="nil"/>
              <w:bottom w:val="single" w:sz="4" w:space="0" w:color="auto"/>
              <w:right w:val="nil"/>
            </w:tcBorders>
            <w:shd w:val="clear" w:color="auto" w:fill="auto"/>
            <w:vAlign w:val="center"/>
          </w:tcPr>
          <w:p w14:paraId="2684A932" w14:textId="77777777" w:rsidR="002D6D30" w:rsidRDefault="002D6D30" w:rsidP="00F42C2E">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w:t>
            </w:r>
          </w:p>
        </w:tc>
      </w:tr>
      <w:tr w:rsidR="008C4799" w:rsidRPr="0055128E" w14:paraId="393712A3" w14:textId="77777777" w:rsidTr="00F42C2E">
        <w:trPr>
          <w:trHeight w:val="175"/>
          <w:jc w:val="center"/>
        </w:trPr>
        <w:tc>
          <w:tcPr>
            <w:tcW w:w="3732" w:type="pct"/>
            <w:tcBorders>
              <w:top w:val="single" w:sz="4" w:space="0" w:color="auto"/>
              <w:left w:val="nil"/>
              <w:bottom w:val="single" w:sz="2" w:space="0" w:color="auto"/>
              <w:right w:val="nil"/>
            </w:tcBorders>
          </w:tcPr>
          <w:p w14:paraId="0A231A02" w14:textId="73AC54B2" w:rsidR="008C4799" w:rsidRPr="0055128E" w:rsidRDefault="002D6D30" w:rsidP="00F42C2E">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3.</w:t>
            </w:r>
            <w:r w:rsidR="00EE4424">
              <w:rPr>
                <w:rFonts w:asciiTheme="majorHAnsi" w:hAnsiTheme="majorHAnsi" w:cstheme="majorHAnsi"/>
                <w:bCs/>
              </w:rPr>
              <w:t>5</w:t>
            </w:r>
          </w:p>
          <w:p w14:paraId="6823B845" w14:textId="1A5415A7" w:rsidR="00EE4424" w:rsidRDefault="008C4799" w:rsidP="00EE4424">
            <w:pPr>
              <w:spacing w:before="120" w:after="120" w:line="240" w:lineRule="auto"/>
              <w:rPr>
                <w:rFonts w:asciiTheme="majorHAnsi" w:hAnsiTheme="majorHAnsi" w:cstheme="majorHAnsi"/>
                <w:bCs/>
              </w:rPr>
            </w:pPr>
            <w:r w:rsidRPr="00EE4424">
              <w:rPr>
                <w:rFonts w:asciiTheme="majorHAnsi" w:hAnsiTheme="majorHAnsi" w:cstheme="majorHAnsi"/>
                <w:bCs/>
              </w:rPr>
              <w:t xml:space="preserve">The department </w:t>
            </w:r>
            <w:r w:rsidR="006A6FA0" w:rsidRPr="00EE4424">
              <w:rPr>
                <w:rFonts w:asciiTheme="majorHAnsi" w:hAnsiTheme="majorHAnsi" w:cstheme="majorHAnsi"/>
                <w:bCs/>
              </w:rPr>
              <w:t xml:space="preserve">must be notified </w:t>
            </w:r>
            <w:r w:rsidRPr="00EE4424">
              <w:rPr>
                <w:rFonts w:asciiTheme="majorHAnsi" w:hAnsiTheme="majorHAnsi" w:cstheme="majorHAnsi"/>
                <w:bCs/>
              </w:rPr>
              <w:t>without delay where</w:t>
            </w:r>
            <w:r w:rsidR="00EE4424">
              <w:rPr>
                <w:rFonts w:asciiTheme="majorHAnsi" w:hAnsiTheme="majorHAnsi" w:cstheme="majorHAnsi"/>
                <w:bCs/>
              </w:rPr>
              <w:t>:</w:t>
            </w:r>
            <w:r w:rsidR="00EE4424" w:rsidRPr="00EE4424">
              <w:rPr>
                <w:rFonts w:asciiTheme="majorHAnsi" w:hAnsiTheme="majorHAnsi" w:cstheme="majorHAnsi"/>
                <w:bCs/>
              </w:rPr>
              <w:t xml:space="preserve"> </w:t>
            </w:r>
          </w:p>
          <w:p w14:paraId="24F34B05" w14:textId="3D612288" w:rsidR="008C4799" w:rsidRPr="00EE4424" w:rsidRDefault="008C4799" w:rsidP="00EE4424">
            <w:pPr>
              <w:pStyle w:val="ListParagraph"/>
              <w:numPr>
                <w:ilvl w:val="0"/>
                <w:numId w:val="64"/>
              </w:numPr>
              <w:spacing w:before="120" w:after="120" w:line="240" w:lineRule="auto"/>
              <w:ind w:left="459"/>
              <w:rPr>
                <w:rFonts w:asciiTheme="majorHAnsi" w:hAnsiTheme="majorHAnsi" w:cstheme="majorHAnsi"/>
                <w:bCs/>
              </w:rPr>
            </w:pPr>
            <w:r w:rsidRPr="00EE4424">
              <w:rPr>
                <w:rFonts w:asciiTheme="majorHAnsi" w:hAnsiTheme="majorHAnsi" w:cstheme="majorHAnsi"/>
                <w:bCs/>
              </w:rPr>
              <w:t xml:space="preserve">there is an inability to </w:t>
            </w:r>
            <w:r w:rsidRPr="00EE4424">
              <w:rPr>
                <w:rFonts w:asciiTheme="majorHAnsi" w:hAnsiTheme="majorHAnsi" w:cs="Times New Roman"/>
              </w:rPr>
              <w:t xml:space="preserve">secure </w:t>
            </w:r>
            <w:r w:rsidRPr="00EE4424">
              <w:rPr>
                <w:rFonts w:asciiTheme="majorHAnsi" w:hAnsiTheme="majorHAnsi" w:cstheme="majorHAnsi"/>
                <w:bCs/>
              </w:rPr>
              <w:t>airfreight perishable consignments as per section 3.3, or</w:t>
            </w:r>
          </w:p>
          <w:p w14:paraId="2491B67D" w14:textId="23524A3F" w:rsidR="008C4799" w:rsidRPr="00CA2DF8" w:rsidRDefault="008C4799" w:rsidP="003B5D3A">
            <w:pPr>
              <w:pStyle w:val="ListParagraph"/>
              <w:numPr>
                <w:ilvl w:val="0"/>
                <w:numId w:val="54"/>
              </w:numPr>
              <w:spacing w:beforeLines="40" w:before="96" w:afterLines="40" w:after="96" w:line="240" w:lineRule="auto"/>
              <w:ind w:left="459"/>
              <w:rPr>
                <w:rFonts w:asciiTheme="majorHAnsi" w:hAnsiTheme="majorHAnsi" w:cstheme="majorHAnsi"/>
                <w:bCs/>
              </w:rPr>
            </w:pPr>
            <w:r w:rsidRPr="00123755">
              <w:rPr>
                <w:rFonts w:asciiTheme="majorHAnsi" w:hAnsiTheme="majorHAnsi" w:cstheme="majorHAnsi"/>
                <w:bCs/>
              </w:rPr>
              <w:t xml:space="preserve">insects are detected externally on </w:t>
            </w:r>
            <w:r w:rsidR="00D76065">
              <w:rPr>
                <w:rFonts w:asciiTheme="majorHAnsi" w:hAnsiTheme="majorHAnsi" w:cstheme="majorHAnsi"/>
                <w:bCs/>
              </w:rPr>
              <w:t xml:space="preserve">airfreight perishables </w:t>
            </w:r>
            <w:r w:rsidRPr="00123755">
              <w:rPr>
                <w:rFonts w:asciiTheme="majorHAnsi" w:hAnsiTheme="majorHAnsi" w:cstheme="majorHAnsi"/>
                <w:bCs/>
              </w:rPr>
              <w:t>with secure packaging.</w:t>
            </w:r>
          </w:p>
        </w:tc>
        <w:tc>
          <w:tcPr>
            <w:tcW w:w="1268" w:type="pct"/>
            <w:tcBorders>
              <w:top w:val="single" w:sz="4" w:space="0" w:color="auto"/>
              <w:left w:val="nil"/>
              <w:bottom w:val="single" w:sz="2" w:space="0" w:color="auto"/>
              <w:right w:val="nil"/>
            </w:tcBorders>
            <w:vAlign w:val="center"/>
          </w:tcPr>
          <w:p w14:paraId="0512B1AE" w14:textId="77777777" w:rsidR="008C4799" w:rsidRDefault="008C4799" w:rsidP="00F42C2E">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A143BF" w:rsidRPr="004D7E7A" w14:paraId="2F217C21" w14:textId="77777777" w:rsidTr="00833C04">
        <w:trPr>
          <w:trHeight w:val="199"/>
          <w:jc w:val="center"/>
        </w:trPr>
        <w:tc>
          <w:tcPr>
            <w:tcW w:w="3732" w:type="pct"/>
            <w:tcBorders>
              <w:top w:val="single" w:sz="12" w:space="0" w:color="C00000"/>
              <w:left w:val="nil"/>
              <w:bottom w:val="single" w:sz="12" w:space="0" w:color="C00000"/>
              <w:right w:val="nil"/>
            </w:tcBorders>
            <w:shd w:val="clear" w:color="auto" w:fill="E5B8B7" w:themeFill="accent2" w:themeFillTint="66"/>
          </w:tcPr>
          <w:p w14:paraId="12242630" w14:textId="5C7D76D9" w:rsidR="00A143BF" w:rsidRDefault="00594022" w:rsidP="00EF221B">
            <w:pPr>
              <w:pStyle w:val="Heading2"/>
              <w:spacing w:beforeLines="40" w:before="96" w:afterLines="40" w:after="96" w:line="240" w:lineRule="auto"/>
            </w:pPr>
            <w:bookmarkStart w:id="17" w:name="_Toc477350975"/>
            <w:r>
              <w:t>4</w:t>
            </w:r>
            <w:r w:rsidR="002B1009">
              <w:t xml:space="preserve">    </w:t>
            </w:r>
            <w:r w:rsidR="00716089">
              <w:t>Administration and Management</w:t>
            </w:r>
            <w:bookmarkEnd w:id="17"/>
            <w:r w:rsidR="00716089">
              <w:t xml:space="preserve"> </w:t>
            </w:r>
          </w:p>
        </w:tc>
        <w:tc>
          <w:tcPr>
            <w:tcW w:w="1268" w:type="pct"/>
            <w:tcBorders>
              <w:top w:val="single" w:sz="12" w:space="0" w:color="C00000"/>
              <w:left w:val="nil"/>
              <w:bottom w:val="single" w:sz="12" w:space="0" w:color="C00000"/>
              <w:right w:val="nil"/>
            </w:tcBorders>
            <w:shd w:val="clear" w:color="auto" w:fill="E5B8B7" w:themeFill="accent2" w:themeFillTint="66"/>
            <w:vAlign w:val="center"/>
          </w:tcPr>
          <w:p w14:paraId="0FD9BC82" w14:textId="77777777" w:rsidR="00A143BF" w:rsidRDefault="00A143BF" w:rsidP="00873392">
            <w:pPr>
              <w:pStyle w:val="Heading2"/>
              <w:spacing w:beforeLines="40" w:before="96" w:afterLines="40" w:after="96" w:line="240" w:lineRule="auto"/>
            </w:pPr>
          </w:p>
        </w:tc>
      </w:tr>
      <w:tr w:rsidR="00B70F1E" w:rsidRPr="0055128E" w14:paraId="2177E3AA" w14:textId="77777777" w:rsidTr="00833C04">
        <w:trPr>
          <w:trHeight w:val="175"/>
          <w:jc w:val="center"/>
        </w:trPr>
        <w:tc>
          <w:tcPr>
            <w:tcW w:w="3732" w:type="pct"/>
            <w:tcBorders>
              <w:top w:val="single" w:sz="12" w:space="0" w:color="C00000"/>
              <w:left w:val="nil"/>
              <w:bottom w:val="single" w:sz="4" w:space="0" w:color="auto"/>
              <w:right w:val="nil"/>
            </w:tcBorders>
          </w:tcPr>
          <w:p w14:paraId="32A3BA9B" w14:textId="14E73343" w:rsidR="0019132C" w:rsidRPr="0055128E" w:rsidRDefault="00594022"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4</w:t>
            </w:r>
            <w:r w:rsidR="0019132C" w:rsidRPr="0055128E">
              <w:rPr>
                <w:rFonts w:asciiTheme="majorHAnsi" w:hAnsiTheme="majorHAnsi" w:cstheme="majorHAnsi"/>
                <w:bCs/>
              </w:rPr>
              <w:t>.1</w:t>
            </w:r>
          </w:p>
          <w:p w14:paraId="4E3AA420" w14:textId="685E43C3" w:rsidR="00B70F1E" w:rsidRPr="0055128E" w:rsidRDefault="007B7C26" w:rsidP="00CA2D63">
            <w:pPr>
              <w:spacing w:beforeLines="40" w:before="96" w:afterLines="40" w:after="96" w:line="240" w:lineRule="auto"/>
              <w:rPr>
                <w:rFonts w:asciiTheme="majorHAnsi" w:hAnsiTheme="majorHAnsi" w:cstheme="majorHAnsi"/>
                <w:bCs/>
              </w:rPr>
            </w:pPr>
            <w:r>
              <w:rPr>
                <w:rFonts w:asciiTheme="majorHAnsi" w:hAnsiTheme="majorHAnsi" w:cstheme="majorHAnsi"/>
                <w:bCs/>
              </w:rPr>
              <w:t>R</w:t>
            </w:r>
            <w:r w:rsidR="00846DA1" w:rsidRPr="006C36C9">
              <w:rPr>
                <w:rFonts w:asciiTheme="majorHAnsi" w:hAnsiTheme="majorHAnsi" w:cstheme="majorHAnsi"/>
                <w:bCs/>
              </w:rPr>
              <w:t xml:space="preserve">ecords </w:t>
            </w:r>
            <w:r w:rsidR="002D6D30">
              <w:rPr>
                <w:rFonts w:asciiTheme="majorHAnsi" w:hAnsiTheme="majorHAnsi" w:cstheme="majorHAnsi"/>
                <w:bCs/>
              </w:rPr>
              <w:t xml:space="preserve">of </w:t>
            </w:r>
            <w:r w:rsidR="00CA2D63">
              <w:rPr>
                <w:rFonts w:asciiTheme="majorHAnsi" w:hAnsiTheme="majorHAnsi" w:cstheme="majorHAnsi"/>
                <w:bCs/>
              </w:rPr>
              <w:t xml:space="preserve">each </w:t>
            </w:r>
            <w:r w:rsidR="002D6D30">
              <w:rPr>
                <w:rFonts w:asciiTheme="majorHAnsi" w:hAnsiTheme="majorHAnsi" w:cstheme="majorHAnsi"/>
                <w:bCs/>
              </w:rPr>
              <w:t xml:space="preserve">airfreight perishable packaging verification </w:t>
            </w:r>
            <w:r>
              <w:rPr>
                <w:rFonts w:asciiTheme="majorHAnsi" w:hAnsiTheme="majorHAnsi" w:cstheme="majorHAnsi"/>
                <w:bCs/>
              </w:rPr>
              <w:t xml:space="preserve">must be </w:t>
            </w:r>
            <w:r w:rsidR="00846DA1">
              <w:rPr>
                <w:rFonts w:asciiTheme="majorHAnsi" w:hAnsiTheme="majorHAnsi" w:cstheme="majorHAnsi"/>
                <w:bCs/>
              </w:rPr>
              <w:t>kept for</w:t>
            </w:r>
            <w:r w:rsidR="00846DA1" w:rsidRPr="006C36C9">
              <w:rPr>
                <w:rFonts w:asciiTheme="majorHAnsi" w:hAnsiTheme="majorHAnsi" w:cstheme="majorHAnsi"/>
                <w:bCs/>
              </w:rPr>
              <w:t xml:space="preserve"> a minimum period of </w:t>
            </w:r>
            <w:r w:rsidR="00846DA1" w:rsidRPr="00E634BC">
              <w:rPr>
                <w:rFonts w:asciiTheme="majorHAnsi" w:hAnsiTheme="majorHAnsi" w:cstheme="majorHAnsi"/>
                <w:bCs/>
              </w:rPr>
              <w:t>18 months</w:t>
            </w:r>
            <w:r w:rsidR="00CA2D63">
              <w:rPr>
                <w:rFonts w:asciiTheme="majorHAnsi" w:hAnsiTheme="majorHAnsi" w:cstheme="majorHAnsi"/>
                <w:bCs/>
              </w:rPr>
              <w:t xml:space="preserve"> from the date the verification was conducted</w:t>
            </w:r>
            <w:r w:rsidR="00123755">
              <w:rPr>
                <w:rFonts w:asciiTheme="majorHAnsi" w:hAnsiTheme="majorHAnsi" w:cstheme="majorHAnsi"/>
                <w:bCs/>
              </w:rPr>
              <w:t>.</w:t>
            </w:r>
          </w:p>
        </w:tc>
        <w:tc>
          <w:tcPr>
            <w:tcW w:w="1268" w:type="pct"/>
            <w:tcBorders>
              <w:top w:val="single" w:sz="12" w:space="0" w:color="C00000"/>
              <w:left w:val="nil"/>
              <w:bottom w:val="single" w:sz="4" w:space="0" w:color="auto"/>
              <w:right w:val="nil"/>
            </w:tcBorders>
            <w:vAlign w:val="center"/>
          </w:tcPr>
          <w:p w14:paraId="3AB734F8" w14:textId="04BAD1ED" w:rsidR="00B70F1E" w:rsidRDefault="00FB5389" w:rsidP="00793A2D">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Minor, major or critical</w:t>
            </w:r>
          </w:p>
        </w:tc>
      </w:tr>
      <w:tr w:rsidR="0055128E" w:rsidRPr="0055128E" w14:paraId="6A50F2E6" w14:textId="77777777" w:rsidTr="008C4799">
        <w:trPr>
          <w:cantSplit/>
          <w:trHeight w:val="175"/>
          <w:jc w:val="center"/>
        </w:trPr>
        <w:tc>
          <w:tcPr>
            <w:tcW w:w="3732" w:type="pct"/>
            <w:tcBorders>
              <w:top w:val="single" w:sz="4" w:space="0" w:color="auto"/>
              <w:left w:val="nil"/>
              <w:bottom w:val="single" w:sz="4" w:space="0" w:color="auto"/>
              <w:right w:val="nil"/>
            </w:tcBorders>
          </w:tcPr>
          <w:p w14:paraId="0F65B4DF" w14:textId="1832DFF2" w:rsidR="0055128E" w:rsidRDefault="00594022"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4</w:t>
            </w:r>
            <w:r w:rsidR="0055128E">
              <w:rPr>
                <w:rFonts w:asciiTheme="majorHAnsi" w:hAnsiTheme="majorHAnsi" w:cstheme="majorHAnsi"/>
                <w:bCs/>
              </w:rPr>
              <w:t>.2</w:t>
            </w:r>
          </w:p>
          <w:p w14:paraId="7EADF4D6" w14:textId="6B72F27C" w:rsidR="00576ABB" w:rsidRPr="008D73DF" w:rsidRDefault="00576ABB" w:rsidP="00576ABB">
            <w:pPr>
              <w:rPr>
                <w:rFonts w:asciiTheme="majorHAnsi" w:hAnsiTheme="majorHAnsi"/>
              </w:rPr>
            </w:pPr>
            <w:r w:rsidRPr="008D73DF">
              <w:rPr>
                <w:rFonts w:asciiTheme="majorHAnsi" w:hAnsiTheme="majorHAnsi"/>
              </w:rPr>
              <w:t xml:space="preserve">Records for each consignment of </w:t>
            </w:r>
            <w:r w:rsidR="002D6D30">
              <w:rPr>
                <w:rFonts w:asciiTheme="majorHAnsi" w:hAnsiTheme="majorHAnsi"/>
              </w:rPr>
              <w:t>airfreight perishables</w:t>
            </w:r>
            <w:r w:rsidRPr="008D73DF">
              <w:rPr>
                <w:rFonts w:asciiTheme="majorHAnsi" w:hAnsiTheme="majorHAnsi"/>
              </w:rPr>
              <w:t xml:space="preserve"> must include:</w:t>
            </w:r>
          </w:p>
          <w:p w14:paraId="4CB69FB6" w14:textId="58B4454A" w:rsidR="006C36C9" w:rsidRPr="00793A2D" w:rsidRDefault="00576ABB" w:rsidP="007940B6">
            <w:pPr>
              <w:pStyle w:val="ListParagraph"/>
              <w:numPr>
                <w:ilvl w:val="0"/>
                <w:numId w:val="39"/>
              </w:numPr>
              <w:spacing w:beforeLines="40" w:before="96" w:afterLines="40" w:after="96"/>
              <w:ind w:left="459"/>
              <w:contextualSpacing w:val="0"/>
              <w:rPr>
                <w:rFonts w:asciiTheme="majorHAnsi" w:hAnsiTheme="majorHAnsi"/>
              </w:rPr>
            </w:pPr>
            <w:r>
              <w:rPr>
                <w:rFonts w:asciiTheme="majorHAnsi" w:hAnsiTheme="majorHAnsi" w:cstheme="majorHAnsi"/>
                <w:bCs/>
              </w:rPr>
              <w:t>biosecurity direction</w:t>
            </w:r>
          </w:p>
          <w:p w14:paraId="1519DDCA" w14:textId="0D77C151" w:rsidR="006C36C9" w:rsidRPr="00793A2D" w:rsidRDefault="006C36C9" w:rsidP="007940B6">
            <w:pPr>
              <w:pStyle w:val="ListParagraph"/>
              <w:numPr>
                <w:ilvl w:val="0"/>
                <w:numId w:val="39"/>
              </w:numPr>
              <w:spacing w:beforeLines="40" w:before="96" w:afterLines="40" w:after="96"/>
              <w:ind w:left="459"/>
              <w:contextualSpacing w:val="0"/>
              <w:rPr>
                <w:rFonts w:asciiTheme="majorHAnsi" w:hAnsiTheme="majorHAnsi"/>
              </w:rPr>
            </w:pPr>
            <w:r w:rsidRPr="00793A2D">
              <w:rPr>
                <w:rFonts w:asciiTheme="majorHAnsi" w:hAnsiTheme="majorHAnsi"/>
              </w:rPr>
              <w:t xml:space="preserve">Import </w:t>
            </w:r>
            <w:r w:rsidR="001D7CAE">
              <w:rPr>
                <w:rFonts w:asciiTheme="majorHAnsi" w:hAnsiTheme="majorHAnsi"/>
              </w:rPr>
              <w:t>p</w:t>
            </w:r>
            <w:r w:rsidRPr="00793A2D">
              <w:rPr>
                <w:rFonts w:asciiTheme="majorHAnsi" w:hAnsiTheme="majorHAnsi"/>
              </w:rPr>
              <w:t>ermit number</w:t>
            </w:r>
            <w:r w:rsidR="00576ABB">
              <w:rPr>
                <w:rFonts w:asciiTheme="majorHAnsi" w:hAnsiTheme="majorHAnsi"/>
              </w:rPr>
              <w:t xml:space="preserve"> (if applicable)</w:t>
            </w:r>
          </w:p>
          <w:p w14:paraId="55EE1CDB" w14:textId="41BBADE1" w:rsidR="001D7CAE" w:rsidRPr="00607399" w:rsidRDefault="001D7CAE" w:rsidP="007940B6">
            <w:pPr>
              <w:pStyle w:val="ListParagraph"/>
              <w:numPr>
                <w:ilvl w:val="0"/>
                <w:numId w:val="39"/>
              </w:numPr>
              <w:spacing w:beforeLines="40" w:before="96" w:afterLines="40" w:after="96"/>
              <w:ind w:left="459"/>
              <w:contextualSpacing w:val="0"/>
              <w:rPr>
                <w:rFonts w:asciiTheme="majorHAnsi" w:hAnsiTheme="majorHAnsi"/>
              </w:rPr>
            </w:pPr>
            <w:r>
              <w:rPr>
                <w:rFonts w:asciiTheme="majorHAnsi" w:hAnsiTheme="majorHAnsi"/>
              </w:rPr>
              <w:t>Air Waybill or Bill of Lading number</w:t>
            </w:r>
          </w:p>
          <w:p w14:paraId="2AD5D05B" w14:textId="77777777" w:rsidR="001D7CAE" w:rsidRPr="00793A2D" w:rsidRDefault="001D7CAE" w:rsidP="007940B6">
            <w:pPr>
              <w:pStyle w:val="ListParagraph"/>
              <w:numPr>
                <w:ilvl w:val="0"/>
                <w:numId w:val="39"/>
              </w:numPr>
              <w:spacing w:beforeLines="40" w:before="96" w:afterLines="40" w:after="96"/>
              <w:ind w:left="459"/>
              <w:contextualSpacing w:val="0"/>
              <w:rPr>
                <w:rFonts w:asciiTheme="majorHAnsi" w:hAnsiTheme="majorHAnsi"/>
              </w:rPr>
            </w:pPr>
            <w:r w:rsidRPr="00793A2D">
              <w:rPr>
                <w:rFonts w:asciiTheme="majorHAnsi" w:hAnsiTheme="majorHAnsi"/>
              </w:rPr>
              <w:t>name of accredited pers</w:t>
            </w:r>
            <w:r>
              <w:rPr>
                <w:rFonts w:asciiTheme="majorHAnsi" w:hAnsiTheme="majorHAnsi"/>
              </w:rPr>
              <w:t>on(s) that performed the biosecurity activities</w:t>
            </w:r>
          </w:p>
          <w:p w14:paraId="53B946F0" w14:textId="77777777" w:rsidR="00EE4424" w:rsidRDefault="00C84518" w:rsidP="00EE4424">
            <w:pPr>
              <w:pStyle w:val="ListParagraph"/>
              <w:numPr>
                <w:ilvl w:val="0"/>
                <w:numId w:val="39"/>
              </w:numPr>
              <w:spacing w:beforeLines="40" w:before="96" w:afterLines="40" w:after="96"/>
              <w:ind w:left="459"/>
              <w:contextualSpacing w:val="0"/>
              <w:rPr>
                <w:rFonts w:asciiTheme="majorHAnsi" w:hAnsiTheme="majorHAnsi"/>
              </w:rPr>
            </w:pPr>
            <w:r w:rsidRPr="00793A2D">
              <w:rPr>
                <w:rFonts w:asciiTheme="majorHAnsi" w:hAnsiTheme="majorHAnsi"/>
              </w:rPr>
              <w:t>d</w:t>
            </w:r>
            <w:r w:rsidR="006C36C9" w:rsidRPr="00793A2D">
              <w:rPr>
                <w:rFonts w:asciiTheme="majorHAnsi" w:hAnsiTheme="majorHAnsi"/>
              </w:rPr>
              <w:t xml:space="preserve">ate and time </w:t>
            </w:r>
            <w:r w:rsidR="001D7CAE">
              <w:rPr>
                <w:rFonts w:asciiTheme="majorHAnsi" w:hAnsiTheme="majorHAnsi"/>
              </w:rPr>
              <w:t>of secure packaging</w:t>
            </w:r>
            <w:r w:rsidR="006C36C9" w:rsidRPr="00793A2D">
              <w:rPr>
                <w:rFonts w:asciiTheme="majorHAnsi" w:hAnsiTheme="majorHAnsi"/>
              </w:rPr>
              <w:t xml:space="preserve"> verification</w:t>
            </w:r>
            <w:r w:rsidR="001D7CAE">
              <w:rPr>
                <w:rFonts w:asciiTheme="majorHAnsi" w:hAnsiTheme="majorHAnsi"/>
              </w:rPr>
              <w:t xml:space="preserve"> </w:t>
            </w:r>
          </w:p>
          <w:p w14:paraId="688715C7" w14:textId="637BA776" w:rsidR="006C36C9" w:rsidRPr="00EE4424" w:rsidRDefault="00F42C2E" w:rsidP="00EE4424">
            <w:pPr>
              <w:pStyle w:val="ListParagraph"/>
              <w:numPr>
                <w:ilvl w:val="0"/>
                <w:numId w:val="39"/>
              </w:numPr>
              <w:spacing w:beforeLines="40" w:before="96" w:afterLines="40" w:after="96"/>
              <w:ind w:left="459"/>
              <w:contextualSpacing w:val="0"/>
              <w:rPr>
                <w:rFonts w:asciiTheme="majorHAnsi" w:hAnsiTheme="majorHAnsi"/>
              </w:rPr>
            </w:pPr>
            <w:r w:rsidRPr="00EE4424">
              <w:rPr>
                <w:rFonts w:asciiTheme="majorHAnsi" w:eastAsiaTheme="minorEastAsia" w:hAnsiTheme="majorHAnsi" w:cstheme="majorHAnsi"/>
              </w:rPr>
              <w:t>description of the airfreight perishable, including scientific names, country of origin and quantities (if applicable).</w:t>
            </w:r>
          </w:p>
          <w:p w14:paraId="5CF4F546" w14:textId="40A9105E" w:rsidR="006C36C9" w:rsidRPr="006C36C9" w:rsidRDefault="00C84518" w:rsidP="007940B6">
            <w:pPr>
              <w:pStyle w:val="ListParagraph"/>
              <w:numPr>
                <w:ilvl w:val="0"/>
                <w:numId w:val="39"/>
              </w:numPr>
              <w:spacing w:beforeLines="40" w:before="96" w:afterLines="40" w:after="96"/>
              <w:ind w:left="459"/>
              <w:contextualSpacing w:val="0"/>
              <w:rPr>
                <w:rFonts w:asciiTheme="majorHAnsi" w:hAnsiTheme="majorHAnsi" w:cstheme="majorHAnsi"/>
                <w:bCs/>
              </w:rPr>
            </w:pPr>
            <w:r w:rsidRPr="00793A2D">
              <w:rPr>
                <w:rFonts w:asciiTheme="majorHAnsi" w:hAnsiTheme="majorHAnsi"/>
              </w:rPr>
              <w:t>d</w:t>
            </w:r>
            <w:r w:rsidR="006C36C9" w:rsidRPr="00793A2D">
              <w:rPr>
                <w:rFonts w:asciiTheme="majorHAnsi" w:hAnsiTheme="majorHAnsi"/>
              </w:rPr>
              <w:t>etail of con</w:t>
            </w:r>
            <w:r w:rsidR="006C36C9" w:rsidRPr="006C36C9">
              <w:rPr>
                <w:rFonts w:asciiTheme="majorHAnsi" w:hAnsiTheme="majorHAnsi" w:cstheme="majorHAnsi"/>
                <w:bCs/>
              </w:rPr>
              <w:t xml:space="preserve">signment packaging. This must include: </w:t>
            </w:r>
          </w:p>
          <w:p w14:paraId="3C727784" w14:textId="7417741B" w:rsidR="006C36C9" w:rsidRPr="0010693C" w:rsidRDefault="00AB0848" w:rsidP="007940B6">
            <w:pPr>
              <w:pStyle w:val="ListParagraph"/>
              <w:numPr>
                <w:ilvl w:val="0"/>
                <w:numId w:val="35"/>
              </w:numPr>
              <w:spacing w:beforeLines="40" w:before="96" w:afterLines="40" w:after="96" w:line="240" w:lineRule="auto"/>
              <w:ind w:left="885"/>
              <w:rPr>
                <w:rFonts w:asciiTheme="majorHAnsi" w:hAnsiTheme="majorHAnsi" w:cstheme="majorHAnsi"/>
                <w:bCs/>
              </w:rPr>
            </w:pPr>
            <w:r>
              <w:rPr>
                <w:rFonts w:asciiTheme="majorHAnsi" w:hAnsiTheme="majorHAnsi" w:cstheme="majorHAnsi"/>
                <w:bCs/>
              </w:rPr>
              <w:t xml:space="preserve">which </w:t>
            </w:r>
            <w:r w:rsidR="006C36C9" w:rsidRPr="0010693C">
              <w:rPr>
                <w:rFonts w:asciiTheme="majorHAnsi" w:hAnsiTheme="majorHAnsi" w:cstheme="majorHAnsi"/>
                <w:bCs/>
              </w:rPr>
              <w:t xml:space="preserve">secure packaging </w:t>
            </w:r>
            <w:r w:rsidR="00027052">
              <w:rPr>
                <w:rFonts w:asciiTheme="majorHAnsi" w:hAnsiTheme="majorHAnsi" w:cstheme="majorHAnsi"/>
                <w:bCs/>
              </w:rPr>
              <w:t xml:space="preserve">option </w:t>
            </w:r>
            <w:r w:rsidR="006C36C9" w:rsidRPr="0010693C">
              <w:rPr>
                <w:rFonts w:asciiTheme="majorHAnsi" w:hAnsiTheme="majorHAnsi" w:cstheme="majorHAnsi"/>
                <w:bCs/>
              </w:rPr>
              <w:t xml:space="preserve">prescribed in section </w:t>
            </w:r>
            <w:r w:rsidR="00DF1E3C" w:rsidRPr="00DF1E3C">
              <w:rPr>
                <w:rFonts w:asciiTheme="majorHAnsi" w:hAnsiTheme="majorHAnsi" w:cstheme="majorHAnsi"/>
                <w:bCs/>
              </w:rPr>
              <w:t>3</w:t>
            </w:r>
            <w:r w:rsidR="006C36C9" w:rsidRPr="0010693C">
              <w:rPr>
                <w:rFonts w:asciiTheme="majorHAnsi" w:hAnsiTheme="majorHAnsi" w:cstheme="majorHAnsi"/>
                <w:bCs/>
              </w:rPr>
              <w:t>.</w:t>
            </w:r>
            <w:r w:rsidR="00153F0C">
              <w:rPr>
                <w:rFonts w:asciiTheme="majorHAnsi" w:hAnsiTheme="majorHAnsi" w:cstheme="majorHAnsi"/>
                <w:bCs/>
              </w:rPr>
              <w:t>2</w:t>
            </w:r>
            <w:r w:rsidR="005F2711">
              <w:rPr>
                <w:rFonts w:asciiTheme="majorHAnsi" w:hAnsiTheme="majorHAnsi" w:cstheme="majorHAnsi"/>
                <w:bCs/>
              </w:rPr>
              <w:t xml:space="preserve"> </w:t>
            </w:r>
            <w:r w:rsidR="00027052">
              <w:rPr>
                <w:rFonts w:asciiTheme="majorHAnsi" w:hAnsiTheme="majorHAnsi" w:cstheme="majorHAnsi"/>
                <w:bCs/>
              </w:rPr>
              <w:t xml:space="preserve">was </w:t>
            </w:r>
            <w:r w:rsidR="00E02366">
              <w:rPr>
                <w:rFonts w:asciiTheme="majorHAnsi" w:hAnsiTheme="majorHAnsi" w:cstheme="majorHAnsi"/>
                <w:bCs/>
              </w:rPr>
              <w:t>observed</w:t>
            </w:r>
            <w:r w:rsidR="00796599">
              <w:rPr>
                <w:rFonts w:asciiTheme="majorHAnsi" w:hAnsiTheme="majorHAnsi" w:cstheme="majorHAnsi"/>
                <w:bCs/>
              </w:rPr>
              <w:t>, and</w:t>
            </w:r>
          </w:p>
          <w:p w14:paraId="0BF44876" w14:textId="713DD314" w:rsidR="0055128E" w:rsidRPr="00607399" w:rsidRDefault="00796599" w:rsidP="00CA2DF8">
            <w:pPr>
              <w:pStyle w:val="ListParagraph"/>
              <w:numPr>
                <w:ilvl w:val="0"/>
                <w:numId w:val="36"/>
              </w:numPr>
              <w:spacing w:beforeLines="40" w:before="96" w:afterLines="40" w:after="96" w:line="240" w:lineRule="auto"/>
              <w:ind w:left="885"/>
              <w:rPr>
                <w:rFonts w:asciiTheme="majorHAnsi" w:hAnsiTheme="majorHAnsi" w:cstheme="majorHAnsi"/>
                <w:bCs/>
              </w:rPr>
            </w:pPr>
            <w:r>
              <w:rPr>
                <w:rFonts w:asciiTheme="majorHAnsi" w:hAnsiTheme="majorHAnsi" w:cstheme="majorHAnsi"/>
                <w:bCs/>
              </w:rPr>
              <w:t>w</w:t>
            </w:r>
            <w:r w:rsidR="00DD6A42">
              <w:rPr>
                <w:rFonts w:asciiTheme="majorHAnsi" w:hAnsiTheme="majorHAnsi" w:cstheme="majorHAnsi"/>
                <w:bCs/>
              </w:rPr>
              <w:t>here applicable</w:t>
            </w:r>
            <w:r w:rsidR="00A37777">
              <w:rPr>
                <w:rFonts w:asciiTheme="majorHAnsi" w:hAnsiTheme="majorHAnsi" w:cstheme="majorHAnsi"/>
                <w:bCs/>
              </w:rPr>
              <w:t>,</w:t>
            </w:r>
            <w:r>
              <w:rPr>
                <w:rFonts w:asciiTheme="majorHAnsi" w:hAnsiTheme="majorHAnsi" w:cstheme="majorHAnsi"/>
                <w:bCs/>
              </w:rPr>
              <w:t xml:space="preserve"> </w:t>
            </w:r>
            <w:r w:rsidR="00E02366">
              <w:rPr>
                <w:rFonts w:asciiTheme="majorHAnsi" w:hAnsiTheme="majorHAnsi" w:cstheme="majorHAnsi"/>
                <w:bCs/>
              </w:rPr>
              <w:t>the</w:t>
            </w:r>
            <w:r w:rsidR="00E02366" w:rsidRPr="0010693C">
              <w:rPr>
                <w:rFonts w:asciiTheme="majorHAnsi" w:hAnsiTheme="majorHAnsi" w:cstheme="majorHAnsi"/>
                <w:bCs/>
              </w:rPr>
              <w:t xml:space="preserve"> action</w:t>
            </w:r>
            <w:r w:rsidR="006C36C9" w:rsidRPr="0010693C">
              <w:rPr>
                <w:rFonts w:asciiTheme="majorHAnsi" w:hAnsiTheme="majorHAnsi" w:cstheme="majorHAnsi"/>
                <w:bCs/>
              </w:rPr>
              <w:t xml:space="preserve"> taken </w:t>
            </w:r>
            <w:r w:rsidR="00846709">
              <w:rPr>
                <w:rFonts w:asciiTheme="majorHAnsi" w:hAnsiTheme="majorHAnsi" w:cstheme="majorHAnsi"/>
                <w:bCs/>
              </w:rPr>
              <w:t xml:space="preserve">to secure airfreight </w:t>
            </w:r>
            <w:r w:rsidR="00E02366">
              <w:rPr>
                <w:rFonts w:asciiTheme="majorHAnsi" w:hAnsiTheme="majorHAnsi" w:cstheme="majorHAnsi"/>
                <w:bCs/>
              </w:rPr>
              <w:t>perishables in</w:t>
            </w:r>
            <w:r w:rsidR="006C36C9" w:rsidRPr="0010693C">
              <w:rPr>
                <w:rFonts w:asciiTheme="majorHAnsi" w:hAnsiTheme="majorHAnsi" w:cstheme="majorHAnsi"/>
                <w:bCs/>
              </w:rPr>
              <w:t xml:space="preserve"> accordance with section </w:t>
            </w:r>
            <w:r w:rsidR="00DF1E3C" w:rsidRPr="0010693C">
              <w:rPr>
                <w:rFonts w:asciiTheme="majorHAnsi" w:hAnsiTheme="majorHAnsi" w:cstheme="majorHAnsi"/>
                <w:bCs/>
              </w:rPr>
              <w:t>3</w:t>
            </w:r>
            <w:r w:rsidR="00027052">
              <w:rPr>
                <w:rFonts w:asciiTheme="majorHAnsi" w:hAnsiTheme="majorHAnsi" w:cstheme="majorHAnsi"/>
                <w:bCs/>
              </w:rPr>
              <w:t>.</w:t>
            </w:r>
            <w:r w:rsidR="00153F0C">
              <w:rPr>
                <w:rFonts w:asciiTheme="majorHAnsi" w:hAnsiTheme="majorHAnsi" w:cstheme="majorHAnsi"/>
                <w:bCs/>
              </w:rPr>
              <w:t>3</w:t>
            </w:r>
            <w:r w:rsidR="00B81B09">
              <w:rPr>
                <w:rFonts w:asciiTheme="majorHAnsi" w:hAnsiTheme="majorHAnsi" w:cstheme="majorHAnsi"/>
                <w:bCs/>
              </w:rPr>
              <w:t>.</w:t>
            </w:r>
          </w:p>
        </w:tc>
        <w:tc>
          <w:tcPr>
            <w:tcW w:w="1268" w:type="pct"/>
            <w:tcBorders>
              <w:top w:val="single" w:sz="4" w:space="0" w:color="auto"/>
              <w:left w:val="nil"/>
              <w:bottom w:val="single" w:sz="4" w:space="0" w:color="auto"/>
              <w:right w:val="nil"/>
            </w:tcBorders>
            <w:vAlign w:val="center"/>
          </w:tcPr>
          <w:p w14:paraId="358C8181" w14:textId="3BFE7583" w:rsidR="0055128E" w:rsidRDefault="00FB5389" w:rsidP="00793A2D">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w:t>
            </w:r>
          </w:p>
        </w:tc>
      </w:tr>
      <w:tr w:rsidR="001D2650" w:rsidRPr="004D7E7A" w14:paraId="75929922" w14:textId="77777777" w:rsidTr="00833C04">
        <w:trPr>
          <w:trHeight w:val="175"/>
          <w:jc w:val="center"/>
        </w:trPr>
        <w:tc>
          <w:tcPr>
            <w:tcW w:w="3732" w:type="pct"/>
            <w:tcBorders>
              <w:top w:val="single" w:sz="12" w:space="0" w:color="C00000"/>
              <w:left w:val="nil"/>
              <w:bottom w:val="single" w:sz="12" w:space="0" w:color="C00000"/>
              <w:right w:val="nil"/>
            </w:tcBorders>
            <w:shd w:val="clear" w:color="auto" w:fill="E5B8B7" w:themeFill="accent2" w:themeFillTint="66"/>
          </w:tcPr>
          <w:p w14:paraId="62C51E07" w14:textId="10F7DDDD" w:rsidR="001D2650" w:rsidRDefault="00DF1E3C" w:rsidP="00607399">
            <w:pPr>
              <w:pStyle w:val="Heading2"/>
              <w:spacing w:beforeLines="40" w:before="96" w:afterLines="40" w:after="96" w:line="240" w:lineRule="auto"/>
            </w:pPr>
            <w:bookmarkStart w:id="18" w:name="_Toc477350976"/>
            <w:r>
              <w:t>5</w:t>
            </w:r>
            <w:r w:rsidR="00D812DD">
              <w:t xml:space="preserve">   </w:t>
            </w:r>
            <w:r w:rsidR="002B1009">
              <w:t xml:space="preserve"> </w:t>
            </w:r>
            <w:r w:rsidR="00E634BC">
              <w:t>General</w:t>
            </w:r>
            <w:bookmarkEnd w:id="18"/>
            <w:r w:rsidR="00E634BC">
              <w:t xml:space="preserve"> </w:t>
            </w:r>
          </w:p>
        </w:tc>
        <w:tc>
          <w:tcPr>
            <w:tcW w:w="1268" w:type="pct"/>
            <w:tcBorders>
              <w:top w:val="single" w:sz="12" w:space="0" w:color="C00000"/>
              <w:left w:val="nil"/>
              <w:bottom w:val="single" w:sz="12" w:space="0" w:color="C00000"/>
              <w:right w:val="nil"/>
            </w:tcBorders>
            <w:shd w:val="clear" w:color="auto" w:fill="E5B8B7" w:themeFill="accent2" w:themeFillTint="66"/>
            <w:vAlign w:val="center"/>
          </w:tcPr>
          <w:p w14:paraId="3F1DCEC8" w14:textId="77777777" w:rsidR="001D2650" w:rsidRDefault="001D2650" w:rsidP="00873392">
            <w:pPr>
              <w:pStyle w:val="Heading2"/>
              <w:spacing w:beforeLines="40" w:before="96" w:afterLines="40" w:after="96" w:line="240" w:lineRule="auto"/>
            </w:pPr>
          </w:p>
        </w:tc>
      </w:tr>
      <w:tr w:rsidR="00CF7B7C" w:rsidRPr="0055128E" w14:paraId="5827FFF7" w14:textId="77777777" w:rsidTr="00833C04">
        <w:trPr>
          <w:trHeight w:val="425"/>
          <w:jc w:val="center"/>
        </w:trPr>
        <w:tc>
          <w:tcPr>
            <w:tcW w:w="3732" w:type="pct"/>
            <w:tcBorders>
              <w:left w:val="nil"/>
              <w:right w:val="nil"/>
            </w:tcBorders>
          </w:tcPr>
          <w:p w14:paraId="0FCB8328" w14:textId="77777777" w:rsidR="00CF7B7C" w:rsidRDefault="00CF7B7C"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5.1</w:t>
            </w:r>
          </w:p>
          <w:p w14:paraId="7860541E" w14:textId="0CCC0A78" w:rsidR="00CF7B7C" w:rsidRDefault="00CF7B7C" w:rsidP="0055128E">
            <w:pPr>
              <w:spacing w:beforeLines="40" w:before="96" w:afterLines="40" w:after="96" w:line="240" w:lineRule="auto"/>
              <w:rPr>
                <w:rFonts w:asciiTheme="majorHAnsi" w:hAnsiTheme="majorHAnsi" w:cstheme="majorHAnsi"/>
                <w:bCs/>
              </w:rPr>
            </w:pPr>
            <w:r w:rsidRPr="003608FC">
              <w:rPr>
                <w:rFonts w:asciiTheme="majorHAnsi" w:hAnsiTheme="majorHAnsi" w:cstheme="majorHAnsi"/>
                <w:bCs/>
              </w:rPr>
              <w:t xml:space="preserve">Goods subject to biosecurity control must be maintained and processed in accordance with the requirements of the relevant </w:t>
            </w:r>
            <w:r>
              <w:rPr>
                <w:rFonts w:asciiTheme="majorHAnsi" w:hAnsiTheme="majorHAnsi" w:cstheme="majorHAnsi"/>
                <w:bCs/>
              </w:rPr>
              <w:t>AA</w:t>
            </w:r>
            <w:r w:rsidRPr="003608FC">
              <w:rPr>
                <w:rFonts w:asciiTheme="majorHAnsi" w:hAnsiTheme="majorHAnsi" w:cstheme="majorHAnsi"/>
                <w:bCs/>
              </w:rPr>
              <w:t xml:space="preserve"> class</w:t>
            </w:r>
            <w:r>
              <w:rPr>
                <w:rFonts w:asciiTheme="majorHAnsi" w:hAnsiTheme="majorHAnsi" w:cstheme="majorHAnsi"/>
                <w:bCs/>
              </w:rPr>
              <w:t>.</w:t>
            </w:r>
          </w:p>
        </w:tc>
        <w:tc>
          <w:tcPr>
            <w:tcW w:w="1268" w:type="pct"/>
            <w:tcBorders>
              <w:left w:val="nil"/>
              <w:right w:val="nil"/>
            </w:tcBorders>
            <w:vAlign w:val="center"/>
          </w:tcPr>
          <w:p w14:paraId="22880B58" w14:textId="012B8AD6" w:rsidR="00CF7B7C" w:rsidRPr="001775B8" w:rsidRDefault="00CF7B7C" w:rsidP="00793A2D">
            <w:pPr>
              <w:spacing w:beforeLines="40" w:before="96" w:afterLines="40" w:after="96" w:line="240" w:lineRule="auto"/>
              <w:jc w:val="center"/>
              <w:rPr>
                <w:rFonts w:asciiTheme="majorHAnsi" w:hAnsiTheme="majorHAnsi" w:cstheme="majorHAnsi"/>
                <w:bCs/>
              </w:rPr>
            </w:pPr>
            <w:r w:rsidRPr="008B0948">
              <w:rPr>
                <w:rFonts w:asciiTheme="majorHAnsi" w:hAnsiTheme="majorHAnsi" w:cstheme="majorHAnsi"/>
              </w:rPr>
              <w:t>Minor, major or critical</w:t>
            </w:r>
          </w:p>
        </w:tc>
      </w:tr>
      <w:tr w:rsidR="001F18EF" w:rsidRPr="0055128E" w14:paraId="76A90B1A" w14:textId="77777777" w:rsidTr="00833C04">
        <w:trPr>
          <w:trHeight w:val="425"/>
          <w:jc w:val="center"/>
        </w:trPr>
        <w:tc>
          <w:tcPr>
            <w:tcW w:w="3732" w:type="pct"/>
            <w:tcBorders>
              <w:left w:val="nil"/>
              <w:right w:val="nil"/>
            </w:tcBorders>
          </w:tcPr>
          <w:p w14:paraId="26F6ECE9" w14:textId="45FEED3B" w:rsidR="001F18EF" w:rsidRDefault="001F18EF" w:rsidP="0055128E">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CF7B7C">
              <w:rPr>
                <w:rFonts w:asciiTheme="majorHAnsi" w:hAnsiTheme="majorHAnsi" w:cstheme="majorHAnsi"/>
                <w:bCs/>
              </w:rPr>
              <w:t>2</w:t>
            </w:r>
          </w:p>
          <w:p w14:paraId="4C0FD6F7" w14:textId="6F2770F2" w:rsidR="001F18EF" w:rsidRDefault="001F18EF" w:rsidP="0055128E">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t>Goods subject to biosecurity control must be maintained and processed in accordance with import conditions specified in the department's Biosecurity Import Conditions Database (BICON).</w:t>
            </w:r>
          </w:p>
        </w:tc>
        <w:tc>
          <w:tcPr>
            <w:tcW w:w="1268" w:type="pct"/>
            <w:tcBorders>
              <w:left w:val="nil"/>
              <w:right w:val="nil"/>
            </w:tcBorders>
            <w:vAlign w:val="center"/>
          </w:tcPr>
          <w:p w14:paraId="16B69CC6" w14:textId="77E51AB5" w:rsidR="001F18EF" w:rsidRPr="001775B8" w:rsidRDefault="001F18EF" w:rsidP="00793A2D">
            <w:pPr>
              <w:spacing w:beforeLines="40" w:before="96" w:afterLines="40" w:after="96" w:line="240" w:lineRule="auto"/>
              <w:jc w:val="center"/>
              <w:rPr>
                <w:rFonts w:asciiTheme="majorHAnsi" w:hAnsiTheme="majorHAnsi" w:cstheme="majorHAnsi"/>
                <w:bCs/>
              </w:rPr>
            </w:pPr>
            <w:r w:rsidRPr="001775B8">
              <w:rPr>
                <w:rFonts w:asciiTheme="majorHAnsi" w:hAnsiTheme="majorHAnsi" w:cstheme="majorHAnsi"/>
                <w:bCs/>
              </w:rPr>
              <w:t>Minor, major or critical</w:t>
            </w:r>
          </w:p>
        </w:tc>
      </w:tr>
      <w:tr w:rsidR="00CF7B7C" w:rsidRPr="0055128E" w14:paraId="4F4CD909" w14:textId="77777777" w:rsidTr="00833C04">
        <w:trPr>
          <w:trHeight w:val="425"/>
          <w:jc w:val="center"/>
        </w:trPr>
        <w:tc>
          <w:tcPr>
            <w:tcW w:w="3732" w:type="pct"/>
            <w:tcBorders>
              <w:left w:val="nil"/>
              <w:right w:val="nil"/>
            </w:tcBorders>
          </w:tcPr>
          <w:p w14:paraId="79BCD26C" w14:textId="77777777" w:rsidR="00CF7B7C"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5.3</w:t>
            </w:r>
          </w:p>
          <w:p w14:paraId="7B82A08D" w14:textId="34835656" w:rsidR="00CF7B7C" w:rsidRDefault="00CF7B7C" w:rsidP="00CF7B7C">
            <w:pPr>
              <w:spacing w:beforeLines="40" w:before="96" w:afterLines="40" w:after="96" w:line="240" w:lineRule="auto"/>
              <w:rPr>
                <w:rFonts w:asciiTheme="majorHAnsi" w:hAnsiTheme="majorHAnsi" w:cstheme="majorHAnsi"/>
                <w:bCs/>
              </w:rPr>
            </w:pP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an Import Permit</w:t>
            </w:r>
            <w:r w:rsidR="005F0F3B">
              <w:rPr>
                <w:rFonts w:asciiTheme="majorHAnsi" w:hAnsiTheme="majorHAnsi" w:cstheme="majorHAnsi"/>
                <w:bCs/>
              </w:rPr>
              <w:t xml:space="preserve"> (where applicable)</w:t>
            </w:r>
            <w:r>
              <w:rPr>
                <w:rFonts w:asciiTheme="majorHAnsi" w:hAnsiTheme="majorHAnsi" w:cstheme="majorHAnsi"/>
                <w:bCs/>
              </w:rPr>
              <w:t>.</w:t>
            </w:r>
          </w:p>
        </w:tc>
        <w:tc>
          <w:tcPr>
            <w:tcW w:w="1268" w:type="pct"/>
            <w:tcBorders>
              <w:left w:val="nil"/>
              <w:right w:val="nil"/>
            </w:tcBorders>
            <w:vAlign w:val="center"/>
          </w:tcPr>
          <w:p w14:paraId="5D56356F" w14:textId="72832C9F" w:rsidR="00CF7B7C" w:rsidRPr="001775B8" w:rsidRDefault="00CF7B7C" w:rsidP="00CF7B7C">
            <w:pPr>
              <w:spacing w:beforeLines="40" w:before="96" w:afterLines="40" w:after="96" w:line="240" w:lineRule="auto"/>
              <w:jc w:val="center"/>
              <w:rPr>
                <w:rFonts w:asciiTheme="majorHAnsi" w:hAnsiTheme="majorHAnsi" w:cstheme="majorHAnsi"/>
                <w:bCs/>
              </w:rPr>
            </w:pPr>
            <w:r w:rsidRPr="001775B8">
              <w:rPr>
                <w:rFonts w:asciiTheme="majorHAnsi" w:hAnsiTheme="majorHAnsi" w:cstheme="majorHAnsi"/>
                <w:bCs/>
              </w:rPr>
              <w:t>Minor, major or critical</w:t>
            </w:r>
          </w:p>
        </w:tc>
      </w:tr>
      <w:tr w:rsidR="00CF7B7C" w:rsidRPr="0055128E" w14:paraId="59A61746" w14:textId="77777777" w:rsidTr="00833C04">
        <w:trPr>
          <w:trHeight w:val="425"/>
          <w:jc w:val="center"/>
        </w:trPr>
        <w:tc>
          <w:tcPr>
            <w:tcW w:w="3732" w:type="pct"/>
            <w:tcBorders>
              <w:left w:val="nil"/>
              <w:right w:val="nil"/>
            </w:tcBorders>
          </w:tcPr>
          <w:p w14:paraId="795C3C1B" w14:textId="5FDFC57A" w:rsidR="00CF7B7C"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5.4</w:t>
            </w:r>
          </w:p>
          <w:p w14:paraId="40D15C55" w14:textId="7B74DEB0" w:rsidR="00CF7B7C" w:rsidRPr="001F18EF"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lastRenderedPageBreak/>
              <w:t>Goods subject to biosecurity control must be maintained and processed in accordance with any other direction from the department.</w:t>
            </w:r>
          </w:p>
        </w:tc>
        <w:tc>
          <w:tcPr>
            <w:tcW w:w="1268" w:type="pct"/>
            <w:tcBorders>
              <w:left w:val="nil"/>
              <w:right w:val="nil"/>
            </w:tcBorders>
            <w:vAlign w:val="center"/>
          </w:tcPr>
          <w:p w14:paraId="3AD006EA" w14:textId="7A9EE0F3" w:rsidR="00CF7B7C" w:rsidRDefault="00CF7B7C" w:rsidP="00CF7B7C">
            <w:pPr>
              <w:spacing w:beforeLines="40" w:before="96" w:afterLines="40" w:after="96" w:line="240" w:lineRule="auto"/>
              <w:jc w:val="center"/>
              <w:rPr>
                <w:rFonts w:asciiTheme="majorHAnsi" w:hAnsiTheme="majorHAnsi" w:cstheme="majorHAnsi"/>
                <w:bCs/>
              </w:rPr>
            </w:pPr>
            <w:r w:rsidRPr="001775B8">
              <w:rPr>
                <w:rFonts w:asciiTheme="majorHAnsi" w:hAnsiTheme="majorHAnsi" w:cstheme="majorHAnsi"/>
                <w:bCs/>
              </w:rPr>
              <w:lastRenderedPageBreak/>
              <w:t>Minor, major or critical</w:t>
            </w:r>
          </w:p>
        </w:tc>
      </w:tr>
      <w:tr w:rsidR="00CF7B7C" w:rsidRPr="0055128E" w14:paraId="651B85F9" w14:textId="77777777" w:rsidTr="00833C04">
        <w:trPr>
          <w:trHeight w:val="425"/>
          <w:jc w:val="center"/>
        </w:trPr>
        <w:tc>
          <w:tcPr>
            <w:tcW w:w="3732" w:type="pct"/>
            <w:tcBorders>
              <w:left w:val="nil"/>
              <w:right w:val="nil"/>
            </w:tcBorders>
          </w:tcPr>
          <w:p w14:paraId="0F6CB070" w14:textId="5E74AFA2" w:rsidR="00CF7B7C" w:rsidRPr="00607399" w:rsidRDefault="00CF7B7C" w:rsidP="00CF7B7C">
            <w:pPr>
              <w:spacing w:beforeLines="40" w:before="96" w:afterLines="40" w:after="96" w:line="240" w:lineRule="auto"/>
              <w:rPr>
                <w:rFonts w:asciiTheme="majorHAnsi" w:hAnsiTheme="majorHAnsi" w:cstheme="majorHAnsi"/>
                <w:bCs/>
              </w:rPr>
            </w:pPr>
            <w:r w:rsidRPr="001F18EF">
              <w:rPr>
                <w:rFonts w:asciiTheme="majorHAnsi" w:hAnsiTheme="majorHAnsi" w:cstheme="majorHAnsi"/>
                <w:bCs/>
              </w:rPr>
              <w:t>5.</w:t>
            </w:r>
            <w:r w:rsidR="001562B4">
              <w:rPr>
                <w:rFonts w:asciiTheme="majorHAnsi" w:hAnsiTheme="majorHAnsi" w:cstheme="majorHAnsi"/>
                <w:bCs/>
              </w:rPr>
              <w:t>5</w:t>
            </w:r>
          </w:p>
          <w:p w14:paraId="1B8D0104" w14:textId="00BF0A31" w:rsidR="00CF7B7C" w:rsidRPr="0010693C"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Goods subject to biosecurity control must be maintained and processed in accordance with the Biosecurity Act 2015 and subordinate legislation.</w:t>
            </w:r>
          </w:p>
        </w:tc>
        <w:tc>
          <w:tcPr>
            <w:tcW w:w="1268" w:type="pct"/>
            <w:tcBorders>
              <w:left w:val="nil"/>
              <w:right w:val="nil"/>
            </w:tcBorders>
            <w:vAlign w:val="center"/>
          </w:tcPr>
          <w:p w14:paraId="0B6CB9AB" w14:textId="6B19B6D5" w:rsidR="00CF7B7C"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CF7B7C" w:rsidRPr="0055128E" w14:paraId="641014C7" w14:textId="77777777" w:rsidTr="00833C04">
        <w:trPr>
          <w:trHeight w:val="425"/>
          <w:jc w:val="center"/>
        </w:trPr>
        <w:tc>
          <w:tcPr>
            <w:tcW w:w="3732" w:type="pct"/>
            <w:tcBorders>
              <w:left w:val="nil"/>
              <w:right w:val="nil"/>
            </w:tcBorders>
          </w:tcPr>
          <w:p w14:paraId="59E5CAF4" w14:textId="5E0B72BE" w:rsidR="00CF7B7C" w:rsidRPr="00607399"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1562B4">
              <w:rPr>
                <w:rFonts w:asciiTheme="majorHAnsi" w:hAnsiTheme="majorHAnsi" w:cstheme="majorHAnsi"/>
                <w:bCs/>
              </w:rPr>
              <w:t>6</w:t>
            </w:r>
          </w:p>
          <w:p w14:paraId="3BC3E576" w14:textId="25220D97" w:rsidR="00CF7B7C" w:rsidRPr="0010693C"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1268" w:type="pct"/>
            <w:tcBorders>
              <w:left w:val="nil"/>
              <w:right w:val="nil"/>
            </w:tcBorders>
            <w:vAlign w:val="center"/>
          </w:tcPr>
          <w:p w14:paraId="6546B163" w14:textId="589725CE" w:rsidR="00CF7B7C" w:rsidRDefault="00C13E6F"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CF7B7C" w:rsidRPr="0055128E" w14:paraId="350E56B2" w14:textId="77777777" w:rsidTr="00AC003E">
        <w:trPr>
          <w:cantSplit/>
          <w:trHeight w:val="425"/>
          <w:jc w:val="center"/>
        </w:trPr>
        <w:tc>
          <w:tcPr>
            <w:tcW w:w="3732" w:type="pct"/>
            <w:tcBorders>
              <w:left w:val="nil"/>
              <w:right w:val="nil"/>
            </w:tcBorders>
          </w:tcPr>
          <w:p w14:paraId="27140484" w14:textId="74F32B67" w:rsidR="00CF7B7C" w:rsidRPr="00607399"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1562B4">
              <w:rPr>
                <w:rFonts w:asciiTheme="majorHAnsi" w:hAnsiTheme="majorHAnsi" w:cstheme="majorHAnsi"/>
                <w:bCs/>
              </w:rPr>
              <w:t>7</w:t>
            </w:r>
          </w:p>
          <w:p w14:paraId="3D18F24F" w14:textId="77777777" w:rsidR="00CF7B7C" w:rsidRPr="001775B8"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44B0F534" w14:textId="77777777" w:rsidR="00CF7B7C" w:rsidRDefault="00CF7B7C" w:rsidP="00CF7B7C">
            <w:pPr>
              <w:pStyle w:val="ListParagraph"/>
              <w:numPr>
                <w:ilvl w:val="0"/>
                <w:numId w:val="46"/>
              </w:numPr>
              <w:spacing w:before="120" w:after="120" w:line="240" w:lineRule="auto"/>
              <w:ind w:left="453" w:hanging="357"/>
              <w:contextualSpacing w:val="0"/>
              <w:rPr>
                <w:rFonts w:asciiTheme="majorHAnsi" w:hAnsiTheme="majorHAnsi" w:cstheme="majorHAnsi"/>
                <w:bCs/>
              </w:rPr>
            </w:pPr>
            <w:r w:rsidRPr="001775B8">
              <w:rPr>
                <w:rFonts w:asciiTheme="majorHAnsi" w:hAnsiTheme="majorHAnsi" w:cstheme="majorHAnsi"/>
                <w:bCs/>
              </w:rPr>
              <w:t xml:space="preserve">visually verify for themselves that the items are being handled in accordance with the department's requirements </w:t>
            </w:r>
          </w:p>
          <w:p w14:paraId="546B113C" w14:textId="53BB94CC" w:rsidR="00CF7B7C" w:rsidRPr="00607399" w:rsidRDefault="00CF7B7C" w:rsidP="00CF7B7C">
            <w:pPr>
              <w:pStyle w:val="ListParagraph"/>
              <w:numPr>
                <w:ilvl w:val="0"/>
                <w:numId w:val="46"/>
              </w:numPr>
              <w:spacing w:beforeLines="40" w:before="96" w:afterLines="40" w:after="96" w:line="240" w:lineRule="auto"/>
              <w:ind w:left="459"/>
              <w:rPr>
                <w:rFonts w:asciiTheme="majorHAnsi" w:hAnsiTheme="majorHAnsi" w:cstheme="majorHAnsi"/>
                <w:bCs/>
              </w:rPr>
            </w:pPr>
            <w:r w:rsidRPr="00607399">
              <w:rPr>
                <w:rFonts w:asciiTheme="majorHAnsi" w:hAnsiTheme="majorHAnsi" w:cstheme="majorHAnsi"/>
                <w:bCs/>
              </w:rPr>
              <w:t>communicate immediately and effectively with the persons being supervised.</w:t>
            </w:r>
          </w:p>
        </w:tc>
        <w:tc>
          <w:tcPr>
            <w:tcW w:w="1268" w:type="pct"/>
            <w:tcBorders>
              <w:left w:val="nil"/>
              <w:right w:val="nil"/>
            </w:tcBorders>
            <w:vAlign w:val="center"/>
          </w:tcPr>
          <w:p w14:paraId="2A8114F9" w14:textId="59C4A01A" w:rsidR="00CF7B7C"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w:t>
            </w:r>
          </w:p>
        </w:tc>
      </w:tr>
      <w:tr w:rsidR="00CF7B7C" w:rsidRPr="0055128E" w14:paraId="659CA645" w14:textId="77777777" w:rsidTr="00833C04">
        <w:trPr>
          <w:trHeight w:val="425"/>
          <w:jc w:val="center"/>
        </w:trPr>
        <w:tc>
          <w:tcPr>
            <w:tcW w:w="3732" w:type="pct"/>
            <w:tcBorders>
              <w:left w:val="nil"/>
              <w:right w:val="nil"/>
            </w:tcBorders>
          </w:tcPr>
          <w:p w14:paraId="6163C58A" w14:textId="17436DB1" w:rsidR="00CF7B7C" w:rsidRPr="00607399"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1562B4">
              <w:rPr>
                <w:rFonts w:asciiTheme="majorHAnsi" w:hAnsiTheme="majorHAnsi" w:cstheme="majorHAnsi"/>
                <w:bCs/>
              </w:rPr>
              <w:t>8</w:t>
            </w:r>
          </w:p>
          <w:p w14:paraId="0613C26E" w14:textId="2897F8A4" w:rsidR="00CF7B7C" w:rsidRPr="0010693C"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Persons performing the function of an Accredited Person must have successfully completed the department's approved training to obtain and maintain Accredited Person status.</w:t>
            </w:r>
          </w:p>
        </w:tc>
        <w:tc>
          <w:tcPr>
            <w:tcW w:w="1268" w:type="pct"/>
            <w:tcBorders>
              <w:left w:val="nil"/>
              <w:right w:val="nil"/>
            </w:tcBorders>
            <w:vAlign w:val="center"/>
          </w:tcPr>
          <w:p w14:paraId="3F16B7F9" w14:textId="626C60EC" w:rsidR="00CF7B7C"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w:t>
            </w:r>
          </w:p>
        </w:tc>
      </w:tr>
      <w:tr w:rsidR="00B467AF" w:rsidRPr="0055128E" w14:paraId="5B1EC52D" w14:textId="77777777" w:rsidTr="00833C04">
        <w:trPr>
          <w:trHeight w:val="425"/>
          <w:jc w:val="center"/>
        </w:trPr>
        <w:tc>
          <w:tcPr>
            <w:tcW w:w="3732" w:type="pct"/>
            <w:tcBorders>
              <w:left w:val="nil"/>
              <w:right w:val="nil"/>
            </w:tcBorders>
          </w:tcPr>
          <w:p w14:paraId="77EEB55A" w14:textId="77777777" w:rsidR="001562B4" w:rsidRDefault="001562B4" w:rsidP="00B467AF">
            <w:pPr>
              <w:spacing w:after="120" w:line="240" w:lineRule="auto"/>
              <w:rPr>
                <w:rFonts w:asciiTheme="majorHAnsi" w:hAnsiTheme="majorHAnsi" w:cstheme="majorHAnsi"/>
                <w:bCs/>
              </w:rPr>
            </w:pPr>
            <w:r>
              <w:rPr>
                <w:rFonts w:asciiTheme="majorHAnsi" w:hAnsiTheme="majorHAnsi" w:cstheme="majorHAnsi"/>
                <w:bCs/>
              </w:rPr>
              <w:t>5.9</w:t>
            </w:r>
          </w:p>
          <w:p w14:paraId="5FC7E642" w14:textId="1BB02C97" w:rsidR="00B467AF" w:rsidRPr="00CF561E" w:rsidRDefault="00B467AF" w:rsidP="00B467AF">
            <w:pPr>
              <w:spacing w:after="120" w:line="240" w:lineRule="auto"/>
              <w:rPr>
                <w:rFonts w:asciiTheme="majorHAnsi" w:hAnsiTheme="majorHAnsi" w:cstheme="majorHAnsi"/>
                <w:bCs/>
              </w:rPr>
            </w:pPr>
            <w:r>
              <w:rPr>
                <w:rFonts w:asciiTheme="majorHAnsi" w:hAnsiTheme="majorHAnsi" w:cstheme="majorHAnsi"/>
                <w:bCs/>
              </w:rPr>
              <w:t xml:space="preserve">Ensure goods subject to biosecurity control </w:t>
            </w:r>
            <w:r w:rsidRPr="00CF561E">
              <w:rPr>
                <w:rFonts w:asciiTheme="majorHAnsi" w:hAnsiTheme="majorHAnsi" w:cstheme="majorHAnsi"/>
                <w:bCs/>
              </w:rPr>
              <w:t>are traceable i</w:t>
            </w:r>
            <w:r>
              <w:rPr>
                <w:rFonts w:asciiTheme="majorHAnsi" w:hAnsiTheme="majorHAnsi" w:cstheme="majorHAnsi"/>
                <w:bCs/>
              </w:rPr>
              <w:t xml:space="preserve">n terms of (where applicable): </w:t>
            </w:r>
          </w:p>
          <w:p w14:paraId="12D96080"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declaration/entry number </w:t>
            </w:r>
          </w:p>
          <w:p w14:paraId="3857BEE8"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import Permit number </w:t>
            </w:r>
          </w:p>
          <w:p w14:paraId="19438ACC"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Air Waybill or Bill of Lading number</w:t>
            </w:r>
          </w:p>
          <w:p w14:paraId="4F3076A5"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date of receipt </w:t>
            </w:r>
          </w:p>
          <w:p w14:paraId="11447D2C"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processing (including inspection, treatment, testing) details </w:t>
            </w:r>
          </w:p>
          <w:p w14:paraId="0B82C3AD"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release from Biosecurity Control </w:t>
            </w:r>
          </w:p>
          <w:p w14:paraId="32996A49" w14:textId="77777777" w:rsidR="00B467AF" w:rsidRPr="00AC4DFB" w:rsidRDefault="00B467AF" w:rsidP="00B467A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disposal details </w:t>
            </w:r>
          </w:p>
          <w:p w14:paraId="135FDF0B" w14:textId="77777777" w:rsidR="00B467AF" w:rsidRDefault="00B467AF" w:rsidP="00C13E6F">
            <w:pPr>
              <w:pStyle w:val="ListParagraph"/>
              <w:numPr>
                <w:ilvl w:val="0"/>
                <w:numId w:val="59"/>
              </w:numPr>
              <w:spacing w:after="120" w:line="240" w:lineRule="auto"/>
              <w:ind w:left="743" w:hanging="459"/>
              <w:contextualSpacing w:val="0"/>
              <w:rPr>
                <w:rFonts w:asciiTheme="majorHAnsi" w:hAnsiTheme="majorHAnsi" w:cstheme="majorHAnsi"/>
                <w:bCs/>
              </w:rPr>
            </w:pPr>
            <w:r w:rsidRPr="00AC4DFB">
              <w:rPr>
                <w:rFonts w:asciiTheme="majorHAnsi" w:hAnsiTheme="majorHAnsi" w:cstheme="majorHAnsi"/>
                <w:bCs/>
              </w:rPr>
              <w:t xml:space="preserve">storage location </w:t>
            </w:r>
          </w:p>
          <w:p w14:paraId="2C855736" w14:textId="5FFC6251" w:rsidR="00B467AF" w:rsidRPr="00C13E6F" w:rsidRDefault="00B467AF" w:rsidP="00C13E6F">
            <w:pPr>
              <w:pStyle w:val="ListParagraph"/>
              <w:numPr>
                <w:ilvl w:val="0"/>
                <w:numId w:val="59"/>
              </w:numPr>
              <w:spacing w:after="120" w:line="240" w:lineRule="auto"/>
              <w:ind w:left="743" w:hanging="459"/>
              <w:contextualSpacing w:val="0"/>
              <w:rPr>
                <w:rFonts w:asciiTheme="majorHAnsi" w:hAnsiTheme="majorHAnsi" w:cstheme="majorHAnsi"/>
                <w:bCs/>
              </w:rPr>
            </w:pPr>
            <w:r w:rsidRPr="00C13E6F">
              <w:rPr>
                <w:rFonts w:asciiTheme="majorHAnsi" w:hAnsiTheme="majorHAnsi" w:cstheme="majorHAnsi"/>
                <w:bCs/>
              </w:rPr>
              <w:t>Accredited Person responsible for the items.</w:t>
            </w:r>
          </w:p>
        </w:tc>
        <w:tc>
          <w:tcPr>
            <w:tcW w:w="1268" w:type="pct"/>
            <w:tcBorders>
              <w:left w:val="nil"/>
              <w:right w:val="nil"/>
            </w:tcBorders>
            <w:vAlign w:val="center"/>
          </w:tcPr>
          <w:p w14:paraId="15B1B48B" w14:textId="77777777" w:rsidR="00B467AF" w:rsidRDefault="00B467AF" w:rsidP="00C13E6F">
            <w:pPr>
              <w:pStyle w:val="ListParagraph"/>
              <w:spacing w:before="40" w:after="120" w:line="240" w:lineRule="auto"/>
              <w:contextualSpacing w:val="0"/>
              <w:rPr>
                <w:rFonts w:asciiTheme="majorHAnsi" w:hAnsiTheme="majorHAnsi" w:cstheme="majorHAnsi"/>
                <w:bCs/>
              </w:rPr>
            </w:pPr>
          </w:p>
          <w:p w14:paraId="1AE5A199"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76753BA7"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0A7E640A"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Minor</w:t>
            </w:r>
          </w:p>
          <w:p w14:paraId="2DD09C8A"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371229DB"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4EDC9A96"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00235924" w14:textId="77777777" w:rsidR="00B467AF" w:rsidRDefault="00B467AF" w:rsidP="00B467AF">
            <w:pPr>
              <w:pStyle w:val="ListParagraph"/>
              <w:numPr>
                <w:ilvl w:val="0"/>
                <w:numId w:val="59"/>
              </w:numPr>
              <w:spacing w:before="40" w:after="120" w:line="240" w:lineRule="auto"/>
              <w:contextualSpacing w:val="0"/>
              <w:jc w:val="center"/>
              <w:rPr>
                <w:rFonts w:asciiTheme="majorHAnsi" w:hAnsiTheme="majorHAnsi" w:cstheme="majorHAnsi"/>
                <w:bCs/>
              </w:rPr>
            </w:pPr>
            <w:r>
              <w:rPr>
                <w:rFonts w:asciiTheme="majorHAnsi" w:hAnsiTheme="majorHAnsi" w:cstheme="majorHAnsi"/>
                <w:bCs/>
              </w:rPr>
              <w:t>Major</w:t>
            </w:r>
          </w:p>
          <w:p w14:paraId="276FC87B" w14:textId="77777777" w:rsidR="00B467AF" w:rsidRDefault="00B467AF" w:rsidP="00C13E6F">
            <w:pPr>
              <w:pStyle w:val="ListParagraph"/>
              <w:numPr>
                <w:ilvl w:val="0"/>
                <w:numId w:val="59"/>
              </w:numPr>
              <w:spacing w:beforeLines="40" w:before="96" w:after="120" w:line="240" w:lineRule="auto"/>
              <w:contextualSpacing w:val="0"/>
              <w:jc w:val="center"/>
              <w:rPr>
                <w:rFonts w:asciiTheme="majorHAnsi" w:hAnsiTheme="majorHAnsi" w:cstheme="majorHAnsi"/>
                <w:bCs/>
              </w:rPr>
            </w:pPr>
            <w:r w:rsidRPr="006B3DBD">
              <w:rPr>
                <w:rFonts w:asciiTheme="majorHAnsi" w:hAnsiTheme="majorHAnsi" w:cstheme="majorHAnsi"/>
                <w:bCs/>
              </w:rPr>
              <w:t>Major</w:t>
            </w:r>
          </w:p>
          <w:p w14:paraId="126F83C5" w14:textId="066AD075" w:rsidR="00B467AF" w:rsidRPr="00C13E6F" w:rsidRDefault="00B467AF" w:rsidP="00C13E6F">
            <w:pPr>
              <w:pStyle w:val="ListParagraph"/>
              <w:numPr>
                <w:ilvl w:val="0"/>
                <w:numId w:val="59"/>
              </w:numPr>
              <w:spacing w:beforeLines="40" w:before="96" w:after="120" w:line="240" w:lineRule="auto"/>
              <w:contextualSpacing w:val="0"/>
              <w:jc w:val="center"/>
              <w:rPr>
                <w:rFonts w:asciiTheme="majorHAnsi" w:hAnsiTheme="majorHAnsi" w:cstheme="majorHAnsi"/>
                <w:bCs/>
              </w:rPr>
            </w:pPr>
            <w:r w:rsidRPr="00C13E6F">
              <w:rPr>
                <w:rFonts w:asciiTheme="majorHAnsi" w:hAnsiTheme="majorHAnsi" w:cstheme="majorHAnsi"/>
                <w:bCs/>
              </w:rPr>
              <w:t>Major</w:t>
            </w:r>
          </w:p>
        </w:tc>
      </w:tr>
      <w:tr w:rsidR="00D9483E" w:rsidRPr="0055128E" w14:paraId="16066816" w14:textId="77777777" w:rsidTr="00833C04">
        <w:trPr>
          <w:trHeight w:val="425"/>
          <w:jc w:val="center"/>
        </w:trPr>
        <w:tc>
          <w:tcPr>
            <w:tcW w:w="3732" w:type="pct"/>
            <w:tcBorders>
              <w:left w:val="nil"/>
              <w:right w:val="nil"/>
            </w:tcBorders>
          </w:tcPr>
          <w:p w14:paraId="24E465FF" w14:textId="77777777" w:rsidR="00D9483E" w:rsidRDefault="00D9483E"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5.10</w:t>
            </w:r>
          </w:p>
          <w:p w14:paraId="26EA837E" w14:textId="6929BCAE" w:rsidR="00D9483E" w:rsidRPr="00607399" w:rsidRDefault="00D9483E" w:rsidP="00CF7B7C">
            <w:pPr>
              <w:spacing w:beforeLines="40" w:before="96" w:afterLines="40" w:after="96" w:line="240" w:lineRule="auto"/>
              <w:rPr>
                <w:rFonts w:asciiTheme="majorHAnsi" w:hAnsiTheme="majorHAnsi" w:cstheme="majorHAnsi"/>
                <w:bCs/>
              </w:rPr>
            </w:pPr>
            <w:r w:rsidRPr="00CF561E">
              <w:rPr>
                <w:rFonts w:asciiTheme="majorHAnsi" w:hAnsiTheme="majorHAnsi" w:cstheme="majorHAnsi"/>
                <w:bCs/>
              </w:rPr>
              <w:lastRenderedPageBreak/>
              <w:t xml:space="preserve">The </w:t>
            </w:r>
            <w:r>
              <w:rPr>
                <w:rFonts w:asciiTheme="majorHAnsi" w:hAnsiTheme="majorHAnsi" w:cstheme="majorHAnsi"/>
                <w:bCs/>
              </w:rPr>
              <w:t>BIP</w:t>
            </w:r>
            <w:r w:rsidRPr="00CF561E">
              <w:rPr>
                <w:rFonts w:asciiTheme="majorHAnsi" w:hAnsiTheme="majorHAnsi" w:cstheme="majorHAnsi"/>
                <w:bCs/>
              </w:rPr>
              <w:t xml:space="preserve"> must ensure that persons having physical access to goods subject to biosecurity control are aware that such items must only be handled by an Accredited Person or under the direct supervision of an Accredited Person.</w:t>
            </w:r>
          </w:p>
        </w:tc>
        <w:tc>
          <w:tcPr>
            <w:tcW w:w="1268" w:type="pct"/>
            <w:tcBorders>
              <w:left w:val="nil"/>
              <w:right w:val="nil"/>
            </w:tcBorders>
            <w:vAlign w:val="center"/>
          </w:tcPr>
          <w:p w14:paraId="0DC33CF6" w14:textId="58C5463A" w:rsidR="00D9483E" w:rsidRDefault="00D9483E"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lastRenderedPageBreak/>
              <w:t>Major</w:t>
            </w:r>
          </w:p>
        </w:tc>
      </w:tr>
      <w:tr w:rsidR="00CF7B7C" w:rsidRPr="0055128E" w14:paraId="39B006FF" w14:textId="77777777" w:rsidTr="00833C04">
        <w:trPr>
          <w:trHeight w:val="425"/>
          <w:jc w:val="center"/>
        </w:trPr>
        <w:tc>
          <w:tcPr>
            <w:tcW w:w="3732" w:type="pct"/>
            <w:tcBorders>
              <w:left w:val="nil"/>
              <w:right w:val="nil"/>
            </w:tcBorders>
          </w:tcPr>
          <w:p w14:paraId="3D9014F1" w14:textId="00DF775F" w:rsidR="00CF7B7C" w:rsidRPr="00607399" w:rsidRDefault="00CF7B7C" w:rsidP="00CF7B7C">
            <w:pPr>
              <w:spacing w:beforeLines="40" w:before="96" w:afterLines="40" w:after="96" w:line="240" w:lineRule="auto"/>
              <w:rPr>
                <w:rFonts w:asciiTheme="majorHAnsi" w:hAnsiTheme="majorHAnsi" w:cstheme="majorHAnsi"/>
                <w:bCs/>
              </w:rPr>
            </w:pPr>
            <w:r w:rsidRPr="00607399">
              <w:rPr>
                <w:rFonts w:asciiTheme="majorHAnsi" w:hAnsiTheme="majorHAnsi" w:cstheme="majorHAnsi"/>
                <w:bCs/>
              </w:rPr>
              <w:t>5.</w:t>
            </w:r>
            <w:r w:rsidR="001562B4">
              <w:rPr>
                <w:rFonts w:asciiTheme="majorHAnsi" w:hAnsiTheme="majorHAnsi" w:cstheme="majorHAnsi"/>
                <w:bCs/>
              </w:rPr>
              <w:t>1</w:t>
            </w:r>
            <w:r w:rsidR="00CB1482">
              <w:rPr>
                <w:rFonts w:asciiTheme="majorHAnsi" w:hAnsiTheme="majorHAnsi" w:cstheme="majorHAnsi"/>
                <w:bCs/>
              </w:rPr>
              <w:t>1</w:t>
            </w:r>
          </w:p>
          <w:p w14:paraId="3185C017" w14:textId="1B111E54" w:rsidR="00CF7B7C" w:rsidRPr="0010693C"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Records must be maintained of Accredited Persons.</w:t>
            </w:r>
          </w:p>
        </w:tc>
        <w:tc>
          <w:tcPr>
            <w:tcW w:w="1268" w:type="pct"/>
            <w:tcBorders>
              <w:left w:val="nil"/>
              <w:right w:val="nil"/>
            </w:tcBorders>
            <w:vAlign w:val="center"/>
          </w:tcPr>
          <w:p w14:paraId="7326FC75" w14:textId="03DDE124" w:rsidR="00CF7B7C"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Minor</w:t>
            </w:r>
          </w:p>
        </w:tc>
      </w:tr>
      <w:tr w:rsidR="00CF7B7C" w:rsidRPr="0055128E" w14:paraId="702D5552" w14:textId="77777777" w:rsidTr="00C240F7">
        <w:trPr>
          <w:cantSplit/>
          <w:trHeight w:val="425"/>
          <w:jc w:val="center"/>
        </w:trPr>
        <w:tc>
          <w:tcPr>
            <w:tcW w:w="3732" w:type="pct"/>
            <w:tcBorders>
              <w:left w:val="nil"/>
              <w:right w:val="nil"/>
            </w:tcBorders>
          </w:tcPr>
          <w:p w14:paraId="375C3EE5" w14:textId="17F32BE4" w:rsidR="00CF7B7C" w:rsidRPr="001775B8"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1562B4">
              <w:rPr>
                <w:rFonts w:asciiTheme="majorHAnsi" w:hAnsiTheme="majorHAnsi" w:cstheme="majorHAnsi"/>
                <w:bCs/>
              </w:rPr>
              <w:t>1</w:t>
            </w:r>
            <w:r w:rsidR="00CB1482">
              <w:rPr>
                <w:rFonts w:asciiTheme="majorHAnsi" w:hAnsiTheme="majorHAnsi" w:cstheme="majorHAnsi"/>
                <w:bCs/>
              </w:rPr>
              <w:t>2</w:t>
            </w:r>
          </w:p>
          <w:p w14:paraId="68E5B7EC" w14:textId="6081EDC6" w:rsidR="00CF7B7C" w:rsidRPr="001775B8"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t xml:space="preserve">A contingency plan must be in place to manage unexpected events that </w:t>
            </w:r>
            <w:r w:rsidR="005F0F3B">
              <w:rPr>
                <w:rFonts w:asciiTheme="majorHAnsi" w:hAnsiTheme="majorHAnsi" w:cstheme="majorHAnsi"/>
                <w:bCs/>
              </w:rPr>
              <w:t xml:space="preserve">may </w:t>
            </w:r>
            <w:r w:rsidRPr="001775B8">
              <w:rPr>
                <w:rFonts w:asciiTheme="majorHAnsi" w:hAnsiTheme="majorHAnsi" w:cstheme="majorHAnsi"/>
                <w:bCs/>
              </w:rPr>
              <w:t xml:space="preserve">compromise biosecurity integrity of the AA site. Unexpected events include: </w:t>
            </w:r>
          </w:p>
          <w:p w14:paraId="4FCDC5AE" w14:textId="77777777" w:rsidR="00CF7B7C" w:rsidRPr="001775B8" w:rsidRDefault="00CF7B7C" w:rsidP="00CF7B7C">
            <w:pPr>
              <w:pStyle w:val="ListParagraph"/>
              <w:numPr>
                <w:ilvl w:val="0"/>
                <w:numId w:val="47"/>
              </w:numPr>
              <w:spacing w:before="120" w:after="120" w:line="240" w:lineRule="auto"/>
              <w:ind w:left="595" w:hanging="357"/>
              <w:contextualSpacing w:val="0"/>
              <w:rPr>
                <w:rFonts w:asciiTheme="majorHAnsi" w:hAnsiTheme="majorHAnsi" w:cstheme="majorHAnsi"/>
                <w:bCs/>
              </w:rPr>
            </w:pPr>
            <w:r w:rsidRPr="001775B8">
              <w:rPr>
                <w:rFonts w:asciiTheme="majorHAnsi" w:hAnsiTheme="majorHAnsi" w:cstheme="majorHAnsi"/>
                <w:bCs/>
              </w:rPr>
              <w:t xml:space="preserve">appearance of pests or symptoms of disease </w:t>
            </w:r>
          </w:p>
          <w:p w14:paraId="24258219" w14:textId="1853C584" w:rsidR="00CF7B7C" w:rsidRPr="001775B8" w:rsidRDefault="00CF7B7C" w:rsidP="00CF7B7C">
            <w:pPr>
              <w:pStyle w:val="ListParagraph"/>
              <w:numPr>
                <w:ilvl w:val="0"/>
                <w:numId w:val="47"/>
              </w:numPr>
              <w:spacing w:before="120" w:after="120" w:line="240" w:lineRule="auto"/>
              <w:ind w:left="595" w:hanging="357"/>
              <w:contextualSpacing w:val="0"/>
              <w:rPr>
                <w:rFonts w:asciiTheme="majorHAnsi" w:hAnsiTheme="majorHAnsi" w:cstheme="majorHAnsi"/>
                <w:bCs/>
              </w:rPr>
            </w:pPr>
            <w:r>
              <w:rPr>
                <w:rFonts w:asciiTheme="majorHAnsi" w:hAnsiTheme="majorHAnsi" w:cstheme="majorHAnsi"/>
                <w:bCs/>
              </w:rPr>
              <w:t>s</w:t>
            </w:r>
            <w:r w:rsidRPr="001775B8">
              <w:rPr>
                <w:rFonts w:asciiTheme="majorHAnsi" w:hAnsiTheme="majorHAnsi" w:cstheme="majorHAnsi"/>
                <w:bCs/>
              </w:rPr>
              <w:t xml:space="preserve">tructural damage (due to storms etc.) </w:t>
            </w:r>
          </w:p>
          <w:p w14:paraId="4DFCC369" w14:textId="77777777" w:rsidR="00CF7B7C" w:rsidRPr="001775B8" w:rsidRDefault="00CF7B7C" w:rsidP="00CF7B7C">
            <w:pPr>
              <w:pStyle w:val="ListParagraph"/>
              <w:numPr>
                <w:ilvl w:val="0"/>
                <w:numId w:val="47"/>
              </w:numPr>
              <w:spacing w:before="120" w:after="120" w:line="240" w:lineRule="auto"/>
              <w:ind w:left="595" w:hanging="357"/>
              <w:contextualSpacing w:val="0"/>
              <w:rPr>
                <w:rFonts w:asciiTheme="majorHAnsi" w:hAnsiTheme="majorHAnsi" w:cstheme="majorHAnsi"/>
                <w:bCs/>
              </w:rPr>
            </w:pPr>
            <w:r w:rsidRPr="001775B8">
              <w:rPr>
                <w:rFonts w:asciiTheme="majorHAnsi" w:hAnsiTheme="majorHAnsi" w:cstheme="majorHAnsi"/>
                <w:bCs/>
              </w:rPr>
              <w:t xml:space="preserve">unauthorised removal of goods subject to biosecurity control </w:t>
            </w:r>
          </w:p>
          <w:p w14:paraId="24B3025D" w14:textId="77777777" w:rsidR="00CF7B7C" w:rsidRDefault="00CF7B7C" w:rsidP="00CF7B7C">
            <w:pPr>
              <w:pStyle w:val="ListParagraph"/>
              <w:numPr>
                <w:ilvl w:val="0"/>
                <w:numId w:val="47"/>
              </w:numPr>
              <w:spacing w:before="120" w:after="120" w:line="240" w:lineRule="auto"/>
              <w:ind w:left="595" w:hanging="357"/>
              <w:contextualSpacing w:val="0"/>
              <w:rPr>
                <w:rFonts w:asciiTheme="majorHAnsi" w:hAnsiTheme="majorHAnsi" w:cstheme="majorHAnsi"/>
                <w:bCs/>
              </w:rPr>
            </w:pPr>
            <w:r w:rsidRPr="001775B8">
              <w:rPr>
                <w:rFonts w:asciiTheme="majorHAnsi" w:hAnsiTheme="majorHAnsi" w:cstheme="majorHAnsi"/>
                <w:bCs/>
              </w:rPr>
              <w:t>spillages of goods subject to biosecurity control</w:t>
            </w:r>
          </w:p>
          <w:p w14:paraId="510AFE25" w14:textId="026E7325" w:rsidR="00CF7B7C" w:rsidRPr="00607399" w:rsidRDefault="00CF7B7C" w:rsidP="00CF7B7C">
            <w:pPr>
              <w:pStyle w:val="ListParagraph"/>
              <w:numPr>
                <w:ilvl w:val="0"/>
                <w:numId w:val="47"/>
              </w:numPr>
              <w:spacing w:before="120" w:after="120" w:line="240" w:lineRule="auto"/>
              <w:ind w:left="595" w:hanging="357"/>
              <w:contextualSpacing w:val="0"/>
              <w:rPr>
                <w:rFonts w:asciiTheme="majorHAnsi" w:hAnsiTheme="majorHAnsi" w:cstheme="majorHAnsi"/>
                <w:bCs/>
              </w:rPr>
            </w:pPr>
            <w:r w:rsidRPr="00607399">
              <w:rPr>
                <w:rFonts w:asciiTheme="majorHAnsi" w:hAnsiTheme="majorHAnsi" w:cstheme="majorHAnsi"/>
                <w:bCs/>
              </w:rPr>
              <w:t>sudden unavailability of an Accredited Person.</w:t>
            </w:r>
          </w:p>
        </w:tc>
        <w:tc>
          <w:tcPr>
            <w:tcW w:w="1268" w:type="pct"/>
            <w:tcBorders>
              <w:left w:val="nil"/>
              <w:right w:val="nil"/>
            </w:tcBorders>
          </w:tcPr>
          <w:p w14:paraId="1EB4E064" w14:textId="77777777" w:rsidR="00CF7B7C" w:rsidRPr="001775B8" w:rsidRDefault="00CF7B7C" w:rsidP="00CF7B7C">
            <w:pPr>
              <w:spacing w:beforeLines="40" w:before="96" w:afterLines="40" w:after="96" w:line="240" w:lineRule="auto"/>
              <w:rPr>
                <w:rFonts w:asciiTheme="majorHAnsi" w:hAnsiTheme="majorHAnsi" w:cstheme="majorHAnsi"/>
                <w:bCs/>
              </w:rPr>
            </w:pPr>
          </w:p>
          <w:p w14:paraId="1C110FBB" w14:textId="77777777" w:rsidR="00CF7B7C" w:rsidRPr="001775B8"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br/>
            </w:r>
            <w:r w:rsidRPr="001775B8">
              <w:rPr>
                <w:rFonts w:asciiTheme="majorHAnsi" w:hAnsiTheme="majorHAnsi" w:cstheme="majorHAnsi"/>
                <w:bCs/>
              </w:rPr>
              <w:br/>
            </w:r>
          </w:p>
          <w:p w14:paraId="559543A3" w14:textId="77777777" w:rsidR="00CF7B7C" w:rsidRPr="001775B8" w:rsidRDefault="00CF7B7C" w:rsidP="003B5D3A">
            <w:pPr>
              <w:pStyle w:val="ListParagraph"/>
              <w:numPr>
                <w:ilvl w:val="0"/>
                <w:numId w:val="47"/>
              </w:numPr>
              <w:spacing w:before="120" w:after="120" w:line="240" w:lineRule="auto"/>
              <w:ind w:left="595" w:hanging="357"/>
              <w:contextualSpacing w:val="0"/>
              <w:jc w:val="center"/>
              <w:rPr>
                <w:rFonts w:asciiTheme="majorHAnsi" w:hAnsiTheme="majorHAnsi" w:cstheme="majorHAnsi"/>
                <w:bCs/>
              </w:rPr>
            </w:pPr>
            <w:r w:rsidRPr="001775B8">
              <w:rPr>
                <w:rFonts w:asciiTheme="majorHAnsi" w:hAnsiTheme="majorHAnsi" w:cstheme="majorHAnsi"/>
                <w:bCs/>
              </w:rPr>
              <w:t>Major</w:t>
            </w:r>
          </w:p>
          <w:p w14:paraId="5A50A1B9" w14:textId="77777777" w:rsidR="00CF7B7C" w:rsidRPr="001775B8" w:rsidRDefault="00CF7B7C" w:rsidP="003B5D3A">
            <w:pPr>
              <w:pStyle w:val="ListParagraph"/>
              <w:numPr>
                <w:ilvl w:val="0"/>
                <w:numId w:val="47"/>
              </w:numPr>
              <w:spacing w:before="120" w:after="120" w:line="240" w:lineRule="auto"/>
              <w:ind w:left="595" w:hanging="357"/>
              <w:contextualSpacing w:val="0"/>
              <w:jc w:val="center"/>
              <w:rPr>
                <w:rFonts w:asciiTheme="majorHAnsi" w:hAnsiTheme="majorHAnsi" w:cstheme="majorHAnsi"/>
                <w:bCs/>
              </w:rPr>
            </w:pPr>
            <w:r w:rsidRPr="001775B8">
              <w:rPr>
                <w:rFonts w:asciiTheme="majorHAnsi" w:hAnsiTheme="majorHAnsi" w:cstheme="majorHAnsi"/>
                <w:bCs/>
              </w:rPr>
              <w:t>Major</w:t>
            </w:r>
          </w:p>
          <w:p w14:paraId="62592A6B" w14:textId="77777777" w:rsidR="00CF7B7C" w:rsidRPr="001775B8" w:rsidRDefault="00CF7B7C" w:rsidP="003B5D3A">
            <w:pPr>
              <w:pStyle w:val="ListParagraph"/>
              <w:numPr>
                <w:ilvl w:val="0"/>
                <w:numId w:val="47"/>
              </w:numPr>
              <w:spacing w:before="120" w:after="120" w:line="240" w:lineRule="auto"/>
              <w:ind w:left="595" w:hanging="357"/>
              <w:contextualSpacing w:val="0"/>
              <w:jc w:val="center"/>
              <w:rPr>
                <w:rFonts w:asciiTheme="majorHAnsi" w:hAnsiTheme="majorHAnsi" w:cstheme="majorHAnsi"/>
                <w:bCs/>
              </w:rPr>
            </w:pPr>
            <w:r w:rsidRPr="001775B8">
              <w:rPr>
                <w:rFonts w:asciiTheme="majorHAnsi" w:hAnsiTheme="majorHAnsi" w:cstheme="majorHAnsi"/>
                <w:bCs/>
              </w:rPr>
              <w:t>Major</w:t>
            </w:r>
          </w:p>
          <w:p w14:paraId="090904BC" w14:textId="77777777" w:rsidR="00CF7B7C" w:rsidRDefault="00CF7B7C" w:rsidP="003B5D3A">
            <w:pPr>
              <w:pStyle w:val="ListParagraph"/>
              <w:numPr>
                <w:ilvl w:val="0"/>
                <w:numId w:val="47"/>
              </w:numPr>
              <w:spacing w:before="120" w:after="120" w:line="240" w:lineRule="auto"/>
              <w:ind w:left="595" w:hanging="357"/>
              <w:contextualSpacing w:val="0"/>
              <w:jc w:val="center"/>
              <w:rPr>
                <w:rFonts w:asciiTheme="majorHAnsi" w:hAnsiTheme="majorHAnsi" w:cstheme="majorHAnsi"/>
                <w:bCs/>
              </w:rPr>
            </w:pPr>
            <w:r w:rsidRPr="001775B8">
              <w:rPr>
                <w:rFonts w:asciiTheme="majorHAnsi" w:hAnsiTheme="majorHAnsi" w:cstheme="majorHAnsi"/>
                <w:bCs/>
              </w:rPr>
              <w:t>Major</w:t>
            </w:r>
          </w:p>
          <w:p w14:paraId="2DC4C103" w14:textId="3A074CCE" w:rsidR="00CF7B7C" w:rsidRPr="00607399" w:rsidRDefault="00CF7B7C" w:rsidP="003B5D3A">
            <w:pPr>
              <w:pStyle w:val="ListParagraph"/>
              <w:numPr>
                <w:ilvl w:val="0"/>
                <w:numId w:val="47"/>
              </w:numPr>
              <w:spacing w:before="120" w:after="120" w:line="240" w:lineRule="auto"/>
              <w:ind w:left="595" w:hanging="357"/>
              <w:contextualSpacing w:val="0"/>
              <w:jc w:val="center"/>
              <w:rPr>
                <w:rFonts w:asciiTheme="majorHAnsi" w:hAnsiTheme="majorHAnsi" w:cstheme="majorHAnsi"/>
                <w:bCs/>
              </w:rPr>
            </w:pPr>
            <w:r w:rsidRPr="00607399">
              <w:rPr>
                <w:rFonts w:asciiTheme="majorHAnsi" w:hAnsiTheme="majorHAnsi" w:cstheme="majorHAnsi"/>
                <w:bCs/>
              </w:rPr>
              <w:t>Minor</w:t>
            </w:r>
          </w:p>
        </w:tc>
      </w:tr>
      <w:tr w:rsidR="00B467AF" w:rsidRPr="0055128E" w14:paraId="42603A4C" w14:textId="77777777" w:rsidTr="009676A8">
        <w:trPr>
          <w:cantSplit/>
          <w:trHeight w:val="523"/>
          <w:jc w:val="center"/>
        </w:trPr>
        <w:tc>
          <w:tcPr>
            <w:tcW w:w="3732" w:type="pct"/>
            <w:tcBorders>
              <w:left w:val="nil"/>
              <w:right w:val="nil"/>
            </w:tcBorders>
          </w:tcPr>
          <w:p w14:paraId="6C567FEF" w14:textId="66E77C07" w:rsidR="00B467AF" w:rsidRDefault="001562B4" w:rsidP="00B467AF">
            <w:pPr>
              <w:spacing w:after="120"/>
              <w:rPr>
                <w:rFonts w:asciiTheme="majorHAnsi" w:hAnsiTheme="majorHAnsi" w:cstheme="majorHAnsi"/>
                <w:bCs/>
              </w:rPr>
            </w:pPr>
            <w:r>
              <w:rPr>
                <w:rFonts w:asciiTheme="majorHAnsi" w:hAnsiTheme="majorHAnsi" w:cstheme="majorHAnsi"/>
                <w:bCs/>
              </w:rPr>
              <w:t>5.1</w:t>
            </w:r>
            <w:r w:rsidR="00CB1482">
              <w:rPr>
                <w:rFonts w:asciiTheme="majorHAnsi" w:hAnsiTheme="majorHAnsi" w:cstheme="majorHAnsi"/>
                <w:bCs/>
              </w:rPr>
              <w:t>3</w:t>
            </w:r>
          </w:p>
          <w:p w14:paraId="534CB8CE" w14:textId="77777777" w:rsidR="00B467AF" w:rsidRPr="009E7830" w:rsidRDefault="00B467AF" w:rsidP="00B467AF">
            <w:pPr>
              <w:spacing w:after="120"/>
              <w:rPr>
                <w:rFonts w:asciiTheme="majorHAnsi" w:hAnsiTheme="majorHAnsi" w:cstheme="majorHAnsi"/>
                <w:bCs/>
              </w:rPr>
            </w:pPr>
            <w:r w:rsidRPr="009E7830">
              <w:rPr>
                <w:rFonts w:asciiTheme="majorHAnsi" w:hAnsiTheme="majorHAnsi" w:cstheme="majorHAnsi"/>
                <w:bCs/>
              </w:rPr>
              <w:t xml:space="preserve">If there is </w:t>
            </w:r>
            <w:r>
              <w:rPr>
                <w:rFonts w:asciiTheme="majorHAnsi" w:hAnsiTheme="majorHAnsi" w:cstheme="majorHAnsi"/>
                <w:bCs/>
              </w:rPr>
              <w:t xml:space="preserve">any doubt as to whether goods: </w:t>
            </w:r>
          </w:p>
          <w:p w14:paraId="415A9519" w14:textId="77777777" w:rsidR="00B467AF" w:rsidRDefault="00B467AF" w:rsidP="00B467AF">
            <w:pPr>
              <w:pStyle w:val="ListParagraph"/>
              <w:numPr>
                <w:ilvl w:val="0"/>
                <w:numId w:val="48"/>
              </w:numPr>
              <w:spacing w:after="120" w:line="240" w:lineRule="auto"/>
              <w:ind w:left="601"/>
              <w:contextualSpacing w:val="0"/>
              <w:rPr>
                <w:rFonts w:asciiTheme="majorHAnsi" w:hAnsiTheme="majorHAnsi" w:cstheme="majorHAnsi"/>
                <w:bCs/>
              </w:rPr>
            </w:pPr>
            <w:r w:rsidRPr="00552E03">
              <w:rPr>
                <w:rFonts w:asciiTheme="majorHAnsi" w:hAnsiTheme="majorHAnsi" w:cstheme="majorHAnsi"/>
                <w:bCs/>
              </w:rPr>
              <w:t xml:space="preserve">are </w:t>
            </w:r>
            <w:r>
              <w:rPr>
                <w:rFonts w:asciiTheme="majorHAnsi" w:hAnsiTheme="majorHAnsi" w:cstheme="majorHAnsi"/>
                <w:bCs/>
              </w:rPr>
              <w:t xml:space="preserve">subject to biosecurity control </w:t>
            </w:r>
          </w:p>
          <w:p w14:paraId="4B16A6E4" w14:textId="77777777" w:rsidR="00B467AF" w:rsidRDefault="00B467AF" w:rsidP="00B467AF">
            <w:pPr>
              <w:pStyle w:val="ListParagraph"/>
              <w:numPr>
                <w:ilvl w:val="0"/>
                <w:numId w:val="48"/>
              </w:numPr>
              <w:spacing w:after="120" w:line="240" w:lineRule="auto"/>
              <w:ind w:left="601"/>
              <w:contextualSpacing w:val="0"/>
              <w:rPr>
                <w:rFonts w:asciiTheme="majorHAnsi" w:hAnsiTheme="majorHAnsi" w:cstheme="majorHAnsi"/>
                <w:bCs/>
              </w:rPr>
            </w:pPr>
            <w:r w:rsidRPr="00552E03">
              <w:rPr>
                <w:rFonts w:asciiTheme="majorHAnsi" w:hAnsiTheme="majorHAnsi" w:cstheme="majorHAnsi"/>
                <w:bCs/>
              </w:rPr>
              <w:t xml:space="preserve">remain </w:t>
            </w:r>
            <w:r>
              <w:rPr>
                <w:rFonts w:asciiTheme="majorHAnsi" w:hAnsiTheme="majorHAnsi" w:cstheme="majorHAnsi"/>
                <w:bCs/>
              </w:rPr>
              <w:t xml:space="preserve">subject to biosecurity control </w:t>
            </w:r>
          </w:p>
          <w:p w14:paraId="3F0D4541" w14:textId="77777777" w:rsidR="00B467AF" w:rsidRPr="00552E03" w:rsidRDefault="00B467AF" w:rsidP="00B467AF">
            <w:pPr>
              <w:pStyle w:val="ListParagraph"/>
              <w:numPr>
                <w:ilvl w:val="0"/>
                <w:numId w:val="48"/>
              </w:numPr>
              <w:spacing w:after="120" w:line="240" w:lineRule="auto"/>
              <w:ind w:left="601"/>
              <w:contextualSpacing w:val="0"/>
              <w:rPr>
                <w:rFonts w:asciiTheme="majorHAnsi" w:hAnsiTheme="majorHAnsi" w:cstheme="majorHAnsi"/>
                <w:bCs/>
              </w:rPr>
            </w:pPr>
            <w:r w:rsidRPr="00552E03">
              <w:rPr>
                <w:rFonts w:asciiTheme="majorHAnsi" w:hAnsiTheme="majorHAnsi" w:cstheme="majorHAnsi"/>
                <w:bCs/>
              </w:rPr>
              <w:t xml:space="preserve">become subject to biosecurity control </w:t>
            </w:r>
          </w:p>
          <w:p w14:paraId="52F9382C" w14:textId="7B26B2F0" w:rsidR="00B467AF" w:rsidRDefault="00B467AF" w:rsidP="00B467AF">
            <w:pPr>
              <w:spacing w:beforeLines="40" w:before="96" w:afterLines="40" w:after="96" w:line="240" w:lineRule="auto"/>
              <w:rPr>
                <w:rFonts w:asciiTheme="majorHAnsi" w:hAnsiTheme="majorHAnsi" w:cstheme="majorHAnsi"/>
                <w:bCs/>
              </w:rPr>
            </w:pPr>
            <w:r w:rsidRPr="009E7830">
              <w:rPr>
                <w:rFonts w:asciiTheme="majorHAnsi" w:hAnsiTheme="majorHAnsi" w:cstheme="majorHAnsi"/>
                <w:bCs/>
              </w:rPr>
              <w:t xml:space="preserve">then the goods must be </w:t>
            </w:r>
            <w:r>
              <w:rPr>
                <w:rFonts w:asciiTheme="majorHAnsi" w:hAnsiTheme="majorHAnsi" w:cstheme="majorHAnsi"/>
                <w:bCs/>
              </w:rPr>
              <w:t xml:space="preserve">handled in accordance with requirements for goods </w:t>
            </w:r>
            <w:r w:rsidRPr="009E7830">
              <w:rPr>
                <w:rFonts w:asciiTheme="majorHAnsi" w:hAnsiTheme="majorHAnsi" w:cstheme="majorHAnsi"/>
                <w:bCs/>
              </w:rPr>
              <w:t>subject to biosecurity control.</w:t>
            </w:r>
          </w:p>
        </w:tc>
        <w:tc>
          <w:tcPr>
            <w:tcW w:w="1268" w:type="pct"/>
            <w:tcBorders>
              <w:left w:val="nil"/>
              <w:right w:val="nil"/>
            </w:tcBorders>
            <w:vAlign w:val="center"/>
          </w:tcPr>
          <w:p w14:paraId="3DECD97C" w14:textId="55384FB4" w:rsidR="00B467AF" w:rsidRDefault="00B467AF"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w:t>
            </w:r>
          </w:p>
        </w:tc>
      </w:tr>
      <w:tr w:rsidR="009B7378" w:rsidRPr="0055128E" w14:paraId="311FAE48" w14:textId="77777777" w:rsidTr="009676A8">
        <w:trPr>
          <w:cantSplit/>
          <w:trHeight w:val="523"/>
          <w:jc w:val="center"/>
        </w:trPr>
        <w:tc>
          <w:tcPr>
            <w:tcW w:w="3732" w:type="pct"/>
            <w:tcBorders>
              <w:left w:val="nil"/>
              <w:right w:val="nil"/>
            </w:tcBorders>
          </w:tcPr>
          <w:p w14:paraId="276DC1B8" w14:textId="598E18B5" w:rsidR="009B7378" w:rsidRPr="00947C50" w:rsidRDefault="009B7378" w:rsidP="009B7378">
            <w:pPr>
              <w:spacing w:beforeLines="40" w:before="96" w:afterLines="40" w:after="96"/>
              <w:rPr>
                <w:rFonts w:asciiTheme="majorHAnsi" w:hAnsiTheme="majorHAnsi" w:cstheme="majorHAnsi"/>
                <w:bCs/>
              </w:rPr>
            </w:pPr>
            <w:r>
              <w:rPr>
                <w:rFonts w:asciiTheme="majorHAnsi" w:hAnsiTheme="majorHAnsi" w:cstheme="majorHAnsi"/>
                <w:bCs/>
              </w:rPr>
              <w:t>5.1</w:t>
            </w:r>
            <w:r w:rsidR="00CB1482">
              <w:rPr>
                <w:rFonts w:asciiTheme="majorHAnsi" w:hAnsiTheme="majorHAnsi" w:cstheme="majorHAnsi"/>
                <w:bCs/>
              </w:rPr>
              <w:t>4</w:t>
            </w:r>
          </w:p>
          <w:p w14:paraId="38AD8736" w14:textId="77777777" w:rsidR="009B7378" w:rsidRPr="00947C50" w:rsidRDefault="009B7378" w:rsidP="009B7378">
            <w:pPr>
              <w:autoSpaceDE w:val="0"/>
              <w:autoSpaceDN w:val="0"/>
              <w:spacing w:beforeLines="40" w:before="96" w:afterLines="40" w:after="96"/>
              <w:rPr>
                <w:rFonts w:asciiTheme="majorHAnsi" w:eastAsiaTheme="minorHAnsi" w:hAnsiTheme="majorHAnsi"/>
                <w:color w:val="auto"/>
              </w:rPr>
            </w:pPr>
            <w:r w:rsidRPr="00947C50">
              <w:rPr>
                <w:rFonts w:asciiTheme="majorHAnsi" w:hAnsiTheme="majorHAnsi"/>
              </w:rPr>
              <w:t>The BIP must notify the department in writing</w:t>
            </w:r>
            <w:r w:rsidRPr="00947C50">
              <w:rPr>
                <w:rFonts w:asciiTheme="majorHAnsi" w:hAnsiTheme="majorHAnsi"/>
                <w:b/>
                <w:bCs/>
                <w:color w:val="1F497D"/>
              </w:rPr>
              <w:t xml:space="preserve"> </w:t>
            </w:r>
            <w:r w:rsidRPr="00947C50">
              <w:rPr>
                <w:rFonts w:asciiTheme="majorHAnsi" w:hAnsiTheme="majorHAnsi"/>
              </w:rPr>
              <w:t>as soon as practicable within 15 days of any change in:</w:t>
            </w:r>
          </w:p>
          <w:p w14:paraId="7428F483" w14:textId="77777777" w:rsidR="009B7378" w:rsidRPr="00947C50" w:rsidRDefault="009B7378" w:rsidP="009B7378">
            <w:pPr>
              <w:pStyle w:val="ListParagraph"/>
              <w:numPr>
                <w:ilvl w:val="0"/>
                <w:numId w:val="65"/>
              </w:numPr>
              <w:rPr>
                <w:rFonts w:asciiTheme="majorHAnsi" w:hAnsiTheme="majorHAnsi"/>
              </w:rPr>
            </w:pPr>
            <w:r w:rsidRPr="00947C50">
              <w:rPr>
                <w:rFonts w:asciiTheme="majorHAnsi" w:hAnsiTheme="majorHAnsi"/>
              </w:rPr>
              <w:t xml:space="preserve">Persons in positions responsible for </w:t>
            </w:r>
            <w:r w:rsidRPr="00947C50">
              <w:rPr>
                <w:rFonts w:asciiTheme="majorHAnsi" w:hAnsiTheme="majorHAnsi"/>
                <w:lang w:val="en"/>
              </w:rPr>
              <w:t xml:space="preserve">controlling, directing, </w:t>
            </w:r>
            <w:proofErr w:type="gramStart"/>
            <w:r w:rsidRPr="00947C50">
              <w:rPr>
                <w:rFonts w:asciiTheme="majorHAnsi" w:hAnsiTheme="majorHAnsi"/>
                <w:lang w:val="en"/>
              </w:rPr>
              <w:t>enforcing</w:t>
            </w:r>
            <w:proofErr w:type="gramEnd"/>
            <w:r w:rsidRPr="00947C50">
              <w:rPr>
                <w:rFonts w:asciiTheme="majorHAnsi" w:hAnsiTheme="majorHAnsi"/>
                <w:lang w:val="en"/>
              </w:rPr>
              <w:t xml:space="preserve"> or monitoring people performing activities associated with the approved arrangement</w:t>
            </w:r>
          </w:p>
          <w:p w14:paraId="623933E2" w14:textId="77777777" w:rsidR="009B7378" w:rsidRPr="00947C50" w:rsidRDefault="009B7378" w:rsidP="009B7378">
            <w:pPr>
              <w:pStyle w:val="ListParagraph"/>
              <w:numPr>
                <w:ilvl w:val="0"/>
                <w:numId w:val="65"/>
              </w:numPr>
              <w:rPr>
                <w:rFonts w:asciiTheme="majorHAnsi" w:hAnsiTheme="majorHAnsi"/>
              </w:rPr>
            </w:pPr>
            <w:r w:rsidRPr="00947C50">
              <w:rPr>
                <w:rFonts w:asciiTheme="majorHAnsi" w:hAnsiTheme="majorHAnsi"/>
              </w:rPr>
              <w:t>BIP details, including:</w:t>
            </w:r>
          </w:p>
          <w:p w14:paraId="47884D54" w14:textId="77777777" w:rsidR="009B7378" w:rsidRPr="00947C50" w:rsidRDefault="009B7378" w:rsidP="009B7378">
            <w:pPr>
              <w:pStyle w:val="ListParagraph"/>
              <w:numPr>
                <w:ilvl w:val="1"/>
                <w:numId w:val="65"/>
              </w:numPr>
              <w:rPr>
                <w:rFonts w:asciiTheme="majorHAnsi" w:hAnsiTheme="majorHAnsi"/>
              </w:rPr>
            </w:pPr>
            <w:r w:rsidRPr="00947C50">
              <w:rPr>
                <w:rFonts w:asciiTheme="majorHAnsi" w:hAnsiTheme="majorHAnsi"/>
              </w:rPr>
              <w:t>entity name</w:t>
            </w:r>
          </w:p>
          <w:p w14:paraId="530B5C64" w14:textId="77777777" w:rsidR="009B7378" w:rsidRPr="00947C50" w:rsidRDefault="009B7378" w:rsidP="009B7378">
            <w:pPr>
              <w:pStyle w:val="ListParagraph"/>
              <w:numPr>
                <w:ilvl w:val="1"/>
                <w:numId w:val="65"/>
              </w:numPr>
              <w:rPr>
                <w:rFonts w:asciiTheme="majorHAnsi" w:hAnsiTheme="majorHAnsi"/>
              </w:rPr>
            </w:pPr>
            <w:r w:rsidRPr="00947C50">
              <w:rPr>
                <w:rFonts w:asciiTheme="majorHAnsi" w:hAnsiTheme="majorHAnsi"/>
              </w:rPr>
              <w:t>ABN or ACN</w:t>
            </w:r>
          </w:p>
          <w:p w14:paraId="75E4501A" w14:textId="77777777" w:rsidR="009B7378" w:rsidRPr="00947C50" w:rsidRDefault="009B7378" w:rsidP="009B7378">
            <w:pPr>
              <w:pStyle w:val="ListParagraph"/>
              <w:numPr>
                <w:ilvl w:val="1"/>
                <w:numId w:val="65"/>
              </w:numPr>
              <w:rPr>
                <w:rFonts w:asciiTheme="majorHAnsi" w:hAnsiTheme="majorHAnsi"/>
              </w:rPr>
            </w:pPr>
            <w:r w:rsidRPr="00947C50">
              <w:rPr>
                <w:rFonts w:asciiTheme="majorHAnsi" w:hAnsiTheme="majorHAnsi"/>
              </w:rPr>
              <w:t>postal address</w:t>
            </w:r>
          </w:p>
          <w:p w14:paraId="52E1E53D" w14:textId="77777777" w:rsidR="009B7378" w:rsidRPr="00947C50" w:rsidRDefault="009B7378" w:rsidP="009B7378">
            <w:pPr>
              <w:pStyle w:val="ListParagraph"/>
              <w:numPr>
                <w:ilvl w:val="1"/>
                <w:numId w:val="65"/>
              </w:numPr>
              <w:rPr>
                <w:rFonts w:asciiTheme="majorHAnsi" w:hAnsiTheme="majorHAnsi"/>
              </w:rPr>
            </w:pPr>
            <w:r w:rsidRPr="00947C50">
              <w:rPr>
                <w:rFonts w:asciiTheme="majorHAnsi" w:hAnsiTheme="majorHAnsi"/>
              </w:rPr>
              <w:t>email address</w:t>
            </w:r>
          </w:p>
          <w:p w14:paraId="13DE9FDE" w14:textId="77777777" w:rsidR="009B7378" w:rsidRPr="009B7378" w:rsidRDefault="009B7378" w:rsidP="009B7378">
            <w:pPr>
              <w:pStyle w:val="ListParagraph"/>
              <w:numPr>
                <w:ilvl w:val="1"/>
                <w:numId w:val="65"/>
              </w:numPr>
              <w:rPr>
                <w:rFonts w:asciiTheme="majorHAnsi" w:hAnsiTheme="majorHAnsi" w:cstheme="majorHAnsi"/>
                <w:bCs/>
              </w:rPr>
            </w:pPr>
            <w:r w:rsidRPr="00947C50">
              <w:rPr>
                <w:rFonts w:asciiTheme="majorHAnsi" w:hAnsiTheme="majorHAnsi"/>
              </w:rPr>
              <w:t>facsimile number</w:t>
            </w:r>
          </w:p>
          <w:p w14:paraId="0C26471B" w14:textId="5EA7BC2C" w:rsidR="009B7378" w:rsidRDefault="009B7378" w:rsidP="009B7378">
            <w:pPr>
              <w:pStyle w:val="ListParagraph"/>
              <w:numPr>
                <w:ilvl w:val="1"/>
                <w:numId w:val="65"/>
              </w:numPr>
              <w:rPr>
                <w:rFonts w:asciiTheme="majorHAnsi" w:hAnsiTheme="majorHAnsi" w:cstheme="majorHAnsi"/>
                <w:bCs/>
              </w:rPr>
            </w:pPr>
            <w:r w:rsidRPr="00947C50">
              <w:rPr>
                <w:rFonts w:asciiTheme="majorHAnsi" w:hAnsiTheme="majorHAnsi"/>
              </w:rPr>
              <w:t>telephone number.</w:t>
            </w:r>
          </w:p>
        </w:tc>
        <w:tc>
          <w:tcPr>
            <w:tcW w:w="1268" w:type="pct"/>
            <w:tcBorders>
              <w:left w:val="nil"/>
              <w:right w:val="nil"/>
            </w:tcBorders>
            <w:vAlign w:val="center"/>
          </w:tcPr>
          <w:p w14:paraId="33828471" w14:textId="5E6B8C72" w:rsidR="009B7378" w:rsidRDefault="00C03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CF7B7C" w:rsidRPr="0055128E" w14:paraId="38235DDD" w14:textId="77777777" w:rsidTr="00833C04">
        <w:trPr>
          <w:trHeight w:val="523"/>
          <w:jc w:val="center"/>
        </w:trPr>
        <w:tc>
          <w:tcPr>
            <w:tcW w:w="3732" w:type="pct"/>
            <w:tcBorders>
              <w:left w:val="nil"/>
              <w:right w:val="nil"/>
            </w:tcBorders>
          </w:tcPr>
          <w:p w14:paraId="7728E9E3" w14:textId="3B56B929" w:rsidR="00CF7B7C"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w:t>
            </w:r>
            <w:r w:rsidR="009B7378">
              <w:rPr>
                <w:rFonts w:asciiTheme="majorHAnsi" w:hAnsiTheme="majorHAnsi" w:cstheme="majorHAnsi"/>
                <w:bCs/>
              </w:rPr>
              <w:t>1</w:t>
            </w:r>
            <w:r w:rsidR="00CB1482">
              <w:rPr>
                <w:rFonts w:asciiTheme="majorHAnsi" w:hAnsiTheme="majorHAnsi" w:cstheme="majorHAnsi"/>
                <w:bCs/>
              </w:rPr>
              <w:t>5</w:t>
            </w:r>
          </w:p>
          <w:p w14:paraId="55C3400C" w14:textId="77A1A8B1" w:rsidR="00CF7B7C" w:rsidRPr="001775B8"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t xml:space="preserve">The BIP must notify the department in writing as soon as practicable within 15 </w:t>
            </w:r>
            <w:r>
              <w:rPr>
                <w:rFonts w:asciiTheme="majorHAnsi" w:hAnsiTheme="majorHAnsi" w:cstheme="majorHAnsi"/>
                <w:bCs/>
              </w:rPr>
              <w:t xml:space="preserve">working </w:t>
            </w:r>
            <w:r w:rsidRPr="001775B8">
              <w:rPr>
                <w:rFonts w:asciiTheme="majorHAnsi" w:hAnsiTheme="majorHAnsi" w:cstheme="majorHAnsi"/>
                <w:bCs/>
              </w:rPr>
              <w:t>days of becoming aware of any change of status, not previously been notified to the department, of the BIP or their associates relevant to the operation of the AA in relation to any of the following matters:</w:t>
            </w:r>
          </w:p>
          <w:p w14:paraId="3E7CFB2E" w14:textId="77777777" w:rsidR="00CF7B7C" w:rsidRPr="001775B8" w:rsidRDefault="00CF7B7C" w:rsidP="00CF7B7C">
            <w:pPr>
              <w:pStyle w:val="ListParagraph"/>
              <w:numPr>
                <w:ilvl w:val="0"/>
                <w:numId w:val="48"/>
              </w:numPr>
              <w:spacing w:before="120" w:after="120" w:line="240" w:lineRule="auto"/>
              <w:ind w:left="595" w:hanging="357"/>
              <w:contextualSpacing w:val="0"/>
              <w:rPr>
                <w:rFonts w:asciiTheme="majorHAnsi" w:hAnsiTheme="majorHAnsi" w:cstheme="majorHAnsi"/>
                <w:bCs/>
                <w:i/>
              </w:rPr>
            </w:pPr>
            <w:r w:rsidRPr="001775B8">
              <w:rPr>
                <w:rFonts w:asciiTheme="majorHAnsi" w:hAnsiTheme="majorHAnsi" w:cstheme="majorHAnsi"/>
                <w:bCs/>
              </w:rPr>
              <w:lastRenderedPageBreak/>
              <w:t xml:space="preserve">conviction of an offence or order to pay a pecuniary penalty under the </w:t>
            </w:r>
            <w:r w:rsidRPr="001775B8">
              <w:rPr>
                <w:rFonts w:asciiTheme="majorHAnsi" w:hAnsiTheme="majorHAnsi" w:cstheme="majorHAnsi"/>
                <w:bCs/>
                <w:i/>
              </w:rPr>
              <w:t xml:space="preserve">Biosecurity Act 2015, Quarantine Act 1908, Customs Act 1901, the Criminal </w:t>
            </w:r>
            <w:proofErr w:type="gramStart"/>
            <w:r w:rsidRPr="001775B8">
              <w:rPr>
                <w:rFonts w:asciiTheme="majorHAnsi" w:hAnsiTheme="majorHAnsi" w:cstheme="majorHAnsi"/>
                <w:bCs/>
                <w:i/>
              </w:rPr>
              <w:t>Code</w:t>
            </w:r>
            <w:proofErr w:type="gramEnd"/>
            <w:r w:rsidRPr="001775B8">
              <w:rPr>
                <w:rFonts w:asciiTheme="majorHAnsi" w:hAnsiTheme="majorHAnsi" w:cstheme="majorHAnsi"/>
                <w:bCs/>
                <w:i/>
              </w:rPr>
              <w:t xml:space="preserve"> or the Crimes Act 1914</w:t>
            </w:r>
          </w:p>
          <w:p w14:paraId="4CA59152" w14:textId="3C8BA71E" w:rsidR="00CF7B7C" w:rsidRDefault="00CF7B7C" w:rsidP="00CF7B7C">
            <w:pPr>
              <w:pStyle w:val="ListParagraph"/>
              <w:numPr>
                <w:ilvl w:val="0"/>
                <w:numId w:val="48"/>
              </w:numPr>
              <w:spacing w:before="120" w:after="120" w:line="240" w:lineRule="auto"/>
              <w:ind w:left="595" w:hanging="357"/>
              <w:contextualSpacing w:val="0"/>
              <w:rPr>
                <w:rFonts w:asciiTheme="majorHAnsi" w:hAnsiTheme="majorHAnsi" w:cstheme="majorHAnsi"/>
                <w:bCs/>
                <w:i/>
              </w:rPr>
            </w:pPr>
            <w:r w:rsidRPr="001775B8">
              <w:rPr>
                <w:rFonts w:asciiTheme="majorHAnsi" w:hAnsiTheme="majorHAnsi" w:cstheme="majorHAnsi"/>
                <w:bCs/>
              </w:rPr>
              <w:t xml:space="preserve">debt to the Commonwealth that is more than 28 days overdue under the </w:t>
            </w:r>
            <w:r w:rsidRPr="001775B8">
              <w:rPr>
                <w:rFonts w:asciiTheme="majorHAnsi" w:hAnsiTheme="majorHAnsi" w:cstheme="majorHAnsi"/>
                <w:bCs/>
                <w:i/>
              </w:rPr>
              <w:t xml:space="preserve">Biosecurity Act 2015, Quarantine Act 1908, Customs Act 1901, the Criminal </w:t>
            </w:r>
            <w:proofErr w:type="gramStart"/>
            <w:r w:rsidRPr="001775B8">
              <w:rPr>
                <w:rFonts w:asciiTheme="majorHAnsi" w:hAnsiTheme="majorHAnsi" w:cstheme="majorHAnsi"/>
                <w:bCs/>
                <w:i/>
              </w:rPr>
              <w:t>Code</w:t>
            </w:r>
            <w:proofErr w:type="gramEnd"/>
            <w:r w:rsidRPr="001775B8">
              <w:rPr>
                <w:rFonts w:asciiTheme="majorHAnsi" w:hAnsiTheme="majorHAnsi" w:cstheme="majorHAnsi"/>
                <w:bCs/>
                <w:i/>
              </w:rPr>
              <w:t xml:space="preserve"> or the Crimes Act 1914</w:t>
            </w:r>
          </w:p>
          <w:p w14:paraId="70F1DD37" w14:textId="06C4DC3F" w:rsidR="00CF7B7C" w:rsidRPr="00607399" w:rsidRDefault="00CF7B7C" w:rsidP="00CF7B7C">
            <w:pPr>
              <w:pStyle w:val="ListParagraph"/>
              <w:numPr>
                <w:ilvl w:val="0"/>
                <w:numId w:val="48"/>
              </w:numPr>
              <w:spacing w:before="120" w:after="120" w:line="240" w:lineRule="auto"/>
              <w:ind w:left="595" w:hanging="357"/>
              <w:contextualSpacing w:val="0"/>
              <w:rPr>
                <w:rFonts w:asciiTheme="majorHAnsi" w:hAnsiTheme="majorHAnsi" w:cstheme="majorHAnsi"/>
                <w:bCs/>
                <w:i/>
              </w:rPr>
            </w:pPr>
            <w:r w:rsidRPr="00607399">
              <w:rPr>
                <w:rFonts w:asciiTheme="majorHAnsi" w:hAnsiTheme="majorHAnsi" w:cstheme="majorHAnsi"/>
                <w:bCs/>
              </w:rPr>
              <w:t xml:space="preserve">refusal, involuntary suspension, involuntary revocation/cancelation or involuntary variation of an Import Permit, quarantine approved premises, compliance agreement or AA under the </w:t>
            </w:r>
            <w:r w:rsidRPr="00607399">
              <w:rPr>
                <w:rFonts w:asciiTheme="majorHAnsi" w:hAnsiTheme="majorHAnsi" w:cstheme="majorHAnsi"/>
                <w:bCs/>
                <w:i/>
              </w:rPr>
              <w:t>Quarantine Act 1908</w:t>
            </w:r>
            <w:r w:rsidRPr="00607399">
              <w:rPr>
                <w:rFonts w:asciiTheme="majorHAnsi" w:hAnsiTheme="majorHAnsi" w:cstheme="majorHAnsi"/>
                <w:bCs/>
              </w:rPr>
              <w:t xml:space="preserve"> or the </w:t>
            </w:r>
            <w:r w:rsidRPr="00607399">
              <w:rPr>
                <w:rFonts w:asciiTheme="majorHAnsi" w:hAnsiTheme="majorHAnsi" w:cstheme="majorHAnsi"/>
                <w:bCs/>
                <w:i/>
              </w:rPr>
              <w:t>Biosecurity Act 2015</w:t>
            </w:r>
            <w:r w:rsidRPr="00607399">
              <w:rPr>
                <w:rFonts w:asciiTheme="majorHAnsi" w:hAnsiTheme="majorHAnsi" w:cstheme="majorHAnsi"/>
                <w:bCs/>
              </w:rPr>
              <w:t>.</w:t>
            </w:r>
          </w:p>
        </w:tc>
        <w:tc>
          <w:tcPr>
            <w:tcW w:w="1268" w:type="pct"/>
            <w:tcBorders>
              <w:left w:val="nil"/>
              <w:right w:val="nil"/>
            </w:tcBorders>
            <w:vAlign w:val="center"/>
          </w:tcPr>
          <w:p w14:paraId="09C07A60" w14:textId="486B83FC" w:rsidR="00CF7B7C" w:rsidRPr="0055128E"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lastRenderedPageBreak/>
              <w:t>Critical</w:t>
            </w:r>
          </w:p>
        </w:tc>
      </w:tr>
      <w:tr w:rsidR="00CF7B7C" w:rsidRPr="0055128E" w14:paraId="3C82EE84" w14:textId="77777777" w:rsidTr="006E4982">
        <w:trPr>
          <w:cantSplit/>
          <w:trHeight w:val="523"/>
          <w:jc w:val="center"/>
        </w:trPr>
        <w:tc>
          <w:tcPr>
            <w:tcW w:w="3732" w:type="pct"/>
            <w:tcBorders>
              <w:left w:val="nil"/>
              <w:right w:val="nil"/>
            </w:tcBorders>
          </w:tcPr>
          <w:p w14:paraId="3FD4A879" w14:textId="090A38D5" w:rsidR="00CF7B7C" w:rsidRPr="00415638" w:rsidRDefault="00CF7B7C" w:rsidP="00CF7B7C">
            <w:pPr>
              <w:spacing w:beforeLines="40" w:before="96" w:afterLines="40" w:after="96" w:line="240" w:lineRule="auto"/>
              <w:rPr>
                <w:rFonts w:asciiTheme="majorHAnsi" w:hAnsiTheme="majorHAnsi" w:cstheme="majorHAnsi"/>
                <w:b/>
                <w:bCs/>
              </w:rPr>
            </w:pPr>
            <w:r w:rsidRPr="00607399">
              <w:rPr>
                <w:rFonts w:asciiTheme="majorHAnsi" w:hAnsiTheme="majorHAnsi" w:cstheme="majorHAnsi"/>
                <w:bCs/>
              </w:rPr>
              <w:t>5.1</w:t>
            </w:r>
            <w:r w:rsidR="00CB1482">
              <w:rPr>
                <w:rFonts w:asciiTheme="majorHAnsi" w:hAnsiTheme="majorHAnsi" w:cstheme="majorHAnsi"/>
                <w:bCs/>
              </w:rPr>
              <w:t>6</w:t>
            </w:r>
          </w:p>
          <w:p w14:paraId="5C5004D8" w14:textId="48AF70E1" w:rsidR="00CF7B7C" w:rsidRPr="0055128E" w:rsidRDefault="00CF7B7C" w:rsidP="00CF7B7C">
            <w:pPr>
              <w:spacing w:beforeLines="40" w:before="96" w:afterLines="40" w:after="96" w:line="240" w:lineRule="auto"/>
              <w:rPr>
                <w:rFonts w:asciiTheme="majorHAnsi" w:hAnsiTheme="majorHAnsi" w:cstheme="majorHAnsi"/>
                <w:bCs/>
              </w:rPr>
            </w:pPr>
            <w:r w:rsidRPr="001775B8">
              <w:rPr>
                <w:rFonts w:asciiTheme="majorHAnsi" w:hAnsiTheme="majorHAnsi" w:cstheme="majorHAnsi"/>
                <w:bCs/>
              </w:rPr>
              <w:t xml:space="preserve">Departmental auditors or department approved auditors, must be provided with facilities and assistance as requested, and any required documents, </w:t>
            </w:r>
            <w:proofErr w:type="gramStart"/>
            <w:r w:rsidRPr="001775B8">
              <w:rPr>
                <w:rFonts w:asciiTheme="majorHAnsi" w:hAnsiTheme="majorHAnsi" w:cstheme="majorHAnsi"/>
                <w:bCs/>
              </w:rPr>
              <w:t>records</w:t>
            </w:r>
            <w:proofErr w:type="gramEnd"/>
            <w:r w:rsidRPr="001775B8">
              <w:rPr>
                <w:rFonts w:asciiTheme="majorHAnsi" w:hAnsiTheme="majorHAnsi" w:cstheme="majorHAnsi"/>
                <w:bCs/>
              </w:rPr>
              <w:t xml:space="preserve"> or things relevant to the audit.</w:t>
            </w:r>
          </w:p>
        </w:tc>
        <w:tc>
          <w:tcPr>
            <w:tcW w:w="1268" w:type="pct"/>
            <w:tcBorders>
              <w:left w:val="nil"/>
              <w:right w:val="nil"/>
            </w:tcBorders>
            <w:vAlign w:val="center"/>
          </w:tcPr>
          <w:p w14:paraId="04D6B8F9" w14:textId="7B1BEC61" w:rsidR="00CF7B7C" w:rsidRPr="0055128E"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Major or critical</w:t>
            </w:r>
          </w:p>
        </w:tc>
      </w:tr>
      <w:tr w:rsidR="00CF7B7C" w:rsidRPr="0055128E" w14:paraId="76D7A954" w14:textId="77777777" w:rsidTr="009B7378">
        <w:trPr>
          <w:cantSplit/>
          <w:trHeight w:val="523"/>
          <w:jc w:val="center"/>
        </w:trPr>
        <w:tc>
          <w:tcPr>
            <w:tcW w:w="3732" w:type="pct"/>
            <w:tcBorders>
              <w:left w:val="nil"/>
              <w:right w:val="nil"/>
            </w:tcBorders>
          </w:tcPr>
          <w:p w14:paraId="4B909884" w14:textId="6832FC2C" w:rsidR="00CF7B7C" w:rsidRPr="001775B8"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5.1</w:t>
            </w:r>
            <w:r w:rsidR="00CB1482">
              <w:rPr>
                <w:rFonts w:asciiTheme="majorHAnsi" w:hAnsiTheme="majorHAnsi" w:cstheme="majorHAnsi"/>
                <w:bCs/>
              </w:rPr>
              <w:t>7</w:t>
            </w:r>
          </w:p>
          <w:p w14:paraId="0B7A436A" w14:textId="639E0A2E" w:rsidR="00CF7B7C" w:rsidRPr="00415638"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The department must be notified of any Reportable Biosecurity Incident as soon as practicable, in accordance with the determination made by the Director of Biosecurity.</w:t>
            </w:r>
          </w:p>
        </w:tc>
        <w:tc>
          <w:tcPr>
            <w:tcW w:w="1268" w:type="pct"/>
            <w:tcBorders>
              <w:left w:val="nil"/>
              <w:right w:val="nil"/>
            </w:tcBorders>
            <w:vAlign w:val="center"/>
          </w:tcPr>
          <w:p w14:paraId="6C78F18D" w14:textId="1EAADD0C" w:rsidR="00CF7B7C" w:rsidRPr="0055128E" w:rsidRDefault="00CF7B7C" w:rsidP="00CF7B7C">
            <w:pPr>
              <w:spacing w:beforeLines="40" w:before="96" w:afterLines="40" w:after="96" w:line="240" w:lineRule="auto"/>
              <w:jc w:val="center"/>
              <w:rPr>
                <w:rFonts w:asciiTheme="majorHAnsi" w:hAnsiTheme="majorHAnsi" w:cstheme="majorHAnsi"/>
                <w:bCs/>
              </w:rPr>
            </w:pPr>
            <w:r>
              <w:rPr>
                <w:rFonts w:asciiTheme="majorHAnsi" w:hAnsiTheme="majorHAnsi" w:cstheme="majorHAnsi"/>
                <w:bCs/>
              </w:rPr>
              <w:t>Critical</w:t>
            </w:r>
          </w:p>
        </w:tc>
      </w:tr>
      <w:tr w:rsidR="00CF7B7C" w:rsidRPr="0055128E" w14:paraId="589115B0" w14:textId="77777777" w:rsidTr="00833C04">
        <w:trPr>
          <w:trHeight w:val="523"/>
          <w:jc w:val="center"/>
        </w:trPr>
        <w:tc>
          <w:tcPr>
            <w:tcW w:w="3732" w:type="pct"/>
            <w:tcBorders>
              <w:left w:val="nil"/>
              <w:right w:val="nil"/>
            </w:tcBorders>
          </w:tcPr>
          <w:p w14:paraId="510A3808" w14:textId="0701180D" w:rsidR="00CF7B7C" w:rsidRPr="001775B8" w:rsidRDefault="00CF7B7C" w:rsidP="00CF7B7C">
            <w:pPr>
              <w:spacing w:beforeLines="40" w:before="96" w:afterLines="40" w:after="96" w:line="240" w:lineRule="auto"/>
              <w:rPr>
                <w:rFonts w:asciiTheme="majorHAnsi" w:hAnsiTheme="majorHAnsi" w:cstheme="majorHAnsi"/>
                <w:bCs/>
              </w:rPr>
            </w:pPr>
            <w:r>
              <w:rPr>
                <w:rFonts w:asciiTheme="majorHAnsi" w:hAnsiTheme="majorHAnsi" w:cstheme="majorHAnsi"/>
                <w:bCs/>
              </w:rPr>
              <w:t>5.1</w:t>
            </w:r>
            <w:r w:rsidR="00CB1482">
              <w:rPr>
                <w:rFonts w:asciiTheme="majorHAnsi" w:hAnsiTheme="majorHAnsi" w:cstheme="majorHAnsi"/>
                <w:bCs/>
              </w:rPr>
              <w:t>8</w:t>
            </w:r>
          </w:p>
          <w:p w14:paraId="5A94B8D6" w14:textId="737D650C" w:rsidR="00CF7B7C" w:rsidRPr="00415638" w:rsidRDefault="00CF7B7C" w:rsidP="00CF7B7C">
            <w:pPr>
              <w:spacing w:beforeLines="40" w:before="96" w:afterLines="40" w:after="96" w:line="240" w:lineRule="auto"/>
              <w:rPr>
                <w:rFonts w:asciiTheme="majorHAnsi" w:hAnsiTheme="majorHAnsi" w:cstheme="majorHAnsi"/>
                <w:b/>
                <w:bCs/>
              </w:rPr>
            </w:pPr>
            <w:r w:rsidRPr="001775B8">
              <w:rPr>
                <w:rFonts w:asciiTheme="majorHAnsi" w:hAnsiTheme="majorHAnsi" w:cstheme="majorHAnsi"/>
                <w:bCs/>
              </w:rPr>
              <w:t>Department approved auditors must be permitted to collect evidence of compliance and noncompliance with AA requirements through actions including the copying of documents and taking of photographs.</w:t>
            </w:r>
          </w:p>
        </w:tc>
        <w:tc>
          <w:tcPr>
            <w:tcW w:w="1268" w:type="pct"/>
            <w:tcBorders>
              <w:left w:val="nil"/>
              <w:right w:val="nil"/>
            </w:tcBorders>
            <w:vAlign w:val="center"/>
          </w:tcPr>
          <w:p w14:paraId="1683C7B5" w14:textId="293C85ED" w:rsidR="00CF7B7C" w:rsidRPr="0055128E" w:rsidRDefault="00CF7B7C" w:rsidP="00CF7B7C">
            <w:pPr>
              <w:spacing w:beforeLines="40" w:before="96" w:afterLines="40" w:after="96" w:line="240" w:lineRule="auto"/>
              <w:jc w:val="center"/>
              <w:rPr>
                <w:rFonts w:asciiTheme="majorHAnsi" w:hAnsiTheme="majorHAnsi" w:cstheme="majorHAnsi"/>
                <w:bCs/>
              </w:rPr>
            </w:pPr>
            <w:r w:rsidRPr="001775B8">
              <w:rPr>
                <w:rFonts w:asciiTheme="majorHAnsi" w:hAnsiTheme="majorHAnsi" w:cstheme="majorHAnsi"/>
                <w:bCs/>
              </w:rPr>
              <w:t>Major or critical</w:t>
            </w:r>
          </w:p>
        </w:tc>
      </w:tr>
    </w:tbl>
    <w:p w14:paraId="3441F4FB" w14:textId="77777777" w:rsidR="00630148" w:rsidRPr="00A32B0C" w:rsidRDefault="00630148" w:rsidP="00FA7EDF"/>
    <w:sectPr w:rsidR="00630148" w:rsidRPr="00A32B0C" w:rsidSect="00FF771F">
      <w:headerReference w:type="default" r:id="rId17"/>
      <w:footerReference w:type="default" r:id="rId18"/>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875D" w14:textId="77777777" w:rsidR="008F45D2" w:rsidRDefault="008F45D2" w:rsidP="00F2586E">
      <w:pPr>
        <w:spacing w:after="0" w:line="240" w:lineRule="auto"/>
      </w:pPr>
      <w:r>
        <w:separator/>
      </w:r>
    </w:p>
    <w:p w14:paraId="6B52E5B5" w14:textId="77777777" w:rsidR="008F45D2" w:rsidRDefault="008F45D2"/>
  </w:endnote>
  <w:endnote w:type="continuationSeparator" w:id="0">
    <w:p w14:paraId="3AEDEDB8" w14:textId="77777777" w:rsidR="008F45D2" w:rsidRDefault="008F45D2" w:rsidP="00F2586E">
      <w:pPr>
        <w:spacing w:after="0" w:line="240" w:lineRule="auto"/>
      </w:pPr>
      <w:r>
        <w:continuationSeparator/>
      </w:r>
    </w:p>
    <w:p w14:paraId="54C590B2" w14:textId="77777777" w:rsidR="008F45D2" w:rsidRDefault="008F45D2"/>
  </w:endnote>
  <w:endnote w:type="continuationNotice" w:id="1">
    <w:p w14:paraId="339C8434" w14:textId="77777777" w:rsidR="008F45D2" w:rsidRDefault="008F4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31E694F7" w14:textId="77777777" w:rsidR="00F42C2E" w:rsidRPr="00ED7078" w:rsidRDefault="00F42C2E"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F42C2E" w14:paraId="7EFD1586" w14:textId="77777777" w:rsidTr="006E4D68">
              <w:tc>
                <w:tcPr>
                  <w:tcW w:w="4856" w:type="dxa"/>
                </w:tcPr>
                <w:p w14:paraId="75ED95F4" w14:textId="3A496A14" w:rsidR="00F42C2E" w:rsidRDefault="00F42C2E" w:rsidP="00525E08">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1.</w:t>
                  </w:r>
                  <w:r w:rsidR="00525E08">
                    <w:rPr>
                      <w:rFonts w:asciiTheme="majorHAnsi" w:hAnsiTheme="majorHAnsi" w:cstheme="majorHAnsi"/>
                      <w:sz w:val="20"/>
                      <w:szCs w:val="20"/>
                    </w:rPr>
                    <w:t>1</w:t>
                  </w:r>
                </w:p>
              </w:tc>
              <w:tc>
                <w:tcPr>
                  <w:tcW w:w="4857" w:type="dxa"/>
                </w:tcPr>
                <w:p w14:paraId="369EA3C2" w14:textId="77777777" w:rsidR="00F42C2E" w:rsidRDefault="00F42C2E"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145A28">
                    <w:rPr>
                      <w:rFonts w:asciiTheme="majorHAnsi" w:hAnsiTheme="majorHAnsi" w:cstheme="majorHAnsi"/>
                      <w:noProof/>
                      <w:sz w:val="20"/>
                      <w:szCs w:val="20"/>
                    </w:rPr>
                    <w:t>10</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145A28">
                    <w:rPr>
                      <w:rFonts w:asciiTheme="majorHAnsi" w:hAnsiTheme="majorHAnsi" w:cstheme="majorHAnsi"/>
                      <w:noProof/>
                      <w:sz w:val="20"/>
                      <w:szCs w:val="20"/>
                    </w:rPr>
                    <w:t>10</w:t>
                  </w:r>
                  <w:r w:rsidRPr="00ED7078">
                    <w:rPr>
                      <w:rFonts w:asciiTheme="majorHAnsi" w:hAnsiTheme="majorHAnsi" w:cstheme="majorHAnsi"/>
                      <w:sz w:val="20"/>
                      <w:szCs w:val="20"/>
                    </w:rPr>
                    <w:fldChar w:fldCharType="end"/>
                  </w:r>
                </w:p>
              </w:tc>
            </w:tr>
          </w:tbl>
          <w:p w14:paraId="4E2FC3E5" w14:textId="50847696" w:rsidR="00F42C2E" w:rsidRPr="006E4D68" w:rsidRDefault="008F45D2"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2162" w14:textId="77777777" w:rsidR="008F45D2" w:rsidRDefault="008F45D2" w:rsidP="00F2586E">
      <w:pPr>
        <w:spacing w:after="0" w:line="240" w:lineRule="auto"/>
      </w:pPr>
      <w:r>
        <w:separator/>
      </w:r>
    </w:p>
    <w:p w14:paraId="2C657EF3" w14:textId="77777777" w:rsidR="008F45D2" w:rsidRDefault="008F45D2"/>
  </w:footnote>
  <w:footnote w:type="continuationSeparator" w:id="0">
    <w:p w14:paraId="159A2B88" w14:textId="77777777" w:rsidR="008F45D2" w:rsidRDefault="008F45D2" w:rsidP="00F2586E">
      <w:pPr>
        <w:spacing w:after="0" w:line="240" w:lineRule="auto"/>
      </w:pPr>
      <w:r>
        <w:continuationSeparator/>
      </w:r>
    </w:p>
    <w:p w14:paraId="5684CF88" w14:textId="77777777" w:rsidR="008F45D2" w:rsidRDefault="008F45D2"/>
  </w:footnote>
  <w:footnote w:type="continuationNotice" w:id="1">
    <w:p w14:paraId="4FF044F9" w14:textId="77777777" w:rsidR="008F45D2" w:rsidRDefault="008F4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6DF" w14:textId="33889729" w:rsidR="00F42C2E" w:rsidRPr="006E4D68" w:rsidRDefault="00F42C2E"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AA for 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34080C"/>
    <w:multiLevelType w:val="hybridMultilevel"/>
    <w:tmpl w:val="D5BC05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B5142"/>
    <w:multiLevelType w:val="hybridMultilevel"/>
    <w:tmpl w:val="38E4E686"/>
    <w:lvl w:ilvl="0" w:tplc="2AB0EFEE">
      <w:start w:val="1"/>
      <w:numFmt w:val="bullet"/>
      <w:lvlText w:val=""/>
      <w:lvlJc w:val="left"/>
      <w:pPr>
        <w:ind w:left="360" w:hanging="360"/>
      </w:pPr>
      <w:rPr>
        <w:rFonts w:ascii="Symbol" w:hAnsi="Symbol" w:hint="default"/>
        <w:sz w:val="20"/>
        <w:szCs w:val="22"/>
      </w:rPr>
    </w:lvl>
    <w:lvl w:ilvl="1" w:tplc="60B09E12">
      <w:start w:val="1"/>
      <w:numFmt w:val="bullet"/>
      <w:lvlText w:val="o"/>
      <w:lvlJc w:val="left"/>
      <w:pPr>
        <w:ind w:left="1440" w:hanging="360"/>
      </w:pPr>
      <w:rPr>
        <w:rFonts w:ascii="Courier New" w:hAnsi="Courier New" w:cs="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F7A64"/>
    <w:multiLevelType w:val="hybridMultilevel"/>
    <w:tmpl w:val="16ECABB2"/>
    <w:lvl w:ilvl="0" w:tplc="38FED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E2468"/>
    <w:multiLevelType w:val="hybridMultilevel"/>
    <w:tmpl w:val="A006A3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19170D"/>
    <w:multiLevelType w:val="hybridMultilevel"/>
    <w:tmpl w:val="DFB84F26"/>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26B81"/>
    <w:multiLevelType w:val="hybridMultilevel"/>
    <w:tmpl w:val="1D60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13C75"/>
    <w:multiLevelType w:val="hybridMultilevel"/>
    <w:tmpl w:val="3A563FD6"/>
    <w:lvl w:ilvl="0" w:tplc="E52EA4D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0254E0"/>
    <w:multiLevelType w:val="hybridMultilevel"/>
    <w:tmpl w:val="DB447F80"/>
    <w:lvl w:ilvl="0" w:tplc="BA64FDC0">
      <w:numFmt w:val="bullet"/>
      <w:lvlText w:val="•"/>
      <w:lvlJc w:val="left"/>
      <w:pPr>
        <w:ind w:left="720" w:hanging="720"/>
      </w:pPr>
      <w:rPr>
        <w:rFonts w:ascii="Calibri" w:eastAsia="Calibri" w:hAnsi="Calibri"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044E3"/>
    <w:multiLevelType w:val="hybridMultilevel"/>
    <w:tmpl w:val="DFC292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481AAE"/>
    <w:multiLevelType w:val="hybridMultilevel"/>
    <w:tmpl w:val="AA16BD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8F3E9A"/>
    <w:multiLevelType w:val="hybridMultilevel"/>
    <w:tmpl w:val="D3C4B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C30948"/>
    <w:multiLevelType w:val="hybridMultilevel"/>
    <w:tmpl w:val="4ECC7A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051A2B"/>
    <w:multiLevelType w:val="hybridMultilevel"/>
    <w:tmpl w:val="489A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56C69"/>
    <w:multiLevelType w:val="hybridMultilevel"/>
    <w:tmpl w:val="8902A2EA"/>
    <w:lvl w:ilvl="0" w:tplc="72EA1BF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CE426A"/>
    <w:multiLevelType w:val="hybridMultilevel"/>
    <w:tmpl w:val="29448A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1FF9475A"/>
    <w:multiLevelType w:val="hybridMultilevel"/>
    <w:tmpl w:val="272AC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AD758B"/>
    <w:multiLevelType w:val="hybridMultilevel"/>
    <w:tmpl w:val="3E9083FC"/>
    <w:lvl w:ilvl="0" w:tplc="F446C6E2">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4707BD"/>
    <w:multiLevelType w:val="hybridMultilevel"/>
    <w:tmpl w:val="272AC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4A4459"/>
    <w:multiLevelType w:val="hybridMultilevel"/>
    <w:tmpl w:val="84D68E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BE53BE"/>
    <w:multiLevelType w:val="hybridMultilevel"/>
    <w:tmpl w:val="6CB4BF7A"/>
    <w:lvl w:ilvl="0" w:tplc="C986C4C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DF3A8E"/>
    <w:multiLevelType w:val="hybridMultilevel"/>
    <w:tmpl w:val="5C1C2E9A"/>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266971"/>
    <w:multiLevelType w:val="hybridMultilevel"/>
    <w:tmpl w:val="B85EA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3D557F"/>
    <w:multiLevelType w:val="hybridMultilevel"/>
    <w:tmpl w:val="7D64D5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5E0213"/>
    <w:multiLevelType w:val="hybridMultilevel"/>
    <w:tmpl w:val="68D2A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FC5737"/>
    <w:multiLevelType w:val="hybridMultilevel"/>
    <w:tmpl w:val="C16615EC"/>
    <w:lvl w:ilvl="0" w:tplc="606EF36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A62FC1"/>
    <w:multiLevelType w:val="hybridMultilevel"/>
    <w:tmpl w:val="C83643A2"/>
    <w:lvl w:ilvl="0" w:tplc="AC78F642">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7D182E"/>
    <w:multiLevelType w:val="hybridMultilevel"/>
    <w:tmpl w:val="6E067F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A852D31"/>
    <w:multiLevelType w:val="hybridMultilevel"/>
    <w:tmpl w:val="69BCA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3E22E9"/>
    <w:multiLevelType w:val="hybridMultilevel"/>
    <w:tmpl w:val="95F8C7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C4603E"/>
    <w:multiLevelType w:val="hybridMultilevel"/>
    <w:tmpl w:val="68F88CCC"/>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48D83838"/>
    <w:multiLevelType w:val="hybridMultilevel"/>
    <w:tmpl w:val="5AF017B4"/>
    <w:lvl w:ilvl="0" w:tplc="B758295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CAD5132"/>
    <w:multiLevelType w:val="hybridMultilevel"/>
    <w:tmpl w:val="43383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942AD5"/>
    <w:multiLevelType w:val="hybridMultilevel"/>
    <w:tmpl w:val="8A0A3940"/>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7" w15:restartNumberingAfterBreak="0">
    <w:nsid w:val="4FED74C3"/>
    <w:multiLevelType w:val="hybridMultilevel"/>
    <w:tmpl w:val="B4CEC7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27529C0"/>
    <w:multiLevelType w:val="hybridMultilevel"/>
    <w:tmpl w:val="EE62E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7C6DA7"/>
    <w:multiLevelType w:val="hybridMultilevel"/>
    <w:tmpl w:val="75000732"/>
    <w:lvl w:ilvl="0" w:tplc="66786BF4">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E5277A"/>
    <w:multiLevelType w:val="hybridMultilevel"/>
    <w:tmpl w:val="B8CAC49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AF10CC"/>
    <w:multiLevelType w:val="hybridMultilevel"/>
    <w:tmpl w:val="582A9E04"/>
    <w:lvl w:ilvl="0" w:tplc="8DB6EF7E">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190B90"/>
    <w:multiLevelType w:val="hybridMultilevel"/>
    <w:tmpl w:val="0FBE56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900490"/>
    <w:multiLevelType w:val="hybridMultilevel"/>
    <w:tmpl w:val="8C226C40"/>
    <w:lvl w:ilvl="0" w:tplc="4EC8AD78">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995990"/>
    <w:multiLevelType w:val="hybridMultilevel"/>
    <w:tmpl w:val="AC70CC28"/>
    <w:lvl w:ilvl="0" w:tplc="D398FE8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7" w15:restartNumberingAfterBreak="0">
    <w:nsid w:val="5BFD4A53"/>
    <w:multiLevelType w:val="hybridMultilevel"/>
    <w:tmpl w:val="4A702AC4"/>
    <w:lvl w:ilvl="0" w:tplc="0C090017">
      <w:start w:val="1"/>
      <w:numFmt w:val="lowerLetter"/>
      <w:lvlText w:val="%1)"/>
      <w:lvlJc w:val="left"/>
      <w:pPr>
        <w:ind w:left="762" w:hanging="360"/>
      </w:pPr>
      <w:rPr>
        <w:rFonts w:hint="default"/>
      </w:r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48" w15:restartNumberingAfterBreak="0">
    <w:nsid w:val="5F4F348A"/>
    <w:multiLevelType w:val="hybridMultilevel"/>
    <w:tmpl w:val="839C9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25237D"/>
    <w:multiLevelType w:val="hybridMultilevel"/>
    <w:tmpl w:val="33CA1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9B2A24"/>
    <w:multiLevelType w:val="hybridMultilevel"/>
    <w:tmpl w:val="FEF6AA1A"/>
    <w:lvl w:ilvl="0" w:tplc="5A5E3C34">
      <w:start w:val="1"/>
      <w:numFmt w:val="bullet"/>
      <w:lvlText w:val=""/>
      <w:lvlJc w:val="left"/>
      <w:pPr>
        <w:ind w:left="0" w:hanging="360"/>
      </w:pPr>
      <w:rPr>
        <w:rFonts w:ascii="Symbol" w:hAnsi="Symbol" w:hint="default"/>
        <w:sz w:val="20"/>
        <w:szCs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1" w15:restartNumberingAfterBreak="0">
    <w:nsid w:val="678077E0"/>
    <w:multiLevelType w:val="hybridMultilevel"/>
    <w:tmpl w:val="273A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9E6075"/>
    <w:multiLevelType w:val="hybridMultilevel"/>
    <w:tmpl w:val="7F70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9911DD"/>
    <w:multiLevelType w:val="hybridMultilevel"/>
    <w:tmpl w:val="0E1E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010BA1"/>
    <w:multiLevelType w:val="hybridMultilevel"/>
    <w:tmpl w:val="AB02FEAA"/>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5F746E"/>
    <w:multiLevelType w:val="hybridMultilevel"/>
    <w:tmpl w:val="6D9087E8"/>
    <w:lvl w:ilvl="0" w:tplc="6A1E8EAA">
      <w:start w:val="1"/>
      <w:numFmt w:val="lowerLetter"/>
      <w:lvlText w:val="%1)"/>
      <w:lvlJc w:val="left"/>
      <w:pPr>
        <w:ind w:left="786" w:hanging="360"/>
      </w:pPr>
      <w:rPr>
        <w:rFonts w:hint="default"/>
      </w:rPr>
    </w:lvl>
    <w:lvl w:ilvl="1" w:tplc="0C090003" w:tentative="1">
      <w:start w:val="1"/>
      <w:numFmt w:val="lowerLetter"/>
      <w:lvlText w:val="%2."/>
      <w:lvlJc w:val="left"/>
      <w:pPr>
        <w:ind w:left="1506" w:hanging="360"/>
      </w:pPr>
    </w:lvl>
    <w:lvl w:ilvl="2" w:tplc="0C090005" w:tentative="1">
      <w:start w:val="1"/>
      <w:numFmt w:val="lowerRoman"/>
      <w:lvlText w:val="%3."/>
      <w:lvlJc w:val="right"/>
      <w:pPr>
        <w:ind w:left="2226" w:hanging="180"/>
      </w:pPr>
    </w:lvl>
    <w:lvl w:ilvl="3" w:tplc="0C090001" w:tentative="1">
      <w:start w:val="1"/>
      <w:numFmt w:val="decimal"/>
      <w:lvlText w:val="%4."/>
      <w:lvlJc w:val="left"/>
      <w:pPr>
        <w:ind w:left="2946" w:hanging="360"/>
      </w:pPr>
    </w:lvl>
    <w:lvl w:ilvl="4" w:tplc="0C090003" w:tentative="1">
      <w:start w:val="1"/>
      <w:numFmt w:val="lowerLetter"/>
      <w:lvlText w:val="%5."/>
      <w:lvlJc w:val="left"/>
      <w:pPr>
        <w:ind w:left="3666" w:hanging="360"/>
      </w:pPr>
    </w:lvl>
    <w:lvl w:ilvl="5" w:tplc="0C090005" w:tentative="1">
      <w:start w:val="1"/>
      <w:numFmt w:val="lowerRoman"/>
      <w:lvlText w:val="%6."/>
      <w:lvlJc w:val="right"/>
      <w:pPr>
        <w:ind w:left="4386" w:hanging="180"/>
      </w:pPr>
    </w:lvl>
    <w:lvl w:ilvl="6" w:tplc="0C090001" w:tentative="1">
      <w:start w:val="1"/>
      <w:numFmt w:val="decimal"/>
      <w:lvlText w:val="%7."/>
      <w:lvlJc w:val="left"/>
      <w:pPr>
        <w:ind w:left="5106" w:hanging="360"/>
      </w:pPr>
    </w:lvl>
    <w:lvl w:ilvl="7" w:tplc="0C090003" w:tentative="1">
      <w:start w:val="1"/>
      <w:numFmt w:val="lowerLetter"/>
      <w:lvlText w:val="%8."/>
      <w:lvlJc w:val="left"/>
      <w:pPr>
        <w:ind w:left="5826" w:hanging="360"/>
      </w:pPr>
    </w:lvl>
    <w:lvl w:ilvl="8" w:tplc="0C090005" w:tentative="1">
      <w:start w:val="1"/>
      <w:numFmt w:val="lowerRoman"/>
      <w:lvlText w:val="%9."/>
      <w:lvlJc w:val="right"/>
      <w:pPr>
        <w:ind w:left="6546" w:hanging="180"/>
      </w:pPr>
    </w:lvl>
  </w:abstractNum>
  <w:abstractNum w:abstractNumId="56" w15:restartNumberingAfterBreak="0">
    <w:nsid w:val="6EA619FE"/>
    <w:multiLevelType w:val="hybridMultilevel"/>
    <w:tmpl w:val="DBF4C17E"/>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7" w15:restartNumberingAfterBreak="0">
    <w:nsid w:val="70F231C2"/>
    <w:multiLevelType w:val="hybridMultilevel"/>
    <w:tmpl w:val="1116E2C8"/>
    <w:lvl w:ilvl="0" w:tplc="53241B7E">
      <w:start w:val="1"/>
      <w:numFmt w:val="lowerLetter"/>
      <w:lvlText w:val="%1)"/>
      <w:lvlJc w:val="left"/>
      <w:pPr>
        <w:ind w:left="360" w:hanging="360"/>
      </w:pPr>
    </w:lvl>
    <w:lvl w:ilvl="1" w:tplc="0C090019">
      <w:start w:val="1"/>
      <w:numFmt w:val="lowerLetter"/>
      <w:lvlText w:val="%2."/>
      <w:lvlJc w:val="left"/>
      <w:pPr>
        <w:tabs>
          <w:tab w:val="num" w:pos="1080"/>
        </w:tabs>
        <w:ind w:left="1080" w:hanging="360"/>
      </w:pPr>
      <w:rPr>
        <w:rFonts w:hint="default"/>
      </w:rPr>
    </w:lvl>
    <w:lvl w:ilvl="2" w:tplc="0C09001B">
      <w:start w:val="1"/>
      <w:numFmt w:val="decimal"/>
      <w:lvlText w:val="%3."/>
      <w:lvlJc w:val="left"/>
      <w:pPr>
        <w:tabs>
          <w:tab w:val="num" w:pos="1800"/>
        </w:tabs>
        <w:ind w:left="1800" w:hanging="360"/>
      </w:pPr>
      <w:rPr>
        <w:rFonts w:hint="default"/>
      </w:r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58"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9E76E2"/>
    <w:multiLevelType w:val="hybridMultilevel"/>
    <w:tmpl w:val="BF28D9F4"/>
    <w:lvl w:ilvl="0" w:tplc="0534F996">
      <w:start w:val="1"/>
      <w:numFmt w:val="lowerLetter"/>
      <w:lvlText w:val="%1)"/>
      <w:lvlJc w:val="left"/>
      <w:pPr>
        <w:ind w:left="360" w:hanging="360"/>
      </w:pPr>
      <w:rPr>
        <w:rFonts w:asciiTheme="majorHAnsi" w:eastAsia="Calibri" w:hAnsiTheme="majorHAnsi"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38A382E"/>
    <w:multiLevelType w:val="hybridMultilevel"/>
    <w:tmpl w:val="0302D6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40A0217"/>
    <w:multiLevelType w:val="hybridMultilevel"/>
    <w:tmpl w:val="DA1C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9A1106"/>
    <w:multiLevelType w:val="hybridMultilevel"/>
    <w:tmpl w:val="6044AF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1B389A"/>
    <w:multiLevelType w:val="hybridMultilevel"/>
    <w:tmpl w:val="F13409FC"/>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31"/>
  </w:num>
  <w:num w:numId="2">
    <w:abstractNumId w:val="57"/>
  </w:num>
  <w:num w:numId="3">
    <w:abstractNumId w:val="36"/>
  </w:num>
  <w:num w:numId="4">
    <w:abstractNumId w:val="55"/>
  </w:num>
  <w:num w:numId="5">
    <w:abstractNumId w:val="33"/>
  </w:num>
  <w:num w:numId="6">
    <w:abstractNumId w:val="39"/>
  </w:num>
  <w:num w:numId="7">
    <w:abstractNumId w:val="26"/>
  </w:num>
  <w:num w:numId="8">
    <w:abstractNumId w:val="14"/>
  </w:num>
  <w:num w:numId="9">
    <w:abstractNumId w:val="42"/>
  </w:num>
  <w:num w:numId="10">
    <w:abstractNumId w:val="60"/>
  </w:num>
  <w:num w:numId="11">
    <w:abstractNumId w:val="10"/>
  </w:num>
  <w:num w:numId="12">
    <w:abstractNumId w:val="4"/>
  </w:num>
  <w:num w:numId="13">
    <w:abstractNumId w:val="20"/>
  </w:num>
  <w:num w:numId="14">
    <w:abstractNumId w:val="2"/>
  </w:num>
  <w:num w:numId="15">
    <w:abstractNumId w:val="62"/>
  </w:num>
  <w:num w:numId="16">
    <w:abstractNumId w:val="41"/>
  </w:num>
  <w:num w:numId="17">
    <w:abstractNumId w:val="21"/>
  </w:num>
  <w:num w:numId="18">
    <w:abstractNumId w:val="50"/>
  </w:num>
  <w:num w:numId="19">
    <w:abstractNumId w:val="46"/>
  </w:num>
  <w:num w:numId="20">
    <w:abstractNumId w:val="18"/>
  </w:num>
  <w:num w:numId="21">
    <w:abstractNumId w:val="7"/>
  </w:num>
  <w:num w:numId="22">
    <w:abstractNumId w:val="34"/>
  </w:num>
  <w:num w:numId="23">
    <w:abstractNumId w:val="12"/>
  </w:num>
  <w:num w:numId="24">
    <w:abstractNumId w:val="52"/>
  </w:num>
  <w:num w:numId="25">
    <w:abstractNumId w:val="22"/>
  </w:num>
  <w:num w:numId="26">
    <w:abstractNumId w:val="5"/>
  </w:num>
  <w:num w:numId="27">
    <w:abstractNumId w:val="8"/>
  </w:num>
  <w:num w:numId="28">
    <w:abstractNumId w:val="54"/>
  </w:num>
  <w:num w:numId="29">
    <w:abstractNumId w:val="27"/>
  </w:num>
  <w:num w:numId="30">
    <w:abstractNumId w:val="43"/>
  </w:num>
  <w:num w:numId="31">
    <w:abstractNumId w:val="32"/>
  </w:num>
  <w:num w:numId="32">
    <w:abstractNumId w:val="15"/>
  </w:num>
  <w:num w:numId="33">
    <w:abstractNumId w:val="6"/>
  </w:num>
  <w:num w:numId="34">
    <w:abstractNumId w:val="3"/>
  </w:num>
  <w:num w:numId="35">
    <w:abstractNumId w:val="24"/>
  </w:num>
  <w:num w:numId="36">
    <w:abstractNumId w:val="1"/>
  </w:num>
  <w:num w:numId="37">
    <w:abstractNumId w:val="17"/>
  </w:num>
  <w:num w:numId="38">
    <w:abstractNumId w:val="59"/>
  </w:num>
  <w:num w:numId="39">
    <w:abstractNumId w:val="37"/>
  </w:num>
  <w:num w:numId="40">
    <w:abstractNumId w:val="19"/>
  </w:num>
  <w:num w:numId="41">
    <w:abstractNumId w:val="23"/>
  </w:num>
  <w:num w:numId="42">
    <w:abstractNumId w:val="53"/>
  </w:num>
  <w:num w:numId="43">
    <w:abstractNumId w:val="49"/>
  </w:num>
  <w:num w:numId="44">
    <w:abstractNumId w:val="25"/>
  </w:num>
  <w:num w:numId="45">
    <w:abstractNumId w:val="0"/>
  </w:num>
  <w:num w:numId="46">
    <w:abstractNumId w:val="40"/>
  </w:num>
  <w:num w:numId="47">
    <w:abstractNumId w:val="58"/>
  </w:num>
  <w:num w:numId="48">
    <w:abstractNumId w:val="28"/>
  </w:num>
  <w:num w:numId="49">
    <w:abstractNumId w:val="29"/>
  </w:num>
  <w:num w:numId="50">
    <w:abstractNumId w:val="56"/>
  </w:num>
  <w:num w:numId="51">
    <w:abstractNumId w:val="9"/>
  </w:num>
  <w:num w:numId="52">
    <w:abstractNumId w:val="35"/>
  </w:num>
  <w:num w:numId="53">
    <w:abstractNumId w:val="13"/>
  </w:num>
  <w:num w:numId="54">
    <w:abstractNumId w:val="48"/>
  </w:num>
  <w:num w:numId="55">
    <w:abstractNumId w:val="51"/>
  </w:num>
  <w:num w:numId="56">
    <w:abstractNumId w:val="47"/>
  </w:num>
  <w:num w:numId="57">
    <w:abstractNumId w:val="30"/>
  </w:num>
  <w:num w:numId="58">
    <w:abstractNumId w:val="64"/>
  </w:num>
  <w:num w:numId="59">
    <w:abstractNumId w:val="44"/>
  </w:num>
  <w:num w:numId="60">
    <w:abstractNumId w:val="63"/>
  </w:num>
  <w:num w:numId="61">
    <w:abstractNumId w:val="11"/>
  </w:num>
  <w:num w:numId="62">
    <w:abstractNumId w:val="45"/>
  </w:num>
  <w:num w:numId="63">
    <w:abstractNumId w:val="61"/>
  </w:num>
  <w:num w:numId="64">
    <w:abstractNumId w:val="38"/>
  </w:num>
  <w:num w:numId="65">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DD"/>
    <w:rsid w:val="00000314"/>
    <w:rsid w:val="00000533"/>
    <w:rsid w:val="00001A8E"/>
    <w:rsid w:val="00002317"/>
    <w:rsid w:val="00003AB2"/>
    <w:rsid w:val="00005288"/>
    <w:rsid w:val="000058C2"/>
    <w:rsid w:val="000079BF"/>
    <w:rsid w:val="0001125D"/>
    <w:rsid w:val="000115BF"/>
    <w:rsid w:val="000127E1"/>
    <w:rsid w:val="000134F4"/>
    <w:rsid w:val="0001462D"/>
    <w:rsid w:val="0001468A"/>
    <w:rsid w:val="00015684"/>
    <w:rsid w:val="00016994"/>
    <w:rsid w:val="00021D11"/>
    <w:rsid w:val="00021F98"/>
    <w:rsid w:val="00022294"/>
    <w:rsid w:val="0002397E"/>
    <w:rsid w:val="00024114"/>
    <w:rsid w:val="00024368"/>
    <w:rsid w:val="00026F0C"/>
    <w:rsid w:val="00027052"/>
    <w:rsid w:val="000270B7"/>
    <w:rsid w:val="000277F9"/>
    <w:rsid w:val="00027B7D"/>
    <w:rsid w:val="00034A01"/>
    <w:rsid w:val="000351FD"/>
    <w:rsid w:val="00035508"/>
    <w:rsid w:val="000361CE"/>
    <w:rsid w:val="00036E3F"/>
    <w:rsid w:val="00037882"/>
    <w:rsid w:val="00040237"/>
    <w:rsid w:val="00041149"/>
    <w:rsid w:val="0004120F"/>
    <w:rsid w:val="000413B3"/>
    <w:rsid w:val="00043B2B"/>
    <w:rsid w:val="00044184"/>
    <w:rsid w:val="0004552C"/>
    <w:rsid w:val="00045FE2"/>
    <w:rsid w:val="00046557"/>
    <w:rsid w:val="00046A27"/>
    <w:rsid w:val="00047725"/>
    <w:rsid w:val="00051234"/>
    <w:rsid w:val="00053D04"/>
    <w:rsid w:val="00054E01"/>
    <w:rsid w:val="0005601D"/>
    <w:rsid w:val="00060A3D"/>
    <w:rsid w:val="000625CE"/>
    <w:rsid w:val="000642CE"/>
    <w:rsid w:val="000656D9"/>
    <w:rsid w:val="00066AEB"/>
    <w:rsid w:val="00067626"/>
    <w:rsid w:val="00070723"/>
    <w:rsid w:val="00071F62"/>
    <w:rsid w:val="000720AD"/>
    <w:rsid w:val="00072A55"/>
    <w:rsid w:val="000745A6"/>
    <w:rsid w:val="00076D60"/>
    <w:rsid w:val="00077E77"/>
    <w:rsid w:val="00082ADD"/>
    <w:rsid w:val="000838E2"/>
    <w:rsid w:val="0008493B"/>
    <w:rsid w:val="0008793F"/>
    <w:rsid w:val="000907F6"/>
    <w:rsid w:val="000912A3"/>
    <w:rsid w:val="000915A8"/>
    <w:rsid w:val="00091991"/>
    <w:rsid w:val="0009503F"/>
    <w:rsid w:val="00097052"/>
    <w:rsid w:val="00097431"/>
    <w:rsid w:val="00097994"/>
    <w:rsid w:val="00097BE7"/>
    <w:rsid w:val="00097CAE"/>
    <w:rsid w:val="000A001C"/>
    <w:rsid w:val="000A0834"/>
    <w:rsid w:val="000A0F7D"/>
    <w:rsid w:val="000A3A22"/>
    <w:rsid w:val="000A6B95"/>
    <w:rsid w:val="000A6E91"/>
    <w:rsid w:val="000B049C"/>
    <w:rsid w:val="000B0EF3"/>
    <w:rsid w:val="000B23E8"/>
    <w:rsid w:val="000B399E"/>
    <w:rsid w:val="000B3AB6"/>
    <w:rsid w:val="000B3C63"/>
    <w:rsid w:val="000B3FFB"/>
    <w:rsid w:val="000B73D1"/>
    <w:rsid w:val="000B7666"/>
    <w:rsid w:val="000C1D69"/>
    <w:rsid w:val="000C1F60"/>
    <w:rsid w:val="000C2519"/>
    <w:rsid w:val="000C42AD"/>
    <w:rsid w:val="000C6C89"/>
    <w:rsid w:val="000C712D"/>
    <w:rsid w:val="000D0094"/>
    <w:rsid w:val="000D2BA2"/>
    <w:rsid w:val="000D3128"/>
    <w:rsid w:val="000D35CA"/>
    <w:rsid w:val="000D3B8F"/>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5314"/>
    <w:rsid w:val="0010693C"/>
    <w:rsid w:val="00106E2D"/>
    <w:rsid w:val="001077D3"/>
    <w:rsid w:val="00110BF3"/>
    <w:rsid w:val="00111916"/>
    <w:rsid w:val="001130B1"/>
    <w:rsid w:val="001133AD"/>
    <w:rsid w:val="001143F7"/>
    <w:rsid w:val="0011492C"/>
    <w:rsid w:val="00115E74"/>
    <w:rsid w:val="00116F8E"/>
    <w:rsid w:val="00120DD7"/>
    <w:rsid w:val="00122AA0"/>
    <w:rsid w:val="00122C5C"/>
    <w:rsid w:val="001233DF"/>
    <w:rsid w:val="00123755"/>
    <w:rsid w:val="00123844"/>
    <w:rsid w:val="001261E2"/>
    <w:rsid w:val="00127253"/>
    <w:rsid w:val="00127A87"/>
    <w:rsid w:val="001303AD"/>
    <w:rsid w:val="00130C15"/>
    <w:rsid w:val="00131F0F"/>
    <w:rsid w:val="00132238"/>
    <w:rsid w:val="001371E3"/>
    <w:rsid w:val="0014360E"/>
    <w:rsid w:val="00143D59"/>
    <w:rsid w:val="00145A28"/>
    <w:rsid w:val="0014644C"/>
    <w:rsid w:val="00146D6E"/>
    <w:rsid w:val="00146DF8"/>
    <w:rsid w:val="00152528"/>
    <w:rsid w:val="001526D0"/>
    <w:rsid w:val="00153091"/>
    <w:rsid w:val="00153F0C"/>
    <w:rsid w:val="001545B8"/>
    <w:rsid w:val="00154F42"/>
    <w:rsid w:val="001562B4"/>
    <w:rsid w:val="00156C3A"/>
    <w:rsid w:val="00157BB4"/>
    <w:rsid w:val="00160CAB"/>
    <w:rsid w:val="0016223A"/>
    <w:rsid w:val="001625BD"/>
    <w:rsid w:val="00162818"/>
    <w:rsid w:val="00162B1E"/>
    <w:rsid w:val="00162CE7"/>
    <w:rsid w:val="00167D93"/>
    <w:rsid w:val="00172223"/>
    <w:rsid w:val="00172EC7"/>
    <w:rsid w:val="00173588"/>
    <w:rsid w:val="00176D72"/>
    <w:rsid w:val="00176F16"/>
    <w:rsid w:val="001774D1"/>
    <w:rsid w:val="0018068C"/>
    <w:rsid w:val="0018102C"/>
    <w:rsid w:val="0018236F"/>
    <w:rsid w:val="00182D1D"/>
    <w:rsid w:val="0018301F"/>
    <w:rsid w:val="00185A5A"/>
    <w:rsid w:val="00186AC0"/>
    <w:rsid w:val="00190FF0"/>
    <w:rsid w:val="0019132C"/>
    <w:rsid w:val="001913BB"/>
    <w:rsid w:val="001918BB"/>
    <w:rsid w:val="00192085"/>
    <w:rsid w:val="001924F8"/>
    <w:rsid w:val="00193B19"/>
    <w:rsid w:val="0019419E"/>
    <w:rsid w:val="00194723"/>
    <w:rsid w:val="00194BEE"/>
    <w:rsid w:val="00195286"/>
    <w:rsid w:val="00195F6A"/>
    <w:rsid w:val="00197344"/>
    <w:rsid w:val="001A0381"/>
    <w:rsid w:val="001A160B"/>
    <w:rsid w:val="001A2860"/>
    <w:rsid w:val="001A2A93"/>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D7CAE"/>
    <w:rsid w:val="001E015D"/>
    <w:rsid w:val="001E01D1"/>
    <w:rsid w:val="001E0831"/>
    <w:rsid w:val="001E21A1"/>
    <w:rsid w:val="001E38BA"/>
    <w:rsid w:val="001E45E0"/>
    <w:rsid w:val="001E4615"/>
    <w:rsid w:val="001E4D55"/>
    <w:rsid w:val="001E5E82"/>
    <w:rsid w:val="001E675F"/>
    <w:rsid w:val="001E6959"/>
    <w:rsid w:val="001F18EF"/>
    <w:rsid w:val="001F2896"/>
    <w:rsid w:val="001F2996"/>
    <w:rsid w:val="001F5736"/>
    <w:rsid w:val="001F790A"/>
    <w:rsid w:val="0020092A"/>
    <w:rsid w:val="0020124A"/>
    <w:rsid w:val="002017E3"/>
    <w:rsid w:val="002019C1"/>
    <w:rsid w:val="00203671"/>
    <w:rsid w:val="0020580B"/>
    <w:rsid w:val="00205C77"/>
    <w:rsid w:val="0020727E"/>
    <w:rsid w:val="0020786E"/>
    <w:rsid w:val="00207C4C"/>
    <w:rsid w:val="0021336D"/>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34D"/>
    <w:rsid w:val="002754A6"/>
    <w:rsid w:val="002771B8"/>
    <w:rsid w:val="002775A3"/>
    <w:rsid w:val="00282909"/>
    <w:rsid w:val="00283137"/>
    <w:rsid w:val="00283B09"/>
    <w:rsid w:val="00283D05"/>
    <w:rsid w:val="00284458"/>
    <w:rsid w:val="0028470A"/>
    <w:rsid w:val="00286211"/>
    <w:rsid w:val="00286A44"/>
    <w:rsid w:val="00286C44"/>
    <w:rsid w:val="00286C56"/>
    <w:rsid w:val="00293BE4"/>
    <w:rsid w:val="00297CBA"/>
    <w:rsid w:val="002A04A5"/>
    <w:rsid w:val="002A08FB"/>
    <w:rsid w:val="002A133B"/>
    <w:rsid w:val="002A169F"/>
    <w:rsid w:val="002A18A5"/>
    <w:rsid w:val="002A3DF4"/>
    <w:rsid w:val="002A4624"/>
    <w:rsid w:val="002A49E5"/>
    <w:rsid w:val="002A69E5"/>
    <w:rsid w:val="002A6AD8"/>
    <w:rsid w:val="002A7E91"/>
    <w:rsid w:val="002B1009"/>
    <w:rsid w:val="002B1FEB"/>
    <w:rsid w:val="002B37E9"/>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D30"/>
    <w:rsid w:val="002D6F9E"/>
    <w:rsid w:val="002D73B7"/>
    <w:rsid w:val="002D77DD"/>
    <w:rsid w:val="002D79F3"/>
    <w:rsid w:val="002D7FA0"/>
    <w:rsid w:val="002E041A"/>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15B91"/>
    <w:rsid w:val="00317F8E"/>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57C47"/>
    <w:rsid w:val="003605B7"/>
    <w:rsid w:val="0036083F"/>
    <w:rsid w:val="00360847"/>
    <w:rsid w:val="00363605"/>
    <w:rsid w:val="00364900"/>
    <w:rsid w:val="00364D14"/>
    <w:rsid w:val="0036786D"/>
    <w:rsid w:val="003716CE"/>
    <w:rsid w:val="0037379D"/>
    <w:rsid w:val="00376DE4"/>
    <w:rsid w:val="00380560"/>
    <w:rsid w:val="00380B1C"/>
    <w:rsid w:val="00382A6A"/>
    <w:rsid w:val="00382E82"/>
    <w:rsid w:val="00385061"/>
    <w:rsid w:val="003869A1"/>
    <w:rsid w:val="00386F3E"/>
    <w:rsid w:val="00387AE3"/>
    <w:rsid w:val="00390CFC"/>
    <w:rsid w:val="003913A2"/>
    <w:rsid w:val="00391D1B"/>
    <w:rsid w:val="0039570F"/>
    <w:rsid w:val="003970F7"/>
    <w:rsid w:val="00397237"/>
    <w:rsid w:val="003A1A22"/>
    <w:rsid w:val="003A23FB"/>
    <w:rsid w:val="003A5334"/>
    <w:rsid w:val="003A6344"/>
    <w:rsid w:val="003A6724"/>
    <w:rsid w:val="003A678D"/>
    <w:rsid w:val="003B053F"/>
    <w:rsid w:val="003B1C07"/>
    <w:rsid w:val="003B1C0E"/>
    <w:rsid w:val="003B2256"/>
    <w:rsid w:val="003B2F0B"/>
    <w:rsid w:val="003B4BE3"/>
    <w:rsid w:val="003B4CD8"/>
    <w:rsid w:val="003B573A"/>
    <w:rsid w:val="003B5D3A"/>
    <w:rsid w:val="003B664C"/>
    <w:rsid w:val="003B66E2"/>
    <w:rsid w:val="003B6C0D"/>
    <w:rsid w:val="003C1643"/>
    <w:rsid w:val="003C39E8"/>
    <w:rsid w:val="003C3B98"/>
    <w:rsid w:val="003C3CA6"/>
    <w:rsid w:val="003C3E93"/>
    <w:rsid w:val="003C5A81"/>
    <w:rsid w:val="003C73E1"/>
    <w:rsid w:val="003C74AF"/>
    <w:rsid w:val="003C74CB"/>
    <w:rsid w:val="003D0EC5"/>
    <w:rsid w:val="003D39D1"/>
    <w:rsid w:val="003D59E1"/>
    <w:rsid w:val="003D602D"/>
    <w:rsid w:val="003D6918"/>
    <w:rsid w:val="003D7EEF"/>
    <w:rsid w:val="003E0344"/>
    <w:rsid w:val="003E05A7"/>
    <w:rsid w:val="003E0959"/>
    <w:rsid w:val="003E0F2E"/>
    <w:rsid w:val="003E16D5"/>
    <w:rsid w:val="003E234F"/>
    <w:rsid w:val="003E3216"/>
    <w:rsid w:val="003E69CE"/>
    <w:rsid w:val="003E7D8B"/>
    <w:rsid w:val="003F0800"/>
    <w:rsid w:val="003F63D8"/>
    <w:rsid w:val="003F6E07"/>
    <w:rsid w:val="00400FE9"/>
    <w:rsid w:val="0040302B"/>
    <w:rsid w:val="004040F9"/>
    <w:rsid w:val="00404244"/>
    <w:rsid w:val="00404993"/>
    <w:rsid w:val="004049CE"/>
    <w:rsid w:val="00405952"/>
    <w:rsid w:val="00407521"/>
    <w:rsid w:val="004118BC"/>
    <w:rsid w:val="00411C31"/>
    <w:rsid w:val="00411E4E"/>
    <w:rsid w:val="00414524"/>
    <w:rsid w:val="004157E6"/>
    <w:rsid w:val="00415CA7"/>
    <w:rsid w:val="004172F1"/>
    <w:rsid w:val="00417399"/>
    <w:rsid w:val="00417A66"/>
    <w:rsid w:val="00417CB3"/>
    <w:rsid w:val="004200E0"/>
    <w:rsid w:val="004210C5"/>
    <w:rsid w:val="004213F3"/>
    <w:rsid w:val="004221EF"/>
    <w:rsid w:val="00424785"/>
    <w:rsid w:val="004247D6"/>
    <w:rsid w:val="00426748"/>
    <w:rsid w:val="004306C9"/>
    <w:rsid w:val="004314E3"/>
    <w:rsid w:val="004327C1"/>
    <w:rsid w:val="00436F15"/>
    <w:rsid w:val="00437698"/>
    <w:rsid w:val="004407F3"/>
    <w:rsid w:val="00440E3B"/>
    <w:rsid w:val="004413E4"/>
    <w:rsid w:val="0044199D"/>
    <w:rsid w:val="00441A26"/>
    <w:rsid w:val="00443A20"/>
    <w:rsid w:val="00443A53"/>
    <w:rsid w:val="004445FC"/>
    <w:rsid w:val="00445248"/>
    <w:rsid w:val="004454E6"/>
    <w:rsid w:val="00445681"/>
    <w:rsid w:val="00446065"/>
    <w:rsid w:val="00451047"/>
    <w:rsid w:val="0045272F"/>
    <w:rsid w:val="00452C81"/>
    <w:rsid w:val="004537E4"/>
    <w:rsid w:val="0045456D"/>
    <w:rsid w:val="00457BC5"/>
    <w:rsid w:val="00457F67"/>
    <w:rsid w:val="00460436"/>
    <w:rsid w:val="00464A46"/>
    <w:rsid w:val="00466120"/>
    <w:rsid w:val="00467108"/>
    <w:rsid w:val="00467785"/>
    <w:rsid w:val="004700B8"/>
    <w:rsid w:val="0047181C"/>
    <w:rsid w:val="00472DA7"/>
    <w:rsid w:val="00473E94"/>
    <w:rsid w:val="004745D9"/>
    <w:rsid w:val="00474FA4"/>
    <w:rsid w:val="004765BC"/>
    <w:rsid w:val="00481DA9"/>
    <w:rsid w:val="00482E41"/>
    <w:rsid w:val="00484445"/>
    <w:rsid w:val="00486444"/>
    <w:rsid w:val="00486D77"/>
    <w:rsid w:val="004928EE"/>
    <w:rsid w:val="00493F6A"/>
    <w:rsid w:val="00496337"/>
    <w:rsid w:val="004A3911"/>
    <w:rsid w:val="004B0D78"/>
    <w:rsid w:val="004B0E7D"/>
    <w:rsid w:val="004B27E2"/>
    <w:rsid w:val="004B3D6D"/>
    <w:rsid w:val="004B48B8"/>
    <w:rsid w:val="004B6C59"/>
    <w:rsid w:val="004B7C88"/>
    <w:rsid w:val="004C16E0"/>
    <w:rsid w:val="004C26B8"/>
    <w:rsid w:val="004C46FB"/>
    <w:rsid w:val="004C4AE4"/>
    <w:rsid w:val="004C4FF2"/>
    <w:rsid w:val="004C7FC3"/>
    <w:rsid w:val="004D09DF"/>
    <w:rsid w:val="004D2C94"/>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635"/>
    <w:rsid w:val="0050146C"/>
    <w:rsid w:val="005031A5"/>
    <w:rsid w:val="00503AD9"/>
    <w:rsid w:val="005076B6"/>
    <w:rsid w:val="0051014C"/>
    <w:rsid w:val="0051067C"/>
    <w:rsid w:val="00510DA9"/>
    <w:rsid w:val="00512EC9"/>
    <w:rsid w:val="0051362E"/>
    <w:rsid w:val="00514507"/>
    <w:rsid w:val="0051596E"/>
    <w:rsid w:val="00516465"/>
    <w:rsid w:val="00517E48"/>
    <w:rsid w:val="005219B5"/>
    <w:rsid w:val="00521CCF"/>
    <w:rsid w:val="00525E08"/>
    <w:rsid w:val="00526F55"/>
    <w:rsid w:val="00527DE2"/>
    <w:rsid w:val="00530D66"/>
    <w:rsid w:val="00533133"/>
    <w:rsid w:val="00534165"/>
    <w:rsid w:val="00534406"/>
    <w:rsid w:val="00536764"/>
    <w:rsid w:val="00537242"/>
    <w:rsid w:val="00541861"/>
    <w:rsid w:val="005431DC"/>
    <w:rsid w:val="005443F1"/>
    <w:rsid w:val="00544870"/>
    <w:rsid w:val="00544F63"/>
    <w:rsid w:val="005459E5"/>
    <w:rsid w:val="00545E67"/>
    <w:rsid w:val="00550622"/>
    <w:rsid w:val="0055128E"/>
    <w:rsid w:val="00553374"/>
    <w:rsid w:val="00554B07"/>
    <w:rsid w:val="00560E91"/>
    <w:rsid w:val="00560F65"/>
    <w:rsid w:val="005616DD"/>
    <w:rsid w:val="00562FFB"/>
    <w:rsid w:val="0056340B"/>
    <w:rsid w:val="00564575"/>
    <w:rsid w:val="00566213"/>
    <w:rsid w:val="00566589"/>
    <w:rsid w:val="005679FC"/>
    <w:rsid w:val="00571AC7"/>
    <w:rsid w:val="00572294"/>
    <w:rsid w:val="00573315"/>
    <w:rsid w:val="00574B0A"/>
    <w:rsid w:val="00574FB8"/>
    <w:rsid w:val="00575321"/>
    <w:rsid w:val="0057546D"/>
    <w:rsid w:val="005764A2"/>
    <w:rsid w:val="00576ABB"/>
    <w:rsid w:val="00577259"/>
    <w:rsid w:val="00577BC3"/>
    <w:rsid w:val="0058104C"/>
    <w:rsid w:val="005820BB"/>
    <w:rsid w:val="00582745"/>
    <w:rsid w:val="00583AFC"/>
    <w:rsid w:val="00584A79"/>
    <w:rsid w:val="0058564E"/>
    <w:rsid w:val="005934EB"/>
    <w:rsid w:val="00593B7A"/>
    <w:rsid w:val="00594022"/>
    <w:rsid w:val="00595CFB"/>
    <w:rsid w:val="005A08D7"/>
    <w:rsid w:val="005A1014"/>
    <w:rsid w:val="005A11D6"/>
    <w:rsid w:val="005A179B"/>
    <w:rsid w:val="005A4659"/>
    <w:rsid w:val="005A5728"/>
    <w:rsid w:val="005A67AD"/>
    <w:rsid w:val="005B15EF"/>
    <w:rsid w:val="005B15F0"/>
    <w:rsid w:val="005B3AB2"/>
    <w:rsid w:val="005B4670"/>
    <w:rsid w:val="005B52D3"/>
    <w:rsid w:val="005B5DFA"/>
    <w:rsid w:val="005B6030"/>
    <w:rsid w:val="005B7334"/>
    <w:rsid w:val="005B7F0D"/>
    <w:rsid w:val="005C0987"/>
    <w:rsid w:val="005C224F"/>
    <w:rsid w:val="005C319F"/>
    <w:rsid w:val="005C4083"/>
    <w:rsid w:val="005C43F0"/>
    <w:rsid w:val="005D0B1E"/>
    <w:rsid w:val="005D27A3"/>
    <w:rsid w:val="005D7AAD"/>
    <w:rsid w:val="005E43F9"/>
    <w:rsid w:val="005E4A94"/>
    <w:rsid w:val="005E4EDE"/>
    <w:rsid w:val="005E5213"/>
    <w:rsid w:val="005E5805"/>
    <w:rsid w:val="005E63D6"/>
    <w:rsid w:val="005F05FD"/>
    <w:rsid w:val="005F0B3C"/>
    <w:rsid w:val="005F0F3B"/>
    <w:rsid w:val="005F2711"/>
    <w:rsid w:val="005F31F5"/>
    <w:rsid w:val="005F55B0"/>
    <w:rsid w:val="005F5BDC"/>
    <w:rsid w:val="005F67A1"/>
    <w:rsid w:val="005F7619"/>
    <w:rsid w:val="0060127B"/>
    <w:rsid w:val="00602228"/>
    <w:rsid w:val="00602731"/>
    <w:rsid w:val="0060605D"/>
    <w:rsid w:val="00607399"/>
    <w:rsid w:val="006078CD"/>
    <w:rsid w:val="00607985"/>
    <w:rsid w:val="00610187"/>
    <w:rsid w:val="0061147F"/>
    <w:rsid w:val="00611BA9"/>
    <w:rsid w:val="006222A4"/>
    <w:rsid w:val="00622C81"/>
    <w:rsid w:val="00625028"/>
    <w:rsid w:val="00625DE8"/>
    <w:rsid w:val="00630089"/>
    <w:rsid w:val="00630148"/>
    <w:rsid w:val="0063031B"/>
    <w:rsid w:val="00630567"/>
    <w:rsid w:val="0063587B"/>
    <w:rsid w:val="006412FE"/>
    <w:rsid w:val="00641705"/>
    <w:rsid w:val="0064635D"/>
    <w:rsid w:val="00647C71"/>
    <w:rsid w:val="00650597"/>
    <w:rsid w:val="00652AB1"/>
    <w:rsid w:val="006536FA"/>
    <w:rsid w:val="0065582F"/>
    <w:rsid w:val="00655F81"/>
    <w:rsid w:val="006563B4"/>
    <w:rsid w:val="006573C5"/>
    <w:rsid w:val="00657521"/>
    <w:rsid w:val="006627A3"/>
    <w:rsid w:val="00664C80"/>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44"/>
    <w:rsid w:val="006878B5"/>
    <w:rsid w:val="00690EB6"/>
    <w:rsid w:val="00691723"/>
    <w:rsid w:val="00691BD5"/>
    <w:rsid w:val="00692C5C"/>
    <w:rsid w:val="006936B7"/>
    <w:rsid w:val="00694C4C"/>
    <w:rsid w:val="006953DB"/>
    <w:rsid w:val="0069696B"/>
    <w:rsid w:val="006A207F"/>
    <w:rsid w:val="006A235D"/>
    <w:rsid w:val="006A28A1"/>
    <w:rsid w:val="006A325F"/>
    <w:rsid w:val="006A36E5"/>
    <w:rsid w:val="006A37FB"/>
    <w:rsid w:val="006A38DB"/>
    <w:rsid w:val="006A6FA0"/>
    <w:rsid w:val="006A78DA"/>
    <w:rsid w:val="006B17FB"/>
    <w:rsid w:val="006B25E9"/>
    <w:rsid w:val="006B327E"/>
    <w:rsid w:val="006B3888"/>
    <w:rsid w:val="006B3BD0"/>
    <w:rsid w:val="006B415E"/>
    <w:rsid w:val="006B4363"/>
    <w:rsid w:val="006B5FDB"/>
    <w:rsid w:val="006B6936"/>
    <w:rsid w:val="006B6C75"/>
    <w:rsid w:val="006C2141"/>
    <w:rsid w:val="006C36C9"/>
    <w:rsid w:val="006C39FD"/>
    <w:rsid w:val="006C3EFB"/>
    <w:rsid w:val="006C639D"/>
    <w:rsid w:val="006C757F"/>
    <w:rsid w:val="006C7AE0"/>
    <w:rsid w:val="006D01F8"/>
    <w:rsid w:val="006D0B25"/>
    <w:rsid w:val="006D1EBD"/>
    <w:rsid w:val="006D1F6C"/>
    <w:rsid w:val="006D210B"/>
    <w:rsid w:val="006D21B1"/>
    <w:rsid w:val="006D28DC"/>
    <w:rsid w:val="006D2A9A"/>
    <w:rsid w:val="006E0243"/>
    <w:rsid w:val="006E0392"/>
    <w:rsid w:val="006E0F32"/>
    <w:rsid w:val="006E3308"/>
    <w:rsid w:val="006E45AD"/>
    <w:rsid w:val="006E4982"/>
    <w:rsid w:val="006E4D68"/>
    <w:rsid w:val="006F1393"/>
    <w:rsid w:val="006F1B11"/>
    <w:rsid w:val="006F4090"/>
    <w:rsid w:val="006F4A63"/>
    <w:rsid w:val="006F79E5"/>
    <w:rsid w:val="006F7D5A"/>
    <w:rsid w:val="00701574"/>
    <w:rsid w:val="0070366A"/>
    <w:rsid w:val="00704A5A"/>
    <w:rsid w:val="00705707"/>
    <w:rsid w:val="00705800"/>
    <w:rsid w:val="007071A8"/>
    <w:rsid w:val="00707CFD"/>
    <w:rsid w:val="00707E67"/>
    <w:rsid w:val="007142CB"/>
    <w:rsid w:val="00714A67"/>
    <w:rsid w:val="00715C11"/>
    <w:rsid w:val="00716089"/>
    <w:rsid w:val="007162AB"/>
    <w:rsid w:val="00716C23"/>
    <w:rsid w:val="00717B45"/>
    <w:rsid w:val="00720BF5"/>
    <w:rsid w:val="00722333"/>
    <w:rsid w:val="00722F9A"/>
    <w:rsid w:val="007245F6"/>
    <w:rsid w:val="00726346"/>
    <w:rsid w:val="00727608"/>
    <w:rsid w:val="00731993"/>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5485"/>
    <w:rsid w:val="00757ADC"/>
    <w:rsid w:val="00760216"/>
    <w:rsid w:val="007608CF"/>
    <w:rsid w:val="0076213F"/>
    <w:rsid w:val="00762711"/>
    <w:rsid w:val="00762B62"/>
    <w:rsid w:val="0076394B"/>
    <w:rsid w:val="0076646C"/>
    <w:rsid w:val="00766F40"/>
    <w:rsid w:val="00772827"/>
    <w:rsid w:val="0077492D"/>
    <w:rsid w:val="00774CD4"/>
    <w:rsid w:val="00775C74"/>
    <w:rsid w:val="00776A34"/>
    <w:rsid w:val="007800FA"/>
    <w:rsid w:val="007817CE"/>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3A2D"/>
    <w:rsid w:val="007940B6"/>
    <w:rsid w:val="00795C17"/>
    <w:rsid w:val="00795D01"/>
    <w:rsid w:val="0079635F"/>
    <w:rsid w:val="00796599"/>
    <w:rsid w:val="007973E3"/>
    <w:rsid w:val="007A0B0A"/>
    <w:rsid w:val="007A1AA9"/>
    <w:rsid w:val="007B28CC"/>
    <w:rsid w:val="007B3A10"/>
    <w:rsid w:val="007B3FEB"/>
    <w:rsid w:val="007B5319"/>
    <w:rsid w:val="007B7C26"/>
    <w:rsid w:val="007B7D92"/>
    <w:rsid w:val="007C4E6F"/>
    <w:rsid w:val="007C7EA9"/>
    <w:rsid w:val="007D2D34"/>
    <w:rsid w:val="007D51D8"/>
    <w:rsid w:val="007D62E0"/>
    <w:rsid w:val="007D64A4"/>
    <w:rsid w:val="007D7C88"/>
    <w:rsid w:val="007E086C"/>
    <w:rsid w:val="007E1E2E"/>
    <w:rsid w:val="007E2547"/>
    <w:rsid w:val="007E27F3"/>
    <w:rsid w:val="007E2D37"/>
    <w:rsid w:val="007E40D0"/>
    <w:rsid w:val="007E5016"/>
    <w:rsid w:val="007E6366"/>
    <w:rsid w:val="007F247F"/>
    <w:rsid w:val="007F2EC6"/>
    <w:rsid w:val="007F33D0"/>
    <w:rsid w:val="007F3BC5"/>
    <w:rsid w:val="007F48E7"/>
    <w:rsid w:val="007F5B00"/>
    <w:rsid w:val="007F6522"/>
    <w:rsid w:val="00801730"/>
    <w:rsid w:val="00801C92"/>
    <w:rsid w:val="00803E25"/>
    <w:rsid w:val="008044CD"/>
    <w:rsid w:val="00804782"/>
    <w:rsid w:val="00805920"/>
    <w:rsid w:val="00805FB1"/>
    <w:rsid w:val="00814D2E"/>
    <w:rsid w:val="00814E3C"/>
    <w:rsid w:val="00815FBB"/>
    <w:rsid w:val="00816C17"/>
    <w:rsid w:val="00821BAB"/>
    <w:rsid w:val="008227DD"/>
    <w:rsid w:val="00823173"/>
    <w:rsid w:val="00824286"/>
    <w:rsid w:val="00824757"/>
    <w:rsid w:val="00824DE7"/>
    <w:rsid w:val="00827611"/>
    <w:rsid w:val="0082766D"/>
    <w:rsid w:val="00827E0C"/>
    <w:rsid w:val="00831219"/>
    <w:rsid w:val="00831274"/>
    <w:rsid w:val="008313C7"/>
    <w:rsid w:val="00832CE5"/>
    <w:rsid w:val="00833034"/>
    <w:rsid w:val="008339E5"/>
    <w:rsid w:val="00833C04"/>
    <w:rsid w:val="00835D98"/>
    <w:rsid w:val="00841E4C"/>
    <w:rsid w:val="00844715"/>
    <w:rsid w:val="00845A72"/>
    <w:rsid w:val="00845FB5"/>
    <w:rsid w:val="00846546"/>
    <w:rsid w:val="00846709"/>
    <w:rsid w:val="00846DA1"/>
    <w:rsid w:val="00847167"/>
    <w:rsid w:val="00847EBA"/>
    <w:rsid w:val="00850A04"/>
    <w:rsid w:val="0085224C"/>
    <w:rsid w:val="00852CFB"/>
    <w:rsid w:val="008539BE"/>
    <w:rsid w:val="0085422B"/>
    <w:rsid w:val="0085634B"/>
    <w:rsid w:val="00857449"/>
    <w:rsid w:val="0085771E"/>
    <w:rsid w:val="00861122"/>
    <w:rsid w:val="00864B0F"/>
    <w:rsid w:val="00866B34"/>
    <w:rsid w:val="00866BE6"/>
    <w:rsid w:val="00867DA7"/>
    <w:rsid w:val="008718B2"/>
    <w:rsid w:val="00871BA0"/>
    <w:rsid w:val="00872B73"/>
    <w:rsid w:val="00873357"/>
    <w:rsid w:val="00873392"/>
    <w:rsid w:val="0087469C"/>
    <w:rsid w:val="008757C3"/>
    <w:rsid w:val="0087621B"/>
    <w:rsid w:val="00876EAC"/>
    <w:rsid w:val="0087719B"/>
    <w:rsid w:val="0087765D"/>
    <w:rsid w:val="008803A3"/>
    <w:rsid w:val="00883D7B"/>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865"/>
    <w:rsid w:val="008A6AB5"/>
    <w:rsid w:val="008A72B5"/>
    <w:rsid w:val="008B21A9"/>
    <w:rsid w:val="008B225D"/>
    <w:rsid w:val="008B3D96"/>
    <w:rsid w:val="008B4633"/>
    <w:rsid w:val="008B5E87"/>
    <w:rsid w:val="008B6AEB"/>
    <w:rsid w:val="008B7590"/>
    <w:rsid w:val="008C015C"/>
    <w:rsid w:val="008C0204"/>
    <w:rsid w:val="008C205F"/>
    <w:rsid w:val="008C277C"/>
    <w:rsid w:val="008C2BB2"/>
    <w:rsid w:val="008C4799"/>
    <w:rsid w:val="008C638D"/>
    <w:rsid w:val="008C6949"/>
    <w:rsid w:val="008C795C"/>
    <w:rsid w:val="008D2CBB"/>
    <w:rsid w:val="008D368F"/>
    <w:rsid w:val="008D3C79"/>
    <w:rsid w:val="008D45B8"/>
    <w:rsid w:val="008D5572"/>
    <w:rsid w:val="008E0052"/>
    <w:rsid w:val="008E187D"/>
    <w:rsid w:val="008E282C"/>
    <w:rsid w:val="008E34EE"/>
    <w:rsid w:val="008E5EBE"/>
    <w:rsid w:val="008E5F02"/>
    <w:rsid w:val="008F097B"/>
    <w:rsid w:val="008F2510"/>
    <w:rsid w:val="008F3780"/>
    <w:rsid w:val="008F448B"/>
    <w:rsid w:val="008F45D2"/>
    <w:rsid w:val="008F5A19"/>
    <w:rsid w:val="008F67D9"/>
    <w:rsid w:val="008F7BD8"/>
    <w:rsid w:val="0090076D"/>
    <w:rsid w:val="00900D8C"/>
    <w:rsid w:val="00902A13"/>
    <w:rsid w:val="00903996"/>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5871"/>
    <w:rsid w:val="00936D07"/>
    <w:rsid w:val="00937254"/>
    <w:rsid w:val="00937AF0"/>
    <w:rsid w:val="00940B16"/>
    <w:rsid w:val="00941711"/>
    <w:rsid w:val="00942BF9"/>
    <w:rsid w:val="009436CA"/>
    <w:rsid w:val="00944387"/>
    <w:rsid w:val="00944BCE"/>
    <w:rsid w:val="00947493"/>
    <w:rsid w:val="00947502"/>
    <w:rsid w:val="00947A94"/>
    <w:rsid w:val="009516D0"/>
    <w:rsid w:val="00953187"/>
    <w:rsid w:val="009539CF"/>
    <w:rsid w:val="00953DE7"/>
    <w:rsid w:val="009548C3"/>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6A8"/>
    <w:rsid w:val="009678B4"/>
    <w:rsid w:val="00973F64"/>
    <w:rsid w:val="00974201"/>
    <w:rsid w:val="00974E55"/>
    <w:rsid w:val="00975268"/>
    <w:rsid w:val="00975DEA"/>
    <w:rsid w:val="009823B4"/>
    <w:rsid w:val="00982B34"/>
    <w:rsid w:val="00983BEB"/>
    <w:rsid w:val="00983CCC"/>
    <w:rsid w:val="00984231"/>
    <w:rsid w:val="00990B46"/>
    <w:rsid w:val="00993904"/>
    <w:rsid w:val="009940CC"/>
    <w:rsid w:val="009969E6"/>
    <w:rsid w:val="00996C59"/>
    <w:rsid w:val="00997F8E"/>
    <w:rsid w:val="009A118C"/>
    <w:rsid w:val="009A1404"/>
    <w:rsid w:val="009A2086"/>
    <w:rsid w:val="009A5062"/>
    <w:rsid w:val="009A565F"/>
    <w:rsid w:val="009A5FE8"/>
    <w:rsid w:val="009B03F3"/>
    <w:rsid w:val="009B13A4"/>
    <w:rsid w:val="009B2778"/>
    <w:rsid w:val="009B3CE0"/>
    <w:rsid w:val="009B5498"/>
    <w:rsid w:val="009B5F59"/>
    <w:rsid w:val="009B6D00"/>
    <w:rsid w:val="009B7378"/>
    <w:rsid w:val="009B7A60"/>
    <w:rsid w:val="009C1089"/>
    <w:rsid w:val="009C1C6C"/>
    <w:rsid w:val="009C2D18"/>
    <w:rsid w:val="009C36ED"/>
    <w:rsid w:val="009C4242"/>
    <w:rsid w:val="009C5D7D"/>
    <w:rsid w:val="009C7432"/>
    <w:rsid w:val="009D1855"/>
    <w:rsid w:val="009D3EEF"/>
    <w:rsid w:val="009D47D7"/>
    <w:rsid w:val="009D630D"/>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3903"/>
    <w:rsid w:val="00A04C3F"/>
    <w:rsid w:val="00A057A1"/>
    <w:rsid w:val="00A063D6"/>
    <w:rsid w:val="00A06DE7"/>
    <w:rsid w:val="00A143BF"/>
    <w:rsid w:val="00A14DDD"/>
    <w:rsid w:val="00A160C0"/>
    <w:rsid w:val="00A16969"/>
    <w:rsid w:val="00A17506"/>
    <w:rsid w:val="00A21BB9"/>
    <w:rsid w:val="00A21F4E"/>
    <w:rsid w:val="00A220A1"/>
    <w:rsid w:val="00A25231"/>
    <w:rsid w:val="00A26885"/>
    <w:rsid w:val="00A32B0C"/>
    <w:rsid w:val="00A354CF"/>
    <w:rsid w:val="00A35E18"/>
    <w:rsid w:val="00A3766B"/>
    <w:rsid w:val="00A37777"/>
    <w:rsid w:val="00A424E4"/>
    <w:rsid w:val="00A43387"/>
    <w:rsid w:val="00A43E52"/>
    <w:rsid w:val="00A441F9"/>
    <w:rsid w:val="00A4546C"/>
    <w:rsid w:val="00A4600D"/>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3151"/>
    <w:rsid w:val="00A85470"/>
    <w:rsid w:val="00A86891"/>
    <w:rsid w:val="00A86A5A"/>
    <w:rsid w:val="00A87CE4"/>
    <w:rsid w:val="00A90AB6"/>
    <w:rsid w:val="00A92035"/>
    <w:rsid w:val="00A9232E"/>
    <w:rsid w:val="00A9338F"/>
    <w:rsid w:val="00A93839"/>
    <w:rsid w:val="00A96A33"/>
    <w:rsid w:val="00A97878"/>
    <w:rsid w:val="00AA086A"/>
    <w:rsid w:val="00AA1313"/>
    <w:rsid w:val="00AA1A77"/>
    <w:rsid w:val="00AA3179"/>
    <w:rsid w:val="00AA4776"/>
    <w:rsid w:val="00AA582B"/>
    <w:rsid w:val="00AA65FC"/>
    <w:rsid w:val="00AA7F16"/>
    <w:rsid w:val="00AB0848"/>
    <w:rsid w:val="00AB3718"/>
    <w:rsid w:val="00AB3954"/>
    <w:rsid w:val="00AB5EAA"/>
    <w:rsid w:val="00AB5F72"/>
    <w:rsid w:val="00AB662E"/>
    <w:rsid w:val="00AB7A6C"/>
    <w:rsid w:val="00AC003E"/>
    <w:rsid w:val="00AC083C"/>
    <w:rsid w:val="00AC2961"/>
    <w:rsid w:val="00AC2D25"/>
    <w:rsid w:val="00AC4129"/>
    <w:rsid w:val="00AC581E"/>
    <w:rsid w:val="00AC68BD"/>
    <w:rsid w:val="00AC72D1"/>
    <w:rsid w:val="00AC73D8"/>
    <w:rsid w:val="00AC756E"/>
    <w:rsid w:val="00AD0C78"/>
    <w:rsid w:val="00AD1029"/>
    <w:rsid w:val="00AD18B1"/>
    <w:rsid w:val="00AD2FE1"/>
    <w:rsid w:val="00AD365E"/>
    <w:rsid w:val="00AD3FDE"/>
    <w:rsid w:val="00AD46FD"/>
    <w:rsid w:val="00AD5597"/>
    <w:rsid w:val="00AE4043"/>
    <w:rsid w:val="00AE4AFA"/>
    <w:rsid w:val="00AE5216"/>
    <w:rsid w:val="00AE53A0"/>
    <w:rsid w:val="00AE5F67"/>
    <w:rsid w:val="00AE6FC2"/>
    <w:rsid w:val="00AE7A76"/>
    <w:rsid w:val="00AF0631"/>
    <w:rsid w:val="00AF2143"/>
    <w:rsid w:val="00AF26B3"/>
    <w:rsid w:val="00AF3054"/>
    <w:rsid w:val="00AF3982"/>
    <w:rsid w:val="00AF59CE"/>
    <w:rsid w:val="00AF5EB5"/>
    <w:rsid w:val="00AF5F0E"/>
    <w:rsid w:val="00AF6CF3"/>
    <w:rsid w:val="00AF7D69"/>
    <w:rsid w:val="00B00FC4"/>
    <w:rsid w:val="00B018DF"/>
    <w:rsid w:val="00B0206A"/>
    <w:rsid w:val="00B03FB2"/>
    <w:rsid w:val="00B054D6"/>
    <w:rsid w:val="00B065A9"/>
    <w:rsid w:val="00B0723B"/>
    <w:rsid w:val="00B10297"/>
    <w:rsid w:val="00B10371"/>
    <w:rsid w:val="00B10C6A"/>
    <w:rsid w:val="00B13A04"/>
    <w:rsid w:val="00B13A97"/>
    <w:rsid w:val="00B13B1F"/>
    <w:rsid w:val="00B14863"/>
    <w:rsid w:val="00B14C35"/>
    <w:rsid w:val="00B1625B"/>
    <w:rsid w:val="00B1749C"/>
    <w:rsid w:val="00B2326E"/>
    <w:rsid w:val="00B2341A"/>
    <w:rsid w:val="00B23E1C"/>
    <w:rsid w:val="00B2459B"/>
    <w:rsid w:val="00B257F9"/>
    <w:rsid w:val="00B2631A"/>
    <w:rsid w:val="00B26F40"/>
    <w:rsid w:val="00B27274"/>
    <w:rsid w:val="00B2798D"/>
    <w:rsid w:val="00B27DC7"/>
    <w:rsid w:val="00B3195F"/>
    <w:rsid w:val="00B349D5"/>
    <w:rsid w:val="00B36658"/>
    <w:rsid w:val="00B40617"/>
    <w:rsid w:val="00B409C6"/>
    <w:rsid w:val="00B41125"/>
    <w:rsid w:val="00B42FBD"/>
    <w:rsid w:val="00B43F42"/>
    <w:rsid w:val="00B449D6"/>
    <w:rsid w:val="00B462EB"/>
    <w:rsid w:val="00B467AF"/>
    <w:rsid w:val="00B46986"/>
    <w:rsid w:val="00B52403"/>
    <w:rsid w:val="00B544AB"/>
    <w:rsid w:val="00B54760"/>
    <w:rsid w:val="00B54AAD"/>
    <w:rsid w:val="00B55B10"/>
    <w:rsid w:val="00B57453"/>
    <w:rsid w:val="00B57454"/>
    <w:rsid w:val="00B62C72"/>
    <w:rsid w:val="00B62E79"/>
    <w:rsid w:val="00B63E6E"/>
    <w:rsid w:val="00B67A35"/>
    <w:rsid w:val="00B70F1E"/>
    <w:rsid w:val="00B72F19"/>
    <w:rsid w:val="00B76128"/>
    <w:rsid w:val="00B77150"/>
    <w:rsid w:val="00B80DD1"/>
    <w:rsid w:val="00B80EFE"/>
    <w:rsid w:val="00B816D0"/>
    <w:rsid w:val="00B81B09"/>
    <w:rsid w:val="00B828A7"/>
    <w:rsid w:val="00B8387D"/>
    <w:rsid w:val="00B858DA"/>
    <w:rsid w:val="00B86388"/>
    <w:rsid w:val="00B87018"/>
    <w:rsid w:val="00B875DD"/>
    <w:rsid w:val="00B914AF"/>
    <w:rsid w:val="00B91735"/>
    <w:rsid w:val="00B92228"/>
    <w:rsid w:val="00B9370F"/>
    <w:rsid w:val="00B95F8F"/>
    <w:rsid w:val="00B95FB3"/>
    <w:rsid w:val="00B9664E"/>
    <w:rsid w:val="00B975CE"/>
    <w:rsid w:val="00BA11E6"/>
    <w:rsid w:val="00BA1F94"/>
    <w:rsid w:val="00BA233C"/>
    <w:rsid w:val="00BA2481"/>
    <w:rsid w:val="00BA2914"/>
    <w:rsid w:val="00BA2F10"/>
    <w:rsid w:val="00BA3B8F"/>
    <w:rsid w:val="00BA56D5"/>
    <w:rsid w:val="00BA78B5"/>
    <w:rsid w:val="00BB0B50"/>
    <w:rsid w:val="00BB475F"/>
    <w:rsid w:val="00BB49D0"/>
    <w:rsid w:val="00BB5CCD"/>
    <w:rsid w:val="00BC238D"/>
    <w:rsid w:val="00BC4B26"/>
    <w:rsid w:val="00BC515F"/>
    <w:rsid w:val="00BC6E4B"/>
    <w:rsid w:val="00BD0DED"/>
    <w:rsid w:val="00BD15B9"/>
    <w:rsid w:val="00BD2AB3"/>
    <w:rsid w:val="00BD5A25"/>
    <w:rsid w:val="00BD70D3"/>
    <w:rsid w:val="00BE0B93"/>
    <w:rsid w:val="00BE0D12"/>
    <w:rsid w:val="00BE29E9"/>
    <w:rsid w:val="00BE2AC4"/>
    <w:rsid w:val="00BE5B7F"/>
    <w:rsid w:val="00BE5DE4"/>
    <w:rsid w:val="00BE64E6"/>
    <w:rsid w:val="00BE6780"/>
    <w:rsid w:val="00BF2266"/>
    <w:rsid w:val="00BF4927"/>
    <w:rsid w:val="00BF753F"/>
    <w:rsid w:val="00BF777D"/>
    <w:rsid w:val="00BF7DA1"/>
    <w:rsid w:val="00C00F4B"/>
    <w:rsid w:val="00C032CB"/>
    <w:rsid w:val="00C03876"/>
    <w:rsid w:val="00C03B7C"/>
    <w:rsid w:val="00C04EDF"/>
    <w:rsid w:val="00C05E19"/>
    <w:rsid w:val="00C06397"/>
    <w:rsid w:val="00C06E68"/>
    <w:rsid w:val="00C10BEB"/>
    <w:rsid w:val="00C13E6F"/>
    <w:rsid w:val="00C13F65"/>
    <w:rsid w:val="00C1538F"/>
    <w:rsid w:val="00C15593"/>
    <w:rsid w:val="00C20288"/>
    <w:rsid w:val="00C240C0"/>
    <w:rsid w:val="00C240F7"/>
    <w:rsid w:val="00C251F3"/>
    <w:rsid w:val="00C26710"/>
    <w:rsid w:val="00C26856"/>
    <w:rsid w:val="00C273A5"/>
    <w:rsid w:val="00C27576"/>
    <w:rsid w:val="00C30770"/>
    <w:rsid w:val="00C31020"/>
    <w:rsid w:val="00C340BA"/>
    <w:rsid w:val="00C35050"/>
    <w:rsid w:val="00C35282"/>
    <w:rsid w:val="00C356F3"/>
    <w:rsid w:val="00C35869"/>
    <w:rsid w:val="00C36ABF"/>
    <w:rsid w:val="00C36C3F"/>
    <w:rsid w:val="00C37C1E"/>
    <w:rsid w:val="00C37E86"/>
    <w:rsid w:val="00C414B6"/>
    <w:rsid w:val="00C41D9B"/>
    <w:rsid w:val="00C432F1"/>
    <w:rsid w:val="00C46A2B"/>
    <w:rsid w:val="00C50C19"/>
    <w:rsid w:val="00C52EB0"/>
    <w:rsid w:val="00C53287"/>
    <w:rsid w:val="00C5384F"/>
    <w:rsid w:val="00C53CD1"/>
    <w:rsid w:val="00C53EF9"/>
    <w:rsid w:val="00C6060F"/>
    <w:rsid w:val="00C6072B"/>
    <w:rsid w:val="00C61A73"/>
    <w:rsid w:val="00C64332"/>
    <w:rsid w:val="00C669E7"/>
    <w:rsid w:val="00C67E24"/>
    <w:rsid w:val="00C72181"/>
    <w:rsid w:val="00C76509"/>
    <w:rsid w:val="00C8146A"/>
    <w:rsid w:val="00C81DCC"/>
    <w:rsid w:val="00C83BA8"/>
    <w:rsid w:val="00C8426F"/>
    <w:rsid w:val="00C84518"/>
    <w:rsid w:val="00C84AA1"/>
    <w:rsid w:val="00C84F5B"/>
    <w:rsid w:val="00C85E67"/>
    <w:rsid w:val="00C87BDD"/>
    <w:rsid w:val="00C9022A"/>
    <w:rsid w:val="00C90849"/>
    <w:rsid w:val="00C93CEA"/>
    <w:rsid w:val="00C96783"/>
    <w:rsid w:val="00C974EF"/>
    <w:rsid w:val="00CA0E7B"/>
    <w:rsid w:val="00CA1FA9"/>
    <w:rsid w:val="00CA2C1B"/>
    <w:rsid w:val="00CA2C25"/>
    <w:rsid w:val="00CA2D63"/>
    <w:rsid w:val="00CA2DF8"/>
    <w:rsid w:val="00CA3DA1"/>
    <w:rsid w:val="00CA4030"/>
    <w:rsid w:val="00CB1482"/>
    <w:rsid w:val="00CB3678"/>
    <w:rsid w:val="00CB3B7D"/>
    <w:rsid w:val="00CB413A"/>
    <w:rsid w:val="00CC0F6E"/>
    <w:rsid w:val="00CC23E5"/>
    <w:rsid w:val="00CC29DC"/>
    <w:rsid w:val="00CC3089"/>
    <w:rsid w:val="00CC386F"/>
    <w:rsid w:val="00CC39F6"/>
    <w:rsid w:val="00CC4213"/>
    <w:rsid w:val="00CC524C"/>
    <w:rsid w:val="00CD1A2B"/>
    <w:rsid w:val="00CD1AA1"/>
    <w:rsid w:val="00CD2AA7"/>
    <w:rsid w:val="00CD30AB"/>
    <w:rsid w:val="00CD6704"/>
    <w:rsid w:val="00CD6744"/>
    <w:rsid w:val="00CE1C8A"/>
    <w:rsid w:val="00CE6434"/>
    <w:rsid w:val="00CE6B0F"/>
    <w:rsid w:val="00CE6EEE"/>
    <w:rsid w:val="00CE7072"/>
    <w:rsid w:val="00CE76DD"/>
    <w:rsid w:val="00CE7831"/>
    <w:rsid w:val="00CF04FC"/>
    <w:rsid w:val="00CF10B7"/>
    <w:rsid w:val="00CF27FA"/>
    <w:rsid w:val="00CF44B0"/>
    <w:rsid w:val="00CF5413"/>
    <w:rsid w:val="00CF6285"/>
    <w:rsid w:val="00CF65A1"/>
    <w:rsid w:val="00CF78BD"/>
    <w:rsid w:val="00CF7B7C"/>
    <w:rsid w:val="00D0105E"/>
    <w:rsid w:val="00D01C81"/>
    <w:rsid w:val="00D03E40"/>
    <w:rsid w:val="00D046CA"/>
    <w:rsid w:val="00D100A7"/>
    <w:rsid w:val="00D1148C"/>
    <w:rsid w:val="00D12125"/>
    <w:rsid w:val="00D158B9"/>
    <w:rsid w:val="00D165EF"/>
    <w:rsid w:val="00D166E0"/>
    <w:rsid w:val="00D226A7"/>
    <w:rsid w:val="00D270DF"/>
    <w:rsid w:val="00D319A1"/>
    <w:rsid w:val="00D32133"/>
    <w:rsid w:val="00D32218"/>
    <w:rsid w:val="00D32389"/>
    <w:rsid w:val="00D326FE"/>
    <w:rsid w:val="00D32969"/>
    <w:rsid w:val="00D32EA2"/>
    <w:rsid w:val="00D332B1"/>
    <w:rsid w:val="00D3330E"/>
    <w:rsid w:val="00D336B7"/>
    <w:rsid w:val="00D353A0"/>
    <w:rsid w:val="00D370FB"/>
    <w:rsid w:val="00D3716E"/>
    <w:rsid w:val="00D406FC"/>
    <w:rsid w:val="00D42EF9"/>
    <w:rsid w:val="00D438BB"/>
    <w:rsid w:val="00D44486"/>
    <w:rsid w:val="00D463AA"/>
    <w:rsid w:val="00D46EC3"/>
    <w:rsid w:val="00D50A69"/>
    <w:rsid w:val="00D54A3F"/>
    <w:rsid w:val="00D55700"/>
    <w:rsid w:val="00D57F7E"/>
    <w:rsid w:val="00D604B6"/>
    <w:rsid w:val="00D61288"/>
    <w:rsid w:val="00D6134D"/>
    <w:rsid w:val="00D61F45"/>
    <w:rsid w:val="00D6237A"/>
    <w:rsid w:val="00D63002"/>
    <w:rsid w:val="00D63EA3"/>
    <w:rsid w:val="00D66D7D"/>
    <w:rsid w:val="00D66FE2"/>
    <w:rsid w:val="00D67746"/>
    <w:rsid w:val="00D71B87"/>
    <w:rsid w:val="00D72595"/>
    <w:rsid w:val="00D753B2"/>
    <w:rsid w:val="00D76065"/>
    <w:rsid w:val="00D812DD"/>
    <w:rsid w:val="00D81565"/>
    <w:rsid w:val="00D821F1"/>
    <w:rsid w:val="00D83CE3"/>
    <w:rsid w:val="00D845CD"/>
    <w:rsid w:val="00D90CAD"/>
    <w:rsid w:val="00D93D2B"/>
    <w:rsid w:val="00D94127"/>
    <w:rsid w:val="00D9483E"/>
    <w:rsid w:val="00D949ED"/>
    <w:rsid w:val="00D957DD"/>
    <w:rsid w:val="00D966F0"/>
    <w:rsid w:val="00DA0003"/>
    <w:rsid w:val="00DA06DD"/>
    <w:rsid w:val="00DA1D24"/>
    <w:rsid w:val="00DA3077"/>
    <w:rsid w:val="00DA31F5"/>
    <w:rsid w:val="00DA33AF"/>
    <w:rsid w:val="00DA5B3A"/>
    <w:rsid w:val="00DA7B93"/>
    <w:rsid w:val="00DB0E16"/>
    <w:rsid w:val="00DB1331"/>
    <w:rsid w:val="00DB2ACD"/>
    <w:rsid w:val="00DB33A6"/>
    <w:rsid w:val="00DB4075"/>
    <w:rsid w:val="00DB523A"/>
    <w:rsid w:val="00DB7269"/>
    <w:rsid w:val="00DC06DF"/>
    <w:rsid w:val="00DC361A"/>
    <w:rsid w:val="00DC5AFA"/>
    <w:rsid w:val="00DC5CB0"/>
    <w:rsid w:val="00DC5FBA"/>
    <w:rsid w:val="00DC78C7"/>
    <w:rsid w:val="00DC7AF1"/>
    <w:rsid w:val="00DD125B"/>
    <w:rsid w:val="00DD13FC"/>
    <w:rsid w:val="00DD6300"/>
    <w:rsid w:val="00DD6A42"/>
    <w:rsid w:val="00DD7C3B"/>
    <w:rsid w:val="00DD7DA2"/>
    <w:rsid w:val="00DE0398"/>
    <w:rsid w:val="00DE0508"/>
    <w:rsid w:val="00DE0810"/>
    <w:rsid w:val="00DE1B5F"/>
    <w:rsid w:val="00DE1D4A"/>
    <w:rsid w:val="00DE2480"/>
    <w:rsid w:val="00DE28A3"/>
    <w:rsid w:val="00DE2F96"/>
    <w:rsid w:val="00DE3F30"/>
    <w:rsid w:val="00DE3F62"/>
    <w:rsid w:val="00DE5016"/>
    <w:rsid w:val="00DE6607"/>
    <w:rsid w:val="00DE79E6"/>
    <w:rsid w:val="00DF020E"/>
    <w:rsid w:val="00DF11C6"/>
    <w:rsid w:val="00DF1E3C"/>
    <w:rsid w:val="00DF2358"/>
    <w:rsid w:val="00DF3D6B"/>
    <w:rsid w:val="00DF5141"/>
    <w:rsid w:val="00DF5FD9"/>
    <w:rsid w:val="00DF6BFC"/>
    <w:rsid w:val="00E01A0B"/>
    <w:rsid w:val="00E02366"/>
    <w:rsid w:val="00E026D5"/>
    <w:rsid w:val="00E02DA5"/>
    <w:rsid w:val="00E030C7"/>
    <w:rsid w:val="00E06FA0"/>
    <w:rsid w:val="00E1283D"/>
    <w:rsid w:val="00E153DF"/>
    <w:rsid w:val="00E15624"/>
    <w:rsid w:val="00E1637E"/>
    <w:rsid w:val="00E16465"/>
    <w:rsid w:val="00E17FBC"/>
    <w:rsid w:val="00E20FD8"/>
    <w:rsid w:val="00E21199"/>
    <w:rsid w:val="00E22EC3"/>
    <w:rsid w:val="00E23E89"/>
    <w:rsid w:val="00E24810"/>
    <w:rsid w:val="00E2597E"/>
    <w:rsid w:val="00E25A55"/>
    <w:rsid w:val="00E25AA2"/>
    <w:rsid w:val="00E272DB"/>
    <w:rsid w:val="00E3163B"/>
    <w:rsid w:val="00E34981"/>
    <w:rsid w:val="00E3711F"/>
    <w:rsid w:val="00E40043"/>
    <w:rsid w:val="00E4131C"/>
    <w:rsid w:val="00E41371"/>
    <w:rsid w:val="00E41AE4"/>
    <w:rsid w:val="00E42314"/>
    <w:rsid w:val="00E4248B"/>
    <w:rsid w:val="00E44943"/>
    <w:rsid w:val="00E46921"/>
    <w:rsid w:val="00E46C99"/>
    <w:rsid w:val="00E5092D"/>
    <w:rsid w:val="00E50B62"/>
    <w:rsid w:val="00E521C9"/>
    <w:rsid w:val="00E524B0"/>
    <w:rsid w:val="00E54784"/>
    <w:rsid w:val="00E570AC"/>
    <w:rsid w:val="00E57166"/>
    <w:rsid w:val="00E634BC"/>
    <w:rsid w:val="00E634CD"/>
    <w:rsid w:val="00E63BB9"/>
    <w:rsid w:val="00E64767"/>
    <w:rsid w:val="00E64925"/>
    <w:rsid w:val="00E64C90"/>
    <w:rsid w:val="00E65836"/>
    <w:rsid w:val="00E667C0"/>
    <w:rsid w:val="00E671D9"/>
    <w:rsid w:val="00E67A9D"/>
    <w:rsid w:val="00E70128"/>
    <w:rsid w:val="00E70EDA"/>
    <w:rsid w:val="00E71977"/>
    <w:rsid w:val="00E72565"/>
    <w:rsid w:val="00E72A81"/>
    <w:rsid w:val="00E72E3B"/>
    <w:rsid w:val="00E73D16"/>
    <w:rsid w:val="00E74A90"/>
    <w:rsid w:val="00E76EDC"/>
    <w:rsid w:val="00E77914"/>
    <w:rsid w:val="00E81080"/>
    <w:rsid w:val="00E816D2"/>
    <w:rsid w:val="00E82B66"/>
    <w:rsid w:val="00E83783"/>
    <w:rsid w:val="00E846CC"/>
    <w:rsid w:val="00E86CCC"/>
    <w:rsid w:val="00E91E5C"/>
    <w:rsid w:val="00E927D4"/>
    <w:rsid w:val="00E93F00"/>
    <w:rsid w:val="00E944CE"/>
    <w:rsid w:val="00E96676"/>
    <w:rsid w:val="00E96C4D"/>
    <w:rsid w:val="00E975F6"/>
    <w:rsid w:val="00EA02D6"/>
    <w:rsid w:val="00EA3CC7"/>
    <w:rsid w:val="00EA414A"/>
    <w:rsid w:val="00EA4E19"/>
    <w:rsid w:val="00EA65C0"/>
    <w:rsid w:val="00EB24A8"/>
    <w:rsid w:val="00EB2518"/>
    <w:rsid w:val="00EB2C9B"/>
    <w:rsid w:val="00EB3080"/>
    <w:rsid w:val="00EB59F7"/>
    <w:rsid w:val="00EB5DB5"/>
    <w:rsid w:val="00EB6245"/>
    <w:rsid w:val="00EB7509"/>
    <w:rsid w:val="00EB76A5"/>
    <w:rsid w:val="00EC1511"/>
    <w:rsid w:val="00EC248E"/>
    <w:rsid w:val="00EC608B"/>
    <w:rsid w:val="00EC757B"/>
    <w:rsid w:val="00ED11E5"/>
    <w:rsid w:val="00ED1B96"/>
    <w:rsid w:val="00ED29BE"/>
    <w:rsid w:val="00ED53E6"/>
    <w:rsid w:val="00ED55DC"/>
    <w:rsid w:val="00ED6AE6"/>
    <w:rsid w:val="00ED7078"/>
    <w:rsid w:val="00EE0739"/>
    <w:rsid w:val="00EE0F5D"/>
    <w:rsid w:val="00EE1D95"/>
    <w:rsid w:val="00EE2941"/>
    <w:rsid w:val="00EE2D40"/>
    <w:rsid w:val="00EE3C7D"/>
    <w:rsid w:val="00EE3D22"/>
    <w:rsid w:val="00EE43D3"/>
    <w:rsid w:val="00EE4424"/>
    <w:rsid w:val="00EE4EF7"/>
    <w:rsid w:val="00EF221B"/>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2BC9"/>
    <w:rsid w:val="00F2391F"/>
    <w:rsid w:val="00F2489E"/>
    <w:rsid w:val="00F249D0"/>
    <w:rsid w:val="00F2586E"/>
    <w:rsid w:val="00F25A49"/>
    <w:rsid w:val="00F27E82"/>
    <w:rsid w:val="00F36484"/>
    <w:rsid w:val="00F37D9E"/>
    <w:rsid w:val="00F411EF"/>
    <w:rsid w:val="00F42C2E"/>
    <w:rsid w:val="00F43163"/>
    <w:rsid w:val="00F43F1B"/>
    <w:rsid w:val="00F44C1E"/>
    <w:rsid w:val="00F44C93"/>
    <w:rsid w:val="00F4540A"/>
    <w:rsid w:val="00F457B7"/>
    <w:rsid w:val="00F45A2B"/>
    <w:rsid w:val="00F46A0E"/>
    <w:rsid w:val="00F47648"/>
    <w:rsid w:val="00F47929"/>
    <w:rsid w:val="00F50130"/>
    <w:rsid w:val="00F54295"/>
    <w:rsid w:val="00F54782"/>
    <w:rsid w:val="00F578D2"/>
    <w:rsid w:val="00F62D86"/>
    <w:rsid w:val="00F64F74"/>
    <w:rsid w:val="00F65F7D"/>
    <w:rsid w:val="00F6688F"/>
    <w:rsid w:val="00F67D81"/>
    <w:rsid w:val="00F7088A"/>
    <w:rsid w:val="00F720BA"/>
    <w:rsid w:val="00F72372"/>
    <w:rsid w:val="00F72BF5"/>
    <w:rsid w:val="00F732D1"/>
    <w:rsid w:val="00F739C2"/>
    <w:rsid w:val="00F75A4D"/>
    <w:rsid w:val="00F76BBB"/>
    <w:rsid w:val="00F77070"/>
    <w:rsid w:val="00F77E20"/>
    <w:rsid w:val="00F80B4A"/>
    <w:rsid w:val="00F81BBB"/>
    <w:rsid w:val="00F82597"/>
    <w:rsid w:val="00F84BEB"/>
    <w:rsid w:val="00F8598A"/>
    <w:rsid w:val="00F86009"/>
    <w:rsid w:val="00F86AB4"/>
    <w:rsid w:val="00F8771E"/>
    <w:rsid w:val="00F91D16"/>
    <w:rsid w:val="00F91E62"/>
    <w:rsid w:val="00F929E7"/>
    <w:rsid w:val="00F95BEF"/>
    <w:rsid w:val="00F97C24"/>
    <w:rsid w:val="00FA2FC3"/>
    <w:rsid w:val="00FA32C8"/>
    <w:rsid w:val="00FA405B"/>
    <w:rsid w:val="00FA42CF"/>
    <w:rsid w:val="00FA6C99"/>
    <w:rsid w:val="00FA7581"/>
    <w:rsid w:val="00FA7EDF"/>
    <w:rsid w:val="00FB0408"/>
    <w:rsid w:val="00FB04A3"/>
    <w:rsid w:val="00FB1777"/>
    <w:rsid w:val="00FB47BA"/>
    <w:rsid w:val="00FB47E6"/>
    <w:rsid w:val="00FB4EDF"/>
    <w:rsid w:val="00FB5389"/>
    <w:rsid w:val="00FB6320"/>
    <w:rsid w:val="00FB731D"/>
    <w:rsid w:val="00FC1164"/>
    <w:rsid w:val="00FC32BE"/>
    <w:rsid w:val="00FC504C"/>
    <w:rsid w:val="00FC574C"/>
    <w:rsid w:val="00FC5B2A"/>
    <w:rsid w:val="00FC6306"/>
    <w:rsid w:val="00FC7231"/>
    <w:rsid w:val="00FC7E91"/>
    <w:rsid w:val="00FD43C3"/>
    <w:rsid w:val="00FD45A9"/>
    <w:rsid w:val="00FD4C6B"/>
    <w:rsid w:val="00FD517C"/>
    <w:rsid w:val="00FD55A8"/>
    <w:rsid w:val="00FD56E2"/>
    <w:rsid w:val="00FD6E6F"/>
    <w:rsid w:val="00FD6F6D"/>
    <w:rsid w:val="00FD6FB7"/>
    <w:rsid w:val="00FD77E1"/>
    <w:rsid w:val="00FE4667"/>
    <w:rsid w:val="00FE53E7"/>
    <w:rsid w:val="00FE582B"/>
    <w:rsid w:val="00FE7F20"/>
    <w:rsid w:val="00FF0CB1"/>
    <w:rsid w:val="00FF0F39"/>
    <w:rsid w:val="00FF2AAE"/>
    <w:rsid w:val="00FF34D7"/>
    <w:rsid w:val="00FF37C0"/>
    <w:rsid w:val="00FF4057"/>
    <w:rsid w:val="00FF5728"/>
    <w:rsid w:val="00FF6106"/>
    <w:rsid w:val="00FF6B77"/>
    <w:rsid w:val="00FF6CC2"/>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67C87"/>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character" w:styleId="UnresolvedMention">
    <w:name w:val="Unresolved Mention"/>
    <w:basedOn w:val="DefaultParagraphFont"/>
    <w:uiPriority w:val="99"/>
    <w:semiHidden/>
    <w:unhideWhenUsed/>
    <w:rsid w:val="0083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biosecurity-trade/import/arrival/p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we.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6BC3-732B-4F30-97A8-D9EEC8FC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4.xml><?xml version="1.0" encoding="utf-8"?>
<ds:datastoreItem xmlns:ds="http://schemas.openxmlformats.org/officeDocument/2006/customXml" ds:itemID="{3F8C88BE-6236-447B-A515-2F2C0144CE00}">
  <ds:schemaRefs>
    <ds:schemaRef ds:uri="http://schemas.openxmlformats.org/officeDocument/2006/bibliography"/>
  </ds:schemaRefs>
</ds:datastoreItem>
</file>

<file path=customXml/itemProps5.xml><?xml version="1.0" encoding="utf-8"?>
<ds:datastoreItem xmlns:ds="http://schemas.openxmlformats.org/officeDocument/2006/customXml" ds:itemID="{30C6FCCE-4CD5-46F5-86BC-A436CA8D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Agriculture, Water and the Environment</dc:creator>
  <cp:lastModifiedBy>Belinda Riethmiller</cp:lastModifiedBy>
  <cp:revision>3</cp:revision>
  <cp:lastPrinted>2017-04-05T23:20:00Z</cp:lastPrinted>
  <dcterms:created xsi:type="dcterms:W3CDTF">2021-11-22T01:49:00Z</dcterms:created>
  <dcterms:modified xsi:type="dcterms:W3CDTF">2021-11-22T03:37:00Z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