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C317DA">
      <w:pPr>
        <w:pStyle w:val="Heading1"/>
      </w:pPr>
      <w:r w:rsidRPr="00806F49">
        <w:t>Approved Arrangements</w:t>
      </w:r>
    </w:p>
    <w:p w:rsidR="00064698" w:rsidRDefault="00064698" w:rsidP="00C317DA">
      <w:pPr>
        <w:pStyle w:val="Subtitle"/>
        <w:rPr>
          <w:b/>
        </w:rPr>
      </w:pPr>
      <w:r>
        <w:t>F</w:t>
      </w:r>
      <w:r w:rsidR="005B0A12">
        <w:t>or 2.6</w:t>
      </w:r>
      <w:r w:rsidR="00C317DA">
        <w:t>—</w:t>
      </w:r>
      <w:proofErr w:type="gramStart"/>
      <w:r w:rsidR="005B0A12">
        <w:t>Empty</w:t>
      </w:r>
      <w:proofErr w:type="gramEnd"/>
      <w:r w:rsidR="005B0A12">
        <w:t xml:space="preserve"> shipping container parks</w:t>
      </w:r>
    </w:p>
    <w:p w:rsidR="002F17E3" w:rsidRPr="00C317DA" w:rsidRDefault="00C83A52" w:rsidP="00C317DA">
      <w:pPr>
        <w:pStyle w:val="Subtitle"/>
      </w:pPr>
      <w:r>
        <w:t>Requirements—</w:t>
      </w:r>
      <w:r w:rsidR="00E91617" w:rsidRPr="00C317DA">
        <w:t xml:space="preserve">Version </w:t>
      </w:r>
      <w:r w:rsidR="007C5F21">
        <w:t>4</w:t>
      </w:r>
      <w:r w:rsidR="00C317DA" w:rsidRPr="00C317DA">
        <w:t>.0</w:t>
      </w:r>
    </w:p>
    <w:p w:rsidR="007C5F21" w:rsidRDefault="00806F49" w:rsidP="007C5F21">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7C5F21">
        <w:br w:type="page"/>
      </w:r>
    </w:p>
    <w:p w:rsidR="00806F49" w:rsidRPr="00C10BEB" w:rsidRDefault="00806F49" w:rsidP="00C317DA">
      <w:r w:rsidRPr="00C10BEB">
        <w:lastRenderedPageBreak/>
        <w:t>© Commonwealth of Australia</w:t>
      </w:r>
    </w:p>
    <w:p w:rsidR="00806F49" w:rsidRPr="002C1F4D" w:rsidRDefault="00806F49" w:rsidP="00C317DA">
      <w:pPr>
        <w:rPr>
          <w:b/>
        </w:rPr>
      </w:pPr>
      <w:r>
        <w:rPr>
          <w:b/>
        </w:rPr>
        <w:t>Ownership of intellectual property rights</w:t>
      </w:r>
    </w:p>
    <w:p w:rsidR="00806F49" w:rsidRPr="00C10BEB" w:rsidRDefault="00806F49" w:rsidP="00C317DA">
      <w:r w:rsidRPr="00C10BEB">
        <w:t>Unless otherwise noted, copyright (and any other intellectual property rights, if any) in this publication is owned by the Commonwealth of Australia (referred to as the Commonwealth).</w:t>
      </w:r>
    </w:p>
    <w:p w:rsidR="00806F49" w:rsidRPr="002C1F4D" w:rsidRDefault="00806F49" w:rsidP="00C317DA">
      <w:pPr>
        <w:rPr>
          <w:b/>
        </w:rPr>
      </w:pPr>
      <w:r>
        <w:rPr>
          <w:b/>
        </w:rPr>
        <w:t>Creative Commons Licence</w:t>
      </w:r>
    </w:p>
    <w:p w:rsidR="00806F49" w:rsidRPr="00C10BEB" w:rsidRDefault="00806F49" w:rsidP="00C317DA">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C317DA">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C317DA">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C317DA">
      <w:pPr>
        <w:rPr>
          <w:b/>
        </w:rPr>
      </w:pPr>
      <w:r>
        <w:rPr>
          <w:b/>
        </w:rPr>
        <w:t>Department of Agriculture and Water Resources</w:t>
      </w:r>
    </w:p>
    <w:p w:rsidR="00C317DA" w:rsidRDefault="00806F49" w:rsidP="00C317DA">
      <w:r w:rsidRPr="00C10BEB">
        <w:t>Postal address GPO Box 858</w:t>
      </w:r>
    </w:p>
    <w:p w:rsidR="00806F49" w:rsidRPr="00C10BEB" w:rsidRDefault="00806F49" w:rsidP="00C317DA">
      <w:r w:rsidRPr="00C10BEB">
        <w:t>Canberra ACT 2601</w:t>
      </w:r>
    </w:p>
    <w:p w:rsidR="00806F49" w:rsidRPr="00C10BEB" w:rsidRDefault="00806F49" w:rsidP="00C317DA">
      <w:r w:rsidRPr="00C10BEB">
        <w:t>Switchboard +61 2 6272 3933</w:t>
      </w:r>
    </w:p>
    <w:p w:rsidR="00806F49" w:rsidRPr="00EE20F3" w:rsidRDefault="00806F49" w:rsidP="00C317DA">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C317DA">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087377" w:rsidRDefault="00806F49" w:rsidP="00087377">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r w:rsidR="00087377">
        <w:br w:type="page"/>
      </w:r>
    </w:p>
    <w:p w:rsidR="00806F49" w:rsidRPr="00C317DA" w:rsidRDefault="00806F49" w:rsidP="00C317DA">
      <w:pPr>
        <w:rPr>
          <w:rStyle w:val="Strong"/>
        </w:rPr>
      </w:pPr>
      <w:bookmarkStart w:id="1" w:name="_Toc451349357"/>
      <w:r w:rsidRPr="00C317DA">
        <w:rPr>
          <w:rStyle w:val="Strong"/>
        </w:rPr>
        <w:lastRenderedPageBreak/>
        <w:t>Version control</w:t>
      </w:r>
      <w:bookmarkEnd w:id="1"/>
    </w:p>
    <w:p w:rsidR="007C5F21" w:rsidRDefault="00806F49" w:rsidP="00C317DA">
      <w:r w:rsidRPr="00C10BEB">
        <w:t xml:space="preserve">Updates to this document will occur automatically on </w:t>
      </w:r>
      <w:r w:rsidR="00087377">
        <w:t>the department’s website and this</w:t>
      </w:r>
      <w:r w:rsidRPr="00C10BEB">
        <w:t xml:space="preserve"> revision table will list the a</w:t>
      </w:r>
      <w:r w:rsidR="00087377">
        <w:t>mendments as they are approved.</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43"/>
        <w:gridCol w:w="2623"/>
        <w:gridCol w:w="2183"/>
      </w:tblGrid>
      <w:tr w:rsidR="007C5F21" w:rsidTr="007C5F21">
        <w:tc>
          <w:tcPr>
            <w:tcW w:w="2265" w:type="dxa"/>
          </w:tcPr>
          <w:p w:rsidR="007C5F21" w:rsidRDefault="007C5F21" w:rsidP="007C5F21">
            <w:pPr>
              <w:pStyle w:val="TableHeading"/>
            </w:pPr>
            <w:r>
              <w:t>Date</w:t>
            </w:r>
          </w:p>
        </w:tc>
        <w:tc>
          <w:tcPr>
            <w:tcW w:w="2265" w:type="dxa"/>
          </w:tcPr>
          <w:p w:rsidR="007C5F21" w:rsidRDefault="007C5F21" w:rsidP="007C5F21">
            <w:pPr>
              <w:pStyle w:val="TableHeading"/>
            </w:pPr>
            <w:r>
              <w:t>Version</w:t>
            </w:r>
          </w:p>
        </w:tc>
        <w:tc>
          <w:tcPr>
            <w:tcW w:w="2265" w:type="dxa"/>
          </w:tcPr>
          <w:p w:rsidR="007C5F21" w:rsidRDefault="007C5F21" w:rsidP="007C5F21">
            <w:pPr>
              <w:pStyle w:val="TableHeading"/>
            </w:pPr>
            <w:r>
              <w:t>Amendments</w:t>
            </w:r>
          </w:p>
        </w:tc>
        <w:tc>
          <w:tcPr>
            <w:tcW w:w="2265" w:type="dxa"/>
          </w:tcPr>
          <w:p w:rsidR="007C5F21" w:rsidRDefault="007C5F21" w:rsidP="007C5F21">
            <w:pPr>
              <w:pStyle w:val="TableHeading"/>
            </w:pPr>
            <w:r>
              <w:t>Approved by</w:t>
            </w:r>
          </w:p>
        </w:tc>
      </w:tr>
      <w:tr w:rsidR="007C5F21" w:rsidTr="007C5F21">
        <w:tc>
          <w:tcPr>
            <w:tcW w:w="2265" w:type="dxa"/>
          </w:tcPr>
          <w:p w:rsidR="007C5F21" w:rsidRDefault="007C5F21" w:rsidP="007C5F21">
            <w:pPr>
              <w:pStyle w:val="TableText"/>
            </w:pPr>
            <w:r>
              <w:t>9 May 2011</w:t>
            </w:r>
          </w:p>
        </w:tc>
        <w:tc>
          <w:tcPr>
            <w:tcW w:w="2265" w:type="dxa"/>
          </w:tcPr>
          <w:p w:rsidR="007C5F21" w:rsidRDefault="00087377" w:rsidP="007C5F21">
            <w:pPr>
              <w:pStyle w:val="TableText"/>
            </w:pPr>
            <w:r>
              <w:t>1.0</w:t>
            </w:r>
          </w:p>
        </w:tc>
        <w:tc>
          <w:tcPr>
            <w:tcW w:w="2265" w:type="dxa"/>
          </w:tcPr>
          <w:p w:rsidR="007C5F21" w:rsidRDefault="00087377" w:rsidP="007C5F21">
            <w:pPr>
              <w:pStyle w:val="TableText"/>
            </w:pPr>
            <w:r>
              <w:t>Revised document</w:t>
            </w:r>
          </w:p>
        </w:tc>
        <w:tc>
          <w:tcPr>
            <w:tcW w:w="2265" w:type="dxa"/>
          </w:tcPr>
          <w:p w:rsidR="007C5F21" w:rsidRDefault="00087377" w:rsidP="007C5F21">
            <w:pPr>
              <w:pStyle w:val="TableText"/>
            </w:pPr>
            <w:r>
              <w:t>Co-regulation and Support Program</w:t>
            </w:r>
          </w:p>
        </w:tc>
      </w:tr>
      <w:tr w:rsidR="007C5F21" w:rsidTr="007C5F21">
        <w:tc>
          <w:tcPr>
            <w:tcW w:w="2265" w:type="dxa"/>
          </w:tcPr>
          <w:p w:rsidR="007C5F21" w:rsidRDefault="007C5F21" w:rsidP="007C5F21">
            <w:pPr>
              <w:pStyle w:val="TableText"/>
            </w:pPr>
            <w:r>
              <w:t>30</w:t>
            </w:r>
            <w:r w:rsidR="00087377">
              <w:t xml:space="preserve"> Jun 2013</w:t>
            </w:r>
          </w:p>
        </w:tc>
        <w:tc>
          <w:tcPr>
            <w:tcW w:w="2265" w:type="dxa"/>
          </w:tcPr>
          <w:p w:rsidR="007C5F21" w:rsidRDefault="00087377" w:rsidP="007C5F21">
            <w:pPr>
              <w:pStyle w:val="TableText"/>
            </w:pPr>
            <w:r>
              <w:t>1.1</w:t>
            </w:r>
          </w:p>
        </w:tc>
        <w:tc>
          <w:tcPr>
            <w:tcW w:w="2265" w:type="dxa"/>
          </w:tcPr>
          <w:p w:rsidR="007C5F21" w:rsidRDefault="00087377" w:rsidP="007C5F21">
            <w:pPr>
              <w:pStyle w:val="TableText"/>
            </w:pPr>
            <w:r>
              <w:t>Updated to reflect DAFF branding</w:t>
            </w:r>
          </w:p>
        </w:tc>
        <w:tc>
          <w:tcPr>
            <w:tcW w:w="2265" w:type="dxa"/>
          </w:tcPr>
          <w:p w:rsidR="007C5F21" w:rsidRDefault="00087377" w:rsidP="007C5F21">
            <w:pPr>
              <w:pStyle w:val="TableText"/>
            </w:pPr>
            <w:r>
              <w:t>Industry Arrangements Reform Program</w:t>
            </w:r>
          </w:p>
        </w:tc>
      </w:tr>
      <w:tr w:rsidR="007C5F21" w:rsidTr="007C5F21">
        <w:tc>
          <w:tcPr>
            <w:tcW w:w="2265" w:type="dxa"/>
          </w:tcPr>
          <w:p w:rsidR="007C5F21" w:rsidRDefault="00087377" w:rsidP="007C5F21">
            <w:pPr>
              <w:pStyle w:val="TableText"/>
            </w:pPr>
            <w:r>
              <w:t>8 Feb 2016</w:t>
            </w:r>
          </w:p>
        </w:tc>
        <w:tc>
          <w:tcPr>
            <w:tcW w:w="2265" w:type="dxa"/>
          </w:tcPr>
          <w:p w:rsidR="007C5F21" w:rsidRDefault="00087377" w:rsidP="007C5F21">
            <w:pPr>
              <w:pStyle w:val="TableText"/>
            </w:pPr>
            <w:r>
              <w:t>2.0</w:t>
            </w:r>
          </w:p>
        </w:tc>
        <w:tc>
          <w:tcPr>
            <w:tcW w:w="2265" w:type="dxa"/>
          </w:tcPr>
          <w:p w:rsidR="007C5F21" w:rsidRDefault="00087377" w:rsidP="007C5F21">
            <w:pPr>
              <w:pStyle w:val="TableText"/>
            </w:pPr>
            <w:r>
              <w:t>Updated template</w:t>
            </w:r>
          </w:p>
        </w:tc>
        <w:tc>
          <w:tcPr>
            <w:tcW w:w="2265" w:type="dxa"/>
          </w:tcPr>
          <w:p w:rsidR="007C5F21" w:rsidRDefault="00087377" w:rsidP="007C5F21">
            <w:pPr>
              <w:pStyle w:val="TableText"/>
            </w:pPr>
            <w:r>
              <w:t>Approved Arrangements section</w:t>
            </w:r>
          </w:p>
        </w:tc>
      </w:tr>
      <w:tr w:rsidR="007C5F21" w:rsidTr="007C5F21">
        <w:tc>
          <w:tcPr>
            <w:tcW w:w="2265" w:type="dxa"/>
          </w:tcPr>
          <w:p w:rsidR="007C5F21" w:rsidRDefault="00087377" w:rsidP="007C5F21">
            <w:pPr>
              <w:pStyle w:val="TableText"/>
            </w:pPr>
            <w:r>
              <w:t>16 Jun 2016</w:t>
            </w:r>
          </w:p>
        </w:tc>
        <w:tc>
          <w:tcPr>
            <w:tcW w:w="2265" w:type="dxa"/>
          </w:tcPr>
          <w:p w:rsidR="007C5F21" w:rsidRDefault="00087377" w:rsidP="007C5F21">
            <w:pPr>
              <w:pStyle w:val="TableText"/>
            </w:pPr>
            <w:r>
              <w:t>3.0</w:t>
            </w:r>
          </w:p>
        </w:tc>
        <w:tc>
          <w:tcPr>
            <w:tcW w:w="2265" w:type="dxa"/>
          </w:tcPr>
          <w:p w:rsidR="007C5F21" w:rsidRDefault="00087377" w:rsidP="007C5F21">
            <w:pPr>
              <w:pStyle w:val="TableText"/>
            </w:pPr>
            <w:r>
              <w:t>Updated references to the department and the Biosecurity Act 2015</w:t>
            </w:r>
          </w:p>
        </w:tc>
        <w:tc>
          <w:tcPr>
            <w:tcW w:w="2265" w:type="dxa"/>
          </w:tcPr>
          <w:p w:rsidR="007C5F21" w:rsidRDefault="00087377" w:rsidP="007C5F21">
            <w:pPr>
              <w:pStyle w:val="TableText"/>
            </w:pPr>
            <w:r>
              <w:t>Approved Arrangements section</w:t>
            </w:r>
          </w:p>
        </w:tc>
      </w:tr>
      <w:tr w:rsidR="007C5F21" w:rsidTr="007C5F21">
        <w:tc>
          <w:tcPr>
            <w:tcW w:w="2265" w:type="dxa"/>
          </w:tcPr>
          <w:p w:rsidR="007C5F21" w:rsidRDefault="00087377" w:rsidP="007C5F21">
            <w:pPr>
              <w:pStyle w:val="TableText"/>
            </w:pPr>
            <w:r>
              <w:t>9 Jan 2017</w:t>
            </w:r>
          </w:p>
        </w:tc>
        <w:tc>
          <w:tcPr>
            <w:tcW w:w="2265" w:type="dxa"/>
          </w:tcPr>
          <w:p w:rsidR="007C5F21" w:rsidRDefault="00087377" w:rsidP="007C5F21">
            <w:pPr>
              <w:pStyle w:val="TableText"/>
            </w:pPr>
            <w:r>
              <w:t>4.0</w:t>
            </w:r>
          </w:p>
        </w:tc>
        <w:tc>
          <w:tcPr>
            <w:tcW w:w="2265" w:type="dxa"/>
          </w:tcPr>
          <w:p w:rsidR="00DA3ED0" w:rsidRDefault="00087377" w:rsidP="00087377">
            <w:pPr>
              <w:pStyle w:val="TableText"/>
            </w:pPr>
            <w:r>
              <w:t>Amalgamate requirements of Class 11.1</w:t>
            </w:r>
          </w:p>
          <w:p w:rsidR="00087377" w:rsidRDefault="00087377" w:rsidP="00087377">
            <w:pPr>
              <w:pStyle w:val="TableText"/>
            </w:pPr>
            <w:r>
              <w:t>Changes to the following criteria:</w:t>
            </w:r>
          </w:p>
          <w:p w:rsidR="00087377" w:rsidRDefault="00087377" w:rsidP="00087377">
            <w:pPr>
              <w:pStyle w:val="TableText"/>
            </w:pPr>
            <w:r>
              <w:t>•</w:t>
            </w:r>
            <w:r>
              <w:tab/>
              <w:t>Hygiene</w:t>
            </w:r>
          </w:p>
          <w:p w:rsidR="00087377" w:rsidRDefault="00087377" w:rsidP="00087377">
            <w:pPr>
              <w:pStyle w:val="TableText"/>
            </w:pPr>
            <w:r>
              <w:t>•</w:t>
            </w:r>
            <w:r>
              <w:tab/>
              <w:t>Security/separation</w:t>
            </w:r>
          </w:p>
          <w:p w:rsidR="00087377" w:rsidRDefault="00087377" w:rsidP="00087377">
            <w:pPr>
              <w:pStyle w:val="TableText"/>
            </w:pPr>
            <w:r>
              <w:t>•</w:t>
            </w:r>
            <w:r>
              <w:tab/>
              <w:t>Biosecurity/inspection areas</w:t>
            </w:r>
          </w:p>
          <w:p w:rsidR="00087377" w:rsidRDefault="00087377" w:rsidP="00087377">
            <w:pPr>
              <w:pStyle w:val="TableText"/>
            </w:pPr>
            <w:r>
              <w:t>•</w:t>
            </w:r>
            <w:r>
              <w:tab/>
              <w:t>Fumigation</w:t>
            </w:r>
          </w:p>
          <w:p w:rsidR="00087377" w:rsidRDefault="00087377" w:rsidP="00087377">
            <w:pPr>
              <w:pStyle w:val="TableText"/>
            </w:pPr>
            <w:r>
              <w:t>•</w:t>
            </w:r>
            <w:r>
              <w:tab/>
            </w:r>
            <w:proofErr w:type="spellStart"/>
            <w:r>
              <w:t>Washbay</w:t>
            </w:r>
            <w:proofErr w:type="spellEnd"/>
          </w:p>
          <w:p w:rsidR="00087377" w:rsidRDefault="00087377" w:rsidP="00087377">
            <w:pPr>
              <w:pStyle w:val="TableText"/>
            </w:pPr>
            <w:r>
              <w:t>•</w:t>
            </w:r>
            <w:r>
              <w:tab/>
              <w:t>Waste water recycling (optional)</w:t>
            </w:r>
          </w:p>
          <w:p w:rsidR="007C5F21" w:rsidRDefault="00087377" w:rsidP="00087377">
            <w:pPr>
              <w:pStyle w:val="TableText"/>
            </w:pPr>
            <w:r>
              <w:t>•</w:t>
            </w:r>
            <w:r>
              <w:tab/>
              <w:t>Hypochlorite treatment of waste water (optional)</w:t>
            </w:r>
          </w:p>
        </w:tc>
        <w:tc>
          <w:tcPr>
            <w:tcW w:w="2265" w:type="dxa"/>
          </w:tcPr>
          <w:p w:rsidR="007C5F21" w:rsidRDefault="00087377" w:rsidP="007C5F21">
            <w:pPr>
              <w:pStyle w:val="TableText"/>
            </w:pPr>
            <w:r>
              <w:t>Approved Arrangements section</w:t>
            </w:r>
          </w:p>
        </w:tc>
      </w:tr>
    </w:tbl>
    <w:p w:rsidR="00806F49" w:rsidRDefault="00C317DA" w:rsidP="00C317DA">
      <w:pPr>
        <w:rPr>
          <w:bCs/>
        </w:rPr>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8D180D"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6230996" w:history="1">
            <w:r w:rsidR="008D180D" w:rsidRPr="003B3584">
              <w:rPr>
                <w:rStyle w:val="Hyperlink"/>
              </w:rPr>
              <w:t>Guide to using this document</w:t>
            </w:r>
            <w:r w:rsidR="008D180D">
              <w:rPr>
                <w:webHidden/>
              </w:rPr>
              <w:tab/>
            </w:r>
            <w:r w:rsidR="008D180D">
              <w:rPr>
                <w:webHidden/>
              </w:rPr>
              <w:fldChar w:fldCharType="begin"/>
            </w:r>
            <w:r w:rsidR="008D180D">
              <w:rPr>
                <w:webHidden/>
              </w:rPr>
              <w:instrText xml:space="preserve"> PAGEREF _Toc486230996 \h </w:instrText>
            </w:r>
            <w:r w:rsidR="008D180D">
              <w:rPr>
                <w:webHidden/>
              </w:rPr>
            </w:r>
            <w:r w:rsidR="008D180D">
              <w:rPr>
                <w:webHidden/>
              </w:rPr>
              <w:fldChar w:fldCharType="separate"/>
            </w:r>
            <w:r w:rsidR="008D180D">
              <w:rPr>
                <w:webHidden/>
              </w:rPr>
              <w:t>5</w:t>
            </w:r>
            <w:r w:rsidR="008D180D">
              <w:rPr>
                <w:webHidden/>
              </w:rPr>
              <w:fldChar w:fldCharType="end"/>
            </w:r>
          </w:hyperlink>
        </w:p>
        <w:p w:rsidR="008D180D" w:rsidRDefault="008D180D">
          <w:pPr>
            <w:pStyle w:val="TOC2"/>
            <w:rPr>
              <w:rFonts w:asciiTheme="minorHAnsi" w:eastAsiaTheme="minorEastAsia" w:hAnsiTheme="minorHAnsi"/>
              <w:lang w:eastAsia="en-AU"/>
            </w:rPr>
          </w:pPr>
          <w:hyperlink w:anchor="_Toc486230997" w:history="1">
            <w:r w:rsidRPr="003B3584">
              <w:rPr>
                <w:rStyle w:val="Hyperlink"/>
              </w:rPr>
              <w:t>Definitions</w:t>
            </w:r>
            <w:r>
              <w:rPr>
                <w:webHidden/>
              </w:rPr>
              <w:tab/>
            </w:r>
            <w:r>
              <w:rPr>
                <w:webHidden/>
              </w:rPr>
              <w:fldChar w:fldCharType="begin"/>
            </w:r>
            <w:r>
              <w:rPr>
                <w:webHidden/>
              </w:rPr>
              <w:instrText xml:space="preserve"> PAGEREF _Toc486230997 \h </w:instrText>
            </w:r>
            <w:r>
              <w:rPr>
                <w:webHidden/>
              </w:rPr>
            </w:r>
            <w:r>
              <w:rPr>
                <w:webHidden/>
              </w:rPr>
              <w:fldChar w:fldCharType="separate"/>
            </w:r>
            <w:r>
              <w:rPr>
                <w:webHidden/>
              </w:rPr>
              <w:t>5</w:t>
            </w:r>
            <w:r>
              <w:rPr>
                <w:webHidden/>
              </w:rPr>
              <w:fldChar w:fldCharType="end"/>
            </w:r>
          </w:hyperlink>
        </w:p>
        <w:p w:rsidR="008D180D" w:rsidRDefault="008D180D">
          <w:pPr>
            <w:pStyle w:val="TOC2"/>
            <w:rPr>
              <w:rFonts w:asciiTheme="minorHAnsi" w:eastAsiaTheme="minorEastAsia" w:hAnsiTheme="minorHAnsi"/>
              <w:lang w:eastAsia="en-AU"/>
            </w:rPr>
          </w:pPr>
          <w:hyperlink w:anchor="_Toc486230998" w:history="1">
            <w:r w:rsidRPr="003B3584">
              <w:rPr>
                <w:rStyle w:val="Hyperlink"/>
              </w:rPr>
              <w:t>Other documents</w:t>
            </w:r>
            <w:r>
              <w:rPr>
                <w:webHidden/>
              </w:rPr>
              <w:tab/>
            </w:r>
            <w:r>
              <w:rPr>
                <w:webHidden/>
              </w:rPr>
              <w:fldChar w:fldCharType="begin"/>
            </w:r>
            <w:r>
              <w:rPr>
                <w:webHidden/>
              </w:rPr>
              <w:instrText xml:space="preserve"> PAGEREF _Toc486230998 \h </w:instrText>
            </w:r>
            <w:r>
              <w:rPr>
                <w:webHidden/>
              </w:rPr>
            </w:r>
            <w:r>
              <w:rPr>
                <w:webHidden/>
              </w:rPr>
              <w:fldChar w:fldCharType="separate"/>
            </w:r>
            <w:r>
              <w:rPr>
                <w:webHidden/>
              </w:rPr>
              <w:t>5</w:t>
            </w:r>
            <w:r>
              <w:rPr>
                <w:webHidden/>
              </w:rPr>
              <w:fldChar w:fldCharType="end"/>
            </w:r>
          </w:hyperlink>
        </w:p>
        <w:p w:rsidR="008D180D" w:rsidRDefault="008D180D">
          <w:pPr>
            <w:pStyle w:val="TOC2"/>
            <w:rPr>
              <w:rFonts w:asciiTheme="minorHAnsi" w:eastAsiaTheme="minorEastAsia" w:hAnsiTheme="minorHAnsi"/>
              <w:lang w:eastAsia="en-AU"/>
            </w:rPr>
          </w:pPr>
          <w:hyperlink w:anchor="_Toc486230999" w:history="1">
            <w:r w:rsidRPr="003B3584">
              <w:rPr>
                <w:rStyle w:val="Hyperlink"/>
              </w:rPr>
              <w:t>Nonconformity guide</w:t>
            </w:r>
            <w:r>
              <w:rPr>
                <w:webHidden/>
              </w:rPr>
              <w:tab/>
            </w:r>
            <w:r>
              <w:rPr>
                <w:webHidden/>
              </w:rPr>
              <w:fldChar w:fldCharType="begin"/>
            </w:r>
            <w:r>
              <w:rPr>
                <w:webHidden/>
              </w:rPr>
              <w:instrText xml:space="preserve"> PAGEREF _Toc486230999 \h </w:instrText>
            </w:r>
            <w:r>
              <w:rPr>
                <w:webHidden/>
              </w:rPr>
            </w:r>
            <w:r>
              <w:rPr>
                <w:webHidden/>
              </w:rPr>
              <w:fldChar w:fldCharType="separate"/>
            </w:r>
            <w:r>
              <w:rPr>
                <w:webHidden/>
              </w:rPr>
              <w:t>5</w:t>
            </w:r>
            <w:r>
              <w:rPr>
                <w:webHidden/>
              </w:rPr>
              <w:fldChar w:fldCharType="end"/>
            </w:r>
          </w:hyperlink>
        </w:p>
        <w:p w:rsidR="008D180D" w:rsidRDefault="008D180D">
          <w:pPr>
            <w:pStyle w:val="TOC1"/>
            <w:rPr>
              <w:rFonts w:asciiTheme="minorHAnsi" w:eastAsiaTheme="minorEastAsia" w:hAnsiTheme="minorHAnsi"/>
              <w:b w:val="0"/>
              <w:lang w:eastAsia="en-AU"/>
            </w:rPr>
          </w:pPr>
          <w:hyperlink w:anchor="_Toc486231000" w:history="1">
            <w:r w:rsidRPr="003B3584">
              <w:rPr>
                <w:rStyle w:val="Hyperlink"/>
              </w:rPr>
              <w:t>AA Requirements</w:t>
            </w:r>
            <w:r>
              <w:rPr>
                <w:webHidden/>
              </w:rPr>
              <w:tab/>
            </w:r>
            <w:r>
              <w:rPr>
                <w:webHidden/>
              </w:rPr>
              <w:fldChar w:fldCharType="begin"/>
            </w:r>
            <w:r>
              <w:rPr>
                <w:webHidden/>
              </w:rPr>
              <w:instrText xml:space="preserve"> PAGEREF _Toc486231000 \h </w:instrText>
            </w:r>
            <w:r>
              <w:rPr>
                <w:webHidden/>
              </w:rPr>
            </w:r>
            <w:r>
              <w:rPr>
                <w:webHidden/>
              </w:rPr>
              <w:fldChar w:fldCharType="separate"/>
            </w:r>
            <w:r>
              <w:rPr>
                <w:webHidden/>
              </w:rPr>
              <w:t>6</w:t>
            </w:r>
            <w:r>
              <w:rPr>
                <w:webHidden/>
              </w:rPr>
              <w:fldChar w:fldCharType="end"/>
            </w:r>
          </w:hyperlink>
        </w:p>
        <w:p w:rsidR="008D180D" w:rsidRDefault="008D180D">
          <w:pPr>
            <w:pStyle w:val="TOC1"/>
            <w:rPr>
              <w:rFonts w:asciiTheme="minorHAnsi" w:eastAsiaTheme="minorEastAsia" w:hAnsiTheme="minorHAnsi"/>
              <w:b w:val="0"/>
              <w:lang w:eastAsia="en-AU"/>
            </w:rPr>
          </w:pPr>
          <w:hyperlink w:anchor="_Toc486231001" w:history="1">
            <w:r w:rsidRPr="003B3584">
              <w:rPr>
                <w:rStyle w:val="Hyperlink"/>
              </w:rPr>
              <w:t>Attachment 1—Action required for each biosecurity level</w:t>
            </w:r>
            <w:r>
              <w:rPr>
                <w:webHidden/>
              </w:rPr>
              <w:tab/>
            </w:r>
            <w:r>
              <w:rPr>
                <w:webHidden/>
              </w:rPr>
              <w:fldChar w:fldCharType="begin"/>
            </w:r>
            <w:r>
              <w:rPr>
                <w:webHidden/>
              </w:rPr>
              <w:instrText xml:space="preserve"> PAGEREF _Toc486231001 \h </w:instrText>
            </w:r>
            <w:r>
              <w:rPr>
                <w:webHidden/>
              </w:rPr>
            </w:r>
            <w:r>
              <w:rPr>
                <w:webHidden/>
              </w:rPr>
              <w:fldChar w:fldCharType="separate"/>
            </w:r>
            <w:r>
              <w:rPr>
                <w:webHidden/>
              </w:rPr>
              <w:t>20</w:t>
            </w:r>
            <w:r>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bookmarkStart w:id="2" w:name="_GoBack"/>
      <w:bookmarkEnd w:id="2"/>
    </w:p>
    <w:p w:rsidR="00064698" w:rsidRDefault="00064698" w:rsidP="00064698">
      <w:pPr>
        <w:pStyle w:val="Heading2"/>
        <w:numPr>
          <w:ilvl w:val="0"/>
          <w:numId w:val="0"/>
        </w:numPr>
        <w:ind w:left="720" w:hanging="720"/>
      </w:pPr>
      <w:bookmarkStart w:id="3" w:name="_Toc486230996"/>
      <w:r>
        <w:lastRenderedPageBreak/>
        <w:t>Guide to using this document</w:t>
      </w:r>
      <w:bookmarkEnd w:id="3"/>
    </w:p>
    <w:p w:rsidR="00064698" w:rsidRDefault="00064698" w:rsidP="00064698">
      <w:r>
        <w:t xml:space="preserve">This document sets out the requirements that must be met before the relevant Director will consider approval for the provision of biosecurity activities under </w:t>
      </w:r>
      <w:r w:rsidRPr="00C317DA">
        <w:rPr>
          <w:rStyle w:val="Emphasis"/>
        </w:rPr>
        <w:t>section 406</w:t>
      </w:r>
      <w:r>
        <w:t xml:space="preserve"> of the </w:t>
      </w:r>
      <w:r w:rsidRPr="00C317DA">
        <w:rPr>
          <w:rStyle w:val="Emphasis"/>
        </w:rPr>
        <w:t>Biosecurity Act 2015</w:t>
      </w:r>
      <w:r>
        <w:t xml:space="preserve">, otherwise known as an </w:t>
      </w:r>
      <w:r w:rsidR="005C26F5">
        <w:t>a</w:t>
      </w:r>
      <w:r>
        <w:t xml:space="preserve">pproved </w:t>
      </w:r>
      <w:r w:rsidR="005C26F5">
        <w:t>a</w:t>
      </w:r>
      <w:r>
        <w:t>rrangement (AA).</w:t>
      </w:r>
    </w:p>
    <w:p w:rsidR="00064698" w:rsidRDefault="00064698" w:rsidP="00064698">
      <w:r>
        <w:t>This document specifies the requirements to be met for the approval, operation and audit of this class of AA. Compliance with the requirements will be assessed by audit.</w:t>
      </w:r>
    </w:p>
    <w:p w:rsidR="00064698" w:rsidRDefault="00064698" w:rsidP="00064698">
      <w:r>
        <w:t xml:space="preserve">In the event of any inconsistency between these requirements and any Import Permit condition, the Import Permit condition applies. If the </w:t>
      </w:r>
      <w:r w:rsidR="005C26F5">
        <w:t>a</w:t>
      </w:r>
      <w:r>
        <w:t xml:space="preserve">pplicant chooses to use automatic language translation services in connection with this document, it is done so at the </w:t>
      </w:r>
      <w:r w:rsidR="005C26F5">
        <w:t>a</w:t>
      </w:r>
      <w:r>
        <w:t>pplicant’s risk.</w:t>
      </w:r>
    </w:p>
    <w:p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rsidR="00064698" w:rsidRDefault="00C317DA" w:rsidP="00064698">
      <w:r>
        <w:t>Further information on AAs</w:t>
      </w:r>
      <w:r w:rsidR="00064698">
        <w:t xml:space="preserve">, </w:t>
      </w:r>
      <w:r>
        <w:t>AA</w:t>
      </w:r>
      <w:r w:rsidR="00064698">
        <w:t xml:space="preserve"> regional contact details and copies of relevant </w:t>
      </w:r>
      <w:r>
        <w:t>AA</w:t>
      </w:r>
      <w:r w:rsidR="00064698">
        <w:t xml:space="preserve"> documentation is available on the </w:t>
      </w:r>
      <w:hyperlink r:id="rId14" w:history="1">
        <w:r w:rsidR="00064698" w:rsidRPr="00087377">
          <w:rPr>
            <w:rStyle w:val="Hyperlink"/>
          </w:rPr>
          <w:t>department’s website</w:t>
        </w:r>
      </w:hyperlink>
      <w:r>
        <w:t>.</w:t>
      </w:r>
    </w:p>
    <w:p w:rsidR="00064698" w:rsidRDefault="00064698" w:rsidP="00064698">
      <w:pPr>
        <w:pStyle w:val="Heading3"/>
      </w:pPr>
      <w:bookmarkStart w:id="4" w:name="_Toc486230997"/>
      <w:r>
        <w:t>Definitions</w:t>
      </w:r>
      <w:bookmarkEnd w:id="4"/>
    </w:p>
    <w:p w:rsidR="00064698" w:rsidRDefault="00064698" w:rsidP="00064698">
      <w:r>
        <w:t xml:space="preserve">Definitions that are not contained within the Approved Arrangements Glossary can be found in the </w:t>
      </w:r>
      <w:r w:rsidRPr="00C317DA">
        <w:rPr>
          <w:rStyle w:val="Emphasis"/>
        </w:rPr>
        <w:t>Biosecurity Act 2015</w:t>
      </w:r>
      <w:r>
        <w:t xml:space="preserve"> or the most recent edition of the Macquarie Dictionary.</w:t>
      </w:r>
    </w:p>
    <w:p w:rsidR="00064698" w:rsidRDefault="00064698" w:rsidP="00064698">
      <w:pPr>
        <w:pStyle w:val="Heading3"/>
      </w:pPr>
      <w:bookmarkStart w:id="5" w:name="_Toc486230998"/>
      <w:r>
        <w:t>Other documents</w:t>
      </w:r>
      <w:bookmarkEnd w:id="5"/>
    </w:p>
    <w:p w:rsidR="00064698" w:rsidRDefault="00064698" w:rsidP="00064698">
      <w:r>
        <w:t xml:space="preserve">The </w:t>
      </w:r>
      <w:r w:rsidRPr="00682D89">
        <w:rPr>
          <w:rStyle w:val="Emphasis"/>
        </w:rPr>
        <w:t xml:space="preserve">AA </w:t>
      </w:r>
      <w:r w:rsidR="005C26F5" w:rsidRPr="00682D89">
        <w:rPr>
          <w:rStyle w:val="Emphasis"/>
        </w:rPr>
        <w:t>g</w:t>
      </w:r>
      <w:r w:rsidRPr="00682D89">
        <w:rPr>
          <w:rStyle w:val="Emphasis"/>
        </w:rPr>
        <w:t xml:space="preserve">eneral </w:t>
      </w:r>
      <w:r w:rsidR="005C26F5" w:rsidRPr="00682D89">
        <w:rPr>
          <w:rStyle w:val="Emphasis"/>
        </w:rPr>
        <w:t>p</w:t>
      </w:r>
      <w:r w:rsidRPr="00682D89">
        <w:rPr>
          <w:rStyle w:val="Emphasis"/>
        </w:rPr>
        <w:t>olicies</w:t>
      </w:r>
      <w:r>
        <w:t xml:space="preserve">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6" w:name="_Toc486230999"/>
      <w:r>
        <w:t>Nonconformity guide</w:t>
      </w:r>
      <w:bookmarkEnd w:id="6"/>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5C26F5">
        <w:t>b</w:t>
      </w:r>
      <w:r>
        <w:t xml:space="preserve">iosecurity </w:t>
      </w:r>
      <w:r w:rsidR="005C26F5">
        <w:t>o</w:t>
      </w:r>
      <w:r>
        <w:t>fficer.</w:t>
      </w:r>
    </w:p>
    <w:p w:rsidR="00064698" w:rsidRDefault="00064698" w:rsidP="00064698">
      <w:r>
        <w:t xml:space="preserve">Nonconformity classifications are detailed in the </w:t>
      </w:r>
      <w:r w:rsidRPr="00682D89">
        <w:rPr>
          <w:rStyle w:val="Emphasis"/>
        </w:rPr>
        <w:t xml:space="preserve">AA </w:t>
      </w:r>
      <w:r w:rsidR="005C26F5" w:rsidRPr="00682D89">
        <w:rPr>
          <w:rStyle w:val="Emphasis"/>
        </w:rPr>
        <w:t>g</w:t>
      </w:r>
      <w:r w:rsidRPr="00682D89">
        <w:rPr>
          <w:rStyle w:val="Emphasis"/>
        </w:rPr>
        <w:t xml:space="preserve">eneral </w:t>
      </w:r>
      <w:r w:rsidR="005C26F5" w:rsidRPr="00682D89">
        <w:rPr>
          <w:rStyle w:val="Emphasis"/>
        </w:rPr>
        <w:t>p</w:t>
      </w:r>
      <w:r w:rsidRPr="00682D89">
        <w:rPr>
          <w:rStyle w:val="Emphasis"/>
        </w:rPr>
        <w:t>olicies</w:t>
      </w:r>
      <w:r>
        <w:t>.</w:t>
      </w:r>
    </w:p>
    <w:p w:rsidR="00064698" w:rsidRDefault="00064698" w:rsidP="00064698">
      <w:pPr>
        <w:pStyle w:val="Heading2"/>
        <w:numPr>
          <w:ilvl w:val="0"/>
          <w:numId w:val="0"/>
        </w:numPr>
        <w:ind w:left="720" w:hanging="720"/>
      </w:pPr>
      <w:bookmarkStart w:id="7" w:name="_Toc486231000"/>
      <w:r>
        <w:lastRenderedPageBreak/>
        <w:t xml:space="preserve">AA </w:t>
      </w:r>
      <w:r w:rsidR="00806F49" w:rsidRPr="00806F49">
        <w:t>Requirements</w:t>
      </w:r>
      <w:bookmarkEnd w:id="7"/>
    </w:p>
    <w:p w:rsidR="00C317DA" w:rsidRDefault="00C317DA" w:rsidP="00C317DA">
      <w:pPr>
        <w:pStyle w:val="Caption"/>
      </w:pPr>
      <w:r>
        <w:t xml:space="preserve">Table </w:t>
      </w:r>
      <w:r w:rsidR="00AE7C56">
        <w:fldChar w:fldCharType="begin"/>
      </w:r>
      <w:r w:rsidR="00AE7C56">
        <w:instrText xml:space="preserve"> SEQ Table \* ARABIC </w:instrText>
      </w:r>
      <w:r w:rsidR="00AE7C56">
        <w:fldChar w:fldCharType="separate"/>
      </w:r>
      <w:r w:rsidR="00905385">
        <w:rPr>
          <w:noProof/>
        </w:rPr>
        <w:t>1</w:t>
      </w:r>
      <w:r w:rsidR="00AE7C56">
        <w:rPr>
          <w:noProof/>
        </w:rPr>
        <w:fldChar w:fldCharType="end"/>
      </w:r>
      <w:r>
        <w:t xml:space="preserve"> Purpose</w:t>
      </w:r>
    </w:p>
    <w:tbl>
      <w:tblPr>
        <w:tblStyle w:val="TableGrid"/>
        <w:tblW w:w="0" w:type="auto"/>
        <w:tblLook w:val="04A0" w:firstRow="1" w:lastRow="0" w:firstColumn="1" w:lastColumn="0" w:noHBand="0" w:noVBand="1"/>
      </w:tblPr>
      <w:tblGrid>
        <w:gridCol w:w="4530"/>
        <w:gridCol w:w="4530"/>
      </w:tblGrid>
      <w:tr w:rsidR="00C317DA" w:rsidTr="00C317DA">
        <w:trPr>
          <w:cantSplit/>
          <w:tblHeader/>
        </w:trPr>
        <w:tc>
          <w:tcPr>
            <w:tcW w:w="4530" w:type="dxa"/>
          </w:tcPr>
          <w:p w:rsidR="00C317DA" w:rsidRDefault="00C317DA" w:rsidP="00C317DA">
            <w:pPr>
              <w:pStyle w:val="TableHeading"/>
              <w:rPr>
                <w:lang w:eastAsia="ja-JP"/>
              </w:rPr>
            </w:pPr>
            <w:r>
              <w:rPr>
                <w:lang w:eastAsia="ja-JP"/>
              </w:rPr>
              <w:t>Requirements</w:t>
            </w:r>
          </w:p>
        </w:tc>
        <w:tc>
          <w:tcPr>
            <w:tcW w:w="4530" w:type="dxa"/>
          </w:tcPr>
          <w:p w:rsidR="00C317DA" w:rsidRDefault="00C317DA" w:rsidP="00C317DA">
            <w:pPr>
              <w:pStyle w:val="TableHeading"/>
              <w:rPr>
                <w:lang w:eastAsia="ja-JP"/>
              </w:rPr>
            </w:pPr>
            <w:r>
              <w:rPr>
                <w:lang w:eastAsia="ja-JP"/>
              </w:rPr>
              <w:t>Nonconformity guide</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1.1 </w:t>
            </w:r>
            <w:r w:rsidRPr="00FD2376">
              <w:t>AA sites utilised for the handling, storage, inspection and treatment of empty shipping containers. These sites are not approved to carry out any other biosecurity operations.</w:t>
            </w:r>
          </w:p>
        </w:tc>
        <w:tc>
          <w:tcPr>
            <w:tcW w:w="4530" w:type="dxa"/>
          </w:tcPr>
          <w:p w:rsidR="00C317DA" w:rsidRDefault="00C317DA" w:rsidP="00C317DA">
            <w:pPr>
              <w:pStyle w:val="TableText"/>
              <w:rPr>
                <w:lang w:eastAsia="ja-JP"/>
              </w:rPr>
            </w:pPr>
            <w:r>
              <w:rPr>
                <w:lang w:eastAsia="ja-JP"/>
              </w:rPr>
              <w:t>Not applicable</w:t>
            </w:r>
          </w:p>
        </w:tc>
      </w:tr>
    </w:tbl>
    <w:p w:rsidR="00C317DA" w:rsidRDefault="00C317DA" w:rsidP="00C317DA">
      <w:pPr>
        <w:pStyle w:val="Caption"/>
        <w:spacing w:before="240"/>
      </w:pPr>
      <w:r>
        <w:t xml:space="preserve">Table </w:t>
      </w:r>
      <w:r w:rsidR="00AE7C56">
        <w:fldChar w:fldCharType="begin"/>
      </w:r>
      <w:r w:rsidR="00AE7C56">
        <w:instrText xml:space="preserve"> SEQ Table \* ARABIC </w:instrText>
      </w:r>
      <w:r w:rsidR="00AE7C56">
        <w:fldChar w:fldCharType="separate"/>
      </w:r>
      <w:r w:rsidR="00905385">
        <w:rPr>
          <w:noProof/>
        </w:rPr>
        <w:t>2</w:t>
      </w:r>
      <w:r w:rsidR="00AE7C56">
        <w:rPr>
          <w:noProof/>
        </w:rPr>
        <w:fldChar w:fldCharType="end"/>
      </w:r>
      <w:r>
        <w:t xml:space="preserve"> Site location</w:t>
      </w:r>
    </w:p>
    <w:tbl>
      <w:tblPr>
        <w:tblStyle w:val="TableGrid"/>
        <w:tblW w:w="0" w:type="auto"/>
        <w:tblLook w:val="04A0" w:firstRow="1" w:lastRow="0" w:firstColumn="1" w:lastColumn="0" w:noHBand="0" w:noVBand="1"/>
      </w:tblPr>
      <w:tblGrid>
        <w:gridCol w:w="4530"/>
        <w:gridCol w:w="4530"/>
      </w:tblGrid>
      <w:tr w:rsidR="00C317DA" w:rsidTr="00C317DA">
        <w:trPr>
          <w:cantSplit/>
          <w:tblHeader/>
        </w:trPr>
        <w:tc>
          <w:tcPr>
            <w:tcW w:w="4530" w:type="dxa"/>
          </w:tcPr>
          <w:p w:rsidR="00C317DA" w:rsidRDefault="00C317DA" w:rsidP="00C317DA">
            <w:pPr>
              <w:pStyle w:val="TableHeading"/>
              <w:rPr>
                <w:lang w:eastAsia="ja-JP"/>
              </w:rPr>
            </w:pPr>
            <w:r>
              <w:rPr>
                <w:lang w:eastAsia="ja-JP"/>
              </w:rPr>
              <w:t>Requirements</w:t>
            </w:r>
          </w:p>
        </w:tc>
        <w:tc>
          <w:tcPr>
            <w:tcW w:w="4530" w:type="dxa"/>
          </w:tcPr>
          <w:p w:rsidR="00C317DA" w:rsidRDefault="00C317DA" w:rsidP="00C317DA">
            <w:pPr>
              <w:pStyle w:val="TableHeading"/>
              <w:rPr>
                <w:lang w:eastAsia="ja-JP"/>
              </w:rPr>
            </w:pPr>
            <w:r>
              <w:rPr>
                <w:lang w:eastAsia="ja-JP"/>
              </w:rPr>
              <w:t>Nonconformity guide</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2.1 </w:t>
            </w:r>
            <w:r w:rsidR="00682D89" w:rsidRPr="00682D89">
              <w:t>AA sites must generally be located within the metropolitan area of a declared port that has a permanently based Biosecurity Officer. Applications are subject to approval by the Director of Biosecurity and will be considered on their individual merits with consideration being given to the biosecurity risk and serviceability associated wi</w:t>
            </w:r>
            <w:r w:rsidR="00682D89">
              <w:t>th the location of each AA site</w:t>
            </w:r>
            <w:r w:rsidRPr="00FD2376">
              <w:t>.</w:t>
            </w:r>
          </w:p>
        </w:tc>
        <w:tc>
          <w:tcPr>
            <w:tcW w:w="4530" w:type="dxa"/>
          </w:tcPr>
          <w:p w:rsidR="00C317DA" w:rsidRDefault="00C317DA" w:rsidP="00C317DA">
            <w:pPr>
              <w:pStyle w:val="TableText"/>
              <w:rPr>
                <w:lang w:eastAsia="ja-JP"/>
              </w:rPr>
            </w:pPr>
            <w:r>
              <w:rPr>
                <w:lang w:eastAsia="ja-JP"/>
              </w:rPr>
              <w:t>Not applicable</w:t>
            </w:r>
          </w:p>
        </w:tc>
      </w:tr>
    </w:tbl>
    <w:p w:rsidR="00C317DA" w:rsidRDefault="00C317DA" w:rsidP="00C317DA">
      <w:pPr>
        <w:pStyle w:val="Caption"/>
        <w:spacing w:before="240"/>
      </w:pPr>
      <w:r>
        <w:lastRenderedPageBreak/>
        <w:t xml:space="preserve">Table </w:t>
      </w:r>
      <w:r w:rsidR="00AE7C56">
        <w:fldChar w:fldCharType="begin"/>
      </w:r>
      <w:r w:rsidR="00AE7C56">
        <w:instrText xml:space="preserve"> SEQ Table \* ARABIC </w:instrText>
      </w:r>
      <w:r w:rsidR="00AE7C56">
        <w:fldChar w:fldCharType="separate"/>
      </w:r>
      <w:r w:rsidR="00905385">
        <w:rPr>
          <w:noProof/>
        </w:rPr>
        <w:t>3</w:t>
      </w:r>
      <w:r w:rsidR="00AE7C56">
        <w:rPr>
          <w:noProof/>
        </w:rPr>
        <w:fldChar w:fldCharType="end"/>
      </w:r>
      <w:r>
        <w:t xml:space="preserve"> </w:t>
      </w:r>
      <w:r w:rsidR="00682D89">
        <w:t>Biosecurity area</w:t>
      </w:r>
    </w:p>
    <w:tbl>
      <w:tblPr>
        <w:tblStyle w:val="TableGrid"/>
        <w:tblW w:w="0" w:type="auto"/>
        <w:tblLook w:val="04A0" w:firstRow="1" w:lastRow="0" w:firstColumn="1" w:lastColumn="0" w:noHBand="0" w:noVBand="1"/>
      </w:tblPr>
      <w:tblGrid>
        <w:gridCol w:w="4530"/>
        <w:gridCol w:w="4530"/>
      </w:tblGrid>
      <w:tr w:rsidR="00C317DA" w:rsidTr="00C317DA">
        <w:trPr>
          <w:cantSplit/>
          <w:tblHeader/>
        </w:trPr>
        <w:tc>
          <w:tcPr>
            <w:tcW w:w="4530" w:type="dxa"/>
          </w:tcPr>
          <w:p w:rsidR="00C317DA" w:rsidRDefault="00C317DA" w:rsidP="00C317DA">
            <w:pPr>
              <w:pStyle w:val="TableHeading"/>
              <w:rPr>
                <w:lang w:eastAsia="ja-JP"/>
              </w:rPr>
            </w:pPr>
            <w:r>
              <w:rPr>
                <w:lang w:eastAsia="ja-JP"/>
              </w:rPr>
              <w:t>Requirements</w:t>
            </w:r>
          </w:p>
        </w:tc>
        <w:tc>
          <w:tcPr>
            <w:tcW w:w="4530" w:type="dxa"/>
          </w:tcPr>
          <w:p w:rsidR="00C317DA" w:rsidRDefault="00C317DA" w:rsidP="00C317DA">
            <w:pPr>
              <w:pStyle w:val="TableHeading"/>
              <w:rPr>
                <w:lang w:eastAsia="ja-JP"/>
              </w:rPr>
            </w:pPr>
            <w:r>
              <w:rPr>
                <w:lang w:eastAsia="ja-JP"/>
              </w:rPr>
              <w:t>Nonconformity guide</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3.1 </w:t>
            </w:r>
            <w:r w:rsidR="00682D89" w:rsidRPr="00682D89">
              <w:t>Security measures must be in place that prevent access and removal of goods subject to biosecurity control by unauthorised persons.</w:t>
            </w:r>
          </w:p>
        </w:tc>
        <w:tc>
          <w:tcPr>
            <w:tcW w:w="4530" w:type="dxa"/>
          </w:tcPr>
          <w:p w:rsidR="00C317DA" w:rsidRDefault="00C317DA" w:rsidP="00682D89">
            <w:pPr>
              <w:pStyle w:val="TableText"/>
              <w:rPr>
                <w:lang w:eastAsia="ja-JP"/>
              </w:rPr>
            </w:pPr>
            <w:r>
              <w:rPr>
                <w:lang w:eastAsia="ja-JP"/>
              </w:rPr>
              <w:t>M</w:t>
            </w:r>
            <w:r w:rsidR="00682D89">
              <w:rPr>
                <w:lang w:eastAsia="ja-JP"/>
              </w:rPr>
              <w:t>ajor</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3.2 </w:t>
            </w:r>
            <w:r w:rsidR="00B5355F" w:rsidRPr="00B5355F">
              <w:t>The biosecurity area must be located behind a permanently fixed, person-proof security fence.</w:t>
            </w:r>
          </w:p>
        </w:tc>
        <w:tc>
          <w:tcPr>
            <w:tcW w:w="4530" w:type="dxa"/>
          </w:tcPr>
          <w:p w:rsidR="00C317DA" w:rsidRDefault="00C317DA" w:rsidP="00C317DA">
            <w:pPr>
              <w:pStyle w:val="TableText"/>
              <w:rPr>
                <w:lang w:eastAsia="ja-JP"/>
              </w:rPr>
            </w:pPr>
            <w:r>
              <w:rPr>
                <w:lang w:eastAsia="ja-JP"/>
              </w:rPr>
              <w:t>Major</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3.3 </w:t>
            </w:r>
            <w:r w:rsidR="00B5355F" w:rsidRPr="00B5355F">
              <w:t>The biosecurity area must be of a size commensurate with the proposed quantity of goods being handled.</w:t>
            </w:r>
          </w:p>
        </w:tc>
        <w:tc>
          <w:tcPr>
            <w:tcW w:w="4530" w:type="dxa"/>
          </w:tcPr>
          <w:p w:rsidR="00C317DA" w:rsidRDefault="00C317DA" w:rsidP="00C317DA">
            <w:pPr>
              <w:pStyle w:val="TableText"/>
              <w:rPr>
                <w:lang w:eastAsia="ja-JP"/>
              </w:rPr>
            </w:pPr>
            <w:r>
              <w:rPr>
                <w:lang w:eastAsia="ja-JP"/>
              </w:rPr>
              <w:t>Major</w:t>
            </w:r>
          </w:p>
        </w:tc>
      </w:tr>
      <w:tr w:rsidR="00C317DA" w:rsidTr="00C317DA">
        <w:trPr>
          <w:cantSplit/>
          <w:tblHeader/>
        </w:trPr>
        <w:tc>
          <w:tcPr>
            <w:tcW w:w="4530" w:type="dxa"/>
          </w:tcPr>
          <w:p w:rsidR="00C317DA" w:rsidRDefault="00C317DA" w:rsidP="00C317DA">
            <w:pPr>
              <w:pStyle w:val="TableText"/>
              <w:rPr>
                <w:lang w:eastAsia="ja-JP"/>
              </w:rPr>
            </w:pPr>
            <w:r>
              <w:rPr>
                <w:lang w:eastAsia="ja-JP"/>
              </w:rPr>
              <w:t xml:space="preserve">3.4 </w:t>
            </w:r>
            <w:r w:rsidR="00B5355F" w:rsidRPr="00B5355F">
              <w:t>Areas where goods subject to biosecurity control are stored, handled or treated must display a sign to effectively convey that status.</w:t>
            </w:r>
          </w:p>
        </w:tc>
        <w:tc>
          <w:tcPr>
            <w:tcW w:w="4530" w:type="dxa"/>
          </w:tcPr>
          <w:p w:rsidR="00C317DA" w:rsidRDefault="00B5355F" w:rsidP="00C317DA">
            <w:pPr>
              <w:pStyle w:val="TableText"/>
              <w:rPr>
                <w:lang w:eastAsia="ja-JP"/>
              </w:rPr>
            </w:pPr>
            <w:r>
              <w:rPr>
                <w:lang w:eastAsia="ja-JP"/>
              </w:rPr>
              <w:t>Minor</w:t>
            </w:r>
          </w:p>
        </w:tc>
      </w:tr>
      <w:tr w:rsidR="00C317DA" w:rsidTr="00C317DA">
        <w:trPr>
          <w:cantSplit/>
          <w:tblHeader/>
        </w:trPr>
        <w:tc>
          <w:tcPr>
            <w:tcW w:w="4530" w:type="dxa"/>
          </w:tcPr>
          <w:p w:rsidR="00B5355F" w:rsidRDefault="00C317DA" w:rsidP="00B5355F">
            <w:pPr>
              <w:pStyle w:val="TableText"/>
            </w:pPr>
            <w:r>
              <w:rPr>
                <w:lang w:eastAsia="ja-JP"/>
              </w:rPr>
              <w:t xml:space="preserve">3.5 </w:t>
            </w:r>
            <w:r w:rsidR="00B5355F">
              <w:t>Biosecurity signs must:</w:t>
            </w:r>
          </w:p>
          <w:p w:rsidR="00B5355F" w:rsidRPr="00B5355F" w:rsidRDefault="00B5355F" w:rsidP="00B5355F">
            <w:pPr>
              <w:pStyle w:val="TableBullet"/>
            </w:pPr>
            <w:r w:rsidRPr="00B5355F">
              <w:t>be securely affixed</w:t>
            </w:r>
          </w:p>
          <w:p w:rsidR="00B5355F" w:rsidRPr="00B5355F" w:rsidRDefault="00B5355F" w:rsidP="00B5355F">
            <w:pPr>
              <w:pStyle w:val="TableBullet"/>
            </w:pPr>
            <w:r w:rsidRPr="00B5355F">
              <w:t>be durable</w:t>
            </w:r>
          </w:p>
          <w:p w:rsidR="00B5355F" w:rsidRPr="00B5355F" w:rsidRDefault="00B5355F" w:rsidP="00B5355F">
            <w:pPr>
              <w:pStyle w:val="TableBullet"/>
            </w:pPr>
            <w:r w:rsidRPr="00B5355F">
              <w:t>be prominently displayed and able to be clearly read by persons approaching the area at all times</w:t>
            </w:r>
          </w:p>
          <w:p w:rsidR="00B5355F" w:rsidRPr="00B5355F" w:rsidRDefault="00B5355F" w:rsidP="00B5355F">
            <w:pPr>
              <w:pStyle w:val="TableBullet"/>
            </w:pPr>
            <w:r w:rsidRPr="00B5355F">
              <w:t>have black lettering</w:t>
            </w:r>
            <w:r w:rsidR="00DA3ED0">
              <w:t xml:space="preserve"> </w:t>
            </w:r>
            <w:r w:rsidRPr="00B5355F">
              <w:t>on yellow background</w:t>
            </w:r>
          </w:p>
          <w:p w:rsidR="00C317DA" w:rsidRDefault="00B5355F" w:rsidP="00B5355F">
            <w:pPr>
              <w:pStyle w:val="TableBullet"/>
              <w:rPr>
                <w:lang w:eastAsia="ja-JP"/>
              </w:rPr>
            </w:pPr>
            <w:proofErr w:type="gramStart"/>
            <w:r w:rsidRPr="00B5355F">
              <w:t>contain</w:t>
            </w:r>
            <w:proofErr w:type="gramEnd"/>
            <w:r w:rsidRPr="00B5355F">
              <w:t xml:space="preserve"> the words ‘Biosecurity area – No unauthorised entry or removal of goods. Penalties apply.’ or words to similar effect</w:t>
            </w:r>
            <w:r w:rsidR="00C317DA" w:rsidRPr="00B5355F">
              <w:t>.</w:t>
            </w:r>
          </w:p>
        </w:tc>
        <w:tc>
          <w:tcPr>
            <w:tcW w:w="4530" w:type="dxa"/>
          </w:tcPr>
          <w:p w:rsidR="00C317DA" w:rsidRDefault="00B5355F" w:rsidP="00C317DA">
            <w:pPr>
              <w:pStyle w:val="TableText"/>
              <w:rPr>
                <w:lang w:eastAsia="ja-JP"/>
              </w:rPr>
            </w:pPr>
            <w:r>
              <w:rPr>
                <w:lang w:eastAsia="ja-JP"/>
              </w:rPr>
              <w:t>Minor</w:t>
            </w:r>
          </w:p>
        </w:tc>
      </w:tr>
      <w:tr w:rsidR="00B5355F" w:rsidTr="00C317DA">
        <w:trPr>
          <w:cantSplit/>
          <w:tblHeader/>
        </w:trPr>
        <w:tc>
          <w:tcPr>
            <w:tcW w:w="4530" w:type="dxa"/>
          </w:tcPr>
          <w:p w:rsidR="00B5355F" w:rsidRDefault="00B5355F" w:rsidP="00B5355F">
            <w:pPr>
              <w:pStyle w:val="TableText"/>
              <w:rPr>
                <w:lang w:eastAsia="ja-JP"/>
              </w:rPr>
            </w:pPr>
            <w:r>
              <w:rPr>
                <w:lang w:eastAsia="ja-JP"/>
              </w:rPr>
              <w:t xml:space="preserve">3.6 </w:t>
            </w:r>
            <w:r w:rsidRPr="00E8783F">
              <w:rPr>
                <w:rFonts w:asciiTheme="majorHAnsi" w:hAnsiTheme="majorHAnsi" w:cstheme="majorHAnsi"/>
                <w:bCs/>
              </w:rPr>
              <w:t>Where containers are stored prior to being inspected by the department for Giant African Snail (GAS), an approved snail baiting program must be carried out around those containers.</w:t>
            </w:r>
          </w:p>
        </w:tc>
        <w:tc>
          <w:tcPr>
            <w:tcW w:w="4530" w:type="dxa"/>
          </w:tcPr>
          <w:p w:rsidR="00B5355F" w:rsidRDefault="00B5355F" w:rsidP="00C317DA">
            <w:pPr>
              <w:pStyle w:val="TableText"/>
              <w:rPr>
                <w:lang w:eastAsia="ja-JP"/>
              </w:rPr>
            </w:pPr>
            <w:r>
              <w:rPr>
                <w:lang w:eastAsia="ja-JP"/>
              </w:rPr>
              <w:t>Major</w:t>
            </w:r>
          </w:p>
        </w:tc>
      </w:tr>
      <w:tr w:rsidR="00B5355F" w:rsidTr="00C317DA">
        <w:trPr>
          <w:cantSplit/>
          <w:tblHeader/>
        </w:trPr>
        <w:tc>
          <w:tcPr>
            <w:tcW w:w="4530" w:type="dxa"/>
          </w:tcPr>
          <w:p w:rsidR="00B5355F" w:rsidRDefault="00B5355F" w:rsidP="00B5355F">
            <w:pPr>
              <w:pStyle w:val="TableText"/>
              <w:rPr>
                <w:lang w:eastAsia="ja-JP"/>
              </w:rPr>
            </w:pPr>
            <w:r>
              <w:rPr>
                <w:lang w:eastAsia="ja-JP"/>
              </w:rPr>
              <w:t xml:space="preserve">3.7 </w:t>
            </w:r>
            <w:r>
              <w:rPr>
                <w:rFonts w:asciiTheme="majorHAnsi" w:hAnsiTheme="majorHAnsi" w:cstheme="majorHAnsi"/>
                <w:bCs/>
              </w:rPr>
              <w:t xml:space="preserve">The biosecurity </w:t>
            </w:r>
            <w:r w:rsidRPr="00E8783F">
              <w:rPr>
                <w:rFonts w:asciiTheme="majorHAnsi" w:hAnsiTheme="majorHAnsi" w:cstheme="majorHAnsi"/>
                <w:bCs/>
              </w:rPr>
              <w:t xml:space="preserve">area (including storage and </w:t>
            </w:r>
            <w:proofErr w:type="spellStart"/>
            <w:r w:rsidRPr="00E8783F">
              <w:rPr>
                <w:rFonts w:asciiTheme="majorHAnsi" w:hAnsiTheme="majorHAnsi" w:cstheme="majorHAnsi"/>
                <w:bCs/>
              </w:rPr>
              <w:t>receival</w:t>
            </w:r>
            <w:proofErr w:type="spellEnd"/>
            <w:r w:rsidRPr="00E8783F">
              <w:rPr>
                <w:rFonts w:asciiTheme="majorHAnsi" w:hAnsiTheme="majorHAnsi" w:cstheme="majorHAnsi"/>
                <w:bCs/>
              </w:rPr>
              <w:t xml:space="preserve"> zones, chutes etc.), must be kept clean. Cargo and packaging residues, contaminants and spillages must be cleaned up and cor</w:t>
            </w:r>
            <w:r>
              <w:rPr>
                <w:rFonts w:asciiTheme="majorHAnsi" w:hAnsiTheme="majorHAnsi" w:cstheme="majorHAnsi"/>
                <w:bCs/>
              </w:rPr>
              <w:t>rectly disposed of as biosecurity</w:t>
            </w:r>
            <w:r w:rsidRPr="00E8783F">
              <w:rPr>
                <w:rFonts w:asciiTheme="majorHAnsi" w:hAnsiTheme="majorHAnsi" w:cstheme="majorHAnsi"/>
                <w:bCs/>
              </w:rPr>
              <w:t xml:space="preserve"> waste without delay</w:t>
            </w:r>
            <w:r>
              <w:rPr>
                <w:rFonts w:asciiTheme="majorHAnsi" w:hAnsiTheme="majorHAnsi" w:cstheme="majorHAnsi"/>
                <w:bCs/>
              </w:rPr>
              <w:t>.</w:t>
            </w:r>
          </w:p>
        </w:tc>
        <w:tc>
          <w:tcPr>
            <w:tcW w:w="4530" w:type="dxa"/>
          </w:tcPr>
          <w:p w:rsidR="00B5355F" w:rsidRDefault="00B5355F" w:rsidP="00C317DA">
            <w:pPr>
              <w:pStyle w:val="TableText"/>
              <w:rPr>
                <w:lang w:eastAsia="ja-JP"/>
              </w:rPr>
            </w:pPr>
            <w:r>
              <w:rPr>
                <w:lang w:eastAsia="ja-JP"/>
              </w:rPr>
              <w:t>Major</w:t>
            </w:r>
          </w:p>
        </w:tc>
      </w:tr>
      <w:tr w:rsidR="00B5355F" w:rsidRPr="00B5355F" w:rsidTr="00C317DA">
        <w:trPr>
          <w:cantSplit/>
          <w:tblHeader/>
        </w:trPr>
        <w:tc>
          <w:tcPr>
            <w:tcW w:w="4530" w:type="dxa"/>
          </w:tcPr>
          <w:p w:rsidR="00B5355F" w:rsidRPr="00B5355F" w:rsidRDefault="00B5355F" w:rsidP="00B5355F">
            <w:pPr>
              <w:pStyle w:val="TableText"/>
            </w:pPr>
            <w:r w:rsidRPr="00B5355F">
              <w:t>3.8 The biosecurity area must have an impervious floor that is in good condition and free of significant cracking which may enable the escape of insects, or allow weeds to become established.</w:t>
            </w:r>
          </w:p>
        </w:tc>
        <w:tc>
          <w:tcPr>
            <w:tcW w:w="4530" w:type="dxa"/>
          </w:tcPr>
          <w:p w:rsidR="00B5355F" w:rsidRPr="00B5355F" w:rsidRDefault="00B5355F" w:rsidP="00B5355F">
            <w:pPr>
              <w:pStyle w:val="TableText"/>
            </w:pPr>
            <w:r>
              <w:t>Major</w:t>
            </w:r>
          </w:p>
        </w:tc>
      </w:tr>
      <w:tr w:rsidR="00B5355F" w:rsidRPr="00B5355F" w:rsidTr="00C317DA">
        <w:trPr>
          <w:cantSplit/>
          <w:tblHeader/>
        </w:trPr>
        <w:tc>
          <w:tcPr>
            <w:tcW w:w="4530" w:type="dxa"/>
          </w:tcPr>
          <w:p w:rsidR="00B5355F" w:rsidRPr="00B5355F" w:rsidRDefault="00B5355F" w:rsidP="00B5355F">
            <w:pPr>
              <w:pStyle w:val="TableText"/>
            </w:pPr>
            <w:r w:rsidRPr="00B5355F">
              <w:t>3.9 The biosecurity area must allow for biosecurity officers to easily inspect goods without work health and safety risks.</w:t>
            </w:r>
          </w:p>
        </w:tc>
        <w:tc>
          <w:tcPr>
            <w:tcW w:w="4530" w:type="dxa"/>
          </w:tcPr>
          <w:p w:rsidR="00B5355F" w:rsidRPr="00B5355F" w:rsidRDefault="00B5355F" w:rsidP="00B5355F">
            <w:pPr>
              <w:pStyle w:val="TableText"/>
            </w:pPr>
            <w:r w:rsidRPr="00B5355F">
              <w:t>Major</w:t>
            </w:r>
          </w:p>
        </w:tc>
      </w:tr>
    </w:tbl>
    <w:p w:rsidR="0095475C" w:rsidRDefault="0095475C" w:rsidP="0095475C">
      <w:pPr>
        <w:pStyle w:val="Caption"/>
        <w:spacing w:before="240"/>
      </w:pPr>
      <w:r>
        <w:lastRenderedPageBreak/>
        <w:t xml:space="preserve">Table </w:t>
      </w:r>
      <w:r w:rsidR="00B5355F">
        <w:t>4</w:t>
      </w:r>
      <w:r>
        <w:t xml:space="preserve"> Hygiene</w:t>
      </w:r>
    </w:p>
    <w:tbl>
      <w:tblPr>
        <w:tblStyle w:val="TableGrid"/>
        <w:tblW w:w="0" w:type="auto"/>
        <w:tblLook w:val="04A0" w:firstRow="1" w:lastRow="0" w:firstColumn="1" w:lastColumn="0" w:noHBand="0" w:noVBand="1"/>
      </w:tblPr>
      <w:tblGrid>
        <w:gridCol w:w="4530"/>
        <w:gridCol w:w="4530"/>
      </w:tblGrid>
      <w:tr w:rsidR="00C317DA" w:rsidTr="0095475C">
        <w:trPr>
          <w:cantSplit/>
          <w:tblHeader/>
        </w:trPr>
        <w:tc>
          <w:tcPr>
            <w:tcW w:w="4530" w:type="dxa"/>
          </w:tcPr>
          <w:p w:rsidR="00C317DA" w:rsidRDefault="0095475C" w:rsidP="00C317DA">
            <w:pPr>
              <w:pStyle w:val="TableHeading"/>
              <w:rPr>
                <w:lang w:eastAsia="ja-JP"/>
              </w:rPr>
            </w:pPr>
            <w:r>
              <w:rPr>
                <w:lang w:eastAsia="ja-JP"/>
              </w:rPr>
              <w:t>Requirements</w:t>
            </w:r>
          </w:p>
        </w:tc>
        <w:tc>
          <w:tcPr>
            <w:tcW w:w="4530" w:type="dxa"/>
          </w:tcPr>
          <w:p w:rsidR="00C317DA" w:rsidRDefault="0095475C" w:rsidP="00C317DA">
            <w:pPr>
              <w:pStyle w:val="TableHeading"/>
              <w:rPr>
                <w:lang w:eastAsia="ja-JP"/>
              </w:rPr>
            </w:pPr>
            <w:r>
              <w:rPr>
                <w:lang w:eastAsia="ja-JP"/>
              </w:rPr>
              <w:t>Nonconformity guide</w:t>
            </w:r>
          </w:p>
        </w:tc>
      </w:tr>
      <w:tr w:rsidR="00C317DA" w:rsidTr="0095475C">
        <w:trPr>
          <w:cantSplit/>
          <w:tblHeader/>
        </w:trPr>
        <w:tc>
          <w:tcPr>
            <w:tcW w:w="4530" w:type="dxa"/>
          </w:tcPr>
          <w:p w:rsidR="0095475C" w:rsidRDefault="00B5355F" w:rsidP="0095475C">
            <w:pPr>
              <w:pStyle w:val="TableText"/>
            </w:pPr>
            <w:r>
              <w:rPr>
                <w:lang w:eastAsia="ja-JP"/>
              </w:rPr>
              <w:t>4</w:t>
            </w:r>
            <w:r w:rsidR="0095475C">
              <w:rPr>
                <w:lang w:eastAsia="ja-JP"/>
              </w:rPr>
              <w:t xml:space="preserve">.1 </w:t>
            </w:r>
            <w:r w:rsidR="0095475C">
              <w:t>An effective pest control system must be in place to ensure that sites are managed in a way that effectively isolates goods subject to biosecurity control from environments in which pests and diseases are likely to become established. As a minimum, this will require the sites to implement and keep associated records of a periodic inspection regime, and ensure knockdown spray (</w:t>
            </w:r>
            <w:r>
              <w:t>such as</w:t>
            </w:r>
            <w:r w:rsidR="0095475C">
              <w:t xml:space="preserve"> standard household aerosol insecticide spray) is kept onsite. In addition to details of the inspection regime and the onsite location of the knockdown spray, the pest control system may include:</w:t>
            </w:r>
          </w:p>
          <w:p w:rsidR="0095475C" w:rsidRDefault="0095475C" w:rsidP="0095475C">
            <w:pPr>
              <w:pStyle w:val="TableBullet"/>
            </w:pPr>
            <w:r>
              <w:t>the use of insecticides, fumigation, rodenticides, periodic inspection, baits and/or traps</w:t>
            </w:r>
          </w:p>
          <w:p w:rsidR="0095475C" w:rsidRDefault="0095475C" w:rsidP="0095475C">
            <w:pPr>
              <w:pStyle w:val="TableBullet"/>
            </w:pPr>
            <w:r>
              <w:t>a site plan with numbered bait stations</w:t>
            </w:r>
          </w:p>
          <w:p w:rsidR="00C317DA" w:rsidRDefault="0095475C" w:rsidP="0095475C">
            <w:pPr>
              <w:pStyle w:val="TableBullet"/>
            </w:pPr>
            <w:proofErr w:type="gramStart"/>
            <w:r>
              <w:t>if</w:t>
            </w:r>
            <w:proofErr w:type="gramEnd"/>
            <w:r>
              <w:t xml:space="preserve"> applicable, contract details.</w:t>
            </w:r>
          </w:p>
        </w:tc>
        <w:tc>
          <w:tcPr>
            <w:tcW w:w="4530" w:type="dxa"/>
          </w:tcPr>
          <w:p w:rsidR="00C317DA" w:rsidRDefault="0095475C" w:rsidP="00C317DA">
            <w:pPr>
              <w:pStyle w:val="TableText"/>
              <w:rPr>
                <w:lang w:eastAsia="ja-JP"/>
              </w:rPr>
            </w:pPr>
            <w:r>
              <w:rPr>
                <w:lang w:eastAsia="ja-JP"/>
              </w:rPr>
              <w:t>Major</w:t>
            </w:r>
          </w:p>
        </w:tc>
      </w:tr>
    </w:tbl>
    <w:p w:rsidR="0095475C" w:rsidRDefault="0095475C" w:rsidP="0095475C">
      <w:pPr>
        <w:pStyle w:val="Caption"/>
        <w:spacing w:before="240"/>
      </w:pPr>
      <w:r>
        <w:t xml:space="preserve">Table </w:t>
      </w:r>
      <w:r w:rsidR="00B5355F">
        <w:t>5</w:t>
      </w:r>
      <w:r>
        <w:t xml:space="preserve"> Fumigation</w:t>
      </w:r>
    </w:p>
    <w:tbl>
      <w:tblPr>
        <w:tblStyle w:val="TableGrid"/>
        <w:tblW w:w="0" w:type="auto"/>
        <w:tblLook w:val="04A0" w:firstRow="1" w:lastRow="0" w:firstColumn="1" w:lastColumn="0" w:noHBand="0" w:noVBand="1"/>
      </w:tblPr>
      <w:tblGrid>
        <w:gridCol w:w="4530"/>
        <w:gridCol w:w="4530"/>
      </w:tblGrid>
      <w:tr w:rsidR="0095475C" w:rsidTr="0095475C">
        <w:trPr>
          <w:cantSplit/>
          <w:tblHeader/>
        </w:trPr>
        <w:tc>
          <w:tcPr>
            <w:tcW w:w="4530" w:type="dxa"/>
          </w:tcPr>
          <w:p w:rsidR="0095475C" w:rsidRDefault="0095475C" w:rsidP="0095475C">
            <w:pPr>
              <w:pStyle w:val="TableHeading"/>
              <w:rPr>
                <w:lang w:eastAsia="ja-JP"/>
              </w:rPr>
            </w:pPr>
            <w:r>
              <w:rPr>
                <w:lang w:eastAsia="ja-JP"/>
              </w:rPr>
              <w:t>Requirements</w:t>
            </w:r>
            <w:r w:rsidR="00B5355F">
              <w:rPr>
                <w:lang w:eastAsia="ja-JP"/>
              </w:rPr>
              <w:t xml:space="preserve"> for sites with biosecurity fumigation facilities</w:t>
            </w:r>
          </w:p>
        </w:tc>
        <w:tc>
          <w:tcPr>
            <w:tcW w:w="4530" w:type="dxa"/>
          </w:tcPr>
          <w:p w:rsidR="0095475C" w:rsidRDefault="0095475C" w:rsidP="0095475C">
            <w:pPr>
              <w:pStyle w:val="TableHeading"/>
              <w:rPr>
                <w:lang w:eastAsia="ja-JP"/>
              </w:rPr>
            </w:pPr>
            <w:r>
              <w:rPr>
                <w:lang w:eastAsia="ja-JP"/>
              </w:rPr>
              <w:t>Nonconformity guide</w:t>
            </w:r>
          </w:p>
        </w:tc>
      </w:tr>
      <w:tr w:rsidR="0095475C" w:rsidTr="0095475C">
        <w:trPr>
          <w:cantSplit/>
          <w:tblHeader/>
        </w:trPr>
        <w:tc>
          <w:tcPr>
            <w:tcW w:w="4530" w:type="dxa"/>
          </w:tcPr>
          <w:p w:rsidR="0095475C" w:rsidRDefault="00B5355F" w:rsidP="0095475C">
            <w:pPr>
              <w:pStyle w:val="TableText"/>
              <w:rPr>
                <w:lang w:eastAsia="ja-JP"/>
              </w:rPr>
            </w:pPr>
            <w:r>
              <w:rPr>
                <w:lang w:eastAsia="ja-JP"/>
              </w:rPr>
              <w:t>5</w:t>
            </w:r>
            <w:r w:rsidR="0095475C">
              <w:rPr>
                <w:lang w:eastAsia="ja-JP"/>
              </w:rPr>
              <w:t xml:space="preserve">.1 </w:t>
            </w:r>
            <w:r w:rsidR="0095475C" w:rsidRPr="00FD2376">
              <w:t>AA sites must have a licensed fumigator available to carry out fumigation at short notice.</w:t>
            </w:r>
          </w:p>
        </w:tc>
        <w:tc>
          <w:tcPr>
            <w:tcW w:w="4530" w:type="dxa"/>
          </w:tcPr>
          <w:p w:rsidR="0095475C" w:rsidRDefault="0095475C" w:rsidP="0095475C">
            <w:pPr>
              <w:pStyle w:val="TableText"/>
              <w:rPr>
                <w:lang w:eastAsia="ja-JP"/>
              </w:rPr>
            </w:pPr>
            <w:r>
              <w:rPr>
                <w:lang w:eastAsia="ja-JP"/>
              </w:rPr>
              <w:t>Major</w:t>
            </w:r>
          </w:p>
        </w:tc>
      </w:tr>
      <w:tr w:rsidR="0095475C" w:rsidRPr="00B5355F" w:rsidTr="0095475C">
        <w:trPr>
          <w:cantSplit/>
          <w:tblHeader/>
        </w:trPr>
        <w:tc>
          <w:tcPr>
            <w:tcW w:w="4530" w:type="dxa"/>
          </w:tcPr>
          <w:p w:rsidR="0095475C" w:rsidRPr="00B5355F" w:rsidRDefault="00B5355F" w:rsidP="00B5355F">
            <w:pPr>
              <w:pStyle w:val="TableText"/>
            </w:pPr>
            <w:r w:rsidRPr="00B5355F">
              <w:t>5.2 The location and size of the fumigation area must be clearly marked on a site plan.</w:t>
            </w:r>
          </w:p>
        </w:tc>
        <w:tc>
          <w:tcPr>
            <w:tcW w:w="4530" w:type="dxa"/>
          </w:tcPr>
          <w:p w:rsidR="0095475C" w:rsidRPr="00B5355F" w:rsidRDefault="00B5355F" w:rsidP="00B5355F">
            <w:pPr>
              <w:pStyle w:val="TableText"/>
            </w:pPr>
            <w:r>
              <w:t>Minor</w:t>
            </w:r>
          </w:p>
        </w:tc>
      </w:tr>
      <w:tr w:rsidR="0095475C" w:rsidTr="0095475C">
        <w:trPr>
          <w:cantSplit/>
          <w:tblHeader/>
        </w:trPr>
        <w:tc>
          <w:tcPr>
            <w:tcW w:w="4530" w:type="dxa"/>
          </w:tcPr>
          <w:p w:rsidR="00B5355F" w:rsidRPr="00373AE5" w:rsidRDefault="00B5355F" w:rsidP="00B5355F">
            <w:pPr>
              <w:pStyle w:val="TableText"/>
              <w:rPr>
                <w:strike/>
              </w:rPr>
            </w:pPr>
            <w:r>
              <w:rPr>
                <w:lang w:eastAsia="ja-JP"/>
              </w:rPr>
              <w:t xml:space="preserve">5.3 </w:t>
            </w:r>
            <w:r w:rsidRPr="00373AE5">
              <w:t>The fumigation area must have a:</w:t>
            </w:r>
          </w:p>
          <w:p w:rsidR="00B5355F" w:rsidRPr="00373AE5" w:rsidRDefault="00B5355F" w:rsidP="00B5355F">
            <w:pPr>
              <w:pStyle w:val="TableBullet"/>
              <w:rPr>
                <w:strike/>
              </w:rPr>
            </w:pPr>
            <w:r w:rsidRPr="00373AE5">
              <w:t>minimum 3 metres clearance around the enclosure in the open or 6 metres where the area is located in an enclosed facility</w:t>
            </w:r>
          </w:p>
          <w:p w:rsidR="0095475C" w:rsidRPr="00B5355F" w:rsidRDefault="00B5355F" w:rsidP="00B5355F">
            <w:pPr>
              <w:pStyle w:val="TableBullet"/>
              <w:rPr>
                <w:rFonts w:asciiTheme="majorHAnsi" w:hAnsiTheme="majorHAnsi" w:cstheme="majorHAnsi"/>
                <w:sz w:val="22"/>
              </w:rPr>
            </w:pPr>
            <w:proofErr w:type="gramStart"/>
            <w:r w:rsidRPr="00373AE5">
              <w:t>power</w:t>
            </w:r>
            <w:proofErr w:type="gramEnd"/>
            <w:r w:rsidRPr="00373AE5">
              <w:t xml:space="preserve"> supply available (either mains or generator).</w:t>
            </w:r>
          </w:p>
        </w:tc>
        <w:tc>
          <w:tcPr>
            <w:tcW w:w="4530" w:type="dxa"/>
          </w:tcPr>
          <w:p w:rsidR="0095475C" w:rsidRDefault="0095475C" w:rsidP="0095475C">
            <w:pPr>
              <w:pStyle w:val="TableText"/>
              <w:rPr>
                <w:lang w:eastAsia="ja-JP"/>
              </w:rPr>
            </w:pPr>
            <w:r>
              <w:rPr>
                <w:lang w:eastAsia="ja-JP"/>
              </w:rPr>
              <w:t>Major</w:t>
            </w:r>
          </w:p>
        </w:tc>
      </w:tr>
      <w:tr w:rsidR="0095475C" w:rsidRPr="004C4E17" w:rsidTr="0095475C">
        <w:trPr>
          <w:cantSplit/>
          <w:tblHeader/>
        </w:trPr>
        <w:tc>
          <w:tcPr>
            <w:tcW w:w="4530" w:type="dxa"/>
          </w:tcPr>
          <w:p w:rsidR="0095475C" w:rsidRPr="004C4E17" w:rsidRDefault="00B5355F" w:rsidP="004C4E17">
            <w:pPr>
              <w:pStyle w:val="TableText"/>
            </w:pPr>
            <w:r w:rsidRPr="004C4E17">
              <w:t>5.4 The fumigation site floor, for sheeted containers and stacks must be impermeable to the fumigant.</w:t>
            </w:r>
          </w:p>
        </w:tc>
        <w:tc>
          <w:tcPr>
            <w:tcW w:w="4530" w:type="dxa"/>
          </w:tcPr>
          <w:p w:rsidR="0095475C" w:rsidRPr="004C4E17" w:rsidRDefault="00B5355F" w:rsidP="004C4E17">
            <w:pPr>
              <w:pStyle w:val="TableText"/>
            </w:pPr>
            <w:r w:rsidRPr="004C4E17">
              <w:t>Major</w:t>
            </w:r>
          </w:p>
        </w:tc>
      </w:tr>
      <w:tr w:rsidR="0095475C" w:rsidTr="0095475C">
        <w:trPr>
          <w:cantSplit/>
          <w:tblHeader/>
        </w:trPr>
        <w:tc>
          <w:tcPr>
            <w:tcW w:w="4530" w:type="dxa"/>
          </w:tcPr>
          <w:p w:rsidR="00DA3ED0" w:rsidRDefault="004C4E17" w:rsidP="004C4E17">
            <w:pPr>
              <w:pStyle w:val="TableText"/>
            </w:pPr>
            <w:r>
              <w:rPr>
                <w:lang w:eastAsia="ja-JP"/>
              </w:rPr>
              <w:t xml:space="preserve">5.5 </w:t>
            </w:r>
            <w:r w:rsidRPr="00603446">
              <w:t>Goods being moved off site for fumigation must be:</w:t>
            </w:r>
          </w:p>
          <w:p w:rsidR="004C4E17" w:rsidRDefault="004C4E17" w:rsidP="004C4E17">
            <w:pPr>
              <w:pStyle w:val="TableBullet"/>
            </w:pPr>
            <w:r w:rsidRPr="00603446">
              <w:t>secured in order to prevent the potential es</w:t>
            </w:r>
            <w:r>
              <w:t>cape and/or spread of biosecurity</w:t>
            </w:r>
            <w:r w:rsidRPr="00603446">
              <w:t xml:space="preserve"> risk material</w:t>
            </w:r>
          </w:p>
          <w:p w:rsidR="0095475C" w:rsidRDefault="004C4E17" w:rsidP="004C4E17">
            <w:pPr>
              <w:pStyle w:val="TableBullet"/>
              <w:rPr>
                <w:lang w:eastAsia="ja-JP"/>
              </w:rPr>
            </w:pPr>
            <w:proofErr w:type="gramStart"/>
            <w:r>
              <w:t>transported</w:t>
            </w:r>
            <w:proofErr w:type="gramEnd"/>
            <w:r>
              <w:t xml:space="preserve"> directly to a department approved site, in line with the applicable departmental direction.</w:t>
            </w:r>
          </w:p>
        </w:tc>
        <w:tc>
          <w:tcPr>
            <w:tcW w:w="4530" w:type="dxa"/>
          </w:tcPr>
          <w:p w:rsidR="0095475C" w:rsidRDefault="0095475C" w:rsidP="0095475C">
            <w:pPr>
              <w:pStyle w:val="TableText"/>
              <w:rPr>
                <w:lang w:eastAsia="ja-JP"/>
              </w:rPr>
            </w:pPr>
          </w:p>
        </w:tc>
      </w:tr>
    </w:tbl>
    <w:p w:rsidR="0095475C" w:rsidRDefault="0095475C" w:rsidP="0095475C">
      <w:pPr>
        <w:pStyle w:val="Caption"/>
        <w:spacing w:before="240"/>
      </w:pPr>
      <w:r>
        <w:lastRenderedPageBreak/>
        <w:t xml:space="preserve">Table </w:t>
      </w:r>
      <w:r w:rsidR="004C4E17">
        <w:t xml:space="preserve">6A </w:t>
      </w:r>
      <w:r>
        <w:t>Wash bays</w:t>
      </w:r>
    </w:p>
    <w:tbl>
      <w:tblPr>
        <w:tblStyle w:val="TableGrid"/>
        <w:tblW w:w="0" w:type="auto"/>
        <w:tblLook w:val="04A0" w:firstRow="1" w:lastRow="0" w:firstColumn="1" w:lastColumn="0" w:noHBand="0" w:noVBand="1"/>
      </w:tblPr>
      <w:tblGrid>
        <w:gridCol w:w="4530"/>
        <w:gridCol w:w="4530"/>
      </w:tblGrid>
      <w:tr w:rsidR="0095475C" w:rsidTr="0095475C">
        <w:trPr>
          <w:cantSplit/>
          <w:tblHeader/>
        </w:trPr>
        <w:tc>
          <w:tcPr>
            <w:tcW w:w="4530" w:type="dxa"/>
          </w:tcPr>
          <w:p w:rsidR="0095475C" w:rsidRDefault="0095475C" w:rsidP="0095475C">
            <w:pPr>
              <w:pStyle w:val="TableHeading"/>
              <w:rPr>
                <w:lang w:eastAsia="ja-JP"/>
              </w:rPr>
            </w:pPr>
            <w:r>
              <w:rPr>
                <w:lang w:eastAsia="ja-JP"/>
              </w:rPr>
              <w:t>Requirements</w:t>
            </w:r>
          </w:p>
        </w:tc>
        <w:tc>
          <w:tcPr>
            <w:tcW w:w="4530" w:type="dxa"/>
          </w:tcPr>
          <w:p w:rsidR="0095475C" w:rsidRDefault="0095475C" w:rsidP="0095475C">
            <w:pPr>
              <w:pStyle w:val="TableHeading"/>
              <w:rPr>
                <w:lang w:eastAsia="ja-JP"/>
              </w:rPr>
            </w:pPr>
            <w:r>
              <w:rPr>
                <w:lang w:eastAsia="ja-JP"/>
              </w:rPr>
              <w:t>Nonconformity guide</w:t>
            </w:r>
          </w:p>
        </w:tc>
      </w:tr>
      <w:tr w:rsidR="0095475C" w:rsidTr="0095475C">
        <w:trPr>
          <w:cantSplit/>
          <w:tblHeader/>
        </w:trPr>
        <w:tc>
          <w:tcPr>
            <w:tcW w:w="4530" w:type="dxa"/>
          </w:tcPr>
          <w:p w:rsidR="0095475C" w:rsidRDefault="004C4E17" w:rsidP="0095475C">
            <w:pPr>
              <w:pStyle w:val="TableText"/>
              <w:rPr>
                <w:lang w:eastAsia="ja-JP"/>
              </w:rPr>
            </w:pPr>
            <w:r>
              <w:rPr>
                <w:lang w:eastAsia="ja-JP"/>
              </w:rPr>
              <w:t xml:space="preserve">6.1 </w:t>
            </w:r>
            <w:r w:rsidRPr="004C4E17">
              <w:rPr>
                <w:lang w:eastAsia="ja-JP"/>
              </w:rPr>
              <w:t>The location and size of the wash bay must be clearly marked on the site plan</w:t>
            </w:r>
          </w:p>
        </w:tc>
        <w:tc>
          <w:tcPr>
            <w:tcW w:w="4530" w:type="dxa"/>
          </w:tcPr>
          <w:p w:rsidR="0095475C" w:rsidRDefault="004C4E17" w:rsidP="0095475C">
            <w:pPr>
              <w:pStyle w:val="TableText"/>
              <w:rPr>
                <w:lang w:eastAsia="ja-JP"/>
              </w:rPr>
            </w:pPr>
            <w:r>
              <w:rPr>
                <w:lang w:eastAsia="ja-JP"/>
              </w:rPr>
              <w:t>Mino</w:t>
            </w:r>
            <w:r w:rsidR="0095475C">
              <w:rPr>
                <w:lang w:eastAsia="ja-JP"/>
              </w:rPr>
              <w:t>r</w:t>
            </w:r>
          </w:p>
        </w:tc>
      </w:tr>
      <w:tr w:rsidR="0095475C" w:rsidTr="0095475C">
        <w:trPr>
          <w:cantSplit/>
          <w:tblHeader/>
        </w:trPr>
        <w:tc>
          <w:tcPr>
            <w:tcW w:w="4530" w:type="dxa"/>
          </w:tcPr>
          <w:p w:rsidR="0095475C" w:rsidRDefault="004C4E17" w:rsidP="0095475C">
            <w:pPr>
              <w:pStyle w:val="TableText"/>
              <w:rPr>
                <w:lang w:eastAsia="ja-JP"/>
              </w:rPr>
            </w:pPr>
            <w:r>
              <w:rPr>
                <w:lang w:eastAsia="ja-JP"/>
              </w:rPr>
              <w:t xml:space="preserve">6.2 </w:t>
            </w:r>
            <w:r w:rsidRPr="004C4E17">
              <w:rPr>
                <w:lang w:eastAsia="ja-JP"/>
              </w:rPr>
              <w:t>The wash bay must be commensurate with the size of the proposed imports to be handled by the site.</w:t>
            </w:r>
          </w:p>
        </w:tc>
        <w:tc>
          <w:tcPr>
            <w:tcW w:w="4530" w:type="dxa"/>
          </w:tcPr>
          <w:p w:rsidR="0095475C" w:rsidRDefault="0095475C" w:rsidP="0095475C">
            <w:pPr>
              <w:pStyle w:val="TableText"/>
              <w:rPr>
                <w:lang w:eastAsia="ja-JP"/>
              </w:rPr>
            </w:pPr>
            <w:r>
              <w:rPr>
                <w:lang w:eastAsia="ja-JP"/>
              </w:rPr>
              <w:t>Major</w:t>
            </w:r>
          </w:p>
        </w:tc>
      </w:tr>
      <w:tr w:rsidR="0095475C" w:rsidTr="0095475C">
        <w:trPr>
          <w:cantSplit/>
          <w:tblHeader/>
        </w:trPr>
        <w:tc>
          <w:tcPr>
            <w:tcW w:w="4530" w:type="dxa"/>
          </w:tcPr>
          <w:p w:rsidR="0095475C" w:rsidRDefault="004C4E17" w:rsidP="0095475C">
            <w:pPr>
              <w:pStyle w:val="TableText"/>
              <w:rPr>
                <w:lang w:eastAsia="ja-JP"/>
              </w:rPr>
            </w:pPr>
            <w:r>
              <w:rPr>
                <w:lang w:eastAsia="ja-JP"/>
              </w:rPr>
              <w:t xml:space="preserve">6.3 </w:t>
            </w:r>
            <w:r w:rsidRPr="004C4E17">
              <w:rPr>
                <w:lang w:eastAsia="ja-JP"/>
              </w:rPr>
              <w:t>No unauthorised traffic or personnel (those not involved in the cleaning of goods subject to biosecurity control) or equipment are permitted on the wash pad, ramp or wash bay during treatments and cleaning.</w:t>
            </w:r>
          </w:p>
        </w:tc>
        <w:tc>
          <w:tcPr>
            <w:tcW w:w="4530" w:type="dxa"/>
          </w:tcPr>
          <w:p w:rsidR="0095475C" w:rsidRDefault="0095475C" w:rsidP="0095475C">
            <w:pPr>
              <w:pStyle w:val="TableText"/>
              <w:rPr>
                <w:lang w:eastAsia="ja-JP"/>
              </w:rPr>
            </w:pPr>
            <w:r>
              <w:rPr>
                <w:lang w:eastAsia="ja-JP"/>
              </w:rPr>
              <w:t>Major</w:t>
            </w:r>
          </w:p>
        </w:tc>
      </w:tr>
      <w:tr w:rsidR="0095475C" w:rsidTr="0095475C">
        <w:trPr>
          <w:cantSplit/>
          <w:tblHeader/>
        </w:trPr>
        <w:tc>
          <w:tcPr>
            <w:tcW w:w="4530" w:type="dxa"/>
          </w:tcPr>
          <w:p w:rsidR="004C4E17" w:rsidRDefault="004C4E17" w:rsidP="004C4E17">
            <w:pPr>
              <w:pStyle w:val="TableText"/>
              <w:rPr>
                <w:lang w:eastAsia="ja-JP"/>
              </w:rPr>
            </w:pPr>
            <w:r>
              <w:rPr>
                <w:lang w:eastAsia="ja-JP"/>
              </w:rPr>
              <w:t>6.4 The wash bay must be constructed in accordance with the following:</w:t>
            </w:r>
          </w:p>
          <w:p w:rsidR="004C4E17" w:rsidRPr="004C4E17" w:rsidRDefault="004C4E17" w:rsidP="004C4E17">
            <w:pPr>
              <w:pStyle w:val="TableBullet"/>
            </w:pPr>
            <w:r w:rsidRPr="004C4E17">
              <w:t>a concrete floor which is liquid impervious</w:t>
            </w:r>
          </w:p>
          <w:p w:rsidR="004C4E17" w:rsidRPr="004C4E17" w:rsidRDefault="004C4E17" w:rsidP="004C4E17">
            <w:pPr>
              <w:pStyle w:val="TableBullet"/>
            </w:pPr>
            <w:proofErr w:type="gramStart"/>
            <w:r w:rsidRPr="004C4E17">
              <w:t>a</w:t>
            </w:r>
            <w:proofErr w:type="gramEnd"/>
            <w:r w:rsidRPr="004C4E17">
              <w:t xml:space="preserve"> floor drain leading into a soil trap which is connected directly to municipal sewer or to another waste water disposal system approved by the department.</w:t>
            </w:r>
          </w:p>
          <w:p w:rsidR="0095475C" w:rsidRDefault="004C4E17" w:rsidP="004C4E17">
            <w:pPr>
              <w:pStyle w:val="TableBullet"/>
              <w:rPr>
                <w:lang w:eastAsia="ja-JP"/>
              </w:rPr>
            </w:pPr>
            <w:proofErr w:type="gramStart"/>
            <w:r w:rsidRPr="004C4E17">
              <w:t>any</w:t>
            </w:r>
            <w:proofErr w:type="gramEnd"/>
            <w:r w:rsidRPr="004C4E17">
              <w:t xml:space="preserve"> waste water storage, treatment and reticulation system must be enclosed.</w:t>
            </w:r>
          </w:p>
        </w:tc>
        <w:tc>
          <w:tcPr>
            <w:tcW w:w="4530" w:type="dxa"/>
          </w:tcPr>
          <w:p w:rsidR="0095475C" w:rsidRDefault="0095475C" w:rsidP="0095475C">
            <w:pPr>
              <w:pStyle w:val="TableText"/>
              <w:rPr>
                <w:lang w:eastAsia="ja-JP"/>
              </w:rPr>
            </w:pPr>
            <w:r>
              <w:rPr>
                <w:lang w:eastAsia="ja-JP"/>
              </w:rPr>
              <w:t>Major</w:t>
            </w:r>
          </w:p>
        </w:tc>
      </w:tr>
      <w:tr w:rsidR="0095475C" w:rsidTr="0095475C">
        <w:trPr>
          <w:cantSplit/>
          <w:tblHeader/>
        </w:trPr>
        <w:tc>
          <w:tcPr>
            <w:tcW w:w="4530" w:type="dxa"/>
          </w:tcPr>
          <w:p w:rsidR="0095475C" w:rsidRDefault="004C4E17" w:rsidP="004C4E17">
            <w:pPr>
              <w:pStyle w:val="TableText"/>
              <w:rPr>
                <w:lang w:eastAsia="ja-JP"/>
              </w:rPr>
            </w:pPr>
            <w:r>
              <w:rPr>
                <w:lang w:eastAsia="ja-JP"/>
              </w:rPr>
              <w:t xml:space="preserve">6.5 </w:t>
            </w:r>
            <w:r w:rsidRPr="004C4E17">
              <w:rPr>
                <w:lang w:eastAsia="ja-JP"/>
              </w:rPr>
              <w:t xml:space="preserve">There must be adequate equipment available in order to carry out cleaning (steam/high pressure) and chemical disinfection spraying operations as directed by </w:t>
            </w:r>
            <w:r>
              <w:rPr>
                <w:lang w:eastAsia="ja-JP"/>
              </w:rPr>
              <w:t>biosecurity o</w:t>
            </w:r>
            <w:r w:rsidRPr="004C4E17">
              <w:rPr>
                <w:lang w:eastAsia="ja-JP"/>
              </w:rPr>
              <w:t>fficers</w:t>
            </w:r>
          </w:p>
        </w:tc>
        <w:tc>
          <w:tcPr>
            <w:tcW w:w="4530" w:type="dxa"/>
          </w:tcPr>
          <w:p w:rsidR="0095475C" w:rsidRDefault="004C4E17" w:rsidP="0095475C">
            <w:pPr>
              <w:pStyle w:val="TableText"/>
              <w:rPr>
                <w:lang w:eastAsia="ja-JP"/>
              </w:rPr>
            </w:pPr>
            <w:r>
              <w:rPr>
                <w:lang w:eastAsia="ja-JP"/>
              </w:rPr>
              <w:t>Major</w:t>
            </w:r>
          </w:p>
        </w:tc>
      </w:tr>
      <w:tr w:rsidR="0095475C" w:rsidTr="0095475C">
        <w:trPr>
          <w:cantSplit/>
          <w:tblHeader/>
        </w:trPr>
        <w:tc>
          <w:tcPr>
            <w:tcW w:w="4530" w:type="dxa"/>
          </w:tcPr>
          <w:p w:rsidR="0095475C" w:rsidRDefault="004C4E17" w:rsidP="0095475C">
            <w:pPr>
              <w:pStyle w:val="TableText"/>
              <w:rPr>
                <w:lang w:eastAsia="ja-JP"/>
              </w:rPr>
            </w:pPr>
            <w:r>
              <w:rPr>
                <w:lang w:eastAsia="ja-JP"/>
              </w:rPr>
              <w:t xml:space="preserve">6.6 </w:t>
            </w:r>
            <w:r w:rsidRPr="004C4E17">
              <w:rPr>
                <w:lang w:eastAsia="ja-JP"/>
              </w:rPr>
              <w:t>Areas immediately adjacent to the wash bay should have an impermeable surface. If the area surrounding the wash pad has vegetation, the department will inspect for introduced weed species (at cost to the premises owner).</w:t>
            </w:r>
          </w:p>
        </w:tc>
        <w:tc>
          <w:tcPr>
            <w:tcW w:w="4530" w:type="dxa"/>
          </w:tcPr>
          <w:p w:rsidR="0095475C" w:rsidRDefault="0095475C" w:rsidP="004C4E17">
            <w:pPr>
              <w:pStyle w:val="TableText"/>
              <w:rPr>
                <w:lang w:eastAsia="ja-JP"/>
              </w:rPr>
            </w:pPr>
            <w:r>
              <w:rPr>
                <w:lang w:eastAsia="ja-JP"/>
              </w:rPr>
              <w:t>M</w:t>
            </w:r>
            <w:r w:rsidR="004C4E17">
              <w:rPr>
                <w:lang w:eastAsia="ja-JP"/>
              </w:rPr>
              <w:t>inor or major</w:t>
            </w:r>
          </w:p>
        </w:tc>
      </w:tr>
      <w:tr w:rsidR="0095475C" w:rsidTr="0095475C">
        <w:trPr>
          <w:cantSplit/>
          <w:tblHeader/>
        </w:trPr>
        <w:tc>
          <w:tcPr>
            <w:tcW w:w="4530" w:type="dxa"/>
          </w:tcPr>
          <w:p w:rsidR="0095475C" w:rsidRDefault="004C4E17" w:rsidP="004C4E17">
            <w:pPr>
              <w:pStyle w:val="TableText"/>
              <w:rPr>
                <w:lang w:eastAsia="ja-JP"/>
              </w:rPr>
            </w:pPr>
            <w:r>
              <w:rPr>
                <w:lang w:eastAsia="ja-JP"/>
              </w:rPr>
              <w:t xml:space="preserve">6.7 </w:t>
            </w:r>
            <w:r w:rsidRPr="004C4E17">
              <w:rPr>
                <w:lang w:eastAsia="ja-JP"/>
              </w:rPr>
              <w:t>Waste water and residues from cleaning operations must be contained within the approved wash bay</w:t>
            </w:r>
          </w:p>
        </w:tc>
        <w:tc>
          <w:tcPr>
            <w:tcW w:w="4530" w:type="dxa"/>
          </w:tcPr>
          <w:p w:rsidR="0095475C" w:rsidRDefault="0095475C" w:rsidP="0095475C">
            <w:pPr>
              <w:pStyle w:val="TableText"/>
              <w:rPr>
                <w:lang w:eastAsia="ja-JP"/>
              </w:rPr>
            </w:pPr>
            <w:r>
              <w:rPr>
                <w:lang w:eastAsia="ja-JP"/>
              </w:rPr>
              <w:t>Major</w:t>
            </w:r>
          </w:p>
        </w:tc>
      </w:tr>
      <w:tr w:rsidR="0095475C" w:rsidTr="0095475C">
        <w:trPr>
          <w:cantSplit/>
          <w:tblHeader/>
        </w:trPr>
        <w:tc>
          <w:tcPr>
            <w:tcW w:w="4530" w:type="dxa"/>
          </w:tcPr>
          <w:p w:rsidR="0095475C" w:rsidRDefault="004C4E17" w:rsidP="004C4E17">
            <w:pPr>
              <w:pStyle w:val="TableText"/>
            </w:pPr>
            <w:r>
              <w:t xml:space="preserve">6.8 </w:t>
            </w:r>
            <w:r w:rsidRPr="004C4E17">
              <w:t>Waste water and residues from cleaning operations must only be discharged via the wash bay drain</w:t>
            </w:r>
          </w:p>
        </w:tc>
        <w:tc>
          <w:tcPr>
            <w:tcW w:w="4530" w:type="dxa"/>
          </w:tcPr>
          <w:p w:rsidR="0095475C" w:rsidRDefault="00402254" w:rsidP="0095475C">
            <w:pPr>
              <w:pStyle w:val="TableText"/>
              <w:rPr>
                <w:lang w:eastAsia="ja-JP"/>
              </w:rPr>
            </w:pPr>
            <w:r>
              <w:rPr>
                <w:lang w:eastAsia="ja-JP"/>
              </w:rPr>
              <w:t>Major</w:t>
            </w:r>
          </w:p>
        </w:tc>
      </w:tr>
      <w:tr w:rsidR="004C4E17" w:rsidTr="0095475C">
        <w:trPr>
          <w:cantSplit/>
          <w:tblHeader/>
        </w:trPr>
        <w:tc>
          <w:tcPr>
            <w:tcW w:w="4530" w:type="dxa"/>
          </w:tcPr>
          <w:p w:rsidR="004C4E17" w:rsidRDefault="004C4E17" w:rsidP="004C4E17">
            <w:pPr>
              <w:pStyle w:val="TableText"/>
            </w:pPr>
            <w:r>
              <w:t xml:space="preserve">6.9 </w:t>
            </w:r>
            <w:r w:rsidRPr="004C4E17">
              <w:t>The wash bay must be washed down after cleaning operations each day.</w:t>
            </w:r>
          </w:p>
        </w:tc>
        <w:tc>
          <w:tcPr>
            <w:tcW w:w="4530" w:type="dxa"/>
          </w:tcPr>
          <w:p w:rsidR="004C4E17" w:rsidRDefault="004C4E17" w:rsidP="0095475C">
            <w:pPr>
              <w:pStyle w:val="TableText"/>
              <w:rPr>
                <w:lang w:eastAsia="ja-JP"/>
              </w:rPr>
            </w:pPr>
            <w:r>
              <w:rPr>
                <w:lang w:eastAsia="ja-JP"/>
              </w:rPr>
              <w:t>Major</w:t>
            </w:r>
          </w:p>
        </w:tc>
      </w:tr>
      <w:tr w:rsidR="004C4E17" w:rsidTr="0095475C">
        <w:trPr>
          <w:cantSplit/>
          <w:tblHeader/>
        </w:trPr>
        <w:tc>
          <w:tcPr>
            <w:tcW w:w="4530" w:type="dxa"/>
          </w:tcPr>
          <w:p w:rsidR="004C4E17" w:rsidRDefault="004C4E17" w:rsidP="004C4E17">
            <w:pPr>
              <w:pStyle w:val="TableText"/>
            </w:pPr>
            <w:r>
              <w:t>6.10 Waste water must be screened prior to discharge to municipal sewer or department approved treatment/holding tank.</w:t>
            </w:r>
          </w:p>
          <w:p w:rsidR="004C4E17" w:rsidRDefault="004C4E17" w:rsidP="004C4E17">
            <w:pPr>
              <w:pStyle w:val="TableText"/>
            </w:pPr>
            <w:r>
              <w:t>For AA sites that do not have direct access to sewer for waste water discharge, waste water may be either:</w:t>
            </w:r>
          </w:p>
          <w:p w:rsidR="00DA3ED0" w:rsidRDefault="004C4E17" w:rsidP="004C4E17">
            <w:pPr>
              <w:pStyle w:val="TableBullet"/>
            </w:pPr>
            <w:r w:rsidRPr="004C4E17">
              <w:t>collected and transported off-site for discharge to sewer by a waste transport service operating under an appropriate AA with the department</w:t>
            </w:r>
          </w:p>
          <w:p w:rsidR="004C4E17" w:rsidRDefault="004C4E17" w:rsidP="004C4E17">
            <w:pPr>
              <w:pStyle w:val="TableBullet"/>
            </w:pPr>
            <w:proofErr w:type="gramStart"/>
            <w:r w:rsidRPr="004C4E17">
              <w:t>collected</w:t>
            </w:r>
            <w:proofErr w:type="gramEnd"/>
            <w:r w:rsidRPr="004C4E17">
              <w:t xml:space="preserve"> and transported off-site for discharge to sewer by a non-department approved waste transport service. Where a non-department approved transport service is used, the transport and disposal of the waste water must be performed under department supervision.</w:t>
            </w:r>
          </w:p>
        </w:tc>
        <w:tc>
          <w:tcPr>
            <w:tcW w:w="4530" w:type="dxa"/>
          </w:tcPr>
          <w:p w:rsidR="004C4E17" w:rsidRDefault="004C4E17" w:rsidP="0095475C">
            <w:pPr>
              <w:pStyle w:val="TableText"/>
              <w:rPr>
                <w:lang w:eastAsia="ja-JP"/>
              </w:rPr>
            </w:pPr>
            <w:r>
              <w:rPr>
                <w:lang w:eastAsia="ja-JP"/>
              </w:rPr>
              <w:t>Major</w:t>
            </w:r>
          </w:p>
        </w:tc>
      </w:tr>
      <w:tr w:rsidR="004C4E17" w:rsidRPr="004C4E17" w:rsidTr="0095475C">
        <w:trPr>
          <w:cantSplit/>
          <w:tblHeader/>
        </w:trPr>
        <w:tc>
          <w:tcPr>
            <w:tcW w:w="4530" w:type="dxa"/>
          </w:tcPr>
          <w:p w:rsidR="004C4E17" w:rsidRPr="004C4E17" w:rsidRDefault="004C4E17" w:rsidP="004C4E17">
            <w:pPr>
              <w:pStyle w:val="TableText"/>
            </w:pPr>
            <w:r w:rsidRPr="004C4E17">
              <w:t>6.11 Soil residues from the wash bay soil trap or filter must be disposed of as biosecurity waste.</w:t>
            </w:r>
          </w:p>
        </w:tc>
        <w:tc>
          <w:tcPr>
            <w:tcW w:w="4530" w:type="dxa"/>
          </w:tcPr>
          <w:p w:rsidR="004C4E17" w:rsidRPr="004C4E17" w:rsidRDefault="004C4E17" w:rsidP="004C4E17">
            <w:pPr>
              <w:pStyle w:val="TableText"/>
            </w:pPr>
            <w:r w:rsidRPr="004C4E17">
              <w:t>Critical</w:t>
            </w:r>
          </w:p>
        </w:tc>
      </w:tr>
      <w:tr w:rsidR="004C4E17" w:rsidRPr="004C4E17" w:rsidTr="0095475C">
        <w:trPr>
          <w:cantSplit/>
          <w:tblHeader/>
        </w:trPr>
        <w:tc>
          <w:tcPr>
            <w:tcW w:w="4530" w:type="dxa"/>
          </w:tcPr>
          <w:p w:rsidR="004C4E17" w:rsidRPr="004C4E17" w:rsidRDefault="004C4E17" w:rsidP="004C4E17">
            <w:pPr>
              <w:pStyle w:val="TableText"/>
            </w:pPr>
            <w:r>
              <w:t xml:space="preserve">6.12 </w:t>
            </w:r>
            <w:r w:rsidR="0046159B" w:rsidRPr="0046159B">
              <w:t>Equipment (including footwear and protective clothing) used in the wash bay must be cleaned prior to removal from the wash bay.</w:t>
            </w:r>
          </w:p>
        </w:tc>
        <w:tc>
          <w:tcPr>
            <w:tcW w:w="4530" w:type="dxa"/>
          </w:tcPr>
          <w:p w:rsidR="004C4E17" w:rsidRPr="004C4E17" w:rsidRDefault="0046159B" w:rsidP="004C4E17">
            <w:pPr>
              <w:pStyle w:val="TableText"/>
            </w:pPr>
            <w:r>
              <w:t>Critical</w:t>
            </w:r>
          </w:p>
        </w:tc>
      </w:tr>
    </w:tbl>
    <w:p w:rsidR="0046159B" w:rsidRDefault="0046159B" w:rsidP="0046159B">
      <w:pPr>
        <w:pStyle w:val="Caption"/>
        <w:spacing w:before="240"/>
      </w:pPr>
      <w:r>
        <w:lastRenderedPageBreak/>
        <w:t>Table 6B Wash bays (continued)</w:t>
      </w:r>
    </w:p>
    <w:tbl>
      <w:tblPr>
        <w:tblStyle w:val="TableGrid"/>
        <w:tblW w:w="0" w:type="auto"/>
        <w:tblLook w:val="04A0" w:firstRow="1" w:lastRow="0" w:firstColumn="1" w:lastColumn="0" w:noHBand="0" w:noVBand="1"/>
      </w:tblPr>
      <w:tblGrid>
        <w:gridCol w:w="4530"/>
        <w:gridCol w:w="4530"/>
      </w:tblGrid>
      <w:tr w:rsidR="0046159B" w:rsidTr="0046159B">
        <w:trPr>
          <w:cantSplit/>
          <w:tblHeader/>
        </w:trPr>
        <w:tc>
          <w:tcPr>
            <w:tcW w:w="4530" w:type="dxa"/>
          </w:tcPr>
          <w:p w:rsidR="0046159B" w:rsidRDefault="0046159B" w:rsidP="0046159B">
            <w:pPr>
              <w:pStyle w:val="TableHeading"/>
            </w:pPr>
            <w:r>
              <w:t>Requirements</w:t>
            </w:r>
          </w:p>
        </w:tc>
        <w:tc>
          <w:tcPr>
            <w:tcW w:w="4530" w:type="dxa"/>
          </w:tcPr>
          <w:p w:rsidR="0046159B" w:rsidRDefault="0046159B" w:rsidP="0046159B">
            <w:pPr>
              <w:pStyle w:val="TableHeading"/>
            </w:pPr>
            <w:r>
              <w:t>Nonconformity guide</w:t>
            </w:r>
          </w:p>
        </w:tc>
      </w:tr>
      <w:tr w:rsidR="0046159B" w:rsidRPr="0046159B" w:rsidTr="0046159B">
        <w:trPr>
          <w:cantSplit/>
          <w:tblHeader/>
        </w:trPr>
        <w:tc>
          <w:tcPr>
            <w:tcW w:w="4530" w:type="dxa"/>
          </w:tcPr>
          <w:p w:rsidR="0046159B" w:rsidRPr="0046159B" w:rsidRDefault="0046159B" w:rsidP="0046159B">
            <w:pPr>
              <w:pStyle w:val="TableText"/>
            </w:pPr>
            <w:r w:rsidRPr="0046159B">
              <w:t>Where recycling of waste water occurs within the wash bay at the AA site the following applies:</w:t>
            </w:r>
          </w:p>
        </w:tc>
        <w:tc>
          <w:tcPr>
            <w:tcW w:w="4530" w:type="dxa"/>
          </w:tcPr>
          <w:p w:rsidR="0046159B" w:rsidRPr="0046159B" w:rsidRDefault="0046159B" w:rsidP="0046159B">
            <w:pPr>
              <w:pStyle w:val="TableText"/>
            </w:pPr>
          </w:p>
        </w:tc>
      </w:tr>
      <w:tr w:rsidR="0046159B" w:rsidTr="0046159B">
        <w:trPr>
          <w:cantSplit/>
          <w:tblHeader/>
        </w:trPr>
        <w:tc>
          <w:tcPr>
            <w:tcW w:w="4530" w:type="dxa"/>
          </w:tcPr>
          <w:p w:rsidR="0046159B" w:rsidRDefault="0046159B" w:rsidP="0046159B">
            <w:pPr>
              <w:pStyle w:val="TableText"/>
            </w:pPr>
            <w:r>
              <w:t xml:space="preserve">6.13 </w:t>
            </w:r>
            <w:r w:rsidRPr="0046159B">
              <w:t>A recycling waste water system must incorporate screening the liquid waste through a 100 micron filter prior to use in wash bay operations with imported goods, including final washes. Recycled waste water is not permitted to be used for domestic washes.</w:t>
            </w:r>
          </w:p>
        </w:tc>
        <w:tc>
          <w:tcPr>
            <w:tcW w:w="4530" w:type="dxa"/>
          </w:tcPr>
          <w:p w:rsidR="0046159B" w:rsidRDefault="0046159B" w:rsidP="0046159B">
            <w:pPr>
              <w:pStyle w:val="TableText"/>
            </w:pPr>
            <w:r>
              <w:t>Major</w:t>
            </w:r>
          </w:p>
        </w:tc>
      </w:tr>
      <w:tr w:rsidR="0046159B" w:rsidTr="0046159B">
        <w:trPr>
          <w:cantSplit/>
          <w:tblHeader/>
        </w:trPr>
        <w:tc>
          <w:tcPr>
            <w:tcW w:w="4530" w:type="dxa"/>
          </w:tcPr>
          <w:p w:rsidR="00DA3ED0" w:rsidRDefault="0046159B" w:rsidP="0046159B">
            <w:pPr>
              <w:pStyle w:val="TableText"/>
            </w:pPr>
            <w:r>
              <w:t xml:space="preserve">6.14 </w:t>
            </w:r>
            <w:r w:rsidRPr="001F2517">
              <w:t>During the recycling process, the Biosecurity Industry Participant (BIP) must, when operational, undertake weekly inspection for leaks from:</w:t>
            </w:r>
          </w:p>
          <w:p w:rsidR="0046159B" w:rsidRPr="001F2517" w:rsidRDefault="0046159B" w:rsidP="0046159B">
            <w:pPr>
              <w:pStyle w:val="TableBullet"/>
            </w:pPr>
            <w:r w:rsidRPr="001F2517">
              <w:t>pumps</w:t>
            </w:r>
          </w:p>
          <w:p w:rsidR="0046159B" w:rsidRPr="001F2517" w:rsidRDefault="0046159B" w:rsidP="0046159B">
            <w:pPr>
              <w:pStyle w:val="TableBullet"/>
            </w:pPr>
            <w:r w:rsidRPr="001F2517">
              <w:t>valves</w:t>
            </w:r>
          </w:p>
          <w:p w:rsidR="0046159B" w:rsidRPr="001F2517" w:rsidRDefault="0046159B" w:rsidP="0046159B">
            <w:pPr>
              <w:pStyle w:val="TableBullet"/>
            </w:pPr>
            <w:r w:rsidRPr="001F2517">
              <w:t>tanks (where applicable)</w:t>
            </w:r>
          </w:p>
          <w:p w:rsidR="0046159B" w:rsidRPr="0046159B" w:rsidRDefault="0046159B" w:rsidP="0046159B">
            <w:pPr>
              <w:pStyle w:val="TableText"/>
            </w:pPr>
            <w:proofErr w:type="gramStart"/>
            <w:r w:rsidRPr="0046159B">
              <w:t>filter</w:t>
            </w:r>
            <w:proofErr w:type="gramEnd"/>
            <w:r w:rsidRPr="0046159B">
              <w:t xml:space="preserve"> housing, pipes and connections where visible.</w:t>
            </w:r>
          </w:p>
        </w:tc>
        <w:tc>
          <w:tcPr>
            <w:tcW w:w="4530" w:type="dxa"/>
          </w:tcPr>
          <w:p w:rsidR="0046159B" w:rsidRDefault="0046159B" w:rsidP="0046159B">
            <w:pPr>
              <w:pStyle w:val="TableText"/>
            </w:pPr>
            <w:r>
              <w:t>Major</w:t>
            </w:r>
          </w:p>
        </w:tc>
      </w:tr>
      <w:tr w:rsidR="0046159B" w:rsidRPr="0046159B" w:rsidTr="0046159B">
        <w:trPr>
          <w:cantSplit/>
          <w:tblHeader/>
        </w:trPr>
        <w:tc>
          <w:tcPr>
            <w:tcW w:w="4530" w:type="dxa"/>
          </w:tcPr>
          <w:p w:rsidR="0046159B" w:rsidRPr="0046159B" w:rsidRDefault="0046159B" w:rsidP="0046159B">
            <w:pPr>
              <w:pStyle w:val="TableText"/>
            </w:pPr>
            <w:r w:rsidRPr="0046159B">
              <w:t>6.15 When leaks are detected they must be immediately repaired.</w:t>
            </w:r>
          </w:p>
        </w:tc>
        <w:tc>
          <w:tcPr>
            <w:tcW w:w="4530" w:type="dxa"/>
          </w:tcPr>
          <w:p w:rsidR="0046159B" w:rsidRPr="0046159B" w:rsidRDefault="0046159B" w:rsidP="0046159B">
            <w:pPr>
              <w:pStyle w:val="TableText"/>
            </w:pPr>
            <w:r w:rsidRPr="0046159B">
              <w:t>Major</w:t>
            </w:r>
          </w:p>
        </w:tc>
      </w:tr>
      <w:tr w:rsidR="0046159B" w:rsidTr="0046159B">
        <w:trPr>
          <w:cantSplit/>
          <w:tblHeader/>
        </w:trPr>
        <w:tc>
          <w:tcPr>
            <w:tcW w:w="4530" w:type="dxa"/>
          </w:tcPr>
          <w:p w:rsidR="0046159B" w:rsidRDefault="0046159B" w:rsidP="0046159B">
            <w:pPr>
              <w:pStyle w:val="TableText"/>
            </w:pPr>
            <w:r>
              <w:t xml:space="preserve">6.16 </w:t>
            </w:r>
            <w:r w:rsidRPr="0046159B">
              <w:t>All waste filter media and detritus/refuse captured by filter media or screens must be treated as biosecurity waste.</w:t>
            </w:r>
          </w:p>
        </w:tc>
        <w:tc>
          <w:tcPr>
            <w:tcW w:w="4530" w:type="dxa"/>
          </w:tcPr>
          <w:p w:rsidR="0046159B" w:rsidRDefault="0046159B" w:rsidP="0046159B">
            <w:pPr>
              <w:pStyle w:val="TableText"/>
            </w:pPr>
            <w:r>
              <w:t>Major</w:t>
            </w:r>
          </w:p>
        </w:tc>
      </w:tr>
      <w:tr w:rsidR="0046159B" w:rsidTr="0046159B">
        <w:trPr>
          <w:cantSplit/>
          <w:tblHeader/>
        </w:trPr>
        <w:tc>
          <w:tcPr>
            <w:tcW w:w="4530" w:type="dxa"/>
          </w:tcPr>
          <w:p w:rsidR="00DA3ED0" w:rsidRDefault="0046159B" w:rsidP="0046159B">
            <w:pPr>
              <w:pStyle w:val="TableText"/>
            </w:pPr>
            <w:r>
              <w:t xml:space="preserve">6.17 </w:t>
            </w:r>
            <w:r w:rsidRPr="001F2517">
              <w:t>Wash facilities must:</w:t>
            </w:r>
          </w:p>
          <w:p w:rsidR="0046159B" w:rsidRPr="001F2517" w:rsidRDefault="0046159B" w:rsidP="0046159B">
            <w:pPr>
              <w:pStyle w:val="TableBullet"/>
            </w:pPr>
            <w:r w:rsidRPr="001F2517">
              <w:t>be of a size commensurate with the vehicles or equipment being cleaned</w:t>
            </w:r>
          </w:p>
          <w:p w:rsidR="0046159B" w:rsidRPr="001F2517" w:rsidRDefault="0046159B" w:rsidP="0046159B">
            <w:pPr>
              <w:pStyle w:val="TableBullet"/>
            </w:pPr>
            <w:r w:rsidRPr="001F2517">
              <w:t>be constructed of impermeable material and in a manner which ensures that residues/sediment and splash from cleaning operations are contained and flow directly into holding tanks or a municipal sewage system or department approved system</w:t>
            </w:r>
          </w:p>
          <w:p w:rsidR="0046159B" w:rsidRPr="001F2517" w:rsidRDefault="0046159B" w:rsidP="0046159B">
            <w:pPr>
              <w:pStyle w:val="TableBullet"/>
            </w:pPr>
            <w:proofErr w:type="gramStart"/>
            <w:r w:rsidRPr="001F2517">
              <w:t>have</w:t>
            </w:r>
            <w:proofErr w:type="gramEnd"/>
            <w:r w:rsidRPr="001F2517">
              <w:t xml:space="preserve"> sewage/drainage lines protected from physical damage.</w:t>
            </w:r>
          </w:p>
          <w:p w:rsidR="0046159B" w:rsidRPr="0046159B" w:rsidRDefault="0046159B" w:rsidP="0046159B">
            <w:pPr>
              <w:pStyle w:val="TableText"/>
            </w:pPr>
            <w:r w:rsidRPr="0046159B">
              <w:t>Note: Where municipal sewage connection is not available and tanks are used, the tanks must be fully enclosed.</w:t>
            </w:r>
          </w:p>
        </w:tc>
        <w:tc>
          <w:tcPr>
            <w:tcW w:w="4530" w:type="dxa"/>
          </w:tcPr>
          <w:p w:rsidR="0046159B" w:rsidRDefault="0046159B" w:rsidP="0046159B">
            <w:pPr>
              <w:pStyle w:val="TableText"/>
            </w:pPr>
            <w:r>
              <w:t>Major</w:t>
            </w:r>
          </w:p>
        </w:tc>
      </w:tr>
      <w:tr w:rsidR="0046159B" w:rsidRPr="0046159B" w:rsidTr="0046159B">
        <w:trPr>
          <w:cantSplit/>
          <w:tblHeader/>
        </w:trPr>
        <w:tc>
          <w:tcPr>
            <w:tcW w:w="4530" w:type="dxa"/>
          </w:tcPr>
          <w:p w:rsidR="0046159B" w:rsidRPr="0046159B" w:rsidRDefault="0046159B" w:rsidP="0046159B">
            <w:pPr>
              <w:pStyle w:val="TableText"/>
            </w:pPr>
            <w:r w:rsidRPr="0046159B">
              <w:t>6.18 Soil traps must be installed in drains in locations where drainage inflow i</w:t>
            </w:r>
            <w:r>
              <w:t>s likely to contain solids (such as</w:t>
            </w:r>
            <w:r w:rsidRPr="0046159B">
              <w:t xml:space="preserve"> detritus, refuse or other particulates).</w:t>
            </w:r>
          </w:p>
        </w:tc>
        <w:tc>
          <w:tcPr>
            <w:tcW w:w="4530" w:type="dxa"/>
          </w:tcPr>
          <w:p w:rsidR="0046159B" w:rsidRPr="0046159B" w:rsidRDefault="0046159B" w:rsidP="0046159B">
            <w:pPr>
              <w:pStyle w:val="TableText"/>
            </w:pPr>
            <w:r w:rsidRPr="0046159B">
              <w:t>Major</w:t>
            </w:r>
          </w:p>
        </w:tc>
      </w:tr>
      <w:tr w:rsidR="0046159B" w:rsidRPr="0046159B" w:rsidTr="0046159B">
        <w:trPr>
          <w:cantSplit/>
          <w:tblHeader/>
        </w:trPr>
        <w:tc>
          <w:tcPr>
            <w:tcW w:w="4530" w:type="dxa"/>
          </w:tcPr>
          <w:p w:rsidR="0046159B" w:rsidRPr="0046159B" w:rsidRDefault="0046159B" w:rsidP="0046159B">
            <w:pPr>
              <w:pStyle w:val="TableText"/>
            </w:pPr>
            <w:r w:rsidRPr="0046159B">
              <w:t>Where an AA site uses hypochlorite as an alternative treatment for waste water the following applies:</w:t>
            </w:r>
          </w:p>
        </w:tc>
        <w:tc>
          <w:tcPr>
            <w:tcW w:w="4530" w:type="dxa"/>
          </w:tcPr>
          <w:p w:rsidR="0046159B" w:rsidRPr="0046159B" w:rsidRDefault="0046159B" w:rsidP="0046159B">
            <w:pPr>
              <w:pStyle w:val="TableText"/>
            </w:pPr>
          </w:p>
        </w:tc>
      </w:tr>
      <w:tr w:rsidR="0046159B" w:rsidRPr="0046159B" w:rsidTr="0046159B">
        <w:trPr>
          <w:cantSplit/>
          <w:tblHeader/>
        </w:trPr>
        <w:tc>
          <w:tcPr>
            <w:tcW w:w="4530" w:type="dxa"/>
          </w:tcPr>
          <w:p w:rsidR="0046159B" w:rsidRPr="001F2517" w:rsidRDefault="0046159B" w:rsidP="0046159B">
            <w:pPr>
              <w:pStyle w:val="TableText"/>
              <w:rPr>
                <w:lang w:eastAsia="en-AU"/>
              </w:rPr>
            </w:pPr>
            <w:r>
              <w:t xml:space="preserve">6.19 </w:t>
            </w:r>
            <w:r w:rsidRPr="001F2517">
              <w:rPr>
                <w:lang w:eastAsia="en-AU"/>
              </w:rPr>
              <w:t>A hypochlorite treatment system must incorporate:</w:t>
            </w:r>
          </w:p>
          <w:p w:rsidR="0046159B" w:rsidRPr="0046159B" w:rsidRDefault="0046159B" w:rsidP="0046159B">
            <w:pPr>
              <w:pStyle w:val="TableBullet"/>
              <w:rPr>
                <w:lang w:eastAsia="en-AU"/>
              </w:rPr>
            </w:pPr>
            <w:proofErr w:type="gramStart"/>
            <w:r w:rsidRPr="0046159B">
              <w:rPr>
                <w:lang w:eastAsia="en-AU"/>
              </w:rPr>
              <w:t>screening</w:t>
            </w:r>
            <w:proofErr w:type="gramEnd"/>
            <w:r w:rsidRPr="0046159B">
              <w:rPr>
                <w:lang w:eastAsia="en-AU"/>
              </w:rPr>
              <w:t xml:space="preserve"> liquid waste through a 100 micron filter prior to treating with hypochlorite.</w:t>
            </w:r>
          </w:p>
          <w:p w:rsidR="0046159B" w:rsidRPr="0046159B" w:rsidRDefault="0046159B" w:rsidP="0046159B">
            <w:pPr>
              <w:pStyle w:val="TableBullet"/>
            </w:pPr>
            <w:proofErr w:type="gramStart"/>
            <w:r w:rsidRPr="001F2517">
              <w:rPr>
                <w:lang w:eastAsia="en-AU"/>
              </w:rPr>
              <w:t>an</w:t>
            </w:r>
            <w:proofErr w:type="gramEnd"/>
            <w:r w:rsidRPr="001F2517">
              <w:rPr>
                <w:lang w:eastAsia="en-AU"/>
              </w:rPr>
              <w:t xml:space="preserve"> enclosed liquid waste</w:t>
            </w:r>
            <w:r>
              <w:rPr>
                <w:lang w:eastAsia="en-AU"/>
              </w:rPr>
              <w:t xml:space="preserve"> </w:t>
            </w:r>
            <w:r w:rsidRPr="001F2517">
              <w:rPr>
                <w:lang w:eastAsia="en-AU"/>
              </w:rPr>
              <w:t>treatment tank with an attached mechanical agitation method for mixing hypochlorite and liquid waste.</w:t>
            </w:r>
          </w:p>
        </w:tc>
        <w:tc>
          <w:tcPr>
            <w:tcW w:w="4530" w:type="dxa"/>
          </w:tcPr>
          <w:p w:rsidR="0046159B" w:rsidRPr="0046159B" w:rsidRDefault="0046159B" w:rsidP="0046159B">
            <w:pPr>
              <w:pStyle w:val="TableText"/>
            </w:pPr>
            <w:r>
              <w:t>Major</w:t>
            </w:r>
          </w:p>
        </w:tc>
      </w:tr>
    </w:tbl>
    <w:p w:rsidR="0046159B" w:rsidRDefault="0046159B" w:rsidP="0046159B">
      <w:pPr>
        <w:pStyle w:val="Caption"/>
        <w:spacing w:before="240"/>
      </w:pPr>
      <w:r>
        <w:lastRenderedPageBreak/>
        <w:t>Table 6C Wash bays (continued)</w:t>
      </w:r>
    </w:p>
    <w:tbl>
      <w:tblPr>
        <w:tblStyle w:val="TableGrid"/>
        <w:tblW w:w="0" w:type="auto"/>
        <w:tblLook w:val="04A0" w:firstRow="1" w:lastRow="0" w:firstColumn="1" w:lastColumn="0" w:noHBand="0" w:noVBand="1"/>
      </w:tblPr>
      <w:tblGrid>
        <w:gridCol w:w="4530"/>
        <w:gridCol w:w="4530"/>
      </w:tblGrid>
      <w:tr w:rsidR="0046159B" w:rsidTr="0046159B">
        <w:trPr>
          <w:cantSplit/>
          <w:tblHeader/>
        </w:trPr>
        <w:tc>
          <w:tcPr>
            <w:tcW w:w="4530" w:type="dxa"/>
          </w:tcPr>
          <w:p w:rsidR="0046159B" w:rsidRDefault="0046159B" w:rsidP="0046159B">
            <w:pPr>
              <w:pStyle w:val="TableHeading"/>
            </w:pPr>
            <w:r>
              <w:t>Requirements</w:t>
            </w:r>
          </w:p>
        </w:tc>
        <w:tc>
          <w:tcPr>
            <w:tcW w:w="4530" w:type="dxa"/>
          </w:tcPr>
          <w:p w:rsidR="0046159B" w:rsidRDefault="0046159B" w:rsidP="0046159B">
            <w:pPr>
              <w:pStyle w:val="TableHeading"/>
            </w:pPr>
            <w:r>
              <w:t>Nonconformity guide</w:t>
            </w:r>
          </w:p>
        </w:tc>
      </w:tr>
      <w:tr w:rsidR="0046159B" w:rsidTr="0046159B">
        <w:trPr>
          <w:cantSplit/>
          <w:tblHeader/>
        </w:trPr>
        <w:tc>
          <w:tcPr>
            <w:tcW w:w="4530" w:type="dxa"/>
          </w:tcPr>
          <w:p w:rsidR="00AE7C56" w:rsidRPr="001F2517" w:rsidRDefault="00AE7C56" w:rsidP="00AE7C56">
            <w:pPr>
              <w:pStyle w:val="TableText"/>
              <w:rPr>
                <w:lang w:eastAsia="en-AU"/>
              </w:rPr>
            </w:pPr>
            <w:r>
              <w:t xml:space="preserve">6.20 </w:t>
            </w:r>
            <w:r w:rsidRPr="001F2517">
              <w:rPr>
                <w:lang w:eastAsia="en-AU"/>
              </w:rPr>
              <w:t>Alternative hypochlorite treatment for waste water (e.g. liquid waste, imported fresh water) must be undertaken in accordance with the following process:</w:t>
            </w:r>
          </w:p>
          <w:p w:rsidR="0046159B" w:rsidRDefault="00AE7C56" w:rsidP="00AE7C56">
            <w:pPr>
              <w:pStyle w:val="TableBullet"/>
            </w:pPr>
            <w:r w:rsidRPr="0090267E">
              <w:rPr>
                <w:lang w:eastAsia="en-AU"/>
              </w:rPr>
              <w:t>filtration through a 100 micron filter</w:t>
            </w:r>
          </w:p>
          <w:p w:rsidR="00AE7C56" w:rsidRPr="0090267E" w:rsidRDefault="00AE7C56" w:rsidP="00AE7C56">
            <w:pPr>
              <w:pStyle w:val="TableBullet"/>
              <w:rPr>
                <w:lang w:eastAsia="en-AU"/>
              </w:rPr>
            </w:pPr>
            <w:r w:rsidRPr="0090267E">
              <w:rPr>
                <w:lang w:eastAsia="en-AU"/>
              </w:rPr>
              <w:t>liquid waste test to ensure a pH range between 5.0 and 7.0 (where the pH is not within this range, add acid or alkaline products and bring the liquid waste to within this range), then</w:t>
            </w:r>
          </w:p>
          <w:p w:rsidR="00AE7C56" w:rsidRPr="0090267E" w:rsidRDefault="00AE7C56" w:rsidP="00AE7C56">
            <w:pPr>
              <w:pStyle w:val="TableBullet"/>
              <w:rPr>
                <w:lang w:eastAsia="en-AU"/>
              </w:rPr>
            </w:pPr>
            <w:r w:rsidRPr="0090267E">
              <w:rPr>
                <w:lang w:eastAsia="en-AU"/>
              </w:rPr>
              <w:t>add hypochlorite to achieve 200 parts per million (ppm) free chlorine (at the end of the 10 minutes agitation cycle), then</w:t>
            </w:r>
          </w:p>
          <w:p w:rsidR="00AE7C56" w:rsidRPr="0090267E" w:rsidRDefault="00AE7C56" w:rsidP="00AE7C56">
            <w:pPr>
              <w:pStyle w:val="TableBullet"/>
              <w:rPr>
                <w:lang w:eastAsia="en-AU"/>
              </w:rPr>
            </w:pPr>
            <w:r w:rsidRPr="0090267E">
              <w:rPr>
                <w:lang w:eastAsia="en-AU"/>
              </w:rPr>
              <w:t>mechanically agitate in a retention vessel for 10 minutes, then</w:t>
            </w:r>
          </w:p>
          <w:p w:rsidR="00AE7C56" w:rsidRPr="001F2517" w:rsidRDefault="00AE7C56" w:rsidP="00AE7C56">
            <w:pPr>
              <w:pStyle w:val="TableBullet"/>
              <w:rPr>
                <w:lang w:eastAsia="en-AU"/>
              </w:rPr>
            </w:pPr>
            <w:r w:rsidRPr="0090267E">
              <w:rPr>
                <w:lang w:eastAsia="en-AU"/>
              </w:rPr>
              <w:t xml:space="preserve">test (after agitation) to </w:t>
            </w:r>
            <w:r w:rsidRPr="001F2517">
              <w:rPr>
                <w:lang w:eastAsia="en-AU"/>
              </w:rPr>
              <w:t>determine the free chlorine level is at least 200 ppm, then</w:t>
            </w:r>
          </w:p>
          <w:p w:rsidR="00AE7C56" w:rsidRDefault="00AE7C56" w:rsidP="00AE7C56">
            <w:pPr>
              <w:pStyle w:val="TableBullet"/>
              <w:rPr>
                <w:lang w:eastAsia="en-AU"/>
              </w:rPr>
            </w:pPr>
            <w:r w:rsidRPr="001F2517">
              <w:rPr>
                <w:lang w:eastAsia="en-AU"/>
              </w:rPr>
              <w:t>retain the waste water in the treatment tank for 1 hour following confirmation of concentration at minimum 200 ppm, then</w:t>
            </w:r>
          </w:p>
        </w:tc>
        <w:tc>
          <w:tcPr>
            <w:tcW w:w="4530" w:type="dxa"/>
          </w:tcPr>
          <w:p w:rsidR="0046159B" w:rsidRDefault="00AE7C56" w:rsidP="00AE7C56">
            <w:pPr>
              <w:pStyle w:val="TableText"/>
            </w:pPr>
            <w:r>
              <w:t>Major</w:t>
            </w:r>
          </w:p>
        </w:tc>
      </w:tr>
      <w:tr w:rsidR="0046159B" w:rsidTr="0046159B">
        <w:trPr>
          <w:cantSplit/>
          <w:tblHeader/>
        </w:trPr>
        <w:tc>
          <w:tcPr>
            <w:tcW w:w="4530" w:type="dxa"/>
          </w:tcPr>
          <w:p w:rsidR="0046159B" w:rsidRPr="00AE7C56" w:rsidRDefault="00AE7C56" w:rsidP="00AE7C56">
            <w:pPr>
              <w:pStyle w:val="TableBullet"/>
              <w:rPr>
                <w:lang w:eastAsia="en-AU"/>
              </w:rPr>
            </w:pPr>
            <w:proofErr w:type="gramStart"/>
            <w:r w:rsidRPr="00AE7C56">
              <w:t>test</w:t>
            </w:r>
            <w:proofErr w:type="gramEnd"/>
            <w:r w:rsidRPr="00AE7C56">
              <w:t xml:space="preserve"> that the concentration of the waste water is at least 5 ppm free chlorine at the conclusion of the 1 hour treatment period</w:t>
            </w:r>
            <w:r w:rsidRPr="001F2517">
              <w:rPr>
                <w:rFonts w:asciiTheme="majorHAnsi" w:eastAsia="Times New Roman" w:hAnsiTheme="majorHAnsi" w:cs="Times New Roman"/>
                <w:sz w:val="22"/>
                <w:lang w:eastAsia="en-AU"/>
              </w:rPr>
              <w:t>.</w:t>
            </w:r>
          </w:p>
        </w:tc>
        <w:tc>
          <w:tcPr>
            <w:tcW w:w="4530" w:type="dxa"/>
          </w:tcPr>
          <w:p w:rsidR="0046159B" w:rsidRDefault="00AE7C56" w:rsidP="0046159B">
            <w:pPr>
              <w:pStyle w:val="TableText"/>
            </w:pPr>
            <w:r>
              <w:t>Minor</w:t>
            </w:r>
          </w:p>
        </w:tc>
      </w:tr>
      <w:tr w:rsidR="0046159B" w:rsidTr="0046159B">
        <w:trPr>
          <w:cantSplit/>
          <w:tblHeader/>
        </w:trPr>
        <w:tc>
          <w:tcPr>
            <w:tcW w:w="4530" w:type="dxa"/>
          </w:tcPr>
          <w:p w:rsidR="00AE7C56" w:rsidRPr="001F2517" w:rsidRDefault="00AE7C56" w:rsidP="00AE7C56">
            <w:pPr>
              <w:pStyle w:val="TableText"/>
            </w:pPr>
            <w:r>
              <w:t xml:space="preserve">6.21 </w:t>
            </w:r>
            <w:r w:rsidRPr="001F2517">
              <w:t>Hypochlorite must be used within either:</w:t>
            </w:r>
          </w:p>
          <w:p w:rsidR="00AE7C56" w:rsidRPr="001F2517" w:rsidRDefault="00AE7C56" w:rsidP="00AE7C56">
            <w:pPr>
              <w:pStyle w:val="TableBullet"/>
            </w:pPr>
            <w:r w:rsidRPr="001F2517">
              <w:t>an expiry time frame as specified by the manufacturer, or</w:t>
            </w:r>
          </w:p>
          <w:p w:rsidR="0046159B" w:rsidRDefault="00AE7C56" w:rsidP="00AE7C56">
            <w:pPr>
              <w:pStyle w:val="TableBullet"/>
            </w:pPr>
            <w:proofErr w:type="gramStart"/>
            <w:r w:rsidRPr="001F2517">
              <w:t>used</w:t>
            </w:r>
            <w:proofErr w:type="gramEnd"/>
            <w:r w:rsidRPr="001F2517">
              <w:t xml:space="preserve"> within two years of the manufacture date.</w:t>
            </w:r>
          </w:p>
        </w:tc>
        <w:tc>
          <w:tcPr>
            <w:tcW w:w="4530" w:type="dxa"/>
          </w:tcPr>
          <w:p w:rsidR="0046159B" w:rsidRDefault="00AE7C56" w:rsidP="0046159B">
            <w:pPr>
              <w:pStyle w:val="TableText"/>
            </w:pPr>
            <w:r>
              <w:t>Major</w:t>
            </w:r>
          </w:p>
        </w:tc>
      </w:tr>
      <w:tr w:rsidR="0046159B" w:rsidTr="0046159B">
        <w:trPr>
          <w:cantSplit/>
          <w:tblHeader/>
        </w:trPr>
        <w:tc>
          <w:tcPr>
            <w:tcW w:w="4530" w:type="dxa"/>
          </w:tcPr>
          <w:p w:rsidR="00AE7C56" w:rsidRPr="001F2517" w:rsidRDefault="00AE7C56" w:rsidP="00AE7C56">
            <w:pPr>
              <w:pStyle w:val="TableText"/>
            </w:pPr>
            <w:r>
              <w:t xml:space="preserve">6.22 </w:t>
            </w:r>
            <w:r w:rsidRPr="001F2517">
              <w:t>During the treatment of contaminated or potentially contaminated liquids the AA operator must, when operational, undertake we</w:t>
            </w:r>
            <w:r>
              <w:t>ekly inspection for leaks from:</w:t>
            </w:r>
          </w:p>
          <w:p w:rsidR="00AE7C56" w:rsidRPr="001F2517" w:rsidRDefault="00AE7C56" w:rsidP="00AE7C56">
            <w:pPr>
              <w:pStyle w:val="TableBullet"/>
            </w:pPr>
            <w:r w:rsidRPr="001F2517">
              <w:t>pumps</w:t>
            </w:r>
          </w:p>
          <w:p w:rsidR="00AE7C56" w:rsidRPr="001F2517" w:rsidRDefault="00AE7C56" w:rsidP="00AE7C56">
            <w:pPr>
              <w:pStyle w:val="TableBullet"/>
            </w:pPr>
            <w:r w:rsidRPr="001F2517">
              <w:t>valves</w:t>
            </w:r>
          </w:p>
          <w:p w:rsidR="00AE7C56" w:rsidRPr="001F2517" w:rsidRDefault="00AE7C56" w:rsidP="00AE7C56">
            <w:pPr>
              <w:pStyle w:val="TableBullet"/>
            </w:pPr>
            <w:r w:rsidRPr="001F2517">
              <w:t>tanks</w:t>
            </w:r>
          </w:p>
          <w:p w:rsidR="00AE7C56" w:rsidRPr="001F2517" w:rsidRDefault="00AE7C56" w:rsidP="00AE7C56">
            <w:pPr>
              <w:pStyle w:val="TableBullet"/>
            </w:pPr>
            <w:r w:rsidRPr="001F2517">
              <w:t>hypochlorite metering/dosing equipment (where applicable)</w:t>
            </w:r>
          </w:p>
          <w:p w:rsidR="0046159B" w:rsidRPr="00AE7C56" w:rsidRDefault="00AE7C56" w:rsidP="00AE7C56">
            <w:pPr>
              <w:pStyle w:val="TableBullet"/>
            </w:pPr>
            <w:proofErr w:type="gramStart"/>
            <w:r w:rsidRPr="00AE7C56">
              <w:t>filter</w:t>
            </w:r>
            <w:proofErr w:type="gramEnd"/>
            <w:r w:rsidRPr="00AE7C56">
              <w:t xml:space="preserve"> housing, pipes and connections where visible.</w:t>
            </w:r>
          </w:p>
        </w:tc>
        <w:tc>
          <w:tcPr>
            <w:tcW w:w="4530" w:type="dxa"/>
          </w:tcPr>
          <w:p w:rsidR="0046159B" w:rsidRDefault="00AE7C56" w:rsidP="0046159B">
            <w:pPr>
              <w:pStyle w:val="TableText"/>
            </w:pPr>
            <w:r>
              <w:t>Minor</w:t>
            </w:r>
          </w:p>
        </w:tc>
      </w:tr>
      <w:tr w:rsidR="0046159B" w:rsidRPr="00AE7C56" w:rsidTr="0046159B">
        <w:trPr>
          <w:cantSplit/>
          <w:tblHeader/>
        </w:trPr>
        <w:tc>
          <w:tcPr>
            <w:tcW w:w="4530" w:type="dxa"/>
          </w:tcPr>
          <w:p w:rsidR="0046159B" w:rsidRPr="00AE7C56" w:rsidRDefault="00AE7C56" w:rsidP="00AE7C56">
            <w:pPr>
              <w:pStyle w:val="TableText"/>
            </w:pPr>
            <w:r w:rsidRPr="00AE7C56">
              <w:t>6.23 When leaks are detected they must be immediately repaired.</w:t>
            </w:r>
          </w:p>
        </w:tc>
        <w:tc>
          <w:tcPr>
            <w:tcW w:w="4530" w:type="dxa"/>
          </w:tcPr>
          <w:p w:rsidR="0046159B" w:rsidRPr="00AE7C56" w:rsidRDefault="00AE7C56" w:rsidP="00AE7C56">
            <w:pPr>
              <w:pStyle w:val="TableText"/>
            </w:pPr>
            <w:r w:rsidRPr="00AE7C56">
              <w:t>Major</w:t>
            </w:r>
          </w:p>
        </w:tc>
      </w:tr>
      <w:tr w:rsidR="0046159B" w:rsidRPr="00AE7C56" w:rsidTr="0046159B">
        <w:trPr>
          <w:cantSplit/>
          <w:tblHeader/>
        </w:trPr>
        <w:tc>
          <w:tcPr>
            <w:tcW w:w="4530" w:type="dxa"/>
          </w:tcPr>
          <w:p w:rsidR="0046159B" w:rsidRPr="00AE7C56" w:rsidRDefault="00AE7C56" w:rsidP="00AE7C56">
            <w:pPr>
              <w:pStyle w:val="TableText"/>
            </w:pPr>
            <w:r>
              <w:t xml:space="preserve">6.24 </w:t>
            </w:r>
            <w:r w:rsidRPr="00AE7C56">
              <w:t>All waste filter media and detritus/refuse captured by filter media or screens must be treated as biosecurity waste.</w:t>
            </w:r>
          </w:p>
        </w:tc>
        <w:tc>
          <w:tcPr>
            <w:tcW w:w="4530" w:type="dxa"/>
          </w:tcPr>
          <w:p w:rsidR="0046159B" w:rsidRPr="00AE7C56" w:rsidRDefault="00AE7C56" w:rsidP="00AE7C56">
            <w:pPr>
              <w:pStyle w:val="TableText"/>
            </w:pPr>
            <w:r w:rsidRPr="00AE7C56">
              <w:t>Major</w:t>
            </w:r>
          </w:p>
        </w:tc>
      </w:tr>
    </w:tbl>
    <w:p w:rsidR="00AE7C56" w:rsidRDefault="00AE7C56" w:rsidP="00AE7C56">
      <w:pPr>
        <w:pStyle w:val="Caption"/>
        <w:spacing w:before="240"/>
      </w:pPr>
      <w:r>
        <w:lastRenderedPageBreak/>
        <w:t>Table 6D Wash bays (continued)</w:t>
      </w:r>
    </w:p>
    <w:tbl>
      <w:tblPr>
        <w:tblStyle w:val="TableGrid"/>
        <w:tblW w:w="0" w:type="auto"/>
        <w:tblLook w:val="04A0" w:firstRow="1" w:lastRow="0" w:firstColumn="1" w:lastColumn="0" w:noHBand="0" w:noVBand="1"/>
      </w:tblPr>
      <w:tblGrid>
        <w:gridCol w:w="4530"/>
        <w:gridCol w:w="4530"/>
      </w:tblGrid>
      <w:tr w:rsidR="00AE7C56" w:rsidTr="00AE7C56">
        <w:trPr>
          <w:cantSplit/>
          <w:tblHeader/>
        </w:trPr>
        <w:tc>
          <w:tcPr>
            <w:tcW w:w="4530" w:type="dxa"/>
          </w:tcPr>
          <w:p w:rsidR="00AE7C56" w:rsidRDefault="00AE7C56" w:rsidP="00AE7C56">
            <w:pPr>
              <w:pStyle w:val="TableHeading"/>
            </w:pPr>
            <w:r>
              <w:t>Requirements</w:t>
            </w:r>
          </w:p>
        </w:tc>
        <w:tc>
          <w:tcPr>
            <w:tcW w:w="4530" w:type="dxa"/>
          </w:tcPr>
          <w:p w:rsidR="00AE7C56" w:rsidRDefault="00AE7C56" w:rsidP="00AE7C56">
            <w:pPr>
              <w:pStyle w:val="TableHeading"/>
            </w:pPr>
            <w:r>
              <w:t>Nonconformity guide</w:t>
            </w:r>
          </w:p>
        </w:tc>
      </w:tr>
      <w:tr w:rsidR="00AE7C56" w:rsidTr="00AE7C56">
        <w:trPr>
          <w:cantSplit/>
          <w:tblHeader/>
        </w:trPr>
        <w:tc>
          <w:tcPr>
            <w:tcW w:w="4530" w:type="dxa"/>
          </w:tcPr>
          <w:p w:rsidR="00AE7C56" w:rsidRDefault="00AE7C56" w:rsidP="00AE7C56">
            <w:pPr>
              <w:pStyle w:val="TableText"/>
            </w:pPr>
            <w:r>
              <w:t>6.25 Hypochlorite treatment records must include:</w:t>
            </w:r>
          </w:p>
          <w:p w:rsidR="00AE7C56" w:rsidRPr="00AE7C56" w:rsidRDefault="00AE7C56" w:rsidP="00AE7C56">
            <w:pPr>
              <w:pStyle w:val="TableBullet"/>
            </w:pPr>
            <w:r w:rsidRPr="00AE7C56">
              <w:t>date and times of testing (e.g. times when testing of concentration is taken)</w:t>
            </w:r>
          </w:p>
          <w:p w:rsidR="00AE7C56" w:rsidRPr="00AE7C56" w:rsidRDefault="00AE7C56" w:rsidP="00AE7C56">
            <w:pPr>
              <w:pStyle w:val="TableBullet"/>
            </w:pPr>
            <w:r w:rsidRPr="00AE7C56">
              <w:t>initial pH of liquid waste</w:t>
            </w:r>
          </w:p>
          <w:p w:rsidR="00AE7C56" w:rsidRPr="00AE7C56" w:rsidRDefault="00AE7C56" w:rsidP="00AE7C56">
            <w:pPr>
              <w:pStyle w:val="TableBullet"/>
            </w:pPr>
            <w:r w:rsidRPr="00AE7C56">
              <w:t>pH adjustment (where required) i.e. initial pH and final pH (after addition of acid or alkali)</w:t>
            </w:r>
          </w:p>
          <w:p w:rsidR="00AE7C56" w:rsidRPr="00AE7C56" w:rsidRDefault="00AE7C56" w:rsidP="00AE7C56">
            <w:pPr>
              <w:pStyle w:val="TableBullet"/>
            </w:pPr>
            <w:r w:rsidRPr="00AE7C56">
              <w:t>amount of hypochlorite added</w:t>
            </w:r>
          </w:p>
          <w:p w:rsidR="00AE7C56" w:rsidRPr="00AE7C56" w:rsidRDefault="00AE7C56" w:rsidP="00AE7C56">
            <w:pPr>
              <w:pStyle w:val="TableBullet"/>
            </w:pPr>
            <w:r w:rsidRPr="00AE7C56">
              <w:t>concentration of free chlorine in treatment tank after agitation</w:t>
            </w:r>
          </w:p>
          <w:p w:rsidR="00AE7C56" w:rsidRPr="00AE7C56" w:rsidRDefault="00AE7C56" w:rsidP="00AE7C56">
            <w:pPr>
              <w:pStyle w:val="TableBullet"/>
            </w:pPr>
            <w:r w:rsidRPr="00AE7C56">
              <w:t>amount of additional hypochlorite added (where required)</w:t>
            </w:r>
          </w:p>
          <w:p w:rsidR="00AE7C56" w:rsidRPr="00AE7C56" w:rsidRDefault="00AE7C56" w:rsidP="00AE7C56">
            <w:pPr>
              <w:pStyle w:val="TableBullet"/>
            </w:pPr>
            <w:r w:rsidRPr="00AE7C56">
              <w:t>concentration of free chlorine in treatment tank after further agitation (when additional hypochlorite added)</w:t>
            </w:r>
          </w:p>
          <w:p w:rsidR="00AE7C56" w:rsidRPr="00AE7C56" w:rsidRDefault="00AE7C56" w:rsidP="00AE7C56">
            <w:pPr>
              <w:pStyle w:val="TableBullet"/>
            </w:pPr>
            <w:r w:rsidRPr="00AE7C56">
              <w:t>concentration of free chlorine at conclusion of 1 hour treatment and time treatment completed</w:t>
            </w:r>
          </w:p>
          <w:p w:rsidR="00AE7C56" w:rsidRDefault="00AE7C56" w:rsidP="00AE7C56">
            <w:pPr>
              <w:pStyle w:val="TableBullet"/>
            </w:pPr>
            <w:proofErr w:type="gramStart"/>
            <w:r w:rsidRPr="00AE7C56">
              <w:t>date</w:t>
            </w:r>
            <w:proofErr w:type="gramEnd"/>
            <w:r w:rsidRPr="00AE7C56">
              <w:t xml:space="preserve"> of manufacture of hypochlorite.</w:t>
            </w:r>
          </w:p>
        </w:tc>
        <w:tc>
          <w:tcPr>
            <w:tcW w:w="4530" w:type="dxa"/>
          </w:tcPr>
          <w:p w:rsidR="00AE7C56" w:rsidRDefault="00AE7C56" w:rsidP="00AE7C56">
            <w:pPr>
              <w:pStyle w:val="TableText"/>
            </w:pPr>
            <w:r>
              <w:t>Major</w:t>
            </w:r>
          </w:p>
        </w:tc>
      </w:tr>
    </w:tbl>
    <w:p w:rsidR="00AE7C56" w:rsidRDefault="00AE7C56" w:rsidP="0046159B"/>
    <w:p w:rsidR="00AE7C56" w:rsidRDefault="00AE7C56" w:rsidP="00AE7C56">
      <w:pPr>
        <w:pStyle w:val="Caption"/>
      </w:pPr>
      <w:r>
        <w:t>Table 7 Dunnage and waste disposal</w:t>
      </w:r>
    </w:p>
    <w:tbl>
      <w:tblPr>
        <w:tblStyle w:val="TableGrid"/>
        <w:tblW w:w="0" w:type="auto"/>
        <w:tblLook w:val="04A0" w:firstRow="1" w:lastRow="0" w:firstColumn="1" w:lastColumn="0" w:noHBand="0" w:noVBand="1"/>
      </w:tblPr>
      <w:tblGrid>
        <w:gridCol w:w="4530"/>
        <w:gridCol w:w="4530"/>
      </w:tblGrid>
      <w:tr w:rsidR="00AE7C56" w:rsidTr="00AE7C56">
        <w:trPr>
          <w:cantSplit/>
          <w:tblHeader/>
        </w:trPr>
        <w:tc>
          <w:tcPr>
            <w:tcW w:w="4530" w:type="dxa"/>
          </w:tcPr>
          <w:p w:rsidR="00AE7C56" w:rsidRDefault="00AE7C56" w:rsidP="00AE7C56">
            <w:pPr>
              <w:pStyle w:val="TableHeading"/>
            </w:pPr>
            <w:r>
              <w:t>Requirements</w:t>
            </w:r>
          </w:p>
        </w:tc>
        <w:tc>
          <w:tcPr>
            <w:tcW w:w="4530" w:type="dxa"/>
          </w:tcPr>
          <w:p w:rsidR="00AE7C56" w:rsidRDefault="00AE7C56" w:rsidP="00AE7C56">
            <w:pPr>
              <w:pStyle w:val="TableHeading"/>
            </w:pPr>
            <w:r>
              <w:t>Nonconformity guide</w:t>
            </w:r>
          </w:p>
        </w:tc>
      </w:tr>
      <w:tr w:rsidR="00AE7C56" w:rsidTr="00AE7C56">
        <w:trPr>
          <w:cantSplit/>
          <w:tblHeader/>
        </w:trPr>
        <w:tc>
          <w:tcPr>
            <w:tcW w:w="4530" w:type="dxa"/>
          </w:tcPr>
          <w:p w:rsidR="00AE7C56" w:rsidRDefault="00AE7C56" w:rsidP="00AE7C56">
            <w:pPr>
              <w:pStyle w:val="TableText"/>
            </w:pPr>
            <w:r>
              <w:t xml:space="preserve">7.1 </w:t>
            </w:r>
            <w:r w:rsidRPr="00AE7C56">
              <w:t>Overseas dunnage, including pallets which are detected, must be stored in a clearly defined biosecurity area or a biosecurity dunnage container or storage device for a maximum period of 14 days. Within the specified storage period, dunnage must be treated by a department approved method</w:t>
            </w:r>
            <w:r>
              <w:t>.</w:t>
            </w:r>
          </w:p>
        </w:tc>
        <w:tc>
          <w:tcPr>
            <w:tcW w:w="4530" w:type="dxa"/>
          </w:tcPr>
          <w:p w:rsidR="00AE7C56" w:rsidRDefault="00AE7C56" w:rsidP="00AE7C56">
            <w:pPr>
              <w:pStyle w:val="TableText"/>
            </w:pPr>
            <w:r>
              <w:t>Major</w:t>
            </w:r>
          </w:p>
        </w:tc>
      </w:tr>
      <w:tr w:rsidR="00AE7C56" w:rsidTr="00AE7C56">
        <w:trPr>
          <w:cantSplit/>
          <w:tblHeader/>
        </w:trPr>
        <w:tc>
          <w:tcPr>
            <w:tcW w:w="4530" w:type="dxa"/>
          </w:tcPr>
          <w:p w:rsidR="00AE7C56" w:rsidRDefault="00AE7C56" w:rsidP="00AE7C56">
            <w:pPr>
              <w:pStyle w:val="TableText"/>
            </w:pPr>
            <w:r>
              <w:t xml:space="preserve">7.2 </w:t>
            </w:r>
            <w:r w:rsidRPr="00AE7C56">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rsidR="00AE7C56" w:rsidRDefault="00AE7C56" w:rsidP="00AE7C56">
            <w:pPr>
              <w:pStyle w:val="TableText"/>
            </w:pPr>
            <w:r>
              <w:t>Not applicable</w:t>
            </w:r>
          </w:p>
        </w:tc>
      </w:tr>
      <w:tr w:rsidR="00AE7C56" w:rsidTr="00AE7C56">
        <w:trPr>
          <w:cantSplit/>
          <w:tblHeader/>
        </w:trPr>
        <w:tc>
          <w:tcPr>
            <w:tcW w:w="4530" w:type="dxa"/>
          </w:tcPr>
          <w:p w:rsidR="00AE7C56" w:rsidRDefault="00AE7C56" w:rsidP="00AE7C56">
            <w:pPr>
              <w:pStyle w:val="TableText"/>
            </w:pPr>
            <w:r>
              <w:t xml:space="preserve">7.3 </w:t>
            </w:r>
            <w:r w:rsidRPr="00AE7C56">
              <w:t>ISPM 15 compliant timber packaging/dunnage does not require further inspection or treatment if it is stored separately from other imported timber packaging/dunnage.</w:t>
            </w:r>
          </w:p>
        </w:tc>
        <w:tc>
          <w:tcPr>
            <w:tcW w:w="4530" w:type="dxa"/>
          </w:tcPr>
          <w:p w:rsidR="00AE7C56" w:rsidRDefault="00AE7C56" w:rsidP="00AE7C56">
            <w:pPr>
              <w:pStyle w:val="TableText"/>
            </w:pPr>
            <w:r>
              <w:t>Minor</w:t>
            </w:r>
          </w:p>
        </w:tc>
      </w:tr>
    </w:tbl>
    <w:p w:rsidR="00AE7C56" w:rsidRDefault="00AE7C56" w:rsidP="00AE7C56">
      <w:pPr>
        <w:pStyle w:val="Caption"/>
        <w:spacing w:before="240"/>
      </w:pPr>
      <w:r>
        <w:t>Table 8 Waste disposal</w:t>
      </w:r>
    </w:p>
    <w:tbl>
      <w:tblPr>
        <w:tblStyle w:val="TableGrid"/>
        <w:tblW w:w="0" w:type="auto"/>
        <w:tblLook w:val="04A0" w:firstRow="1" w:lastRow="0" w:firstColumn="1" w:lastColumn="0" w:noHBand="0" w:noVBand="1"/>
      </w:tblPr>
      <w:tblGrid>
        <w:gridCol w:w="4530"/>
        <w:gridCol w:w="4530"/>
      </w:tblGrid>
      <w:tr w:rsidR="00AE7C56" w:rsidTr="00AE7C56">
        <w:trPr>
          <w:cantSplit/>
          <w:tblHeader/>
        </w:trPr>
        <w:tc>
          <w:tcPr>
            <w:tcW w:w="4530" w:type="dxa"/>
          </w:tcPr>
          <w:p w:rsidR="00AE7C56" w:rsidRDefault="00AE7C56" w:rsidP="00AE7C56">
            <w:pPr>
              <w:pStyle w:val="TableHeading"/>
            </w:pPr>
            <w:r>
              <w:t>Requirements</w:t>
            </w:r>
          </w:p>
        </w:tc>
        <w:tc>
          <w:tcPr>
            <w:tcW w:w="4530" w:type="dxa"/>
          </w:tcPr>
          <w:p w:rsidR="00AE7C56" w:rsidRDefault="00AE7C56" w:rsidP="00AE7C56">
            <w:pPr>
              <w:pStyle w:val="TableHeading"/>
            </w:pPr>
            <w:r>
              <w:t>Nonconformity guide</w:t>
            </w:r>
          </w:p>
        </w:tc>
      </w:tr>
      <w:tr w:rsidR="00AE7C56" w:rsidTr="00AE7C56">
        <w:trPr>
          <w:cantSplit/>
          <w:tblHeader/>
        </w:trPr>
        <w:tc>
          <w:tcPr>
            <w:tcW w:w="4530" w:type="dxa"/>
          </w:tcPr>
          <w:p w:rsidR="00AE7C56" w:rsidRDefault="004A68F0" w:rsidP="00AE7C56">
            <w:pPr>
              <w:pStyle w:val="TableText"/>
            </w:pPr>
            <w:r>
              <w:t xml:space="preserve">8.1 </w:t>
            </w:r>
            <w:r w:rsidRPr="004A68F0">
              <w:t xml:space="preserve">Sufficient containers </w:t>
            </w:r>
            <w:r>
              <w:t>of an appropriate size labelled</w:t>
            </w:r>
            <w:r w:rsidRPr="004A68F0">
              <w:t xml:space="preserve"> </w:t>
            </w:r>
            <w:r>
              <w:t>‘</w:t>
            </w:r>
            <w:r w:rsidRPr="004A68F0">
              <w:t>Biosecurity Waste</w:t>
            </w:r>
            <w:r>
              <w:t>’</w:t>
            </w:r>
            <w:r w:rsidRPr="004A68F0">
              <w:t>, are to be provided for loose items, residues, spillages or material of biosecurity concern. Such containers must have lids that remain closed and are to be emptied and, if required, disinfected in accordance with any provisions set by the department.</w:t>
            </w:r>
          </w:p>
        </w:tc>
        <w:tc>
          <w:tcPr>
            <w:tcW w:w="4530" w:type="dxa"/>
          </w:tcPr>
          <w:p w:rsidR="00AE7C56" w:rsidRDefault="00AE7C56" w:rsidP="00AE7C56">
            <w:pPr>
              <w:pStyle w:val="TableText"/>
            </w:pPr>
            <w:r>
              <w:t>Major or critical</w:t>
            </w:r>
          </w:p>
        </w:tc>
      </w:tr>
      <w:tr w:rsidR="00AE7C56" w:rsidTr="00AE7C56">
        <w:trPr>
          <w:cantSplit/>
          <w:tblHeader/>
        </w:trPr>
        <w:tc>
          <w:tcPr>
            <w:tcW w:w="4530" w:type="dxa"/>
          </w:tcPr>
          <w:p w:rsidR="00AE7C56" w:rsidRDefault="004A68F0" w:rsidP="00AE7C56">
            <w:pPr>
              <w:pStyle w:val="TableText"/>
            </w:pPr>
            <w:r>
              <w:t xml:space="preserve">8.2 </w:t>
            </w:r>
            <w:r w:rsidRPr="004A68F0">
              <w:t>Department approved methods of solid biosecurity waste disposal include incineration at a high temperature in a high efficiency Environmental Protection Agency (EPA) approved incineration facility, deep burial, or sterilisation by autoclaving.</w:t>
            </w:r>
          </w:p>
        </w:tc>
        <w:tc>
          <w:tcPr>
            <w:tcW w:w="4530" w:type="dxa"/>
          </w:tcPr>
          <w:p w:rsidR="00AE7C56" w:rsidRDefault="004A68F0" w:rsidP="00AE7C56">
            <w:pPr>
              <w:pStyle w:val="TableText"/>
            </w:pPr>
            <w:r>
              <w:t>Major or critical</w:t>
            </w:r>
          </w:p>
        </w:tc>
      </w:tr>
    </w:tbl>
    <w:p w:rsidR="004A68F0" w:rsidRDefault="004A68F0" w:rsidP="004A68F0">
      <w:pPr>
        <w:pStyle w:val="Caption"/>
        <w:spacing w:before="240"/>
      </w:pPr>
      <w:r>
        <w:lastRenderedPageBreak/>
        <w:t>Table 9</w:t>
      </w:r>
      <w:r w:rsidR="00905385">
        <w:t>A</w:t>
      </w:r>
      <w:r>
        <w:t xml:space="preserve"> Container inspections</w:t>
      </w:r>
    </w:p>
    <w:tbl>
      <w:tblPr>
        <w:tblStyle w:val="TableGrid"/>
        <w:tblW w:w="0" w:type="auto"/>
        <w:tblLook w:val="04A0" w:firstRow="1" w:lastRow="0" w:firstColumn="1" w:lastColumn="0" w:noHBand="0" w:noVBand="1"/>
      </w:tblPr>
      <w:tblGrid>
        <w:gridCol w:w="4530"/>
        <w:gridCol w:w="4530"/>
      </w:tblGrid>
      <w:tr w:rsidR="004A68F0" w:rsidTr="004A68F0">
        <w:trPr>
          <w:cantSplit/>
          <w:tblHeader/>
        </w:trPr>
        <w:tc>
          <w:tcPr>
            <w:tcW w:w="4530" w:type="dxa"/>
          </w:tcPr>
          <w:p w:rsidR="004A68F0" w:rsidRDefault="004A68F0" w:rsidP="004A68F0">
            <w:pPr>
              <w:pStyle w:val="TableHeading"/>
            </w:pPr>
            <w:r>
              <w:t>Requirements</w:t>
            </w:r>
          </w:p>
        </w:tc>
        <w:tc>
          <w:tcPr>
            <w:tcW w:w="4530" w:type="dxa"/>
          </w:tcPr>
          <w:p w:rsidR="004A68F0" w:rsidRDefault="004A68F0" w:rsidP="004A68F0">
            <w:pPr>
              <w:pStyle w:val="TableHeading"/>
            </w:pPr>
            <w:r>
              <w:t>Nonconformity guide</w:t>
            </w:r>
          </w:p>
        </w:tc>
      </w:tr>
      <w:tr w:rsidR="004A68F0" w:rsidTr="004A68F0">
        <w:trPr>
          <w:cantSplit/>
          <w:tblHeader/>
        </w:trPr>
        <w:tc>
          <w:tcPr>
            <w:tcW w:w="4530" w:type="dxa"/>
          </w:tcPr>
          <w:p w:rsidR="004A68F0" w:rsidRDefault="004A68F0" w:rsidP="004A68F0">
            <w:pPr>
              <w:pStyle w:val="TableText"/>
            </w:pPr>
            <w:r>
              <w:t>9.1 No structural repairs or other work that involves internal access to the container can be carried out until the biosecurity inspection has occurred.</w:t>
            </w:r>
          </w:p>
        </w:tc>
        <w:tc>
          <w:tcPr>
            <w:tcW w:w="4530" w:type="dxa"/>
          </w:tcPr>
          <w:p w:rsidR="004A68F0" w:rsidRDefault="004A68F0" w:rsidP="004A68F0">
            <w:pPr>
              <w:pStyle w:val="TableText"/>
            </w:pPr>
            <w:r>
              <w:t>Critical</w:t>
            </w:r>
          </w:p>
        </w:tc>
      </w:tr>
      <w:tr w:rsidR="004A68F0" w:rsidTr="004A68F0">
        <w:trPr>
          <w:cantSplit/>
          <w:tblHeader/>
        </w:trPr>
        <w:tc>
          <w:tcPr>
            <w:tcW w:w="4530" w:type="dxa"/>
          </w:tcPr>
          <w:p w:rsidR="004A68F0" w:rsidRDefault="004A68F0" w:rsidP="004A68F0">
            <w:pPr>
              <w:pStyle w:val="TableText"/>
            </w:pPr>
            <w:r w:rsidRPr="004A68F0">
              <w:t>All internal surfaces of the container must be inspected in a way that effectively identifies biosecurity material. If biosecurity material is found, it must be determined if it is Biosecurity Level 1, 2 or 3, as detailed in Attachment 1 of this Approved Arrangement (Steps in inspecting an empty container).</w:t>
            </w:r>
          </w:p>
        </w:tc>
        <w:tc>
          <w:tcPr>
            <w:tcW w:w="4530" w:type="dxa"/>
          </w:tcPr>
          <w:p w:rsidR="004A68F0" w:rsidRDefault="004A68F0" w:rsidP="004A68F0">
            <w:pPr>
              <w:pStyle w:val="TableText"/>
            </w:pPr>
            <w:r>
              <w:t>Major or critical</w:t>
            </w:r>
          </w:p>
        </w:tc>
      </w:tr>
      <w:tr w:rsidR="004A68F0" w:rsidTr="004A68F0">
        <w:trPr>
          <w:cantSplit/>
          <w:tblHeader/>
        </w:trPr>
        <w:tc>
          <w:tcPr>
            <w:tcW w:w="4530" w:type="dxa"/>
          </w:tcPr>
          <w:p w:rsidR="004A68F0" w:rsidRDefault="004A68F0" w:rsidP="004A68F0">
            <w:pPr>
              <w:pStyle w:val="TableText"/>
            </w:pPr>
            <w:r>
              <w:t xml:space="preserve">9.2 </w:t>
            </w:r>
            <w:r w:rsidRPr="004A68F0">
              <w:t>The initial container inspection may take place anywhere within the confines of the Approved Arrangement site.</w:t>
            </w:r>
          </w:p>
        </w:tc>
        <w:tc>
          <w:tcPr>
            <w:tcW w:w="4530" w:type="dxa"/>
          </w:tcPr>
          <w:p w:rsidR="004A68F0" w:rsidRDefault="004A68F0" w:rsidP="004A68F0">
            <w:pPr>
              <w:pStyle w:val="TableText"/>
            </w:pPr>
            <w:r>
              <w:t>Major</w:t>
            </w:r>
          </w:p>
        </w:tc>
      </w:tr>
      <w:tr w:rsidR="004A68F0" w:rsidTr="004A68F0">
        <w:trPr>
          <w:cantSplit/>
          <w:tblHeader/>
        </w:trPr>
        <w:tc>
          <w:tcPr>
            <w:tcW w:w="4530" w:type="dxa"/>
          </w:tcPr>
          <w:p w:rsidR="004A68F0" w:rsidRDefault="004A68F0" w:rsidP="004A68F0">
            <w:pPr>
              <w:pStyle w:val="TableText"/>
            </w:pPr>
            <w:r>
              <w:t xml:space="preserve">9.3 </w:t>
            </w:r>
            <w:r w:rsidRPr="004A68F0">
              <w:t>Where Biosecurity Level 3 material is detected the container must be moved to the Biosecurity Area for departmental inspection.</w:t>
            </w:r>
          </w:p>
        </w:tc>
        <w:tc>
          <w:tcPr>
            <w:tcW w:w="4530" w:type="dxa"/>
          </w:tcPr>
          <w:p w:rsidR="004A68F0" w:rsidRDefault="004A68F0" w:rsidP="004A68F0">
            <w:pPr>
              <w:pStyle w:val="TableText"/>
            </w:pPr>
            <w:r>
              <w:t>Major</w:t>
            </w:r>
          </w:p>
        </w:tc>
      </w:tr>
      <w:tr w:rsidR="004A68F0" w:rsidTr="004A68F0">
        <w:trPr>
          <w:cantSplit/>
          <w:tblHeader/>
        </w:trPr>
        <w:tc>
          <w:tcPr>
            <w:tcW w:w="4530" w:type="dxa"/>
          </w:tcPr>
          <w:p w:rsidR="004A68F0" w:rsidRDefault="004A68F0" w:rsidP="004A68F0">
            <w:pPr>
              <w:pStyle w:val="TableText"/>
            </w:pPr>
            <w:r>
              <w:t xml:space="preserve">9.4 </w:t>
            </w:r>
            <w:r w:rsidRPr="004A68F0">
              <w:t>Internal cleaning for Biosecurity Level 2 must occur in the Biosecurity Area</w:t>
            </w:r>
            <w:r>
              <w:t>.</w:t>
            </w:r>
          </w:p>
        </w:tc>
        <w:tc>
          <w:tcPr>
            <w:tcW w:w="4530" w:type="dxa"/>
          </w:tcPr>
          <w:p w:rsidR="004A68F0" w:rsidRDefault="004A68F0" w:rsidP="004A68F0">
            <w:pPr>
              <w:pStyle w:val="TableText"/>
            </w:pPr>
            <w:r>
              <w:t>Major</w:t>
            </w:r>
          </w:p>
        </w:tc>
      </w:tr>
      <w:tr w:rsidR="004A68F0" w:rsidTr="004A68F0">
        <w:trPr>
          <w:cantSplit/>
          <w:tblHeader/>
        </w:trPr>
        <w:tc>
          <w:tcPr>
            <w:tcW w:w="4530" w:type="dxa"/>
          </w:tcPr>
          <w:p w:rsidR="004A68F0" w:rsidRDefault="004A68F0" w:rsidP="004A68F0">
            <w:pPr>
              <w:pStyle w:val="TableText"/>
            </w:pPr>
            <w:r>
              <w:t xml:space="preserve">9.5 </w:t>
            </w:r>
            <w:r w:rsidRPr="004A68F0">
              <w:t>Containers on the wash pad shall be placed and washed in a manner to ensure no cross contamination occurs with containers which are free of biosecurity concerns</w:t>
            </w:r>
            <w:r>
              <w:t>.</w:t>
            </w:r>
          </w:p>
        </w:tc>
        <w:tc>
          <w:tcPr>
            <w:tcW w:w="4530" w:type="dxa"/>
          </w:tcPr>
          <w:p w:rsidR="004A68F0" w:rsidRDefault="004A68F0" w:rsidP="004A68F0">
            <w:pPr>
              <w:pStyle w:val="TableText"/>
            </w:pPr>
            <w:r>
              <w:t>Major or critical</w:t>
            </w:r>
          </w:p>
        </w:tc>
      </w:tr>
      <w:tr w:rsidR="004A68F0" w:rsidTr="004A68F0">
        <w:trPr>
          <w:cantSplit/>
          <w:tblHeader/>
        </w:trPr>
        <w:tc>
          <w:tcPr>
            <w:tcW w:w="4530" w:type="dxa"/>
          </w:tcPr>
          <w:p w:rsidR="004A68F0" w:rsidRDefault="004A68F0" w:rsidP="004A68F0">
            <w:pPr>
              <w:pStyle w:val="TableText"/>
            </w:pPr>
            <w:r>
              <w:t xml:space="preserve">9.6 </w:t>
            </w:r>
            <w:r w:rsidR="00905385" w:rsidRPr="00905385">
              <w:t>All internal surfaces of international re-positioned empty containers must be inspected to verify whether these contain biosecurity risk material.</w:t>
            </w:r>
          </w:p>
        </w:tc>
        <w:tc>
          <w:tcPr>
            <w:tcW w:w="4530" w:type="dxa"/>
          </w:tcPr>
          <w:p w:rsidR="004A68F0" w:rsidRDefault="004A68F0" w:rsidP="004A68F0">
            <w:pPr>
              <w:pStyle w:val="TableText"/>
            </w:pPr>
            <w:r>
              <w:t>Major</w:t>
            </w:r>
          </w:p>
        </w:tc>
      </w:tr>
      <w:tr w:rsidR="00905385" w:rsidTr="004A68F0">
        <w:trPr>
          <w:cantSplit/>
          <w:tblHeader/>
        </w:trPr>
        <w:tc>
          <w:tcPr>
            <w:tcW w:w="4530" w:type="dxa"/>
          </w:tcPr>
          <w:p w:rsidR="00905385" w:rsidRDefault="00905385" w:rsidP="004A68F0">
            <w:pPr>
              <w:pStyle w:val="TableText"/>
            </w:pPr>
            <w:r>
              <w:t xml:space="preserve">9.7 </w:t>
            </w:r>
            <w:r w:rsidRPr="00905385">
              <w:t>Any Biosecurity Level 2 materials must be removed and disposed of</w:t>
            </w:r>
            <w:r>
              <w:t>.</w:t>
            </w:r>
          </w:p>
        </w:tc>
        <w:tc>
          <w:tcPr>
            <w:tcW w:w="4530" w:type="dxa"/>
          </w:tcPr>
          <w:p w:rsidR="00905385" w:rsidRDefault="00905385" w:rsidP="004A68F0">
            <w:pPr>
              <w:pStyle w:val="TableText"/>
            </w:pPr>
            <w:r>
              <w:t>Major</w:t>
            </w:r>
          </w:p>
        </w:tc>
      </w:tr>
      <w:tr w:rsidR="00905385" w:rsidTr="004A68F0">
        <w:trPr>
          <w:cantSplit/>
          <w:tblHeader/>
        </w:trPr>
        <w:tc>
          <w:tcPr>
            <w:tcW w:w="4530" w:type="dxa"/>
          </w:tcPr>
          <w:p w:rsidR="00905385" w:rsidRDefault="00905385" w:rsidP="004A68F0">
            <w:pPr>
              <w:pStyle w:val="TableText"/>
            </w:pPr>
            <w:r>
              <w:t xml:space="preserve">9.8 </w:t>
            </w:r>
            <w:r w:rsidRPr="00905385">
              <w:t>Any containers with Biosecurity Level 3 materials to the department must be reported to the department</w:t>
            </w:r>
            <w:r>
              <w:t>.</w:t>
            </w:r>
          </w:p>
        </w:tc>
        <w:tc>
          <w:tcPr>
            <w:tcW w:w="4530" w:type="dxa"/>
          </w:tcPr>
          <w:p w:rsidR="00905385" w:rsidRDefault="00905385" w:rsidP="004A68F0">
            <w:pPr>
              <w:pStyle w:val="TableText"/>
            </w:pPr>
            <w:r>
              <w:t>Major</w:t>
            </w:r>
          </w:p>
        </w:tc>
      </w:tr>
      <w:tr w:rsidR="00905385" w:rsidTr="004A68F0">
        <w:trPr>
          <w:cantSplit/>
          <w:tblHeader/>
        </w:trPr>
        <w:tc>
          <w:tcPr>
            <w:tcW w:w="4530" w:type="dxa"/>
          </w:tcPr>
          <w:p w:rsidR="00905385" w:rsidRDefault="00905385" w:rsidP="00905385">
            <w:pPr>
              <w:pStyle w:val="TableText"/>
            </w:pPr>
            <w:r>
              <w:t>9.9 The following information must be recorded for every container requiring a biosecurity inspection:</w:t>
            </w:r>
          </w:p>
          <w:p w:rsidR="00905385" w:rsidRDefault="00905385" w:rsidP="00905385">
            <w:pPr>
              <w:pStyle w:val="TableBullet"/>
            </w:pPr>
            <w:r>
              <w:t>Date(s) of initial inspection</w:t>
            </w:r>
          </w:p>
          <w:p w:rsidR="00905385" w:rsidRDefault="00905385" w:rsidP="00905385">
            <w:pPr>
              <w:pStyle w:val="TableBullet"/>
            </w:pPr>
            <w:r>
              <w:t>Container number (unique identifier)</w:t>
            </w:r>
          </w:p>
          <w:p w:rsidR="00905385" w:rsidRDefault="00905385" w:rsidP="00905385">
            <w:pPr>
              <w:pStyle w:val="TableBullet"/>
            </w:pPr>
            <w:r>
              <w:t>Name of the Approved Arrangement site at which the inspection was undertaken</w:t>
            </w:r>
          </w:p>
          <w:p w:rsidR="00905385" w:rsidRDefault="00905385" w:rsidP="00905385">
            <w:pPr>
              <w:pStyle w:val="TableBullet"/>
            </w:pPr>
            <w:r>
              <w:t>Result of initial inspection (Biosecurity Level - which shall reflect the type and level of biosecurity material found inside the container, as per Attachment 1).</w:t>
            </w:r>
          </w:p>
          <w:p w:rsidR="00905385" w:rsidRDefault="00905385" w:rsidP="00905385">
            <w:pPr>
              <w:pStyle w:val="TableBullet"/>
            </w:pPr>
            <w:r>
              <w:t>Any treatments carried out</w:t>
            </w:r>
          </w:p>
          <w:p w:rsidR="00905385" w:rsidRDefault="00905385" w:rsidP="00905385">
            <w:pPr>
              <w:pStyle w:val="TableBullet"/>
            </w:pPr>
            <w:r>
              <w:t>Name of the accredited person performing the inspection.</w:t>
            </w:r>
          </w:p>
        </w:tc>
        <w:tc>
          <w:tcPr>
            <w:tcW w:w="4530" w:type="dxa"/>
          </w:tcPr>
          <w:p w:rsidR="00905385" w:rsidRDefault="00905385" w:rsidP="004A68F0">
            <w:pPr>
              <w:pStyle w:val="TableText"/>
            </w:pPr>
            <w:r>
              <w:t>Major</w:t>
            </w:r>
          </w:p>
        </w:tc>
      </w:tr>
      <w:tr w:rsidR="00905385" w:rsidTr="004A68F0">
        <w:trPr>
          <w:cantSplit/>
          <w:tblHeader/>
        </w:trPr>
        <w:tc>
          <w:tcPr>
            <w:tcW w:w="4530" w:type="dxa"/>
          </w:tcPr>
          <w:p w:rsidR="00905385" w:rsidRDefault="00905385" w:rsidP="00905385">
            <w:pPr>
              <w:pStyle w:val="TableText"/>
            </w:pPr>
            <w:r>
              <w:t>9.10 Following the detection and subsequent removal/treatment of Biosecurity Level 2 material (see Attachment 1), the container must be reinspected and the following information recorded:</w:t>
            </w:r>
          </w:p>
          <w:p w:rsidR="00DA3ED0" w:rsidRDefault="00905385" w:rsidP="00905385">
            <w:pPr>
              <w:pStyle w:val="TableBullet"/>
            </w:pPr>
            <w:r>
              <w:t>Any treatments carried out</w:t>
            </w:r>
          </w:p>
          <w:p w:rsidR="00905385" w:rsidRPr="00C64F96" w:rsidRDefault="00905385" w:rsidP="00905385">
            <w:pPr>
              <w:pStyle w:val="TableBullet"/>
              <w:rPr>
                <w:rFonts w:asciiTheme="majorHAnsi" w:hAnsiTheme="majorHAnsi" w:cstheme="majorHAnsi"/>
              </w:rPr>
            </w:pPr>
            <w:r>
              <w:t>Name of the accredited p</w:t>
            </w:r>
            <w:r w:rsidRPr="00C64F96">
              <w:t>erson performing the inspectio</w:t>
            </w:r>
            <w:r>
              <w:t>n</w:t>
            </w:r>
          </w:p>
          <w:p w:rsidR="00905385" w:rsidRDefault="00905385" w:rsidP="00905385">
            <w:pPr>
              <w:pStyle w:val="TableBullet"/>
            </w:pPr>
            <w:r>
              <w:t>The inspection result.</w:t>
            </w:r>
          </w:p>
        </w:tc>
        <w:tc>
          <w:tcPr>
            <w:tcW w:w="4530" w:type="dxa"/>
          </w:tcPr>
          <w:p w:rsidR="00905385" w:rsidRDefault="00905385" w:rsidP="004A68F0">
            <w:pPr>
              <w:pStyle w:val="TableText"/>
            </w:pPr>
            <w:r>
              <w:t>Major</w:t>
            </w:r>
          </w:p>
        </w:tc>
      </w:tr>
    </w:tbl>
    <w:p w:rsidR="00905385" w:rsidRDefault="00905385" w:rsidP="00905385">
      <w:pPr>
        <w:pStyle w:val="Caption"/>
        <w:spacing w:before="240"/>
      </w:pPr>
      <w:r>
        <w:lastRenderedPageBreak/>
        <w:t>Table 9B Container inspections (continued)</w:t>
      </w:r>
    </w:p>
    <w:tbl>
      <w:tblPr>
        <w:tblStyle w:val="TableGrid"/>
        <w:tblW w:w="0" w:type="auto"/>
        <w:tblLook w:val="04A0" w:firstRow="1" w:lastRow="0" w:firstColumn="1" w:lastColumn="0" w:noHBand="0" w:noVBand="1"/>
      </w:tblPr>
      <w:tblGrid>
        <w:gridCol w:w="4530"/>
        <w:gridCol w:w="4530"/>
      </w:tblGrid>
      <w:tr w:rsidR="00905385" w:rsidTr="00905385">
        <w:trPr>
          <w:cantSplit/>
          <w:tblHeader/>
        </w:trPr>
        <w:tc>
          <w:tcPr>
            <w:tcW w:w="4530" w:type="dxa"/>
          </w:tcPr>
          <w:p w:rsidR="00905385" w:rsidRDefault="00905385" w:rsidP="00905385">
            <w:pPr>
              <w:pStyle w:val="TableHeading"/>
            </w:pPr>
            <w:r>
              <w:t>Requirements</w:t>
            </w:r>
          </w:p>
        </w:tc>
        <w:tc>
          <w:tcPr>
            <w:tcW w:w="4530" w:type="dxa"/>
          </w:tcPr>
          <w:p w:rsidR="00905385" w:rsidRDefault="00905385" w:rsidP="00905385">
            <w:pPr>
              <w:pStyle w:val="TableHeading"/>
            </w:pPr>
            <w:r>
              <w:t>Nonconformity guide</w:t>
            </w:r>
          </w:p>
        </w:tc>
      </w:tr>
      <w:tr w:rsidR="00905385" w:rsidTr="00905385">
        <w:trPr>
          <w:cantSplit/>
          <w:tblHeader/>
        </w:trPr>
        <w:tc>
          <w:tcPr>
            <w:tcW w:w="4530" w:type="dxa"/>
          </w:tcPr>
          <w:p w:rsidR="00905385" w:rsidRDefault="00905385" w:rsidP="00905385">
            <w:pPr>
              <w:pStyle w:val="TableText"/>
            </w:pPr>
            <w:r>
              <w:t>9.11 Following the detection of Biosecurity Level 3 material (see Attachment 1) ensure:</w:t>
            </w:r>
          </w:p>
          <w:p w:rsidR="00905385" w:rsidRPr="00C64F96" w:rsidRDefault="00905385" w:rsidP="00905385">
            <w:pPr>
              <w:pStyle w:val="TableBullet"/>
              <w:rPr>
                <w:rFonts w:eastAsia="Times New Roman"/>
              </w:rPr>
            </w:pPr>
            <w:r w:rsidRPr="00C64F96">
              <w:t>container doors are closed</w:t>
            </w:r>
          </w:p>
          <w:p w:rsidR="00905385" w:rsidRPr="00FE1F25" w:rsidRDefault="00905385" w:rsidP="00905385">
            <w:pPr>
              <w:pStyle w:val="TableBullet"/>
              <w:rPr>
                <w:rFonts w:asciiTheme="majorHAnsi" w:hAnsiTheme="majorHAnsi" w:cstheme="majorHAnsi"/>
              </w:rPr>
            </w:pPr>
            <w:r>
              <w:t>t</w:t>
            </w:r>
            <w:r w:rsidRPr="00C64F96">
              <w:t>he department is contacted and made aware of the biosecurity concern</w:t>
            </w:r>
          </w:p>
          <w:p w:rsidR="00905385" w:rsidRDefault="00905385" w:rsidP="00905385">
            <w:pPr>
              <w:pStyle w:val="TableBullet"/>
            </w:pPr>
            <w:proofErr w:type="gramStart"/>
            <w:r>
              <w:t>t</w:t>
            </w:r>
            <w:r w:rsidRPr="00FE1F25">
              <w:t>he</w:t>
            </w:r>
            <w:proofErr w:type="gramEnd"/>
            <w:r w:rsidRPr="00FE1F25">
              <w:t xml:space="preserve"> container is moved to the biosecurity inspection area.</w:t>
            </w:r>
          </w:p>
        </w:tc>
        <w:tc>
          <w:tcPr>
            <w:tcW w:w="4530" w:type="dxa"/>
          </w:tcPr>
          <w:p w:rsidR="00905385" w:rsidRDefault="00905385" w:rsidP="00905385">
            <w:pPr>
              <w:pStyle w:val="TableText"/>
            </w:pPr>
            <w:r>
              <w:t>Major or critical</w:t>
            </w:r>
          </w:p>
        </w:tc>
      </w:tr>
      <w:tr w:rsidR="00905385" w:rsidTr="00905385">
        <w:trPr>
          <w:cantSplit/>
          <w:tblHeader/>
        </w:trPr>
        <w:tc>
          <w:tcPr>
            <w:tcW w:w="4530" w:type="dxa"/>
          </w:tcPr>
          <w:p w:rsidR="00905385" w:rsidRDefault="00905385" w:rsidP="00905385">
            <w:pPr>
              <w:pStyle w:val="TableText"/>
            </w:pPr>
            <w:r>
              <w:t xml:space="preserve">9.12 Where there is both Biosecurity Level 3 and Biosecurity Level 2 material, the container must be reinspected following the treatment of Biosecurity Level 3 material, and </w:t>
            </w:r>
            <w:r w:rsidRPr="0090267E">
              <w:t>the following information recorded:</w:t>
            </w:r>
          </w:p>
          <w:p w:rsidR="00905385" w:rsidRPr="00BB4306" w:rsidRDefault="00905385" w:rsidP="00905385">
            <w:pPr>
              <w:pStyle w:val="TableBullet"/>
              <w:rPr>
                <w:rFonts w:eastAsia="Times New Roman"/>
              </w:rPr>
            </w:pPr>
            <w:r>
              <w:t>date of re-inspection</w:t>
            </w:r>
          </w:p>
          <w:p w:rsidR="00905385" w:rsidRPr="00BB4306" w:rsidRDefault="00905385" w:rsidP="00905385">
            <w:pPr>
              <w:pStyle w:val="TableBullet"/>
              <w:rPr>
                <w:rFonts w:eastAsia="Times New Roman"/>
              </w:rPr>
            </w:pPr>
            <w:r w:rsidRPr="00BB4306">
              <w:t>name of the Accredited Pers</w:t>
            </w:r>
            <w:r>
              <w:t>on performing the re-inspection</w:t>
            </w:r>
          </w:p>
          <w:p w:rsidR="00905385" w:rsidRPr="00905385" w:rsidRDefault="00905385" w:rsidP="00905385">
            <w:pPr>
              <w:pStyle w:val="TableBullet"/>
            </w:pPr>
            <w:proofErr w:type="gramStart"/>
            <w:r w:rsidRPr="00BB4306">
              <w:t>result</w:t>
            </w:r>
            <w:proofErr w:type="gramEnd"/>
            <w:r w:rsidRPr="00BB4306">
              <w:t xml:space="preserve"> of the inspection.</w:t>
            </w:r>
          </w:p>
        </w:tc>
        <w:tc>
          <w:tcPr>
            <w:tcW w:w="4530" w:type="dxa"/>
          </w:tcPr>
          <w:p w:rsidR="00905385" w:rsidRDefault="00905385" w:rsidP="00905385">
            <w:pPr>
              <w:pStyle w:val="TableText"/>
            </w:pPr>
            <w:r>
              <w:t>Major</w:t>
            </w:r>
          </w:p>
        </w:tc>
      </w:tr>
      <w:tr w:rsidR="00905385" w:rsidTr="00905385">
        <w:trPr>
          <w:cantSplit/>
          <w:tblHeader/>
        </w:trPr>
        <w:tc>
          <w:tcPr>
            <w:tcW w:w="4530" w:type="dxa"/>
          </w:tcPr>
          <w:p w:rsidR="00905385" w:rsidRPr="00905385" w:rsidRDefault="00905385" w:rsidP="00905385">
            <w:pPr>
              <w:pStyle w:val="TableText"/>
            </w:pPr>
            <w:r w:rsidRPr="00905385">
              <w:t>9.13 Once treatment is completed (for both Biosecurity Level 2 and Biosecurity Level 3), the completion of the treatment must be verified and the necessary information recorded on existing commercial or other documents for auditing purposes.</w:t>
            </w:r>
          </w:p>
        </w:tc>
        <w:tc>
          <w:tcPr>
            <w:tcW w:w="4530" w:type="dxa"/>
          </w:tcPr>
          <w:p w:rsidR="00905385" w:rsidRDefault="00905385" w:rsidP="00905385">
            <w:pPr>
              <w:pStyle w:val="TableText"/>
            </w:pPr>
            <w:r>
              <w:t>Major</w:t>
            </w:r>
          </w:p>
        </w:tc>
      </w:tr>
    </w:tbl>
    <w:p w:rsidR="00905385" w:rsidRDefault="00905385" w:rsidP="00905385">
      <w:pPr>
        <w:pStyle w:val="Caption"/>
        <w:spacing w:before="240"/>
      </w:pPr>
      <w:r>
        <w:t>Table 10 Office and record requirements</w:t>
      </w:r>
    </w:p>
    <w:tbl>
      <w:tblPr>
        <w:tblStyle w:val="TableGrid"/>
        <w:tblW w:w="0" w:type="auto"/>
        <w:tblLook w:val="04A0" w:firstRow="1" w:lastRow="0" w:firstColumn="1" w:lastColumn="0" w:noHBand="0" w:noVBand="1"/>
      </w:tblPr>
      <w:tblGrid>
        <w:gridCol w:w="4530"/>
        <w:gridCol w:w="4530"/>
      </w:tblGrid>
      <w:tr w:rsidR="00905385" w:rsidTr="00905385">
        <w:trPr>
          <w:cantSplit/>
          <w:tblHeader/>
        </w:trPr>
        <w:tc>
          <w:tcPr>
            <w:tcW w:w="4530" w:type="dxa"/>
          </w:tcPr>
          <w:p w:rsidR="00905385" w:rsidRDefault="00905385" w:rsidP="00905385">
            <w:pPr>
              <w:pStyle w:val="TableHeading"/>
            </w:pPr>
            <w:r>
              <w:t>Requirements</w:t>
            </w:r>
          </w:p>
        </w:tc>
        <w:tc>
          <w:tcPr>
            <w:tcW w:w="4530" w:type="dxa"/>
          </w:tcPr>
          <w:p w:rsidR="00905385" w:rsidRDefault="00905385" w:rsidP="00905385">
            <w:pPr>
              <w:pStyle w:val="TableHeading"/>
            </w:pPr>
            <w:r>
              <w:t>Nonconformity guide</w:t>
            </w:r>
          </w:p>
        </w:tc>
      </w:tr>
      <w:tr w:rsidR="00905385" w:rsidTr="00905385">
        <w:trPr>
          <w:cantSplit/>
          <w:tblHeader/>
        </w:trPr>
        <w:tc>
          <w:tcPr>
            <w:tcW w:w="4530" w:type="dxa"/>
          </w:tcPr>
          <w:p w:rsidR="00905385" w:rsidRPr="00905385" w:rsidRDefault="00905385" w:rsidP="00905385">
            <w:pPr>
              <w:pStyle w:val="TableText"/>
            </w:pPr>
            <w:r w:rsidRPr="00905385">
              <w:t xml:space="preserve">10.1 Records are to be made available, within 48 hours, for inspection by </w:t>
            </w:r>
            <w:r>
              <w:t>b</w:t>
            </w:r>
            <w:r w:rsidRPr="00905385">
              <w:t xml:space="preserve">iosecurity </w:t>
            </w:r>
            <w:r>
              <w:t>o</w:t>
            </w:r>
            <w:r w:rsidRPr="00905385">
              <w:t>fficers.</w:t>
            </w:r>
          </w:p>
        </w:tc>
        <w:tc>
          <w:tcPr>
            <w:tcW w:w="4530" w:type="dxa"/>
          </w:tcPr>
          <w:p w:rsidR="00905385" w:rsidRDefault="00905385" w:rsidP="00905385">
            <w:pPr>
              <w:pStyle w:val="TableText"/>
              <w:tabs>
                <w:tab w:val="left" w:pos="1399"/>
              </w:tabs>
            </w:pPr>
            <w:r>
              <w:t>Major</w:t>
            </w:r>
          </w:p>
        </w:tc>
      </w:tr>
      <w:tr w:rsidR="00905385" w:rsidTr="00905385">
        <w:trPr>
          <w:cantSplit/>
          <w:tblHeader/>
        </w:trPr>
        <w:tc>
          <w:tcPr>
            <w:tcW w:w="4530" w:type="dxa"/>
          </w:tcPr>
          <w:p w:rsidR="00905385" w:rsidRPr="00905385" w:rsidRDefault="00905385" w:rsidP="00905385">
            <w:pPr>
              <w:pStyle w:val="TableText"/>
            </w:pPr>
            <w:r w:rsidRPr="00905385">
              <w:t>10.2 Records (electronic or manual) of goods subject to biosecurity control imported through the AA site must be maintained (these can be commercial documents).</w:t>
            </w:r>
          </w:p>
        </w:tc>
        <w:tc>
          <w:tcPr>
            <w:tcW w:w="4530" w:type="dxa"/>
          </w:tcPr>
          <w:p w:rsidR="00905385" w:rsidRDefault="00905385" w:rsidP="00905385">
            <w:pPr>
              <w:pStyle w:val="TableText"/>
            </w:pPr>
            <w:r>
              <w:t>Major</w:t>
            </w:r>
          </w:p>
        </w:tc>
      </w:tr>
      <w:tr w:rsidR="00905385" w:rsidTr="00905385">
        <w:trPr>
          <w:cantSplit/>
          <w:tblHeader/>
        </w:trPr>
        <w:tc>
          <w:tcPr>
            <w:tcW w:w="4530" w:type="dxa"/>
          </w:tcPr>
          <w:p w:rsidR="00905385" w:rsidRPr="00BF7BD8" w:rsidRDefault="00905385" w:rsidP="00905385">
            <w:pPr>
              <w:pStyle w:val="TableText"/>
            </w:pPr>
            <w:r>
              <w:t>10.3 Office and general AA site</w:t>
            </w:r>
            <w:r w:rsidRPr="00BF7BD8">
              <w:t xml:space="preserve"> requirements must provide the department with the confidence that applicable work health and safety standards have been met, </w:t>
            </w:r>
            <w:r w:rsidRPr="0090267E">
              <w:t>including:</w:t>
            </w:r>
          </w:p>
          <w:p w:rsidR="00905385" w:rsidRPr="00BF7BD8" w:rsidRDefault="00905385" w:rsidP="00905385">
            <w:pPr>
              <w:pStyle w:val="TableBullet"/>
            </w:pPr>
            <w:r w:rsidRPr="00BF7BD8">
              <w:t>providing a first aid cabinet/kit which is fully stocked and meets the minimum commercial Australian Standard (AS2675-1983: Portable first aid kits for use by consumers)</w:t>
            </w:r>
          </w:p>
          <w:p w:rsidR="00905385" w:rsidRPr="00BF7BD8" w:rsidRDefault="00905385" w:rsidP="00905385">
            <w:pPr>
              <w:pStyle w:val="TableBullet"/>
            </w:pPr>
            <w:r w:rsidRPr="00BF7BD8">
              <w:t>providing vehicle parking for vis</w:t>
            </w:r>
            <w:r>
              <w:t>iting Biosecurity</w:t>
            </w:r>
            <w:r w:rsidRPr="00BF7BD8">
              <w:t xml:space="preserve"> Officers (note: this may require department identified parking or providing a parking permit)</w:t>
            </w:r>
          </w:p>
          <w:p w:rsidR="00905385" w:rsidRPr="00BF7BD8" w:rsidRDefault="00905385" w:rsidP="00905385">
            <w:pPr>
              <w:pStyle w:val="TableBullet"/>
            </w:pPr>
            <w:r w:rsidRPr="00BF7BD8">
              <w:t>ensuring adequate security for any departmental technica</w:t>
            </w:r>
            <w:r>
              <w:t>l equipment left on the site</w:t>
            </w:r>
          </w:p>
          <w:p w:rsidR="00905385" w:rsidRPr="00BF7BD8" w:rsidRDefault="00905385" w:rsidP="00905385">
            <w:pPr>
              <w:pStyle w:val="TableBullet"/>
            </w:pPr>
            <w:r w:rsidRPr="00BF7BD8">
              <w:t>providing access and the availability of:</w:t>
            </w:r>
          </w:p>
          <w:p w:rsidR="00905385" w:rsidRPr="00BF7BD8" w:rsidRDefault="00905385" w:rsidP="00905385">
            <w:pPr>
              <w:pStyle w:val="tablebullet2"/>
            </w:pPr>
            <w:r w:rsidRPr="00BF7BD8">
              <w:t>a desk, chair and a telephone with direct outside call access</w:t>
            </w:r>
          </w:p>
          <w:p w:rsidR="00905385" w:rsidRPr="00BF7BD8" w:rsidRDefault="00905385" w:rsidP="00905385">
            <w:pPr>
              <w:pStyle w:val="tablebullet2"/>
            </w:pPr>
            <w:r w:rsidRPr="00BF7BD8">
              <w:t>toilet facilities</w:t>
            </w:r>
          </w:p>
          <w:p w:rsidR="00905385" w:rsidRPr="00BF7BD8" w:rsidRDefault="00905385" w:rsidP="00905385">
            <w:pPr>
              <w:pStyle w:val="tablebullet2"/>
            </w:pPr>
            <w:r w:rsidRPr="00BF7BD8">
              <w:t>hand washing facilities and a hygienic means of drying hands</w:t>
            </w:r>
          </w:p>
          <w:p w:rsidR="00905385" w:rsidRDefault="00905385" w:rsidP="00905385">
            <w:pPr>
              <w:pStyle w:val="tablebullet2"/>
            </w:pPr>
            <w:proofErr w:type="gramStart"/>
            <w:r w:rsidRPr="00BF7BD8">
              <w:t>suitable</w:t>
            </w:r>
            <w:proofErr w:type="gramEnd"/>
            <w:r w:rsidRPr="00BF7BD8">
              <w:t xml:space="preserve"> arrangements to ensure amenities are clean.</w:t>
            </w:r>
          </w:p>
        </w:tc>
        <w:tc>
          <w:tcPr>
            <w:tcW w:w="4530" w:type="dxa"/>
          </w:tcPr>
          <w:p w:rsidR="00905385" w:rsidRDefault="00905385" w:rsidP="00905385">
            <w:pPr>
              <w:pStyle w:val="TableText"/>
            </w:pPr>
            <w:r>
              <w:t>Minor or major</w:t>
            </w:r>
          </w:p>
        </w:tc>
      </w:tr>
    </w:tbl>
    <w:p w:rsidR="00905385" w:rsidRDefault="00905385" w:rsidP="00905385">
      <w:pPr>
        <w:pStyle w:val="Caption"/>
        <w:spacing w:before="240"/>
      </w:pPr>
      <w:r>
        <w:lastRenderedPageBreak/>
        <w:t>Table 11 Administration</w:t>
      </w:r>
    </w:p>
    <w:tbl>
      <w:tblPr>
        <w:tblStyle w:val="TableGrid"/>
        <w:tblW w:w="0" w:type="auto"/>
        <w:tblLook w:val="04A0" w:firstRow="1" w:lastRow="0" w:firstColumn="1" w:lastColumn="0" w:noHBand="0" w:noVBand="1"/>
      </w:tblPr>
      <w:tblGrid>
        <w:gridCol w:w="4530"/>
        <w:gridCol w:w="4530"/>
      </w:tblGrid>
      <w:tr w:rsidR="00905385" w:rsidTr="00905385">
        <w:trPr>
          <w:cantSplit/>
          <w:tblHeader/>
        </w:trPr>
        <w:tc>
          <w:tcPr>
            <w:tcW w:w="4530" w:type="dxa"/>
          </w:tcPr>
          <w:p w:rsidR="00905385" w:rsidRDefault="00905385" w:rsidP="00905385">
            <w:pPr>
              <w:pStyle w:val="TableHeading"/>
            </w:pPr>
            <w:r>
              <w:t>Requirements</w:t>
            </w:r>
          </w:p>
        </w:tc>
        <w:tc>
          <w:tcPr>
            <w:tcW w:w="4530" w:type="dxa"/>
          </w:tcPr>
          <w:p w:rsidR="00905385" w:rsidRDefault="00905385" w:rsidP="00905385">
            <w:pPr>
              <w:pStyle w:val="TableHeading"/>
            </w:pPr>
            <w:r>
              <w:t>Nonconformity guide</w:t>
            </w:r>
          </w:p>
        </w:tc>
      </w:tr>
      <w:tr w:rsidR="00905385" w:rsidTr="00905385">
        <w:trPr>
          <w:cantSplit/>
          <w:tblHeader/>
        </w:trPr>
        <w:tc>
          <w:tcPr>
            <w:tcW w:w="4530" w:type="dxa"/>
          </w:tcPr>
          <w:p w:rsidR="00905385" w:rsidRDefault="00905385" w:rsidP="00905385">
            <w:pPr>
              <w:pStyle w:val="TableText"/>
              <w:tabs>
                <w:tab w:val="left" w:pos="1399"/>
              </w:tabs>
            </w:pPr>
            <w:r>
              <w:t xml:space="preserve">11.1 </w:t>
            </w:r>
            <w:r w:rsidRPr="00905385">
              <w:t>Applications are to be accompanied by scale drawings of the proposed area and biosecurity storage, treatment/processing facilitie</w:t>
            </w:r>
            <w:r>
              <w:t>s, and parking for biosecurity o</w:t>
            </w:r>
            <w:r w:rsidRPr="00905385">
              <w:t>fficers.</w:t>
            </w:r>
          </w:p>
        </w:tc>
        <w:tc>
          <w:tcPr>
            <w:tcW w:w="4530" w:type="dxa"/>
          </w:tcPr>
          <w:p w:rsidR="00905385" w:rsidRDefault="00905385" w:rsidP="00905385">
            <w:pPr>
              <w:pStyle w:val="TableText"/>
            </w:pPr>
            <w:r>
              <w:t>Minor or major</w:t>
            </w:r>
          </w:p>
        </w:tc>
      </w:tr>
      <w:tr w:rsidR="00905385" w:rsidTr="00905385">
        <w:trPr>
          <w:cantSplit/>
          <w:tblHeader/>
        </w:trPr>
        <w:tc>
          <w:tcPr>
            <w:tcW w:w="4530" w:type="dxa"/>
          </w:tcPr>
          <w:p w:rsidR="00905385" w:rsidRDefault="00905385" w:rsidP="00905385">
            <w:pPr>
              <w:pStyle w:val="TableText"/>
            </w:pPr>
            <w:r>
              <w:t xml:space="preserve">11.2 </w:t>
            </w:r>
            <w:r w:rsidRPr="00905385">
              <w:t>To ensure conformance to the AA site requirements, the department must be notified in writing, at least 15 working days prior to any modification to biosecurity areas where goods subject to biosecurity control are stored or treated/processed or otherwise dealt with.</w:t>
            </w:r>
          </w:p>
        </w:tc>
        <w:tc>
          <w:tcPr>
            <w:tcW w:w="4530" w:type="dxa"/>
          </w:tcPr>
          <w:p w:rsidR="00905385" w:rsidRDefault="00905385" w:rsidP="00905385">
            <w:pPr>
              <w:pStyle w:val="TableText"/>
            </w:pPr>
            <w:r>
              <w:t>Minor or major</w:t>
            </w:r>
          </w:p>
        </w:tc>
      </w:tr>
    </w:tbl>
    <w:p w:rsidR="00905385" w:rsidRDefault="00905385" w:rsidP="00905385">
      <w:pPr>
        <w:pStyle w:val="Caption"/>
        <w:spacing w:before="240"/>
      </w:pPr>
      <w:r>
        <w:lastRenderedPageBreak/>
        <w:t>Table 12A General</w:t>
      </w:r>
    </w:p>
    <w:tbl>
      <w:tblPr>
        <w:tblStyle w:val="TableGrid"/>
        <w:tblW w:w="0" w:type="auto"/>
        <w:tblLook w:val="04A0" w:firstRow="1" w:lastRow="0" w:firstColumn="1" w:lastColumn="0" w:noHBand="0" w:noVBand="1"/>
      </w:tblPr>
      <w:tblGrid>
        <w:gridCol w:w="4530"/>
        <w:gridCol w:w="4530"/>
      </w:tblGrid>
      <w:tr w:rsidR="00905385" w:rsidTr="00905385">
        <w:trPr>
          <w:cantSplit/>
          <w:tblHeader/>
        </w:trPr>
        <w:tc>
          <w:tcPr>
            <w:tcW w:w="4530" w:type="dxa"/>
          </w:tcPr>
          <w:p w:rsidR="00905385" w:rsidRDefault="00905385" w:rsidP="00905385">
            <w:pPr>
              <w:pStyle w:val="TableHeading"/>
            </w:pPr>
            <w:r>
              <w:t>Requirements</w:t>
            </w:r>
          </w:p>
        </w:tc>
        <w:tc>
          <w:tcPr>
            <w:tcW w:w="4530" w:type="dxa"/>
          </w:tcPr>
          <w:p w:rsidR="00905385" w:rsidRDefault="00905385" w:rsidP="00905385">
            <w:pPr>
              <w:pStyle w:val="TableHeading"/>
            </w:pPr>
            <w:r>
              <w:t>Nonconformity guide</w:t>
            </w:r>
          </w:p>
        </w:tc>
      </w:tr>
      <w:tr w:rsidR="00905385" w:rsidTr="00905385">
        <w:trPr>
          <w:cantSplit/>
          <w:tblHeader/>
        </w:trPr>
        <w:tc>
          <w:tcPr>
            <w:tcW w:w="4530" w:type="dxa"/>
          </w:tcPr>
          <w:p w:rsidR="00905385" w:rsidRDefault="00905385" w:rsidP="00905385">
            <w:pPr>
              <w:pStyle w:val="TableText"/>
            </w:pPr>
            <w:r>
              <w:t xml:space="preserve">12.1 </w:t>
            </w:r>
            <w:r w:rsidRPr="00905385">
              <w:t>Goods subject to biosecurity control must be maintained and processed at an AA site appropriate for the biosecurity risk associated with the goods</w:t>
            </w:r>
            <w:r>
              <w:t>.</w:t>
            </w:r>
          </w:p>
        </w:tc>
        <w:tc>
          <w:tcPr>
            <w:tcW w:w="4530" w:type="dxa"/>
          </w:tcPr>
          <w:p w:rsidR="00905385" w:rsidRDefault="00905385" w:rsidP="00905385">
            <w:pPr>
              <w:pStyle w:val="TableText"/>
              <w:tabs>
                <w:tab w:val="left" w:pos="3260"/>
              </w:tabs>
            </w:pPr>
            <w:r>
              <w:t>Major or critical</w:t>
            </w:r>
          </w:p>
        </w:tc>
      </w:tr>
      <w:tr w:rsidR="00905385" w:rsidTr="00905385">
        <w:trPr>
          <w:cantSplit/>
          <w:tblHeader/>
        </w:trPr>
        <w:tc>
          <w:tcPr>
            <w:tcW w:w="4530" w:type="dxa"/>
          </w:tcPr>
          <w:p w:rsidR="00905385" w:rsidRDefault="00905385" w:rsidP="00905385">
            <w:pPr>
              <w:pStyle w:val="TableText"/>
            </w:pPr>
            <w:r>
              <w:t xml:space="preserve">12.2 </w:t>
            </w:r>
            <w:r w:rsidRPr="00905385">
              <w:t>Goods subject to biosecurity control must be maintained and processed in accordance with the requirements of the relevant AA class.</w:t>
            </w:r>
          </w:p>
        </w:tc>
        <w:tc>
          <w:tcPr>
            <w:tcW w:w="4530" w:type="dxa"/>
          </w:tcPr>
          <w:p w:rsidR="00905385" w:rsidRDefault="00905385" w:rsidP="00905385">
            <w:pPr>
              <w:pStyle w:val="TableText"/>
            </w:pPr>
            <w:r>
              <w:t>Minor, major or critical</w:t>
            </w:r>
          </w:p>
        </w:tc>
      </w:tr>
      <w:tr w:rsidR="00905385" w:rsidTr="00905385">
        <w:trPr>
          <w:cantSplit/>
          <w:tblHeader/>
        </w:trPr>
        <w:tc>
          <w:tcPr>
            <w:tcW w:w="4530" w:type="dxa"/>
          </w:tcPr>
          <w:p w:rsidR="00905385" w:rsidRDefault="00905385" w:rsidP="00905385">
            <w:pPr>
              <w:pStyle w:val="TableText"/>
            </w:pPr>
            <w:r>
              <w:t xml:space="preserve">12.3 </w:t>
            </w:r>
            <w:r w:rsidRPr="00905385">
              <w:t>Goods subject to biosecurity control must be maintained and processed in accordance with import conditions specified in the department's Biosecurity Import Conditions Database (BICON).</w:t>
            </w:r>
          </w:p>
        </w:tc>
        <w:tc>
          <w:tcPr>
            <w:tcW w:w="4530" w:type="dxa"/>
          </w:tcPr>
          <w:p w:rsidR="00905385" w:rsidRDefault="00905385" w:rsidP="00905385">
            <w:pPr>
              <w:pStyle w:val="TableText"/>
            </w:pPr>
            <w:r>
              <w:t>Minor, major or critical</w:t>
            </w:r>
          </w:p>
        </w:tc>
      </w:tr>
      <w:tr w:rsidR="00905385" w:rsidTr="00905385">
        <w:trPr>
          <w:cantSplit/>
          <w:tblHeader/>
        </w:trPr>
        <w:tc>
          <w:tcPr>
            <w:tcW w:w="4530" w:type="dxa"/>
          </w:tcPr>
          <w:p w:rsidR="00905385" w:rsidRDefault="00905385" w:rsidP="00905385">
            <w:pPr>
              <w:pStyle w:val="TableText"/>
            </w:pPr>
            <w:r>
              <w:t xml:space="preserve">12.4 </w:t>
            </w:r>
            <w:r w:rsidRPr="00905385">
              <w:t>Goods subject to biosecurity control must be maintained and processed in accordance with an Import Permit (if applicable).</w:t>
            </w:r>
          </w:p>
        </w:tc>
        <w:tc>
          <w:tcPr>
            <w:tcW w:w="4530" w:type="dxa"/>
          </w:tcPr>
          <w:p w:rsidR="00905385" w:rsidRDefault="00905385" w:rsidP="00905385">
            <w:pPr>
              <w:pStyle w:val="TableText"/>
            </w:pPr>
            <w:r>
              <w:t>Minor, major or critical</w:t>
            </w:r>
          </w:p>
        </w:tc>
      </w:tr>
      <w:tr w:rsidR="00905385" w:rsidTr="00905385">
        <w:trPr>
          <w:cantSplit/>
          <w:tblHeader/>
        </w:trPr>
        <w:tc>
          <w:tcPr>
            <w:tcW w:w="4530" w:type="dxa"/>
          </w:tcPr>
          <w:p w:rsidR="00905385" w:rsidRDefault="00905385" w:rsidP="00905385">
            <w:pPr>
              <w:pStyle w:val="TableText"/>
            </w:pPr>
            <w:r>
              <w:t xml:space="preserve">12.5 </w:t>
            </w:r>
            <w:r w:rsidRPr="00905385">
              <w:t>Goods subject to biosecurity control must be maintained and processed in accordance with any other direction from the department.</w:t>
            </w:r>
          </w:p>
        </w:tc>
        <w:tc>
          <w:tcPr>
            <w:tcW w:w="4530" w:type="dxa"/>
          </w:tcPr>
          <w:p w:rsidR="00905385" w:rsidRDefault="00905385" w:rsidP="00905385">
            <w:pPr>
              <w:pStyle w:val="TableText"/>
            </w:pPr>
            <w:r>
              <w:t>Minor, major or critical</w:t>
            </w:r>
          </w:p>
        </w:tc>
      </w:tr>
      <w:tr w:rsidR="00905385" w:rsidTr="00905385">
        <w:trPr>
          <w:cantSplit/>
          <w:tblHeader/>
        </w:trPr>
        <w:tc>
          <w:tcPr>
            <w:tcW w:w="4530" w:type="dxa"/>
          </w:tcPr>
          <w:p w:rsidR="00905385" w:rsidRDefault="00905385" w:rsidP="00905385">
            <w:pPr>
              <w:pStyle w:val="TableText"/>
            </w:pPr>
            <w:r>
              <w:t xml:space="preserve">12.6 </w:t>
            </w:r>
            <w:r w:rsidRPr="00905385">
              <w:t xml:space="preserve">Goods subject to biosecurity control must be maintained and processed in accordance with the </w:t>
            </w:r>
            <w:r w:rsidRPr="00905385">
              <w:rPr>
                <w:rStyle w:val="Emphasis"/>
              </w:rPr>
              <w:t>Biosecurity Act 2015</w:t>
            </w:r>
            <w:r w:rsidRPr="00905385">
              <w:t xml:space="preserve"> and subordinate legislation.</w:t>
            </w:r>
          </w:p>
        </w:tc>
        <w:tc>
          <w:tcPr>
            <w:tcW w:w="4530" w:type="dxa"/>
          </w:tcPr>
          <w:p w:rsidR="00905385" w:rsidRDefault="00905385" w:rsidP="00905385">
            <w:pPr>
              <w:pStyle w:val="TableText"/>
            </w:pPr>
            <w:r>
              <w:t>Major or critical</w:t>
            </w:r>
          </w:p>
        </w:tc>
      </w:tr>
      <w:tr w:rsidR="00905385" w:rsidTr="00905385">
        <w:trPr>
          <w:cantSplit/>
          <w:tblHeader/>
        </w:trPr>
        <w:tc>
          <w:tcPr>
            <w:tcW w:w="4530" w:type="dxa"/>
          </w:tcPr>
          <w:p w:rsidR="00905385" w:rsidRPr="00543FE0" w:rsidRDefault="00905385" w:rsidP="00905385">
            <w:pPr>
              <w:pStyle w:val="TableText"/>
            </w:pPr>
            <w:r>
              <w:t xml:space="preserve">12.7 </w:t>
            </w:r>
            <w:r w:rsidRPr="00543FE0">
              <w:t>Goods subject to biosecurity control must be kept physically separated from other goods (including during transport), to ensure negligible risk of cross contamination to:</w:t>
            </w:r>
          </w:p>
          <w:p w:rsidR="00905385" w:rsidRPr="00543FE0" w:rsidRDefault="00905385" w:rsidP="00905385">
            <w:pPr>
              <w:pStyle w:val="TableBullet"/>
            </w:pPr>
            <w:r w:rsidRPr="00543FE0">
              <w:t>imported items that have been released from biosecurity control</w:t>
            </w:r>
          </w:p>
          <w:p w:rsidR="00905385" w:rsidRPr="00543FE0" w:rsidRDefault="00905385" w:rsidP="00905385">
            <w:pPr>
              <w:pStyle w:val="TableBullet"/>
            </w:pPr>
            <w:r w:rsidRPr="00543FE0">
              <w:t>domestic items</w:t>
            </w:r>
          </w:p>
          <w:p w:rsidR="00905385" w:rsidRPr="00543FE0" w:rsidRDefault="00905385" w:rsidP="00905385">
            <w:pPr>
              <w:pStyle w:val="TableBullet"/>
            </w:pPr>
            <w:proofErr w:type="gramStart"/>
            <w:r w:rsidRPr="00543FE0">
              <w:t>the</w:t>
            </w:r>
            <w:proofErr w:type="gramEnd"/>
            <w:r w:rsidRPr="00543FE0">
              <w:t xml:space="preserve"> Australian environment.</w:t>
            </w:r>
          </w:p>
          <w:p w:rsidR="00905385" w:rsidRPr="00905385" w:rsidRDefault="00905385" w:rsidP="00905385">
            <w:pPr>
              <w:pStyle w:val="TableText"/>
            </w:pPr>
            <w:r w:rsidRPr="00905385">
              <w:t>Note: Isolation can be achieved through the use of distance or physical barriers. The amount of distance or type of physical barrier required will depend on the nature of the goods subject to biosecurity control.</w:t>
            </w:r>
          </w:p>
        </w:tc>
        <w:tc>
          <w:tcPr>
            <w:tcW w:w="4530" w:type="dxa"/>
          </w:tcPr>
          <w:p w:rsidR="00905385" w:rsidRDefault="00905385" w:rsidP="00905385">
            <w:pPr>
              <w:pStyle w:val="TableText"/>
            </w:pPr>
            <w:r>
              <w:t>Major or critical</w:t>
            </w:r>
          </w:p>
        </w:tc>
      </w:tr>
      <w:tr w:rsidR="00905385" w:rsidTr="00905385">
        <w:trPr>
          <w:cantSplit/>
          <w:tblHeader/>
        </w:trPr>
        <w:tc>
          <w:tcPr>
            <w:tcW w:w="4530" w:type="dxa"/>
          </w:tcPr>
          <w:p w:rsidR="00905385" w:rsidRDefault="00905385" w:rsidP="00905385">
            <w:pPr>
              <w:pStyle w:val="TableText"/>
            </w:pPr>
            <w:r>
              <w:t xml:space="preserve">12.8 </w:t>
            </w:r>
            <w:r w:rsidRPr="00905385">
              <w:t>The standard of hygiene at the AA site must be appropriate for the nature of the goods subject to biosecurity control.</w:t>
            </w:r>
          </w:p>
        </w:tc>
        <w:tc>
          <w:tcPr>
            <w:tcW w:w="4530" w:type="dxa"/>
          </w:tcPr>
          <w:p w:rsidR="00905385" w:rsidRDefault="00905385" w:rsidP="00905385">
            <w:pPr>
              <w:pStyle w:val="TableText"/>
            </w:pPr>
            <w:r>
              <w:t>Major or critical</w:t>
            </w:r>
          </w:p>
        </w:tc>
      </w:tr>
      <w:tr w:rsidR="00905385" w:rsidTr="00905385">
        <w:trPr>
          <w:cantSplit/>
          <w:tblHeader/>
        </w:trPr>
        <w:tc>
          <w:tcPr>
            <w:tcW w:w="4530" w:type="dxa"/>
          </w:tcPr>
          <w:p w:rsidR="00905385" w:rsidRDefault="00905385" w:rsidP="00905385">
            <w:pPr>
              <w:pStyle w:val="TableText"/>
            </w:pPr>
            <w:r>
              <w:t xml:space="preserve">12.9 </w:t>
            </w:r>
            <w:r w:rsidRPr="00905385">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rsidR="00905385" w:rsidRDefault="00905385" w:rsidP="00905385">
            <w:pPr>
              <w:pStyle w:val="TableText"/>
            </w:pPr>
            <w:r>
              <w:t>Major or critical</w:t>
            </w:r>
          </w:p>
        </w:tc>
      </w:tr>
    </w:tbl>
    <w:p w:rsidR="009E5BC4" w:rsidRDefault="009E5BC4" w:rsidP="009E5BC4">
      <w:pPr>
        <w:pStyle w:val="Caption"/>
        <w:spacing w:before="240"/>
      </w:pPr>
      <w:r>
        <w:lastRenderedPageBreak/>
        <w:t>Table 12B General (continued)</w:t>
      </w:r>
    </w:p>
    <w:tbl>
      <w:tblPr>
        <w:tblStyle w:val="TableGrid"/>
        <w:tblW w:w="0" w:type="auto"/>
        <w:tblLook w:val="04A0" w:firstRow="1" w:lastRow="0" w:firstColumn="1" w:lastColumn="0" w:noHBand="0" w:noVBand="1"/>
      </w:tblPr>
      <w:tblGrid>
        <w:gridCol w:w="4530"/>
        <w:gridCol w:w="4530"/>
      </w:tblGrid>
      <w:tr w:rsidR="009E5BC4" w:rsidTr="009E5BC4">
        <w:trPr>
          <w:cantSplit/>
          <w:tblHeader/>
        </w:trPr>
        <w:tc>
          <w:tcPr>
            <w:tcW w:w="4530" w:type="dxa"/>
          </w:tcPr>
          <w:p w:rsidR="009E5BC4" w:rsidRDefault="009E5BC4" w:rsidP="009E5BC4">
            <w:pPr>
              <w:pStyle w:val="TableHeading"/>
            </w:pPr>
            <w:r>
              <w:t>Requirements</w:t>
            </w:r>
          </w:p>
        </w:tc>
        <w:tc>
          <w:tcPr>
            <w:tcW w:w="4530" w:type="dxa"/>
          </w:tcPr>
          <w:p w:rsidR="009E5BC4" w:rsidRDefault="009E5BC4" w:rsidP="009E5BC4">
            <w:pPr>
              <w:pStyle w:val="TableHeading"/>
            </w:pPr>
            <w:r>
              <w:t>Nonconformity guide</w:t>
            </w:r>
          </w:p>
        </w:tc>
      </w:tr>
      <w:tr w:rsidR="009E5BC4" w:rsidTr="009E5BC4">
        <w:trPr>
          <w:cantSplit/>
          <w:tblHeader/>
        </w:trPr>
        <w:tc>
          <w:tcPr>
            <w:tcW w:w="4530" w:type="dxa"/>
          </w:tcPr>
          <w:p w:rsidR="009E5BC4" w:rsidRPr="00543FE0" w:rsidRDefault="009E5BC4" w:rsidP="009E5BC4">
            <w:pPr>
              <w:pStyle w:val="TableText"/>
            </w:pPr>
            <w:r>
              <w:t xml:space="preserve">12.10 </w:t>
            </w:r>
            <w:r w:rsidRPr="00543FE0">
              <w:t xml:space="preserve">Goods subject to biosecurity control are not permitted to be moved outside an AA </w:t>
            </w:r>
            <w:r>
              <w:t>site except for the purpose of:</w:t>
            </w:r>
          </w:p>
          <w:p w:rsidR="009E5BC4" w:rsidRPr="00543FE0" w:rsidRDefault="009E5BC4" w:rsidP="009E5BC4">
            <w:pPr>
              <w:pStyle w:val="TableBullet"/>
            </w:pPr>
            <w:r w:rsidRPr="00543FE0">
              <w:t>moving directly and securely to another AA site, of the appropriate AA class, with prior writt</w:t>
            </w:r>
            <w:r>
              <w:t>en approval from the department</w:t>
            </w:r>
          </w:p>
          <w:p w:rsidR="009E5BC4" w:rsidRPr="009E5BC4" w:rsidRDefault="009E5BC4" w:rsidP="009E5BC4">
            <w:pPr>
              <w:pStyle w:val="TableBullet"/>
            </w:pPr>
            <w:proofErr w:type="gramStart"/>
            <w:r w:rsidRPr="00543FE0">
              <w:t>moving</w:t>
            </w:r>
            <w:proofErr w:type="gramEnd"/>
            <w:r w:rsidRPr="00543FE0">
              <w:t xml:space="preserve"> directly and securely to an AA site of the same class (or of the same class but a higher biosecurity containment level sub-class) that is co-lo</w:t>
            </w:r>
            <w:r>
              <w:t>cated with the original AA site.</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Pr="00543FE0" w:rsidRDefault="009E5BC4" w:rsidP="009E5BC4">
            <w:pPr>
              <w:pStyle w:val="TableBullet"/>
            </w:pPr>
            <w:proofErr w:type="gramStart"/>
            <w:r w:rsidRPr="00543FE0">
              <w:t>transport</w:t>
            </w:r>
            <w:proofErr w:type="gramEnd"/>
            <w:r w:rsidRPr="00543FE0">
              <w:t xml:space="preserve"> of biosecurity waste by a department approved waste transport company (operating under an AA fo</w:t>
            </w:r>
            <w:r>
              <w:t>r biosecurity waste transport).</w:t>
            </w:r>
          </w:p>
          <w:p w:rsidR="009E5BC4" w:rsidRDefault="009E5BC4" w:rsidP="009E5BC4">
            <w:pPr>
              <w:pStyle w:val="TableText"/>
            </w:pPr>
            <w:r w:rsidRPr="00543FE0">
              <w:rPr>
                <w:rFonts w:asciiTheme="majorHAnsi" w:hAnsiTheme="majorHAnsi" w:cstheme="majorHAnsi"/>
                <w:bCs/>
              </w:rPr>
              <w:t>If the items are being transport</w:t>
            </w:r>
            <w:r>
              <w:rPr>
                <w:rFonts w:asciiTheme="majorHAnsi" w:hAnsiTheme="majorHAnsi" w:cstheme="majorHAnsi"/>
                <w:bCs/>
              </w:rPr>
              <w:t>ed by a non-Accredited Person (such as</w:t>
            </w:r>
            <w:r w:rsidRPr="00543FE0">
              <w:rPr>
                <w:rFonts w:asciiTheme="majorHAnsi" w:hAnsiTheme="majorHAnsi" w:cstheme="majorHAnsi"/>
                <w:bCs/>
              </w:rPr>
              <w:t xml:space="preserve"> a truck driver), the forwarding BIP must ensure that this person is made aware of the conditions relating to the transport of the items.</w:t>
            </w: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t xml:space="preserve">12.11 </w:t>
            </w:r>
            <w:r w:rsidRPr="009E5BC4">
              <w:t>Goods subject to biosecurity control are not permitted to leave the biosecurity area of an AA site, inadvertently or deliberately, without prior written direction or approval from the department.</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Pr="00543FE0" w:rsidRDefault="009E5BC4" w:rsidP="009E5BC4">
            <w:pPr>
              <w:pStyle w:val="TableText"/>
            </w:pPr>
            <w:r>
              <w:t xml:space="preserve">12.12 </w:t>
            </w:r>
            <w:r w:rsidRPr="00543FE0">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rsidR="00DA3ED0" w:rsidRDefault="009E5BC4" w:rsidP="009E5BC4">
            <w:pPr>
              <w:pStyle w:val="TableBullet"/>
            </w:pPr>
            <w:r w:rsidRPr="00543FE0">
              <w:t>visually verify for themselves that the items are being handled in accordance with the department's requirements</w:t>
            </w:r>
          </w:p>
          <w:p w:rsidR="009E5BC4" w:rsidRDefault="009E5BC4" w:rsidP="009E5BC4">
            <w:pPr>
              <w:pStyle w:val="TableBullet"/>
            </w:pPr>
            <w:proofErr w:type="gramStart"/>
            <w:r w:rsidRPr="00543FE0">
              <w:t>communicate</w:t>
            </w:r>
            <w:proofErr w:type="gramEnd"/>
            <w:r w:rsidRPr="00543FE0">
              <w:t xml:space="preserve"> immediately and effectively with the persons being supervised.</w:t>
            </w: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t xml:space="preserve">12.13 </w:t>
            </w:r>
            <w:r w:rsidRPr="009E5BC4">
              <w:t>Persons performing the function of an Accredited Person must have successfully completed the department's approved training to obtain and maintain Accredited Person status.</w:t>
            </w: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t>12.14 Records must be maintained of Accredited Persons.</w:t>
            </w:r>
          </w:p>
        </w:tc>
        <w:tc>
          <w:tcPr>
            <w:tcW w:w="4530" w:type="dxa"/>
          </w:tcPr>
          <w:p w:rsidR="009E5BC4" w:rsidRDefault="009E5BC4" w:rsidP="009E5BC4">
            <w:pPr>
              <w:pStyle w:val="TableText"/>
            </w:pPr>
            <w:r>
              <w:t>Minor</w:t>
            </w:r>
          </w:p>
        </w:tc>
      </w:tr>
      <w:tr w:rsidR="009E5BC4" w:rsidTr="009E5BC4">
        <w:trPr>
          <w:cantSplit/>
          <w:tblHeader/>
        </w:trPr>
        <w:tc>
          <w:tcPr>
            <w:tcW w:w="4530" w:type="dxa"/>
          </w:tcPr>
          <w:p w:rsidR="009E5BC4" w:rsidRDefault="009E5BC4" w:rsidP="009E5BC4">
            <w:pPr>
              <w:pStyle w:val="TableText"/>
              <w:tabs>
                <w:tab w:val="left" w:pos="1331"/>
              </w:tabs>
            </w:pPr>
            <w:r>
              <w:t xml:space="preserve">12.15 </w:t>
            </w:r>
            <w:r w:rsidRPr="009E5BC4">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t xml:space="preserve">12.16 </w:t>
            </w:r>
            <w:r w:rsidRPr="009E5BC4">
              <w:t>Ensure records are kept for a minimum of 18 months for goods subject to biosecurity control at the AA site.</w:t>
            </w:r>
          </w:p>
        </w:tc>
        <w:tc>
          <w:tcPr>
            <w:tcW w:w="4530" w:type="dxa"/>
          </w:tcPr>
          <w:p w:rsidR="009E5BC4" w:rsidRDefault="009E5BC4" w:rsidP="009E5BC4">
            <w:pPr>
              <w:pStyle w:val="TableText"/>
            </w:pPr>
            <w:r>
              <w:t>Minor or major</w:t>
            </w:r>
          </w:p>
        </w:tc>
      </w:tr>
    </w:tbl>
    <w:p w:rsidR="009E5BC4" w:rsidRDefault="009E5BC4" w:rsidP="009E5BC4">
      <w:pPr>
        <w:pStyle w:val="Caption"/>
        <w:spacing w:before="240"/>
      </w:pPr>
      <w:r>
        <w:lastRenderedPageBreak/>
        <w:t>Table 12C General (continued)</w:t>
      </w:r>
    </w:p>
    <w:tbl>
      <w:tblPr>
        <w:tblStyle w:val="TableGrid"/>
        <w:tblW w:w="0" w:type="auto"/>
        <w:tblLook w:val="04A0" w:firstRow="1" w:lastRow="0" w:firstColumn="1" w:lastColumn="0" w:noHBand="0" w:noVBand="1"/>
      </w:tblPr>
      <w:tblGrid>
        <w:gridCol w:w="4530"/>
        <w:gridCol w:w="4530"/>
      </w:tblGrid>
      <w:tr w:rsidR="009E5BC4" w:rsidTr="009E5BC4">
        <w:trPr>
          <w:cantSplit/>
          <w:tblHeader/>
        </w:trPr>
        <w:tc>
          <w:tcPr>
            <w:tcW w:w="4530" w:type="dxa"/>
          </w:tcPr>
          <w:p w:rsidR="009E5BC4" w:rsidRDefault="009E5BC4" w:rsidP="009E5BC4">
            <w:pPr>
              <w:pStyle w:val="TableHeading"/>
            </w:pPr>
            <w:r>
              <w:t>Requirements</w:t>
            </w:r>
          </w:p>
        </w:tc>
        <w:tc>
          <w:tcPr>
            <w:tcW w:w="4530" w:type="dxa"/>
          </w:tcPr>
          <w:p w:rsidR="009E5BC4" w:rsidRDefault="009E5BC4" w:rsidP="009E5BC4">
            <w:pPr>
              <w:pStyle w:val="TableHeading"/>
            </w:pPr>
            <w:r>
              <w:t>Nonconformity guide</w:t>
            </w:r>
          </w:p>
        </w:tc>
      </w:tr>
      <w:tr w:rsidR="009E5BC4" w:rsidTr="009E5BC4">
        <w:trPr>
          <w:cantSplit/>
          <w:tblHeader/>
        </w:trPr>
        <w:tc>
          <w:tcPr>
            <w:tcW w:w="4530" w:type="dxa"/>
          </w:tcPr>
          <w:p w:rsidR="009E5BC4" w:rsidRDefault="009E5BC4" w:rsidP="009E5BC4">
            <w:pPr>
              <w:pStyle w:val="TableText"/>
            </w:pPr>
            <w:r>
              <w:t xml:space="preserve">12.17 </w:t>
            </w:r>
            <w:r w:rsidRPr="009E5BC4">
              <w:t>Ensure goods subject to biosecurity control are traceable</w:t>
            </w:r>
            <w:r>
              <w:t xml:space="preserve"> in terms of (where applicable):</w:t>
            </w:r>
          </w:p>
        </w:tc>
        <w:tc>
          <w:tcPr>
            <w:tcW w:w="4530" w:type="dxa"/>
          </w:tcPr>
          <w:p w:rsidR="009E5BC4" w:rsidRDefault="009E5BC4" w:rsidP="009E5BC4">
            <w:pPr>
              <w:pStyle w:val="TableText"/>
            </w:pPr>
          </w:p>
        </w:tc>
      </w:tr>
      <w:tr w:rsidR="009E5BC4" w:rsidTr="009E5BC4">
        <w:trPr>
          <w:cantSplit/>
          <w:tblHeader/>
        </w:trPr>
        <w:tc>
          <w:tcPr>
            <w:tcW w:w="4530" w:type="dxa"/>
          </w:tcPr>
          <w:p w:rsidR="00DA3ED0" w:rsidRDefault="009E5BC4" w:rsidP="009E5BC4">
            <w:pPr>
              <w:pStyle w:val="TableBullet"/>
            </w:pPr>
            <w:r w:rsidRPr="00543FE0">
              <w:t>declaration/entry number</w:t>
            </w:r>
          </w:p>
          <w:p w:rsidR="00DA3ED0" w:rsidRDefault="009E5BC4" w:rsidP="009E5BC4">
            <w:pPr>
              <w:pStyle w:val="TableBullet"/>
            </w:pPr>
            <w:r>
              <w:t>I</w:t>
            </w:r>
            <w:r w:rsidRPr="00543FE0">
              <w:t>mport Permit number</w:t>
            </w:r>
          </w:p>
          <w:p w:rsidR="009E5BC4" w:rsidRPr="00543FE0" w:rsidRDefault="009E5BC4" w:rsidP="009E5BC4">
            <w:pPr>
              <w:pStyle w:val="TableBullet"/>
            </w:pPr>
            <w:r w:rsidRPr="00543FE0">
              <w:t>Air Waybill or Bill of Lading number</w:t>
            </w:r>
          </w:p>
          <w:p w:rsidR="00DA3ED0" w:rsidRDefault="009E5BC4" w:rsidP="009E5BC4">
            <w:pPr>
              <w:pStyle w:val="TableBullet"/>
            </w:pPr>
            <w:r w:rsidRPr="00543FE0">
              <w:t>date of receipt</w:t>
            </w:r>
          </w:p>
          <w:p w:rsidR="009E5BC4" w:rsidRPr="00543FE0" w:rsidRDefault="009E5BC4" w:rsidP="009E5BC4">
            <w:pPr>
              <w:pStyle w:val="TableBullet"/>
            </w:pPr>
            <w:r>
              <w:t>country of origin</w:t>
            </w:r>
          </w:p>
          <w:p w:rsidR="00DA3ED0" w:rsidRDefault="009E5BC4" w:rsidP="009E5BC4">
            <w:pPr>
              <w:pStyle w:val="TableBullet"/>
            </w:pPr>
            <w:r w:rsidRPr="00543FE0">
              <w:t>processing (including inspection, treatment, testing) details</w:t>
            </w:r>
          </w:p>
          <w:p w:rsidR="009E5BC4" w:rsidRPr="00543FE0" w:rsidRDefault="009E5BC4" w:rsidP="009E5BC4">
            <w:pPr>
              <w:pStyle w:val="TableBullet"/>
            </w:pPr>
            <w:r>
              <w:t>movement details</w:t>
            </w:r>
          </w:p>
          <w:p w:rsidR="00DA3ED0" w:rsidRDefault="009E5BC4" w:rsidP="009E5BC4">
            <w:pPr>
              <w:pStyle w:val="TableBullet"/>
            </w:pPr>
            <w:r w:rsidRPr="00543FE0">
              <w:t>release from Biosecurity Control</w:t>
            </w:r>
          </w:p>
          <w:p w:rsidR="00DA3ED0" w:rsidRDefault="009E5BC4" w:rsidP="009E5BC4">
            <w:pPr>
              <w:pStyle w:val="TableBullet"/>
            </w:pPr>
            <w:r w:rsidRPr="00543FE0">
              <w:t>disposal details</w:t>
            </w:r>
          </w:p>
          <w:p w:rsidR="00DA3ED0" w:rsidRDefault="009E5BC4" w:rsidP="009E5BC4">
            <w:pPr>
              <w:pStyle w:val="TableBullet"/>
            </w:pPr>
            <w:r w:rsidRPr="00543FE0">
              <w:t>storage location</w:t>
            </w:r>
          </w:p>
          <w:p w:rsidR="009E5BC4" w:rsidRDefault="009E5BC4" w:rsidP="009E5BC4">
            <w:pPr>
              <w:pStyle w:val="TableBullet"/>
            </w:pPr>
            <w:r w:rsidRPr="00543FE0">
              <w:t>Accredited Person responsible for the items.</w:t>
            </w:r>
          </w:p>
        </w:tc>
        <w:tc>
          <w:tcPr>
            <w:tcW w:w="4530" w:type="dxa"/>
          </w:tcPr>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Minor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Default="009E5BC4" w:rsidP="009E5BC4">
            <w:pPr>
              <w:pStyle w:val="TableBullet"/>
            </w:pPr>
            <w:r w:rsidRPr="00543FE0">
              <w:t>Major</w:t>
            </w:r>
          </w:p>
          <w:p w:rsidR="009E5BC4" w:rsidRDefault="009E5BC4" w:rsidP="009E5BC4">
            <w:pPr>
              <w:pStyle w:val="TableBullet"/>
            </w:pPr>
            <w:r w:rsidRPr="00543FE0">
              <w:t>Major</w:t>
            </w:r>
          </w:p>
          <w:p w:rsidR="009E5BC4" w:rsidRDefault="009E5BC4" w:rsidP="009E5BC4">
            <w:pPr>
              <w:pStyle w:val="TableBullet"/>
            </w:pPr>
            <w:r w:rsidRPr="00543FE0">
              <w:rPr>
                <w:rFonts w:asciiTheme="majorHAnsi" w:hAnsiTheme="majorHAnsi" w:cstheme="majorHAnsi"/>
                <w:bCs/>
              </w:rPr>
              <w:t>Major</w:t>
            </w:r>
          </w:p>
        </w:tc>
      </w:tr>
      <w:tr w:rsidR="009E5BC4" w:rsidTr="009E5BC4">
        <w:trPr>
          <w:cantSplit/>
          <w:tblHeader/>
        </w:trPr>
        <w:tc>
          <w:tcPr>
            <w:tcW w:w="4530" w:type="dxa"/>
          </w:tcPr>
          <w:p w:rsidR="009E5BC4" w:rsidRDefault="009E5BC4" w:rsidP="009E5BC4">
            <w:pPr>
              <w:pStyle w:val="TableText"/>
              <w:tabs>
                <w:tab w:val="left" w:pos="1318"/>
              </w:tabs>
            </w:pPr>
            <w:r>
              <w:t xml:space="preserve">12.18 </w:t>
            </w:r>
            <w:r w:rsidRPr="009E5BC4">
              <w:t>The BIP must ensure that persons having physical access to goods subject to biosecurity control are aware that such items must only be handled by an Accredited Person or under the direct supervision of an Accredited Person</w:t>
            </w:r>
            <w:r>
              <w:t>.</w:t>
            </w: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t xml:space="preserve">12.19 </w:t>
            </w:r>
            <w:r w:rsidRPr="009E5BC4">
              <w:t>A contingency plan must be in place to manage unexpected events that threaten to compromise biosecurity integrity of the AA site. Unexpected events include:</w:t>
            </w:r>
          </w:p>
        </w:tc>
        <w:tc>
          <w:tcPr>
            <w:tcW w:w="4530" w:type="dxa"/>
          </w:tcPr>
          <w:p w:rsidR="009E5BC4" w:rsidRDefault="009E5BC4" w:rsidP="009E5BC4">
            <w:pPr>
              <w:pStyle w:val="TableText"/>
            </w:pPr>
          </w:p>
        </w:tc>
      </w:tr>
      <w:tr w:rsidR="009E5BC4" w:rsidTr="009E5BC4">
        <w:trPr>
          <w:cantSplit/>
          <w:tblHeader/>
        </w:trPr>
        <w:tc>
          <w:tcPr>
            <w:tcW w:w="4530" w:type="dxa"/>
          </w:tcPr>
          <w:p w:rsidR="00DA3ED0" w:rsidRDefault="009E5BC4" w:rsidP="009E5BC4">
            <w:pPr>
              <w:pStyle w:val="TableBullet"/>
            </w:pPr>
            <w:r w:rsidRPr="00543FE0">
              <w:t>appearance of pests or symptoms of disease</w:t>
            </w:r>
          </w:p>
          <w:p w:rsidR="009E5BC4" w:rsidRPr="00543FE0" w:rsidRDefault="009E5BC4" w:rsidP="009E5BC4">
            <w:pPr>
              <w:pStyle w:val="TableBullet"/>
            </w:pPr>
            <w:r w:rsidRPr="00543FE0">
              <w:t>structu</w:t>
            </w:r>
            <w:r>
              <w:t>ral damage (for example, due to storms)</w:t>
            </w:r>
          </w:p>
          <w:p w:rsidR="00DA3ED0" w:rsidRDefault="009E5BC4" w:rsidP="009E5BC4">
            <w:pPr>
              <w:pStyle w:val="TableBullet"/>
            </w:pPr>
            <w:r w:rsidRPr="00543FE0">
              <w:t>unauthorised removal of goods subject to biosecurity control</w:t>
            </w:r>
          </w:p>
          <w:p w:rsidR="009E5BC4" w:rsidRPr="00543FE0" w:rsidRDefault="009E5BC4" w:rsidP="009E5BC4">
            <w:pPr>
              <w:pStyle w:val="TableBullet"/>
            </w:pPr>
            <w:r w:rsidRPr="00543FE0">
              <w:t>spillages of goods subject to biosecurity control</w:t>
            </w:r>
          </w:p>
          <w:p w:rsidR="009E5BC4" w:rsidRDefault="009E5BC4" w:rsidP="009E5BC4">
            <w:pPr>
              <w:pStyle w:val="TableBullet"/>
            </w:pPr>
            <w:proofErr w:type="gramStart"/>
            <w:r w:rsidRPr="00543FE0">
              <w:t>sudden</w:t>
            </w:r>
            <w:proofErr w:type="gramEnd"/>
            <w:r w:rsidRPr="00543FE0">
              <w:t xml:space="preserve"> unavailability of an Accredited Person.</w:t>
            </w:r>
          </w:p>
        </w:tc>
        <w:tc>
          <w:tcPr>
            <w:tcW w:w="4530" w:type="dxa"/>
          </w:tcPr>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Pr="00543FE0" w:rsidRDefault="009E5BC4" w:rsidP="009E5BC4">
            <w:pPr>
              <w:pStyle w:val="TableBullet"/>
            </w:pPr>
            <w:r w:rsidRPr="00543FE0">
              <w:t>Major</w:t>
            </w:r>
          </w:p>
          <w:p w:rsidR="009E5BC4" w:rsidRDefault="009E5BC4" w:rsidP="009E5BC4">
            <w:pPr>
              <w:pStyle w:val="TableBullet"/>
            </w:pPr>
            <w:r w:rsidRPr="00543FE0">
              <w:rPr>
                <w:rFonts w:asciiTheme="majorHAnsi" w:hAnsiTheme="majorHAnsi" w:cstheme="majorHAnsi"/>
                <w:bCs/>
              </w:rPr>
              <w:t>Minor</w:t>
            </w:r>
          </w:p>
        </w:tc>
      </w:tr>
      <w:tr w:rsidR="009E5BC4" w:rsidTr="009E5BC4">
        <w:trPr>
          <w:cantSplit/>
          <w:tblHeader/>
        </w:trPr>
        <w:tc>
          <w:tcPr>
            <w:tcW w:w="4530" w:type="dxa"/>
          </w:tcPr>
          <w:p w:rsidR="009E5BC4" w:rsidRPr="00543FE0" w:rsidRDefault="009E5BC4" w:rsidP="009E5BC4">
            <w:pPr>
              <w:pStyle w:val="TableText"/>
            </w:pPr>
            <w:r>
              <w:t xml:space="preserve">12.20 </w:t>
            </w:r>
            <w:r w:rsidRPr="00543FE0">
              <w:t xml:space="preserve">Ceasing or transferring operations - the department must be informed, in writing, at least 15 </w:t>
            </w:r>
            <w:r>
              <w:t>working days prior to intended:</w:t>
            </w:r>
          </w:p>
          <w:p w:rsidR="00DA3ED0" w:rsidRDefault="009E5BC4" w:rsidP="009E5BC4">
            <w:pPr>
              <w:pStyle w:val="TableBullet"/>
            </w:pPr>
            <w:r w:rsidRPr="00543FE0">
              <w:t>closure of a current AA site</w:t>
            </w:r>
          </w:p>
          <w:p w:rsidR="00DA3ED0" w:rsidRDefault="009E5BC4" w:rsidP="009E5BC4">
            <w:pPr>
              <w:pStyle w:val="TableBullet"/>
            </w:pPr>
            <w:r w:rsidRPr="00543FE0">
              <w:t>relocation of the business, including the AA class function</w:t>
            </w:r>
          </w:p>
          <w:p w:rsidR="009E5BC4" w:rsidRPr="00543FE0" w:rsidRDefault="009E5BC4" w:rsidP="009E5BC4">
            <w:pPr>
              <w:pStyle w:val="TableBullet"/>
            </w:pPr>
            <w:proofErr w:type="gramStart"/>
            <w:r w:rsidRPr="00543FE0">
              <w:t>cea</w:t>
            </w:r>
            <w:r>
              <w:t>sing</w:t>
            </w:r>
            <w:proofErr w:type="gramEnd"/>
            <w:r>
              <w:t xml:space="preserve"> of operation as a AA site.</w:t>
            </w:r>
          </w:p>
          <w:p w:rsidR="009E5BC4" w:rsidRDefault="009E5BC4" w:rsidP="009E5BC4">
            <w:pPr>
              <w:pStyle w:val="TableText"/>
            </w:pPr>
          </w:p>
        </w:tc>
        <w:tc>
          <w:tcPr>
            <w:tcW w:w="4530" w:type="dxa"/>
          </w:tcPr>
          <w:p w:rsidR="009E5BC4" w:rsidRDefault="009E5BC4" w:rsidP="009E5BC4">
            <w:pPr>
              <w:pStyle w:val="TableText"/>
            </w:pPr>
            <w:r>
              <w:t>Major</w:t>
            </w:r>
          </w:p>
        </w:tc>
      </w:tr>
      <w:tr w:rsidR="009E5BC4" w:rsidTr="009E5BC4">
        <w:trPr>
          <w:cantSplit/>
          <w:tblHeader/>
        </w:trPr>
        <w:tc>
          <w:tcPr>
            <w:tcW w:w="4530" w:type="dxa"/>
          </w:tcPr>
          <w:p w:rsidR="009E5BC4" w:rsidRDefault="009E5BC4" w:rsidP="009E5BC4">
            <w:pPr>
              <w:pStyle w:val="TableText"/>
            </w:pPr>
            <w:r w:rsidRPr="009E5BC4">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Pr="00543FE0" w:rsidRDefault="009E5BC4" w:rsidP="009E5BC4">
            <w:pPr>
              <w:pStyle w:val="TableText"/>
            </w:pPr>
            <w:r>
              <w:t xml:space="preserve">12.21 </w:t>
            </w:r>
            <w:r w:rsidRPr="00543FE0">
              <w:t>If there is</w:t>
            </w:r>
            <w:r>
              <w:t xml:space="preserve"> any doubt as to whether goods:</w:t>
            </w:r>
          </w:p>
          <w:p w:rsidR="009E5BC4" w:rsidRPr="00543FE0" w:rsidRDefault="009E5BC4" w:rsidP="009E5BC4">
            <w:pPr>
              <w:pStyle w:val="TableBullet"/>
            </w:pPr>
            <w:r w:rsidRPr="00543FE0">
              <w:t>are</w:t>
            </w:r>
            <w:r>
              <w:t xml:space="preserve"> subject to biosecurity control</w:t>
            </w:r>
          </w:p>
          <w:p w:rsidR="009E5BC4" w:rsidRPr="00543FE0" w:rsidRDefault="009E5BC4" w:rsidP="009E5BC4">
            <w:pPr>
              <w:pStyle w:val="TableBullet"/>
            </w:pPr>
            <w:r w:rsidRPr="00543FE0">
              <w:t>remain</w:t>
            </w:r>
            <w:r>
              <w:t xml:space="preserve"> subject to biosecurity control</w:t>
            </w:r>
          </w:p>
          <w:p w:rsidR="009E5BC4" w:rsidRPr="00543FE0" w:rsidRDefault="009E5BC4" w:rsidP="009E5BC4">
            <w:pPr>
              <w:pStyle w:val="TableBullet"/>
            </w:pPr>
            <w:r w:rsidRPr="00543FE0">
              <w:t>become</w:t>
            </w:r>
            <w:r>
              <w:t xml:space="preserve"> subject to biosecurity control</w:t>
            </w:r>
          </w:p>
          <w:p w:rsidR="009E5BC4" w:rsidRPr="009E5BC4" w:rsidRDefault="009E5BC4" w:rsidP="009E5BC4">
            <w:pPr>
              <w:pStyle w:val="TableText"/>
            </w:pPr>
            <w:proofErr w:type="gramStart"/>
            <w:r w:rsidRPr="00543FE0">
              <w:rPr>
                <w:rFonts w:asciiTheme="majorHAnsi" w:hAnsiTheme="majorHAnsi" w:cstheme="majorHAnsi"/>
                <w:bCs/>
              </w:rPr>
              <w:t>then</w:t>
            </w:r>
            <w:proofErr w:type="gramEnd"/>
            <w:r w:rsidRPr="00543FE0">
              <w:rPr>
                <w:rFonts w:asciiTheme="majorHAnsi" w:hAnsiTheme="majorHAnsi" w:cstheme="majorHAnsi"/>
                <w:bCs/>
              </w:rPr>
              <w:t xml:space="preserve"> the goods must be handled in accordance with requirements for goods subject to biosecurity control.</w:t>
            </w:r>
          </w:p>
        </w:tc>
        <w:tc>
          <w:tcPr>
            <w:tcW w:w="4530" w:type="dxa"/>
          </w:tcPr>
          <w:p w:rsidR="009E5BC4" w:rsidRDefault="009E5BC4" w:rsidP="009E5BC4">
            <w:pPr>
              <w:pStyle w:val="TableText"/>
            </w:pPr>
            <w:r>
              <w:t>Major</w:t>
            </w:r>
          </w:p>
        </w:tc>
      </w:tr>
    </w:tbl>
    <w:p w:rsidR="009E5BC4" w:rsidRDefault="009E5BC4" w:rsidP="009E5BC4">
      <w:pPr>
        <w:pStyle w:val="Caption"/>
        <w:spacing w:before="240"/>
      </w:pPr>
      <w:r>
        <w:lastRenderedPageBreak/>
        <w:t>Table 12D General (continued)</w:t>
      </w:r>
    </w:p>
    <w:tbl>
      <w:tblPr>
        <w:tblStyle w:val="TableGrid"/>
        <w:tblW w:w="0" w:type="auto"/>
        <w:tblLook w:val="04A0" w:firstRow="1" w:lastRow="0" w:firstColumn="1" w:lastColumn="0" w:noHBand="0" w:noVBand="1"/>
      </w:tblPr>
      <w:tblGrid>
        <w:gridCol w:w="4530"/>
        <w:gridCol w:w="4530"/>
      </w:tblGrid>
      <w:tr w:rsidR="009E5BC4" w:rsidTr="009E5BC4">
        <w:trPr>
          <w:cantSplit/>
          <w:tblHeader/>
        </w:trPr>
        <w:tc>
          <w:tcPr>
            <w:tcW w:w="4530" w:type="dxa"/>
          </w:tcPr>
          <w:p w:rsidR="009E5BC4" w:rsidRDefault="009E5BC4" w:rsidP="009E5BC4">
            <w:pPr>
              <w:pStyle w:val="TableHeading"/>
            </w:pPr>
            <w:r>
              <w:t>Requirements</w:t>
            </w:r>
          </w:p>
        </w:tc>
        <w:tc>
          <w:tcPr>
            <w:tcW w:w="4530" w:type="dxa"/>
          </w:tcPr>
          <w:p w:rsidR="009E5BC4" w:rsidRDefault="009E5BC4" w:rsidP="009E5BC4">
            <w:pPr>
              <w:pStyle w:val="TableHeading"/>
            </w:pPr>
            <w:r>
              <w:t>Nonconformity guide</w:t>
            </w:r>
          </w:p>
        </w:tc>
      </w:tr>
      <w:tr w:rsidR="009E5BC4" w:rsidTr="009E5BC4">
        <w:trPr>
          <w:cantSplit/>
          <w:tblHeader/>
        </w:trPr>
        <w:tc>
          <w:tcPr>
            <w:tcW w:w="4530" w:type="dxa"/>
          </w:tcPr>
          <w:p w:rsidR="009E5BC4" w:rsidRPr="00543FE0" w:rsidRDefault="009E5BC4" w:rsidP="009E5BC4">
            <w:pPr>
              <w:pStyle w:val="TableText"/>
            </w:pPr>
            <w:r>
              <w:t xml:space="preserve">12.22 </w:t>
            </w:r>
            <w:r w:rsidRPr="00543FE0">
              <w:t xml:space="preserve">The BIP must notify the department in writing as soon as practicable within 15 </w:t>
            </w:r>
            <w:r w:rsidRPr="00B84E02">
              <w:t>working</w:t>
            </w:r>
            <w:r>
              <w:t xml:space="preserve"> </w:t>
            </w:r>
            <w:r w:rsidRPr="00543FE0">
              <w:t>days of becoming aware of any change of status, not previously been notified to the department, of the BIP or their associates relevant to the operation of the AA in relation to any of the following matters:</w:t>
            </w:r>
          </w:p>
          <w:p w:rsidR="009E5BC4" w:rsidRPr="00543FE0" w:rsidRDefault="009E5BC4" w:rsidP="009E5BC4">
            <w:pPr>
              <w:pStyle w:val="TableBullet"/>
            </w:pPr>
            <w:r w:rsidRPr="00543FE0">
              <w:t xml:space="preserve">conviction of an offence or order to pay a pecuniary penalty under the </w:t>
            </w:r>
            <w:r w:rsidRPr="009E5BC4">
              <w:rPr>
                <w:rStyle w:val="Emphasis"/>
              </w:rPr>
              <w:t>Biosecurity Act 2015, Quarantine Act 1908, Customs Act 1901</w:t>
            </w:r>
            <w:r w:rsidRPr="00543FE0">
              <w:t xml:space="preserve">, the Criminal Code or the </w:t>
            </w:r>
            <w:r w:rsidRPr="009E5BC4">
              <w:rPr>
                <w:rStyle w:val="Emphasis"/>
              </w:rPr>
              <w:t>Crimes Act 1914</w:t>
            </w:r>
          </w:p>
          <w:p w:rsidR="009E5BC4" w:rsidRPr="00543FE0" w:rsidRDefault="009E5BC4" w:rsidP="009E5BC4">
            <w:pPr>
              <w:pStyle w:val="TableBullet"/>
            </w:pPr>
            <w:r w:rsidRPr="00543FE0">
              <w:t xml:space="preserve">debt to the to the Commonwealth that is more than 28 days overdue under the </w:t>
            </w:r>
            <w:r w:rsidRPr="009E5BC4">
              <w:rPr>
                <w:rStyle w:val="Emphasis"/>
              </w:rPr>
              <w:t>Biosecurity Act 2015, Quarantine Act 1908, Customs Act 1901</w:t>
            </w:r>
            <w:r w:rsidRPr="00543FE0">
              <w:t xml:space="preserve">, the Criminal Code or the </w:t>
            </w:r>
            <w:r w:rsidRPr="009E5BC4">
              <w:rPr>
                <w:rStyle w:val="Emphasis"/>
              </w:rPr>
              <w:t>Crimes Act 1914</w:t>
            </w:r>
          </w:p>
          <w:p w:rsidR="009E5BC4" w:rsidRDefault="009E5BC4" w:rsidP="009E5BC4">
            <w:pPr>
              <w:pStyle w:val="TableBullet"/>
            </w:pPr>
            <w:proofErr w:type="gramStart"/>
            <w:r w:rsidRPr="00543FE0">
              <w:t>refusal</w:t>
            </w:r>
            <w:proofErr w:type="gramEnd"/>
            <w:r w:rsidRPr="00543FE0">
              <w:t xml:space="preserve">, involuntary suspension, involuntary revocation/cancelation or involuntary variation of an Import Permit, quarantine approved premises, compliance agreement or AA under the </w:t>
            </w:r>
            <w:r w:rsidRPr="009E5BC4">
              <w:rPr>
                <w:rStyle w:val="Emphasis"/>
              </w:rPr>
              <w:t xml:space="preserve">Quarantine Act 1908 </w:t>
            </w:r>
            <w:r w:rsidRPr="00543FE0">
              <w:t xml:space="preserve">or the </w:t>
            </w:r>
            <w:r w:rsidRPr="009E5BC4">
              <w:rPr>
                <w:rStyle w:val="Emphasis"/>
              </w:rPr>
              <w:t>Biosecurity Act 2015</w:t>
            </w:r>
            <w:r w:rsidRPr="00543FE0">
              <w:t>.</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Default="009E5BC4" w:rsidP="009E5BC4">
            <w:pPr>
              <w:pStyle w:val="TableText"/>
            </w:pPr>
            <w:r>
              <w:t xml:space="preserve">12.23 </w:t>
            </w:r>
            <w:r w:rsidRPr="009E5BC4">
              <w:t xml:space="preserve">Biosecurity </w:t>
            </w:r>
            <w:r>
              <w:t>o</w:t>
            </w:r>
            <w:r w:rsidRPr="009E5BC4">
              <w:t xml:space="preserve">fficers, </w:t>
            </w:r>
            <w:r>
              <w:t>b</w:t>
            </w:r>
            <w:r w:rsidRPr="009E5BC4">
              <w:t xml:space="preserve">iosecurity </w:t>
            </w:r>
            <w:r>
              <w:t>e</w:t>
            </w:r>
            <w:r w:rsidRPr="009E5BC4">
              <w:t xml:space="preserve">nforcement </w:t>
            </w:r>
            <w:r>
              <w:t>officers and department-approved auditors</w:t>
            </w:r>
            <w:r w:rsidRPr="009E5BC4">
              <w:t xml:space="preserve"> must be provided access to the AA site to perform the functions and exercise the powers conferred on them by the Biosecurity Act or another law of the Commonwealth.</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Default="009E5BC4" w:rsidP="009E5BC4">
            <w:pPr>
              <w:pStyle w:val="TableText"/>
            </w:pPr>
            <w:r>
              <w:t xml:space="preserve">12.24 </w:t>
            </w:r>
            <w:r w:rsidRPr="00543FE0">
              <w:rPr>
                <w:rFonts w:asciiTheme="majorHAnsi" w:hAnsiTheme="majorHAnsi" w:cstheme="majorHAnsi"/>
                <w:bCs/>
              </w:rPr>
              <w:t>Depa</w:t>
            </w:r>
            <w:r>
              <w:rPr>
                <w:rFonts w:asciiTheme="majorHAnsi" w:hAnsiTheme="majorHAnsi" w:cstheme="majorHAnsi"/>
                <w:bCs/>
              </w:rPr>
              <w:t>rtmental auditors or department-approved auditors</w:t>
            </w:r>
            <w:r w:rsidRPr="00543FE0">
              <w:rPr>
                <w:rFonts w:asciiTheme="majorHAnsi" w:hAnsiTheme="majorHAnsi" w:cstheme="majorHAnsi"/>
                <w:bCs/>
              </w:rPr>
              <w:t xml:space="preserve"> must be provided with facilities and assistance as requested, and any required documents, records or things relevant to the audit.</w:t>
            </w:r>
          </w:p>
        </w:tc>
        <w:tc>
          <w:tcPr>
            <w:tcW w:w="4530" w:type="dxa"/>
          </w:tcPr>
          <w:p w:rsidR="009E5BC4" w:rsidRDefault="009E5BC4" w:rsidP="009E5BC4">
            <w:pPr>
              <w:pStyle w:val="TableText"/>
            </w:pPr>
            <w:r>
              <w:t>Major or critical</w:t>
            </w:r>
          </w:p>
        </w:tc>
      </w:tr>
      <w:tr w:rsidR="009E5BC4" w:rsidTr="009E5BC4">
        <w:trPr>
          <w:cantSplit/>
          <w:tblHeader/>
        </w:trPr>
        <w:tc>
          <w:tcPr>
            <w:tcW w:w="4530" w:type="dxa"/>
          </w:tcPr>
          <w:p w:rsidR="009E5BC4" w:rsidRDefault="009E5BC4" w:rsidP="009E5BC4">
            <w:pPr>
              <w:pStyle w:val="TableText"/>
            </w:pPr>
            <w:r>
              <w:t xml:space="preserve">12.25 </w:t>
            </w:r>
            <w:r w:rsidRPr="00543FE0">
              <w:rPr>
                <w:rFonts w:asciiTheme="majorHAnsi" w:hAnsiTheme="majorHAnsi" w:cstheme="majorHAnsi"/>
                <w:bCs/>
              </w:rPr>
              <w:t>The department must be notified of any Reportable Biosecurity Incident as soon as practicable, in accordance with the determination made by the Director of Biosecurity.</w:t>
            </w:r>
          </w:p>
        </w:tc>
        <w:tc>
          <w:tcPr>
            <w:tcW w:w="4530" w:type="dxa"/>
          </w:tcPr>
          <w:p w:rsidR="009E5BC4" w:rsidRDefault="009E5BC4" w:rsidP="009E5BC4">
            <w:pPr>
              <w:pStyle w:val="TableText"/>
            </w:pPr>
            <w:r>
              <w:t>Critical</w:t>
            </w:r>
          </w:p>
        </w:tc>
      </w:tr>
      <w:tr w:rsidR="009E5BC4" w:rsidTr="009E5BC4">
        <w:trPr>
          <w:cantSplit/>
          <w:tblHeader/>
        </w:trPr>
        <w:tc>
          <w:tcPr>
            <w:tcW w:w="4530" w:type="dxa"/>
          </w:tcPr>
          <w:p w:rsidR="009E5BC4" w:rsidRDefault="009E5BC4" w:rsidP="009E5BC4">
            <w:pPr>
              <w:pStyle w:val="TableText"/>
            </w:pPr>
            <w:r>
              <w:t xml:space="preserve">12.26 </w:t>
            </w:r>
            <w:r>
              <w:rPr>
                <w:rFonts w:asciiTheme="majorHAnsi" w:hAnsiTheme="majorHAnsi" w:cstheme="majorHAnsi"/>
                <w:bCs/>
              </w:rPr>
              <w:t>Department-</w:t>
            </w:r>
            <w:r w:rsidRPr="00543FE0">
              <w:rPr>
                <w:rFonts w:asciiTheme="majorHAnsi" w:hAnsiTheme="majorHAnsi" w:cstheme="majorHAnsi"/>
                <w:bCs/>
              </w:rPr>
              <w:t>approved auditors must be permitted to collect evidence of compliance and noncompliance with AA requirements through actions including the copying of documents and taking of photographs.</w:t>
            </w:r>
          </w:p>
        </w:tc>
        <w:tc>
          <w:tcPr>
            <w:tcW w:w="4530" w:type="dxa"/>
          </w:tcPr>
          <w:p w:rsidR="009E5BC4" w:rsidRDefault="009E5BC4" w:rsidP="009E5BC4">
            <w:pPr>
              <w:pStyle w:val="TableText"/>
            </w:pPr>
            <w:r>
              <w:t>Major or critical</w:t>
            </w:r>
          </w:p>
        </w:tc>
      </w:tr>
    </w:tbl>
    <w:p w:rsidR="009E5BC4" w:rsidRDefault="00DA3ED0" w:rsidP="00DA3ED0">
      <w:pPr>
        <w:pStyle w:val="Heading2"/>
        <w:numPr>
          <w:ilvl w:val="0"/>
          <w:numId w:val="0"/>
        </w:numPr>
        <w:ind w:left="720" w:hanging="720"/>
      </w:pPr>
      <w:bookmarkStart w:id="8" w:name="_Toc486231001"/>
      <w:r>
        <w:lastRenderedPageBreak/>
        <w:t>Attachment 1—Action required for each biosecurity level</w:t>
      </w:r>
      <w:bookmarkEnd w:id="8"/>
    </w:p>
    <w:p w:rsidR="00DA3ED0" w:rsidRDefault="00AC5FC2" w:rsidP="00DA3ED0">
      <w:pPr>
        <w:pStyle w:val="Caption"/>
      </w:pPr>
      <w:r>
        <w:t xml:space="preserve">Table </w:t>
      </w:r>
      <w:proofErr w:type="gramStart"/>
      <w:r>
        <w:t>A</w:t>
      </w:r>
      <w:proofErr w:type="gramEnd"/>
      <w:r w:rsidR="00DA3ED0">
        <w:fldChar w:fldCharType="begin"/>
      </w:r>
      <w:r w:rsidR="00DA3ED0">
        <w:instrText xml:space="preserve"> SEQ Table_A \* ARABIC </w:instrText>
      </w:r>
      <w:r w:rsidR="00DA3ED0">
        <w:fldChar w:fldCharType="separate"/>
      </w:r>
      <w:r w:rsidR="008D180D">
        <w:rPr>
          <w:noProof/>
        </w:rPr>
        <w:t>1</w:t>
      </w:r>
      <w:r w:rsidR="00DA3ED0">
        <w:fldChar w:fldCharType="end"/>
      </w:r>
      <w:r w:rsidR="00DA3ED0">
        <w:t xml:space="preserve"> Action required for Biosecurity Level 3 (B3)—Departmental intervention required</w:t>
      </w:r>
    </w:p>
    <w:tbl>
      <w:tblPr>
        <w:tblStyle w:val="TableGrid"/>
        <w:tblW w:w="0" w:type="auto"/>
        <w:tblLook w:val="04A0" w:firstRow="1" w:lastRow="0" w:firstColumn="1" w:lastColumn="0" w:noHBand="0" w:noVBand="1"/>
      </w:tblPr>
      <w:tblGrid>
        <w:gridCol w:w="3020"/>
        <w:gridCol w:w="3020"/>
        <w:gridCol w:w="3020"/>
      </w:tblGrid>
      <w:tr w:rsidR="00DA3ED0" w:rsidTr="00DA3ED0">
        <w:tc>
          <w:tcPr>
            <w:tcW w:w="3020" w:type="dxa"/>
          </w:tcPr>
          <w:p w:rsidR="00DA3ED0" w:rsidRDefault="00DA3ED0" w:rsidP="00DA3ED0">
            <w:pPr>
              <w:pStyle w:val="TableHeading"/>
              <w:rPr>
                <w:lang w:eastAsia="ja-JP"/>
              </w:rPr>
            </w:pPr>
            <w:r>
              <w:rPr>
                <w:lang w:eastAsia="ja-JP"/>
              </w:rPr>
              <w:t>Category of biosecurity material</w:t>
            </w:r>
          </w:p>
        </w:tc>
        <w:tc>
          <w:tcPr>
            <w:tcW w:w="3020" w:type="dxa"/>
          </w:tcPr>
          <w:p w:rsidR="00DA3ED0" w:rsidRDefault="00DA3ED0" w:rsidP="00DA3ED0">
            <w:pPr>
              <w:pStyle w:val="TableHeading"/>
              <w:rPr>
                <w:lang w:eastAsia="ja-JP"/>
              </w:rPr>
            </w:pPr>
            <w:r>
              <w:rPr>
                <w:lang w:eastAsia="ja-JP"/>
              </w:rPr>
              <w:t>Examples</w:t>
            </w:r>
          </w:p>
        </w:tc>
        <w:tc>
          <w:tcPr>
            <w:tcW w:w="3020" w:type="dxa"/>
          </w:tcPr>
          <w:p w:rsidR="00DA3ED0" w:rsidRDefault="00DA3ED0" w:rsidP="00DA3ED0">
            <w:pPr>
              <w:pStyle w:val="TableHeading"/>
              <w:rPr>
                <w:lang w:eastAsia="ja-JP"/>
              </w:rPr>
            </w:pPr>
            <w:r>
              <w:rPr>
                <w:lang w:eastAsia="ja-JP"/>
              </w:rPr>
              <w:t>Action required for</w:t>
            </w:r>
            <w:r w:rsidR="008D180D">
              <w:rPr>
                <w:lang w:eastAsia="ja-JP"/>
              </w:rPr>
              <w:t xml:space="preserve"> this</w:t>
            </w:r>
            <w:r>
              <w:rPr>
                <w:lang w:eastAsia="ja-JP"/>
              </w:rPr>
              <w:t xml:space="preserve"> level</w:t>
            </w:r>
          </w:p>
        </w:tc>
      </w:tr>
      <w:tr w:rsidR="00DA3ED0" w:rsidTr="00DA3ED0">
        <w:tc>
          <w:tcPr>
            <w:tcW w:w="3020" w:type="dxa"/>
          </w:tcPr>
          <w:p w:rsidR="00DA3ED0" w:rsidRDefault="00DA3ED0" w:rsidP="00DA3ED0">
            <w:pPr>
              <w:pStyle w:val="TableText"/>
              <w:rPr>
                <w:lang w:eastAsia="ja-JP"/>
              </w:rPr>
            </w:pPr>
            <w:r>
              <w:rPr>
                <w:lang w:eastAsia="ja-JP"/>
              </w:rPr>
              <w:t>Animals, insects or snails</w:t>
            </w:r>
          </w:p>
        </w:tc>
        <w:tc>
          <w:tcPr>
            <w:tcW w:w="3020" w:type="dxa"/>
          </w:tcPr>
          <w:p w:rsidR="00DA3ED0" w:rsidRDefault="00DA3ED0" w:rsidP="00DA3ED0">
            <w:pPr>
              <w:pStyle w:val="TableText"/>
              <w:rPr>
                <w:lang w:eastAsia="ja-JP"/>
              </w:rPr>
            </w:pPr>
            <w:r>
              <w:rPr>
                <w:lang w:eastAsia="ja-JP"/>
              </w:rPr>
              <w:t>Includes (but is not limited to):</w:t>
            </w:r>
          </w:p>
          <w:p w:rsidR="00DA3ED0" w:rsidRDefault="00DA3ED0" w:rsidP="00DA3ED0">
            <w:pPr>
              <w:pStyle w:val="TableBullet"/>
              <w:rPr>
                <w:lang w:eastAsia="ja-JP"/>
              </w:rPr>
            </w:pPr>
            <w:r>
              <w:rPr>
                <w:lang w:eastAsia="ja-JP"/>
              </w:rPr>
              <w:t>live or dead animals or parts of animals, snails, skeletons</w:t>
            </w:r>
          </w:p>
          <w:p w:rsidR="00DA3ED0" w:rsidRDefault="00DA3ED0" w:rsidP="00DA3ED0">
            <w:pPr>
              <w:pStyle w:val="TableBullet"/>
              <w:rPr>
                <w:lang w:eastAsia="ja-JP"/>
              </w:rPr>
            </w:pPr>
            <w:r>
              <w:rPr>
                <w:lang w:eastAsia="ja-JP"/>
              </w:rPr>
              <w:t>live or dead insects</w:t>
            </w:r>
          </w:p>
          <w:p w:rsidR="00DA3ED0" w:rsidRDefault="00DA3ED0" w:rsidP="00DA3ED0">
            <w:pPr>
              <w:pStyle w:val="TableBullet"/>
              <w:rPr>
                <w:lang w:eastAsia="ja-JP"/>
              </w:rPr>
            </w:pPr>
            <w:r>
              <w:rPr>
                <w:lang w:eastAsia="ja-JP"/>
              </w:rPr>
              <w:t>evidence of insects (for example, egg castings) and insect damage</w:t>
            </w:r>
          </w:p>
        </w:tc>
        <w:tc>
          <w:tcPr>
            <w:tcW w:w="3020" w:type="dxa"/>
          </w:tcPr>
          <w:p w:rsidR="00DA3ED0" w:rsidRDefault="00DA3ED0" w:rsidP="00DA3ED0">
            <w:pPr>
              <w:pStyle w:val="TableText"/>
              <w:rPr>
                <w:lang w:eastAsia="ja-JP"/>
              </w:rPr>
            </w:pPr>
            <w:r>
              <w:rPr>
                <w:lang w:eastAsia="ja-JP"/>
              </w:rPr>
              <w:t>Following the detection of any of these items:</w:t>
            </w:r>
          </w:p>
          <w:p w:rsidR="00DA3ED0" w:rsidRPr="00DA3ED0" w:rsidRDefault="00DA3ED0" w:rsidP="00DA3ED0">
            <w:pPr>
              <w:pStyle w:val="Tablebullet3"/>
            </w:pPr>
            <w:r w:rsidRPr="00BB4306">
              <w:rPr>
                <w:rFonts w:asciiTheme="majorHAnsi" w:hAnsiTheme="majorHAnsi"/>
              </w:rPr>
              <w:t>Immediately close container doors</w:t>
            </w:r>
          </w:p>
          <w:p w:rsidR="00DA3ED0" w:rsidRPr="00DA3ED0" w:rsidRDefault="00DA3ED0" w:rsidP="00DA3ED0">
            <w:pPr>
              <w:pStyle w:val="Tablebullet3"/>
            </w:pPr>
            <w:r w:rsidRPr="00BB4306">
              <w:rPr>
                <w:rFonts w:asciiTheme="majorHAnsi" w:hAnsiTheme="majorHAnsi"/>
              </w:rPr>
              <w:t>Move container to biosecurity area</w:t>
            </w:r>
          </w:p>
          <w:p w:rsidR="00DA3ED0" w:rsidRPr="00DA3ED0" w:rsidRDefault="00DA3ED0" w:rsidP="00DA3ED0">
            <w:pPr>
              <w:pStyle w:val="Tablebullet3"/>
            </w:pPr>
            <w:r w:rsidRPr="00BB4306">
              <w:rPr>
                <w:rFonts w:asciiTheme="majorHAnsi" w:hAnsiTheme="majorHAnsi"/>
              </w:rPr>
              <w:t>Contact the department</w:t>
            </w:r>
          </w:p>
          <w:p w:rsidR="00DA3ED0" w:rsidRPr="00DA3ED0" w:rsidRDefault="00DA3ED0" w:rsidP="00DA3ED0">
            <w:pPr>
              <w:pStyle w:val="Tablebullet3"/>
            </w:pPr>
            <w:r w:rsidRPr="00BB4306">
              <w:rPr>
                <w:rFonts w:asciiTheme="majorHAnsi" w:hAnsiTheme="majorHAnsi"/>
              </w:rPr>
              <w:t>Record as BL3</w:t>
            </w:r>
          </w:p>
          <w:p w:rsidR="00DA3ED0" w:rsidRPr="00DA3ED0" w:rsidRDefault="00DA3ED0" w:rsidP="00DA3ED0">
            <w:pPr>
              <w:pStyle w:val="Tablebullet3"/>
            </w:pPr>
            <w:r w:rsidRPr="00BB4306">
              <w:rPr>
                <w:rFonts w:asciiTheme="majorHAnsi" w:hAnsiTheme="majorHAnsi"/>
              </w:rPr>
              <w:t>After departmental treatment, check for BL2.</w:t>
            </w:r>
          </w:p>
          <w:p w:rsidR="00DA3ED0" w:rsidRDefault="00DA3ED0" w:rsidP="00DA3ED0">
            <w:pPr>
              <w:pStyle w:val="TableText"/>
            </w:pPr>
            <w:r>
              <w:t>If in doubt about the biosecurity risk of any material contact the department.</w:t>
            </w:r>
          </w:p>
        </w:tc>
      </w:tr>
      <w:tr w:rsidR="00DA3ED0" w:rsidTr="00DA3ED0">
        <w:tc>
          <w:tcPr>
            <w:tcW w:w="3020" w:type="dxa"/>
          </w:tcPr>
          <w:p w:rsidR="00DA3ED0" w:rsidRDefault="00DA3ED0" w:rsidP="00DA3ED0">
            <w:pPr>
              <w:pStyle w:val="TableText"/>
              <w:rPr>
                <w:lang w:eastAsia="ja-JP"/>
              </w:rPr>
            </w:pPr>
            <w:r>
              <w:rPr>
                <w:lang w:eastAsia="ja-JP"/>
              </w:rPr>
              <w:t>Unidentified materials (type of goods not known)</w:t>
            </w:r>
          </w:p>
        </w:tc>
        <w:tc>
          <w:tcPr>
            <w:tcW w:w="3020" w:type="dxa"/>
          </w:tcPr>
          <w:p w:rsidR="00DA3ED0" w:rsidRDefault="00DA3ED0" w:rsidP="00DA3ED0">
            <w:pPr>
              <w:pStyle w:val="TableText"/>
              <w:rPr>
                <w:lang w:eastAsia="ja-JP"/>
              </w:rPr>
            </w:pPr>
          </w:p>
        </w:tc>
        <w:tc>
          <w:tcPr>
            <w:tcW w:w="3020" w:type="dxa"/>
          </w:tcPr>
          <w:p w:rsidR="00DA3ED0" w:rsidRDefault="00DA3ED0" w:rsidP="00DA3ED0">
            <w:pPr>
              <w:pStyle w:val="TableText"/>
              <w:rPr>
                <w:lang w:eastAsia="ja-JP"/>
              </w:rPr>
            </w:pPr>
            <w:r>
              <w:rPr>
                <w:lang w:eastAsia="ja-JP"/>
              </w:rPr>
              <w:t>Following the detection of any of these items:</w:t>
            </w:r>
          </w:p>
          <w:p w:rsidR="00DA3ED0" w:rsidRPr="00DA3ED0" w:rsidRDefault="00DA3ED0" w:rsidP="00DA3ED0">
            <w:pPr>
              <w:pStyle w:val="Tablebullet3"/>
              <w:numPr>
                <w:ilvl w:val="0"/>
                <w:numId w:val="27"/>
              </w:numPr>
            </w:pPr>
            <w:r w:rsidRPr="00DA3ED0">
              <w:rPr>
                <w:rFonts w:asciiTheme="majorHAnsi" w:hAnsiTheme="majorHAnsi"/>
              </w:rPr>
              <w:t>Immediately close container doors</w:t>
            </w:r>
          </w:p>
          <w:p w:rsidR="00DA3ED0" w:rsidRPr="00DA3ED0" w:rsidRDefault="00DA3ED0" w:rsidP="00DA3ED0">
            <w:pPr>
              <w:pStyle w:val="Tablebullet3"/>
            </w:pPr>
            <w:r w:rsidRPr="00BB4306">
              <w:rPr>
                <w:rFonts w:asciiTheme="majorHAnsi" w:hAnsiTheme="majorHAnsi"/>
              </w:rPr>
              <w:t>Move container to biosecurity area</w:t>
            </w:r>
          </w:p>
          <w:p w:rsidR="00DA3ED0" w:rsidRPr="00DA3ED0" w:rsidRDefault="00DA3ED0" w:rsidP="00DA3ED0">
            <w:pPr>
              <w:pStyle w:val="Tablebullet3"/>
            </w:pPr>
            <w:r w:rsidRPr="00BB4306">
              <w:rPr>
                <w:rFonts w:asciiTheme="majorHAnsi" w:hAnsiTheme="majorHAnsi"/>
              </w:rPr>
              <w:t>Contact the department</w:t>
            </w:r>
          </w:p>
          <w:p w:rsidR="00DA3ED0" w:rsidRPr="00DA3ED0" w:rsidRDefault="00DA3ED0" w:rsidP="00DA3ED0">
            <w:pPr>
              <w:pStyle w:val="Tablebullet3"/>
            </w:pPr>
            <w:r w:rsidRPr="00BB4306">
              <w:rPr>
                <w:rFonts w:asciiTheme="majorHAnsi" w:hAnsiTheme="majorHAnsi"/>
              </w:rPr>
              <w:t>Record as BL3</w:t>
            </w:r>
          </w:p>
          <w:p w:rsidR="00DA3ED0" w:rsidRPr="00DA3ED0" w:rsidRDefault="00DA3ED0" w:rsidP="00DA3ED0">
            <w:pPr>
              <w:pStyle w:val="Tablebullet3"/>
            </w:pPr>
            <w:r w:rsidRPr="00BB4306">
              <w:rPr>
                <w:rFonts w:asciiTheme="majorHAnsi" w:hAnsiTheme="majorHAnsi"/>
              </w:rPr>
              <w:t>After departmental treatment, check for BL2.</w:t>
            </w:r>
          </w:p>
          <w:p w:rsidR="00DA3ED0" w:rsidRDefault="00DA3ED0" w:rsidP="00DA3ED0">
            <w:pPr>
              <w:pStyle w:val="TableText"/>
              <w:rPr>
                <w:lang w:eastAsia="ja-JP"/>
              </w:rPr>
            </w:pPr>
            <w:r>
              <w:t>If in doubt about the biosecurity risk of any material contact the department.</w:t>
            </w:r>
          </w:p>
        </w:tc>
      </w:tr>
    </w:tbl>
    <w:p w:rsidR="00DA3ED0" w:rsidRDefault="00DA3ED0" w:rsidP="00AC5FC2">
      <w:pPr>
        <w:pStyle w:val="Caption"/>
        <w:spacing w:before="240"/>
      </w:pPr>
      <w:r>
        <w:lastRenderedPageBreak/>
        <w:t xml:space="preserve">Table </w:t>
      </w:r>
      <w:proofErr w:type="gramStart"/>
      <w:r>
        <w:t>A</w:t>
      </w:r>
      <w:proofErr w:type="gramEnd"/>
      <w:r>
        <w:fldChar w:fldCharType="begin"/>
      </w:r>
      <w:r>
        <w:instrText xml:space="preserve"> SEQ Table_A \* ARABIC </w:instrText>
      </w:r>
      <w:r>
        <w:fldChar w:fldCharType="separate"/>
      </w:r>
      <w:r w:rsidR="008D180D">
        <w:rPr>
          <w:noProof/>
        </w:rPr>
        <w:t>2</w:t>
      </w:r>
      <w:r>
        <w:fldChar w:fldCharType="end"/>
      </w:r>
      <w:r>
        <w:t xml:space="preserve"> Action require</w:t>
      </w:r>
      <w:r w:rsidR="00AC5FC2">
        <w:t xml:space="preserve">d for Biosecurity Level 2 (BL2)—Can remove contamination </w:t>
      </w:r>
      <w:r>
        <w:t>on site</w:t>
      </w:r>
    </w:p>
    <w:tbl>
      <w:tblPr>
        <w:tblStyle w:val="TableGrid"/>
        <w:tblW w:w="9759" w:type="dxa"/>
        <w:tblInd w:w="-354" w:type="dxa"/>
        <w:tblLook w:val="04A0" w:firstRow="1" w:lastRow="0" w:firstColumn="1" w:lastColumn="0" w:noHBand="0" w:noVBand="1"/>
      </w:tblPr>
      <w:tblGrid>
        <w:gridCol w:w="3253"/>
        <w:gridCol w:w="3253"/>
        <w:gridCol w:w="3253"/>
      </w:tblGrid>
      <w:tr w:rsidR="00AC5FC2" w:rsidTr="008D180D">
        <w:trPr>
          <w:cantSplit/>
          <w:trHeight w:val="37"/>
          <w:tblHeader/>
        </w:trPr>
        <w:tc>
          <w:tcPr>
            <w:tcW w:w="3253" w:type="dxa"/>
          </w:tcPr>
          <w:p w:rsidR="00AC5FC2" w:rsidRDefault="00AC5FC2" w:rsidP="009F6E0A">
            <w:pPr>
              <w:pStyle w:val="TableHeading"/>
              <w:rPr>
                <w:lang w:eastAsia="ja-JP"/>
              </w:rPr>
            </w:pPr>
            <w:r>
              <w:rPr>
                <w:lang w:eastAsia="ja-JP"/>
              </w:rPr>
              <w:t>Category of biosecurity material</w:t>
            </w:r>
          </w:p>
        </w:tc>
        <w:tc>
          <w:tcPr>
            <w:tcW w:w="3253" w:type="dxa"/>
          </w:tcPr>
          <w:p w:rsidR="00AC5FC2" w:rsidRDefault="00AC5FC2" w:rsidP="009F6E0A">
            <w:pPr>
              <w:pStyle w:val="TableHeading"/>
              <w:rPr>
                <w:lang w:eastAsia="ja-JP"/>
              </w:rPr>
            </w:pPr>
            <w:r>
              <w:rPr>
                <w:lang w:eastAsia="ja-JP"/>
              </w:rPr>
              <w:t>Examples</w:t>
            </w:r>
          </w:p>
        </w:tc>
        <w:tc>
          <w:tcPr>
            <w:tcW w:w="3253" w:type="dxa"/>
          </w:tcPr>
          <w:p w:rsidR="00AC5FC2" w:rsidRDefault="00AC5FC2" w:rsidP="009F6E0A">
            <w:pPr>
              <w:pStyle w:val="TableHeading"/>
              <w:rPr>
                <w:lang w:eastAsia="ja-JP"/>
              </w:rPr>
            </w:pPr>
            <w:r>
              <w:rPr>
                <w:lang w:eastAsia="ja-JP"/>
              </w:rPr>
              <w:t>Action required for</w:t>
            </w:r>
            <w:r w:rsidR="008D180D">
              <w:rPr>
                <w:lang w:eastAsia="ja-JP"/>
              </w:rPr>
              <w:t xml:space="preserve"> this</w:t>
            </w:r>
            <w:r>
              <w:rPr>
                <w:lang w:eastAsia="ja-JP"/>
              </w:rPr>
              <w:t xml:space="preserve"> level</w:t>
            </w:r>
          </w:p>
        </w:tc>
      </w:tr>
      <w:tr w:rsidR="00AC5FC2" w:rsidTr="008D180D">
        <w:trPr>
          <w:cantSplit/>
          <w:trHeight w:val="736"/>
          <w:tblHeader/>
        </w:trPr>
        <w:tc>
          <w:tcPr>
            <w:tcW w:w="3253" w:type="dxa"/>
          </w:tcPr>
          <w:p w:rsidR="00AC5FC2" w:rsidRDefault="00AC5FC2" w:rsidP="00AC5FC2">
            <w:pPr>
              <w:pStyle w:val="TableText"/>
              <w:rPr>
                <w:lang w:eastAsia="ja-JP"/>
              </w:rPr>
            </w:pPr>
            <w:r>
              <w:rPr>
                <w:lang w:eastAsia="ja-JP"/>
              </w:rPr>
              <w:t>Animal material</w:t>
            </w:r>
          </w:p>
        </w:tc>
        <w:tc>
          <w:tcPr>
            <w:tcW w:w="3253" w:type="dxa"/>
          </w:tcPr>
          <w:p w:rsidR="00AC5FC2" w:rsidRPr="00BB4306" w:rsidRDefault="00AC5FC2" w:rsidP="00AC5FC2">
            <w:pPr>
              <w:pStyle w:val="TableText"/>
            </w:pPr>
            <w:r w:rsidRPr="00BB4306">
              <w:t>Includes (but is not limited to)</w:t>
            </w:r>
            <w:r>
              <w:t>:</w:t>
            </w:r>
          </w:p>
          <w:p w:rsidR="00AC5FC2" w:rsidRPr="00BB4306" w:rsidRDefault="00AC5FC2" w:rsidP="00AC5FC2">
            <w:pPr>
              <w:pStyle w:val="TableBullet"/>
            </w:pPr>
            <w:r w:rsidRPr="00BB4306">
              <w:t>animal droppings</w:t>
            </w:r>
          </w:p>
          <w:p w:rsidR="00AC5FC2" w:rsidRPr="00BB4306" w:rsidRDefault="00AC5FC2" w:rsidP="00AC5FC2">
            <w:pPr>
              <w:pStyle w:val="TableBullet"/>
            </w:pPr>
            <w:r w:rsidRPr="00BB4306">
              <w:t>animal blood and/or other body fluids</w:t>
            </w:r>
          </w:p>
          <w:p w:rsidR="00AC5FC2" w:rsidRPr="00BB4306" w:rsidRDefault="00AC5FC2" w:rsidP="00AC5FC2">
            <w:pPr>
              <w:pStyle w:val="TableBullet"/>
            </w:pPr>
            <w:r w:rsidRPr="00BB4306">
              <w:t>skinned hide, loose bones, skin and hair not attached to a carcass</w:t>
            </w:r>
          </w:p>
          <w:p w:rsidR="00AC5FC2" w:rsidRPr="00BB4306" w:rsidRDefault="00AC5FC2" w:rsidP="00AC5FC2">
            <w:pPr>
              <w:pStyle w:val="TableBullet"/>
            </w:pPr>
            <w:r w:rsidRPr="00BB4306">
              <w:t>feathers</w:t>
            </w:r>
          </w:p>
          <w:p w:rsidR="00AC5FC2" w:rsidRDefault="00AC5FC2" w:rsidP="00AC5FC2">
            <w:pPr>
              <w:pStyle w:val="TableBullet"/>
              <w:rPr>
                <w:lang w:eastAsia="ja-JP"/>
              </w:rPr>
            </w:pPr>
            <w:proofErr w:type="gramStart"/>
            <w:r>
              <w:t>brushes</w:t>
            </w:r>
            <w:proofErr w:type="gramEnd"/>
            <w:r>
              <w:t>, bedding.</w:t>
            </w:r>
          </w:p>
        </w:tc>
        <w:tc>
          <w:tcPr>
            <w:tcW w:w="3253" w:type="dxa"/>
          </w:tcPr>
          <w:p w:rsidR="00AC5FC2" w:rsidRPr="00BB4306" w:rsidRDefault="00AC5FC2" w:rsidP="00AC5FC2">
            <w:pPr>
              <w:pStyle w:val="TableText"/>
            </w:pPr>
            <w:r w:rsidRPr="00BB4306">
              <w:t>For any materials in this category:</w:t>
            </w:r>
          </w:p>
          <w:p w:rsidR="00AC5FC2" w:rsidRPr="00BB4306" w:rsidRDefault="00AC5FC2" w:rsidP="00AC5FC2">
            <w:pPr>
              <w:pStyle w:val="Tablebullet3"/>
              <w:numPr>
                <w:ilvl w:val="0"/>
                <w:numId w:val="29"/>
              </w:numPr>
            </w:pPr>
            <w:r w:rsidRPr="00BB4306">
              <w:t xml:space="preserve">Move </w:t>
            </w:r>
            <w:r>
              <w:t>container to biosecurity area for cleaning.</w:t>
            </w:r>
          </w:p>
          <w:p w:rsidR="00AC5FC2" w:rsidRPr="00BB4306" w:rsidRDefault="00AC5FC2" w:rsidP="00AC5FC2">
            <w:pPr>
              <w:pStyle w:val="Tablebullet3"/>
            </w:pPr>
            <w:r w:rsidRPr="00BB4306">
              <w:t>Remove biosecurity materials:</w:t>
            </w:r>
          </w:p>
          <w:p w:rsidR="00AC5FC2" w:rsidRPr="00BB4306" w:rsidRDefault="00AC5FC2" w:rsidP="00AC5FC2">
            <w:pPr>
              <w:pStyle w:val="tablebullet2"/>
            </w:pPr>
            <w:r w:rsidRPr="00BB4306">
              <w:t>for liquids and wet materials, wash or steam clean</w:t>
            </w:r>
          </w:p>
          <w:p w:rsidR="00AC5FC2" w:rsidRPr="00BB4306" w:rsidRDefault="00AC5FC2" w:rsidP="00AC5FC2">
            <w:pPr>
              <w:pStyle w:val="tablebullet2"/>
            </w:pPr>
            <w:r w:rsidRPr="00BB4306">
              <w:t>for dry materials, sweep or vacuum</w:t>
            </w:r>
          </w:p>
          <w:p w:rsidR="00AC5FC2" w:rsidRDefault="00AC5FC2" w:rsidP="00AC5FC2">
            <w:pPr>
              <w:pStyle w:val="tablebullet2"/>
            </w:pPr>
            <w:r w:rsidRPr="00BB4306">
              <w:t>for animal products, final wash using departmental approved disinfectant or water at &gt; 90</w:t>
            </w:r>
            <w:r w:rsidRPr="00BB4306">
              <w:rPr>
                <w:vertAlign w:val="superscript"/>
              </w:rPr>
              <w:t>o</w:t>
            </w:r>
            <w:r w:rsidRPr="00BB4306">
              <w:t>C</w:t>
            </w:r>
          </w:p>
          <w:p w:rsidR="00AC5FC2" w:rsidRDefault="00AC5FC2" w:rsidP="00AC5FC2">
            <w:pPr>
              <w:pStyle w:val="Tablebullet3"/>
            </w:pPr>
            <w:r>
              <w:t>Dispose of waste by placing biosecurity material in biosecurity waste bin</w:t>
            </w:r>
          </w:p>
          <w:p w:rsidR="00AC5FC2" w:rsidRDefault="00AC5FC2" w:rsidP="00AC5FC2">
            <w:pPr>
              <w:pStyle w:val="Tablebullet3"/>
            </w:pPr>
            <w:r>
              <w:t>Dispose of dunnage/wooden packing</w:t>
            </w:r>
          </w:p>
          <w:p w:rsidR="00AC5FC2" w:rsidRDefault="00AC5FC2" w:rsidP="00AC5FC2">
            <w:pPr>
              <w:pStyle w:val="tablebullet2"/>
            </w:pPr>
            <w:r>
              <w:t>For autoclave or incineration place in biosecurity waste bin, or</w:t>
            </w:r>
          </w:p>
          <w:p w:rsidR="00AC5FC2" w:rsidRDefault="00AC5FC2" w:rsidP="00AC5FC2">
            <w:pPr>
              <w:pStyle w:val="tablebullet2"/>
            </w:pPr>
            <w:r>
              <w:t>Store in the biosecurity dunnage area.</w:t>
            </w:r>
          </w:p>
          <w:p w:rsidR="00AC5FC2" w:rsidRDefault="00AC5FC2" w:rsidP="00AC5FC2">
            <w:pPr>
              <w:pStyle w:val="Tablebullet3"/>
            </w:pPr>
            <w:r>
              <w:t>Check that no biosecurity materials remain</w:t>
            </w:r>
          </w:p>
          <w:p w:rsidR="00AC5FC2" w:rsidRPr="00AC5FC2" w:rsidRDefault="00AC5FC2" w:rsidP="00AC5FC2">
            <w:pPr>
              <w:pStyle w:val="Tablebullet3"/>
            </w:pPr>
            <w:r w:rsidRPr="00AC5FC2">
              <w:t>Record as BL2.</w:t>
            </w:r>
          </w:p>
        </w:tc>
      </w:tr>
      <w:tr w:rsidR="00AC5FC2" w:rsidTr="008D180D">
        <w:trPr>
          <w:cantSplit/>
          <w:trHeight w:val="736"/>
          <w:tblHeader/>
        </w:trPr>
        <w:tc>
          <w:tcPr>
            <w:tcW w:w="3253" w:type="dxa"/>
          </w:tcPr>
          <w:p w:rsidR="00AC5FC2" w:rsidRDefault="00AC5FC2" w:rsidP="00AC5FC2">
            <w:pPr>
              <w:pStyle w:val="TableText"/>
              <w:rPr>
                <w:lang w:eastAsia="ja-JP"/>
              </w:rPr>
            </w:pPr>
            <w:r>
              <w:rPr>
                <w:lang w:eastAsia="ja-JP"/>
              </w:rPr>
              <w:t>Plants and/or plant material</w:t>
            </w:r>
          </w:p>
        </w:tc>
        <w:tc>
          <w:tcPr>
            <w:tcW w:w="3253" w:type="dxa"/>
          </w:tcPr>
          <w:p w:rsidR="00AC5FC2" w:rsidRPr="00BB4306" w:rsidRDefault="00AC5FC2" w:rsidP="00AC5FC2">
            <w:pPr>
              <w:pStyle w:val="TableText"/>
            </w:pPr>
            <w:r w:rsidRPr="00BB4306">
              <w:t>Includes (but is not limited to)</w:t>
            </w:r>
            <w:r>
              <w:t>:</w:t>
            </w:r>
          </w:p>
          <w:p w:rsidR="00AC5FC2" w:rsidRPr="00BB4306" w:rsidRDefault="00AC5FC2" w:rsidP="00AC5FC2">
            <w:pPr>
              <w:pStyle w:val="TableBullet"/>
            </w:pPr>
            <w:r w:rsidRPr="00BB4306">
              <w:t>bark</w:t>
            </w:r>
          </w:p>
          <w:p w:rsidR="00AC5FC2" w:rsidRPr="00BB4306" w:rsidRDefault="00AC5FC2" w:rsidP="00AC5FC2">
            <w:pPr>
              <w:pStyle w:val="TableBullet"/>
            </w:pPr>
            <w:r>
              <w:t>cane baskets, hats</w:t>
            </w:r>
          </w:p>
          <w:p w:rsidR="00AC5FC2" w:rsidRPr="00BB4306" w:rsidRDefault="00AC5FC2" w:rsidP="00AC5FC2">
            <w:pPr>
              <w:pStyle w:val="TableBullet"/>
            </w:pPr>
            <w:r w:rsidRPr="00BB4306">
              <w:t>dunnage and/or wooden packing</w:t>
            </w:r>
          </w:p>
          <w:p w:rsidR="00AC5FC2" w:rsidRPr="00BB4306" w:rsidRDefault="00AC5FC2" w:rsidP="00AC5FC2">
            <w:pPr>
              <w:pStyle w:val="TableBullet"/>
            </w:pPr>
            <w:r w:rsidRPr="00BB4306">
              <w:t>fruits and vegetables</w:t>
            </w:r>
          </w:p>
          <w:p w:rsidR="00AC5FC2" w:rsidRPr="00BB4306" w:rsidRDefault="00AC5FC2" w:rsidP="00AC5FC2">
            <w:pPr>
              <w:pStyle w:val="TableBullet"/>
            </w:pPr>
            <w:r w:rsidRPr="00BB4306">
              <w:t>seeds</w:t>
            </w:r>
          </w:p>
          <w:p w:rsidR="00AC5FC2" w:rsidRPr="00BB4306" w:rsidRDefault="00AC5FC2" w:rsidP="00AC5FC2">
            <w:pPr>
              <w:pStyle w:val="TableBullet"/>
            </w:pPr>
            <w:r w:rsidRPr="00BB4306">
              <w:t>straw, wreaths, sawdust</w:t>
            </w:r>
          </w:p>
          <w:p w:rsidR="00AC5FC2" w:rsidRPr="00BB4306" w:rsidRDefault="00AC5FC2" w:rsidP="00AC5FC2">
            <w:pPr>
              <w:pStyle w:val="TableBullet"/>
            </w:pPr>
            <w:r w:rsidRPr="00BB4306">
              <w:t>miscellaneous plant material such as plant leaves, stems, flowers and other parts, pine cones, bamboo, rattan, sphagnum, husks, rice hulls</w:t>
            </w:r>
            <w:r>
              <w:t>.</w:t>
            </w:r>
          </w:p>
        </w:tc>
        <w:tc>
          <w:tcPr>
            <w:tcW w:w="3253" w:type="dxa"/>
          </w:tcPr>
          <w:p w:rsidR="00AC5FC2" w:rsidRPr="00BB4306" w:rsidRDefault="00AC5FC2" w:rsidP="00AC5FC2">
            <w:pPr>
              <w:pStyle w:val="TableText"/>
            </w:pPr>
            <w:r>
              <w:t xml:space="preserve">Actions A through F </w:t>
            </w:r>
            <w:r w:rsidR="008D180D">
              <w:t xml:space="preserve">in this table </w:t>
            </w:r>
            <w:r>
              <w:t xml:space="preserve">apply. </w:t>
            </w:r>
          </w:p>
        </w:tc>
      </w:tr>
      <w:tr w:rsidR="00AC5FC2" w:rsidTr="008D180D">
        <w:trPr>
          <w:cantSplit/>
          <w:trHeight w:val="736"/>
          <w:tblHeader/>
        </w:trPr>
        <w:tc>
          <w:tcPr>
            <w:tcW w:w="3253" w:type="dxa"/>
          </w:tcPr>
          <w:p w:rsidR="00AC5FC2" w:rsidRDefault="00AC5FC2" w:rsidP="00AC5FC2">
            <w:pPr>
              <w:pStyle w:val="TableText"/>
              <w:rPr>
                <w:lang w:eastAsia="ja-JP"/>
              </w:rPr>
            </w:pPr>
            <w:r>
              <w:rPr>
                <w:lang w:eastAsia="ja-JP"/>
              </w:rPr>
              <w:t>Soil or earth</w:t>
            </w:r>
          </w:p>
        </w:tc>
        <w:tc>
          <w:tcPr>
            <w:tcW w:w="3253" w:type="dxa"/>
          </w:tcPr>
          <w:p w:rsidR="00AC5FC2" w:rsidRPr="00BB4306" w:rsidRDefault="00AC5FC2" w:rsidP="00AC5FC2">
            <w:pPr>
              <w:pStyle w:val="TableText"/>
            </w:pPr>
            <w:r w:rsidRPr="00BB4306">
              <w:t>Includes (but is not limited to)</w:t>
            </w:r>
            <w:r>
              <w:t>:</w:t>
            </w:r>
          </w:p>
          <w:p w:rsidR="00AC5FC2" w:rsidRPr="00BB4306" w:rsidRDefault="00AC5FC2" w:rsidP="00AC5FC2">
            <w:pPr>
              <w:pStyle w:val="TableBullet"/>
            </w:pPr>
            <w:r w:rsidRPr="00BB4306">
              <w:t>minerals and ores</w:t>
            </w:r>
          </w:p>
          <w:p w:rsidR="00AC5FC2" w:rsidRPr="00BB4306" w:rsidRDefault="00AC5FC2" w:rsidP="00AC5FC2">
            <w:pPr>
              <w:pStyle w:val="TableBullet"/>
            </w:pPr>
            <w:proofErr w:type="gramStart"/>
            <w:r w:rsidRPr="00BB4306">
              <w:t>soil</w:t>
            </w:r>
            <w:proofErr w:type="gramEnd"/>
            <w:r w:rsidRPr="00BB4306">
              <w:t>, whether loose, o</w:t>
            </w:r>
            <w:r>
              <w:t>r on rocks, stones, pebbles.</w:t>
            </w:r>
          </w:p>
        </w:tc>
        <w:tc>
          <w:tcPr>
            <w:tcW w:w="3253" w:type="dxa"/>
          </w:tcPr>
          <w:p w:rsidR="00AC5FC2" w:rsidRPr="00BB4306" w:rsidRDefault="008D180D" w:rsidP="00AC5FC2">
            <w:pPr>
              <w:pStyle w:val="TableText"/>
            </w:pPr>
            <w:r>
              <w:t>Actions A through F in this table apply.</w:t>
            </w:r>
          </w:p>
        </w:tc>
      </w:tr>
      <w:tr w:rsidR="00AC5FC2" w:rsidTr="008D180D">
        <w:trPr>
          <w:cantSplit/>
          <w:trHeight w:val="736"/>
          <w:tblHeader/>
        </w:trPr>
        <w:tc>
          <w:tcPr>
            <w:tcW w:w="3253" w:type="dxa"/>
          </w:tcPr>
          <w:p w:rsidR="00AC5FC2" w:rsidRDefault="00AC5FC2" w:rsidP="00AC5FC2">
            <w:pPr>
              <w:pStyle w:val="TableText"/>
              <w:rPr>
                <w:lang w:eastAsia="ja-JP"/>
              </w:rPr>
            </w:pPr>
            <w:r>
              <w:rPr>
                <w:lang w:eastAsia="ja-JP"/>
              </w:rPr>
              <w:t>Food and/or food items</w:t>
            </w:r>
          </w:p>
        </w:tc>
        <w:tc>
          <w:tcPr>
            <w:tcW w:w="3253" w:type="dxa"/>
          </w:tcPr>
          <w:p w:rsidR="00AC5FC2" w:rsidRPr="00BB4306" w:rsidRDefault="00AC5FC2" w:rsidP="00AC5FC2">
            <w:pPr>
              <w:pStyle w:val="TableText"/>
            </w:pPr>
            <w:r w:rsidRPr="00BB4306">
              <w:t>Includes (but is not limited to)</w:t>
            </w:r>
            <w:r>
              <w:t>:</w:t>
            </w:r>
          </w:p>
          <w:p w:rsidR="00AC5FC2" w:rsidRPr="00BB4306" w:rsidRDefault="00AC5FC2" w:rsidP="00AC5FC2">
            <w:pPr>
              <w:pStyle w:val="TableText"/>
            </w:pPr>
            <w:proofErr w:type="gramStart"/>
            <w:r>
              <w:rPr>
                <w:lang w:eastAsia="ja-JP"/>
              </w:rPr>
              <w:t>all</w:t>
            </w:r>
            <w:proofErr w:type="gramEnd"/>
            <w:r>
              <w:rPr>
                <w:lang w:eastAsia="ja-JP"/>
              </w:rPr>
              <w:t xml:space="preserve"> food items.</w:t>
            </w:r>
          </w:p>
        </w:tc>
        <w:tc>
          <w:tcPr>
            <w:tcW w:w="3253" w:type="dxa"/>
          </w:tcPr>
          <w:p w:rsidR="00AC5FC2" w:rsidRPr="00BB4306" w:rsidRDefault="008D180D" w:rsidP="00AC5FC2">
            <w:pPr>
              <w:pStyle w:val="TableText"/>
            </w:pPr>
            <w:r>
              <w:t>Actions A through F in this table apply.</w:t>
            </w:r>
          </w:p>
        </w:tc>
      </w:tr>
      <w:tr w:rsidR="00AC5FC2" w:rsidTr="008D180D">
        <w:trPr>
          <w:cantSplit/>
          <w:trHeight w:val="736"/>
          <w:tblHeader/>
        </w:trPr>
        <w:tc>
          <w:tcPr>
            <w:tcW w:w="3253" w:type="dxa"/>
          </w:tcPr>
          <w:p w:rsidR="00AC5FC2" w:rsidRDefault="00AC5FC2" w:rsidP="00AC5FC2">
            <w:pPr>
              <w:pStyle w:val="TableText"/>
              <w:rPr>
                <w:lang w:eastAsia="ja-JP"/>
              </w:rPr>
            </w:pPr>
            <w:r>
              <w:rPr>
                <w:lang w:eastAsia="ja-JP"/>
              </w:rPr>
              <w:t>Miscellaneous</w:t>
            </w:r>
          </w:p>
        </w:tc>
        <w:tc>
          <w:tcPr>
            <w:tcW w:w="3253" w:type="dxa"/>
          </w:tcPr>
          <w:p w:rsidR="00AC5FC2" w:rsidRPr="00BB4306" w:rsidRDefault="00AC5FC2" w:rsidP="00AC5FC2">
            <w:pPr>
              <w:pStyle w:val="TableText"/>
            </w:pPr>
            <w:r w:rsidRPr="00BB4306">
              <w:t>Includes (but is not limited to)</w:t>
            </w:r>
            <w:r>
              <w:t>:</w:t>
            </w:r>
          </w:p>
          <w:p w:rsidR="00AC5FC2" w:rsidRDefault="00AC5FC2" w:rsidP="00AC5FC2">
            <w:pPr>
              <w:pStyle w:val="TableBullet"/>
              <w:rPr>
                <w:lang w:eastAsia="ja-JP"/>
              </w:rPr>
            </w:pPr>
            <w:r>
              <w:rPr>
                <w:lang w:eastAsia="ja-JP"/>
              </w:rPr>
              <w:t>fruit cartons</w:t>
            </w:r>
          </w:p>
          <w:p w:rsidR="00AC5FC2" w:rsidRPr="00BB4306" w:rsidRDefault="00AC5FC2" w:rsidP="00AC5FC2">
            <w:pPr>
              <w:pStyle w:val="TableBullet"/>
            </w:pPr>
            <w:proofErr w:type="gramStart"/>
            <w:r>
              <w:rPr>
                <w:lang w:eastAsia="ja-JP"/>
              </w:rPr>
              <w:t>water</w:t>
            </w:r>
            <w:proofErr w:type="gramEnd"/>
            <w:r>
              <w:rPr>
                <w:lang w:eastAsia="ja-JP"/>
              </w:rPr>
              <w:t xml:space="preserve"> or containers with liquid.</w:t>
            </w:r>
          </w:p>
        </w:tc>
        <w:tc>
          <w:tcPr>
            <w:tcW w:w="3253" w:type="dxa"/>
          </w:tcPr>
          <w:p w:rsidR="00AC5FC2" w:rsidRPr="00BB4306" w:rsidRDefault="008D180D" w:rsidP="00AC5FC2">
            <w:pPr>
              <w:pStyle w:val="TableText"/>
            </w:pPr>
            <w:r>
              <w:t>Actions A through F in this table apply.</w:t>
            </w:r>
          </w:p>
        </w:tc>
      </w:tr>
    </w:tbl>
    <w:p w:rsidR="008D180D" w:rsidRDefault="008D180D" w:rsidP="008D180D">
      <w:pPr>
        <w:pStyle w:val="Caption"/>
        <w:spacing w:before="240"/>
      </w:pPr>
      <w:r>
        <w:lastRenderedPageBreak/>
        <w:t>Table A</w:t>
      </w:r>
      <w:r>
        <w:fldChar w:fldCharType="begin"/>
      </w:r>
      <w:r>
        <w:instrText xml:space="preserve"> SEQ Table_A \* ARABIC </w:instrText>
      </w:r>
      <w:r>
        <w:fldChar w:fldCharType="separate"/>
      </w:r>
      <w:r>
        <w:rPr>
          <w:noProof/>
        </w:rPr>
        <w:t>3</w:t>
      </w:r>
      <w:r>
        <w:fldChar w:fldCharType="end"/>
      </w:r>
      <w:r>
        <w:t xml:space="preserve"> Action required for Biosecurity Level 1 (BL1)—Free of biosecurity risk material</w:t>
      </w:r>
    </w:p>
    <w:tbl>
      <w:tblPr>
        <w:tblStyle w:val="TableGrid"/>
        <w:tblW w:w="9897" w:type="dxa"/>
        <w:tblInd w:w="-323" w:type="dxa"/>
        <w:tblLook w:val="04A0" w:firstRow="1" w:lastRow="0" w:firstColumn="1" w:lastColumn="0" w:noHBand="0" w:noVBand="1"/>
      </w:tblPr>
      <w:tblGrid>
        <w:gridCol w:w="3299"/>
        <w:gridCol w:w="3299"/>
        <w:gridCol w:w="3299"/>
      </w:tblGrid>
      <w:tr w:rsidR="008D180D" w:rsidTr="008D180D">
        <w:trPr>
          <w:cantSplit/>
          <w:trHeight w:val="430"/>
          <w:tblHeader/>
        </w:trPr>
        <w:tc>
          <w:tcPr>
            <w:tcW w:w="3299" w:type="dxa"/>
          </w:tcPr>
          <w:p w:rsidR="008D180D" w:rsidRDefault="008D180D" w:rsidP="008D180D">
            <w:pPr>
              <w:pStyle w:val="TableHeading"/>
              <w:rPr>
                <w:lang w:eastAsia="ja-JP"/>
              </w:rPr>
            </w:pPr>
            <w:r>
              <w:rPr>
                <w:lang w:eastAsia="ja-JP"/>
              </w:rPr>
              <w:t>Category of biosecurity material</w:t>
            </w:r>
          </w:p>
        </w:tc>
        <w:tc>
          <w:tcPr>
            <w:tcW w:w="3299" w:type="dxa"/>
          </w:tcPr>
          <w:p w:rsidR="008D180D" w:rsidRDefault="008D180D" w:rsidP="008D180D">
            <w:pPr>
              <w:pStyle w:val="TableHeading"/>
              <w:rPr>
                <w:lang w:eastAsia="ja-JP"/>
              </w:rPr>
            </w:pPr>
            <w:r>
              <w:rPr>
                <w:lang w:eastAsia="ja-JP"/>
              </w:rPr>
              <w:t>Examples</w:t>
            </w:r>
          </w:p>
        </w:tc>
        <w:tc>
          <w:tcPr>
            <w:tcW w:w="3299" w:type="dxa"/>
          </w:tcPr>
          <w:p w:rsidR="008D180D" w:rsidRDefault="008D180D" w:rsidP="008D180D">
            <w:pPr>
              <w:pStyle w:val="TableHeading"/>
              <w:rPr>
                <w:lang w:eastAsia="ja-JP"/>
              </w:rPr>
            </w:pPr>
            <w:r>
              <w:rPr>
                <w:lang w:eastAsia="ja-JP"/>
              </w:rPr>
              <w:t>Action required for this level</w:t>
            </w:r>
          </w:p>
        </w:tc>
      </w:tr>
      <w:tr w:rsidR="008D180D" w:rsidRPr="008D180D" w:rsidTr="008D180D">
        <w:trPr>
          <w:cantSplit/>
          <w:trHeight w:val="509"/>
          <w:tblHeader/>
        </w:trPr>
        <w:tc>
          <w:tcPr>
            <w:tcW w:w="3299" w:type="dxa"/>
          </w:tcPr>
          <w:p w:rsidR="008D180D" w:rsidRPr="008D180D" w:rsidRDefault="008D180D" w:rsidP="008D180D">
            <w:pPr>
              <w:pStyle w:val="TableText"/>
            </w:pPr>
            <w:r>
              <w:t>No biosecurity material present</w:t>
            </w:r>
          </w:p>
        </w:tc>
        <w:tc>
          <w:tcPr>
            <w:tcW w:w="3299" w:type="dxa"/>
          </w:tcPr>
          <w:p w:rsidR="008D180D" w:rsidRPr="008D180D" w:rsidRDefault="008D180D" w:rsidP="008D180D">
            <w:pPr>
              <w:pStyle w:val="TableText"/>
            </w:pPr>
            <w:r>
              <w:t>Not applicable</w:t>
            </w:r>
          </w:p>
        </w:tc>
        <w:tc>
          <w:tcPr>
            <w:tcW w:w="3299" w:type="dxa"/>
          </w:tcPr>
          <w:p w:rsidR="008D180D" w:rsidRPr="008D180D" w:rsidRDefault="008D180D" w:rsidP="008D180D">
            <w:pPr>
              <w:pStyle w:val="TableText"/>
            </w:pPr>
            <w:r>
              <w:t>Record as BL1</w:t>
            </w:r>
          </w:p>
        </w:tc>
      </w:tr>
    </w:tbl>
    <w:p w:rsidR="00AC5FC2" w:rsidRDefault="00AC5FC2" w:rsidP="00DA3ED0">
      <w:pPr>
        <w:rPr>
          <w:lang w:eastAsia="ja-JP"/>
        </w:rPr>
      </w:pPr>
    </w:p>
    <w:sectPr w:rsidR="00AC5FC2"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ED0" w:rsidRDefault="00DA3ED0" w:rsidP="00267841">
      <w:r>
        <w:separator/>
      </w:r>
    </w:p>
    <w:p w:rsidR="00DA3ED0" w:rsidRDefault="00DA3ED0"/>
    <w:p w:rsidR="00DA3ED0" w:rsidRDefault="00DA3ED0"/>
  </w:endnote>
  <w:endnote w:type="continuationSeparator" w:id="0">
    <w:p w:rsidR="00DA3ED0" w:rsidRDefault="00DA3ED0" w:rsidP="00267841">
      <w:r>
        <w:continuationSeparator/>
      </w:r>
    </w:p>
    <w:p w:rsidR="00DA3ED0" w:rsidRDefault="00DA3ED0"/>
    <w:p w:rsidR="00DA3ED0" w:rsidRDefault="00DA3ED0"/>
  </w:endnote>
  <w:endnote w:type="continuationNotice" w:id="1">
    <w:p w:rsidR="00DA3ED0" w:rsidRPr="00696C70" w:rsidRDefault="00DA3ED0" w:rsidP="00267841">
      <w:pPr>
        <w:pStyle w:val="Footer"/>
      </w:pPr>
    </w:p>
    <w:p w:rsidR="00DA3ED0" w:rsidRDefault="00DA3ED0"/>
    <w:p w:rsidR="00DA3ED0" w:rsidRDefault="00DA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D0" w:rsidRDefault="00DA3ED0" w:rsidP="00267841">
    <w:pPr>
      <w:pStyle w:val="Footer"/>
    </w:pPr>
    <w:r>
      <w:t>Department of Agriculture and Water Resources</w:t>
    </w:r>
  </w:p>
  <w:p w:rsidR="00DA3ED0" w:rsidRDefault="00DA3ED0" w:rsidP="00267841">
    <w:pPr>
      <w:pStyle w:val="Footer"/>
    </w:pPr>
    <w:r>
      <w:fldChar w:fldCharType="begin"/>
    </w:r>
    <w:r>
      <w:instrText xml:space="preserve"> PAGE   \* MERGEFORMAT </w:instrText>
    </w:r>
    <w:r>
      <w:fldChar w:fldCharType="separate"/>
    </w:r>
    <w:r w:rsidR="00B075B6">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ED0" w:rsidRDefault="00DA3ED0" w:rsidP="00267841">
      <w:r>
        <w:separator/>
      </w:r>
    </w:p>
    <w:p w:rsidR="00DA3ED0" w:rsidRDefault="00DA3ED0"/>
    <w:p w:rsidR="00DA3ED0" w:rsidRDefault="00DA3ED0"/>
  </w:footnote>
  <w:footnote w:type="continuationSeparator" w:id="0">
    <w:p w:rsidR="00DA3ED0" w:rsidRDefault="00DA3ED0" w:rsidP="00267841">
      <w:r>
        <w:continuationSeparator/>
      </w:r>
    </w:p>
    <w:p w:rsidR="00DA3ED0" w:rsidRDefault="00DA3ED0"/>
    <w:p w:rsidR="00DA3ED0" w:rsidRDefault="00DA3ED0"/>
  </w:footnote>
  <w:footnote w:type="continuationNotice" w:id="1">
    <w:p w:rsidR="00DA3ED0" w:rsidRPr="00310C6A" w:rsidRDefault="00DA3ED0" w:rsidP="00267841">
      <w:pPr>
        <w:pStyle w:val="Footer"/>
      </w:pPr>
    </w:p>
    <w:p w:rsidR="00DA3ED0" w:rsidRDefault="00DA3ED0"/>
    <w:p w:rsidR="00DA3ED0" w:rsidRDefault="00DA3E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D0" w:rsidRPr="00B01303" w:rsidRDefault="00DA3ED0" w:rsidP="0046159B">
    <w:pPr>
      <w:pStyle w:val="Header"/>
    </w:pPr>
    <w:r w:rsidRPr="00A26A9F">
      <w:t xml:space="preserve">Approved Arrangements: </w:t>
    </w:r>
    <w:r>
      <w:t>2.6—Empty shipping container parks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D0" w:rsidRDefault="00DA3ED0"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CFCEA6E"/>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FFFFFF89"/>
    <w:multiLevelType w:val="singleLevel"/>
    <w:tmpl w:val="6C2A209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6A118C"/>
    <w:multiLevelType w:val="hybridMultilevel"/>
    <w:tmpl w:val="961418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C22BE"/>
    <w:multiLevelType w:val="hybridMultilevel"/>
    <w:tmpl w:val="00761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6B293D"/>
    <w:multiLevelType w:val="hybridMultilevel"/>
    <w:tmpl w:val="6A4C7EC6"/>
    <w:lvl w:ilvl="0" w:tplc="39666A64">
      <w:start w:val="1"/>
      <w:numFmt w:val="upperLetter"/>
      <w:pStyle w:val="Tablebullet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E2F35"/>
    <w:multiLevelType w:val="multilevel"/>
    <w:tmpl w:val="4182A4F0"/>
    <w:numStyleLink w:val="Numberlist"/>
  </w:abstractNum>
  <w:abstractNum w:abstractNumId="7" w15:restartNumberingAfterBreak="0">
    <w:nsid w:val="0CFF53CE"/>
    <w:multiLevelType w:val="hybridMultilevel"/>
    <w:tmpl w:val="82906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C5E20F58"/>
    <w:lvl w:ilvl="0" w:tplc="01B288C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4E14"/>
    <w:multiLevelType w:val="multilevel"/>
    <w:tmpl w:val="197C0294"/>
    <w:numStyleLink w:val="Headinglist"/>
  </w:abstractNum>
  <w:abstractNum w:abstractNumId="10" w15:restartNumberingAfterBreak="0">
    <w:nsid w:val="202B5643"/>
    <w:multiLevelType w:val="hybridMultilevel"/>
    <w:tmpl w:val="283032A0"/>
    <w:lvl w:ilvl="0" w:tplc="38E05F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444BAB"/>
    <w:multiLevelType w:val="hybridMultilevel"/>
    <w:tmpl w:val="4DBEF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975D17"/>
    <w:multiLevelType w:val="hybridMultilevel"/>
    <w:tmpl w:val="43F68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B1065"/>
    <w:multiLevelType w:val="hybridMultilevel"/>
    <w:tmpl w:val="DF2061F2"/>
    <w:lvl w:ilvl="0" w:tplc="587C25B2">
      <w:numFmt w:val="bullet"/>
      <w:lvlText w:val=""/>
      <w:lvlJc w:val="left"/>
      <w:pPr>
        <w:ind w:left="360" w:hanging="360"/>
      </w:pPr>
      <w:rPr>
        <w:rFonts w:ascii="Symbol" w:eastAsiaTheme="minorHAnsi" w:hAnsi="Symbol" w:cstheme="majorHAnsi" w:hint="default"/>
      </w:rPr>
    </w:lvl>
    <w:lvl w:ilvl="1" w:tplc="09705B6E">
      <w:start w:val="1"/>
      <w:numFmt w:val="bullet"/>
      <w:lvlText w:val="o"/>
      <w:lvlJc w:val="left"/>
      <w:pPr>
        <w:ind w:left="1440" w:hanging="360"/>
      </w:pPr>
      <w:rPr>
        <w:rFonts w:ascii="Courier New"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6B880213"/>
    <w:multiLevelType w:val="singleLevel"/>
    <w:tmpl w:val="D4242464"/>
    <w:lvl w:ilvl="0">
      <w:numFmt w:val="decimal"/>
      <w:pStyle w:val="tablebull"/>
      <w:lvlText w:val="*"/>
      <w:lvlJc w:val="left"/>
    </w:lvl>
  </w:abstractNum>
  <w:abstractNum w:abstractNumId="23"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8F0E15"/>
    <w:multiLevelType w:val="hybridMultilevel"/>
    <w:tmpl w:val="D4E26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0"/>
  </w:num>
  <w:num w:numId="6">
    <w:abstractNumId w:val="21"/>
  </w:num>
  <w:num w:numId="7">
    <w:abstractNumId w:val="6"/>
  </w:num>
  <w:num w:numId="8">
    <w:abstractNumId w:val="11"/>
  </w:num>
  <w:num w:numId="9">
    <w:abstractNumId w:val="9"/>
  </w:num>
  <w:num w:numId="10">
    <w:abstractNumId w:val="13"/>
  </w:num>
  <w:num w:numId="11">
    <w:abstractNumId w:val="25"/>
  </w:num>
  <w:num w:numId="12">
    <w:abstractNumId w:val="10"/>
  </w:num>
  <w:num w:numId="13">
    <w:abstractNumId w:val="4"/>
  </w:num>
  <w:num w:numId="14">
    <w:abstractNumId w:val="7"/>
  </w:num>
  <w:num w:numId="15">
    <w:abstractNumId w:val="24"/>
  </w:num>
  <w:num w:numId="16">
    <w:abstractNumId w:val="12"/>
  </w:num>
  <w:num w:numId="17">
    <w:abstractNumId w:val="3"/>
  </w:num>
  <w:num w:numId="18">
    <w:abstractNumId w:val="17"/>
  </w:num>
  <w:num w:numId="19">
    <w:abstractNumId w:val="14"/>
  </w:num>
  <w:num w:numId="20">
    <w:abstractNumId w:val="2"/>
  </w:num>
  <w:num w:numId="21">
    <w:abstractNumId w:val="18"/>
  </w:num>
  <w:num w:numId="22">
    <w:abstractNumId w:val="19"/>
  </w:num>
  <w:num w:numId="23">
    <w:abstractNumId w:val="23"/>
  </w:num>
  <w:num w:numId="24">
    <w:abstractNumId w:val="26"/>
  </w:num>
  <w:num w:numId="25">
    <w:abstractNumId w:val="15"/>
  </w:num>
  <w:num w:numId="26">
    <w:abstractNumId w:val="5"/>
  </w:num>
  <w:num w:numId="27">
    <w:abstractNumId w:val="5"/>
    <w:lvlOverride w:ilvl="0">
      <w:startOverride w:val="1"/>
    </w:lvlOverride>
  </w:num>
  <w:num w:numId="28">
    <w:abstractNumId w:val="22"/>
    <w:lvlOverride w:ilvl="0">
      <w:lvl w:ilvl="0">
        <w:start w:val="1"/>
        <w:numFmt w:val="bullet"/>
        <w:pStyle w:val="tablebull"/>
        <w:lvlText w:val=""/>
        <w:lvlJc w:val="left"/>
        <w:pPr>
          <w:tabs>
            <w:tab w:val="num" w:pos="502"/>
          </w:tabs>
          <w:ind w:left="284" w:hanging="142"/>
        </w:pPr>
        <w:rPr>
          <w:rFonts w:ascii="Wingdings" w:hAnsi="Wingdings" w:hint="default"/>
          <w:sz w:val="16"/>
        </w:rPr>
      </w:lvl>
    </w:lvlOverride>
  </w:num>
  <w:num w:numId="29">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816"/>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377"/>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1A1"/>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174"/>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254"/>
    <w:rsid w:val="00402ABD"/>
    <w:rsid w:val="00402ECC"/>
    <w:rsid w:val="004032BA"/>
    <w:rsid w:val="00403BA3"/>
    <w:rsid w:val="00403C78"/>
    <w:rsid w:val="00404098"/>
    <w:rsid w:val="00404755"/>
    <w:rsid w:val="0040523D"/>
    <w:rsid w:val="004053D5"/>
    <w:rsid w:val="0040601F"/>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9B"/>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68F0"/>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E17"/>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6F5"/>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BB4"/>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D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1BB"/>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F21"/>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80D"/>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385"/>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6C1"/>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5C"/>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5BC4"/>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5FC2"/>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E7C56"/>
    <w:rsid w:val="00AF0AF0"/>
    <w:rsid w:val="00AF2157"/>
    <w:rsid w:val="00AF2D57"/>
    <w:rsid w:val="00AF47FE"/>
    <w:rsid w:val="00AF4814"/>
    <w:rsid w:val="00AF54DD"/>
    <w:rsid w:val="00AF5DA3"/>
    <w:rsid w:val="00AF6BCB"/>
    <w:rsid w:val="00AF73AE"/>
    <w:rsid w:val="00AF7C6D"/>
    <w:rsid w:val="00B007DA"/>
    <w:rsid w:val="00B01303"/>
    <w:rsid w:val="00B01907"/>
    <w:rsid w:val="00B01B84"/>
    <w:rsid w:val="00B03F61"/>
    <w:rsid w:val="00B0608F"/>
    <w:rsid w:val="00B075B6"/>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355F"/>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6DE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7DA"/>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A52"/>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3ED0"/>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402254"/>
    <w:pPr>
      <w:numPr>
        <w:numId w:val="2"/>
      </w:numPr>
    </w:pPr>
    <w:rPr>
      <w:rFonts w:eastAsiaTheme="minorHAnsi" w:cstheme="minorBidi"/>
      <w:sz w:val="18"/>
      <w:szCs w:val="22"/>
      <w:lang w:eastAsia="en-US"/>
    </w:rPr>
  </w:style>
  <w:style w:type="paragraph" w:styleId="TOC7">
    <w:name w:val="toc 7"/>
    <w:basedOn w:val="Normal"/>
    <w:next w:val="Normal"/>
    <w:autoRedefine/>
    <w:uiPriority w:val="39"/>
    <w:semiHidden/>
    <w:rsid w:val="004C4E17"/>
    <w:pPr>
      <w:spacing w:after="100"/>
      <w:ind w:left="1320"/>
    </w:pPr>
  </w:style>
  <w:style w:type="paragraph" w:styleId="PlainText">
    <w:name w:val="Plain Text"/>
    <w:basedOn w:val="Normal"/>
    <w:link w:val="PlainTextChar"/>
    <w:uiPriority w:val="99"/>
    <w:unhideWhenUsed/>
    <w:rsid w:val="0046159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46159B"/>
    <w:rPr>
      <w:rFonts w:ascii="Calibri" w:eastAsia="Times New Roman" w:hAnsi="Calibri"/>
      <w:sz w:val="22"/>
      <w:szCs w:val="21"/>
      <w:lang w:eastAsia="en-US"/>
    </w:rPr>
  </w:style>
  <w:style w:type="paragraph" w:customStyle="1" w:styleId="default0">
    <w:name w:val="default"/>
    <w:basedOn w:val="Normal"/>
    <w:rsid w:val="00AE7C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ullet3">
    <w:name w:val="Table bullet 3"/>
    <w:qFormat/>
    <w:rsid w:val="00DA3ED0"/>
    <w:pPr>
      <w:numPr>
        <w:numId w:val="26"/>
      </w:numPr>
    </w:pPr>
    <w:rPr>
      <w:rFonts w:eastAsiaTheme="minorHAnsi" w:cstheme="minorBidi"/>
      <w:sz w:val="18"/>
      <w:szCs w:val="22"/>
      <w:lang w:eastAsia="ja-JP"/>
    </w:rPr>
  </w:style>
  <w:style w:type="paragraph" w:customStyle="1" w:styleId="table">
    <w:name w:val="table"/>
    <w:basedOn w:val="Normal"/>
    <w:rsid w:val="00AC5FC2"/>
    <w:pPr>
      <w:keepLines/>
      <w:tabs>
        <w:tab w:val="left" w:pos="142"/>
        <w:tab w:val="left" w:pos="284"/>
        <w:tab w:val="left" w:pos="426"/>
        <w:tab w:val="left" w:pos="1985"/>
        <w:tab w:val="left" w:pos="2268"/>
        <w:tab w:val="left" w:pos="2552"/>
        <w:tab w:val="left" w:pos="2835"/>
      </w:tabs>
      <w:spacing w:after="20" w:line="240" w:lineRule="auto"/>
    </w:pPr>
    <w:rPr>
      <w:rFonts w:ascii="Times New Roman" w:eastAsia="Times New Roman" w:hAnsi="Times New Roman" w:cs="Times New Roman"/>
      <w:bCs/>
      <w:color w:val="000000"/>
      <w:sz w:val="20"/>
      <w:szCs w:val="20"/>
      <w:lang w:val="en-US"/>
    </w:rPr>
  </w:style>
  <w:style w:type="paragraph" w:customStyle="1" w:styleId="tablebull">
    <w:name w:val="tablebull"/>
    <w:basedOn w:val="table"/>
    <w:rsid w:val="00AC5FC2"/>
    <w:pPr>
      <w:numPr>
        <w:numId w:val="28"/>
      </w:numPr>
      <w:tabs>
        <w:tab w:val="clear" w:pos="142"/>
        <w:tab w:val="clear" w:pos="426"/>
        <w:tab w:val="clear" w:pos="502"/>
        <w:tab w:val="clear" w:pos="1985"/>
        <w:tab w:val="clear" w:pos="2268"/>
        <w:tab w:val="clear" w:pos="2552"/>
        <w:tab w:val="clear" w:pos="2835"/>
      </w:tabs>
    </w:pPr>
  </w:style>
  <w:style w:type="paragraph" w:customStyle="1" w:styleId="tablebull2">
    <w:name w:val="tablebull2"/>
    <w:basedOn w:val="tablebull"/>
    <w:rsid w:val="00AC5FC2"/>
    <w:pPr>
      <w:tabs>
        <w:tab w:val="clear" w:pos="284"/>
        <w:tab w:val="left" w:pos="425"/>
      </w:tabs>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A7542-C4C2-4B1A-987E-818C4CB1FA63}"/>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236EC0B-3379-47F5-ABE9-79C89CF06ACB}"/>
</file>

<file path=docProps/app.xml><?xml version="1.0" encoding="utf-8"?>
<Properties xmlns="http://schemas.openxmlformats.org/officeDocument/2006/extended-properties" xmlns:vt="http://schemas.openxmlformats.org/officeDocument/2006/docPropsVTypes">
  <Template>Normal</Template>
  <TotalTime>194</TotalTime>
  <Pages>22</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Approved arrangements for 2.6 - Empty shipping container parks</vt:lpstr>
    </vt:vector>
  </TitlesOfParts>
  <Company>Department of Agriculture Fisheries &amp; Forestry</Company>
  <LinksUpToDate>false</LinksUpToDate>
  <CharactersWithSpaces>34083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2.6 - Empty shipping container parks</dc:title>
  <dc:creator>Department of Agriculture and Water Resources</dc:creator>
  <cp:lastModifiedBy>O'Leary Anna</cp:lastModifiedBy>
  <cp:revision>12</cp:revision>
  <cp:lastPrinted>2013-10-18T05:59:00Z</cp:lastPrinted>
  <dcterms:created xsi:type="dcterms:W3CDTF">2017-04-03T04:25:00Z</dcterms:created>
  <dcterms:modified xsi:type="dcterms:W3CDTF">2017-06-25T23:01:00Z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