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E54F" w14:textId="77777777" w:rsidR="00B675B6" w:rsidRDefault="00B675B6" w:rsidP="00B675B6">
      <w:pPr>
        <w:pStyle w:val="Heading1"/>
        <w:jc w:val="center"/>
        <w:rPr>
          <w:sz w:val="36"/>
          <w:szCs w:val="36"/>
        </w:rPr>
      </w:pPr>
    </w:p>
    <w:p w14:paraId="175FF033" w14:textId="27FC773B" w:rsidR="00806F49" w:rsidRPr="00B675B6" w:rsidRDefault="00806F49" w:rsidP="00B675B6">
      <w:pPr>
        <w:pStyle w:val="Heading1"/>
        <w:jc w:val="center"/>
        <w:rPr>
          <w:sz w:val="36"/>
          <w:szCs w:val="36"/>
        </w:rPr>
      </w:pPr>
      <w:r w:rsidRPr="00B675B6">
        <w:rPr>
          <w:sz w:val="36"/>
          <w:szCs w:val="36"/>
        </w:rPr>
        <w:t>Approved Arrangements</w:t>
      </w:r>
    </w:p>
    <w:p w14:paraId="79A803BF" w14:textId="77777777" w:rsidR="00B675B6" w:rsidRDefault="00B675B6" w:rsidP="00B675B6">
      <w:pPr>
        <w:pStyle w:val="Subtitle"/>
        <w:jc w:val="center"/>
        <w:rPr>
          <w:b/>
          <w:sz w:val="36"/>
          <w:szCs w:val="36"/>
        </w:rPr>
      </w:pPr>
      <w:r w:rsidRPr="00B675B6">
        <w:rPr>
          <w:b/>
          <w:sz w:val="36"/>
          <w:szCs w:val="36"/>
        </w:rPr>
        <w:t>3</w:t>
      </w:r>
      <w:r w:rsidRPr="00B675B6">
        <w:rPr>
          <w:b/>
          <w:sz w:val="36"/>
          <w:szCs w:val="36"/>
        </w:rPr>
        <w:t>.2 –</w:t>
      </w:r>
      <w:r w:rsidRPr="00B675B6">
        <w:rPr>
          <w:b/>
          <w:sz w:val="36"/>
          <w:szCs w:val="36"/>
        </w:rPr>
        <w:t xml:space="preserve"> I</w:t>
      </w:r>
      <w:r w:rsidRPr="00B675B6">
        <w:rPr>
          <w:b/>
          <w:sz w:val="36"/>
          <w:szCs w:val="36"/>
        </w:rPr>
        <w:t xml:space="preserve">mported pig meat </w:t>
      </w:r>
      <w:r>
        <w:rPr>
          <w:b/>
          <w:sz w:val="36"/>
          <w:szCs w:val="36"/>
        </w:rPr>
        <w:t xml:space="preserve">processing </w:t>
      </w:r>
      <w:r w:rsidRPr="00B675B6">
        <w:rPr>
          <w:b/>
          <w:sz w:val="36"/>
          <w:szCs w:val="36"/>
        </w:rPr>
        <w:t>conditions</w:t>
      </w:r>
    </w:p>
    <w:p w14:paraId="61BCE633" w14:textId="77777777" w:rsidR="00B675B6" w:rsidRPr="00B675B6" w:rsidRDefault="00B675B6" w:rsidP="00B675B6"/>
    <w:p w14:paraId="690A212B" w14:textId="77777777" w:rsidR="00B675B6" w:rsidRPr="000E2F09" w:rsidRDefault="00B675B6" w:rsidP="00B675B6">
      <w:pPr>
        <w:pStyle w:val="Biosecuritytagline"/>
        <w:rPr>
          <w:sz w:val="2"/>
          <w:szCs w:val="2"/>
        </w:rPr>
      </w:pPr>
    </w:p>
    <w:p w14:paraId="44A76D7A" w14:textId="56EB05E1" w:rsidR="00B675B6" w:rsidRPr="00B675B6" w:rsidRDefault="00B675B6" w:rsidP="00B675B6">
      <w:pPr>
        <w:pStyle w:val="Titlepagepublicationseriesname"/>
        <w:rPr>
          <w:rStyle w:val="PlaceholderText"/>
          <w:rFonts w:asciiTheme="minorHAnsi" w:hAnsiTheme="minorHAnsi" w:cstheme="minorHAnsi"/>
          <w:b/>
          <w:color w:val="808080" w:themeColor="background1" w:themeShade="80"/>
          <w:sz w:val="24"/>
          <w:szCs w:val="24"/>
        </w:rPr>
      </w:pPr>
      <w:r w:rsidRPr="00B675B6">
        <w:rPr>
          <w:rStyle w:val="PlaceholderText"/>
          <w:rFonts w:asciiTheme="minorHAnsi" w:hAnsiTheme="minorHAnsi" w:cstheme="minorHAnsi"/>
          <w:b/>
          <w:color w:val="808080" w:themeColor="background1" w:themeShade="80"/>
          <w:sz w:val="24"/>
          <w:szCs w:val="24"/>
        </w:rPr>
        <w:t xml:space="preserve">Version </w:t>
      </w:r>
      <w:r w:rsidRPr="00B675B6">
        <w:rPr>
          <w:rStyle w:val="PlaceholderText"/>
          <w:rFonts w:asciiTheme="minorHAnsi" w:hAnsiTheme="minorHAnsi" w:cstheme="minorHAnsi"/>
          <w:b/>
          <w:color w:val="808080" w:themeColor="background1" w:themeShade="80"/>
          <w:sz w:val="24"/>
          <w:szCs w:val="24"/>
        </w:rPr>
        <w:t>6.0</w:t>
      </w:r>
    </w:p>
    <w:p w14:paraId="1472FA79" w14:textId="19FFBCA4" w:rsidR="004901ED" w:rsidRDefault="00806F49" w:rsidP="004901ED">
      <w:pPr>
        <w:pStyle w:val="EndnoteText"/>
      </w:pPr>
      <w:r>
        <w:rPr>
          <w:noProof/>
          <w:lang w:eastAsia="en-AU"/>
        </w:rPr>
        <w:drawing>
          <wp:inline distT="0" distB="0" distL="0" distR="0" wp14:anchorId="430E0CA1" wp14:editId="0D074998">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4901ED">
        <w:br w:type="page"/>
      </w:r>
    </w:p>
    <w:p w14:paraId="0F1030D5" w14:textId="11A22505" w:rsidR="00806F49" w:rsidRPr="00C10BEB" w:rsidRDefault="00806F49" w:rsidP="004901ED">
      <w:r w:rsidRPr="00C10BEB">
        <w:lastRenderedPageBreak/>
        <w:t>© Commonwealth of Australia</w:t>
      </w:r>
    </w:p>
    <w:p w14:paraId="7AEF8A9B" w14:textId="77777777" w:rsidR="00B675B6" w:rsidRPr="00987FE1" w:rsidRDefault="00B675B6" w:rsidP="00B675B6">
      <w:pPr>
        <w:pStyle w:val="smalltext"/>
        <w:ind w:right="-64"/>
        <w:rPr>
          <w:rStyle w:val="Strong"/>
          <w:rFonts w:asciiTheme="minorHAnsi" w:eastAsiaTheme="minorHAnsi" w:hAnsiTheme="minorHAnsi" w:cstheme="minorHAnsi"/>
          <w:b w:val="0"/>
          <w:bCs w:val="0"/>
          <w:sz w:val="22"/>
          <w:szCs w:val="22"/>
        </w:rPr>
      </w:pPr>
      <w:r w:rsidRPr="00987FE1">
        <w:rPr>
          <w:rStyle w:val="Strong"/>
          <w:rFonts w:asciiTheme="minorHAnsi" w:eastAsiaTheme="minorHAnsi" w:hAnsiTheme="minorHAnsi" w:cstheme="minorHAnsi"/>
          <w:sz w:val="22"/>
          <w:szCs w:val="22"/>
        </w:rPr>
        <w:t>Ownership of intellectual property rights</w:t>
      </w:r>
    </w:p>
    <w:p w14:paraId="52A5668D"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Unless otherwise noted, copyright (and any other intellectual property rights, if any) in this publication is owned by the Commonwealth of Australia (referred to as the Commonwealth).</w:t>
      </w:r>
    </w:p>
    <w:p w14:paraId="2E5C0E02" w14:textId="77777777" w:rsidR="00B675B6" w:rsidRPr="00987FE1" w:rsidRDefault="00B675B6" w:rsidP="00B675B6">
      <w:pPr>
        <w:pStyle w:val="smalltext"/>
        <w:ind w:right="-64"/>
        <w:rPr>
          <w:rFonts w:asciiTheme="minorHAnsi" w:hAnsiTheme="minorHAnsi" w:cstheme="minorHAnsi"/>
          <w:sz w:val="22"/>
          <w:szCs w:val="22"/>
        </w:rPr>
      </w:pPr>
    </w:p>
    <w:p w14:paraId="1C9233F4" w14:textId="77777777" w:rsidR="00B675B6" w:rsidRPr="00987FE1" w:rsidRDefault="00B675B6" w:rsidP="00B675B6">
      <w:pPr>
        <w:pStyle w:val="smalltext"/>
        <w:ind w:right="-64"/>
        <w:rPr>
          <w:rStyle w:val="Strong"/>
          <w:rFonts w:asciiTheme="minorHAnsi" w:eastAsiaTheme="minorHAnsi" w:hAnsiTheme="minorHAnsi" w:cstheme="minorHAnsi"/>
          <w:bCs w:val="0"/>
          <w:sz w:val="22"/>
          <w:szCs w:val="22"/>
        </w:rPr>
      </w:pPr>
      <w:r w:rsidRPr="00987FE1">
        <w:rPr>
          <w:rStyle w:val="Strong"/>
          <w:rFonts w:asciiTheme="minorHAnsi" w:eastAsiaTheme="minorHAnsi" w:hAnsiTheme="minorHAnsi" w:cstheme="minorHAnsi"/>
          <w:sz w:val="22"/>
          <w:szCs w:val="22"/>
        </w:rPr>
        <w:t>Creative Commons Licence</w:t>
      </w:r>
    </w:p>
    <w:p w14:paraId="2FDFC739"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 xml:space="preserve">All material in this publication is licensed under a Creative Commons Attribution 3.0 Australia Licence, save for content supplied by third parties, </w:t>
      </w:r>
      <w:proofErr w:type="gramStart"/>
      <w:r w:rsidRPr="00987FE1">
        <w:rPr>
          <w:rFonts w:asciiTheme="minorHAnsi" w:hAnsiTheme="minorHAnsi" w:cstheme="minorHAnsi"/>
          <w:sz w:val="22"/>
          <w:szCs w:val="22"/>
        </w:rPr>
        <w:t>logos</w:t>
      </w:r>
      <w:proofErr w:type="gramEnd"/>
      <w:r w:rsidRPr="00987FE1">
        <w:rPr>
          <w:rFonts w:asciiTheme="minorHAnsi" w:hAnsiTheme="minorHAnsi" w:cstheme="minorHAnsi"/>
          <w:sz w:val="22"/>
          <w:szCs w:val="22"/>
        </w:rPr>
        <w:t xml:space="preserve"> and the Commonwealth Coat of Arms.</w:t>
      </w:r>
    </w:p>
    <w:p w14:paraId="36EA964C" w14:textId="77777777" w:rsidR="00B675B6" w:rsidRPr="00987FE1" w:rsidRDefault="00B675B6" w:rsidP="00B675B6">
      <w:pPr>
        <w:pStyle w:val="smalltext"/>
        <w:ind w:right="-64"/>
        <w:rPr>
          <w:rFonts w:asciiTheme="minorHAnsi" w:hAnsiTheme="minorHAnsi" w:cstheme="minorHAnsi"/>
          <w:sz w:val="22"/>
          <w:szCs w:val="22"/>
        </w:rPr>
      </w:pPr>
    </w:p>
    <w:p w14:paraId="6094AB1D"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987FE1">
        <w:rPr>
          <w:rFonts w:asciiTheme="minorHAnsi" w:hAnsiTheme="minorHAnsi" w:cstheme="minorHAnsi"/>
          <w:sz w:val="22"/>
          <w:szCs w:val="22"/>
        </w:rPr>
        <w:t>deed.en</w:t>
      </w:r>
      <w:proofErr w:type="spellEnd"/>
      <w:r w:rsidRPr="00987FE1">
        <w:rPr>
          <w:rFonts w:asciiTheme="minorHAnsi" w:hAnsiTheme="minorHAnsi" w:cstheme="minorHAnsi"/>
          <w:sz w:val="22"/>
          <w:szCs w:val="22"/>
        </w:rPr>
        <w:t>. The full licence terms are available from creativecommons.org/licenses/by/3.0/au/</w:t>
      </w:r>
      <w:proofErr w:type="spellStart"/>
      <w:r w:rsidRPr="00987FE1">
        <w:rPr>
          <w:rFonts w:asciiTheme="minorHAnsi" w:hAnsiTheme="minorHAnsi" w:cstheme="minorHAnsi"/>
          <w:sz w:val="22"/>
          <w:szCs w:val="22"/>
        </w:rPr>
        <w:t>legalcode</w:t>
      </w:r>
      <w:proofErr w:type="spellEnd"/>
      <w:r w:rsidRPr="00987FE1">
        <w:rPr>
          <w:rFonts w:asciiTheme="minorHAnsi" w:hAnsiTheme="minorHAnsi" w:cstheme="minorHAnsi"/>
          <w:sz w:val="22"/>
          <w:szCs w:val="22"/>
        </w:rPr>
        <w:t>.</w:t>
      </w:r>
    </w:p>
    <w:p w14:paraId="427558A4" w14:textId="77777777" w:rsidR="00B675B6" w:rsidRPr="00987FE1" w:rsidRDefault="00B675B6" w:rsidP="00B675B6">
      <w:pPr>
        <w:pStyle w:val="smalltext"/>
        <w:ind w:right="-64"/>
        <w:rPr>
          <w:rFonts w:asciiTheme="minorHAnsi" w:hAnsiTheme="minorHAnsi" w:cstheme="minorHAnsi"/>
          <w:sz w:val="22"/>
          <w:szCs w:val="22"/>
        </w:rPr>
      </w:pPr>
    </w:p>
    <w:p w14:paraId="2AD67501" w14:textId="178292BE"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 xml:space="preserve">This publication (and any material sourced from it) should be attributed as: Approved Arrangements program, 2024, Approved arrangement for </w:t>
      </w:r>
      <w:r w:rsidRPr="00987FE1">
        <w:rPr>
          <w:rFonts w:asciiTheme="minorHAnsi" w:hAnsiTheme="minorHAnsi" w:cstheme="minorHAnsi"/>
          <w:sz w:val="22"/>
          <w:szCs w:val="22"/>
        </w:rPr>
        <w:t>imported pig meat processing</w:t>
      </w:r>
      <w:r w:rsidRPr="00987FE1">
        <w:rPr>
          <w:rFonts w:asciiTheme="minorHAnsi" w:hAnsiTheme="minorHAnsi" w:cstheme="minorHAnsi"/>
          <w:sz w:val="22"/>
          <w:szCs w:val="22"/>
        </w:rPr>
        <w:t xml:space="preserve">, (Approved arrangement for </w:t>
      </w:r>
      <w:r w:rsidR="00987FE1" w:rsidRPr="00987FE1">
        <w:rPr>
          <w:rFonts w:asciiTheme="minorHAnsi" w:hAnsiTheme="minorHAnsi" w:cstheme="minorHAnsi"/>
          <w:sz w:val="22"/>
          <w:szCs w:val="22"/>
        </w:rPr>
        <w:t>imported pig meat processing</w:t>
      </w:r>
      <w:r w:rsidRPr="00987FE1">
        <w:rPr>
          <w:rFonts w:asciiTheme="minorHAnsi" w:hAnsiTheme="minorHAnsi" w:cstheme="minorHAnsi"/>
          <w:sz w:val="22"/>
          <w:szCs w:val="22"/>
        </w:rPr>
        <w:t xml:space="preserve"> conditions prepared for the Department of Agriculture, Fisheries and Forestry), Canberra.</w:t>
      </w:r>
    </w:p>
    <w:p w14:paraId="005370A6" w14:textId="77777777" w:rsidR="00B675B6" w:rsidRPr="00987FE1" w:rsidRDefault="00B675B6" w:rsidP="00B675B6">
      <w:pPr>
        <w:pStyle w:val="smalltext"/>
        <w:ind w:right="-64"/>
        <w:rPr>
          <w:rFonts w:asciiTheme="minorHAnsi" w:hAnsiTheme="minorHAnsi" w:cstheme="minorHAnsi"/>
          <w:sz w:val="22"/>
          <w:szCs w:val="22"/>
        </w:rPr>
      </w:pPr>
    </w:p>
    <w:p w14:paraId="1C153625" w14:textId="77777777" w:rsidR="00B675B6" w:rsidRPr="00987FE1" w:rsidRDefault="00B675B6" w:rsidP="00B675B6">
      <w:pPr>
        <w:pStyle w:val="smalltext"/>
        <w:ind w:right="-64"/>
        <w:rPr>
          <w:rFonts w:asciiTheme="minorHAnsi" w:hAnsiTheme="minorHAnsi" w:cstheme="minorHAnsi"/>
          <w:sz w:val="22"/>
          <w:szCs w:val="22"/>
        </w:rPr>
      </w:pPr>
      <w:r w:rsidRPr="00987FE1">
        <w:rPr>
          <w:rStyle w:val="Strong"/>
          <w:rFonts w:asciiTheme="minorHAnsi" w:eastAsiaTheme="minorHAnsi" w:hAnsiTheme="minorHAnsi" w:cstheme="minorHAnsi"/>
          <w:sz w:val="22"/>
          <w:szCs w:val="22"/>
        </w:rPr>
        <w:t xml:space="preserve">Department of Agriculture, </w:t>
      </w:r>
      <w:r w:rsidRPr="00987FE1">
        <w:rPr>
          <w:rFonts w:asciiTheme="minorHAnsi" w:hAnsiTheme="minorHAnsi" w:cstheme="minorHAnsi"/>
          <w:b/>
          <w:bCs/>
          <w:sz w:val="22"/>
          <w:szCs w:val="22"/>
        </w:rPr>
        <w:t>Fisheries and Forestry</w:t>
      </w:r>
    </w:p>
    <w:p w14:paraId="74CAF8DD"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 xml:space="preserve">Postal address GPO Box 858 </w:t>
      </w:r>
    </w:p>
    <w:p w14:paraId="29BA3331"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Canberra ACT 2601</w:t>
      </w:r>
    </w:p>
    <w:p w14:paraId="674AB0D8"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Telephone +61 02 6272 3933</w:t>
      </w:r>
    </w:p>
    <w:p w14:paraId="376F4AB3"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 xml:space="preserve">Web </w:t>
      </w:r>
      <w:hyperlink r:id="rId12" w:history="1">
        <w:r w:rsidRPr="00987FE1">
          <w:rPr>
            <w:rStyle w:val="Hyperlink"/>
            <w:rFonts w:asciiTheme="minorHAnsi" w:hAnsiTheme="minorHAnsi" w:cstheme="minorHAnsi"/>
            <w:sz w:val="22"/>
            <w:szCs w:val="22"/>
          </w:rPr>
          <w:t>agriculture.gov.au</w:t>
        </w:r>
      </w:hyperlink>
    </w:p>
    <w:p w14:paraId="43919503" w14:textId="77777777" w:rsidR="00B675B6" w:rsidRPr="00987FE1" w:rsidRDefault="00B675B6" w:rsidP="00B675B6">
      <w:pPr>
        <w:pStyle w:val="smalltext"/>
        <w:ind w:right="-64"/>
        <w:rPr>
          <w:rFonts w:asciiTheme="minorHAnsi" w:hAnsiTheme="minorHAnsi" w:cstheme="minorHAnsi"/>
          <w:sz w:val="22"/>
          <w:szCs w:val="22"/>
        </w:rPr>
      </w:pPr>
    </w:p>
    <w:p w14:paraId="430E61B7"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 xml:space="preserve">Inquiries regarding the licence and any use of this document should be sent to: </w:t>
      </w:r>
      <w:hyperlink r:id="rId13" w:history="1">
        <w:r w:rsidRPr="00987FE1">
          <w:rPr>
            <w:rStyle w:val="Hyperlink"/>
            <w:rFonts w:asciiTheme="minorHAnsi" w:hAnsiTheme="minorHAnsi" w:cstheme="minorHAnsi"/>
            <w:sz w:val="22"/>
            <w:szCs w:val="22"/>
          </w:rPr>
          <w:t>copyright@aff.gov.au</w:t>
        </w:r>
      </w:hyperlink>
      <w:r w:rsidRPr="00987FE1">
        <w:rPr>
          <w:rFonts w:asciiTheme="minorHAnsi" w:hAnsiTheme="minorHAnsi" w:cstheme="minorHAnsi"/>
          <w:sz w:val="22"/>
          <w:szCs w:val="22"/>
        </w:rPr>
        <w:t>.</w:t>
      </w:r>
    </w:p>
    <w:p w14:paraId="19C78A37" w14:textId="77777777" w:rsidR="00B675B6" w:rsidRPr="00987FE1" w:rsidRDefault="00B675B6" w:rsidP="00B675B6">
      <w:pPr>
        <w:pStyle w:val="smalltext"/>
        <w:ind w:right="-64"/>
        <w:rPr>
          <w:rFonts w:asciiTheme="minorHAnsi" w:hAnsiTheme="minorHAnsi" w:cstheme="minorHAnsi"/>
          <w:sz w:val="22"/>
          <w:szCs w:val="22"/>
        </w:rPr>
      </w:pPr>
    </w:p>
    <w:p w14:paraId="170E2691" w14:textId="77777777" w:rsidR="00B675B6" w:rsidRPr="00987FE1" w:rsidRDefault="00B675B6" w:rsidP="00B675B6">
      <w:pPr>
        <w:pStyle w:val="smalltext"/>
        <w:ind w:right="-64"/>
        <w:rPr>
          <w:rFonts w:asciiTheme="minorHAnsi" w:hAnsiTheme="minorHAnsi" w:cstheme="minorHAnsi"/>
          <w:sz w:val="22"/>
          <w:szCs w:val="22"/>
        </w:rPr>
      </w:pPr>
      <w:r w:rsidRPr="00987FE1">
        <w:rPr>
          <w:rFonts w:asciiTheme="minorHAnsi" w:hAnsiTheme="minorHAnsi" w:cstheme="minorHAnsi"/>
          <w:sz w:val="22"/>
          <w:szCs w:val="22"/>
        </w:rPr>
        <w:t>The Australian Government acting through the Department of Agriculture, Fisheries and Forestry</w:t>
      </w:r>
      <w:r w:rsidRPr="00987FE1" w:rsidDel="0094050C">
        <w:rPr>
          <w:rFonts w:asciiTheme="minorHAnsi" w:hAnsiTheme="minorHAnsi" w:cstheme="minorHAnsi"/>
          <w:sz w:val="22"/>
          <w:szCs w:val="22"/>
        </w:rPr>
        <w:t xml:space="preserve"> </w:t>
      </w:r>
      <w:r w:rsidRPr="00987FE1">
        <w:rPr>
          <w:rFonts w:asciiTheme="minorHAnsi" w:hAnsiTheme="minorHAnsi" w:cstheme="minorHAnsi"/>
          <w:sz w:val="22"/>
          <w:szCs w:val="22"/>
        </w:rPr>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987FE1">
        <w:rPr>
          <w:rFonts w:asciiTheme="minorHAnsi" w:hAnsiTheme="minorHAnsi" w:cstheme="minorHAnsi"/>
          <w:sz w:val="22"/>
          <w:szCs w:val="22"/>
        </w:rPr>
        <w:t>expense</w:t>
      </w:r>
      <w:proofErr w:type="gramEnd"/>
      <w:r w:rsidRPr="00987FE1">
        <w:rPr>
          <w:rFonts w:asciiTheme="minorHAnsi" w:hAnsiTheme="minorHAnsi" w:cstheme="minorHAnsi"/>
          <w:sz w:val="22"/>
          <w:szCs w:val="22"/>
        </w:rPr>
        <w:t xml:space="preserve"> or cost incurred by any person as a result of accessing, using or relying upon any of the information or data in this publication to the maximum extent permitted by law.</w:t>
      </w:r>
    </w:p>
    <w:p w14:paraId="2090CB59" w14:textId="1381F062" w:rsidR="00806F49" w:rsidRPr="003A58C3" w:rsidRDefault="004901ED" w:rsidP="004901ED">
      <w:pPr>
        <w:rPr>
          <w:rStyle w:val="Strong"/>
          <w:b w:val="0"/>
          <w:bCs w:val="0"/>
        </w:rPr>
      </w:pPr>
      <w:r>
        <w:br w:type="page"/>
      </w:r>
      <w:bookmarkStart w:id="1" w:name="_Toc451349357"/>
      <w:r w:rsidR="00806F49" w:rsidRPr="004901ED">
        <w:rPr>
          <w:rStyle w:val="Strong"/>
        </w:rPr>
        <w:lastRenderedPageBreak/>
        <w:t>Version control</w:t>
      </w:r>
      <w:bookmarkEnd w:id="1"/>
    </w:p>
    <w:p w14:paraId="0B565718" w14:textId="563F1C67" w:rsidR="00306A35" w:rsidRPr="004901ED" w:rsidRDefault="00806F49" w:rsidP="004901ED">
      <w:r w:rsidRPr="00C10BEB">
        <w:t xml:space="preserve">Updates to this document will occur automatically on the department’s website and </w:t>
      </w:r>
      <w:r w:rsidR="004901ED">
        <w:t xml:space="preserve">this revision table </w:t>
      </w:r>
      <w:r w:rsidRPr="00C10BEB">
        <w:t>will list the a</w:t>
      </w:r>
      <w:r w:rsidR="00917D4E">
        <w:t>mendments as they are approved.</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4901ED" w14:paraId="5541B20B" w14:textId="77777777" w:rsidTr="004901ED">
        <w:tc>
          <w:tcPr>
            <w:tcW w:w="2265" w:type="dxa"/>
          </w:tcPr>
          <w:p w14:paraId="31C2ABAB" w14:textId="4BCA2465" w:rsidR="004901ED" w:rsidRDefault="004901ED" w:rsidP="004901ED">
            <w:pPr>
              <w:pStyle w:val="TableHeading"/>
            </w:pPr>
            <w:r>
              <w:t>Date</w:t>
            </w:r>
          </w:p>
        </w:tc>
        <w:tc>
          <w:tcPr>
            <w:tcW w:w="2265" w:type="dxa"/>
          </w:tcPr>
          <w:p w14:paraId="14407EF7" w14:textId="24E31F98" w:rsidR="004901ED" w:rsidRDefault="004901ED" w:rsidP="004901ED">
            <w:pPr>
              <w:pStyle w:val="TableHeading"/>
            </w:pPr>
            <w:r>
              <w:t>Version</w:t>
            </w:r>
          </w:p>
        </w:tc>
        <w:tc>
          <w:tcPr>
            <w:tcW w:w="2265" w:type="dxa"/>
          </w:tcPr>
          <w:p w14:paraId="095373EB" w14:textId="383FC916" w:rsidR="004901ED" w:rsidRDefault="004901ED" w:rsidP="004901ED">
            <w:pPr>
              <w:pStyle w:val="TableHeading"/>
            </w:pPr>
            <w:r>
              <w:t>Amendments</w:t>
            </w:r>
          </w:p>
        </w:tc>
        <w:tc>
          <w:tcPr>
            <w:tcW w:w="2265" w:type="dxa"/>
          </w:tcPr>
          <w:p w14:paraId="6192BBF6" w14:textId="021213AF" w:rsidR="004901ED" w:rsidRDefault="004901ED" w:rsidP="004901ED">
            <w:pPr>
              <w:pStyle w:val="TableHeading"/>
            </w:pPr>
            <w:r>
              <w:t>Approved by</w:t>
            </w:r>
          </w:p>
        </w:tc>
      </w:tr>
      <w:tr w:rsidR="004901ED" w14:paraId="1D550B4B" w14:textId="77777777" w:rsidTr="004901ED">
        <w:tc>
          <w:tcPr>
            <w:tcW w:w="2265" w:type="dxa"/>
          </w:tcPr>
          <w:p w14:paraId="54583C7E" w14:textId="08206BAD" w:rsidR="004901ED" w:rsidRDefault="004901ED" w:rsidP="004901ED">
            <w:pPr>
              <w:pStyle w:val="TableText"/>
            </w:pPr>
            <w:r w:rsidRPr="009D34A3">
              <w:t>Feb 2014</w:t>
            </w:r>
          </w:p>
        </w:tc>
        <w:tc>
          <w:tcPr>
            <w:tcW w:w="2265" w:type="dxa"/>
          </w:tcPr>
          <w:p w14:paraId="58158836" w14:textId="5ECF6E50" w:rsidR="004901ED" w:rsidRDefault="004901ED" w:rsidP="004901ED">
            <w:pPr>
              <w:pStyle w:val="TableText"/>
            </w:pPr>
            <w:r w:rsidRPr="006B324C">
              <w:t>1.0</w:t>
            </w:r>
          </w:p>
        </w:tc>
        <w:tc>
          <w:tcPr>
            <w:tcW w:w="2265" w:type="dxa"/>
          </w:tcPr>
          <w:p w14:paraId="4D1762AC" w14:textId="56C7E22E" w:rsidR="004901ED" w:rsidRDefault="004901ED" w:rsidP="004901ED">
            <w:pPr>
              <w:pStyle w:val="TableText"/>
            </w:pPr>
            <w:r>
              <w:t>First release.</w:t>
            </w:r>
            <w:r w:rsidRPr="006B324C">
              <w:t xml:space="preserve"> </w:t>
            </w:r>
          </w:p>
        </w:tc>
        <w:tc>
          <w:tcPr>
            <w:tcW w:w="2265" w:type="dxa"/>
          </w:tcPr>
          <w:p w14:paraId="15313F46" w14:textId="4D3CE6DC" w:rsidR="004901ED" w:rsidRDefault="004901ED" w:rsidP="004901ED">
            <w:pPr>
              <w:pStyle w:val="TableText"/>
            </w:pPr>
            <w:r>
              <w:t>Industry Arrangements Reform Programme</w:t>
            </w:r>
          </w:p>
        </w:tc>
      </w:tr>
      <w:tr w:rsidR="004901ED" w14:paraId="697DB48B" w14:textId="77777777" w:rsidTr="004901ED">
        <w:tc>
          <w:tcPr>
            <w:tcW w:w="2265" w:type="dxa"/>
          </w:tcPr>
          <w:p w14:paraId="629EEBD3" w14:textId="34717232" w:rsidR="004901ED" w:rsidRDefault="004901ED" w:rsidP="004901ED">
            <w:pPr>
              <w:pStyle w:val="TableText"/>
            </w:pPr>
            <w:r w:rsidRPr="009D34A3">
              <w:t>10 May 2016</w:t>
            </w:r>
          </w:p>
        </w:tc>
        <w:tc>
          <w:tcPr>
            <w:tcW w:w="2265" w:type="dxa"/>
          </w:tcPr>
          <w:p w14:paraId="05C9E49C" w14:textId="7F36ADB2" w:rsidR="004901ED" w:rsidRDefault="004901ED" w:rsidP="004901ED">
            <w:pPr>
              <w:pStyle w:val="TableText"/>
            </w:pPr>
            <w:r>
              <w:t>2.0</w:t>
            </w:r>
          </w:p>
        </w:tc>
        <w:tc>
          <w:tcPr>
            <w:tcW w:w="2265" w:type="dxa"/>
          </w:tcPr>
          <w:p w14:paraId="2D53D7D1" w14:textId="6FB27514" w:rsidR="004901ED" w:rsidRDefault="004901ED" w:rsidP="004901ED">
            <w:pPr>
              <w:pStyle w:val="TableText"/>
            </w:pPr>
            <w:r w:rsidRPr="002F414F">
              <w:t>Updated departmental branding and template.</w:t>
            </w:r>
          </w:p>
        </w:tc>
        <w:tc>
          <w:tcPr>
            <w:tcW w:w="2265" w:type="dxa"/>
          </w:tcPr>
          <w:p w14:paraId="048B27AC" w14:textId="2C42845E" w:rsidR="004901ED" w:rsidRDefault="004901ED" w:rsidP="004901ED">
            <w:pPr>
              <w:pStyle w:val="TableText"/>
            </w:pPr>
            <w:r>
              <w:t>Approved Arrangements section</w:t>
            </w:r>
            <w:r w:rsidRPr="006B324C">
              <w:t xml:space="preserve"> </w:t>
            </w:r>
          </w:p>
        </w:tc>
      </w:tr>
      <w:tr w:rsidR="004901ED" w14:paraId="341CB14A" w14:textId="77777777" w:rsidTr="004901ED">
        <w:tc>
          <w:tcPr>
            <w:tcW w:w="2265" w:type="dxa"/>
          </w:tcPr>
          <w:p w14:paraId="16842824" w14:textId="0EDCC69E" w:rsidR="004901ED" w:rsidRDefault="004901ED" w:rsidP="004901ED">
            <w:pPr>
              <w:pStyle w:val="TableText"/>
            </w:pPr>
            <w:r w:rsidRPr="009D34A3">
              <w:t>16 Jun 2016</w:t>
            </w:r>
          </w:p>
        </w:tc>
        <w:tc>
          <w:tcPr>
            <w:tcW w:w="2265" w:type="dxa"/>
          </w:tcPr>
          <w:p w14:paraId="6704B947" w14:textId="46BC6547" w:rsidR="004901ED" w:rsidRDefault="004901ED" w:rsidP="004901ED">
            <w:pPr>
              <w:pStyle w:val="TableText"/>
            </w:pPr>
            <w:r>
              <w:t>3</w:t>
            </w:r>
            <w:r w:rsidRPr="006B324C">
              <w:t>.0</w:t>
            </w:r>
          </w:p>
        </w:tc>
        <w:tc>
          <w:tcPr>
            <w:tcW w:w="2265" w:type="dxa"/>
          </w:tcPr>
          <w:p w14:paraId="42550DFE" w14:textId="1CA3ED1C" w:rsidR="004901ED" w:rsidRDefault="004901ED" w:rsidP="004901ED">
            <w:pPr>
              <w:pStyle w:val="TableText"/>
            </w:pPr>
            <w:r w:rsidRPr="002F414F">
              <w:t xml:space="preserve">Updated references to the department and the </w:t>
            </w:r>
            <w:r w:rsidRPr="004901ED">
              <w:rPr>
                <w:rStyle w:val="Emphasis"/>
              </w:rPr>
              <w:t>Biosecurity Act 2015</w:t>
            </w:r>
            <w:r>
              <w:rPr>
                <w:rStyle w:val="Emphasis"/>
              </w:rPr>
              <w:t>.</w:t>
            </w:r>
          </w:p>
          <w:p w14:paraId="3B44CE95" w14:textId="54069C38" w:rsidR="004901ED" w:rsidRDefault="004901ED" w:rsidP="004901ED">
            <w:pPr>
              <w:pStyle w:val="TableText"/>
            </w:pPr>
            <w:r>
              <w:t>New class number</w:t>
            </w:r>
          </w:p>
        </w:tc>
        <w:tc>
          <w:tcPr>
            <w:tcW w:w="2265" w:type="dxa"/>
          </w:tcPr>
          <w:p w14:paraId="59B5F249" w14:textId="323B729A" w:rsidR="004901ED" w:rsidRDefault="004901ED" w:rsidP="004901ED">
            <w:pPr>
              <w:pStyle w:val="TableText"/>
            </w:pPr>
            <w:r w:rsidRPr="006B324C">
              <w:t>Approved Arrangements section</w:t>
            </w:r>
          </w:p>
        </w:tc>
      </w:tr>
      <w:tr w:rsidR="004901ED" w14:paraId="0C22F585" w14:textId="77777777" w:rsidTr="004901ED">
        <w:tc>
          <w:tcPr>
            <w:tcW w:w="2265" w:type="dxa"/>
          </w:tcPr>
          <w:p w14:paraId="19152B6A" w14:textId="57CBF9B4" w:rsidR="004901ED" w:rsidRDefault="004901ED" w:rsidP="004901ED">
            <w:pPr>
              <w:pStyle w:val="TableText"/>
            </w:pPr>
            <w:r>
              <w:t>1 May 2017</w:t>
            </w:r>
          </w:p>
        </w:tc>
        <w:tc>
          <w:tcPr>
            <w:tcW w:w="2265" w:type="dxa"/>
          </w:tcPr>
          <w:p w14:paraId="5C2F2F70" w14:textId="47374083" w:rsidR="004901ED" w:rsidRDefault="004901ED" w:rsidP="004901ED">
            <w:pPr>
              <w:pStyle w:val="TableText"/>
            </w:pPr>
            <w:r>
              <w:t>4.0</w:t>
            </w:r>
          </w:p>
        </w:tc>
        <w:tc>
          <w:tcPr>
            <w:tcW w:w="2265" w:type="dxa"/>
          </w:tcPr>
          <w:p w14:paraId="04AF5CDD" w14:textId="77777777" w:rsidR="004901ED" w:rsidRDefault="004901ED" w:rsidP="004901ED">
            <w:pPr>
              <w:pStyle w:val="TableBullet"/>
            </w:pPr>
            <w:r>
              <w:t>Amended accredited person requirement (7.13) in line with AA General Policies</w:t>
            </w:r>
          </w:p>
          <w:p w14:paraId="568A3C43" w14:textId="77777777" w:rsidR="004901ED" w:rsidRDefault="004901ED" w:rsidP="004901ED">
            <w:pPr>
              <w:pStyle w:val="TableBullet"/>
            </w:pPr>
            <w:r>
              <w:t>Removed traceability requirement (formerly 7.17) from general requirements</w:t>
            </w:r>
          </w:p>
          <w:p w14:paraId="193BC2CB" w14:textId="1036B61A" w:rsidR="004901ED" w:rsidRDefault="004901ED" w:rsidP="004901ED">
            <w:pPr>
              <w:pStyle w:val="TableBullet"/>
            </w:pPr>
            <w:r>
              <w:t>Removed contingency plan requirement (formerly 7.19) from general requirements</w:t>
            </w:r>
          </w:p>
        </w:tc>
        <w:tc>
          <w:tcPr>
            <w:tcW w:w="2265" w:type="dxa"/>
          </w:tcPr>
          <w:p w14:paraId="24AC96D3" w14:textId="43595C84" w:rsidR="004901ED" w:rsidRDefault="004901ED" w:rsidP="004901ED">
            <w:pPr>
              <w:pStyle w:val="TableText"/>
            </w:pPr>
            <w:r>
              <w:t>Approved Arrangements section</w:t>
            </w:r>
          </w:p>
        </w:tc>
      </w:tr>
      <w:tr w:rsidR="00D24449" w14:paraId="17C0D49D" w14:textId="77777777" w:rsidTr="00D24449">
        <w:tc>
          <w:tcPr>
            <w:tcW w:w="2265" w:type="dxa"/>
            <w:vAlign w:val="center"/>
          </w:tcPr>
          <w:p w14:paraId="172769BD" w14:textId="603005CD" w:rsidR="00D24449" w:rsidRDefault="00D24449" w:rsidP="00D24449">
            <w:pPr>
              <w:pStyle w:val="TableText"/>
            </w:pPr>
            <w:r>
              <w:t>22 November 2021</w:t>
            </w:r>
          </w:p>
        </w:tc>
        <w:tc>
          <w:tcPr>
            <w:tcW w:w="2265" w:type="dxa"/>
            <w:vAlign w:val="center"/>
          </w:tcPr>
          <w:p w14:paraId="5E102E95" w14:textId="39F119EB" w:rsidR="00D24449" w:rsidRDefault="00D24449" w:rsidP="00D24449">
            <w:pPr>
              <w:pStyle w:val="TableText"/>
            </w:pPr>
            <w:r>
              <w:t>5.0</w:t>
            </w:r>
          </w:p>
        </w:tc>
        <w:tc>
          <w:tcPr>
            <w:tcW w:w="2265" w:type="dxa"/>
          </w:tcPr>
          <w:p w14:paraId="2DD7E970" w14:textId="15D571D8" w:rsidR="00D24449" w:rsidRPr="00D24449" w:rsidRDefault="00D24449" w:rsidP="00D24449">
            <w:pPr>
              <w:pStyle w:val="TableText"/>
            </w:pPr>
            <w:r w:rsidRPr="00D24449">
              <w:t>Added biosecurity risk information to the purpose statement in Table 1</w:t>
            </w:r>
          </w:p>
        </w:tc>
        <w:tc>
          <w:tcPr>
            <w:tcW w:w="2265" w:type="dxa"/>
            <w:vAlign w:val="center"/>
          </w:tcPr>
          <w:p w14:paraId="4F234953" w14:textId="44372741" w:rsidR="00D24449" w:rsidRDefault="00D24449" w:rsidP="00D24449">
            <w:pPr>
              <w:pStyle w:val="TableText"/>
            </w:pPr>
            <w:r w:rsidRPr="00475EA3">
              <w:t>Approved Arrangements section</w:t>
            </w:r>
          </w:p>
        </w:tc>
      </w:tr>
      <w:tr w:rsidR="007F2528" w14:paraId="7B6588B3" w14:textId="77777777" w:rsidTr="00D24449">
        <w:tc>
          <w:tcPr>
            <w:tcW w:w="2265" w:type="dxa"/>
            <w:vAlign w:val="center"/>
          </w:tcPr>
          <w:p w14:paraId="2764AD3F" w14:textId="1ABF72AE" w:rsidR="007F2528" w:rsidRDefault="007F2528" w:rsidP="00D24449">
            <w:pPr>
              <w:pStyle w:val="TableText"/>
            </w:pPr>
            <w:r>
              <w:t>8 March 2024</w:t>
            </w:r>
          </w:p>
        </w:tc>
        <w:tc>
          <w:tcPr>
            <w:tcW w:w="2265" w:type="dxa"/>
            <w:vAlign w:val="center"/>
          </w:tcPr>
          <w:p w14:paraId="5C570FF1" w14:textId="7B662203" w:rsidR="007F2528" w:rsidRDefault="007F2528" w:rsidP="00D24449">
            <w:pPr>
              <w:pStyle w:val="TableText"/>
            </w:pPr>
            <w:r>
              <w:t>6.0</w:t>
            </w:r>
          </w:p>
        </w:tc>
        <w:tc>
          <w:tcPr>
            <w:tcW w:w="2265" w:type="dxa"/>
          </w:tcPr>
          <w:p w14:paraId="130B8A63" w14:textId="7BE76DBF" w:rsidR="007F2528" w:rsidRPr="00D24449" w:rsidRDefault="007F2528" w:rsidP="00D24449">
            <w:pPr>
              <w:pStyle w:val="TableText"/>
            </w:pPr>
            <w:r>
              <w:t>Update to departmental branding and clarification to definitions of Imported pig meat and Imported pig meat waste</w:t>
            </w:r>
            <w:r w:rsidR="007959AD">
              <w:t>.</w:t>
            </w:r>
          </w:p>
        </w:tc>
        <w:tc>
          <w:tcPr>
            <w:tcW w:w="2265" w:type="dxa"/>
            <w:vAlign w:val="center"/>
          </w:tcPr>
          <w:p w14:paraId="3CC8B8C7" w14:textId="5AD35550" w:rsidR="007F2528" w:rsidRPr="00475EA3" w:rsidRDefault="007F2528" w:rsidP="00D24449">
            <w:pPr>
              <w:pStyle w:val="TableText"/>
            </w:pPr>
            <w:r>
              <w:t>Approved Arrangements Program</w:t>
            </w:r>
          </w:p>
        </w:tc>
      </w:tr>
    </w:tbl>
    <w:p w14:paraId="668ED646" w14:textId="4EA1307D" w:rsidR="00314982" w:rsidRDefault="00314982" w:rsidP="00306A35">
      <w:pPr>
        <w:spacing w:after="0" w:line="240" w:lineRule="auto"/>
        <w:rPr>
          <w:bCs/>
        </w:rPr>
      </w:pPr>
    </w:p>
    <w:p w14:paraId="18CE1B35" w14:textId="77777777" w:rsidR="00314982" w:rsidRDefault="00314982">
      <w:pPr>
        <w:spacing w:after="0" w:line="240" w:lineRule="auto"/>
        <w:rPr>
          <w:bCs/>
        </w:rPr>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81C888B" w14:textId="77777777" w:rsidR="00A50834" w:rsidRPr="00314982" w:rsidRDefault="00A50834">
          <w:pPr>
            <w:pStyle w:val="TOCHeading"/>
            <w:rPr>
              <w:color w:val="FF0000"/>
            </w:rPr>
          </w:pPr>
          <w:r w:rsidRPr="00314982">
            <w:rPr>
              <w:color w:val="FF0000"/>
            </w:rPr>
            <w:t>Contents</w:t>
          </w:r>
        </w:p>
        <w:p w14:paraId="28CF85DF" w14:textId="7E6B1630" w:rsidR="00E61DA5" w:rsidRDefault="002A3865">
          <w:pPr>
            <w:pStyle w:val="TOC1"/>
            <w:rPr>
              <w:rFonts w:asciiTheme="minorHAnsi" w:eastAsiaTheme="minorEastAsia" w:hAnsiTheme="minorHAnsi"/>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1675250" w:history="1">
            <w:r w:rsidR="00E61DA5" w:rsidRPr="002F1196">
              <w:rPr>
                <w:rStyle w:val="Hyperlink"/>
                <w:rFonts w:cstheme="minorHAnsi"/>
              </w:rPr>
              <w:t>Guide to using this document</w:t>
            </w:r>
            <w:r w:rsidR="00E61DA5">
              <w:rPr>
                <w:webHidden/>
              </w:rPr>
              <w:tab/>
            </w:r>
            <w:r w:rsidR="00E61DA5">
              <w:rPr>
                <w:webHidden/>
              </w:rPr>
              <w:fldChar w:fldCharType="begin"/>
            </w:r>
            <w:r w:rsidR="00E61DA5">
              <w:rPr>
                <w:webHidden/>
              </w:rPr>
              <w:instrText xml:space="preserve"> PAGEREF _Toc161675250 \h </w:instrText>
            </w:r>
            <w:r w:rsidR="00E61DA5">
              <w:rPr>
                <w:webHidden/>
              </w:rPr>
            </w:r>
            <w:r w:rsidR="00E61DA5">
              <w:rPr>
                <w:webHidden/>
              </w:rPr>
              <w:fldChar w:fldCharType="separate"/>
            </w:r>
            <w:r w:rsidR="00E5223E">
              <w:rPr>
                <w:webHidden/>
              </w:rPr>
              <w:t>5</w:t>
            </w:r>
            <w:r w:rsidR="00E61DA5">
              <w:rPr>
                <w:webHidden/>
              </w:rPr>
              <w:fldChar w:fldCharType="end"/>
            </w:r>
          </w:hyperlink>
        </w:p>
        <w:p w14:paraId="3C4F7D5A" w14:textId="11FDE931" w:rsidR="00E61DA5" w:rsidRDefault="00E61DA5">
          <w:pPr>
            <w:pStyle w:val="TOC1"/>
            <w:rPr>
              <w:rFonts w:asciiTheme="minorHAnsi" w:eastAsiaTheme="minorEastAsia" w:hAnsiTheme="minorHAnsi"/>
              <w:b w:val="0"/>
              <w:kern w:val="2"/>
              <w:lang w:eastAsia="en-AU"/>
              <w14:ligatures w14:val="standardContextual"/>
            </w:rPr>
          </w:pPr>
          <w:hyperlink w:anchor="_Toc161675251" w:history="1">
            <w:r w:rsidRPr="002F1196">
              <w:rPr>
                <w:rStyle w:val="Hyperlink"/>
              </w:rPr>
              <w:t>AA Conditions</w:t>
            </w:r>
            <w:r>
              <w:rPr>
                <w:webHidden/>
              </w:rPr>
              <w:tab/>
            </w:r>
            <w:r>
              <w:rPr>
                <w:webHidden/>
              </w:rPr>
              <w:fldChar w:fldCharType="begin"/>
            </w:r>
            <w:r>
              <w:rPr>
                <w:webHidden/>
              </w:rPr>
              <w:instrText xml:space="preserve"> PAGEREF _Toc161675251 \h </w:instrText>
            </w:r>
            <w:r>
              <w:rPr>
                <w:webHidden/>
              </w:rPr>
            </w:r>
            <w:r>
              <w:rPr>
                <w:webHidden/>
              </w:rPr>
              <w:fldChar w:fldCharType="separate"/>
            </w:r>
            <w:r w:rsidR="00E5223E">
              <w:rPr>
                <w:webHidden/>
              </w:rPr>
              <w:t>6</w:t>
            </w:r>
            <w:r>
              <w:rPr>
                <w:webHidden/>
              </w:rPr>
              <w:fldChar w:fldCharType="end"/>
            </w:r>
          </w:hyperlink>
        </w:p>
        <w:p w14:paraId="2DC4E833" w14:textId="5088A828" w:rsidR="00A50834" w:rsidRDefault="002A3865">
          <w:r>
            <w:rPr>
              <w:b/>
              <w:noProof/>
            </w:rPr>
            <w:fldChar w:fldCharType="end"/>
          </w:r>
        </w:p>
      </w:sdtContent>
    </w:sdt>
    <w:p w14:paraId="760CB6B4" w14:textId="77777777" w:rsidR="00806F49" w:rsidRDefault="00806F49">
      <w:pPr>
        <w:spacing w:after="0" w:line="240" w:lineRule="auto"/>
        <w:rPr>
          <w:lang w:eastAsia="ja-JP"/>
        </w:rPr>
      </w:pPr>
      <w:r>
        <w:rPr>
          <w:lang w:eastAsia="ja-JP"/>
        </w:rPr>
        <w:br w:type="page"/>
      </w:r>
    </w:p>
    <w:p w14:paraId="60CA10D9" w14:textId="77777777" w:rsidR="00064698" w:rsidRPr="00987FE1" w:rsidRDefault="00064698" w:rsidP="00987FE1">
      <w:pPr>
        <w:pStyle w:val="Heading2"/>
        <w:numPr>
          <w:ilvl w:val="0"/>
          <w:numId w:val="0"/>
        </w:numPr>
        <w:spacing w:before="120" w:after="120"/>
        <w:ind w:left="720" w:hanging="720"/>
        <w:rPr>
          <w:rFonts w:asciiTheme="minorHAnsi" w:hAnsiTheme="minorHAnsi" w:cstheme="minorHAnsi"/>
          <w:b/>
          <w:bCs w:val="0"/>
          <w:color w:val="FF0000"/>
          <w:sz w:val="28"/>
          <w:szCs w:val="12"/>
        </w:rPr>
      </w:pPr>
      <w:bookmarkStart w:id="2" w:name="_Toc161675250"/>
      <w:r w:rsidRPr="00987FE1">
        <w:rPr>
          <w:rFonts w:asciiTheme="minorHAnsi" w:hAnsiTheme="minorHAnsi" w:cstheme="minorHAnsi"/>
          <w:b/>
          <w:bCs w:val="0"/>
          <w:color w:val="FF0000"/>
          <w:sz w:val="28"/>
          <w:szCs w:val="12"/>
        </w:rPr>
        <w:lastRenderedPageBreak/>
        <w:t xml:space="preserve">Guide to using this </w:t>
      </w:r>
      <w:proofErr w:type="gramStart"/>
      <w:r w:rsidRPr="00987FE1">
        <w:rPr>
          <w:rFonts w:asciiTheme="minorHAnsi" w:hAnsiTheme="minorHAnsi" w:cstheme="minorHAnsi"/>
          <w:b/>
          <w:bCs w:val="0"/>
          <w:color w:val="FF0000"/>
          <w:sz w:val="28"/>
          <w:szCs w:val="12"/>
        </w:rPr>
        <w:t>document</w:t>
      </w:r>
      <w:bookmarkEnd w:id="2"/>
      <w:proofErr w:type="gramEnd"/>
    </w:p>
    <w:p w14:paraId="0F628E4C" w14:textId="77777777" w:rsidR="00987FE1" w:rsidRPr="00987FE1" w:rsidRDefault="00987FE1" w:rsidP="00987FE1">
      <w:pPr>
        <w:spacing w:after="0" w:line="240" w:lineRule="auto"/>
        <w:rPr>
          <w:rFonts w:asciiTheme="minorHAnsi" w:hAnsiTheme="minorHAnsi" w:cstheme="minorHAnsi"/>
        </w:rPr>
      </w:pPr>
      <w:r w:rsidRPr="00987FE1">
        <w:rPr>
          <w:rFonts w:asciiTheme="minorHAnsi" w:hAnsiTheme="minorHAnsi" w:cstheme="minorHAnsi"/>
        </w:rPr>
        <w:t xml:space="preserve">This document sets out the conditions that must be met before the relevant Director will consider approval for the provision of biosecurity activities under section 406 of the </w:t>
      </w:r>
      <w:r w:rsidRPr="00987FE1">
        <w:rPr>
          <w:rFonts w:asciiTheme="minorHAnsi" w:hAnsiTheme="minorHAnsi" w:cstheme="minorHAnsi"/>
          <w:i/>
        </w:rPr>
        <w:t>Biosecurity Act 2015</w:t>
      </w:r>
      <w:r w:rsidRPr="00987FE1">
        <w:rPr>
          <w:rFonts w:asciiTheme="minorHAnsi" w:hAnsiTheme="minorHAnsi" w:cstheme="minorHAnsi"/>
        </w:rPr>
        <w:t>, otherwise known as an approved arrangement.</w:t>
      </w:r>
    </w:p>
    <w:p w14:paraId="52F9A4FE" w14:textId="77777777" w:rsidR="00987FE1" w:rsidRPr="00987FE1" w:rsidRDefault="00987FE1" w:rsidP="00987FE1">
      <w:pPr>
        <w:spacing w:after="0" w:line="240" w:lineRule="auto"/>
        <w:rPr>
          <w:rFonts w:asciiTheme="minorHAnsi" w:hAnsiTheme="minorHAnsi" w:cstheme="minorHAnsi"/>
        </w:rPr>
      </w:pPr>
    </w:p>
    <w:p w14:paraId="4E3B84A1" w14:textId="77777777" w:rsidR="00987FE1" w:rsidRPr="00987FE1" w:rsidRDefault="00987FE1" w:rsidP="00987FE1">
      <w:pPr>
        <w:spacing w:after="0" w:line="240" w:lineRule="auto"/>
        <w:rPr>
          <w:rFonts w:asciiTheme="minorHAnsi" w:hAnsiTheme="minorHAnsi" w:cstheme="minorHAnsi"/>
        </w:rPr>
      </w:pPr>
      <w:r w:rsidRPr="00987FE1">
        <w:rPr>
          <w:rFonts w:asciiTheme="minorHAnsi" w:hAnsiTheme="minorHAnsi" w:cstheme="minorHAnsi"/>
        </w:rPr>
        <w:t xml:space="preserve">This document specifies the conditions to be met for the approval, </w:t>
      </w:r>
      <w:proofErr w:type="gramStart"/>
      <w:r w:rsidRPr="00987FE1">
        <w:rPr>
          <w:rFonts w:asciiTheme="minorHAnsi" w:hAnsiTheme="minorHAnsi" w:cstheme="minorHAnsi"/>
        </w:rPr>
        <w:t>operation</w:t>
      </w:r>
      <w:proofErr w:type="gramEnd"/>
      <w:r w:rsidRPr="00987FE1">
        <w:rPr>
          <w:rFonts w:asciiTheme="minorHAnsi" w:hAnsiTheme="minorHAnsi" w:cstheme="minorHAnsi"/>
        </w:rPr>
        <w:t xml:space="preserve"> and audit of this class of approved arrangement. Compliance with the conditions will be assessed by audit. </w:t>
      </w:r>
    </w:p>
    <w:p w14:paraId="5C5C04F4" w14:textId="77777777" w:rsidR="00987FE1" w:rsidRPr="00987FE1" w:rsidRDefault="00987FE1" w:rsidP="00987FE1">
      <w:pPr>
        <w:pStyle w:val="ListParagraph"/>
        <w:spacing w:after="0" w:line="240" w:lineRule="auto"/>
        <w:ind w:left="0"/>
        <w:rPr>
          <w:rFonts w:asciiTheme="minorHAnsi" w:hAnsiTheme="minorHAnsi" w:cstheme="minorHAnsi"/>
        </w:rPr>
      </w:pPr>
    </w:p>
    <w:p w14:paraId="5136F721" w14:textId="77777777" w:rsidR="00987FE1" w:rsidRPr="00987FE1" w:rsidRDefault="00987FE1" w:rsidP="00987FE1">
      <w:pPr>
        <w:spacing w:after="0" w:line="240" w:lineRule="auto"/>
        <w:rPr>
          <w:rFonts w:asciiTheme="minorHAnsi" w:hAnsiTheme="minorHAnsi" w:cstheme="minorHAnsi"/>
        </w:rPr>
      </w:pPr>
      <w:r w:rsidRPr="00987FE1">
        <w:rPr>
          <w:rFonts w:asciiTheme="minorHAnsi" w:hAnsiTheme="minorHAnsi" w:cstheme="minorHAnsi"/>
        </w:rPr>
        <w:t xml:space="preserve">In the event of any inconsistency between these conditions and any </w:t>
      </w:r>
      <w:r w:rsidRPr="00987FE1">
        <w:rPr>
          <w:rFonts w:asciiTheme="minorHAnsi" w:hAnsiTheme="minorHAnsi" w:cstheme="minorHAnsi"/>
          <w:bCs/>
        </w:rPr>
        <w:t>Import Permit</w:t>
      </w:r>
      <w:r w:rsidRPr="00987FE1">
        <w:rPr>
          <w:rFonts w:asciiTheme="minorHAnsi" w:hAnsiTheme="minorHAnsi" w:cstheme="minorHAnsi"/>
        </w:rPr>
        <w:t xml:space="preserve"> condition, the Import Permit condition applies. If the applicant chooses to use automatic language translation services in connection with this document, it is done so at the applicant’s risk.</w:t>
      </w:r>
    </w:p>
    <w:p w14:paraId="44B39BCF" w14:textId="77777777" w:rsidR="00987FE1" w:rsidRPr="00987FE1" w:rsidRDefault="00987FE1" w:rsidP="00987FE1">
      <w:pPr>
        <w:spacing w:after="0" w:line="240" w:lineRule="auto"/>
        <w:rPr>
          <w:rFonts w:asciiTheme="minorHAnsi" w:hAnsiTheme="minorHAnsi" w:cstheme="minorHAnsi"/>
        </w:rPr>
      </w:pPr>
    </w:p>
    <w:p w14:paraId="396D207A" w14:textId="77777777" w:rsidR="00987FE1" w:rsidRPr="00987FE1" w:rsidRDefault="00987FE1" w:rsidP="00987FE1">
      <w:pPr>
        <w:spacing w:after="0" w:line="240" w:lineRule="auto"/>
        <w:rPr>
          <w:rFonts w:asciiTheme="minorHAnsi" w:hAnsiTheme="minorHAnsi" w:cstheme="minorHAnsi"/>
        </w:rPr>
      </w:pPr>
      <w:r w:rsidRPr="00987FE1">
        <w:rPr>
          <w:rFonts w:asciiTheme="minorHAnsi" w:hAnsiTheme="minorHAnsi" w:cstheme="minorHAnsi"/>
        </w:rPr>
        <w:t>Unless specified otherwise, any references to ‘the department’ or ‘departmental’ means the Department of Agriculture, Fisheries and Forestry. Any references to contacting the department mean contacting your closest regional office.</w:t>
      </w:r>
    </w:p>
    <w:p w14:paraId="2A83BEB7" w14:textId="77777777" w:rsidR="00987FE1" w:rsidRPr="00987FE1" w:rsidRDefault="00987FE1" w:rsidP="00987FE1">
      <w:pPr>
        <w:spacing w:after="0" w:line="240" w:lineRule="auto"/>
        <w:rPr>
          <w:rFonts w:asciiTheme="minorHAnsi" w:hAnsiTheme="minorHAnsi" w:cstheme="minorHAnsi"/>
        </w:rPr>
      </w:pPr>
    </w:p>
    <w:p w14:paraId="1B383685" w14:textId="77777777" w:rsidR="00987FE1" w:rsidRPr="00987FE1" w:rsidRDefault="00987FE1" w:rsidP="00987FE1">
      <w:pPr>
        <w:spacing w:after="0" w:line="240" w:lineRule="auto"/>
        <w:rPr>
          <w:rFonts w:asciiTheme="minorHAnsi" w:hAnsiTheme="minorHAnsi" w:cstheme="minorHAnsi"/>
        </w:rPr>
      </w:pPr>
      <w:r w:rsidRPr="00987FE1">
        <w:rPr>
          <w:rFonts w:asciiTheme="minorHAnsi" w:hAnsiTheme="minorHAnsi" w:cstheme="minorHAnsi"/>
        </w:rPr>
        <w:t xml:space="preserve">Further information on approved arrangements, department contact details and copies of relevant approved arrangement documentation is available on the department’s website: </w:t>
      </w:r>
      <w:hyperlink r:id="rId14" w:history="1">
        <w:r w:rsidRPr="00987FE1">
          <w:rPr>
            <w:rStyle w:val="Hyperlink"/>
            <w:rFonts w:asciiTheme="minorHAnsi" w:hAnsiTheme="minorHAnsi" w:cstheme="minorHAnsi"/>
          </w:rPr>
          <w:t>agriculture.gov.au</w:t>
        </w:r>
      </w:hyperlink>
      <w:r w:rsidRPr="00987FE1">
        <w:rPr>
          <w:rFonts w:asciiTheme="minorHAnsi" w:hAnsiTheme="minorHAnsi" w:cstheme="minorHAnsi"/>
        </w:rPr>
        <w:t>.</w:t>
      </w:r>
    </w:p>
    <w:p w14:paraId="56903D18" w14:textId="77777777" w:rsidR="00987FE1" w:rsidRPr="00987FE1" w:rsidRDefault="00987FE1" w:rsidP="00987FE1">
      <w:pPr>
        <w:spacing w:after="0" w:line="240" w:lineRule="auto"/>
        <w:rPr>
          <w:rFonts w:asciiTheme="minorHAnsi" w:hAnsiTheme="minorHAnsi" w:cstheme="minorHAnsi"/>
        </w:rPr>
      </w:pPr>
    </w:p>
    <w:p w14:paraId="7684A512" w14:textId="77777777" w:rsidR="00987FE1" w:rsidRPr="00987FE1" w:rsidRDefault="00987FE1" w:rsidP="00987FE1">
      <w:pPr>
        <w:pStyle w:val="Heading1"/>
        <w:spacing w:before="120" w:after="120"/>
        <w:rPr>
          <w:color w:val="FF0000"/>
          <w:sz w:val="28"/>
          <w:szCs w:val="10"/>
        </w:rPr>
      </w:pPr>
      <w:bookmarkStart w:id="3" w:name="_Toc403377523"/>
      <w:bookmarkStart w:id="4" w:name="_Toc403650284"/>
      <w:bookmarkStart w:id="5" w:name="_Toc525211551"/>
      <w:bookmarkStart w:id="6" w:name="_Toc161655651"/>
      <w:r w:rsidRPr="00987FE1">
        <w:rPr>
          <w:color w:val="FF0000"/>
          <w:sz w:val="28"/>
          <w:szCs w:val="10"/>
        </w:rPr>
        <w:t>Definitions</w:t>
      </w:r>
      <w:bookmarkEnd w:id="3"/>
      <w:bookmarkEnd w:id="4"/>
      <w:bookmarkEnd w:id="5"/>
      <w:bookmarkEnd w:id="6"/>
    </w:p>
    <w:p w14:paraId="59BD9E32" w14:textId="77777777" w:rsidR="00987FE1" w:rsidRPr="00987FE1" w:rsidRDefault="00987FE1" w:rsidP="00987FE1">
      <w:pPr>
        <w:spacing w:after="0" w:line="240" w:lineRule="auto"/>
        <w:rPr>
          <w:rFonts w:ascii="Calibri" w:hAnsi="Calibri" w:cs="Calibri"/>
        </w:rPr>
      </w:pPr>
      <w:r w:rsidRPr="00987FE1">
        <w:rPr>
          <w:rFonts w:ascii="Calibri" w:hAnsi="Calibri" w:cs="Calibri"/>
        </w:rPr>
        <w:t xml:space="preserve">Definitions that are not contained within the Approved Arrangements Glossary can be found in the </w:t>
      </w:r>
      <w:r w:rsidRPr="00987FE1">
        <w:rPr>
          <w:rFonts w:ascii="Calibri" w:hAnsi="Calibri" w:cs="Calibri"/>
          <w:i/>
          <w:iCs/>
        </w:rPr>
        <w:t>Biosecurity Act 2015</w:t>
      </w:r>
      <w:r w:rsidRPr="00987FE1">
        <w:rPr>
          <w:rFonts w:ascii="Calibri" w:hAnsi="Calibri" w:cs="Calibri"/>
        </w:rPr>
        <w:t xml:space="preserve"> or the most recent edition of the Macquarie Dictionary.</w:t>
      </w:r>
    </w:p>
    <w:p w14:paraId="5A6ACB57" w14:textId="77777777" w:rsidR="00987FE1" w:rsidRPr="00C10BEB" w:rsidRDefault="00987FE1" w:rsidP="00987FE1">
      <w:pPr>
        <w:spacing w:after="0" w:line="240" w:lineRule="auto"/>
        <w:rPr>
          <w:rFonts w:asciiTheme="majorHAnsi" w:hAnsiTheme="majorHAnsi"/>
        </w:rPr>
      </w:pPr>
    </w:p>
    <w:p w14:paraId="4E07A704" w14:textId="77777777" w:rsidR="00987FE1" w:rsidRPr="00987FE1" w:rsidRDefault="00987FE1" w:rsidP="00987FE1">
      <w:pPr>
        <w:pStyle w:val="Heading1"/>
        <w:spacing w:before="120" w:after="120"/>
        <w:rPr>
          <w:color w:val="FF0000"/>
          <w:sz w:val="28"/>
          <w:szCs w:val="10"/>
        </w:rPr>
      </w:pPr>
      <w:bookmarkStart w:id="7" w:name="_Toc403377524"/>
      <w:bookmarkStart w:id="8" w:name="_Toc403650285"/>
      <w:bookmarkStart w:id="9" w:name="_Toc525211552"/>
      <w:bookmarkStart w:id="10" w:name="_Toc161655652"/>
      <w:r w:rsidRPr="00987FE1">
        <w:rPr>
          <w:color w:val="FF0000"/>
          <w:sz w:val="28"/>
          <w:szCs w:val="10"/>
        </w:rPr>
        <w:t>Other documents</w:t>
      </w:r>
      <w:bookmarkEnd w:id="7"/>
      <w:bookmarkEnd w:id="8"/>
      <w:bookmarkEnd w:id="9"/>
      <w:bookmarkEnd w:id="10"/>
    </w:p>
    <w:p w14:paraId="169F1933" w14:textId="77777777" w:rsidR="00987FE1" w:rsidRPr="00987FE1" w:rsidRDefault="00987FE1" w:rsidP="00987FE1">
      <w:pPr>
        <w:spacing w:after="0" w:line="240" w:lineRule="auto"/>
        <w:rPr>
          <w:rFonts w:asciiTheme="minorHAnsi" w:hAnsiTheme="minorHAnsi" w:cstheme="minorHAnsi"/>
        </w:rPr>
      </w:pPr>
      <w:r w:rsidRPr="00987FE1">
        <w:rPr>
          <w:rFonts w:asciiTheme="minorHAnsi" w:hAnsiTheme="minorHAnsi" w:cstheme="minorHAnsi"/>
          <w:bCs/>
        </w:rPr>
        <w:t xml:space="preserve">The </w:t>
      </w:r>
      <w:r w:rsidRPr="00987FE1">
        <w:rPr>
          <w:rFonts w:asciiTheme="minorHAnsi" w:hAnsiTheme="minorHAnsi" w:cstheme="minorHAnsi"/>
          <w:bCs/>
          <w:i/>
        </w:rPr>
        <w:t>Approved Arrangements</w:t>
      </w:r>
      <w:r w:rsidRPr="00987FE1">
        <w:rPr>
          <w:rFonts w:asciiTheme="minorHAnsi" w:hAnsiTheme="minorHAnsi" w:cstheme="minorHAnsi"/>
          <w:i/>
        </w:rPr>
        <w:t xml:space="preserve"> General Policies</w:t>
      </w:r>
      <w:r w:rsidRPr="00987FE1">
        <w:rPr>
          <w:rFonts w:asciiTheme="minorHAnsi" w:hAnsiTheme="minorHAnsi" w:cstheme="minorHAnsi"/>
        </w:rPr>
        <w:t xml:space="preserve"> should be read in conjunction with these conditions. They will assist in understanding and complying with the obligations and conditions for the establishment and operation of an approved arrangement.</w:t>
      </w:r>
    </w:p>
    <w:p w14:paraId="70967DB6" w14:textId="77777777" w:rsidR="00987FE1" w:rsidRPr="00C10BEB" w:rsidRDefault="00987FE1" w:rsidP="00987FE1">
      <w:pPr>
        <w:spacing w:after="0" w:line="240" w:lineRule="auto"/>
        <w:rPr>
          <w:rFonts w:asciiTheme="majorHAnsi" w:hAnsiTheme="majorHAnsi"/>
        </w:rPr>
      </w:pPr>
    </w:p>
    <w:p w14:paraId="58619432" w14:textId="77777777" w:rsidR="00987FE1" w:rsidRPr="00987FE1" w:rsidRDefault="00987FE1" w:rsidP="00987FE1">
      <w:pPr>
        <w:pStyle w:val="Heading1"/>
        <w:spacing w:before="120" w:after="120"/>
        <w:rPr>
          <w:color w:val="FF0000"/>
          <w:sz w:val="28"/>
          <w:szCs w:val="10"/>
        </w:rPr>
      </w:pPr>
      <w:bookmarkStart w:id="11" w:name="_Toc403377526"/>
      <w:bookmarkStart w:id="12" w:name="_Toc403650286"/>
      <w:bookmarkStart w:id="13" w:name="_Toc525211553"/>
      <w:bookmarkStart w:id="14" w:name="_Toc161655653"/>
      <w:r w:rsidRPr="00987FE1">
        <w:rPr>
          <w:color w:val="FF0000"/>
          <w:sz w:val="28"/>
          <w:szCs w:val="10"/>
        </w:rPr>
        <w:t>Nonconformity guide</w:t>
      </w:r>
      <w:bookmarkEnd w:id="11"/>
      <w:bookmarkEnd w:id="12"/>
      <w:bookmarkEnd w:id="13"/>
      <w:bookmarkEnd w:id="14"/>
    </w:p>
    <w:p w14:paraId="327F1D5A" w14:textId="77777777" w:rsidR="00987FE1" w:rsidRPr="00987FE1" w:rsidRDefault="00987FE1" w:rsidP="00987FE1">
      <w:pPr>
        <w:spacing w:after="0" w:line="240" w:lineRule="auto"/>
        <w:ind w:right="-1"/>
        <w:rPr>
          <w:rFonts w:asciiTheme="minorHAnsi" w:hAnsiTheme="minorHAnsi" w:cstheme="minorHAnsi"/>
        </w:rPr>
      </w:pPr>
      <w:r w:rsidRPr="00987FE1">
        <w:rPr>
          <w:rFonts w:asciiTheme="minorHAnsi" w:hAnsiTheme="minorHAnsi" w:cstheme="minorHAnsi"/>
        </w:rPr>
        <w:t xml:space="preserve">The nonconformity classification against each criterion is provided as a guide only. If more than one nonconformity is listed against a condition, the actual nonconformity applied will correspond to the gravity of the issue. The nonconformity recorded against any condition remains at the discretion of the biosecurity officer. </w:t>
      </w:r>
    </w:p>
    <w:p w14:paraId="5195E1B5" w14:textId="77777777" w:rsidR="00987FE1" w:rsidRPr="00987FE1" w:rsidRDefault="00987FE1" w:rsidP="00987FE1">
      <w:pPr>
        <w:spacing w:after="0" w:line="240" w:lineRule="auto"/>
        <w:ind w:right="-1"/>
        <w:rPr>
          <w:rFonts w:asciiTheme="minorHAnsi" w:hAnsiTheme="minorHAnsi" w:cstheme="minorHAnsi"/>
        </w:rPr>
      </w:pPr>
    </w:p>
    <w:p w14:paraId="7E00B8B0" w14:textId="77777777" w:rsidR="00987FE1" w:rsidRPr="00987FE1" w:rsidRDefault="00987FE1" w:rsidP="00987FE1">
      <w:pPr>
        <w:spacing w:after="0" w:line="240" w:lineRule="auto"/>
        <w:ind w:right="-1"/>
        <w:rPr>
          <w:rFonts w:asciiTheme="minorHAnsi" w:hAnsiTheme="minorHAnsi" w:cstheme="minorHAnsi"/>
        </w:rPr>
      </w:pPr>
      <w:r w:rsidRPr="00987FE1">
        <w:rPr>
          <w:rFonts w:asciiTheme="minorHAnsi" w:hAnsiTheme="minorHAnsi" w:cstheme="minorHAnsi"/>
        </w:rPr>
        <w:t xml:space="preserve">Nonconformity classifications are detailed in the </w:t>
      </w:r>
      <w:r w:rsidRPr="00987FE1">
        <w:rPr>
          <w:rFonts w:asciiTheme="minorHAnsi" w:hAnsiTheme="minorHAnsi" w:cstheme="minorHAnsi"/>
          <w:bCs/>
          <w:i/>
        </w:rPr>
        <w:t>Approved Arrangements</w:t>
      </w:r>
      <w:r w:rsidRPr="00987FE1">
        <w:rPr>
          <w:rFonts w:asciiTheme="minorHAnsi" w:hAnsiTheme="minorHAnsi" w:cstheme="minorHAnsi"/>
          <w:i/>
        </w:rPr>
        <w:t xml:space="preserve"> General Policies</w:t>
      </w:r>
      <w:r w:rsidRPr="00987FE1">
        <w:rPr>
          <w:rFonts w:asciiTheme="minorHAnsi" w:hAnsiTheme="minorHAnsi" w:cstheme="minorHAnsi"/>
        </w:rPr>
        <w:t>.</w:t>
      </w:r>
    </w:p>
    <w:p w14:paraId="315F8BFA" w14:textId="1F199A71" w:rsidR="00064698" w:rsidRPr="00E61DA5" w:rsidRDefault="00064698" w:rsidP="00064698">
      <w:pPr>
        <w:pStyle w:val="Heading2"/>
        <w:numPr>
          <w:ilvl w:val="0"/>
          <w:numId w:val="0"/>
        </w:numPr>
        <w:ind w:left="720" w:hanging="720"/>
        <w:rPr>
          <w:b/>
          <w:bCs w:val="0"/>
          <w:color w:val="FF0000"/>
          <w:sz w:val="28"/>
        </w:rPr>
      </w:pPr>
      <w:bookmarkStart w:id="15" w:name="_Toc161675251"/>
      <w:r w:rsidRPr="00E61DA5">
        <w:rPr>
          <w:b/>
          <w:bCs w:val="0"/>
          <w:color w:val="FF0000"/>
          <w:sz w:val="28"/>
        </w:rPr>
        <w:lastRenderedPageBreak/>
        <w:t>A</w:t>
      </w:r>
      <w:r w:rsidR="00E61DA5">
        <w:rPr>
          <w:b/>
          <w:bCs w:val="0"/>
          <w:color w:val="FF0000"/>
          <w:sz w:val="28"/>
        </w:rPr>
        <w:t>pproved arrangement c</w:t>
      </w:r>
      <w:r w:rsidR="00987FE1" w:rsidRPr="00E61DA5">
        <w:rPr>
          <w:b/>
          <w:bCs w:val="0"/>
          <w:color w:val="FF0000"/>
          <w:sz w:val="28"/>
        </w:rPr>
        <w:t>onditions</w:t>
      </w:r>
      <w:bookmarkEnd w:id="15"/>
      <w:r w:rsidR="00987FE1" w:rsidRPr="00E61DA5">
        <w:rPr>
          <w:b/>
          <w:bCs w:val="0"/>
          <w:color w:val="FF0000"/>
          <w:sz w:val="28"/>
        </w:rPr>
        <w:t xml:space="preserve"> </w:t>
      </w:r>
    </w:p>
    <w:p w14:paraId="679F4E37" w14:textId="15354190" w:rsidR="007577CD" w:rsidRPr="00E61DA5" w:rsidRDefault="007577CD" w:rsidP="007577CD">
      <w:pPr>
        <w:pStyle w:val="Caption"/>
        <w:rPr>
          <w:color w:val="FF0000"/>
          <w:sz w:val="28"/>
          <w:szCs w:val="28"/>
        </w:rPr>
      </w:pPr>
      <w:r w:rsidRPr="00E61DA5">
        <w:rPr>
          <w:color w:val="FF0000"/>
          <w:sz w:val="28"/>
          <w:szCs w:val="28"/>
        </w:rPr>
        <w:t xml:space="preserve">Table </w:t>
      </w:r>
      <w:r w:rsidR="00443F99" w:rsidRPr="00E61DA5">
        <w:rPr>
          <w:color w:val="FF0000"/>
          <w:sz w:val="28"/>
          <w:szCs w:val="28"/>
        </w:rPr>
        <w:fldChar w:fldCharType="begin"/>
      </w:r>
      <w:r w:rsidR="00443F99" w:rsidRPr="00E61DA5">
        <w:rPr>
          <w:color w:val="FF0000"/>
          <w:sz w:val="28"/>
          <w:szCs w:val="28"/>
        </w:rPr>
        <w:instrText xml:space="preserve"> SEQ Table \* ARABIC </w:instrText>
      </w:r>
      <w:r w:rsidR="00443F99" w:rsidRPr="00E61DA5">
        <w:rPr>
          <w:color w:val="FF0000"/>
          <w:sz w:val="28"/>
          <w:szCs w:val="28"/>
        </w:rPr>
        <w:fldChar w:fldCharType="separate"/>
      </w:r>
      <w:r w:rsidR="00E5223E">
        <w:rPr>
          <w:noProof/>
          <w:color w:val="FF0000"/>
          <w:sz w:val="28"/>
          <w:szCs w:val="28"/>
        </w:rPr>
        <w:t>1</w:t>
      </w:r>
      <w:r w:rsidR="00443F99" w:rsidRPr="00E61DA5">
        <w:rPr>
          <w:noProof/>
          <w:color w:val="FF0000"/>
          <w:sz w:val="28"/>
          <w:szCs w:val="28"/>
        </w:rPr>
        <w:fldChar w:fldCharType="end"/>
      </w:r>
      <w:r w:rsidRPr="00E61DA5">
        <w:rPr>
          <w:color w:val="FF0000"/>
          <w:sz w:val="28"/>
          <w:szCs w:val="28"/>
        </w:rPr>
        <w:t xml:space="preserve"> Purpose</w:t>
      </w:r>
    </w:p>
    <w:tbl>
      <w:tblPr>
        <w:tblStyle w:val="TableGrid"/>
        <w:tblW w:w="0" w:type="auto"/>
        <w:tblLook w:val="04A0" w:firstRow="1" w:lastRow="0" w:firstColumn="1" w:lastColumn="0" w:noHBand="0" w:noVBand="1"/>
      </w:tblPr>
      <w:tblGrid>
        <w:gridCol w:w="7054"/>
        <w:gridCol w:w="2006"/>
      </w:tblGrid>
      <w:tr w:rsidR="007577CD" w14:paraId="13C95FC4" w14:textId="77777777" w:rsidTr="00987FE1">
        <w:trPr>
          <w:cantSplit/>
          <w:tblHeader/>
        </w:trPr>
        <w:tc>
          <w:tcPr>
            <w:tcW w:w="7054" w:type="dxa"/>
          </w:tcPr>
          <w:p w14:paraId="4C031BCE" w14:textId="30ED32C6" w:rsidR="007577CD" w:rsidRDefault="00987FE1" w:rsidP="007577CD">
            <w:pPr>
              <w:pStyle w:val="TableHeading"/>
              <w:rPr>
                <w:lang w:eastAsia="ja-JP"/>
              </w:rPr>
            </w:pPr>
            <w:r>
              <w:rPr>
                <w:lang w:eastAsia="ja-JP"/>
              </w:rPr>
              <w:t>Conditions</w:t>
            </w:r>
          </w:p>
        </w:tc>
        <w:tc>
          <w:tcPr>
            <w:tcW w:w="2006" w:type="dxa"/>
          </w:tcPr>
          <w:p w14:paraId="2E4E7ACA" w14:textId="26AABD93" w:rsidR="007577CD" w:rsidRDefault="007577CD" w:rsidP="007577CD">
            <w:pPr>
              <w:pStyle w:val="TableHeading"/>
              <w:rPr>
                <w:lang w:eastAsia="ja-JP"/>
              </w:rPr>
            </w:pPr>
            <w:r>
              <w:rPr>
                <w:lang w:eastAsia="ja-JP"/>
              </w:rPr>
              <w:t>Nonconformity guide</w:t>
            </w:r>
          </w:p>
        </w:tc>
      </w:tr>
      <w:tr w:rsidR="007577CD" w14:paraId="1716FA79" w14:textId="77777777" w:rsidTr="00E61DA5">
        <w:trPr>
          <w:cantSplit/>
          <w:tblHeader/>
        </w:trPr>
        <w:tc>
          <w:tcPr>
            <w:tcW w:w="7054" w:type="dxa"/>
          </w:tcPr>
          <w:p w14:paraId="1DFD7BBE" w14:textId="77777777" w:rsidR="00D24449" w:rsidRDefault="007577CD" w:rsidP="00D24449">
            <w:pPr>
              <w:pStyle w:val="TableText"/>
            </w:pPr>
            <w:r>
              <w:rPr>
                <w:lang w:eastAsia="ja-JP"/>
              </w:rPr>
              <w:t xml:space="preserve">1.1 </w:t>
            </w:r>
            <w:r w:rsidR="00D24449">
              <w:t>Class 3.2 approved arrangement sites are utilised for the processing of imported uncooked pig meat and includes:</w:t>
            </w:r>
          </w:p>
          <w:p w14:paraId="2080DD60" w14:textId="53686FB8" w:rsidR="00D24449" w:rsidRDefault="00D24449" w:rsidP="00D24449">
            <w:pPr>
              <w:pStyle w:val="TableBullet"/>
              <w:ind w:left="284" w:hanging="284"/>
            </w:pPr>
            <w:r>
              <w:t>processing of imported pig meat for human consumption</w:t>
            </w:r>
          </w:p>
          <w:p w14:paraId="0AB96BF1" w14:textId="6434A9F1" w:rsidR="00D24449" w:rsidRDefault="00D24449" w:rsidP="00D24449">
            <w:pPr>
              <w:pStyle w:val="TableBullet"/>
              <w:ind w:left="284" w:hanging="284"/>
            </w:pPr>
            <w:r>
              <w:t>disposal of all associated waste products.</w:t>
            </w:r>
          </w:p>
          <w:p w14:paraId="61215A2B" w14:textId="2B650EA9" w:rsidR="00D24449" w:rsidRDefault="00D24449" w:rsidP="00D24449">
            <w:pPr>
              <w:pStyle w:val="TableText"/>
            </w:pPr>
            <w:r>
              <w:t>Biosecurity risks associated with imported pig</w:t>
            </w:r>
            <w:r w:rsidR="000678EA">
              <w:t xml:space="preserve"> </w:t>
            </w:r>
            <w:r>
              <w:t>meat managed through handling and processing at a class 3.2 approved arrangement site include:</w:t>
            </w:r>
          </w:p>
          <w:p w14:paraId="578D0A6C" w14:textId="0BD51960" w:rsidR="00D24449" w:rsidRDefault="00D24449" w:rsidP="00D24449">
            <w:pPr>
              <w:pStyle w:val="TableBullet"/>
              <w:ind w:left="284" w:hanging="284"/>
            </w:pPr>
            <w:r>
              <w:t>foot-and-mouth disease virus</w:t>
            </w:r>
          </w:p>
          <w:p w14:paraId="58D5B32A" w14:textId="3F5F5D55" w:rsidR="00D24449" w:rsidRDefault="00D24449" w:rsidP="00D24449">
            <w:pPr>
              <w:pStyle w:val="TableBullet"/>
              <w:ind w:left="284" w:hanging="284"/>
            </w:pPr>
            <w:r>
              <w:t>African swine fever virus</w:t>
            </w:r>
          </w:p>
          <w:p w14:paraId="19473B9C" w14:textId="4A583D80" w:rsidR="00D24449" w:rsidRDefault="00D24449" w:rsidP="00D24449">
            <w:pPr>
              <w:pStyle w:val="TableBullet"/>
              <w:ind w:left="284" w:hanging="284"/>
            </w:pPr>
            <w:r>
              <w:t>classical swine fever virus</w:t>
            </w:r>
          </w:p>
          <w:p w14:paraId="5CC691FB" w14:textId="3FAD97B9" w:rsidR="00D24449" w:rsidRDefault="00D24449" w:rsidP="00D24449">
            <w:pPr>
              <w:pStyle w:val="TableBullet"/>
              <w:ind w:left="284" w:hanging="284"/>
            </w:pPr>
            <w:r>
              <w:t>Rinderpest virus</w:t>
            </w:r>
          </w:p>
          <w:p w14:paraId="48DB40DF" w14:textId="50C34441" w:rsidR="00D24449" w:rsidRDefault="00D24449" w:rsidP="00D24449">
            <w:pPr>
              <w:pStyle w:val="TableBullet"/>
              <w:ind w:left="284" w:hanging="284"/>
            </w:pPr>
            <w:r>
              <w:t>swine vesicular disease virus</w:t>
            </w:r>
          </w:p>
          <w:p w14:paraId="1E547A10" w14:textId="1A95060A" w:rsidR="00D24449" w:rsidRDefault="00D24449" w:rsidP="00D24449">
            <w:pPr>
              <w:pStyle w:val="TableBullet"/>
              <w:ind w:left="284" w:hanging="284"/>
            </w:pPr>
            <w:r>
              <w:t>Aujeszky’s disease virus</w:t>
            </w:r>
          </w:p>
          <w:p w14:paraId="29DB837E" w14:textId="6A88B1D7" w:rsidR="00D24449" w:rsidRDefault="00D24449" w:rsidP="00D24449">
            <w:pPr>
              <w:pStyle w:val="TableBullet"/>
              <w:ind w:left="284" w:hanging="284"/>
            </w:pPr>
            <w:r>
              <w:t>porcine reproductive and respiratory syndrome virus</w:t>
            </w:r>
          </w:p>
          <w:p w14:paraId="65503DC8" w14:textId="4D1E58AB" w:rsidR="00D24449" w:rsidRDefault="00D24449" w:rsidP="00D24449">
            <w:pPr>
              <w:pStyle w:val="TableBullet"/>
              <w:ind w:left="284" w:hanging="284"/>
            </w:pPr>
            <w:proofErr w:type="spellStart"/>
            <w:r>
              <w:t>trichinellosis</w:t>
            </w:r>
            <w:proofErr w:type="spellEnd"/>
            <w:r>
              <w:t xml:space="preserve"> (Trichinella spiralis)</w:t>
            </w:r>
          </w:p>
          <w:p w14:paraId="525F06A9" w14:textId="49D5BD13" w:rsidR="00D24449" w:rsidRDefault="00D24449" w:rsidP="00D24449">
            <w:pPr>
              <w:pStyle w:val="TableBullet"/>
              <w:ind w:left="284" w:hanging="284"/>
            </w:pPr>
            <w:r>
              <w:t>Nipah virus</w:t>
            </w:r>
          </w:p>
          <w:p w14:paraId="228F558B" w14:textId="0BC323C9" w:rsidR="00D24449" w:rsidRDefault="00D24449" w:rsidP="00D24449">
            <w:pPr>
              <w:pStyle w:val="TableBullet"/>
              <w:ind w:left="284" w:hanging="284"/>
            </w:pPr>
            <w:r>
              <w:t>post-weaning multisystemic wasting syndrome</w:t>
            </w:r>
          </w:p>
          <w:p w14:paraId="2F6BA783" w14:textId="5A87FD13" w:rsidR="007577CD" w:rsidRDefault="00D24449" w:rsidP="00D24449">
            <w:pPr>
              <w:pStyle w:val="TableText"/>
              <w:rPr>
                <w:lang w:eastAsia="ja-JP"/>
              </w:rPr>
            </w:pPr>
            <w:r>
              <w:t xml:space="preserve">Information on biosecurity import conditions and biosecurity risks for imported goods, containers, other cargo and arriving vessels is available on the </w:t>
            </w:r>
            <w:hyperlink r:id="rId15" w:history="1">
              <w:r w:rsidRPr="00D24449">
                <w:rPr>
                  <w:rStyle w:val="Hyperlink"/>
                </w:rPr>
                <w:t>department's website</w:t>
              </w:r>
            </w:hyperlink>
            <w:r>
              <w:t xml:space="preserve">. </w:t>
            </w:r>
          </w:p>
        </w:tc>
        <w:tc>
          <w:tcPr>
            <w:tcW w:w="2006" w:type="dxa"/>
            <w:vAlign w:val="center"/>
          </w:tcPr>
          <w:p w14:paraId="5006271A" w14:textId="4216AA6B" w:rsidR="007577CD" w:rsidRDefault="007577CD" w:rsidP="00E61DA5">
            <w:pPr>
              <w:pStyle w:val="TableText"/>
              <w:jc w:val="center"/>
              <w:rPr>
                <w:lang w:eastAsia="ja-JP"/>
              </w:rPr>
            </w:pPr>
            <w:r>
              <w:rPr>
                <w:lang w:eastAsia="ja-JP"/>
              </w:rPr>
              <w:t>Not applicable</w:t>
            </w:r>
          </w:p>
        </w:tc>
      </w:tr>
    </w:tbl>
    <w:p w14:paraId="5C0700FB" w14:textId="40045CB0" w:rsidR="007577CD" w:rsidRPr="00E61DA5" w:rsidRDefault="007577CD" w:rsidP="007577CD">
      <w:pPr>
        <w:pStyle w:val="Caption"/>
        <w:spacing w:before="240"/>
        <w:rPr>
          <w:color w:val="FF0000"/>
          <w:sz w:val="28"/>
          <w:szCs w:val="20"/>
        </w:rPr>
      </w:pPr>
      <w:r w:rsidRPr="00E61DA5">
        <w:rPr>
          <w:color w:val="FF0000"/>
          <w:sz w:val="28"/>
          <w:szCs w:val="20"/>
        </w:rPr>
        <w:t xml:space="preserve">Table </w:t>
      </w:r>
      <w:r w:rsidR="00443F99" w:rsidRPr="00E61DA5">
        <w:rPr>
          <w:color w:val="FF0000"/>
          <w:sz w:val="28"/>
          <w:szCs w:val="20"/>
        </w:rPr>
        <w:fldChar w:fldCharType="begin"/>
      </w:r>
      <w:r w:rsidR="00443F99" w:rsidRPr="00E61DA5">
        <w:rPr>
          <w:color w:val="FF0000"/>
          <w:sz w:val="28"/>
          <w:szCs w:val="20"/>
        </w:rPr>
        <w:instrText xml:space="preserve"> SEQ Table \* ARABIC </w:instrText>
      </w:r>
      <w:r w:rsidR="00443F99" w:rsidRPr="00E61DA5">
        <w:rPr>
          <w:color w:val="FF0000"/>
          <w:sz w:val="28"/>
          <w:szCs w:val="20"/>
        </w:rPr>
        <w:fldChar w:fldCharType="separate"/>
      </w:r>
      <w:r w:rsidR="00E5223E">
        <w:rPr>
          <w:noProof/>
          <w:color w:val="FF0000"/>
          <w:sz w:val="28"/>
          <w:szCs w:val="20"/>
        </w:rPr>
        <w:t>2</w:t>
      </w:r>
      <w:r w:rsidR="00443F99" w:rsidRPr="00E61DA5">
        <w:rPr>
          <w:noProof/>
          <w:color w:val="FF0000"/>
          <w:sz w:val="28"/>
          <w:szCs w:val="20"/>
        </w:rPr>
        <w:fldChar w:fldCharType="end"/>
      </w:r>
      <w:r w:rsidRPr="00E61DA5">
        <w:rPr>
          <w:color w:val="FF0000"/>
          <w:sz w:val="28"/>
          <w:szCs w:val="20"/>
        </w:rPr>
        <w:t xml:space="preserve"> Scope</w:t>
      </w:r>
    </w:p>
    <w:tbl>
      <w:tblPr>
        <w:tblStyle w:val="TableGrid"/>
        <w:tblW w:w="0" w:type="auto"/>
        <w:tblLook w:val="04A0" w:firstRow="1" w:lastRow="0" w:firstColumn="1" w:lastColumn="0" w:noHBand="0" w:noVBand="1"/>
      </w:tblPr>
      <w:tblGrid>
        <w:gridCol w:w="7054"/>
        <w:gridCol w:w="2006"/>
      </w:tblGrid>
      <w:tr w:rsidR="007577CD" w14:paraId="0BC3695D" w14:textId="77777777" w:rsidTr="00987FE1">
        <w:trPr>
          <w:cantSplit/>
          <w:tblHeader/>
        </w:trPr>
        <w:tc>
          <w:tcPr>
            <w:tcW w:w="7054" w:type="dxa"/>
          </w:tcPr>
          <w:p w14:paraId="24F934F1" w14:textId="11AD5A3D" w:rsidR="007577CD" w:rsidRDefault="00987FE1" w:rsidP="007577CD">
            <w:pPr>
              <w:pStyle w:val="TableHeading"/>
              <w:rPr>
                <w:lang w:eastAsia="ja-JP"/>
              </w:rPr>
            </w:pPr>
            <w:r>
              <w:rPr>
                <w:lang w:eastAsia="ja-JP"/>
              </w:rPr>
              <w:t>Conditions</w:t>
            </w:r>
          </w:p>
        </w:tc>
        <w:tc>
          <w:tcPr>
            <w:tcW w:w="2006" w:type="dxa"/>
          </w:tcPr>
          <w:p w14:paraId="0770C1B1" w14:textId="5A404008" w:rsidR="007577CD" w:rsidRDefault="007577CD" w:rsidP="007577CD">
            <w:pPr>
              <w:pStyle w:val="TableHeading"/>
              <w:rPr>
                <w:lang w:eastAsia="ja-JP"/>
              </w:rPr>
            </w:pPr>
            <w:r>
              <w:rPr>
                <w:lang w:eastAsia="ja-JP"/>
              </w:rPr>
              <w:t>Nonconformity guide</w:t>
            </w:r>
          </w:p>
        </w:tc>
      </w:tr>
      <w:tr w:rsidR="007577CD" w14:paraId="38BC17C6" w14:textId="77777777" w:rsidTr="00E61DA5">
        <w:trPr>
          <w:cantSplit/>
          <w:tblHeader/>
        </w:trPr>
        <w:tc>
          <w:tcPr>
            <w:tcW w:w="7054" w:type="dxa"/>
          </w:tcPr>
          <w:p w14:paraId="79275289" w14:textId="02B30368" w:rsidR="007577CD" w:rsidRPr="00F53731" w:rsidRDefault="007577CD" w:rsidP="007577CD">
            <w:pPr>
              <w:pStyle w:val="TableText"/>
            </w:pPr>
            <w:r>
              <w:rPr>
                <w:lang w:eastAsia="ja-JP"/>
              </w:rPr>
              <w:t xml:space="preserve">2.1 </w:t>
            </w:r>
            <w:r w:rsidRPr="00F53731">
              <w:t xml:space="preserve">The </w:t>
            </w:r>
            <w:r>
              <w:t xml:space="preserve">AA for </w:t>
            </w:r>
            <w:r w:rsidR="008B513C">
              <w:t>i</w:t>
            </w:r>
            <w:r w:rsidRPr="00F53731">
              <w:t>mported</w:t>
            </w:r>
            <w:r>
              <w:t xml:space="preserve"> pig meat processing </w:t>
            </w:r>
            <w:r w:rsidRPr="00F53731">
              <w:t>is limited to the:</w:t>
            </w:r>
          </w:p>
          <w:p w14:paraId="74965929" w14:textId="54FB35CF" w:rsidR="007577CD" w:rsidRPr="00F53731" w:rsidRDefault="007577CD" w:rsidP="008B513C">
            <w:pPr>
              <w:pStyle w:val="TableBullet"/>
            </w:pPr>
            <w:r w:rsidRPr="00F53731">
              <w:t>transport to and from, and receipt, handling, control, storage and processing of imported pig meat at a Department of Agriculture</w:t>
            </w:r>
            <w:r w:rsidR="00987FE1">
              <w:t xml:space="preserve">, Fisheries and Forestry </w:t>
            </w:r>
            <w:r>
              <w:t xml:space="preserve">approved processing AA </w:t>
            </w:r>
            <w:proofErr w:type="gramStart"/>
            <w:r>
              <w:t>site</w:t>
            </w:r>
            <w:proofErr w:type="gramEnd"/>
          </w:p>
          <w:p w14:paraId="46E782CA" w14:textId="77777777" w:rsidR="007577CD" w:rsidRPr="00F53731" w:rsidRDefault="007577CD" w:rsidP="008B513C">
            <w:pPr>
              <w:pStyle w:val="TableBullet"/>
            </w:pPr>
            <w:r w:rsidRPr="00F53731">
              <w:t>processing of imported pig meat solely for human consumption in accordance with the Import Permit conditions for pig meat</w:t>
            </w:r>
          </w:p>
          <w:p w14:paraId="62ADC1E4" w14:textId="3A9153D4" w:rsidR="007577CD" w:rsidRDefault="007577CD" w:rsidP="008B513C">
            <w:pPr>
              <w:pStyle w:val="TableBullet"/>
              <w:rPr>
                <w:lang w:eastAsia="ja-JP"/>
              </w:rPr>
            </w:pPr>
            <w:r w:rsidRPr="00F53731">
              <w:t>storage, treatment and disposal of the waste material associated with the importation and processing of imported pig meat.</w:t>
            </w:r>
          </w:p>
        </w:tc>
        <w:tc>
          <w:tcPr>
            <w:tcW w:w="2006" w:type="dxa"/>
            <w:vAlign w:val="center"/>
          </w:tcPr>
          <w:p w14:paraId="3EF42F01" w14:textId="7449BAB0" w:rsidR="007577CD" w:rsidRDefault="007577CD" w:rsidP="00E61DA5">
            <w:pPr>
              <w:pStyle w:val="TableText"/>
              <w:jc w:val="center"/>
              <w:rPr>
                <w:lang w:eastAsia="ja-JP"/>
              </w:rPr>
            </w:pPr>
            <w:r>
              <w:rPr>
                <w:lang w:eastAsia="ja-JP"/>
              </w:rPr>
              <w:t>Not applicable</w:t>
            </w:r>
          </w:p>
        </w:tc>
      </w:tr>
    </w:tbl>
    <w:p w14:paraId="54627812" w14:textId="77777777" w:rsidR="00987FE1" w:rsidRDefault="00987FE1" w:rsidP="008B513C">
      <w:pPr>
        <w:pStyle w:val="Caption"/>
        <w:spacing w:before="240"/>
      </w:pPr>
    </w:p>
    <w:p w14:paraId="3E11E523" w14:textId="77777777" w:rsidR="00987FE1" w:rsidRDefault="00987FE1">
      <w:pPr>
        <w:spacing w:after="0" w:line="240" w:lineRule="auto"/>
        <w:rPr>
          <w:rFonts w:ascii="Calibri" w:hAnsi="Calibri"/>
          <w:b/>
          <w:bCs/>
          <w:sz w:val="24"/>
          <w:szCs w:val="18"/>
        </w:rPr>
      </w:pPr>
      <w:r>
        <w:br w:type="page"/>
      </w:r>
    </w:p>
    <w:p w14:paraId="6B63625C" w14:textId="20D52172" w:rsidR="008B513C" w:rsidRPr="00E61DA5" w:rsidRDefault="008B513C" w:rsidP="008B513C">
      <w:pPr>
        <w:pStyle w:val="Caption"/>
        <w:spacing w:before="240"/>
        <w:rPr>
          <w:color w:val="FF0000"/>
          <w:sz w:val="28"/>
          <w:szCs w:val="20"/>
        </w:rPr>
      </w:pPr>
      <w:r w:rsidRPr="00E61DA5">
        <w:rPr>
          <w:color w:val="FF0000"/>
          <w:sz w:val="28"/>
          <w:szCs w:val="20"/>
        </w:rPr>
        <w:lastRenderedPageBreak/>
        <w:t xml:space="preserve">Table </w:t>
      </w:r>
      <w:r w:rsidR="00443F99" w:rsidRPr="00E61DA5">
        <w:rPr>
          <w:color w:val="FF0000"/>
          <w:sz w:val="28"/>
          <w:szCs w:val="20"/>
        </w:rPr>
        <w:fldChar w:fldCharType="begin"/>
      </w:r>
      <w:r w:rsidR="00443F99" w:rsidRPr="00E61DA5">
        <w:rPr>
          <w:color w:val="FF0000"/>
          <w:sz w:val="28"/>
          <w:szCs w:val="20"/>
        </w:rPr>
        <w:instrText xml:space="preserve"> SEQ Table \* ARABIC </w:instrText>
      </w:r>
      <w:r w:rsidR="00443F99" w:rsidRPr="00E61DA5">
        <w:rPr>
          <w:color w:val="FF0000"/>
          <w:sz w:val="28"/>
          <w:szCs w:val="20"/>
        </w:rPr>
        <w:fldChar w:fldCharType="separate"/>
      </w:r>
      <w:r w:rsidR="00E5223E">
        <w:rPr>
          <w:noProof/>
          <w:color w:val="FF0000"/>
          <w:sz w:val="28"/>
          <w:szCs w:val="20"/>
        </w:rPr>
        <w:t>3</w:t>
      </w:r>
      <w:r w:rsidR="00443F99" w:rsidRPr="00E61DA5">
        <w:rPr>
          <w:noProof/>
          <w:color w:val="FF0000"/>
          <w:sz w:val="28"/>
          <w:szCs w:val="20"/>
        </w:rPr>
        <w:fldChar w:fldCharType="end"/>
      </w:r>
      <w:r w:rsidRPr="00E61DA5">
        <w:rPr>
          <w:color w:val="FF0000"/>
          <w:sz w:val="28"/>
          <w:szCs w:val="20"/>
        </w:rPr>
        <w:t xml:space="preserve">A </w:t>
      </w:r>
      <w:r w:rsidR="00987FE1" w:rsidRPr="00E61DA5">
        <w:rPr>
          <w:color w:val="FF0000"/>
          <w:sz w:val="28"/>
          <w:szCs w:val="20"/>
        </w:rPr>
        <w:t>Conditions</w:t>
      </w:r>
    </w:p>
    <w:tbl>
      <w:tblPr>
        <w:tblStyle w:val="TableGrid"/>
        <w:tblW w:w="0" w:type="auto"/>
        <w:tblLook w:val="04A0" w:firstRow="1" w:lastRow="0" w:firstColumn="1" w:lastColumn="0" w:noHBand="0" w:noVBand="1"/>
      </w:tblPr>
      <w:tblGrid>
        <w:gridCol w:w="7054"/>
        <w:gridCol w:w="2006"/>
      </w:tblGrid>
      <w:tr w:rsidR="008B513C" w14:paraId="7D2BE6FF" w14:textId="77777777" w:rsidTr="00987FE1">
        <w:trPr>
          <w:cantSplit/>
          <w:tblHeader/>
        </w:trPr>
        <w:tc>
          <w:tcPr>
            <w:tcW w:w="7054" w:type="dxa"/>
          </w:tcPr>
          <w:p w14:paraId="5E49763C" w14:textId="44A29486" w:rsidR="008B513C" w:rsidRDefault="00987FE1" w:rsidP="008B513C">
            <w:pPr>
              <w:pStyle w:val="TableHeading"/>
              <w:rPr>
                <w:lang w:eastAsia="ja-JP"/>
              </w:rPr>
            </w:pPr>
            <w:r>
              <w:rPr>
                <w:lang w:eastAsia="ja-JP"/>
              </w:rPr>
              <w:t>Conditions</w:t>
            </w:r>
          </w:p>
        </w:tc>
        <w:tc>
          <w:tcPr>
            <w:tcW w:w="2006" w:type="dxa"/>
          </w:tcPr>
          <w:p w14:paraId="4349B184" w14:textId="4C3CA2C9" w:rsidR="008B513C" w:rsidRDefault="008B513C" w:rsidP="008B513C">
            <w:pPr>
              <w:pStyle w:val="TableHeading"/>
              <w:rPr>
                <w:lang w:eastAsia="ja-JP"/>
              </w:rPr>
            </w:pPr>
            <w:r>
              <w:rPr>
                <w:lang w:eastAsia="ja-JP"/>
              </w:rPr>
              <w:t>Nonconformity guide</w:t>
            </w:r>
          </w:p>
        </w:tc>
      </w:tr>
      <w:tr w:rsidR="008B513C" w14:paraId="18EDA839" w14:textId="77777777" w:rsidTr="00E61DA5">
        <w:trPr>
          <w:cantSplit/>
          <w:tblHeader/>
        </w:trPr>
        <w:tc>
          <w:tcPr>
            <w:tcW w:w="7054" w:type="dxa"/>
          </w:tcPr>
          <w:p w14:paraId="1849C0DF" w14:textId="049B01C4" w:rsidR="008B513C" w:rsidRDefault="008B513C" w:rsidP="008B513C">
            <w:pPr>
              <w:pStyle w:val="TableText"/>
              <w:rPr>
                <w:lang w:eastAsia="ja-JP"/>
              </w:rPr>
            </w:pPr>
            <w:r>
              <w:rPr>
                <w:lang w:eastAsia="ja-JP"/>
              </w:rPr>
              <w:t xml:space="preserve">3.1 </w:t>
            </w:r>
            <w:r w:rsidRPr="008B513C">
              <w:rPr>
                <w:lang w:eastAsia="ja-JP"/>
              </w:rPr>
              <w:t xml:space="preserve">Personnel who have responsibilities </w:t>
            </w:r>
            <w:proofErr w:type="gramStart"/>
            <w:r w:rsidRPr="008B513C">
              <w:rPr>
                <w:lang w:eastAsia="ja-JP"/>
              </w:rPr>
              <w:t>for, or</w:t>
            </w:r>
            <w:proofErr w:type="gramEnd"/>
            <w:r w:rsidRPr="008B513C">
              <w:rPr>
                <w:lang w:eastAsia="ja-JP"/>
              </w:rPr>
              <w:t xml:space="preserve"> perform tasks that may impact on goods subject to biosecurity control, must be able to demonstrate an understanding of department </w:t>
            </w:r>
            <w:r w:rsidR="00314982">
              <w:rPr>
                <w:lang w:eastAsia="ja-JP"/>
              </w:rPr>
              <w:t>conditions</w:t>
            </w:r>
            <w:r w:rsidRPr="008B513C">
              <w:rPr>
                <w:lang w:eastAsia="ja-JP"/>
              </w:rPr>
              <w:t xml:space="preserve"> (e.g. Import Permit conditions, biosecurity directions, Import Conditions </w:t>
            </w:r>
            <w:r w:rsidR="00314982">
              <w:rPr>
                <w:lang w:eastAsia="ja-JP"/>
              </w:rPr>
              <w:t>).</w:t>
            </w:r>
          </w:p>
        </w:tc>
        <w:tc>
          <w:tcPr>
            <w:tcW w:w="2006" w:type="dxa"/>
            <w:vAlign w:val="center"/>
          </w:tcPr>
          <w:p w14:paraId="6078E4C8" w14:textId="335D3F60" w:rsidR="008B513C" w:rsidRDefault="008B513C" w:rsidP="00E61DA5">
            <w:pPr>
              <w:pStyle w:val="TableText"/>
              <w:jc w:val="center"/>
              <w:rPr>
                <w:lang w:eastAsia="ja-JP"/>
              </w:rPr>
            </w:pPr>
            <w:r>
              <w:rPr>
                <w:lang w:eastAsia="ja-JP"/>
              </w:rPr>
              <w:t>Major</w:t>
            </w:r>
          </w:p>
        </w:tc>
      </w:tr>
      <w:tr w:rsidR="008B513C" w14:paraId="776CE8BE" w14:textId="77777777" w:rsidTr="00E61DA5">
        <w:trPr>
          <w:cantSplit/>
          <w:tblHeader/>
        </w:trPr>
        <w:tc>
          <w:tcPr>
            <w:tcW w:w="7054" w:type="dxa"/>
          </w:tcPr>
          <w:p w14:paraId="3D3D7A16" w14:textId="77777777" w:rsidR="008B513C" w:rsidRPr="00D93E13" w:rsidRDefault="008B513C" w:rsidP="008B513C">
            <w:pPr>
              <w:pStyle w:val="TableText"/>
            </w:pPr>
            <w:r>
              <w:rPr>
                <w:lang w:eastAsia="ja-JP"/>
              </w:rPr>
              <w:t xml:space="preserve">3.2 </w:t>
            </w:r>
            <w:r>
              <w:t>Personnel handling:</w:t>
            </w:r>
          </w:p>
          <w:p w14:paraId="7A81835E" w14:textId="77777777" w:rsidR="008B513C" w:rsidRPr="00AB3ACB" w:rsidRDefault="008B513C" w:rsidP="008B513C">
            <w:pPr>
              <w:pStyle w:val="TableBullet"/>
            </w:pPr>
            <w:r w:rsidRPr="00AB3ACB">
              <w:t>imported pig meat,</w:t>
            </w:r>
          </w:p>
          <w:p w14:paraId="5599A422" w14:textId="77777777" w:rsidR="008B513C" w:rsidRDefault="008B513C" w:rsidP="008B513C">
            <w:pPr>
              <w:pStyle w:val="TableBullet"/>
            </w:pPr>
            <w:r w:rsidRPr="00AB3ACB">
              <w:t>product der</w:t>
            </w:r>
            <w:r>
              <w:t>ived from imported pig meat, or</w:t>
            </w:r>
          </w:p>
          <w:p w14:paraId="023A9747" w14:textId="77777777" w:rsidR="008B513C" w:rsidRPr="00AB3ACB" w:rsidRDefault="008B513C" w:rsidP="008B513C">
            <w:pPr>
              <w:pStyle w:val="TableBullet"/>
            </w:pPr>
            <w:r w:rsidRPr="00AB3ACB">
              <w:t>waste derived from imported pig meat</w:t>
            </w:r>
          </w:p>
          <w:p w14:paraId="705B44D5" w14:textId="373AC8D4" w:rsidR="008B513C" w:rsidRPr="008B513C" w:rsidRDefault="008B513C" w:rsidP="008B513C">
            <w:pPr>
              <w:pStyle w:val="TableText"/>
            </w:pPr>
            <w:r w:rsidRPr="008B513C">
              <w:t xml:space="preserve">must be trained to a level necessary to understand and fulfil the biosecurity </w:t>
            </w:r>
            <w:r w:rsidR="00314982">
              <w:t>conditions</w:t>
            </w:r>
            <w:r w:rsidRPr="008B513C">
              <w:t xml:space="preserve"> associated with their roles and responsibilities in relation to the handling and processing of imported pig meat.</w:t>
            </w:r>
          </w:p>
        </w:tc>
        <w:tc>
          <w:tcPr>
            <w:tcW w:w="2006" w:type="dxa"/>
            <w:vAlign w:val="center"/>
          </w:tcPr>
          <w:p w14:paraId="786C8D12" w14:textId="6A28ADFA" w:rsidR="008B513C" w:rsidRDefault="008B513C" w:rsidP="00E61DA5">
            <w:pPr>
              <w:pStyle w:val="TableText"/>
              <w:jc w:val="center"/>
              <w:rPr>
                <w:lang w:eastAsia="ja-JP"/>
              </w:rPr>
            </w:pPr>
            <w:r>
              <w:rPr>
                <w:lang w:eastAsia="ja-JP"/>
              </w:rPr>
              <w:t>Major</w:t>
            </w:r>
          </w:p>
        </w:tc>
      </w:tr>
      <w:tr w:rsidR="008B513C" w14:paraId="637107F6" w14:textId="77777777" w:rsidTr="00E61DA5">
        <w:trPr>
          <w:cantSplit/>
          <w:tblHeader/>
        </w:trPr>
        <w:tc>
          <w:tcPr>
            <w:tcW w:w="7054" w:type="dxa"/>
          </w:tcPr>
          <w:p w14:paraId="2829AEF2" w14:textId="4513604C" w:rsidR="008B513C" w:rsidRDefault="008B513C" w:rsidP="008B513C">
            <w:pPr>
              <w:pStyle w:val="TableText"/>
              <w:rPr>
                <w:lang w:eastAsia="ja-JP"/>
              </w:rPr>
            </w:pPr>
            <w:r>
              <w:rPr>
                <w:lang w:eastAsia="ja-JP"/>
              </w:rPr>
              <w:t xml:space="preserve">3.3 Personnel must be re-trained as necessary to ensure they maintain the required knowledge of biosecurity </w:t>
            </w:r>
            <w:r w:rsidR="00314982">
              <w:rPr>
                <w:lang w:eastAsia="ja-JP"/>
              </w:rPr>
              <w:t>conditions</w:t>
            </w:r>
            <w:r>
              <w:rPr>
                <w:lang w:eastAsia="ja-JP"/>
              </w:rPr>
              <w:t xml:space="preserve"> to carry out their responsibilities.</w:t>
            </w:r>
          </w:p>
        </w:tc>
        <w:tc>
          <w:tcPr>
            <w:tcW w:w="2006" w:type="dxa"/>
            <w:vAlign w:val="center"/>
          </w:tcPr>
          <w:p w14:paraId="62293F5F" w14:textId="0543E403" w:rsidR="008B513C" w:rsidRDefault="008B513C" w:rsidP="00E61DA5">
            <w:pPr>
              <w:pStyle w:val="TableText"/>
              <w:jc w:val="center"/>
              <w:rPr>
                <w:lang w:eastAsia="ja-JP"/>
              </w:rPr>
            </w:pPr>
            <w:r>
              <w:rPr>
                <w:lang w:eastAsia="ja-JP"/>
              </w:rPr>
              <w:t>Minor</w:t>
            </w:r>
          </w:p>
        </w:tc>
      </w:tr>
      <w:tr w:rsidR="008B513C" w14:paraId="4A7F81E6" w14:textId="77777777" w:rsidTr="00E61DA5">
        <w:trPr>
          <w:cantSplit/>
          <w:tblHeader/>
        </w:trPr>
        <w:tc>
          <w:tcPr>
            <w:tcW w:w="7054" w:type="dxa"/>
          </w:tcPr>
          <w:p w14:paraId="024B4A27" w14:textId="422762E5" w:rsidR="008B513C" w:rsidRDefault="008B513C" w:rsidP="008B513C">
            <w:pPr>
              <w:pStyle w:val="TableText"/>
              <w:rPr>
                <w:lang w:eastAsia="ja-JP"/>
              </w:rPr>
            </w:pPr>
            <w:r>
              <w:rPr>
                <w:lang w:eastAsia="ja-JP"/>
              </w:rPr>
              <w:t xml:space="preserve">3.4 </w:t>
            </w:r>
            <w:r w:rsidRPr="00104B4C">
              <w:rPr>
                <w:rFonts w:asciiTheme="majorHAnsi" w:hAnsiTheme="majorHAnsi" w:cstheme="majorHAnsi"/>
                <w:bCs/>
              </w:rPr>
              <w:t>The Biosecurity Industry Participant</w:t>
            </w:r>
            <w:r>
              <w:rPr>
                <w:rFonts w:asciiTheme="majorHAnsi" w:hAnsiTheme="majorHAnsi" w:cstheme="majorHAnsi"/>
                <w:bCs/>
              </w:rPr>
              <w:t xml:space="preserve"> (BIP)</w:t>
            </w:r>
            <w:r w:rsidRPr="00104B4C">
              <w:rPr>
                <w:rFonts w:asciiTheme="majorHAnsi" w:hAnsiTheme="majorHAnsi" w:cstheme="majorHAnsi"/>
                <w:bCs/>
              </w:rPr>
              <w:t xml:space="preserve"> must ensure that a biosecurity movement direction, authorising the movement of imported pig meat to or from the </w:t>
            </w:r>
            <w:r>
              <w:rPr>
                <w:rFonts w:asciiTheme="majorHAnsi" w:hAnsiTheme="majorHAnsi" w:cstheme="majorHAnsi"/>
                <w:bCs/>
              </w:rPr>
              <w:t>AA</w:t>
            </w:r>
            <w:r w:rsidRPr="00104B4C">
              <w:rPr>
                <w:rFonts w:asciiTheme="majorHAnsi" w:hAnsiTheme="majorHAnsi" w:cstheme="majorHAnsi"/>
                <w:bCs/>
              </w:rPr>
              <w:t xml:space="preserve"> site, is obtained from the department prior to any transfers occurring</w:t>
            </w:r>
          </w:p>
        </w:tc>
        <w:tc>
          <w:tcPr>
            <w:tcW w:w="2006" w:type="dxa"/>
            <w:vAlign w:val="center"/>
          </w:tcPr>
          <w:p w14:paraId="1D686F38" w14:textId="6F82BF1A" w:rsidR="008B513C" w:rsidRDefault="008B513C" w:rsidP="00E61DA5">
            <w:pPr>
              <w:pStyle w:val="TableText"/>
              <w:jc w:val="center"/>
              <w:rPr>
                <w:lang w:eastAsia="ja-JP"/>
              </w:rPr>
            </w:pPr>
            <w:r>
              <w:rPr>
                <w:lang w:eastAsia="ja-JP"/>
              </w:rPr>
              <w:t>Critical</w:t>
            </w:r>
          </w:p>
        </w:tc>
      </w:tr>
      <w:tr w:rsidR="008B513C" w14:paraId="6F75DC96" w14:textId="77777777" w:rsidTr="00E61DA5">
        <w:trPr>
          <w:cantSplit/>
          <w:tblHeader/>
        </w:trPr>
        <w:tc>
          <w:tcPr>
            <w:tcW w:w="7054" w:type="dxa"/>
          </w:tcPr>
          <w:p w14:paraId="18A73B22" w14:textId="2E213D30" w:rsidR="008B513C" w:rsidRDefault="008B513C" w:rsidP="008B513C">
            <w:pPr>
              <w:pStyle w:val="TableText"/>
              <w:rPr>
                <w:lang w:eastAsia="ja-JP"/>
              </w:rPr>
            </w:pPr>
            <w:r>
              <w:rPr>
                <w:lang w:eastAsia="ja-JP"/>
              </w:rPr>
              <w:t xml:space="preserve">3.5 </w:t>
            </w:r>
            <w:r w:rsidRPr="00104B4C">
              <w:rPr>
                <w:rFonts w:asciiTheme="majorHAnsi" w:hAnsiTheme="majorHAnsi" w:cstheme="majorHAnsi"/>
                <w:bCs/>
              </w:rPr>
              <w:t>Imported pig meat that is being moved by or on behalf of the</w:t>
            </w:r>
            <w:r>
              <w:rPr>
                <w:rFonts w:asciiTheme="majorHAnsi" w:hAnsiTheme="majorHAnsi" w:cstheme="majorHAnsi"/>
                <w:bCs/>
              </w:rPr>
              <w:t xml:space="preserve"> BIP</w:t>
            </w:r>
            <w:r w:rsidRPr="00104B4C">
              <w:rPr>
                <w:rFonts w:asciiTheme="majorHAnsi" w:hAnsiTheme="majorHAnsi" w:cstheme="majorHAnsi"/>
                <w:bCs/>
              </w:rPr>
              <w:t xml:space="preserve"> between </w:t>
            </w:r>
            <w:r>
              <w:rPr>
                <w:rFonts w:asciiTheme="majorHAnsi" w:hAnsiTheme="majorHAnsi" w:cstheme="majorHAnsi"/>
                <w:bCs/>
              </w:rPr>
              <w:t>AA</w:t>
            </w:r>
            <w:r w:rsidRPr="00104B4C">
              <w:rPr>
                <w:rFonts w:asciiTheme="majorHAnsi" w:hAnsiTheme="majorHAnsi" w:cstheme="majorHAnsi"/>
                <w:bCs/>
              </w:rPr>
              <w:t xml:space="preserve"> sites including interstate movements made by road or rail, must be transported by direct route within a secure containerised vehicle and identified as subject to biosecurity control with the department's regional contact number clearly marked on the goods.</w:t>
            </w:r>
          </w:p>
        </w:tc>
        <w:tc>
          <w:tcPr>
            <w:tcW w:w="2006" w:type="dxa"/>
            <w:vAlign w:val="center"/>
          </w:tcPr>
          <w:p w14:paraId="62945460" w14:textId="6531E9A8" w:rsidR="008B513C" w:rsidRDefault="008B513C" w:rsidP="00E61DA5">
            <w:pPr>
              <w:pStyle w:val="TableText"/>
              <w:jc w:val="center"/>
              <w:rPr>
                <w:lang w:eastAsia="ja-JP"/>
              </w:rPr>
            </w:pPr>
            <w:r>
              <w:rPr>
                <w:lang w:eastAsia="ja-JP"/>
              </w:rPr>
              <w:t>Major</w:t>
            </w:r>
          </w:p>
        </w:tc>
      </w:tr>
      <w:tr w:rsidR="008B513C" w14:paraId="37C84258" w14:textId="77777777" w:rsidTr="00E61DA5">
        <w:trPr>
          <w:cantSplit/>
          <w:tblHeader/>
        </w:trPr>
        <w:tc>
          <w:tcPr>
            <w:tcW w:w="7054" w:type="dxa"/>
          </w:tcPr>
          <w:p w14:paraId="47C2EFA6" w14:textId="77777777" w:rsidR="008B513C" w:rsidRPr="00E47641" w:rsidRDefault="008B513C" w:rsidP="008B513C">
            <w:pPr>
              <w:pStyle w:val="TableText"/>
            </w:pPr>
            <w:r>
              <w:rPr>
                <w:lang w:eastAsia="ja-JP"/>
              </w:rPr>
              <w:t xml:space="preserve">3.6 </w:t>
            </w:r>
            <w:r w:rsidRPr="00E47641">
              <w:t>Imported pig meat is permitted to be transported with domestic</w:t>
            </w:r>
            <w:r>
              <w:t xml:space="preserve"> </w:t>
            </w:r>
            <w:r w:rsidRPr="00E47641">
              <w:t>pig meat where:</w:t>
            </w:r>
          </w:p>
          <w:p w14:paraId="1C7085F4" w14:textId="77777777" w:rsidR="008B513C" w:rsidRPr="003C54E9" w:rsidRDefault="008B513C" w:rsidP="008B513C">
            <w:pPr>
              <w:pStyle w:val="TableBullet"/>
            </w:pPr>
            <w:r w:rsidRPr="003C54E9">
              <w:t>segregation is maintained, and</w:t>
            </w:r>
          </w:p>
          <w:p w14:paraId="179C4E0C" w14:textId="23CFA288" w:rsidR="008B513C" w:rsidRDefault="008B513C" w:rsidP="008B513C">
            <w:pPr>
              <w:pStyle w:val="TableBullet"/>
              <w:rPr>
                <w:lang w:eastAsia="ja-JP"/>
              </w:rPr>
            </w:pPr>
            <w:r w:rsidRPr="003C54E9">
              <w:t>the imported product is not stacked above domestic product.</w:t>
            </w:r>
          </w:p>
        </w:tc>
        <w:tc>
          <w:tcPr>
            <w:tcW w:w="2006" w:type="dxa"/>
            <w:vAlign w:val="center"/>
          </w:tcPr>
          <w:p w14:paraId="626AD708" w14:textId="61F420E8" w:rsidR="008B513C" w:rsidRDefault="008B513C" w:rsidP="00E61DA5">
            <w:pPr>
              <w:pStyle w:val="TableText"/>
              <w:jc w:val="center"/>
              <w:rPr>
                <w:lang w:eastAsia="ja-JP"/>
              </w:rPr>
            </w:pPr>
            <w:r>
              <w:rPr>
                <w:lang w:eastAsia="ja-JP"/>
              </w:rPr>
              <w:t>Major</w:t>
            </w:r>
          </w:p>
        </w:tc>
      </w:tr>
      <w:tr w:rsidR="008B513C" w14:paraId="15637251" w14:textId="77777777" w:rsidTr="00E61DA5">
        <w:trPr>
          <w:cantSplit/>
          <w:tblHeader/>
        </w:trPr>
        <w:tc>
          <w:tcPr>
            <w:tcW w:w="7054" w:type="dxa"/>
          </w:tcPr>
          <w:p w14:paraId="18A60E27" w14:textId="1B3A1285" w:rsidR="008B513C" w:rsidRDefault="008B513C" w:rsidP="008B513C">
            <w:pPr>
              <w:pStyle w:val="TableText"/>
              <w:rPr>
                <w:lang w:eastAsia="ja-JP"/>
              </w:rPr>
            </w:pPr>
            <w:r>
              <w:rPr>
                <w:lang w:eastAsia="ja-JP"/>
              </w:rPr>
              <w:t xml:space="preserve">3.7 </w:t>
            </w:r>
            <w:r w:rsidRPr="00D6510A">
              <w:rPr>
                <w:rFonts w:asciiTheme="majorHAnsi" w:hAnsiTheme="majorHAnsi" w:cstheme="majorHAnsi"/>
                <w:bCs/>
              </w:rPr>
              <w:t>Imported uncooked pig meat may only be transported with</w:t>
            </w:r>
            <w:r>
              <w:rPr>
                <w:rFonts w:asciiTheme="majorHAnsi" w:hAnsiTheme="majorHAnsi" w:cstheme="majorHAnsi"/>
                <w:bCs/>
              </w:rPr>
              <w:t xml:space="preserve"> </w:t>
            </w:r>
            <w:r w:rsidRPr="00D6510A">
              <w:rPr>
                <w:rFonts w:asciiTheme="majorHAnsi" w:hAnsiTheme="majorHAnsi" w:cstheme="majorHAnsi"/>
                <w:bCs/>
              </w:rPr>
              <w:t xml:space="preserve">other </w:t>
            </w:r>
            <w:r>
              <w:rPr>
                <w:rFonts w:asciiTheme="majorHAnsi" w:hAnsiTheme="majorHAnsi" w:cstheme="majorHAnsi"/>
                <w:bCs/>
              </w:rPr>
              <w:t>product (such as</w:t>
            </w:r>
            <w:r w:rsidRPr="00D6510A">
              <w:rPr>
                <w:rFonts w:asciiTheme="majorHAnsi" w:hAnsiTheme="majorHAnsi" w:cstheme="majorHAnsi"/>
                <w:bCs/>
              </w:rPr>
              <w:t xml:space="preserve"> domestic product) where all product is</w:t>
            </w:r>
            <w:r>
              <w:rPr>
                <w:rFonts w:asciiTheme="majorHAnsi" w:hAnsiTheme="majorHAnsi" w:cstheme="majorHAnsi"/>
                <w:bCs/>
              </w:rPr>
              <w:t xml:space="preserve"> </w:t>
            </w:r>
            <w:r w:rsidRPr="00D6510A">
              <w:rPr>
                <w:rFonts w:asciiTheme="majorHAnsi" w:hAnsiTheme="majorHAnsi" w:cstheme="majorHAnsi"/>
                <w:bCs/>
              </w:rPr>
              <w:t>loaded at a single address and is destined for a single delivery</w:t>
            </w:r>
            <w:r>
              <w:rPr>
                <w:rFonts w:asciiTheme="majorHAnsi" w:hAnsiTheme="majorHAnsi" w:cstheme="majorHAnsi"/>
                <w:bCs/>
              </w:rPr>
              <w:t xml:space="preserve"> </w:t>
            </w:r>
            <w:r w:rsidRPr="00D6510A">
              <w:rPr>
                <w:rFonts w:asciiTheme="majorHAnsi" w:hAnsiTheme="majorHAnsi" w:cstheme="majorHAnsi"/>
                <w:bCs/>
              </w:rPr>
              <w:t>location</w:t>
            </w:r>
          </w:p>
        </w:tc>
        <w:tc>
          <w:tcPr>
            <w:tcW w:w="2006" w:type="dxa"/>
            <w:vAlign w:val="center"/>
          </w:tcPr>
          <w:p w14:paraId="35799C06" w14:textId="203FF665" w:rsidR="008B513C" w:rsidRDefault="008B513C" w:rsidP="00E61DA5">
            <w:pPr>
              <w:pStyle w:val="TableText"/>
              <w:jc w:val="center"/>
              <w:rPr>
                <w:lang w:eastAsia="ja-JP"/>
              </w:rPr>
            </w:pPr>
            <w:r>
              <w:rPr>
                <w:lang w:eastAsia="ja-JP"/>
              </w:rPr>
              <w:t>Major</w:t>
            </w:r>
          </w:p>
        </w:tc>
      </w:tr>
      <w:tr w:rsidR="008B513C" w14:paraId="22028D68" w14:textId="77777777" w:rsidTr="00E61DA5">
        <w:trPr>
          <w:cantSplit/>
          <w:tblHeader/>
        </w:trPr>
        <w:tc>
          <w:tcPr>
            <w:tcW w:w="7054" w:type="dxa"/>
          </w:tcPr>
          <w:p w14:paraId="6DC57A65" w14:textId="3237B8E9" w:rsidR="008B513C" w:rsidRDefault="008B513C" w:rsidP="008B513C">
            <w:pPr>
              <w:pStyle w:val="TableText"/>
              <w:rPr>
                <w:lang w:eastAsia="ja-JP"/>
              </w:rPr>
            </w:pPr>
            <w:r>
              <w:rPr>
                <w:lang w:eastAsia="ja-JP"/>
              </w:rPr>
              <w:t xml:space="preserve">3.8 </w:t>
            </w:r>
            <w:r w:rsidRPr="001D6987">
              <w:rPr>
                <w:rFonts w:asciiTheme="majorHAnsi" w:hAnsiTheme="majorHAnsi" w:cstheme="majorHAnsi"/>
                <w:bCs/>
              </w:rPr>
              <w:t>The department must be notified immediately if imported</w:t>
            </w:r>
            <w:r>
              <w:rPr>
                <w:rFonts w:asciiTheme="majorHAnsi" w:hAnsiTheme="majorHAnsi" w:cstheme="majorHAnsi"/>
                <w:bCs/>
              </w:rPr>
              <w:t xml:space="preserve"> </w:t>
            </w:r>
            <w:r w:rsidRPr="001D6987">
              <w:rPr>
                <w:rFonts w:asciiTheme="majorHAnsi" w:hAnsiTheme="majorHAnsi" w:cstheme="majorHAnsi"/>
                <w:bCs/>
              </w:rPr>
              <w:t>product</w:t>
            </w:r>
            <w:r>
              <w:rPr>
                <w:rFonts w:asciiTheme="majorHAnsi" w:hAnsiTheme="majorHAnsi" w:cstheme="majorHAnsi"/>
                <w:bCs/>
              </w:rPr>
              <w:t xml:space="preserve"> is not </w:t>
            </w:r>
            <w:r w:rsidRPr="001D6987">
              <w:rPr>
                <w:rFonts w:asciiTheme="majorHAnsi" w:hAnsiTheme="majorHAnsi" w:cstheme="majorHAnsi"/>
                <w:bCs/>
              </w:rPr>
              <w:t xml:space="preserve">received at the </w:t>
            </w:r>
            <w:r>
              <w:rPr>
                <w:rFonts w:asciiTheme="majorHAnsi" w:hAnsiTheme="majorHAnsi" w:cstheme="majorHAnsi"/>
                <w:bCs/>
              </w:rPr>
              <w:t xml:space="preserve">BIP's AA site </w:t>
            </w:r>
            <w:r w:rsidRPr="001D6987">
              <w:rPr>
                <w:rFonts w:asciiTheme="majorHAnsi" w:hAnsiTheme="majorHAnsi" w:cstheme="majorHAnsi"/>
                <w:bCs/>
              </w:rPr>
              <w:t>within 48 hours of expected arrival</w:t>
            </w:r>
            <w:r>
              <w:rPr>
                <w:rFonts w:asciiTheme="majorHAnsi" w:hAnsiTheme="majorHAnsi" w:cstheme="majorHAnsi"/>
                <w:bCs/>
              </w:rPr>
              <w:t>.</w:t>
            </w:r>
          </w:p>
        </w:tc>
        <w:tc>
          <w:tcPr>
            <w:tcW w:w="2006" w:type="dxa"/>
            <w:vAlign w:val="center"/>
          </w:tcPr>
          <w:p w14:paraId="4BF57126" w14:textId="368E9A33" w:rsidR="008B513C" w:rsidRDefault="008B513C" w:rsidP="00E61DA5">
            <w:pPr>
              <w:pStyle w:val="TableText"/>
              <w:jc w:val="center"/>
              <w:rPr>
                <w:lang w:eastAsia="ja-JP"/>
              </w:rPr>
            </w:pPr>
            <w:r>
              <w:rPr>
                <w:lang w:eastAsia="ja-JP"/>
              </w:rPr>
              <w:t>Major</w:t>
            </w:r>
          </w:p>
        </w:tc>
      </w:tr>
      <w:tr w:rsidR="008B513C" w14:paraId="6C206C14" w14:textId="77777777" w:rsidTr="00E61DA5">
        <w:trPr>
          <w:cantSplit/>
          <w:tblHeader/>
        </w:trPr>
        <w:tc>
          <w:tcPr>
            <w:tcW w:w="7054" w:type="dxa"/>
          </w:tcPr>
          <w:p w14:paraId="45843031" w14:textId="41DD9DC7" w:rsidR="008B513C" w:rsidRDefault="008B513C" w:rsidP="008B513C">
            <w:pPr>
              <w:pStyle w:val="TableText"/>
              <w:rPr>
                <w:lang w:eastAsia="ja-JP"/>
              </w:rPr>
            </w:pPr>
            <w:r>
              <w:rPr>
                <w:lang w:eastAsia="ja-JP"/>
              </w:rPr>
              <w:t xml:space="preserve">3.9 </w:t>
            </w:r>
            <w:r w:rsidRPr="008B513C">
              <w:rPr>
                <w:lang w:eastAsia="ja-JP"/>
              </w:rPr>
              <w:t>At any point following receival, where imported uncooked pig meat is not contained in a completely enclosed container (that is closed on all sides) segregation must be maintained between imported uncooked pig meat and any other product including cooked imported pig meat and/or domestic product.</w:t>
            </w:r>
          </w:p>
        </w:tc>
        <w:tc>
          <w:tcPr>
            <w:tcW w:w="2006" w:type="dxa"/>
            <w:vAlign w:val="center"/>
          </w:tcPr>
          <w:p w14:paraId="7B399BF1" w14:textId="4BE4AC41" w:rsidR="008B513C" w:rsidRDefault="008B513C" w:rsidP="00E61DA5">
            <w:pPr>
              <w:pStyle w:val="TableText"/>
              <w:jc w:val="center"/>
              <w:rPr>
                <w:lang w:eastAsia="ja-JP"/>
              </w:rPr>
            </w:pPr>
            <w:r>
              <w:rPr>
                <w:lang w:eastAsia="ja-JP"/>
              </w:rPr>
              <w:t>Major</w:t>
            </w:r>
          </w:p>
        </w:tc>
      </w:tr>
      <w:tr w:rsidR="00987FE1" w14:paraId="471B9759" w14:textId="77777777" w:rsidTr="00E61DA5">
        <w:trPr>
          <w:cantSplit/>
          <w:tblHeader/>
        </w:trPr>
        <w:tc>
          <w:tcPr>
            <w:tcW w:w="7054" w:type="dxa"/>
          </w:tcPr>
          <w:p w14:paraId="74D70789" w14:textId="77777777" w:rsidR="00987FE1" w:rsidRPr="00C5046F" w:rsidRDefault="00987FE1" w:rsidP="00987FE1">
            <w:pPr>
              <w:pStyle w:val="TableText"/>
            </w:pPr>
            <w:r>
              <w:rPr>
                <w:lang w:eastAsia="ja-JP"/>
              </w:rPr>
              <w:t xml:space="preserve">3.10 </w:t>
            </w:r>
            <w:r w:rsidRPr="00C5046F">
              <w:t>Prior to opening and unpacking a ship</w:t>
            </w:r>
            <w:r>
              <w:t xml:space="preserve">ping container, the BIP </w:t>
            </w:r>
            <w:r w:rsidRPr="00C5046F">
              <w:t>must:</w:t>
            </w:r>
          </w:p>
          <w:p w14:paraId="78490063" w14:textId="77777777" w:rsidR="00987FE1" w:rsidRPr="00646159" w:rsidRDefault="00987FE1" w:rsidP="00987FE1">
            <w:pPr>
              <w:pStyle w:val="TableBullet"/>
            </w:pPr>
            <w:r w:rsidRPr="00646159">
              <w:t>check that th</w:t>
            </w:r>
            <w:r>
              <w:t xml:space="preserve">e seal is not missing or </w:t>
            </w:r>
            <w:proofErr w:type="gramStart"/>
            <w:r>
              <w:t>broken</w:t>
            </w:r>
            <w:proofErr w:type="gramEnd"/>
          </w:p>
          <w:p w14:paraId="23A0CC47" w14:textId="77777777" w:rsidR="00987FE1" w:rsidRPr="00646159" w:rsidRDefault="00987FE1" w:rsidP="00987FE1">
            <w:pPr>
              <w:pStyle w:val="TableBullet"/>
            </w:pPr>
            <w:r w:rsidRPr="00646159">
              <w:t>check that the seal number on the container is the same as</w:t>
            </w:r>
            <w:r>
              <w:t xml:space="preserve"> </w:t>
            </w:r>
            <w:r w:rsidRPr="00646159">
              <w:t>that on the bio</w:t>
            </w:r>
            <w:r>
              <w:t xml:space="preserve">security movement </w:t>
            </w:r>
            <w:proofErr w:type="gramStart"/>
            <w:r>
              <w:t>direction</w:t>
            </w:r>
            <w:proofErr w:type="gramEnd"/>
          </w:p>
          <w:p w14:paraId="6AC99270" w14:textId="77777777" w:rsidR="00987FE1" w:rsidRPr="00646159" w:rsidRDefault="00987FE1" w:rsidP="00987FE1">
            <w:pPr>
              <w:pStyle w:val="TableBullet"/>
            </w:pPr>
            <w:r w:rsidRPr="00646159">
              <w:t>notify the department as soon as possible within 24 hours of</w:t>
            </w:r>
            <w:r>
              <w:t xml:space="preserve"> </w:t>
            </w:r>
            <w:r w:rsidRPr="00646159">
              <w:t>the receipt of the container if:</w:t>
            </w:r>
          </w:p>
          <w:p w14:paraId="5203B9F0" w14:textId="77777777" w:rsidR="00987FE1" w:rsidRPr="009F1691" w:rsidRDefault="00987FE1" w:rsidP="00987FE1">
            <w:pPr>
              <w:pStyle w:val="tablebullet2"/>
            </w:pPr>
            <w:r w:rsidRPr="009F1691">
              <w:t>the container seal is missing or broken, or</w:t>
            </w:r>
          </w:p>
          <w:p w14:paraId="2A59C514" w14:textId="740111B6" w:rsidR="00987FE1" w:rsidRDefault="00987FE1" w:rsidP="00987FE1">
            <w:pPr>
              <w:pStyle w:val="TableText"/>
              <w:rPr>
                <w:lang w:eastAsia="ja-JP"/>
              </w:rPr>
            </w:pPr>
            <w:r w:rsidRPr="009F1691">
              <w:t>the shipping container seal number does not match the</w:t>
            </w:r>
            <w:r>
              <w:t xml:space="preserve"> </w:t>
            </w:r>
            <w:r w:rsidRPr="009F1691">
              <w:t>number on the biosecurity movement direction.</w:t>
            </w:r>
          </w:p>
        </w:tc>
        <w:tc>
          <w:tcPr>
            <w:tcW w:w="2006" w:type="dxa"/>
            <w:vAlign w:val="center"/>
          </w:tcPr>
          <w:p w14:paraId="50EA49BC" w14:textId="6811780A" w:rsidR="00987FE1" w:rsidRDefault="00987FE1" w:rsidP="00E61DA5">
            <w:pPr>
              <w:pStyle w:val="TableText"/>
              <w:jc w:val="center"/>
              <w:rPr>
                <w:lang w:eastAsia="ja-JP"/>
              </w:rPr>
            </w:pPr>
            <w:r>
              <w:rPr>
                <w:lang w:eastAsia="ja-JP"/>
              </w:rPr>
              <w:t>Major</w:t>
            </w:r>
          </w:p>
        </w:tc>
      </w:tr>
    </w:tbl>
    <w:p w14:paraId="3533711C" w14:textId="77777777" w:rsidR="00987FE1" w:rsidRDefault="00987FE1" w:rsidP="008B513C">
      <w:pPr>
        <w:pStyle w:val="Caption"/>
        <w:spacing w:before="240"/>
      </w:pPr>
    </w:p>
    <w:p w14:paraId="07671ECD" w14:textId="77777777" w:rsidR="00987FE1" w:rsidRDefault="00987FE1">
      <w:pPr>
        <w:spacing w:after="0" w:line="240" w:lineRule="auto"/>
        <w:rPr>
          <w:rFonts w:ascii="Calibri" w:hAnsi="Calibri"/>
          <w:b/>
          <w:bCs/>
          <w:sz w:val="24"/>
          <w:szCs w:val="18"/>
        </w:rPr>
      </w:pPr>
      <w:r>
        <w:br w:type="page"/>
      </w:r>
    </w:p>
    <w:p w14:paraId="48D0AEDF" w14:textId="7B61BA76" w:rsidR="008B513C" w:rsidRPr="00E61DA5" w:rsidRDefault="008B513C" w:rsidP="008B513C">
      <w:pPr>
        <w:pStyle w:val="Caption"/>
        <w:spacing w:before="240"/>
        <w:rPr>
          <w:color w:val="FF0000"/>
          <w:sz w:val="28"/>
          <w:szCs w:val="20"/>
        </w:rPr>
      </w:pPr>
      <w:r w:rsidRPr="00E61DA5">
        <w:rPr>
          <w:color w:val="FF0000"/>
          <w:sz w:val="28"/>
          <w:szCs w:val="20"/>
        </w:rPr>
        <w:lastRenderedPageBreak/>
        <w:t xml:space="preserve">Table 3B </w:t>
      </w:r>
      <w:r w:rsidR="00987FE1" w:rsidRPr="00E61DA5">
        <w:rPr>
          <w:color w:val="FF0000"/>
          <w:sz w:val="28"/>
          <w:szCs w:val="20"/>
        </w:rPr>
        <w:t>Conditions</w:t>
      </w:r>
      <w:r w:rsidRPr="00E61DA5">
        <w:rPr>
          <w:color w:val="FF0000"/>
          <w:sz w:val="28"/>
          <w:szCs w:val="20"/>
        </w:rPr>
        <w:t xml:space="preserve"> (continued)</w:t>
      </w:r>
    </w:p>
    <w:tbl>
      <w:tblPr>
        <w:tblStyle w:val="TableGrid"/>
        <w:tblW w:w="0" w:type="auto"/>
        <w:tblLook w:val="04A0" w:firstRow="1" w:lastRow="0" w:firstColumn="1" w:lastColumn="0" w:noHBand="0" w:noVBand="1"/>
      </w:tblPr>
      <w:tblGrid>
        <w:gridCol w:w="7054"/>
        <w:gridCol w:w="2006"/>
      </w:tblGrid>
      <w:tr w:rsidR="008B513C" w14:paraId="62AC1804" w14:textId="77777777" w:rsidTr="00E61DA5">
        <w:trPr>
          <w:cantSplit/>
          <w:tblHeader/>
        </w:trPr>
        <w:tc>
          <w:tcPr>
            <w:tcW w:w="7054" w:type="dxa"/>
          </w:tcPr>
          <w:p w14:paraId="5CAF9B9B" w14:textId="5F59ACAF" w:rsidR="008B513C" w:rsidRDefault="00987FE1" w:rsidP="008B513C">
            <w:pPr>
              <w:pStyle w:val="TableHeading"/>
              <w:rPr>
                <w:lang w:eastAsia="ja-JP"/>
              </w:rPr>
            </w:pPr>
            <w:r>
              <w:rPr>
                <w:lang w:eastAsia="ja-JP"/>
              </w:rPr>
              <w:t>Conditions</w:t>
            </w:r>
          </w:p>
        </w:tc>
        <w:tc>
          <w:tcPr>
            <w:tcW w:w="2006" w:type="dxa"/>
          </w:tcPr>
          <w:p w14:paraId="57F16492" w14:textId="04D0C4FB" w:rsidR="008B513C" w:rsidRDefault="008B513C" w:rsidP="008B513C">
            <w:pPr>
              <w:pStyle w:val="TableHeading"/>
              <w:rPr>
                <w:lang w:eastAsia="ja-JP"/>
              </w:rPr>
            </w:pPr>
            <w:r>
              <w:rPr>
                <w:lang w:eastAsia="ja-JP"/>
              </w:rPr>
              <w:t>Nonconformity guide</w:t>
            </w:r>
          </w:p>
        </w:tc>
      </w:tr>
      <w:tr w:rsidR="008B513C" w14:paraId="4CCC2F57" w14:textId="77777777" w:rsidTr="00E61DA5">
        <w:trPr>
          <w:cantSplit/>
          <w:tblHeader/>
        </w:trPr>
        <w:tc>
          <w:tcPr>
            <w:tcW w:w="7054" w:type="dxa"/>
          </w:tcPr>
          <w:p w14:paraId="4185D2A7" w14:textId="77777777" w:rsidR="008B513C" w:rsidRPr="00C5046F" w:rsidRDefault="008B513C" w:rsidP="008B513C">
            <w:pPr>
              <w:pStyle w:val="TableText"/>
            </w:pPr>
            <w:r>
              <w:rPr>
                <w:lang w:eastAsia="ja-JP"/>
              </w:rPr>
              <w:t xml:space="preserve">3.11 </w:t>
            </w:r>
            <w:r w:rsidRPr="00C5046F">
              <w:t xml:space="preserve">After unpacking a shipping container, the </w:t>
            </w:r>
            <w:r>
              <w:t xml:space="preserve">BIP </w:t>
            </w:r>
            <w:r w:rsidRPr="00C5046F">
              <w:t>must inspect the inside of the shipping container and notify the department</w:t>
            </w:r>
            <w:r>
              <w:t xml:space="preserve"> </w:t>
            </w:r>
            <w:r w:rsidRPr="00C5046F">
              <w:t>as soon as possible within 24 hours of any visible</w:t>
            </w:r>
            <w:r>
              <w:t xml:space="preserve"> </w:t>
            </w:r>
            <w:r w:rsidRPr="00C5046F">
              <w:t>contamination with:</w:t>
            </w:r>
          </w:p>
          <w:p w14:paraId="45EF1E98" w14:textId="77777777" w:rsidR="008B513C" w:rsidRPr="009F1691" w:rsidRDefault="008B513C" w:rsidP="008B513C">
            <w:pPr>
              <w:pStyle w:val="TableBullet"/>
            </w:pPr>
            <w:r w:rsidRPr="009F1691">
              <w:t>meat</w:t>
            </w:r>
          </w:p>
          <w:p w14:paraId="01758EEE" w14:textId="77777777" w:rsidR="008B513C" w:rsidRPr="009F1691" w:rsidRDefault="008B513C" w:rsidP="008B513C">
            <w:pPr>
              <w:pStyle w:val="TableBullet"/>
            </w:pPr>
            <w:r w:rsidRPr="009F1691">
              <w:t>blood</w:t>
            </w:r>
          </w:p>
          <w:p w14:paraId="15F8EE8B" w14:textId="77777777" w:rsidR="008B513C" w:rsidRPr="009F1691" w:rsidRDefault="008B513C" w:rsidP="008B513C">
            <w:pPr>
              <w:pStyle w:val="TableBullet"/>
            </w:pPr>
            <w:r w:rsidRPr="009F1691">
              <w:t>exudate from imported uncooked pig meat</w:t>
            </w:r>
          </w:p>
          <w:p w14:paraId="76127E46" w14:textId="09E4192D" w:rsidR="008B513C" w:rsidRDefault="008B513C" w:rsidP="008B513C">
            <w:pPr>
              <w:pStyle w:val="TableBullet"/>
              <w:rPr>
                <w:lang w:eastAsia="ja-JP"/>
              </w:rPr>
            </w:pPr>
            <w:r w:rsidRPr="009F1691">
              <w:t>any other biosecurity risk material</w:t>
            </w:r>
          </w:p>
        </w:tc>
        <w:tc>
          <w:tcPr>
            <w:tcW w:w="2006" w:type="dxa"/>
            <w:vAlign w:val="center"/>
          </w:tcPr>
          <w:p w14:paraId="3E8343C8" w14:textId="23E0AB30" w:rsidR="008B513C" w:rsidRDefault="008B513C" w:rsidP="00E61DA5">
            <w:pPr>
              <w:pStyle w:val="TableText"/>
              <w:jc w:val="center"/>
              <w:rPr>
                <w:lang w:eastAsia="ja-JP"/>
              </w:rPr>
            </w:pPr>
            <w:r>
              <w:rPr>
                <w:lang w:eastAsia="ja-JP"/>
              </w:rPr>
              <w:t>Major</w:t>
            </w:r>
          </w:p>
        </w:tc>
      </w:tr>
      <w:tr w:rsidR="008B513C" w14:paraId="7F82B2E5" w14:textId="77777777" w:rsidTr="00E61DA5">
        <w:trPr>
          <w:cantSplit/>
          <w:tblHeader/>
        </w:trPr>
        <w:tc>
          <w:tcPr>
            <w:tcW w:w="7054" w:type="dxa"/>
          </w:tcPr>
          <w:p w14:paraId="5040F4B8" w14:textId="0694862D" w:rsidR="008B513C" w:rsidRDefault="008B513C" w:rsidP="008B513C">
            <w:pPr>
              <w:pStyle w:val="TableText"/>
              <w:rPr>
                <w:lang w:eastAsia="ja-JP"/>
              </w:rPr>
            </w:pPr>
            <w:r>
              <w:rPr>
                <w:lang w:eastAsia="ja-JP"/>
              </w:rPr>
              <w:t xml:space="preserve">3.12 </w:t>
            </w:r>
            <w:r w:rsidRPr="00646159">
              <w:rPr>
                <w:rFonts w:asciiTheme="majorHAnsi" w:hAnsiTheme="majorHAnsi" w:cstheme="majorHAnsi"/>
                <w:bCs/>
              </w:rPr>
              <w:t xml:space="preserve">The </w:t>
            </w:r>
            <w:r>
              <w:rPr>
                <w:rFonts w:asciiTheme="majorHAnsi" w:hAnsiTheme="majorHAnsi" w:cstheme="majorHAnsi"/>
                <w:bCs/>
              </w:rPr>
              <w:t xml:space="preserve">BIP must hold and contain any </w:t>
            </w:r>
            <w:r w:rsidRPr="00646159">
              <w:rPr>
                <w:rFonts w:asciiTheme="majorHAnsi" w:hAnsiTheme="majorHAnsi" w:cstheme="majorHAnsi"/>
                <w:bCs/>
              </w:rPr>
              <w:t xml:space="preserve">contaminated shipping container </w:t>
            </w:r>
            <w:r>
              <w:rPr>
                <w:rFonts w:asciiTheme="majorHAnsi" w:hAnsiTheme="majorHAnsi" w:cstheme="majorHAnsi"/>
                <w:bCs/>
              </w:rPr>
              <w:t xml:space="preserve">on-site pending advice from the </w:t>
            </w:r>
            <w:r w:rsidRPr="00646159">
              <w:rPr>
                <w:rFonts w:asciiTheme="majorHAnsi" w:hAnsiTheme="majorHAnsi" w:cstheme="majorHAnsi"/>
                <w:bCs/>
              </w:rPr>
              <w:t>department.</w:t>
            </w:r>
          </w:p>
        </w:tc>
        <w:tc>
          <w:tcPr>
            <w:tcW w:w="2006" w:type="dxa"/>
            <w:vAlign w:val="center"/>
          </w:tcPr>
          <w:p w14:paraId="66F9280F" w14:textId="3E8E0291" w:rsidR="008B513C" w:rsidRDefault="008B513C" w:rsidP="00E61DA5">
            <w:pPr>
              <w:pStyle w:val="TableText"/>
              <w:jc w:val="center"/>
              <w:rPr>
                <w:lang w:eastAsia="ja-JP"/>
              </w:rPr>
            </w:pPr>
            <w:r>
              <w:rPr>
                <w:lang w:eastAsia="ja-JP"/>
              </w:rPr>
              <w:t>Major</w:t>
            </w:r>
          </w:p>
        </w:tc>
      </w:tr>
      <w:tr w:rsidR="008B513C" w14:paraId="50CAB191" w14:textId="77777777" w:rsidTr="00E61DA5">
        <w:trPr>
          <w:cantSplit/>
          <w:tblHeader/>
        </w:trPr>
        <w:tc>
          <w:tcPr>
            <w:tcW w:w="7054" w:type="dxa"/>
          </w:tcPr>
          <w:p w14:paraId="0836E9DE" w14:textId="77777777" w:rsidR="008B513C" w:rsidRPr="00646159" w:rsidRDefault="008B513C" w:rsidP="008B513C">
            <w:pPr>
              <w:pStyle w:val="TableText"/>
            </w:pPr>
            <w:r>
              <w:rPr>
                <w:lang w:eastAsia="ja-JP"/>
              </w:rPr>
              <w:t xml:space="preserve">3.13 </w:t>
            </w:r>
            <w:r w:rsidRPr="00646159">
              <w:t>On deconsolidation of a shipping container or receipt of cartons</w:t>
            </w:r>
            <w:r>
              <w:t xml:space="preserve"> </w:t>
            </w:r>
            <w:r w:rsidRPr="00646159">
              <w:t xml:space="preserve">from a cold store, the </w:t>
            </w:r>
            <w:r>
              <w:t>BIP</w:t>
            </w:r>
            <w:r w:rsidRPr="00646159">
              <w:t xml:space="preserve"> must:</w:t>
            </w:r>
          </w:p>
          <w:p w14:paraId="3DB693FC" w14:textId="77777777" w:rsidR="008B513C" w:rsidRPr="00FD6D3F" w:rsidRDefault="008B513C" w:rsidP="008B513C">
            <w:pPr>
              <w:pStyle w:val="TableBullet"/>
            </w:pPr>
            <w:r w:rsidRPr="00FD6D3F">
              <w:t>conduct a physical count of the cartons</w:t>
            </w:r>
          </w:p>
          <w:p w14:paraId="2057F614" w14:textId="77777777" w:rsidR="008B513C" w:rsidRPr="00FD6D3F" w:rsidRDefault="008B513C" w:rsidP="008B513C">
            <w:pPr>
              <w:pStyle w:val="TableBullet"/>
            </w:pPr>
            <w:r w:rsidRPr="00FD6D3F">
              <w:t>inspect for damaged, thawed or bloodied cartons</w:t>
            </w:r>
          </w:p>
          <w:p w14:paraId="69881456" w14:textId="77777777" w:rsidR="008B513C" w:rsidRPr="004D6CB0" w:rsidRDefault="008B513C" w:rsidP="008B513C">
            <w:pPr>
              <w:pStyle w:val="TableBullet"/>
            </w:pPr>
            <w:r w:rsidRPr="00FD6D3F">
              <w:t>verify that the country of origin on the cartons matches the</w:t>
            </w:r>
            <w:r>
              <w:t xml:space="preserve"> </w:t>
            </w:r>
            <w:r w:rsidRPr="004D6CB0">
              <w:t>country of origin on the biosecurity movement direction</w:t>
            </w:r>
          </w:p>
          <w:p w14:paraId="2481147D" w14:textId="77777777" w:rsidR="008B513C" w:rsidRPr="00FD6D3F" w:rsidRDefault="008B513C" w:rsidP="008B513C">
            <w:pPr>
              <w:pStyle w:val="TableBullet"/>
            </w:pPr>
            <w:r w:rsidRPr="00FD6D3F">
              <w:t>verify the cartons are identified as imported if received from</w:t>
            </w:r>
          </w:p>
          <w:p w14:paraId="06FBD2CF" w14:textId="77777777" w:rsidR="008B513C" w:rsidRPr="00FD6D3F" w:rsidRDefault="008B513C" w:rsidP="008B513C">
            <w:pPr>
              <w:pStyle w:val="TableBullet"/>
            </w:pPr>
            <w:r w:rsidRPr="00FD6D3F">
              <w:t>a cold store</w:t>
            </w:r>
          </w:p>
          <w:p w14:paraId="5415E72A" w14:textId="05D3090C" w:rsidR="008B513C" w:rsidRDefault="008B513C" w:rsidP="008B513C">
            <w:pPr>
              <w:pStyle w:val="TableBullet"/>
              <w:rPr>
                <w:lang w:eastAsia="ja-JP"/>
              </w:rPr>
            </w:pPr>
            <w:r w:rsidRPr="00FD6D3F">
              <w:t>confirm the consignment matches the biosecurity movement direction.</w:t>
            </w:r>
          </w:p>
        </w:tc>
        <w:tc>
          <w:tcPr>
            <w:tcW w:w="2006" w:type="dxa"/>
            <w:vAlign w:val="center"/>
          </w:tcPr>
          <w:p w14:paraId="6752065B" w14:textId="0130A064" w:rsidR="008B513C" w:rsidRDefault="008B513C" w:rsidP="00E61DA5">
            <w:pPr>
              <w:pStyle w:val="TableText"/>
              <w:jc w:val="center"/>
              <w:rPr>
                <w:lang w:eastAsia="ja-JP"/>
              </w:rPr>
            </w:pPr>
            <w:r>
              <w:rPr>
                <w:lang w:eastAsia="ja-JP"/>
              </w:rPr>
              <w:t>Major</w:t>
            </w:r>
          </w:p>
        </w:tc>
      </w:tr>
      <w:tr w:rsidR="008B513C" w14:paraId="08C02424" w14:textId="77777777" w:rsidTr="00E61DA5">
        <w:trPr>
          <w:cantSplit/>
          <w:tblHeader/>
        </w:trPr>
        <w:tc>
          <w:tcPr>
            <w:tcW w:w="7054" w:type="dxa"/>
          </w:tcPr>
          <w:p w14:paraId="5871B5C1" w14:textId="77777777" w:rsidR="008B513C" w:rsidRPr="004D6CB0" w:rsidRDefault="008B513C" w:rsidP="008B513C">
            <w:pPr>
              <w:pStyle w:val="TableText"/>
            </w:pPr>
            <w:r>
              <w:rPr>
                <w:lang w:eastAsia="ja-JP"/>
              </w:rPr>
              <w:t xml:space="preserve">3.14 </w:t>
            </w:r>
            <w:r w:rsidRPr="004D6CB0">
              <w:t xml:space="preserve">The </w:t>
            </w:r>
            <w:r>
              <w:t>BIP</w:t>
            </w:r>
            <w:r w:rsidRPr="004D6CB0">
              <w:t xml:space="preserve"> must n</w:t>
            </w:r>
            <w:r>
              <w:t xml:space="preserve">otify the department as soon as </w:t>
            </w:r>
            <w:r w:rsidRPr="004D6CB0">
              <w:t>possible within 24 hours of the deconsolida</w:t>
            </w:r>
            <w:r>
              <w:t xml:space="preserve">tion of a shipping container or </w:t>
            </w:r>
            <w:r w:rsidRPr="004D6CB0">
              <w:t>receipt of cartons from a cold store if:</w:t>
            </w:r>
          </w:p>
          <w:p w14:paraId="1D568289" w14:textId="77777777" w:rsidR="008B513C" w:rsidRPr="004D6CB0" w:rsidRDefault="008B513C" w:rsidP="008B513C">
            <w:pPr>
              <w:pStyle w:val="TableBullet"/>
            </w:pPr>
            <w:r w:rsidRPr="004D6CB0">
              <w:t>the physical carton count does not match the number on</w:t>
            </w:r>
            <w:r>
              <w:t xml:space="preserve"> </w:t>
            </w:r>
            <w:r w:rsidRPr="004D6CB0">
              <w:t>the biosecurity movement direction,</w:t>
            </w:r>
          </w:p>
          <w:p w14:paraId="1ADA77F2" w14:textId="77777777" w:rsidR="008B513C" w:rsidRPr="004D6CB0" w:rsidRDefault="008B513C" w:rsidP="008B513C">
            <w:pPr>
              <w:pStyle w:val="TableBullet"/>
            </w:pPr>
            <w:r w:rsidRPr="004D6CB0">
              <w:t>there are damaged, thawed or bloodied cartons,</w:t>
            </w:r>
          </w:p>
          <w:p w14:paraId="4A383EE7" w14:textId="77777777" w:rsidR="008B513C" w:rsidRPr="004D6CB0" w:rsidRDefault="008B513C" w:rsidP="008B513C">
            <w:pPr>
              <w:pStyle w:val="TableBullet"/>
            </w:pPr>
            <w:r w:rsidRPr="004D6CB0">
              <w:t>the country of origin on the cartons does not match the</w:t>
            </w:r>
            <w:r>
              <w:t xml:space="preserve"> </w:t>
            </w:r>
            <w:r w:rsidRPr="004D6CB0">
              <w:t>country of origin on the biosecurity movement direction, or</w:t>
            </w:r>
          </w:p>
          <w:p w14:paraId="0B0ADFB8" w14:textId="6AD20266" w:rsidR="008B513C" w:rsidRDefault="008B513C" w:rsidP="008B513C">
            <w:pPr>
              <w:pStyle w:val="TableBullet"/>
              <w:rPr>
                <w:lang w:eastAsia="ja-JP"/>
              </w:rPr>
            </w:pPr>
            <w:r w:rsidRPr="004D6CB0">
              <w:t>cartons are received from a cold store without being</w:t>
            </w:r>
            <w:r>
              <w:t xml:space="preserve"> </w:t>
            </w:r>
            <w:r w:rsidRPr="004D6CB0">
              <w:t>securely transported and identified as imported.</w:t>
            </w:r>
          </w:p>
        </w:tc>
        <w:tc>
          <w:tcPr>
            <w:tcW w:w="2006" w:type="dxa"/>
            <w:vAlign w:val="center"/>
          </w:tcPr>
          <w:p w14:paraId="3B3559BB" w14:textId="3CBE8DCE" w:rsidR="008B513C" w:rsidRDefault="008B513C" w:rsidP="00E61DA5">
            <w:pPr>
              <w:pStyle w:val="TableText"/>
              <w:jc w:val="center"/>
              <w:rPr>
                <w:lang w:eastAsia="ja-JP"/>
              </w:rPr>
            </w:pPr>
            <w:r>
              <w:rPr>
                <w:lang w:eastAsia="ja-JP"/>
              </w:rPr>
              <w:t>Major</w:t>
            </w:r>
          </w:p>
        </w:tc>
      </w:tr>
      <w:tr w:rsidR="00E61DA5" w14:paraId="496AD234" w14:textId="77777777" w:rsidTr="00E61DA5">
        <w:trPr>
          <w:cantSplit/>
          <w:tblHeader/>
        </w:trPr>
        <w:tc>
          <w:tcPr>
            <w:tcW w:w="7054" w:type="dxa"/>
          </w:tcPr>
          <w:p w14:paraId="043E5F22" w14:textId="77777777" w:rsidR="00E61DA5" w:rsidRPr="004D6CB0" w:rsidRDefault="00E61DA5" w:rsidP="00E61DA5">
            <w:pPr>
              <w:pStyle w:val="TableText"/>
            </w:pPr>
            <w:r>
              <w:rPr>
                <w:lang w:eastAsia="ja-JP"/>
              </w:rPr>
              <w:t xml:space="preserve">3.15 </w:t>
            </w:r>
            <w:r>
              <w:t>D</w:t>
            </w:r>
            <w:r w:rsidRPr="004D6CB0">
              <w:t xml:space="preserve">amaged, </w:t>
            </w:r>
            <w:proofErr w:type="gramStart"/>
            <w:r w:rsidRPr="004D6CB0">
              <w:t>thawed</w:t>
            </w:r>
            <w:proofErr w:type="gramEnd"/>
            <w:r w:rsidRPr="004D6CB0">
              <w:t xml:space="preserve"> or bloodied cartons must be:</w:t>
            </w:r>
          </w:p>
          <w:p w14:paraId="67D44383" w14:textId="77777777" w:rsidR="00E61DA5" w:rsidRPr="00C77579" w:rsidRDefault="00E61DA5" w:rsidP="00E61DA5">
            <w:pPr>
              <w:pStyle w:val="TableBullet"/>
            </w:pPr>
            <w:r w:rsidRPr="00C77579">
              <w:t xml:space="preserve">immediately secured and labelled as nonconforming products with traceability </w:t>
            </w:r>
            <w:proofErr w:type="gramStart"/>
            <w:r w:rsidRPr="00C77579">
              <w:t>information</w:t>
            </w:r>
            <w:proofErr w:type="gramEnd"/>
          </w:p>
          <w:p w14:paraId="1DF41BED" w14:textId="77777777" w:rsidR="00E61DA5" w:rsidRDefault="00E61DA5" w:rsidP="00E61DA5">
            <w:pPr>
              <w:pStyle w:val="TableBullet"/>
              <w:rPr>
                <w:lang w:eastAsia="ja-JP"/>
              </w:rPr>
            </w:pPr>
            <w:r w:rsidRPr="00C77579">
              <w:t xml:space="preserve">stored segregated from other product pending the </w:t>
            </w:r>
            <w:r>
              <w:t>BIP</w:t>
            </w:r>
            <w:r w:rsidRPr="00C77579">
              <w:t>’s decision on whether to process or dispose of</w:t>
            </w:r>
          </w:p>
          <w:p w14:paraId="50DB54AC" w14:textId="1A933F67" w:rsidR="00E61DA5" w:rsidRDefault="00E61DA5" w:rsidP="00E61DA5">
            <w:pPr>
              <w:pStyle w:val="TableBullet"/>
              <w:rPr>
                <w:lang w:eastAsia="ja-JP"/>
              </w:rPr>
            </w:pPr>
            <w:r w:rsidRPr="00C77579">
              <w:t>immediately placed in a designated biosecurity waste bin for disposal as imported pig meat waste.</w:t>
            </w:r>
          </w:p>
        </w:tc>
        <w:tc>
          <w:tcPr>
            <w:tcW w:w="2006" w:type="dxa"/>
            <w:vAlign w:val="center"/>
          </w:tcPr>
          <w:p w14:paraId="094C266D" w14:textId="31A11720" w:rsidR="00E61DA5" w:rsidRDefault="00E61DA5" w:rsidP="00E61DA5">
            <w:pPr>
              <w:pStyle w:val="TableText"/>
              <w:jc w:val="center"/>
              <w:rPr>
                <w:lang w:eastAsia="ja-JP"/>
              </w:rPr>
            </w:pPr>
            <w:r>
              <w:rPr>
                <w:lang w:eastAsia="ja-JP"/>
              </w:rPr>
              <w:t>Major</w:t>
            </w:r>
          </w:p>
        </w:tc>
      </w:tr>
      <w:tr w:rsidR="00E61DA5" w14:paraId="6B2A08AC" w14:textId="77777777" w:rsidTr="00E61DA5">
        <w:trPr>
          <w:cantSplit/>
          <w:tblHeader/>
        </w:trPr>
        <w:tc>
          <w:tcPr>
            <w:tcW w:w="7054" w:type="dxa"/>
          </w:tcPr>
          <w:p w14:paraId="54618B2F" w14:textId="77777777" w:rsidR="00E61DA5" w:rsidRPr="004D6CB0" w:rsidRDefault="00E61DA5" w:rsidP="00E61DA5">
            <w:pPr>
              <w:pStyle w:val="TableText"/>
            </w:pPr>
            <w:r>
              <w:rPr>
                <w:lang w:eastAsia="ja-JP"/>
              </w:rPr>
              <w:t xml:space="preserve">3.16 </w:t>
            </w:r>
            <w:r w:rsidRPr="004D6CB0">
              <w:t xml:space="preserve">The </w:t>
            </w:r>
            <w:r>
              <w:t>BIP</w:t>
            </w:r>
            <w:r w:rsidRPr="004D6CB0">
              <w:t xml:space="preserve"> mus</w:t>
            </w:r>
            <w:r>
              <w:t xml:space="preserve">t hold all the cartons from the </w:t>
            </w:r>
            <w:r w:rsidRPr="004D6CB0">
              <w:t xml:space="preserve">transfer in storage until further advice is received from the department, </w:t>
            </w:r>
            <w:proofErr w:type="gramStart"/>
            <w:r w:rsidRPr="004D6CB0">
              <w:t>in the event that</w:t>
            </w:r>
            <w:proofErr w:type="gramEnd"/>
            <w:r w:rsidRPr="004D6CB0">
              <w:t xml:space="preserve"> the:</w:t>
            </w:r>
          </w:p>
          <w:p w14:paraId="4B5983AF" w14:textId="77777777" w:rsidR="00E61DA5" w:rsidRDefault="00E61DA5" w:rsidP="00E61DA5">
            <w:pPr>
              <w:pStyle w:val="TableBullet"/>
              <w:rPr>
                <w:lang w:eastAsia="ja-JP"/>
              </w:rPr>
            </w:pPr>
            <w:r w:rsidRPr="00C77579">
              <w:t>physical carton count does not match the number on the</w:t>
            </w:r>
            <w:r>
              <w:t xml:space="preserve"> </w:t>
            </w:r>
            <w:r w:rsidRPr="00C77579">
              <w:t>biosecurity movement direction; or</w:t>
            </w:r>
          </w:p>
          <w:p w14:paraId="0F92E9CB" w14:textId="2CB5891A" w:rsidR="00E61DA5" w:rsidRDefault="00E61DA5" w:rsidP="00E61DA5">
            <w:pPr>
              <w:pStyle w:val="TableBullet"/>
              <w:rPr>
                <w:lang w:eastAsia="ja-JP"/>
              </w:rPr>
            </w:pPr>
            <w:r w:rsidRPr="00C77579">
              <w:t>country of origin on the cartons does not match the country</w:t>
            </w:r>
            <w:r>
              <w:t xml:space="preserve"> </w:t>
            </w:r>
            <w:r w:rsidRPr="00C77579">
              <w:t>of origin on the biosecurity movement direction.</w:t>
            </w:r>
          </w:p>
        </w:tc>
        <w:tc>
          <w:tcPr>
            <w:tcW w:w="2006" w:type="dxa"/>
            <w:vAlign w:val="center"/>
          </w:tcPr>
          <w:p w14:paraId="121FDB3A" w14:textId="2DEAEA4F" w:rsidR="00E61DA5" w:rsidRDefault="00E61DA5" w:rsidP="00E61DA5">
            <w:pPr>
              <w:pStyle w:val="TableText"/>
              <w:jc w:val="center"/>
              <w:rPr>
                <w:lang w:eastAsia="ja-JP"/>
              </w:rPr>
            </w:pPr>
            <w:r>
              <w:rPr>
                <w:lang w:eastAsia="ja-JP"/>
              </w:rPr>
              <w:t>Major</w:t>
            </w:r>
          </w:p>
        </w:tc>
      </w:tr>
      <w:tr w:rsidR="00E61DA5" w14:paraId="0BCCF157" w14:textId="77777777" w:rsidTr="00E61DA5">
        <w:trPr>
          <w:cantSplit/>
          <w:tblHeader/>
        </w:trPr>
        <w:tc>
          <w:tcPr>
            <w:tcW w:w="7054" w:type="dxa"/>
          </w:tcPr>
          <w:p w14:paraId="4F47BB31" w14:textId="77777777" w:rsidR="00E61DA5" w:rsidRPr="003917F5" w:rsidRDefault="00E61DA5" w:rsidP="00E61DA5">
            <w:pPr>
              <w:pStyle w:val="TableText"/>
            </w:pPr>
            <w:r>
              <w:rPr>
                <w:lang w:eastAsia="ja-JP"/>
              </w:rPr>
              <w:t xml:space="preserve">3.17 </w:t>
            </w:r>
            <w:r w:rsidRPr="003917F5">
              <w:t xml:space="preserve">During storage the </w:t>
            </w:r>
            <w:r>
              <w:t>BIP</w:t>
            </w:r>
            <w:r w:rsidRPr="003917F5">
              <w:t xml:space="preserve"> must ensure that:</w:t>
            </w:r>
          </w:p>
          <w:p w14:paraId="385AE2D2" w14:textId="77777777" w:rsidR="00E61DA5" w:rsidRDefault="00E61DA5" w:rsidP="00E61DA5">
            <w:pPr>
              <w:pStyle w:val="TableBullet"/>
              <w:rPr>
                <w:lang w:eastAsia="ja-JP"/>
              </w:rPr>
            </w:pPr>
            <w:r w:rsidRPr="003917F5">
              <w:t xml:space="preserve">imported uncooked pig meat is clearly identified, traceable to the biosecurity entry number and stored segregated from cooked imported pig meat, domestic pig meat or pig meat for </w:t>
            </w:r>
            <w:proofErr w:type="gramStart"/>
            <w:r w:rsidRPr="003917F5">
              <w:t>export</w:t>
            </w:r>
            <w:proofErr w:type="gramEnd"/>
          </w:p>
          <w:p w14:paraId="180E5768" w14:textId="46D018F9" w:rsidR="00E61DA5" w:rsidRDefault="00E61DA5" w:rsidP="00E61DA5">
            <w:pPr>
              <w:pStyle w:val="TableBullet"/>
              <w:rPr>
                <w:lang w:eastAsia="ja-JP"/>
              </w:rPr>
            </w:pPr>
            <w:r w:rsidRPr="003917F5">
              <w:t>imported pig meat is not stored above domestic product.</w:t>
            </w:r>
          </w:p>
        </w:tc>
        <w:tc>
          <w:tcPr>
            <w:tcW w:w="2006" w:type="dxa"/>
          </w:tcPr>
          <w:p w14:paraId="793BF257" w14:textId="6495C8A3" w:rsidR="00E61DA5" w:rsidRDefault="00E61DA5" w:rsidP="00E61DA5">
            <w:pPr>
              <w:pStyle w:val="TableText"/>
              <w:jc w:val="center"/>
              <w:rPr>
                <w:lang w:eastAsia="ja-JP"/>
              </w:rPr>
            </w:pPr>
            <w:r>
              <w:rPr>
                <w:lang w:eastAsia="ja-JP"/>
              </w:rPr>
              <w:t>Major</w:t>
            </w:r>
          </w:p>
        </w:tc>
      </w:tr>
    </w:tbl>
    <w:p w14:paraId="4E7BA236" w14:textId="20AF0E3A" w:rsidR="008B513C" w:rsidRPr="00E61DA5" w:rsidRDefault="008B513C" w:rsidP="008B513C">
      <w:pPr>
        <w:pStyle w:val="Caption"/>
        <w:spacing w:before="240"/>
        <w:rPr>
          <w:color w:val="FF0000"/>
          <w:sz w:val="28"/>
          <w:szCs w:val="20"/>
        </w:rPr>
      </w:pPr>
      <w:r w:rsidRPr="00E61DA5">
        <w:rPr>
          <w:color w:val="FF0000"/>
          <w:sz w:val="28"/>
          <w:szCs w:val="20"/>
        </w:rPr>
        <w:lastRenderedPageBreak/>
        <w:t xml:space="preserve">Table 3C </w:t>
      </w:r>
      <w:r w:rsidR="00987FE1" w:rsidRPr="00E61DA5">
        <w:rPr>
          <w:color w:val="FF0000"/>
          <w:sz w:val="28"/>
          <w:szCs w:val="20"/>
          <w:lang w:eastAsia="ja-JP"/>
        </w:rPr>
        <w:t>Conditions</w:t>
      </w:r>
      <w:r w:rsidR="00987FE1" w:rsidRPr="00E61DA5">
        <w:rPr>
          <w:color w:val="FF0000"/>
          <w:sz w:val="28"/>
          <w:szCs w:val="20"/>
        </w:rPr>
        <w:t xml:space="preserve"> </w:t>
      </w:r>
      <w:r w:rsidRPr="00E61DA5">
        <w:rPr>
          <w:color w:val="FF0000"/>
          <w:sz w:val="28"/>
          <w:szCs w:val="20"/>
        </w:rPr>
        <w:t>(continued)</w:t>
      </w:r>
    </w:p>
    <w:tbl>
      <w:tblPr>
        <w:tblStyle w:val="TableGrid"/>
        <w:tblW w:w="0" w:type="auto"/>
        <w:tblLook w:val="04A0" w:firstRow="1" w:lastRow="0" w:firstColumn="1" w:lastColumn="0" w:noHBand="0" w:noVBand="1"/>
      </w:tblPr>
      <w:tblGrid>
        <w:gridCol w:w="7054"/>
        <w:gridCol w:w="2006"/>
      </w:tblGrid>
      <w:tr w:rsidR="008B513C" w14:paraId="0D73C199" w14:textId="77777777" w:rsidTr="00E61DA5">
        <w:trPr>
          <w:cantSplit/>
          <w:tblHeader/>
        </w:trPr>
        <w:tc>
          <w:tcPr>
            <w:tcW w:w="7054" w:type="dxa"/>
          </w:tcPr>
          <w:p w14:paraId="546C9668" w14:textId="2A4E09A3" w:rsidR="008B513C" w:rsidRDefault="00987FE1" w:rsidP="008B513C">
            <w:pPr>
              <w:pStyle w:val="TableHeading"/>
              <w:rPr>
                <w:lang w:eastAsia="ja-JP"/>
              </w:rPr>
            </w:pPr>
            <w:r>
              <w:rPr>
                <w:lang w:eastAsia="ja-JP"/>
              </w:rPr>
              <w:t>Conditions</w:t>
            </w:r>
          </w:p>
        </w:tc>
        <w:tc>
          <w:tcPr>
            <w:tcW w:w="2006" w:type="dxa"/>
          </w:tcPr>
          <w:p w14:paraId="64D2FE54" w14:textId="0E562D68" w:rsidR="008B513C" w:rsidRDefault="008B513C" w:rsidP="008B513C">
            <w:pPr>
              <w:pStyle w:val="TableHeading"/>
              <w:rPr>
                <w:lang w:eastAsia="ja-JP"/>
              </w:rPr>
            </w:pPr>
            <w:r>
              <w:rPr>
                <w:lang w:eastAsia="ja-JP"/>
              </w:rPr>
              <w:t>Nonconformity guide</w:t>
            </w:r>
          </w:p>
        </w:tc>
      </w:tr>
      <w:tr w:rsidR="008B513C" w14:paraId="14F2CBD7" w14:textId="77777777" w:rsidTr="00314982">
        <w:trPr>
          <w:cantSplit/>
          <w:tblHeader/>
        </w:trPr>
        <w:tc>
          <w:tcPr>
            <w:tcW w:w="7054" w:type="dxa"/>
          </w:tcPr>
          <w:p w14:paraId="4AB5E0FD" w14:textId="7D5E0ECE" w:rsidR="008B513C" w:rsidRDefault="008B513C" w:rsidP="008B513C">
            <w:pPr>
              <w:pStyle w:val="TableText"/>
              <w:rPr>
                <w:lang w:eastAsia="ja-JP"/>
              </w:rPr>
            </w:pPr>
            <w:r>
              <w:rPr>
                <w:lang w:eastAsia="ja-JP"/>
              </w:rPr>
              <w:t xml:space="preserve">3.18 </w:t>
            </w:r>
            <w:r w:rsidRPr="003917F5">
              <w:rPr>
                <w:rFonts w:asciiTheme="majorHAnsi" w:hAnsiTheme="majorHAnsi" w:cstheme="majorHAnsi"/>
                <w:bCs/>
              </w:rPr>
              <w:t xml:space="preserve">The </w:t>
            </w:r>
            <w:r>
              <w:rPr>
                <w:rFonts w:asciiTheme="majorHAnsi" w:hAnsiTheme="majorHAnsi" w:cstheme="majorHAnsi"/>
                <w:bCs/>
              </w:rPr>
              <w:t>BIP</w:t>
            </w:r>
            <w:r w:rsidRPr="003917F5">
              <w:rPr>
                <w:rFonts w:asciiTheme="majorHAnsi" w:hAnsiTheme="majorHAnsi" w:cstheme="majorHAnsi"/>
                <w:bCs/>
              </w:rPr>
              <w:t xml:space="preserve"> must process any product that comes in</w:t>
            </w:r>
            <w:r>
              <w:rPr>
                <w:rFonts w:asciiTheme="majorHAnsi" w:hAnsiTheme="majorHAnsi" w:cstheme="majorHAnsi"/>
                <w:bCs/>
              </w:rPr>
              <w:t xml:space="preserve"> </w:t>
            </w:r>
            <w:r w:rsidRPr="003917F5">
              <w:rPr>
                <w:rFonts w:asciiTheme="majorHAnsi" w:hAnsiTheme="majorHAnsi" w:cstheme="majorHAnsi"/>
                <w:bCs/>
              </w:rPr>
              <w:t xml:space="preserve">direct contact with imported uncooked </w:t>
            </w:r>
            <w:r>
              <w:rPr>
                <w:rFonts w:asciiTheme="majorHAnsi" w:hAnsiTheme="majorHAnsi" w:cstheme="majorHAnsi"/>
                <w:bCs/>
              </w:rPr>
              <w:t xml:space="preserve">pig meat in accordance with the </w:t>
            </w:r>
            <w:r w:rsidR="00314982">
              <w:rPr>
                <w:rFonts w:asciiTheme="majorHAnsi" w:hAnsiTheme="majorHAnsi" w:cstheme="majorHAnsi"/>
                <w:bCs/>
              </w:rPr>
              <w:t>conditions</w:t>
            </w:r>
            <w:r w:rsidRPr="003917F5">
              <w:rPr>
                <w:rFonts w:asciiTheme="majorHAnsi" w:hAnsiTheme="majorHAnsi" w:cstheme="majorHAnsi"/>
                <w:bCs/>
              </w:rPr>
              <w:t xml:space="preserve"> for imported uncooked pig meat.</w:t>
            </w:r>
          </w:p>
        </w:tc>
        <w:tc>
          <w:tcPr>
            <w:tcW w:w="2006" w:type="dxa"/>
            <w:vAlign w:val="center"/>
          </w:tcPr>
          <w:p w14:paraId="3E852540" w14:textId="316B1459" w:rsidR="008B513C" w:rsidRDefault="008B513C" w:rsidP="00314982">
            <w:pPr>
              <w:pStyle w:val="TableText"/>
              <w:jc w:val="center"/>
              <w:rPr>
                <w:lang w:eastAsia="ja-JP"/>
              </w:rPr>
            </w:pPr>
            <w:r>
              <w:rPr>
                <w:lang w:eastAsia="ja-JP"/>
              </w:rPr>
              <w:t>Major or critical</w:t>
            </w:r>
          </w:p>
        </w:tc>
      </w:tr>
      <w:tr w:rsidR="008B513C" w14:paraId="18F991D5" w14:textId="77777777" w:rsidTr="00314982">
        <w:trPr>
          <w:cantSplit/>
          <w:tblHeader/>
        </w:trPr>
        <w:tc>
          <w:tcPr>
            <w:tcW w:w="7054" w:type="dxa"/>
          </w:tcPr>
          <w:p w14:paraId="4182A470" w14:textId="4062CEB4" w:rsidR="008B513C" w:rsidRDefault="008B513C" w:rsidP="008B513C">
            <w:pPr>
              <w:pStyle w:val="TableText"/>
              <w:rPr>
                <w:lang w:eastAsia="ja-JP"/>
              </w:rPr>
            </w:pPr>
            <w:r>
              <w:rPr>
                <w:lang w:eastAsia="ja-JP"/>
              </w:rPr>
              <w:t xml:space="preserve">3.19 </w:t>
            </w:r>
            <w:r w:rsidRPr="00A92DA8">
              <w:rPr>
                <w:rFonts w:asciiTheme="majorHAnsi" w:hAnsiTheme="majorHAnsi" w:cstheme="majorHAnsi"/>
                <w:bCs/>
              </w:rPr>
              <w:t xml:space="preserve">The </w:t>
            </w:r>
            <w:r>
              <w:rPr>
                <w:rFonts w:asciiTheme="majorHAnsi" w:hAnsiTheme="majorHAnsi" w:cstheme="majorHAnsi"/>
                <w:bCs/>
              </w:rPr>
              <w:t>BIP</w:t>
            </w:r>
            <w:r w:rsidRPr="00A92DA8">
              <w:rPr>
                <w:rFonts w:asciiTheme="majorHAnsi" w:hAnsiTheme="majorHAnsi" w:cstheme="majorHAnsi"/>
                <w:bCs/>
              </w:rPr>
              <w:t xml:space="preserve"> must notify the department within 24 hours of a physical count of cartons in storage that does not match the corresponding number in the records kept by the BIP.</w:t>
            </w:r>
          </w:p>
        </w:tc>
        <w:tc>
          <w:tcPr>
            <w:tcW w:w="2006" w:type="dxa"/>
            <w:vAlign w:val="center"/>
          </w:tcPr>
          <w:p w14:paraId="4BEB3268" w14:textId="611F5545" w:rsidR="008B513C" w:rsidRDefault="008B513C" w:rsidP="00314982">
            <w:pPr>
              <w:pStyle w:val="TableText"/>
              <w:jc w:val="center"/>
              <w:rPr>
                <w:lang w:eastAsia="ja-JP"/>
              </w:rPr>
            </w:pPr>
            <w:r>
              <w:rPr>
                <w:lang w:eastAsia="ja-JP"/>
              </w:rPr>
              <w:t>Major</w:t>
            </w:r>
          </w:p>
        </w:tc>
      </w:tr>
      <w:tr w:rsidR="008B513C" w14:paraId="0E1DDE9F" w14:textId="77777777" w:rsidTr="00314982">
        <w:trPr>
          <w:cantSplit/>
          <w:tblHeader/>
        </w:trPr>
        <w:tc>
          <w:tcPr>
            <w:tcW w:w="7054" w:type="dxa"/>
          </w:tcPr>
          <w:p w14:paraId="17C68541" w14:textId="77777777" w:rsidR="008B513C" w:rsidRPr="00AF14DC" w:rsidRDefault="008B513C" w:rsidP="008B513C">
            <w:pPr>
              <w:pStyle w:val="TableText"/>
            </w:pPr>
            <w:r>
              <w:rPr>
                <w:lang w:eastAsia="ja-JP"/>
              </w:rPr>
              <w:t xml:space="preserve">3.20 </w:t>
            </w:r>
            <w:r w:rsidRPr="00AF14DC">
              <w:t>Imported pig meat and imported pig meat waste must be clearly</w:t>
            </w:r>
            <w:r>
              <w:t xml:space="preserve"> identified </w:t>
            </w:r>
            <w:r w:rsidRPr="00AF14DC">
              <w:t>and traceable at all times, from receipt and storage</w:t>
            </w:r>
            <w:r>
              <w:t xml:space="preserve"> through to processing </w:t>
            </w:r>
            <w:r w:rsidRPr="00AF14DC">
              <w:t>into a final cooked product for</w:t>
            </w:r>
            <w:r>
              <w:t xml:space="preserve"> </w:t>
            </w:r>
            <w:r w:rsidRPr="00AF14DC">
              <w:t>distribution. This is required for both whole</w:t>
            </w:r>
            <w:r>
              <w:t xml:space="preserve"> </w:t>
            </w:r>
            <w:r w:rsidRPr="00AF14DC">
              <w:t>cuts of meat and</w:t>
            </w:r>
            <w:r>
              <w:t xml:space="preserve"> </w:t>
            </w:r>
            <w:r w:rsidRPr="00AF14DC">
              <w:t>trimmed product and must enable the product to be traced back</w:t>
            </w:r>
            <w:r>
              <w:t xml:space="preserve"> </w:t>
            </w:r>
            <w:r w:rsidRPr="00AF14DC">
              <w:t>to the:</w:t>
            </w:r>
          </w:p>
          <w:p w14:paraId="35F2CE01" w14:textId="77777777" w:rsidR="008B513C" w:rsidRPr="00AF14DC" w:rsidRDefault="008B513C" w:rsidP="008B513C">
            <w:pPr>
              <w:pStyle w:val="TableBullet"/>
            </w:pPr>
            <w:r w:rsidRPr="00AF14DC">
              <w:t>biosecurity entry number</w:t>
            </w:r>
          </w:p>
          <w:p w14:paraId="395C47E2" w14:textId="3ED5C977" w:rsidR="008B513C" w:rsidRDefault="008B513C" w:rsidP="008B513C">
            <w:pPr>
              <w:pStyle w:val="TableBullet"/>
              <w:rPr>
                <w:lang w:eastAsia="ja-JP"/>
              </w:rPr>
            </w:pPr>
            <w:r w:rsidRPr="00AF14DC">
              <w:t>number of the shipping container in which the meat arrived in Australia.</w:t>
            </w:r>
          </w:p>
        </w:tc>
        <w:tc>
          <w:tcPr>
            <w:tcW w:w="2006" w:type="dxa"/>
            <w:vAlign w:val="center"/>
          </w:tcPr>
          <w:p w14:paraId="243E8916" w14:textId="2BF2A3CA" w:rsidR="008B513C" w:rsidRDefault="008B513C" w:rsidP="00314982">
            <w:pPr>
              <w:pStyle w:val="TableText"/>
              <w:jc w:val="center"/>
              <w:rPr>
                <w:lang w:eastAsia="ja-JP"/>
              </w:rPr>
            </w:pPr>
            <w:r>
              <w:rPr>
                <w:lang w:eastAsia="ja-JP"/>
              </w:rPr>
              <w:t>Major</w:t>
            </w:r>
          </w:p>
        </w:tc>
      </w:tr>
      <w:tr w:rsidR="008B513C" w14:paraId="6C3128B5" w14:textId="77777777" w:rsidTr="00314982">
        <w:trPr>
          <w:cantSplit/>
          <w:tblHeader/>
        </w:trPr>
        <w:tc>
          <w:tcPr>
            <w:tcW w:w="7054" w:type="dxa"/>
          </w:tcPr>
          <w:p w14:paraId="2AF23422" w14:textId="37D8C108" w:rsidR="008B513C" w:rsidRDefault="008B513C" w:rsidP="008B513C">
            <w:pPr>
              <w:pStyle w:val="TableText"/>
              <w:tabs>
                <w:tab w:val="left" w:pos="1065"/>
              </w:tabs>
              <w:rPr>
                <w:lang w:eastAsia="ja-JP"/>
              </w:rPr>
            </w:pPr>
            <w:r>
              <w:rPr>
                <w:lang w:eastAsia="ja-JP"/>
              </w:rPr>
              <w:t xml:space="preserve">3.21 </w:t>
            </w:r>
            <w:r w:rsidRPr="00A2218C">
              <w:rPr>
                <w:rFonts w:asciiTheme="majorHAnsi" w:hAnsiTheme="majorHAnsi" w:cstheme="majorHAnsi"/>
                <w:bCs/>
              </w:rPr>
              <w:t>Cooking records must be completed and</w:t>
            </w:r>
            <w:r>
              <w:rPr>
                <w:rFonts w:asciiTheme="majorHAnsi" w:hAnsiTheme="majorHAnsi" w:cstheme="majorHAnsi"/>
                <w:bCs/>
              </w:rPr>
              <w:t xml:space="preserve"> kept for all imported pig meat </w:t>
            </w:r>
            <w:r w:rsidRPr="00A2218C">
              <w:rPr>
                <w:rFonts w:asciiTheme="majorHAnsi" w:hAnsiTheme="majorHAnsi" w:cstheme="majorHAnsi"/>
                <w:bCs/>
              </w:rPr>
              <w:t>(both whole cuts and trimmings). The cookin</w:t>
            </w:r>
            <w:r>
              <w:rPr>
                <w:rFonts w:asciiTheme="majorHAnsi" w:hAnsiTheme="majorHAnsi" w:cstheme="majorHAnsi"/>
                <w:bCs/>
              </w:rPr>
              <w:t xml:space="preserve">g records must clearly identify </w:t>
            </w:r>
            <w:r w:rsidRPr="00A2218C">
              <w:rPr>
                <w:rFonts w:asciiTheme="majorHAnsi" w:hAnsiTheme="majorHAnsi" w:cstheme="majorHAnsi"/>
                <w:bCs/>
              </w:rPr>
              <w:t>that they relate to the cooking of imported</w:t>
            </w:r>
            <w:r>
              <w:rPr>
                <w:rFonts w:asciiTheme="majorHAnsi" w:hAnsiTheme="majorHAnsi" w:cstheme="majorHAnsi"/>
                <w:bCs/>
              </w:rPr>
              <w:t xml:space="preserve"> pig meat, and must include the </w:t>
            </w:r>
            <w:r w:rsidRPr="00A2218C">
              <w:rPr>
                <w:rFonts w:asciiTheme="majorHAnsi" w:hAnsiTheme="majorHAnsi" w:cstheme="majorHAnsi"/>
                <w:bCs/>
              </w:rPr>
              <w:t>cooking date, the cooking temp</w:t>
            </w:r>
            <w:r>
              <w:rPr>
                <w:rFonts w:asciiTheme="majorHAnsi" w:hAnsiTheme="majorHAnsi" w:cstheme="majorHAnsi"/>
                <w:bCs/>
              </w:rPr>
              <w:t xml:space="preserve">erature and time, and a product </w:t>
            </w:r>
            <w:r w:rsidRPr="00A2218C">
              <w:rPr>
                <w:rFonts w:asciiTheme="majorHAnsi" w:hAnsiTheme="majorHAnsi" w:cstheme="majorHAnsi"/>
                <w:bCs/>
              </w:rPr>
              <w:t>identification code enabling trace back to the biosecurity entry number.</w:t>
            </w:r>
          </w:p>
        </w:tc>
        <w:tc>
          <w:tcPr>
            <w:tcW w:w="2006" w:type="dxa"/>
            <w:vAlign w:val="center"/>
          </w:tcPr>
          <w:p w14:paraId="28C6C2F0" w14:textId="777226DB" w:rsidR="008B513C" w:rsidRDefault="008B513C" w:rsidP="00314982">
            <w:pPr>
              <w:pStyle w:val="TableText"/>
              <w:jc w:val="center"/>
              <w:rPr>
                <w:lang w:eastAsia="ja-JP"/>
              </w:rPr>
            </w:pPr>
            <w:r>
              <w:rPr>
                <w:lang w:eastAsia="ja-JP"/>
              </w:rPr>
              <w:t>Major</w:t>
            </w:r>
          </w:p>
        </w:tc>
      </w:tr>
      <w:tr w:rsidR="008B513C" w14:paraId="0DAA441F" w14:textId="77777777" w:rsidTr="00314982">
        <w:trPr>
          <w:cantSplit/>
          <w:tblHeader/>
        </w:trPr>
        <w:tc>
          <w:tcPr>
            <w:tcW w:w="7054" w:type="dxa"/>
          </w:tcPr>
          <w:p w14:paraId="0CAE80C6" w14:textId="18E0ADDF" w:rsidR="008B513C" w:rsidRDefault="008B513C" w:rsidP="008B513C">
            <w:pPr>
              <w:pStyle w:val="TableText"/>
              <w:tabs>
                <w:tab w:val="left" w:pos="1065"/>
              </w:tabs>
              <w:rPr>
                <w:lang w:eastAsia="ja-JP"/>
              </w:rPr>
            </w:pPr>
            <w:r>
              <w:rPr>
                <w:lang w:eastAsia="ja-JP"/>
              </w:rPr>
              <w:t xml:space="preserve">3.22 </w:t>
            </w:r>
            <w:r w:rsidRPr="00F352B5">
              <w:rPr>
                <w:rFonts w:asciiTheme="majorHAnsi" w:hAnsiTheme="majorHAnsi" w:cstheme="majorHAnsi"/>
                <w:bCs/>
              </w:rPr>
              <w:t>Every cooking process must be monitored using electronic</w:t>
            </w:r>
            <w:r>
              <w:rPr>
                <w:rFonts w:asciiTheme="majorHAnsi" w:hAnsiTheme="majorHAnsi" w:cstheme="majorHAnsi"/>
                <w:bCs/>
              </w:rPr>
              <w:t xml:space="preserve"> </w:t>
            </w:r>
            <w:r w:rsidRPr="00F352B5">
              <w:rPr>
                <w:rFonts w:asciiTheme="majorHAnsi" w:hAnsiTheme="majorHAnsi" w:cstheme="majorHAnsi"/>
                <w:bCs/>
              </w:rPr>
              <w:t>monitoring and recording equipment. The cooking process must</w:t>
            </w:r>
            <w:r>
              <w:rPr>
                <w:rFonts w:asciiTheme="majorHAnsi" w:hAnsiTheme="majorHAnsi" w:cstheme="majorHAnsi"/>
                <w:bCs/>
              </w:rPr>
              <w:t xml:space="preserve"> be verified using </w:t>
            </w:r>
            <w:r w:rsidRPr="00F352B5">
              <w:rPr>
                <w:rFonts w:asciiTheme="majorHAnsi" w:hAnsiTheme="majorHAnsi" w:cstheme="majorHAnsi"/>
                <w:bCs/>
              </w:rPr>
              <w:t>probes/thermometers to provide assurance</w:t>
            </w:r>
            <w:r>
              <w:rPr>
                <w:rFonts w:asciiTheme="majorHAnsi" w:hAnsiTheme="majorHAnsi" w:cstheme="majorHAnsi"/>
                <w:bCs/>
              </w:rPr>
              <w:t xml:space="preserve"> that core temperatures are </w:t>
            </w:r>
            <w:r w:rsidRPr="00F352B5">
              <w:rPr>
                <w:rFonts w:asciiTheme="majorHAnsi" w:hAnsiTheme="majorHAnsi" w:cstheme="majorHAnsi"/>
                <w:bCs/>
              </w:rPr>
              <w:t>maintained in accordance with the department-approved core temperatures</w:t>
            </w:r>
            <w:r>
              <w:rPr>
                <w:rFonts w:asciiTheme="majorHAnsi" w:hAnsiTheme="majorHAnsi" w:cstheme="majorHAnsi"/>
                <w:bCs/>
              </w:rPr>
              <w:t xml:space="preserve"> </w:t>
            </w:r>
            <w:r w:rsidRPr="00F352B5">
              <w:rPr>
                <w:rFonts w:asciiTheme="majorHAnsi" w:hAnsiTheme="majorHAnsi" w:cstheme="majorHAnsi"/>
                <w:bCs/>
              </w:rPr>
              <w:t>and times for product or waste</w:t>
            </w:r>
            <w:r>
              <w:rPr>
                <w:rFonts w:asciiTheme="majorHAnsi" w:hAnsiTheme="majorHAnsi" w:cstheme="majorHAnsi"/>
                <w:bCs/>
              </w:rPr>
              <w:t>.</w:t>
            </w:r>
          </w:p>
        </w:tc>
        <w:tc>
          <w:tcPr>
            <w:tcW w:w="2006" w:type="dxa"/>
            <w:vAlign w:val="center"/>
          </w:tcPr>
          <w:p w14:paraId="1D8EE314" w14:textId="22B2C01F" w:rsidR="008B513C" w:rsidRDefault="008B513C" w:rsidP="00314982">
            <w:pPr>
              <w:pStyle w:val="TableText"/>
              <w:jc w:val="center"/>
              <w:rPr>
                <w:lang w:eastAsia="ja-JP"/>
              </w:rPr>
            </w:pPr>
            <w:r>
              <w:rPr>
                <w:lang w:eastAsia="ja-JP"/>
              </w:rPr>
              <w:t>Major</w:t>
            </w:r>
          </w:p>
        </w:tc>
      </w:tr>
      <w:tr w:rsidR="00E61DA5" w14:paraId="6A6F4619" w14:textId="77777777" w:rsidTr="00314982">
        <w:trPr>
          <w:cantSplit/>
          <w:tblHeader/>
        </w:trPr>
        <w:tc>
          <w:tcPr>
            <w:tcW w:w="7054" w:type="dxa"/>
          </w:tcPr>
          <w:p w14:paraId="15D4EEFD" w14:textId="74951F4B" w:rsidR="00E61DA5" w:rsidRDefault="00E61DA5" w:rsidP="00E61DA5">
            <w:pPr>
              <w:pStyle w:val="TableText"/>
              <w:tabs>
                <w:tab w:val="left" w:pos="1065"/>
              </w:tabs>
              <w:rPr>
                <w:lang w:eastAsia="ja-JP"/>
              </w:rPr>
            </w:pPr>
            <w:r>
              <w:rPr>
                <w:lang w:eastAsia="ja-JP"/>
              </w:rPr>
              <w:t xml:space="preserve">3.23 </w:t>
            </w:r>
            <w:r w:rsidRPr="00EE64A3">
              <w:t>After a processing run for imported uncooked pig meat or</w:t>
            </w:r>
            <w:r>
              <w:t xml:space="preserve"> </w:t>
            </w:r>
            <w:r w:rsidRPr="00EE64A3">
              <w:t>product derived from imported pig meat all equipment used in</w:t>
            </w:r>
            <w:r>
              <w:t xml:space="preserve"> </w:t>
            </w:r>
            <w:r w:rsidRPr="00EE64A3">
              <w:t>that run must be washed with a food grade disinfectant before</w:t>
            </w:r>
            <w:r>
              <w:t xml:space="preserve"> </w:t>
            </w:r>
            <w:r w:rsidRPr="00EE64A3">
              <w:t>domestic product can be processed as non-imported product.</w:t>
            </w:r>
          </w:p>
        </w:tc>
        <w:tc>
          <w:tcPr>
            <w:tcW w:w="2006" w:type="dxa"/>
            <w:vAlign w:val="center"/>
          </w:tcPr>
          <w:p w14:paraId="24E11855" w14:textId="17DE65DA" w:rsidR="00E61DA5" w:rsidRDefault="00E61DA5" w:rsidP="00314982">
            <w:pPr>
              <w:pStyle w:val="TableText"/>
              <w:jc w:val="center"/>
              <w:rPr>
                <w:lang w:eastAsia="ja-JP"/>
              </w:rPr>
            </w:pPr>
            <w:r>
              <w:rPr>
                <w:lang w:eastAsia="ja-JP"/>
              </w:rPr>
              <w:t>Major</w:t>
            </w:r>
          </w:p>
        </w:tc>
      </w:tr>
    </w:tbl>
    <w:p w14:paraId="017EC999" w14:textId="77777777" w:rsidR="00E61DA5" w:rsidRDefault="00E61DA5">
      <w:pPr>
        <w:spacing w:after="0" w:line="240" w:lineRule="auto"/>
        <w:rPr>
          <w:rFonts w:ascii="Calibri" w:hAnsi="Calibri"/>
          <w:b/>
          <w:bCs/>
          <w:sz w:val="24"/>
          <w:szCs w:val="18"/>
        </w:rPr>
      </w:pPr>
      <w:r>
        <w:br w:type="page"/>
      </w:r>
    </w:p>
    <w:p w14:paraId="018476FC" w14:textId="6EACBD05" w:rsidR="008B513C" w:rsidRPr="00E61DA5" w:rsidRDefault="00E61DA5" w:rsidP="008B513C">
      <w:pPr>
        <w:pStyle w:val="Caption"/>
        <w:spacing w:before="240"/>
        <w:rPr>
          <w:color w:val="FF0000"/>
          <w:sz w:val="28"/>
          <w:szCs w:val="20"/>
        </w:rPr>
      </w:pPr>
      <w:r w:rsidRPr="00E61DA5">
        <w:rPr>
          <w:color w:val="FF0000"/>
          <w:sz w:val="28"/>
          <w:szCs w:val="20"/>
        </w:rPr>
        <w:lastRenderedPageBreak/>
        <w:t xml:space="preserve">Table 3D </w:t>
      </w:r>
      <w:r w:rsidRPr="00E61DA5">
        <w:rPr>
          <w:color w:val="FF0000"/>
          <w:sz w:val="28"/>
          <w:szCs w:val="20"/>
          <w:lang w:eastAsia="ja-JP"/>
        </w:rPr>
        <w:t>Conditions</w:t>
      </w:r>
      <w:r w:rsidRPr="00E61DA5">
        <w:rPr>
          <w:color w:val="FF0000"/>
          <w:sz w:val="28"/>
          <w:szCs w:val="20"/>
        </w:rPr>
        <w:t xml:space="preserve"> (continued)</w:t>
      </w:r>
    </w:p>
    <w:tbl>
      <w:tblPr>
        <w:tblStyle w:val="TableGrid"/>
        <w:tblW w:w="0" w:type="auto"/>
        <w:tblLook w:val="04A0" w:firstRow="1" w:lastRow="0" w:firstColumn="1" w:lastColumn="0" w:noHBand="0" w:noVBand="1"/>
      </w:tblPr>
      <w:tblGrid>
        <w:gridCol w:w="7054"/>
        <w:gridCol w:w="2006"/>
      </w:tblGrid>
      <w:tr w:rsidR="008B513C" w14:paraId="6B7D661A" w14:textId="77777777" w:rsidTr="00E61DA5">
        <w:trPr>
          <w:cantSplit/>
          <w:tblHeader/>
        </w:trPr>
        <w:tc>
          <w:tcPr>
            <w:tcW w:w="7054" w:type="dxa"/>
          </w:tcPr>
          <w:p w14:paraId="26015D10" w14:textId="3012D20E" w:rsidR="008B513C" w:rsidRDefault="00987FE1" w:rsidP="008B513C">
            <w:pPr>
              <w:pStyle w:val="TableHeading"/>
              <w:rPr>
                <w:lang w:eastAsia="ja-JP"/>
              </w:rPr>
            </w:pPr>
            <w:r>
              <w:rPr>
                <w:lang w:eastAsia="ja-JP"/>
              </w:rPr>
              <w:t>Conditions</w:t>
            </w:r>
          </w:p>
        </w:tc>
        <w:tc>
          <w:tcPr>
            <w:tcW w:w="2006" w:type="dxa"/>
          </w:tcPr>
          <w:p w14:paraId="1D5BF2C6" w14:textId="66302D47" w:rsidR="008B513C" w:rsidRDefault="008B513C" w:rsidP="008B513C">
            <w:pPr>
              <w:pStyle w:val="TableHeading"/>
              <w:rPr>
                <w:lang w:eastAsia="ja-JP"/>
              </w:rPr>
            </w:pPr>
            <w:r>
              <w:rPr>
                <w:lang w:eastAsia="ja-JP"/>
              </w:rPr>
              <w:t>Nonconformity guide</w:t>
            </w:r>
          </w:p>
        </w:tc>
      </w:tr>
      <w:tr w:rsidR="008B513C" w14:paraId="27DA7E3A" w14:textId="77777777" w:rsidTr="00314982">
        <w:trPr>
          <w:cantSplit/>
          <w:tblHeader/>
        </w:trPr>
        <w:tc>
          <w:tcPr>
            <w:tcW w:w="7054" w:type="dxa"/>
          </w:tcPr>
          <w:p w14:paraId="529FB6E0" w14:textId="77777777" w:rsidR="00D62DD1" w:rsidRPr="008C79F6" w:rsidRDefault="00D62DD1" w:rsidP="00D62DD1">
            <w:pPr>
              <w:pStyle w:val="TableText"/>
            </w:pPr>
            <w:r>
              <w:rPr>
                <w:lang w:eastAsia="ja-JP"/>
              </w:rPr>
              <w:t xml:space="preserve">3.24 </w:t>
            </w:r>
            <w:r w:rsidRPr="008C79F6">
              <w:t>Imported uncooked pig meat for human consumption must be</w:t>
            </w:r>
            <w:r>
              <w:t xml:space="preserve"> </w:t>
            </w:r>
            <w:r w:rsidRPr="008C79F6">
              <w:t>cooked according to one of the following department-approved</w:t>
            </w:r>
            <w:r>
              <w:t xml:space="preserve"> </w:t>
            </w:r>
            <w:r w:rsidRPr="008C79F6">
              <w:t>minimum core</w:t>
            </w:r>
            <w:r>
              <w:t xml:space="preserve"> </w:t>
            </w:r>
            <w:r w:rsidRPr="008C79F6">
              <w:t>temperatures and times prior to leaving the</w:t>
            </w:r>
            <w:r>
              <w:t xml:space="preserve"> AA</w:t>
            </w:r>
            <w:r w:rsidRPr="008C79F6">
              <w:t xml:space="preserve"> site:</w:t>
            </w:r>
          </w:p>
          <w:p w14:paraId="54379773" w14:textId="77777777" w:rsidR="00D62DD1" w:rsidRDefault="00D62DD1" w:rsidP="00D62DD1">
            <w:pPr>
              <w:pStyle w:val="TableBullet"/>
            </w:pPr>
            <w:r w:rsidRPr="008C79F6">
              <w:t>56°C for 60 minutes</w:t>
            </w:r>
          </w:p>
          <w:p w14:paraId="73B9FC14" w14:textId="77777777" w:rsidR="00D62DD1" w:rsidRDefault="00D62DD1" w:rsidP="00D62DD1">
            <w:pPr>
              <w:pStyle w:val="TableBullet"/>
            </w:pPr>
            <w:r>
              <w:t>57°C for 55 minutes</w:t>
            </w:r>
          </w:p>
          <w:p w14:paraId="41087B49" w14:textId="77777777" w:rsidR="00D62DD1" w:rsidRDefault="00D62DD1" w:rsidP="00D62DD1">
            <w:pPr>
              <w:pStyle w:val="TableBullet"/>
            </w:pPr>
            <w:r w:rsidRPr="008C79F6">
              <w:t>58°C for 50 minutes</w:t>
            </w:r>
          </w:p>
          <w:p w14:paraId="7D6E6845" w14:textId="77777777" w:rsidR="00D62DD1" w:rsidRDefault="00D62DD1" w:rsidP="00D62DD1">
            <w:pPr>
              <w:pStyle w:val="TableBullet"/>
            </w:pPr>
            <w:r w:rsidRPr="008C79F6">
              <w:t>59°C for 45 minutes</w:t>
            </w:r>
          </w:p>
          <w:p w14:paraId="0FA32D95" w14:textId="77777777" w:rsidR="00D62DD1" w:rsidRDefault="00D62DD1" w:rsidP="00D62DD1">
            <w:pPr>
              <w:pStyle w:val="TableBullet"/>
            </w:pPr>
            <w:r>
              <w:t>60°C for 40 minutes</w:t>
            </w:r>
          </w:p>
          <w:p w14:paraId="02187331" w14:textId="77777777" w:rsidR="00D62DD1" w:rsidRDefault="00D62DD1" w:rsidP="00D62DD1">
            <w:pPr>
              <w:pStyle w:val="TableBullet"/>
            </w:pPr>
            <w:r w:rsidRPr="008C79F6">
              <w:t>61°C for 35 minutes</w:t>
            </w:r>
          </w:p>
          <w:p w14:paraId="7F07CBE7" w14:textId="77777777" w:rsidR="00D62DD1" w:rsidRDefault="00D62DD1" w:rsidP="00D62DD1">
            <w:pPr>
              <w:pStyle w:val="TableBullet"/>
            </w:pPr>
            <w:r>
              <w:t>62°C for 30 minutes</w:t>
            </w:r>
          </w:p>
          <w:p w14:paraId="69266A75" w14:textId="77777777" w:rsidR="00D62DD1" w:rsidRDefault="00D62DD1" w:rsidP="00D62DD1">
            <w:pPr>
              <w:pStyle w:val="TableBullet"/>
            </w:pPr>
            <w:r w:rsidRPr="008C79F6">
              <w:t>63°C for 25 minutes</w:t>
            </w:r>
          </w:p>
          <w:p w14:paraId="01CEFFEC" w14:textId="77777777" w:rsidR="00D62DD1" w:rsidRDefault="00D62DD1" w:rsidP="00D62DD1">
            <w:pPr>
              <w:pStyle w:val="TableBullet"/>
            </w:pPr>
            <w:r w:rsidRPr="008C79F6">
              <w:t>64°C for 22 minutes</w:t>
            </w:r>
          </w:p>
          <w:p w14:paraId="7D3CA60C" w14:textId="77777777" w:rsidR="00D62DD1" w:rsidRDefault="00D62DD1" w:rsidP="00D62DD1">
            <w:pPr>
              <w:pStyle w:val="TableBullet"/>
            </w:pPr>
            <w:r w:rsidRPr="008C79F6">
              <w:t>65°C for 20 minutes</w:t>
            </w:r>
          </w:p>
          <w:p w14:paraId="1ABB05BD" w14:textId="77777777" w:rsidR="00D62DD1" w:rsidRDefault="00D62DD1" w:rsidP="00D62DD1">
            <w:pPr>
              <w:pStyle w:val="TableBullet"/>
            </w:pPr>
            <w:r w:rsidRPr="008C79F6">
              <w:t>66°C for 17 minutes</w:t>
            </w:r>
          </w:p>
          <w:p w14:paraId="13D7D2F1" w14:textId="77777777" w:rsidR="00D62DD1" w:rsidRDefault="00D62DD1" w:rsidP="00D62DD1">
            <w:pPr>
              <w:pStyle w:val="TableBullet"/>
            </w:pPr>
            <w:r w:rsidRPr="008C79F6">
              <w:t>67°C for 15 minutes</w:t>
            </w:r>
          </w:p>
          <w:p w14:paraId="59C432A1" w14:textId="77777777" w:rsidR="00D62DD1" w:rsidRDefault="00D62DD1" w:rsidP="00D62DD1">
            <w:pPr>
              <w:pStyle w:val="TableBullet"/>
            </w:pPr>
            <w:r w:rsidRPr="008C79F6">
              <w:t>68°C for 13 minutes</w:t>
            </w:r>
          </w:p>
          <w:p w14:paraId="56D7247A" w14:textId="77777777" w:rsidR="00D62DD1" w:rsidRDefault="00D62DD1" w:rsidP="00D62DD1">
            <w:pPr>
              <w:pStyle w:val="TableBullet"/>
            </w:pPr>
            <w:r w:rsidRPr="008C79F6">
              <w:t>69°C for 12 minutes</w:t>
            </w:r>
          </w:p>
          <w:p w14:paraId="6BEC7940" w14:textId="77777777" w:rsidR="00575E8B" w:rsidRDefault="00D62DD1" w:rsidP="003A58C3">
            <w:pPr>
              <w:pStyle w:val="TableBullet"/>
              <w:rPr>
                <w:lang w:eastAsia="ja-JP"/>
              </w:rPr>
            </w:pPr>
            <w:r w:rsidRPr="008C79F6">
              <w:t>70°C for 11 minutes.</w:t>
            </w:r>
          </w:p>
          <w:p w14:paraId="0A6113A3" w14:textId="77777777" w:rsidR="003A58C3" w:rsidRDefault="003A58C3" w:rsidP="003A58C3">
            <w:pPr>
              <w:pStyle w:val="TableBullet"/>
              <w:numPr>
                <w:ilvl w:val="0"/>
                <w:numId w:val="0"/>
              </w:numPr>
            </w:pPr>
          </w:p>
          <w:p w14:paraId="440EB4D3" w14:textId="229E207B" w:rsidR="003A58C3" w:rsidRDefault="003A58C3" w:rsidP="003A58C3">
            <w:pPr>
              <w:pStyle w:val="TableBullet"/>
              <w:numPr>
                <w:ilvl w:val="0"/>
                <w:numId w:val="0"/>
              </w:numPr>
              <w:rPr>
                <w:lang w:eastAsia="ja-JP"/>
              </w:rPr>
            </w:pPr>
            <w:r w:rsidRPr="00552471">
              <w:rPr>
                <w:b/>
                <w:bCs/>
              </w:rPr>
              <w:t>Note:</w:t>
            </w:r>
            <w:r>
              <w:t xml:space="preserve"> </w:t>
            </w:r>
            <w:r w:rsidR="00423F00">
              <w:t>BIPs</w:t>
            </w:r>
            <w:r w:rsidRPr="00374071">
              <w:t xml:space="preserve"> </w:t>
            </w:r>
            <w:r w:rsidRPr="00374071">
              <w:rPr>
                <w:u w:val="single"/>
              </w:rPr>
              <w:t>must ensure</w:t>
            </w:r>
            <w:r w:rsidRPr="00374071">
              <w:t xml:space="preserve"> that the </w:t>
            </w:r>
            <w:r w:rsidRPr="00374071">
              <w:rPr>
                <w:i/>
                <w:iCs/>
              </w:rPr>
              <w:t xml:space="preserve">Approved </w:t>
            </w:r>
            <w:r w:rsidR="00423F00">
              <w:rPr>
                <w:i/>
                <w:iCs/>
              </w:rPr>
              <w:t>a</w:t>
            </w:r>
            <w:r w:rsidRPr="00374071">
              <w:rPr>
                <w:i/>
                <w:iCs/>
              </w:rPr>
              <w:t xml:space="preserve">rrangements </w:t>
            </w:r>
            <w:r w:rsidR="00423F00">
              <w:rPr>
                <w:i/>
                <w:iCs/>
              </w:rPr>
              <w:t>g</w:t>
            </w:r>
            <w:r w:rsidRPr="00374071">
              <w:rPr>
                <w:i/>
                <w:iCs/>
              </w:rPr>
              <w:t>lossary</w:t>
            </w:r>
            <w:r w:rsidRPr="00374071">
              <w:t xml:space="preserve"> definitions of ‘Imported </w:t>
            </w:r>
            <w:r w:rsidR="000678EA">
              <w:t>p</w:t>
            </w:r>
            <w:r w:rsidRPr="00374071">
              <w:t xml:space="preserve">ig </w:t>
            </w:r>
            <w:r w:rsidR="000678EA">
              <w:t>m</w:t>
            </w:r>
            <w:r w:rsidRPr="00374071">
              <w:t xml:space="preserve">eat’ and ‘Imported </w:t>
            </w:r>
            <w:r w:rsidR="000678EA">
              <w:t>p</w:t>
            </w:r>
            <w:r w:rsidRPr="00374071">
              <w:t xml:space="preserve">ig </w:t>
            </w:r>
            <w:r w:rsidR="000678EA">
              <w:t>m</w:t>
            </w:r>
            <w:r w:rsidRPr="00374071">
              <w:t xml:space="preserve">eat </w:t>
            </w:r>
            <w:r w:rsidR="000678EA">
              <w:t>w</w:t>
            </w:r>
            <w:r w:rsidRPr="00374071">
              <w:t xml:space="preserve">aste’ are considered in conjunction with the class 3.2 Imported </w:t>
            </w:r>
            <w:r w:rsidR="00423F00">
              <w:t>p</w:t>
            </w:r>
            <w:r w:rsidRPr="00374071">
              <w:t xml:space="preserve">ig </w:t>
            </w:r>
            <w:r w:rsidR="00423F00">
              <w:t>m</w:t>
            </w:r>
            <w:r w:rsidRPr="00374071">
              <w:t xml:space="preserve">eat </w:t>
            </w:r>
            <w:r w:rsidR="00423F00">
              <w:t>p</w:t>
            </w:r>
            <w:r w:rsidRPr="00374071">
              <w:t>rocessing conditions</w:t>
            </w:r>
            <w:r>
              <w:t>.</w:t>
            </w:r>
          </w:p>
        </w:tc>
        <w:tc>
          <w:tcPr>
            <w:tcW w:w="2006" w:type="dxa"/>
            <w:vAlign w:val="center"/>
          </w:tcPr>
          <w:p w14:paraId="033BCAAA" w14:textId="06A47FBC" w:rsidR="008B513C" w:rsidRDefault="008B513C" w:rsidP="00314982">
            <w:pPr>
              <w:pStyle w:val="TableText"/>
              <w:jc w:val="center"/>
              <w:rPr>
                <w:lang w:eastAsia="ja-JP"/>
              </w:rPr>
            </w:pPr>
            <w:r>
              <w:rPr>
                <w:lang w:eastAsia="ja-JP"/>
              </w:rPr>
              <w:t>Critical</w:t>
            </w:r>
          </w:p>
        </w:tc>
      </w:tr>
      <w:tr w:rsidR="008B513C" w14:paraId="5294420A" w14:textId="77777777" w:rsidTr="00314982">
        <w:trPr>
          <w:cantSplit/>
          <w:tblHeader/>
        </w:trPr>
        <w:tc>
          <w:tcPr>
            <w:tcW w:w="7054" w:type="dxa"/>
          </w:tcPr>
          <w:p w14:paraId="04293FD5" w14:textId="2E0C0E27" w:rsidR="008B513C" w:rsidRDefault="00D62DD1" w:rsidP="008B513C">
            <w:pPr>
              <w:pStyle w:val="TableText"/>
              <w:rPr>
                <w:lang w:eastAsia="ja-JP"/>
              </w:rPr>
            </w:pPr>
            <w:r>
              <w:rPr>
                <w:lang w:eastAsia="ja-JP"/>
              </w:rPr>
              <w:t xml:space="preserve">3.25 </w:t>
            </w:r>
            <w:r w:rsidRPr="005D53B7">
              <w:rPr>
                <w:rFonts w:asciiTheme="majorHAnsi" w:hAnsiTheme="majorHAnsi" w:cstheme="majorHAnsi"/>
                <w:bCs/>
              </w:rPr>
              <w:t xml:space="preserve">Returned or recalled product containing pig meat that was originally imported must be treated in accordance with the </w:t>
            </w:r>
            <w:r w:rsidR="00314982">
              <w:rPr>
                <w:rFonts w:asciiTheme="majorHAnsi" w:hAnsiTheme="majorHAnsi" w:cstheme="majorHAnsi"/>
                <w:bCs/>
              </w:rPr>
              <w:t>conditions</w:t>
            </w:r>
            <w:r w:rsidRPr="005D53B7">
              <w:rPr>
                <w:rFonts w:asciiTheme="majorHAnsi" w:hAnsiTheme="majorHAnsi" w:cstheme="majorHAnsi"/>
                <w:bCs/>
              </w:rPr>
              <w:t xml:space="preserve"> for imported uncooked pig meat.</w:t>
            </w:r>
          </w:p>
        </w:tc>
        <w:tc>
          <w:tcPr>
            <w:tcW w:w="2006" w:type="dxa"/>
            <w:vAlign w:val="center"/>
          </w:tcPr>
          <w:p w14:paraId="3D8280CE" w14:textId="69097E4A" w:rsidR="008B513C" w:rsidRDefault="00D62DD1" w:rsidP="00314982">
            <w:pPr>
              <w:pStyle w:val="TableText"/>
              <w:jc w:val="center"/>
              <w:rPr>
                <w:lang w:eastAsia="ja-JP"/>
              </w:rPr>
            </w:pPr>
            <w:r>
              <w:rPr>
                <w:lang w:eastAsia="ja-JP"/>
              </w:rPr>
              <w:t>Major</w:t>
            </w:r>
          </w:p>
        </w:tc>
      </w:tr>
      <w:tr w:rsidR="008B513C" w14:paraId="2E33A854" w14:textId="77777777" w:rsidTr="00314982">
        <w:trPr>
          <w:cantSplit/>
          <w:tblHeader/>
        </w:trPr>
        <w:tc>
          <w:tcPr>
            <w:tcW w:w="7054" w:type="dxa"/>
          </w:tcPr>
          <w:p w14:paraId="27B5ADAF" w14:textId="77777777" w:rsidR="00D62DD1" w:rsidRPr="003C6D63" w:rsidRDefault="00D62DD1" w:rsidP="00D62DD1">
            <w:pPr>
              <w:pStyle w:val="TableText"/>
            </w:pPr>
            <w:r>
              <w:rPr>
                <w:lang w:eastAsia="ja-JP"/>
              </w:rPr>
              <w:t xml:space="preserve">3.26 </w:t>
            </w:r>
            <w:r>
              <w:t>T</w:t>
            </w:r>
            <w:r w:rsidRPr="003C6D63">
              <w:t>emperature measuring equipment used for the</w:t>
            </w:r>
            <w:r>
              <w:t xml:space="preserve"> </w:t>
            </w:r>
            <w:r w:rsidRPr="003C6D63">
              <w:t>measurement of imported pig meat cooking or heat treatment</w:t>
            </w:r>
            <w:r>
              <w:t xml:space="preserve"> </w:t>
            </w:r>
            <w:r w:rsidRPr="003C6D63">
              <w:t>temperatures must be calibrated against a NATA-accredited</w:t>
            </w:r>
            <w:r>
              <w:t xml:space="preserve"> </w:t>
            </w:r>
            <w:r w:rsidRPr="003C6D63">
              <w:t>thermometer. Temperature measuring equipment must be</w:t>
            </w:r>
            <w:r>
              <w:t xml:space="preserve"> </w:t>
            </w:r>
            <w:r w:rsidRPr="003C6D63">
              <w:t>calibrated in accordance with any:</w:t>
            </w:r>
          </w:p>
          <w:p w14:paraId="7FD4D016" w14:textId="77777777" w:rsidR="00D62DD1" w:rsidRPr="003C6D63" w:rsidRDefault="00D62DD1" w:rsidP="00D62DD1">
            <w:pPr>
              <w:pStyle w:val="TableBullet"/>
            </w:pPr>
            <w:r w:rsidRPr="003C6D63">
              <w:t>method documented by the equipment manufacturer. If no calibration method is documented by the manufacturer, calibrations must incorporate at least two temperature points. The range between these two temperature points must come within 5°C of spanning the cooking or heat treatment temperatures that the equipment is subsequently used to verify</w:t>
            </w:r>
          </w:p>
          <w:p w14:paraId="1CB6665B" w14:textId="223FE111" w:rsidR="008B513C" w:rsidRDefault="00D62DD1" w:rsidP="00D62DD1">
            <w:pPr>
              <w:pStyle w:val="TableBullet"/>
              <w:rPr>
                <w:lang w:eastAsia="ja-JP"/>
              </w:rPr>
            </w:pPr>
            <w:r w:rsidRPr="003C6D63">
              <w:t>timeframe or frequency documented by the equipment manufacturer. If no calibration timeframe or frequency is documented by the manufacturer, the equipment must be calibrated at a minimum of once every two weeks.</w:t>
            </w:r>
          </w:p>
        </w:tc>
        <w:tc>
          <w:tcPr>
            <w:tcW w:w="2006" w:type="dxa"/>
            <w:vAlign w:val="center"/>
          </w:tcPr>
          <w:p w14:paraId="1C817A0B" w14:textId="31F7692A" w:rsidR="008B513C" w:rsidRDefault="00D62DD1" w:rsidP="00314982">
            <w:pPr>
              <w:pStyle w:val="TableText"/>
              <w:jc w:val="center"/>
              <w:rPr>
                <w:lang w:eastAsia="ja-JP"/>
              </w:rPr>
            </w:pPr>
            <w:r>
              <w:rPr>
                <w:lang w:eastAsia="ja-JP"/>
              </w:rPr>
              <w:t>Major</w:t>
            </w:r>
          </w:p>
        </w:tc>
      </w:tr>
      <w:tr w:rsidR="008B513C" w14:paraId="115BF473" w14:textId="77777777" w:rsidTr="00314982">
        <w:trPr>
          <w:cantSplit/>
          <w:tblHeader/>
        </w:trPr>
        <w:tc>
          <w:tcPr>
            <w:tcW w:w="7054" w:type="dxa"/>
          </w:tcPr>
          <w:p w14:paraId="0ECD5810" w14:textId="163CDD04" w:rsidR="008B513C" w:rsidRDefault="00D62DD1" w:rsidP="008B513C">
            <w:pPr>
              <w:pStyle w:val="TableText"/>
              <w:rPr>
                <w:lang w:eastAsia="ja-JP"/>
              </w:rPr>
            </w:pPr>
            <w:r>
              <w:rPr>
                <w:lang w:eastAsia="ja-JP"/>
              </w:rPr>
              <w:t xml:space="preserve">3.27 </w:t>
            </w:r>
            <w:r>
              <w:rPr>
                <w:rFonts w:asciiTheme="majorHAnsi" w:hAnsiTheme="majorHAnsi" w:cstheme="majorHAnsi"/>
                <w:bCs/>
              </w:rPr>
              <w:t>The BIP</w:t>
            </w:r>
            <w:r w:rsidRPr="00A252EC">
              <w:rPr>
                <w:rFonts w:asciiTheme="majorHAnsi" w:hAnsiTheme="majorHAnsi" w:cstheme="majorHAnsi"/>
                <w:bCs/>
              </w:rPr>
              <w:t xml:space="preserve"> must maintain a schedule of calibration for temperature measurement devices, showing the frequency of calibration for each type of device.</w:t>
            </w:r>
          </w:p>
        </w:tc>
        <w:tc>
          <w:tcPr>
            <w:tcW w:w="2006" w:type="dxa"/>
            <w:vAlign w:val="center"/>
          </w:tcPr>
          <w:p w14:paraId="76B82478" w14:textId="1FA6F384" w:rsidR="008B513C" w:rsidRDefault="00D62DD1" w:rsidP="00314982">
            <w:pPr>
              <w:pStyle w:val="TableText"/>
              <w:jc w:val="center"/>
              <w:rPr>
                <w:lang w:eastAsia="ja-JP"/>
              </w:rPr>
            </w:pPr>
            <w:r>
              <w:rPr>
                <w:lang w:eastAsia="ja-JP"/>
              </w:rPr>
              <w:t>Minor</w:t>
            </w:r>
          </w:p>
        </w:tc>
      </w:tr>
      <w:tr w:rsidR="00E61DA5" w14:paraId="520CF54E" w14:textId="77777777" w:rsidTr="00314982">
        <w:trPr>
          <w:cantSplit/>
          <w:tblHeader/>
        </w:trPr>
        <w:tc>
          <w:tcPr>
            <w:tcW w:w="7054" w:type="dxa"/>
          </w:tcPr>
          <w:p w14:paraId="51B5D2AE" w14:textId="51503213" w:rsidR="00E61DA5" w:rsidRDefault="00E61DA5" w:rsidP="00E61DA5">
            <w:pPr>
              <w:pStyle w:val="TableText"/>
              <w:rPr>
                <w:lang w:eastAsia="ja-JP"/>
              </w:rPr>
            </w:pPr>
            <w:r>
              <w:rPr>
                <w:lang w:eastAsia="ja-JP"/>
              </w:rPr>
              <w:t xml:space="preserve">3.28 </w:t>
            </w:r>
            <w:r w:rsidRPr="00A252EC">
              <w:rPr>
                <w:rFonts w:asciiTheme="majorHAnsi" w:hAnsiTheme="majorHAnsi" w:cstheme="majorHAnsi"/>
                <w:bCs/>
              </w:rPr>
              <w:t xml:space="preserve">The department must be notified immediately of a failure to use calibrated equipment in accordance with the </w:t>
            </w:r>
            <w:r w:rsidR="00314982">
              <w:rPr>
                <w:rFonts w:asciiTheme="majorHAnsi" w:hAnsiTheme="majorHAnsi" w:cstheme="majorHAnsi"/>
                <w:bCs/>
              </w:rPr>
              <w:t>conditions</w:t>
            </w:r>
            <w:r w:rsidRPr="00A252EC">
              <w:rPr>
                <w:rFonts w:asciiTheme="majorHAnsi" w:hAnsiTheme="majorHAnsi" w:cstheme="majorHAnsi"/>
                <w:bCs/>
              </w:rPr>
              <w:t xml:space="preserve"> for temperature calibration for the measurement of imported pig meat cooking or heat treatment temperatures</w:t>
            </w:r>
            <w:r>
              <w:rPr>
                <w:rFonts w:asciiTheme="majorHAnsi" w:hAnsiTheme="majorHAnsi" w:cstheme="majorHAnsi"/>
                <w:bCs/>
              </w:rPr>
              <w:t>.</w:t>
            </w:r>
          </w:p>
        </w:tc>
        <w:tc>
          <w:tcPr>
            <w:tcW w:w="2006" w:type="dxa"/>
            <w:vAlign w:val="center"/>
          </w:tcPr>
          <w:p w14:paraId="47603CE5" w14:textId="22D35FD5" w:rsidR="00E61DA5" w:rsidRDefault="00E61DA5" w:rsidP="00314982">
            <w:pPr>
              <w:pStyle w:val="TableText"/>
              <w:jc w:val="center"/>
              <w:rPr>
                <w:lang w:eastAsia="ja-JP"/>
              </w:rPr>
            </w:pPr>
            <w:r>
              <w:rPr>
                <w:lang w:eastAsia="ja-JP"/>
              </w:rPr>
              <w:t>Minor</w:t>
            </w:r>
          </w:p>
        </w:tc>
      </w:tr>
    </w:tbl>
    <w:p w14:paraId="63B854A5" w14:textId="77777777" w:rsidR="00E61DA5" w:rsidRDefault="00E61DA5" w:rsidP="00D62DD1">
      <w:pPr>
        <w:pStyle w:val="Caption"/>
        <w:spacing w:before="240"/>
      </w:pPr>
    </w:p>
    <w:p w14:paraId="1DE79136" w14:textId="77777777" w:rsidR="00E61DA5" w:rsidRDefault="00E61DA5">
      <w:pPr>
        <w:spacing w:after="0" w:line="240" w:lineRule="auto"/>
        <w:rPr>
          <w:rFonts w:ascii="Calibri" w:hAnsi="Calibri"/>
          <w:b/>
          <w:bCs/>
          <w:sz w:val="24"/>
          <w:szCs w:val="18"/>
        </w:rPr>
      </w:pPr>
      <w:r>
        <w:br w:type="page"/>
      </w:r>
    </w:p>
    <w:p w14:paraId="5A3591DF" w14:textId="319435FA" w:rsidR="00D62DD1" w:rsidRPr="00E61DA5" w:rsidRDefault="00D62DD1" w:rsidP="00D62DD1">
      <w:pPr>
        <w:pStyle w:val="Caption"/>
        <w:spacing w:before="240"/>
        <w:rPr>
          <w:color w:val="FF0000"/>
          <w:sz w:val="28"/>
          <w:szCs w:val="20"/>
        </w:rPr>
      </w:pPr>
      <w:r w:rsidRPr="00E61DA5">
        <w:rPr>
          <w:color w:val="FF0000"/>
          <w:sz w:val="28"/>
          <w:szCs w:val="20"/>
        </w:rPr>
        <w:lastRenderedPageBreak/>
        <w:t xml:space="preserve">Table 3E </w:t>
      </w:r>
      <w:r w:rsidR="00987FE1" w:rsidRPr="00E61DA5">
        <w:rPr>
          <w:color w:val="FF0000"/>
          <w:sz w:val="28"/>
          <w:szCs w:val="20"/>
          <w:lang w:eastAsia="ja-JP"/>
        </w:rPr>
        <w:t>Conditions</w:t>
      </w:r>
      <w:r w:rsidR="00987FE1" w:rsidRPr="00E61DA5">
        <w:rPr>
          <w:color w:val="FF0000"/>
          <w:sz w:val="28"/>
          <w:szCs w:val="20"/>
        </w:rPr>
        <w:t xml:space="preserve"> </w:t>
      </w:r>
      <w:r w:rsidRPr="00E61DA5">
        <w:rPr>
          <w:color w:val="FF0000"/>
          <w:sz w:val="28"/>
          <w:szCs w:val="20"/>
        </w:rPr>
        <w:t>(continued)</w:t>
      </w:r>
    </w:p>
    <w:tbl>
      <w:tblPr>
        <w:tblStyle w:val="TableGrid"/>
        <w:tblW w:w="0" w:type="auto"/>
        <w:tblLook w:val="04A0" w:firstRow="1" w:lastRow="0" w:firstColumn="1" w:lastColumn="0" w:noHBand="0" w:noVBand="1"/>
      </w:tblPr>
      <w:tblGrid>
        <w:gridCol w:w="7054"/>
        <w:gridCol w:w="2006"/>
      </w:tblGrid>
      <w:tr w:rsidR="00D62DD1" w14:paraId="68981CD3" w14:textId="77777777" w:rsidTr="00E61DA5">
        <w:trPr>
          <w:cantSplit/>
          <w:tblHeader/>
        </w:trPr>
        <w:tc>
          <w:tcPr>
            <w:tcW w:w="7054" w:type="dxa"/>
          </w:tcPr>
          <w:p w14:paraId="45DE4680" w14:textId="05C00107" w:rsidR="00D62DD1" w:rsidRDefault="00987FE1" w:rsidP="00D62DD1">
            <w:pPr>
              <w:pStyle w:val="TableHeading"/>
              <w:rPr>
                <w:lang w:eastAsia="ja-JP"/>
              </w:rPr>
            </w:pPr>
            <w:r>
              <w:rPr>
                <w:lang w:eastAsia="ja-JP"/>
              </w:rPr>
              <w:t>Conditions</w:t>
            </w:r>
          </w:p>
        </w:tc>
        <w:tc>
          <w:tcPr>
            <w:tcW w:w="2006" w:type="dxa"/>
          </w:tcPr>
          <w:p w14:paraId="7B4386D2" w14:textId="69D71914" w:rsidR="00D62DD1" w:rsidRDefault="00D62DD1" w:rsidP="00D62DD1">
            <w:pPr>
              <w:pStyle w:val="TableHeading"/>
              <w:rPr>
                <w:lang w:eastAsia="ja-JP"/>
              </w:rPr>
            </w:pPr>
            <w:r>
              <w:rPr>
                <w:lang w:eastAsia="ja-JP"/>
              </w:rPr>
              <w:t>Nonconformity guide</w:t>
            </w:r>
          </w:p>
        </w:tc>
      </w:tr>
      <w:tr w:rsidR="00D62DD1" w14:paraId="74C2DC6F" w14:textId="77777777" w:rsidTr="00314982">
        <w:trPr>
          <w:cantSplit/>
          <w:tblHeader/>
        </w:trPr>
        <w:tc>
          <w:tcPr>
            <w:tcW w:w="7054" w:type="dxa"/>
          </w:tcPr>
          <w:p w14:paraId="132E03DD" w14:textId="77777777" w:rsidR="00D62DD1" w:rsidRPr="00E06151" w:rsidRDefault="00D62DD1" w:rsidP="00D62DD1">
            <w:pPr>
              <w:pStyle w:val="TableText"/>
            </w:pPr>
            <w:r>
              <w:rPr>
                <w:lang w:eastAsia="ja-JP"/>
              </w:rPr>
              <w:t xml:space="preserve">3.29 </w:t>
            </w:r>
            <w:r w:rsidRPr="00E06151">
              <w:t>Records of all servicing and calibration must include details of the:</w:t>
            </w:r>
          </w:p>
          <w:p w14:paraId="6756F413" w14:textId="77777777" w:rsidR="00D62DD1" w:rsidRPr="00C24AA0" w:rsidRDefault="00D62DD1" w:rsidP="00D62DD1">
            <w:pPr>
              <w:pStyle w:val="TableBullet"/>
            </w:pPr>
            <w:r w:rsidRPr="00C24AA0">
              <w:t>date on which the calibration was performed,</w:t>
            </w:r>
          </w:p>
          <w:p w14:paraId="0DDE5EFD" w14:textId="77777777" w:rsidR="00D62DD1" w:rsidRPr="00C24AA0" w:rsidRDefault="00D62DD1" w:rsidP="00D62DD1">
            <w:pPr>
              <w:pStyle w:val="TableBullet"/>
            </w:pPr>
            <w:r w:rsidRPr="00C24AA0">
              <w:t>method of calibration including calibration temperatures,</w:t>
            </w:r>
          </w:p>
          <w:p w14:paraId="26EEBA79" w14:textId="77777777" w:rsidR="00D62DD1" w:rsidRPr="00C24AA0" w:rsidRDefault="00D62DD1" w:rsidP="00D62DD1">
            <w:pPr>
              <w:pStyle w:val="TableBullet"/>
            </w:pPr>
            <w:r w:rsidRPr="00C24AA0">
              <w:t>cooking equipment and processing area for which the temperature measurement equipment is used, and</w:t>
            </w:r>
          </w:p>
          <w:p w14:paraId="4A54875F" w14:textId="2F746E07" w:rsidR="00D62DD1" w:rsidRDefault="00D62DD1" w:rsidP="00D62DD1">
            <w:pPr>
              <w:pStyle w:val="TableBullet"/>
              <w:rPr>
                <w:lang w:eastAsia="ja-JP"/>
              </w:rPr>
            </w:pPr>
            <w:r w:rsidRPr="00C24AA0">
              <w:t xml:space="preserve">name and address of any external organisation that conducts calibration on behalf of the </w:t>
            </w:r>
            <w:r>
              <w:t>BIP</w:t>
            </w:r>
            <w:r w:rsidRPr="00C24AA0">
              <w:t>.</w:t>
            </w:r>
          </w:p>
        </w:tc>
        <w:tc>
          <w:tcPr>
            <w:tcW w:w="2006" w:type="dxa"/>
            <w:vAlign w:val="center"/>
          </w:tcPr>
          <w:p w14:paraId="27DA1776" w14:textId="5A2182BF" w:rsidR="00D62DD1" w:rsidRDefault="00D62DD1" w:rsidP="00314982">
            <w:pPr>
              <w:pStyle w:val="TableText"/>
              <w:jc w:val="center"/>
              <w:rPr>
                <w:lang w:eastAsia="ja-JP"/>
              </w:rPr>
            </w:pPr>
            <w:r>
              <w:rPr>
                <w:lang w:eastAsia="ja-JP"/>
              </w:rPr>
              <w:t>Major</w:t>
            </w:r>
          </w:p>
        </w:tc>
      </w:tr>
      <w:tr w:rsidR="00E61DA5" w14:paraId="4A28926A" w14:textId="77777777" w:rsidTr="00314982">
        <w:trPr>
          <w:cantSplit/>
          <w:tblHeader/>
        </w:trPr>
        <w:tc>
          <w:tcPr>
            <w:tcW w:w="7054" w:type="dxa"/>
            <w:vMerge w:val="restart"/>
          </w:tcPr>
          <w:p w14:paraId="38227134" w14:textId="77777777" w:rsidR="00E61DA5" w:rsidRPr="004A3273" w:rsidRDefault="00E61DA5" w:rsidP="00D62DD1">
            <w:pPr>
              <w:pStyle w:val="TableText"/>
            </w:pPr>
            <w:r>
              <w:rPr>
                <w:lang w:eastAsia="ja-JP"/>
              </w:rPr>
              <w:t xml:space="preserve">3.30 </w:t>
            </w:r>
            <w:r w:rsidRPr="004A3273">
              <w:t xml:space="preserve">The </w:t>
            </w:r>
            <w:r>
              <w:t>BIP</w:t>
            </w:r>
            <w:r w:rsidRPr="004A3273">
              <w:t xml:space="preserve"> must notify the department within 24 hours of any of the following events:</w:t>
            </w:r>
          </w:p>
          <w:p w14:paraId="1C5DB99A" w14:textId="77777777" w:rsidR="00E61DA5" w:rsidRDefault="00E61DA5" w:rsidP="00D62DD1">
            <w:pPr>
              <w:pStyle w:val="TableBullet"/>
            </w:pPr>
            <w:r w:rsidRPr="004A3273">
              <w:t>structural failure of any building containing imported pig meat that could compromise the ability of the building to exclude rodents, birds or persons not authorised by the BIP</w:t>
            </w:r>
          </w:p>
          <w:p w14:paraId="52A5F707" w14:textId="485350D7" w:rsidR="00E61DA5" w:rsidRDefault="00E61DA5" w:rsidP="00D62DD1">
            <w:pPr>
              <w:pStyle w:val="TableBullet"/>
            </w:pPr>
            <w:r w:rsidRPr="004A3273">
              <w:t xml:space="preserve">catastrophic event (e.g. a fire, storm or flood) that disrupts the ability of the BIP to contain, store, refrigerate, or process imported pig meat or imported pig meat waste in accordance with the </w:t>
            </w:r>
            <w:r w:rsidR="00314982">
              <w:t>conditions</w:t>
            </w:r>
            <w:r w:rsidRPr="004A3273">
              <w:t xml:space="preserve"> of this </w:t>
            </w:r>
            <w:proofErr w:type="gramStart"/>
            <w:r w:rsidRPr="004A3273">
              <w:t>document</w:t>
            </w:r>
            <w:proofErr w:type="gramEnd"/>
          </w:p>
          <w:p w14:paraId="1FE763A6" w14:textId="77777777" w:rsidR="00E61DA5" w:rsidRDefault="00E61DA5" w:rsidP="00D62DD1">
            <w:pPr>
              <w:pStyle w:val="TableBullet"/>
              <w:rPr>
                <w:lang w:eastAsia="ja-JP"/>
              </w:rPr>
            </w:pPr>
            <w:r w:rsidRPr="004A3273">
              <w:t xml:space="preserve">theft of imported pig meat or a break-in that could have resulted in access to imported pig </w:t>
            </w:r>
            <w:proofErr w:type="gramStart"/>
            <w:r w:rsidRPr="004A3273">
              <w:t>meat</w:t>
            </w:r>
            <w:proofErr w:type="gramEnd"/>
          </w:p>
          <w:p w14:paraId="0AE6A575" w14:textId="4D551877" w:rsidR="00E61DA5" w:rsidRDefault="00E61DA5" w:rsidP="00D62DD1">
            <w:pPr>
              <w:pStyle w:val="TableBullet"/>
            </w:pPr>
            <w:r w:rsidRPr="004A3273">
              <w:t xml:space="preserve">refrigeration failure that results in thawing or spoilage of imported pig meat in excess of the amount that can be immediately managed in a manner that does not contravene any other </w:t>
            </w:r>
            <w:r w:rsidR="00314982">
              <w:t>conditions</w:t>
            </w:r>
            <w:r w:rsidRPr="004A3273">
              <w:t xml:space="preserve"> in this </w:t>
            </w:r>
            <w:proofErr w:type="gramStart"/>
            <w:r w:rsidRPr="004A3273">
              <w:t>document</w:t>
            </w:r>
            <w:proofErr w:type="gramEnd"/>
          </w:p>
          <w:p w14:paraId="4D663E4A" w14:textId="77777777" w:rsidR="00E61DA5" w:rsidRDefault="00E61DA5" w:rsidP="00D62DD1">
            <w:pPr>
              <w:pStyle w:val="TableBullet"/>
            </w:pPr>
            <w:r w:rsidRPr="004A3273">
              <w:t xml:space="preserve">imported uncooked pig meat including imported pig meat waste leaving the </w:t>
            </w:r>
            <w:r>
              <w:t>AA</w:t>
            </w:r>
            <w:r w:rsidRPr="004A3273">
              <w:t xml:space="preserve"> site without having </w:t>
            </w:r>
            <w:proofErr w:type="gramStart"/>
            <w:r w:rsidRPr="004A3273">
              <w:t>being</w:t>
            </w:r>
            <w:proofErr w:type="gramEnd"/>
            <w:r w:rsidRPr="004A3273">
              <w:t xml:space="preserve"> processed or treated in accordance with the procedures</w:t>
            </w:r>
          </w:p>
          <w:p w14:paraId="66706CFB" w14:textId="77777777" w:rsidR="00E61DA5" w:rsidRDefault="00E61DA5" w:rsidP="00D62DD1">
            <w:pPr>
              <w:pStyle w:val="TableBullet"/>
            </w:pPr>
            <w:r w:rsidRPr="004A3273">
              <w:t xml:space="preserve">detection of bone, major peripheral lymph nodes, </w:t>
            </w:r>
            <w:proofErr w:type="gramStart"/>
            <w:r w:rsidRPr="004A3273">
              <w:t>head</w:t>
            </w:r>
            <w:proofErr w:type="gramEnd"/>
            <w:r w:rsidRPr="004A3273">
              <w:t xml:space="preserve"> and neck material in imported pig meat</w:t>
            </w:r>
          </w:p>
          <w:p w14:paraId="0211B9B2" w14:textId="77777777" w:rsidR="00E61DA5" w:rsidRDefault="00E61DA5" w:rsidP="00D62DD1">
            <w:pPr>
              <w:pStyle w:val="TableBullet"/>
            </w:pPr>
            <w:r w:rsidRPr="004A3273">
              <w:t>loss of integrity of receptacles storing untreated imported pig meat waste, liquid or solid</w:t>
            </w:r>
          </w:p>
          <w:p w14:paraId="7D0D9357" w14:textId="77777777" w:rsidR="00E61DA5" w:rsidRPr="00D62DD1" w:rsidRDefault="00E61DA5" w:rsidP="00D62DD1">
            <w:pPr>
              <w:pStyle w:val="TableBullet"/>
            </w:pPr>
            <w:r w:rsidRPr="004A3273">
              <w:t>inadequate heat treatment of imported pig meat waste prior to the disposal of the waste as general waste</w:t>
            </w:r>
          </w:p>
          <w:p w14:paraId="728F94F8" w14:textId="0CDA5ADC" w:rsidR="00E61DA5" w:rsidRDefault="00E61DA5" w:rsidP="00D62DD1">
            <w:pPr>
              <w:pStyle w:val="TableBullet"/>
              <w:rPr>
                <w:lang w:eastAsia="ja-JP"/>
              </w:rPr>
            </w:pPr>
            <w:r w:rsidRPr="004A3273">
              <w:rPr>
                <w:rFonts w:asciiTheme="majorHAnsi" w:hAnsiTheme="majorHAnsi" w:cstheme="majorHAnsi"/>
                <w:bCs/>
              </w:rPr>
              <w:t>collection of untreated imported pig meat waste by a party that is not a department approved waste transporter.</w:t>
            </w:r>
          </w:p>
        </w:tc>
        <w:tc>
          <w:tcPr>
            <w:tcW w:w="2006" w:type="dxa"/>
            <w:vAlign w:val="center"/>
          </w:tcPr>
          <w:p w14:paraId="538FC28E" w14:textId="77777777" w:rsidR="00E61DA5" w:rsidRDefault="00E61DA5" w:rsidP="00314982">
            <w:pPr>
              <w:pStyle w:val="TableText"/>
              <w:jc w:val="center"/>
              <w:rPr>
                <w:lang w:eastAsia="ja-JP"/>
              </w:rPr>
            </w:pPr>
            <w:r>
              <w:rPr>
                <w:lang w:eastAsia="ja-JP"/>
              </w:rPr>
              <w:t>Critical</w:t>
            </w:r>
          </w:p>
          <w:p w14:paraId="0698F2B5" w14:textId="77777777" w:rsidR="00E61DA5" w:rsidRDefault="00E61DA5" w:rsidP="00314982">
            <w:pPr>
              <w:pStyle w:val="TableText"/>
              <w:jc w:val="center"/>
              <w:rPr>
                <w:lang w:eastAsia="ja-JP"/>
              </w:rPr>
            </w:pPr>
          </w:p>
          <w:p w14:paraId="0B31947E" w14:textId="77777777" w:rsidR="00E61DA5" w:rsidRDefault="00E61DA5" w:rsidP="00314982">
            <w:pPr>
              <w:pStyle w:val="TableText"/>
              <w:jc w:val="center"/>
              <w:rPr>
                <w:lang w:eastAsia="ja-JP"/>
              </w:rPr>
            </w:pPr>
          </w:p>
          <w:p w14:paraId="781AC42F" w14:textId="77777777" w:rsidR="00E61DA5" w:rsidRDefault="00E61DA5" w:rsidP="00314982">
            <w:pPr>
              <w:pStyle w:val="TableText"/>
              <w:jc w:val="center"/>
              <w:rPr>
                <w:lang w:eastAsia="ja-JP"/>
              </w:rPr>
            </w:pPr>
          </w:p>
          <w:p w14:paraId="347D5234" w14:textId="77777777" w:rsidR="00E61DA5" w:rsidRDefault="00E61DA5" w:rsidP="00314982">
            <w:pPr>
              <w:pStyle w:val="TableText"/>
              <w:jc w:val="center"/>
              <w:rPr>
                <w:lang w:eastAsia="ja-JP"/>
              </w:rPr>
            </w:pPr>
          </w:p>
          <w:p w14:paraId="684997A2" w14:textId="77777777" w:rsidR="00E61DA5" w:rsidRDefault="00E61DA5" w:rsidP="00314982">
            <w:pPr>
              <w:pStyle w:val="TableText"/>
              <w:jc w:val="center"/>
              <w:rPr>
                <w:lang w:eastAsia="ja-JP"/>
              </w:rPr>
            </w:pPr>
          </w:p>
          <w:p w14:paraId="5ED3AB5A" w14:textId="77777777" w:rsidR="00E61DA5" w:rsidRDefault="00E61DA5" w:rsidP="00314982">
            <w:pPr>
              <w:pStyle w:val="TableText"/>
              <w:jc w:val="center"/>
              <w:rPr>
                <w:lang w:eastAsia="ja-JP"/>
              </w:rPr>
            </w:pPr>
          </w:p>
          <w:p w14:paraId="0952D7AC" w14:textId="5F014ED7" w:rsidR="00E61DA5" w:rsidRDefault="00E61DA5" w:rsidP="00314982">
            <w:pPr>
              <w:pStyle w:val="TableText"/>
              <w:jc w:val="center"/>
              <w:rPr>
                <w:lang w:eastAsia="ja-JP"/>
              </w:rPr>
            </w:pPr>
          </w:p>
        </w:tc>
      </w:tr>
      <w:tr w:rsidR="00E61DA5" w14:paraId="5BF7AD82" w14:textId="77777777" w:rsidTr="00314982">
        <w:trPr>
          <w:cantSplit/>
          <w:tblHeader/>
        </w:trPr>
        <w:tc>
          <w:tcPr>
            <w:tcW w:w="7054" w:type="dxa"/>
            <w:vMerge/>
          </w:tcPr>
          <w:p w14:paraId="1185B770" w14:textId="722F694B" w:rsidR="00E61DA5" w:rsidRPr="00D62DD1" w:rsidRDefault="00E61DA5" w:rsidP="00D62DD1">
            <w:pPr>
              <w:pStyle w:val="TableBullet"/>
            </w:pPr>
          </w:p>
        </w:tc>
        <w:tc>
          <w:tcPr>
            <w:tcW w:w="2006" w:type="dxa"/>
            <w:vAlign w:val="center"/>
          </w:tcPr>
          <w:p w14:paraId="2D95DB89" w14:textId="77777777" w:rsidR="00E61DA5" w:rsidRDefault="00E61DA5" w:rsidP="00314982">
            <w:pPr>
              <w:pStyle w:val="TableText"/>
              <w:jc w:val="center"/>
              <w:rPr>
                <w:lang w:eastAsia="ja-JP"/>
              </w:rPr>
            </w:pPr>
            <w:r>
              <w:rPr>
                <w:lang w:eastAsia="ja-JP"/>
              </w:rPr>
              <w:t>Major</w:t>
            </w:r>
          </w:p>
          <w:p w14:paraId="39144F9C" w14:textId="77777777" w:rsidR="00E61DA5" w:rsidRDefault="00E61DA5" w:rsidP="00314982">
            <w:pPr>
              <w:pStyle w:val="TableText"/>
              <w:jc w:val="center"/>
              <w:rPr>
                <w:lang w:eastAsia="ja-JP"/>
              </w:rPr>
            </w:pPr>
          </w:p>
          <w:p w14:paraId="15C927AF" w14:textId="77777777" w:rsidR="00E61DA5" w:rsidRDefault="00E61DA5" w:rsidP="00314982">
            <w:pPr>
              <w:pStyle w:val="TableText"/>
              <w:jc w:val="center"/>
              <w:rPr>
                <w:lang w:eastAsia="ja-JP"/>
              </w:rPr>
            </w:pPr>
          </w:p>
          <w:p w14:paraId="73BCCC2B" w14:textId="77777777" w:rsidR="00E61DA5" w:rsidRDefault="00E61DA5" w:rsidP="00314982">
            <w:pPr>
              <w:pStyle w:val="TableText"/>
              <w:jc w:val="center"/>
              <w:rPr>
                <w:lang w:eastAsia="ja-JP"/>
              </w:rPr>
            </w:pPr>
          </w:p>
          <w:p w14:paraId="4A64A331" w14:textId="77777777" w:rsidR="00E61DA5" w:rsidRDefault="00E61DA5" w:rsidP="00314982">
            <w:pPr>
              <w:pStyle w:val="TableText"/>
              <w:jc w:val="center"/>
              <w:rPr>
                <w:lang w:eastAsia="ja-JP"/>
              </w:rPr>
            </w:pPr>
          </w:p>
          <w:p w14:paraId="43304C58" w14:textId="77777777" w:rsidR="00E61DA5" w:rsidRDefault="00E61DA5" w:rsidP="00314982">
            <w:pPr>
              <w:pStyle w:val="TableText"/>
              <w:jc w:val="center"/>
              <w:rPr>
                <w:lang w:eastAsia="ja-JP"/>
              </w:rPr>
            </w:pPr>
          </w:p>
          <w:p w14:paraId="6F5A9838" w14:textId="77777777" w:rsidR="00E61DA5" w:rsidRDefault="00E61DA5" w:rsidP="00314982">
            <w:pPr>
              <w:pStyle w:val="TableText"/>
              <w:jc w:val="center"/>
              <w:rPr>
                <w:lang w:eastAsia="ja-JP"/>
              </w:rPr>
            </w:pPr>
          </w:p>
          <w:p w14:paraId="570A1954" w14:textId="77777777" w:rsidR="00E61DA5" w:rsidRDefault="00E61DA5" w:rsidP="00314982">
            <w:pPr>
              <w:pStyle w:val="TableText"/>
              <w:jc w:val="center"/>
              <w:rPr>
                <w:lang w:eastAsia="ja-JP"/>
              </w:rPr>
            </w:pPr>
          </w:p>
          <w:p w14:paraId="2BB6F891" w14:textId="77777777" w:rsidR="00E61DA5" w:rsidRDefault="00E61DA5" w:rsidP="00314982">
            <w:pPr>
              <w:pStyle w:val="TableText"/>
              <w:jc w:val="center"/>
              <w:rPr>
                <w:lang w:eastAsia="ja-JP"/>
              </w:rPr>
            </w:pPr>
          </w:p>
          <w:p w14:paraId="51DB0FBD" w14:textId="64FB4CF0" w:rsidR="00E61DA5" w:rsidRDefault="00E61DA5" w:rsidP="00314982">
            <w:pPr>
              <w:pStyle w:val="TableText"/>
              <w:jc w:val="center"/>
              <w:rPr>
                <w:lang w:eastAsia="ja-JP"/>
              </w:rPr>
            </w:pPr>
          </w:p>
        </w:tc>
      </w:tr>
      <w:tr w:rsidR="00E61DA5" w14:paraId="35833079" w14:textId="77777777" w:rsidTr="00314982">
        <w:trPr>
          <w:cantSplit/>
          <w:tblHeader/>
        </w:trPr>
        <w:tc>
          <w:tcPr>
            <w:tcW w:w="7054" w:type="dxa"/>
            <w:vMerge/>
          </w:tcPr>
          <w:p w14:paraId="699100DB" w14:textId="3229FBC2" w:rsidR="00E61DA5" w:rsidRPr="004A3273" w:rsidRDefault="00E61DA5" w:rsidP="00D62DD1">
            <w:pPr>
              <w:pStyle w:val="TableBullet"/>
            </w:pPr>
          </w:p>
        </w:tc>
        <w:tc>
          <w:tcPr>
            <w:tcW w:w="2006" w:type="dxa"/>
            <w:vAlign w:val="center"/>
          </w:tcPr>
          <w:p w14:paraId="7ADAC34C" w14:textId="7DFD6B84" w:rsidR="00E61DA5" w:rsidRDefault="00E61DA5" w:rsidP="00314982">
            <w:pPr>
              <w:pStyle w:val="TableText"/>
              <w:jc w:val="center"/>
              <w:rPr>
                <w:lang w:eastAsia="ja-JP"/>
              </w:rPr>
            </w:pPr>
            <w:r>
              <w:rPr>
                <w:lang w:eastAsia="ja-JP"/>
              </w:rPr>
              <w:t>Critical</w:t>
            </w:r>
          </w:p>
        </w:tc>
      </w:tr>
    </w:tbl>
    <w:p w14:paraId="6CAADA7D" w14:textId="355755FB" w:rsidR="00D62DD1" w:rsidRPr="00E61DA5" w:rsidRDefault="00D62DD1" w:rsidP="00D62DD1">
      <w:pPr>
        <w:pStyle w:val="Caption"/>
        <w:spacing w:before="240"/>
        <w:rPr>
          <w:color w:val="FF0000"/>
          <w:sz w:val="28"/>
          <w:szCs w:val="20"/>
        </w:rPr>
      </w:pPr>
      <w:r w:rsidRPr="00E61DA5">
        <w:rPr>
          <w:color w:val="FF0000"/>
          <w:sz w:val="28"/>
          <w:szCs w:val="20"/>
        </w:rPr>
        <w:lastRenderedPageBreak/>
        <w:t xml:space="preserve">Table 3F </w:t>
      </w:r>
      <w:r w:rsidR="00987FE1" w:rsidRPr="00E61DA5">
        <w:rPr>
          <w:color w:val="FF0000"/>
          <w:sz w:val="28"/>
          <w:szCs w:val="20"/>
          <w:lang w:eastAsia="ja-JP"/>
        </w:rPr>
        <w:t>Conditions</w:t>
      </w:r>
      <w:r w:rsidR="00987FE1" w:rsidRPr="00E61DA5">
        <w:rPr>
          <w:color w:val="FF0000"/>
          <w:sz w:val="28"/>
          <w:szCs w:val="20"/>
        </w:rPr>
        <w:t xml:space="preserve"> </w:t>
      </w:r>
      <w:r w:rsidRPr="00E61DA5">
        <w:rPr>
          <w:color w:val="FF0000"/>
          <w:sz w:val="28"/>
          <w:szCs w:val="20"/>
        </w:rPr>
        <w:t>(continued)</w:t>
      </w:r>
    </w:p>
    <w:tbl>
      <w:tblPr>
        <w:tblStyle w:val="TableGrid"/>
        <w:tblW w:w="0" w:type="auto"/>
        <w:tblLook w:val="04A0" w:firstRow="1" w:lastRow="0" w:firstColumn="1" w:lastColumn="0" w:noHBand="0" w:noVBand="1"/>
      </w:tblPr>
      <w:tblGrid>
        <w:gridCol w:w="7054"/>
        <w:gridCol w:w="2006"/>
      </w:tblGrid>
      <w:tr w:rsidR="00D62DD1" w14:paraId="41C677AF" w14:textId="77777777" w:rsidTr="00E61DA5">
        <w:trPr>
          <w:cantSplit/>
          <w:tblHeader/>
        </w:trPr>
        <w:tc>
          <w:tcPr>
            <w:tcW w:w="7054" w:type="dxa"/>
          </w:tcPr>
          <w:p w14:paraId="0254F20F" w14:textId="3E3D886D" w:rsidR="00D62DD1" w:rsidRDefault="00987FE1" w:rsidP="00D62DD1">
            <w:pPr>
              <w:pStyle w:val="TableHeading"/>
              <w:rPr>
                <w:lang w:eastAsia="ja-JP"/>
              </w:rPr>
            </w:pPr>
            <w:r>
              <w:rPr>
                <w:lang w:eastAsia="ja-JP"/>
              </w:rPr>
              <w:t>Conditions</w:t>
            </w:r>
          </w:p>
        </w:tc>
        <w:tc>
          <w:tcPr>
            <w:tcW w:w="2006" w:type="dxa"/>
          </w:tcPr>
          <w:p w14:paraId="0FD6E2C6" w14:textId="24AFDD9E" w:rsidR="00D62DD1" w:rsidRDefault="00D62DD1" w:rsidP="00D62DD1">
            <w:pPr>
              <w:pStyle w:val="TableHeading"/>
              <w:rPr>
                <w:lang w:eastAsia="ja-JP"/>
              </w:rPr>
            </w:pPr>
            <w:r>
              <w:rPr>
                <w:lang w:eastAsia="ja-JP"/>
              </w:rPr>
              <w:t>Nonconformity guide</w:t>
            </w:r>
          </w:p>
        </w:tc>
      </w:tr>
      <w:tr w:rsidR="00D62DD1" w14:paraId="1134A27B" w14:textId="77777777" w:rsidTr="00314982">
        <w:trPr>
          <w:cantSplit/>
          <w:tblHeader/>
        </w:trPr>
        <w:tc>
          <w:tcPr>
            <w:tcW w:w="7054" w:type="dxa"/>
          </w:tcPr>
          <w:p w14:paraId="47B35DE0" w14:textId="77777777" w:rsidR="00D62DD1" w:rsidRPr="003D1E68" w:rsidRDefault="00D62DD1" w:rsidP="00D62DD1">
            <w:pPr>
              <w:pStyle w:val="TableText"/>
            </w:pPr>
            <w:r>
              <w:rPr>
                <w:lang w:eastAsia="ja-JP"/>
              </w:rPr>
              <w:t xml:space="preserve">3.31 </w:t>
            </w:r>
            <w:r w:rsidRPr="003D1E68">
              <w:t xml:space="preserve">The </w:t>
            </w:r>
            <w:r>
              <w:t>BIP</w:t>
            </w:r>
            <w:r w:rsidRPr="003D1E68">
              <w:t xml:space="preserve"> must notify the department within 24 hours of a breakdown in segregation between:</w:t>
            </w:r>
          </w:p>
          <w:p w14:paraId="47252CCC" w14:textId="2C397BDC" w:rsidR="00D62DD1" w:rsidRDefault="00D62DD1" w:rsidP="00D62DD1">
            <w:pPr>
              <w:pStyle w:val="TableBullet"/>
            </w:pPr>
            <w:r w:rsidRPr="003D1E68">
              <w:t xml:space="preserve">imported pig meat and domestic product, leading to domestic product being contaminated with imported pig meat and/or domestic product not being processed/treated in accordance with the </w:t>
            </w:r>
            <w:r w:rsidR="00314982">
              <w:t>conditions</w:t>
            </w:r>
            <w:r w:rsidRPr="003D1E68">
              <w:t xml:space="preserve"> for imported pig </w:t>
            </w:r>
            <w:proofErr w:type="gramStart"/>
            <w:r w:rsidRPr="003D1E68">
              <w:t>meat</w:t>
            </w:r>
            <w:proofErr w:type="gramEnd"/>
          </w:p>
          <w:p w14:paraId="78346074" w14:textId="66AC080A" w:rsidR="00D62DD1" w:rsidRDefault="00D62DD1" w:rsidP="00D62DD1">
            <w:pPr>
              <w:pStyle w:val="TableBullet"/>
            </w:pPr>
            <w:r w:rsidRPr="003D1E68">
              <w:t xml:space="preserve">imported pig meat and imported cooked pig meat products, leading to imported cooked pig meat products being contaminated with imported uncooked pig meat and/or these imported cooked pig meat products not being treated/processed in accordance with the </w:t>
            </w:r>
            <w:r w:rsidR="00314982">
              <w:t>conditions</w:t>
            </w:r>
            <w:r w:rsidR="00314982" w:rsidRPr="003D1E68">
              <w:t xml:space="preserve"> </w:t>
            </w:r>
            <w:r w:rsidRPr="003D1E68">
              <w:t xml:space="preserve">for imported uncooked pig </w:t>
            </w:r>
            <w:proofErr w:type="gramStart"/>
            <w:r w:rsidRPr="003D1E68">
              <w:t>meat</w:t>
            </w:r>
            <w:proofErr w:type="gramEnd"/>
          </w:p>
          <w:p w14:paraId="0C6533E3" w14:textId="29F55491" w:rsidR="00D62DD1" w:rsidRDefault="00D62DD1" w:rsidP="00D62DD1">
            <w:pPr>
              <w:pStyle w:val="TableBullet"/>
            </w:pPr>
            <w:r w:rsidRPr="003D1E68">
              <w:t xml:space="preserve">untreated imported pig meat waste (liquid or solid) and domestic uncooked products or imported/domestic cooked products, leading to domestic uncooked products or imported/domestic cooked products being contaminated with untreated imported pig meat waste (liquid or solid waste) and/or domestic uncooked products or imported/domestic cooked products not being treated in accordance with the </w:t>
            </w:r>
            <w:r w:rsidR="00314982">
              <w:t>conditions</w:t>
            </w:r>
            <w:r w:rsidR="00314982" w:rsidRPr="003D1E68">
              <w:t xml:space="preserve"> </w:t>
            </w:r>
            <w:r w:rsidRPr="003D1E68">
              <w:t xml:space="preserve">for untreated imported pig meat </w:t>
            </w:r>
            <w:proofErr w:type="gramStart"/>
            <w:r w:rsidRPr="003D1E68">
              <w:t>waste</w:t>
            </w:r>
            <w:proofErr w:type="gramEnd"/>
          </w:p>
          <w:p w14:paraId="218434C1" w14:textId="5373E6D5" w:rsidR="00D62DD1" w:rsidRDefault="00D62DD1" w:rsidP="00D62DD1">
            <w:pPr>
              <w:pStyle w:val="TableBullet"/>
            </w:pPr>
            <w:r w:rsidRPr="003D1E68">
              <w:t xml:space="preserve">imported pig meat and domestic waste, leading to domestic waste being contaminated by imported pig meat and/or not being treated in accordance with the </w:t>
            </w:r>
            <w:r w:rsidR="00314982">
              <w:t>conditions</w:t>
            </w:r>
            <w:r w:rsidR="00314982" w:rsidRPr="003D1E68">
              <w:t xml:space="preserve"> </w:t>
            </w:r>
            <w:r w:rsidRPr="003D1E68">
              <w:t xml:space="preserve">for imported pig meat </w:t>
            </w:r>
            <w:proofErr w:type="gramStart"/>
            <w:r w:rsidRPr="003D1E68">
              <w:t>waste</w:t>
            </w:r>
            <w:proofErr w:type="gramEnd"/>
          </w:p>
          <w:p w14:paraId="67E886CF" w14:textId="53DF74EC" w:rsidR="00D62DD1" w:rsidRDefault="00D62DD1" w:rsidP="00D62DD1">
            <w:pPr>
              <w:pStyle w:val="TableBullet"/>
            </w:pPr>
            <w:r w:rsidRPr="003D1E68">
              <w:t xml:space="preserve">untreated imported pig meat waste and domestic waste, leading to domestic waste being contaminated by untreated imported pig meat waste and/or not being treated in accordance with the </w:t>
            </w:r>
            <w:r w:rsidR="00314982">
              <w:t>conditions</w:t>
            </w:r>
            <w:r w:rsidR="00314982" w:rsidRPr="003D1E68">
              <w:t xml:space="preserve"> </w:t>
            </w:r>
            <w:r w:rsidRPr="003D1E68">
              <w:t xml:space="preserve">for untreated imported pig meat </w:t>
            </w:r>
            <w:proofErr w:type="gramStart"/>
            <w:r w:rsidRPr="003D1E68">
              <w:t>waste</w:t>
            </w:r>
            <w:proofErr w:type="gramEnd"/>
          </w:p>
          <w:p w14:paraId="5E88A3F7" w14:textId="06DABA8E" w:rsidR="00D62DD1" w:rsidRDefault="00D62DD1" w:rsidP="00D62DD1">
            <w:pPr>
              <w:pStyle w:val="TableBullet"/>
            </w:pPr>
            <w:r w:rsidRPr="003D1E68">
              <w:t xml:space="preserve">heat-treated imported pig meat waste and imported pig meat, leading to heat-treated imported pig meat waste being contaminated by imported pig meat and/or not being treated in accordance with the </w:t>
            </w:r>
            <w:r w:rsidR="00314982">
              <w:t>conditions</w:t>
            </w:r>
            <w:r w:rsidR="00314982" w:rsidRPr="003D1E68">
              <w:t xml:space="preserve"> </w:t>
            </w:r>
            <w:r w:rsidRPr="003D1E68">
              <w:t xml:space="preserve">for untreated imported pig meat </w:t>
            </w:r>
            <w:proofErr w:type="gramStart"/>
            <w:r w:rsidRPr="003D1E68">
              <w:t>waste</w:t>
            </w:r>
            <w:proofErr w:type="gramEnd"/>
          </w:p>
          <w:p w14:paraId="75EA566D" w14:textId="25BA24D9" w:rsidR="00D62DD1" w:rsidRDefault="00D62DD1" w:rsidP="00D62DD1">
            <w:pPr>
              <w:pStyle w:val="TableBullet"/>
              <w:rPr>
                <w:lang w:eastAsia="ja-JP"/>
              </w:rPr>
            </w:pPr>
            <w:r w:rsidRPr="003D1E68">
              <w:t xml:space="preserve">imported pig meat waste and untreated imported pig meat waste, leading to heat-treated imported pig meat waste being contaminated by untreated imported pig meat waste and/or not being treated in accordance with the </w:t>
            </w:r>
            <w:r w:rsidR="00314982">
              <w:t>conditions</w:t>
            </w:r>
            <w:r w:rsidR="00314982" w:rsidRPr="003D1E68">
              <w:t xml:space="preserve"> </w:t>
            </w:r>
            <w:r w:rsidRPr="003D1E68">
              <w:t>for untreated imported pig meat waste.</w:t>
            </w:r>
          </w:p>
        </w:tc>
        <w:tc>
          <w:tcPr>
            <w:tcW w:w="2006" w:type="dxa"/>
            <w:vAlign w:val="center"/>
          </w:tcPr>
          <w:p w14:paraId="3A029C58" w14:textId="6D478A30" w:rsidR="00D62DD1" w:rsidRDefault="00D62DD1" w:rsidP="00314982">
            <w:pPr>
              <w:pStyle w:val="TableText"/>
              <w:jc w:val="center"/>
              <w:rPr>
                <w:lang w:eastAsia="ja-JP"/>
              </w:rPr>
            </w:pPr>
            <w:r>
              <w:rPr>
                <w:lang w:eastAsia="ja-JP"/>
              </w:rPr>
              <w:t>Major</w:t>
            </w:r>
          </w:p>
        </w:tc>
      </w:tr>
      <w:tr w:rsidR="00E61DA5" w14:paraId="01910C57" w14:textId="77777777" w:rsidTr="00314982">
        <w:trPr>
          <w:cantSplit/>
          <w:tblHeader/>
        </w:trPr>
        <w:tc>
          <w:tcPr>
            <w:tcW w:w="7054" w:type="dxa"/>
          </w:tcPr>
          <w:p w14:paraId="4D129331" w14:textId="77777777" w:rsidR="00E61DA5" w:rsidRPr="00B528AE" w:rsidRDefault="00E61DA5" w:rsidP="00E61DA5">
            <w:pPr>
              <w:pStyle w:val="TableText"/>
            </w:pPr>
            <w:r>
              <w:rPr>
                <w:lang w:eastAsia="ja-JP"/>
              </w:rPr>
              <w:t xml:space="preserve">3.32 </w:t>
            </w:r>
            <w:r w:rsidRPr="00B528AE">
              <w:t xml:space="preserve">The department must be notified in writing within 15 working days from the time the </w:t>
            </w:r>
            <w:r>
              <w:t>BIP</w:t>
            </w:r>
            <w:r w:rsidRPr="00B528AE">
              <w:t xml:space="preserve"> is advised or made aware of:</w:t>
            </w:r>
          </w:p>
          <w:p w14:paraId="5CA58EF9" w14:textId="77777777" w:rsidR="00E61DA5" w:rsidRDefault="00E61DA5" w:rsidP="00E61DA5">
            <w:pPr>
              <w:pStyle w:val="TableBullet"/>
            </w:pPr>
            <w:r w:rsidRPr="00B528AE">
              <w:t>permanent closure of the current AA site</w:t>
            </w:r>
          </w:p>
          <w:p w14:paraId="566ACDEF" w14:textId="77777777" w:rsidR="00E61DA5" w:rsidRDefault="00E61DA5" w:rsidP="00E61DA5">
            <w:pPr>
              <w:pStyle w:val="TableBullet"/>
            </w:pPr>
            <w:r w:rsidRPr="00B528AE">
              <w:t xml:space="preserve">proceedings for liquidation, winding up or </w:t>
            </w:r>
            <w:proofErr w:type="gramStart"/>
            <w:r w:rsidRPr="00B528AE">
              <w:t>dissolution</w:t>
            </w:r>
            <w:proofErr w:type="gramEnd"/>
          </w:p>
          <w:p w14:paraId="5A6B1DBE" w14:textId="77777777" w:rsidR="00E61DA5" w:rsidRDefault="00E61DA5" w:rsidP="00E61DA5">
            <w:pPr>
              <w:pStyle w:val="TableBullet"/>
            </w:pPr>
            <w:r w:rsidRPr="00B528AE">
              <w:t>bankruptcy</w:t>
            </w:r>
          </w:p>
          <w:p w14:paraId="5A60ECA5" w14:textId="77777777" w:rsidR="00E61DA5" w:rsidRPr="00B528AE" w:rsidRDefault="00E61DA5" w:rsidP="00E61DA5">
            <w:pPr>
              <w:pStyle w:val="TableBullet"/>
            </w:pPr>
            <w:r w:rsidRPr="00B528AE">
              <w:t>any form of external administration.</w:t>
            </w:r>
          </w:p>
          <w:p w14:paraId="5B2305DF" w14:textId="536361FD" w:rsidR="00E61DA5" w:rsidRDefault="00E61DA5" w:rsidP="00E61DA5">
            <w:pPr>
              <w:pStyle w:val="TableText"/>
              <w:rPr>
                <w:lang w:eastAsia="ja-JP"/>
              </w:rPr>
            </w:pPr>
            <w:r w:rsidRPr="00D62DD1">
              <w:t>Note: Where the BIP proposes to change its AA site, the new location must undergo the same approval process as a new Imported Pig Meat Processor.</w:t>
            </w:r>
          </w:p>
        </w:tc>
        <w:tc>
          <w:tcPr>
            <w:tcW w:w="2006" w:type="dxa"/>
            <w:vAlign w:val="center"/>
          </w:tcPr>
          <w:p w14:paraId="69A5328C" w14:textId="26B2FDE7" w:rsidR="00E61DA5" w:rsidRDefault="00E61DA5" w:rsidP="00314982">
            <w:pPr>
              <w:pStyle w:val="TableText"/>
              <w:jc w:val="center"/>
              <w:rPr>
                <w:lang w:eastAsia="ja-JP"/>
              </w:rPr>
            </w:pPr>
            <w:r>
              <w:rPr>
                <w:lang w:eastAsia="ja-JP"/>
              </w:rPr>
              <w:t>Major</w:t>
            </w:r>
          </w:p>
        </w:tc>
      </w:tr>
      <w:tr w:rsidR="00E61DA5" w14:paraId="743943F1" w14:textId="77777777" w:rsidTr="00314982">
        <w:trPr>
          <w:cantSplit/>
          <w:tblHeader/>
        </w:trPr>
        <w:tc>
          <w:tcPr>
            <w:tcW w:w="7054" w:type="dxa"/>
          </w:tcPr>
          <w:p w14:paraId="4EC81D80" w14:textId="1A67AF2A" w:rsidR="00E61DA5" w:rsidRDefault="00E61DA5" w:rsidP="00E61DA5">
            <w:pPr>
              <w:pStyle w:val="TableText"/>
              <w:rPr>
                <w:lang w:eastAsia="ja-JP"/>
              </w:rPr>
            </w:pPr>
            <w:r>
              <w:rPr>
                <w:lang w:eastAsia="ja-JP"/>
              </w:rPr>
              <w:t xml:space="preserve">3.33 </w:t>
            </w:r>
            <w:r w:rsidRPr="001E2266">
              <w:rPr>
                <w:rFonts w:asciiTheme="majorHAnsi" w:hAnsiTheme="majorHAnsi" w:cstheme="majorHAnsi"/>
                <w:bCs/>
              </w:rPr>
              <w:t xml:space="preserve">Where the </w:t>
            </w:r>
            <w:r>
              <w:rPr>
                <w:rFonts w:asciiTheme="majorHAnsi" w:hAnsiTheme="majorHAnsi" w:cstheme="majorHAnsi"/>
                <w:bCs/>
              </w:rPr>
              <w:t>BIP</w:t>
            </w:r>
            <w:r w:rsidRPr="001E2266">
              <w:rPr>
                <w:rFonts w:asciiTheme="majorHAnsi" w:hAnsiTheme="majorHAnsi" w:cstheme="majorHAnsi"/>
                <w:bCs/>
              </w:rPr>
              <w:t xml:space="preserve"> simultaneously processes both imported uncooked pig meat and domestic pig meat product, all product and associated waste materials must be treated in accordance with the </w:t>
            </w:r>
            <w:r w:rsidR="00314982">
              <w:t>conditions</w:t>
            </w:r>
            <w:r w:rsidR="00314982" w:rsidRPr="003D1E68">
              <w:t xml:space="preserve"> </w:t>
            </w:r>
            <w:r w:rsidRPr="001E2266">
              <w:rPr>
                <w:rFonts w:asciiTheme="majorHAnsi" w:hAnsiTheme="majorHAnsi" w:cstheme="majorHAnsi"/>
                <w:bCs/>
              </w:rPr>
              <w:t>for imported uncooked pig meat.</w:t>
            </w:r>
          </w:p>
        </w:tc>
        <w:tc>
          <w:tcPr>
            <w:tcW w:w="2006" w:type="dxa"/>
            <w:vAlign w:val="center"/>
          </w:tcPr>
          <w:p w14:paraId="6E209D23" w14:textId="50BA2BC7" w:rsidR="00E61DA5" w:rsidRDefault="00E61DA5" w:rsidP="00314982">
            <w:pPr>
              <w:pStyle w:val="TableText"/>
              <w:jc w:val="center"/>
              <w:rPr>
                <w:lang w:eastAsia="ja-JP"/>
              </w:rPr>
            </w:pPr>
            <w:r>
              <w:rPr>
                <w:lang w:eastAsia="ja-JP"/>
              </w:rPr>
              <w:t>Major or critical</w:t>
            </w:r>
          </w:p>
        </w:tc>
      </w:tr>
    </w:tbl>
    <w:p w14:paraId="39E5336D" w14:textId="77777777" w:rsidR="00E61DA5" w:rsidRDefault="00E61DA5" w:rsidP="00190D54">
      <w:pPr>
        <w:pStyle w:val="Caption"/>
        <w:spacing w:before="240"/>
      </w:pPr>
    </w:p>
    <w:p w14:paraId="02959521" w14:textId="77777777" w:rsidR="00E61DA5" w:rsidRDefault="00E61DA5">
      <w:pPr>
        <w:spacing w:after="0" w:line="240" w:lineRule="auto"/>
        <w:rPr>
          <w:rFonts w:ascii="Calibri" w:hAnsi="Calibri"/>
          <w:b/>
          <w:bCs/>
          <w:sz w:val="24"/>
          <w:szCs w:val="18"/>
        </w:rPr>
      </w:pPr>
      <w:r>
        <w:br w:type="page"/>
      </w:r>
    </w:p>
    <w:p w14:paraId="6488C327" w14:textId="5892EC2B" w:rsidR="00190D54" w:rsidRPr="00314982" w:rsidRDefault="00190D54" w:rsidP="00190D54">
      <w:pPr>
        <w:pStyle w:val="Caption"/>
        <w:spacing w:before="240"/>
        <w:rPr>
          <w:color w:val="FF0000"/>
          <w:sz w:val="28"/>
          <w:szCs w:val="20"/>
        </w:rPr>
      </w:pPr>
      <w:r w:rsidRPr="00314982">
        <w:rPr>
          <w:color w:val="FF0000"/>
          <w:sz w:val="28"/>
          <w:szCs w:val="20"/>
        </w:rPr>
        <w:lastRenderedPageBreak/>
        <w:t xml:space="preserve">Table </w:t>
      </w:r>
      <w:r w:rsidR="00443F99" w:rsidRPr="00314982">
        <w:rPr>
          <w:color w:val="FF0000"/>
          <w:sz w:val="28"/>
          <w:szCs w:val="20"/>
        </w:rPr>
        <w:fldChar w:fldCharType="begin"/>
      </w:r>
      <w:r w:rsidR="00443F99" w:rsidRPr="00314982">
        <w:rPr>
          <w:color w:val="FF0000"/>
          <w:sz w:val="28"/>
          <w:szCs w:val="20"/>
        </w:rPr>
        <w:instrText xml:space="preserve"> SEQ Table \* ARABIC </w:instrText>
      </w:r>
      <w:r w:rsidR="00443F99" w:rsidRPr="00314982">
        <w:rPr>
          <w:color w:val="FF0000"/>
          <w:sz w:val="28"/>
          <w:szCs w:val="20"/>
        </w:rPr>
        <w:fldChar w:fldCharType="separate"/>
      </w:r>
      <w:r w:rsidR="00E5223E">
        <w:rPr>
          <w:noProof/>
          <w:color w:val="FF0000"/>
          <w:sz w:val="28"/>
          <w:szCs w:val="20"/>
        </w:rPr>
        <w:t>4</w:t>
      </w:r>
      <w:r w:rsidR="00443F99" w:rsidRPr="00314982">
        <w:rPr>
          <w:noProof/>
          <w:color w:val="FF0000"/>
          <w:sz w:val="28"/>
          <w:szCs w:val="20"/>
        </w:rPr>
        <w:fldChar w:fldCharType="end"/>
      </w:r>
      <w:r w:rsidRPr="00314982">
        <w:rPr>
          <w:color w:val="FF0000"/>
          <w:sz w:val="28"/>
          <w:szCs w:val="20"/>
        </w:rPr>
        <w:t xml:space="preserve"> Waste</w:t>
      </w:r>
    </w:p>
    <w:tbl>
      <w:tblPr>
        <w:tblStyle w:val="TableGrid"/>
        <w:tblW w:w="0" w:type="auto"/>
        <w:tblLook w:val="04A0" w:firstRow="1" w:lastRow="0" w:firstColumn="1" w:lastColumn="0" w:noHBand="0" w:noVBand="1"/>
      </w:tblPr>
      <w:tblGrid>
        <w:gridCol w:w="7054"/>
        <w:gridCol w:w="2006"/>
      </w:tblGrid>
      <w:tr w:rsidR="00190D54" w14:paraId="7C0A85E5" w14:textId="77777777" w:rsidTr="00314982">
        <w:trPr>
          <w:cantSplit/>
          <w:tblHeader/>
        </w:trPr>
        <w:tc>
          <w:tcPr>
            <w:tcW w:w="7054" w:type="dxa"/>
          </w:tcPr>
          <w:p w14:paraId="72699AC5" w14:textId="5EDA2415" w:rsidR="00190D54" w:rsidRDefault="00987FE1" w:rsidP="00190D54">
            <w:pPr>
              <w:pStyle w:val="TableHeading"/>
              <w:rPr>
                <w:lang w:eastAsia="ja-JP"/>
              </w:rPr>
            </w:pPr>
            <w:r>
              <w:rPr>
                <w:lang w:eastAsia="ja-JP"/>
              </w:rPr>
              <w:t>Conditions</w:t>
            </w:r>
          </w:p>
        </w:tc>
        <w:tc>
          <w:tcPr>
            <w:tcW w:w="2006" w:type="dxa"/>
          </w:tcPr>
          <w:p w14:paraId="58637EF6" w14:textId="13F74C2F" w:rsidR="00190D54" w:rsidRDefault="00190D54" w:rsidP="00190D54">
            <w:pPr>
              <w:pStyle w:val="TableHeading"/>
              <w:rPr>
                <w:lang w:eastAsia="ja-JP"/>
              </w:rPr>
            </w:pPr>
            <w:r>
              <w:rPr>
                <w:lang w:eastAsia="ja-JP"/>
              </w:rPr>
              <w:t>Nonconformity guide</w:t>
            </w:r>
          </w:p>
        </w:tc>
      </w:tr>
      <w:tr w:rsidR="00190D54" w14:paraId="217C2CE6" w14:textId="77777777" w:rsidTr="00314982">
        <w:trPr>
          <w:cantSplit/>
          <w:tblHeader/>
        </w:trPr>
        <w:tc>
          <w:tcPr>
            <w:tcW w:w="7054" w:type="dxa"/>
          </w:tcPr>
          <w:p w14:paraId="3ABF9CED" w14:textId="55390E36" w:rsidR="00190D54" w:rsidRDefault="00190D54" w:rsidP="00190D54">
            <w:pPr>
              <w:pStyle w:val="TableText"/>
              <w:rPr>
                <w:lang w:eastAsia="ja-JP"/>
              </w:rPr>
            </w:pPr>
            <w:r>
              <w:rPr>
                <w:lang w:eastAsia="ja-JP"/>
              </w:rPr>
              <w:t xml:space="preserve">4.1 </w:t>
            </w:r>
            <w:r w:rsidRPr="00B953A3">
              <w:rPr>
                <w:rFonts w:asciiTheme="majorHAnsi" w:hAnsiTheme="majorHAnsi" w:cstheme="majorHAnsi"/>
                <w:bCs/>
              </w:rPr>
              <w:t>Imported pig meat waste must be placed in clearly identified leak-proof receptacles, securely contained and inaccessible to all animals, birds and persons not authorised to handle imported pig meat waste prior to collection for treatment and/or disposal.</w:t>
            </w:r>
          </w:p>
        </w:tc>
        <w:tc>
          <w:tcPr>
            <w:tcW w:w="2006" w:type="dxa"/>
            <w:vAlign w:val="center"/>
          </w:tcPr>
          <w:p w14:paraId="63F3F7F4" w14:textId="6E57A82D" w:rsidR="00190D54" w:rsidRDefault="00190D54" w:rsidP="00314982">
            <w:pPr>
              <w:pStyle w:val="TableText"/>
              <w:jc w:val="center"/>
              <w:rPr>
                <w:lang w:eastAsia="ja-JP"/>
              </w:rPr>
            </w:pPr>
            <w:r>
              <w:rPr>
                <w:lang w:eastAsia="ja-JP"/>
              </w:rPr>
              <w:t>Critical</w:t>
            </w:r>
          </w:p>
        </w:tc>
      </w:tr>
      <w:tr w:rsidR="00190D54" w14:paraId="69C61313" w14:textId="77777777" w:rsidTr="00314982">
        <w:trPr>
          <w:cantSplit/>
          <w:tblHeader/>
        </w:trPr>
        <w:tc>
          <w:tcPr>
            <w:tcW w:w="7054" w:type="dxa"/>
          </w:tcPr>
          <w:p w14:paraId="5587D334" w14:textId="410F1C68" w:rsidR="00190D54" w:rsidRPr="00EF3D36" w:rsidRDefault="00190D54" w:rsidP="00190D54">
            <w:pPr>
              <w:pStyle w:val="TableText"/>
            </w:pPr>
            <w:r>
              <w:rPr>
                <w:lang w:eastAsia="ja-JP"/>
              </w:rPr>
              <w:t xml:space="preserve">4.2 </w:t>
            </w:r>
            <w:r w:rsidRPr="00EF3D36">
              <w:t>Imported pig meat waste must be disposed of by one of the</w:t>
            </w:r>
            <w:r>
              <w:t xml:space="preserve">se </w:t>
            </w:r>
            <w:r w:rsidRPr="00EF3D36">
              <w:t>methods:</w:t>
            </w:r>
          </w:p>
          <w:p w14:paraId="56BE4CED" w14:textId="77777777" w:rsidR="00190D54" w:rsidRDefault="00190D54" w:rsidP="00190D54">
            <w:pPr>
              <w:pStyle w:val="TableBullet"/>
            </w:pPr>
            <w:r w:rsidRPr="005015F3">
              <w:t xml:space="preserve">incineration at a department </w:t>
            </w:r>
            <w:r>
              <w:t xml:space="preserve">AA site for the </w:t>
            </w:r>
            <w:r w:rsidRPr="005015F3">
              <w:t>incineration of biosecurity waste</w:t>
            </w:r>
          </w:p>
          <w:p w14:paraId="5D9A1489" w14:textId="77777777" w:rsidR="00190D54" w:rsidRDefault="00190D54" w:rsidP="00190D54">
            <w:pPr>
              <w:pStyle w:val="TableBullet"/>
            </w:pPr>
            <w:r w:rsidRPr="00B333D8">
              <w:t>autoclaving (121°C core temperature, 105kPa (15psi) for 15 minutes) at a department AA site for the autoclaving of biosecurity waste prior to disposal as general waste</w:t>
            </w:r>
          </w:p>
          <w:p w14:paraId="7B12AFF2" w14:textId="77777777" w:rsidR="00190D54" w:rsidRPr="00B333D8" w:rsidRDefault="00190D54" w:rsidP="00190D54">
            <w:pPr>
              <w:pStyle w:val="TableBullet"/>
            </w:pPr>
            <w:r w:rsidRPr="00B333D8">
              <w:t>heat treatment to one of the following approved minimum core temperatures and times:</w:t>
            </w:r>
          </w:p>
          <w:p w14:paraId="16F4D180" w14:textId="77777777" w:rsidR="00190D54" w:rsidRDefault="00190D54" w:rsidP="00190D54">
            <w:pPr>
              <w:pStyle w:val="tablebullet2"/>
            </w:pPr>
            <w:r>
              <w:t>100°C for 30 minutes</w:t>
            </w:r>
          </w:p>
          <w:p w14:paraId="4915D545" w14:textId="77777777" w:rsidR="00190D54" w:rsidRDefault="00190D54" w:rsidP="00190D54">
            <w:pPr>
              <w:pStyle w:val="tablebullet2"/>
            </w:pPr>
            <w:r w:rsidRPr="00B333D8">
              <w:t>99°C for 40 minutes</w:t>
            </w:r>
          </w:p>
          <w:p w14:paraId="65A393A0" w14:textId="77777777" w:rsidR="00190D54" w:rsidRDefault="00190D54" w:rsidP="00190D54">
            <w:pPr>
              <w:pStyle w:val="tablebullet2"/>
            </w:pPr>
            <w:r w:rsidRPr="00B333D8">
              <w:t>98°C for 50 minutes</w:t>
            </w:r>
          </w:p>
          <w:p w14:paraId="4F635FFA" w14:textId="77777777" w:rsidR="00190D54" w:rsidRDefault="00190D54" w:rsidP="00190D54">
            <w:pPr>
              <w:pStyle w:val="tablebullet2"/>
            </w:pPr>
            <w:r>
              <w:t>97°C for 60 minutes</w:t>
            </w:r>
          </w:p>
          <w:p w14:paraId="3265E784" w14:textId="77777777" w:rsidR="00190D54" w:rsidRDefault="00190D54" w:rsidP="00190D54">
            <w:pPr>
              <w:pStyle w:val="tablebullet2"/>
            </w:pPr>
            <w:r w:rsidRPr="00B333D8">
              <w:t>96°C for 80 minutes</w:t>
            </w:r>
          </w:p>
          <w:p w14:paraId="0A6F89CC" w14:textId="77777777" w:rsidR="00190D54" w:rsidRDefault="00190D54" w:rsidP="00190D54">
            <w:pPr>
              <w:pStyle w:val="tablebullet2"/>
            </w:pPr>
            <w:r w:rsidRPr="00B333D8">
              <w:t>95°C for 100 minutes</w:t>
            </w:r>
          </w:p>
          <w:p w14:paraId="74061E97" w14:textId="77777777" w:rsidR="00190D54" w:rsidRDefault="00190D54" w:rsidP="00190D54">
            <w:pPr>
              <w:pStyle w:val="tablebullet2"/>
            </w:pPr>
            <w:r w:rsidRPr="00B333D8">
              <w:t>94°C for 120 minutes</w:t>
            </w:r>
          </w:p>
          <w:p w14:paraId="29D06BA3" w14:textId="77777777" w:rsidR="00190D54" w:rsidRDefault="00190D54" w:rsidP="00190D54">
            <w:pPr>
              <w:pStyle w:val="tablebullet2"/>
            </w:pPr>
            <w:r w:rsidRPr="00B333D8">
              <w:t>93°C for 150 minutes</w:t>
            </w:r>
          </w:p>
          <w:p w14:paraId="3BBE0B88" w14:textId="77777777" w:rsidR="00190D54" w:rsidRPr="003E145A" w:rsidRDefault="00190D54" w:rsidP="00190D54">
            <w:pPr>
              <w:pStyle w:val="tablebullet2"/>
            </w:pPr>
            <w:r w:rsidRPr="003E145A">
              <w:t>92°C for 200 minutes</w:t>
            </w:r>
          </w:p>
          <w:p w14:paraId="04CD268B" w14:textId="77777777" w:rsidR="00190D54" w:rsidRPr="003E145A" w:rsidRDefault="00190D54" w:rsidP="00190D54">
            <w:pPr>
              <w:pStyle w:val="TableBullet"/>
            </w:pPr>
            <w:r w:rsidRPr="003E145A">
              <w:t>deep burial at a department AA site for the deep burial of biosecurity waste</w:t>
            </w:r>
          </w:p>
          <w:p w14:paraId="4D4C5692" w14:textId="77777777" w:rsidR="00190D54" w:rsidRPr="00460BBA" w:rsidRDefault="00190D54" w:rsidP="00190D54">
            <w:pPr>
              <w:pStyle w:val="TableBullet"/>
            </w:pPr>
            <w:r w:rsidRPr="00460BBA">
              <w:t>discharge to municipal sewerage system (for liquid waste</w:t>
            </w:r>
            <w:r>
              <w:t xml:space="preserve"> </w:t>
            </w:r>
            <w:r w:rsidRPr="00460BBA">
              <w:t>only)</w:t>
            </w:r>
          </w:p>
          <w:p w14:paraId="04A20219" w14:textId="77777777" w:rsidR="00190D54" w:rsidRPr="00460BBA" w:rsidRDefault="00190D54" w:rsidP="00190D54">
            <w:pPr>
              <w:pStyle w:val="TableBullet"/>
            </w:pPr>
            <w:r w:rsidRPr="00460BBA">
              <w:t>an alternative method specifically approved in writing by the</w:t>
            </w:r>
            <w:r>
              <w:t xml:space="preserve"> </w:t>
            </w:r>
            <w:r w:rsidRPr="00460BBA">
              <w:t>department.</w:t>
            </w:r>
          </w:p>
          <w:p w14:paraId="6CB84F74" w14:textId="77777777" w:rsidR="00552471" w:rsidRDefault="00190D54" w:rsidP="00190D54">
            <w:pPr>
              <w:pStyle w:val="TableText"/>
            </w:pPr>
            <w:r w:rsidRPr="00552471">
              <w:rPr>
                <w:b/>
                <w:bCs/>
              </w:rPr>
              <w:t>Note:</w:t>
            </w:r>
            <w:r w:rsidRPr="00190D54">
              <w:t xml:space="preserve"> </w:t>
            </w:r>
          </w:p>
          <w:p w14:paraId="67000716" w14:textId="512AA646" w:rsidR="00190D54" w:rsidRDefault="00190D54" w:rsidP="00552471">
            <w:pPr>
              <w:pStyle w:val="TableText"/>
              <w:numPr>
                <w:ilvl w:val="0"/>
                <w:numId w:val="11"/>
              </w:numPr>
            </w:pPr>
            <w:r w:rsidRPr="00190D54">
              <w:t>Untreated imported pig meat waste must not be disposed of as general</w:t>
            </w:r>
            <w:r w:rsidR="003A58C3">
              <w:t xml:space="preserve"> waste. </w:t>
            </w:r>
          </w:p>
          <w:p w14:paraId="33D3448E" w14:textId="177556EA" w:rsidR="003A58C3" w:rsidRPr="00190D54" w:rsidRDefault="003A58C3" w:rsidP="00552471">
            <w:pPr>
              <w:pStyle w:val="TableText"/>
              <w:numPr>
                <w:ilvl w:val="0"/>
                <w:numId w:val="11"/>
              </w:numPr>
            </w:pPr>
            <w:r>
              <w:t xml:space="preserve"> </w:t>
            </w:r>
            <w:r w:rsidR="00423F00">
              <w:t>BIPs</w:t>
            </w:r>
            <w:r w:rsidRPr="00374071">
              <w:t xml:space="preserve"> </w:t>
            </w:r>
            <w:r w:rsidRPr="00374071">
              <w:rPr>
                <w:u w:val="single"/>
              </w:rPr>
              <w:t>must ensure</w:t>
            </w:r>
            <w:r w:rsidRPr="00374071">
              <w:t xml:space="preserve"> that the </w:t>
            </w:r>
            <w:r w:rsidRPr="00374071">
              <w:rPr>
                <w:i/>
                <w:iCs/>
              </w:rPr>
              <w:t xml:space="preserve">Approved </w:t>
            </w:r>
            <w:r w:rsidR="00423F00">
              <w:rPr>
                <w:i/>
                <w:iCs/>
              </w:rPr>
              <w:t>a</w:t>
            </w:r>
            <w:r w:rsidRPr="00374071">
              <w:rPr>
                <w:i/>
                <w:iCs/>
              </w:rPr>
              <w:t xml:space="preserve">rrangements </w:t>
            </w:r>
            <w:r w:rsidR="00423F00">
              <w:rPr>
                <w:i/>
                <w:iCs/>
              </w:rPr>
              <w:t>g</w:t>
            </w:r>
            <w:r w:rsidRPr="00374071">
              <w:rPr>
                <w:i/>
                <w:iCs/>
              </w:rPr>
              <w:t>lossary</w:t>
            </w:r>
            <w:r w:rsidRPr="00374071">
              <w:t xml:space="preserve"> definitions of ‘Imported </w:t>
            </w:r>
            <w:r w:rsidR="000678EA">
              <w:t>p</w:t>
            </w:r>
            <w:r w:rsidRPr="00374071">
              <w:t xml:space="preserve">ig </w:t>
            </w:r>
            <w:r w:rsidR="000678EA">
              <w:t>m</w:t>
            </w:r>
            <w:r w:rsidRPr="00374071">
              <w:t xml:space="preserve">eat’ and ‘Imported </w:t>
            </w:r>
            <w:r w:rsidR="000678EA">
              <w:t>p</w:t>
            </w:r>
            <w:r w:rsidRPr="00374071">
              <w:t xml:space="preserve">ig </w:t>
            </w:r>
            <w:r w:rsidR="000678EA">
              <w:t>m</w:t>
            </w:r>
            <w:r w:rsidRPr="00374071">
              <w:t xml:space="preserve">eat </w:t>
            </w:r>
            <w:r w:rsidR="000678EA">
              <w:t>w</w:t>
            </w:r>
            <w:r w:rsidRPr="00374071">
              <w:t xml:space="preserve">aste’ are considered in conjunction with the class 3.2 Imported </w:t>
            </w:r>
            <w:r w:rsidR="00423F00">
              <w:t>p</w:t>
            </w:r>
            <w:r w:rsidRPr="00374071">
              <w:t xml:space="preserve">ig </w:t>
            </w:r>
            <w:r w:rsidR="00423F00">
              <w:t>m</w:t>
            </w:r>
            <w:r w:rsidRPr="00374071">
              <w:t xml:space="preserve">eat </w:t>
            </w:r>
            <w:r w:rsidR="00423F00">
              <w:t>p</w:t>
            </w:r>
            <w:r w:rsidRPr="00374071">
              <w:t>rocessing conditions</w:t>
            </w:r>
            <w:r>
              <w:t xml:space="preserve">. </w:t>
            </w:r>
          </w:p>
        </w:tc>
        <w:tc>
          <w:tcPr>
            <w:tcW w:w="2006" w:type="dxa"/>
            <w:vAlign w:val="center"/>
          </w:tcPr>
          <w:p w14:paraId="4AF9BCA0" w14:textId="12540BD1" w:rsidR="00190D54" w:rsidRDefault="00190D54" w:rsidP="00314982">
            <w:pPr>
              <w:pStyle w:val="TableText"/>
              <w:jc w:val="center"/>
              <w:rPr>
                <w:lang w:eastAsia="ja-JP"/>
              </w:rPr>
            </w:pPr>
            <w:r>
              <w:rPr>
                <w:lang w:eastAsia="ja-JP"/>
              </w:rPr>
              <w:t>Critical</w:t>
            </w:r>
          </w:p>
        </w:tc>
      </w:tr>
      <w:tr w:rsidR="00190D54" w14:paraId="6553F09F" w14:textId="77777777" w:rsidTr="00314982">
        <w:trPr>
          <w:cantSplit/>
          <w:tblHeader/>
        </w:trPr>
        <w:tc>
          <w:tcPr>
            <w:tcW w:w="7054" w:type="dxa"/>
          </w:tcPr>
          <w:p w14:paraId="6ED6AEA5" w14:textId="6533F787" w:rsidR="00190D54" w:rsidRDefault="00190D54" w:rsidP="00190D54">
            <w:pPr>
              <w:pStyle w:val="TableText"/>
              <w:rPr>
                <w:lang w:eastAsia="ja-JP"/>
              </w:rPr>
            </w:pPr>
            <w:r>
              <w:rPr>
                <w:lang w:eastAsia="ja-JP"/>
              </w:rPr>
              <w:t xml:space="preserve">4.3 </w:t>
            </w:r>
            <w:r w:rsidRPr="007B1F1B">
              <w:rPr>
                <w:rFonts w:asciiTheme="majorHAnsi" w:hAnsiTheme="majorHAnsi" w:cstheme="majorHAnsi"/>
                <w:bCs/>
              </w:rPr>
              <w:t>Any bone, major peripheral lymph nodes or head and neck material in imported pig meat must only be disposed of at a department-approved high temperature incineration facility or a department-approved deep burial facility.</w:t>
            </w:r>
          </w:p>
        </w:tc>
        <w:tc>
          <w:tcPr>
            <w:tcW w:w="2006" w:type="dxa"/>
            <w:vAlign w:val="center"/>
          </w:tcPr>
          <w:p w14:paraId="3CF6DB9D" w14:textId="4AACE9A9" w:rsidR="00190D54" w:rsidRDefault="00190D54" w:rsidP="00314982">
            <w:pPr>
              <w:pStyle w:val="TableText"/>
              <w:jc w:val="center"/>
              <w:rPr>
                <w:lang w:eastAsia="ja-JP"/>
              </w:rPr>
            </w:pPr>
            <w:r>
              <w:rPr>
                <w:lang w:eastAsia="ja-JP"/>
              </w:rPr>
              <w:t>Critical</w:t>
            </w:r>
          </w:p>
        </w:tc>
      </w:tr>
      <w:tr w:rsidR="00190D54" w14:paraId="3AD30D01" w14:textId="77777777" w:rsidTr="00314982">
        <w:trPr>
          <w:cantSplit/>
          <w:tblHeader/>
        </w:trPr>
        <w:tc>
          <w:tcPr>
            <w:tcW w:w="7054" w:type="dxa"/>
          </w:tcPr>
          <w:p w14:paraId="6042F4C0" w14:textId="356F53A3" w:rsidR="00190D54" w:rsidRPr="00190D54" w:rsidRDefault="00190D54" w:rsidP="00190D54">
            <w:pPr>
              <w:pStyle w:val="TableText"/>
            </w:pPr>
            <w:r>
              <w:rPr>
                <w:lang w:eastAsia="ja-JP"/>
              </w:rPr>
              <w:t xml:space="preserve">4.4 </w:t>
            </w:r>
            <w:r w:rsidRPr="00E24E91">
              <w:t xml:space="preserve">The </w:t>
            </w:r>
            <w:r>
              <w:t>BIP</w:t>
            </w:r>
            <w:r w:rsidRPr="00E24E91">
              <w:t xml:space="preserve"> must ensure that only department-approved waste transporters are used to transport the untreated imported pig meat waste to an external department-approved treatment and/or disposal facility.</w:t>
            </w:r>
          </w:p>
        </w:tc>
        <w:tc>
          <w:tcPr>
            <w:tcW w:w="2006" w:type="dxa"/>
            <w:vAlign w:val="center"/>
          </w:tcPr>
          <w:p w14:paraId="03B466A9" w14:textId="6C14A7B5" w:rsidR="00190D54" w:rsidRDefault="00190D54" w:rsidP="00314982">
            <w:pPr>
              <w:pStyle w:val="TableText"/>
              <w:jc w:val="center"/>
              <w:rPr>
                <w:lang w:eastAsia="ja-JP"/>
              </w:rPr>
            </w:pPr>
            <w:r>
              <w:rPr>
                <w:lang w:eastAsia="ja-JP"/>
              </w:rPr>
              <w:t>Critical</w:t>
            </w:r>
          </w:p>
        </w:tc>
      </w:tr>
      <w:tr w:rsidR="00190D54" w14:paraId="321AF6AB" w14:textId="77777777" w:rsidTr="00314982">
        <w:trPr>
          <w:cantSplit/>
          <w:tblHeader/>
        </w:trPr>
        <w:tc>
          <w:tcPr>
            <w:tcW w:w="7054" w:type="dxa"/>
          </w:tcPr>
          <w:p w14:paraId="4DA6AE43" w14:textId="114CA029" w:rsidR="00190D54" w:rsidRDefault="00190D54" w:rsidP="00190D54">
            <w:pPr>
              <w:pStyle w:val="TableText"/>
              <w:rPr>
                <w:lang w:eastAsia="ja-JP"/>
              </w:rPr>
            </w:pPr>
            <w:r>
              <w:rPr>
                <w:lang w:eastAsia="ja-JP"/>
              </w:rPr>
              <w:t xml:space="preserve">4.5 </w:t>
            </w:r>
            <w:r w:rsidRPr="00E16545">
              <w:rPr>
                <w:rFonts w:asciiTheme="majorHAnsi" w:hAnsiTheme="majorHAnsi" w:cstheme="majorHAnsi"/>
                <w:bCs/>
              </w:rPr>
              <w:t xml:space="preserve">The </w:t>
            </w:r>
            <w:r>
              <w:rPr>
                <w:rFonts w:asciiTheme="majorHAnsi" w:hAnsiTheme="majorHAnsi" w:cstheme="majorHAnsi"/>
                <w:bCs/>
              </w:rPr>
              <w:t>BIP</w:t>
            </w:r>
            <w:r w:rsidRPr="00E16545">
              <w:rPr>
                <w:rFonts w:asciiTheme="majorHAnsi" w:hAnsiTheme="majorHAnsi" w:cstheme="majorHAnsi"/>
                <w:bCs/>
              </w:rPr>
              <w:t xml:space="preserve"> must ensure that imported pig meat waste will not be sold, used or recycled for any purpose unless specifically approved in writing by the department.</w:t>
            </w:r>
          </w:p>
        </w:tc>
        <w:tc>
          <w:tcPr>
            <w:tcW w:w="2006" w:type="dxa"/>
            <w:vAlign w:val="center"/>
          </w:tcPr>
          <w:p w14:paraId="0E782473" w14:textId="54E3A196" w:rsidR="00190D54" w:rsidRDefault="00190D54" w:rsidP="00314982">
            <w:pPr>
              <w:pStyle w:val="TableText"/>
              <w:jc w:val="center"/>
              <w:rPr>
                <w:lang w:eastAsia="ja-JP"/>
              </w:rPr>
            </w:pPr>
            <w:r>
              <w:rPr>
                <w:lang w:eastAsia="ja-JP"/>
              </w:rPr>
              <w:t>Critical</w:t>
            </w:r>
          </w:p>
        </w:tc>
      </w:tr>
      <w:tr w:rsidR="00190D54" w14:paraId="7BBD71CD" w14:textId="77777777" w:rsidTr="00314982">
        <w:trPr>
          <w:cantSplit/>
          <w:tblHeader/>
        </w:trPr>
        <w:tc>
          <w:tcPr>
            <w:tcW w:w="7054" w:type="dxa"/>
          </w:tcPr>
          <w:p w14:paraId="4F75BC03" w14:textId="5BC9EB9D" w:rsidR="00190D54" w:rsidRDefault="00190D54" w:rsidP="00190D54">
            <w:pPr>
              <w:pStyle w:val="TableText"/>
              <w:rPr>
                <w:lang w:eastAsia="ja-JP"/>
              </w:rPr>
            </w:pPr>
            <w:r>
              <w:rPr>
                <w:lang w:eastAsia="ja-JP"/>
              </w:rPr>
              <w:t xml:space="preserve">4.6 </w:t>
            </w:r>
            <w:r w:rsidRPr="00673EF4">
              <w:rPr>
                <w:rFonts w:asciiTheme="majorHAnsi" w:hAnsiTheme="majorHAnsi" w:cstheme="majorHAnsi"/>
                <w:bCs/>
              </w:rPr>
              <w:t>All effluent treatment equipment must prevent access by animals and birds to effluent potentially contaminated by imported pig meat waste.</w:t>
            </w:r>
          </w:p>
        </w:tc>
        <w:tc>
          <w:tcPr>
            <w:tcW w:w="2006" w:type="dxa"/>
            <w:vAlign w:val="center"/>
          </w:tcPr>
          <w:p w14:paraId="72BA9A46" w14:textId="6EE231D3" w:rsidR="00190D54" w:rsidRDefault="00190D54" w:rsidP="00314982">
            <w:pPr>
              <w:pStyle w:val="TableText"/>
              <w:jc w:val="center"/>
              <w:rPr>
                <w:lang w:eastAsia="ja-JP"/>
              </w:rPr>
            </w:pPr>
            <w:r>
              <w:rPr>
                <w:lang w:eastAsia="ja-JP"/>
              </w:rPr>
              <w:t>Critical</w:t>
            </w:r>
          </w:p>
        </w:tc>
      </w:tr>
    </w:tbl>
    <w:p w14:paraId="190AF389" w14:textId="77777777" w:rsidR="00314982" w:rsidRDefault="00314982" w:rsidP="00190D54">
      <w:pPr>
        <w:pStyle w:val="Caption"/>
        <w:spacing w:before="240"/>
        <w:rPr>
          <w:color w:val="FF0000"/>
          <w:sz w:val="28"/>
          <w:szCs w:val="20"/>
        </w:rPr>
      </w:pPr>
    </w:p>
    <w:p w14:paraId="6FF6278C" w14:textId="77777777" w:rsidR="00314982" w:rsidRDefault="00314982">
      <w:pPr>
        <w:spacing w:after="0" w:line="240" w:lineRule="auto"/>
        <w:rPr>
          <w:rFonts w:ascii="Calibri" w:hAnsi="Calibri"/>
          <w:b/>
          <w:bCs/>
          <w:color w:val="FF0000"/>
          <w:sz w:val="28"/>
          <w:szCs w:val="20"/>
        </w:rPr>
      </w:pPr>
      <w:r>
        <w:rPr>
          <w:color w:val="FF0000"/>
          <w:sz w:val="28"/>
          <w:szCs w:val="20"/>
        </w:rPr>
        <w:br w:type="page"/>
      </w:r>
    </w:p>
    <w:p w14:paraId="1DE31FEC" w14:textId="3A865AA8" w:rsidR="00190D54" w:rsidRPr="00314982" w:rsidRDefault="00190D54" w:rsidP="00190D54">
      <w:pPr>
        <w:pStyle w:val="Caption"/>
        <w:spacing w:before="240"/>
        <w:rPr>
          <w:color w:val="FF0000"/>
          <w:sz w:val="28"/>
          <w:szCs w:val="20"/>
        </w:rPr>
      </w:pPr>
      <w:r w:rsidRPr="00314982">
        <w:rPr>
          <w:color w:val="FF0000"/>
          <w:sz w:val="28"/>
          <w:szCs w:val="20"/>
        </w:rPr>
        <w:lastRenderedPageBreak/>
        <w:t xml:space="preserve">Table </w:t>
      </w:r>
      <w:r w:rsidR="00443F99" w:rsidRPr="00314982">
        <w:rPr>
          <w:color w:val="FF0000"/>
          <w:sz w:val="28"/>
          <w:szCs w:val="20"/>
        </w:rPr>
        <w:fldChar w:fldCharType="begin"/>
      </w:r>
      <w:r w:rsidR="00443F99" w:rsidRPr="00314982">
        <w:rPr>
          <w:color w:val="FF0000"/>
          <w:sz w:val="28"/>
          <w:szCs w:val="20"/>
        </w:rPr>
        <w:instrText xml:space="preserve"> SEQ Table \* ARABIC </w:instrText>
      </w:r>
      <w:r w:rsidR="00443F99" w:rsidRPr="00314982">
        <w:rPr>
          <w:color w:val="FF0000"/>
          <w:sz w:val="28"/>
          <w:szCs w:val="20"/>
        </w:rPr>
        <w:fldChar w:fldCharType="separate"/>
      </w:r>
      <w:r w:rsidR="00E5223E">
        <w:rPr>
          <w:noProof/>
          <w:color w:val="FF0000"/>
          <w:sz w:val="28"/>
          <w:szCs w:val="20"/>
        </w:rPr>
        <w:t>5</w:t>
      </w:r>
      <w:r w:rsidR="00443F99" w:rsidRPr="00314982">
        <w:rPr>
          <w:noProof/>
          <w:color w:val="FF0000"/>
          <w:sz w:val="28"/>
          <w:szCs w:val="20"/>
        </w:rPr>
        <w:fldChar w:fldCharType="end"/>
      </w:r>
      <w:r w:rsidRPr="00314982">
        <w:rPr>
          <w:color w:val="FF0000"/>
          <w:sz w:val="28"/>
          <w:szCs w:val="20"/>
        </w:rPr>
        <w:t xml:space="preserve"> Office and record </w:t>
      </w:r>
      <w:r w:rsidR="00314982" w:rsidRPr="00314982">
        <w:rPr>
          <w:color w:val="FF0000"/>
          <w:sz w:val="28"/>
          <w:szCs w:val="20"/>
        </w:rPr>
        <w:t>conditions</w:t>
      </w:r>
    </w:p>
    <w:tbl>
      <w:tblPr>
        <w:tblStyle w:val="TableGrid"/>
        <w:tblW w:w="0" w:type="auto"/>
        <w:tblLook w:val="04A0" w:firstRow="1" w:lastRow="0" w:firstColumn="1" w:lastColumn="0" w:noHBand="0" w:noVBand="1"/>
      </w:tblPr>
      <w:tblGrid>
        <w:gridCol w:w="7054"/>
        <w:gridCol w:w="2006"/>
      </w:tblGrid>
      <w:tr w:rsidR="00190D54" w14:paraId="05D0608A" w14:textId="77777777" w:rsidTr="00314982">
        <w:trPr>
          <w:cantSplit/>
          <w:tblHeader/>
        </w:trPr>
        <w:tc>
          <w:tcPr>
            <w:tcW w:w="7054" w:type="dxa"/>
          </w:tcPr>
          <w:p w14:paraId="35501745" w14:textId="343216C8" w:rsidR="00190D54" w:rsidRDefault="00987FE1" w:rsidP="00190D54">
            <w:pPr>
              <w:pStyle w:val="TableHeading"/>
              <w:rPr>
                <w:lang w:eastAsia="ja-JP"/>
              </w:rPr>
            </w:pPr>
            <w:r>
              <w:rPr>
                <w:lang w:eastAsia="ja-JP"/>
              </w:rPr>
              <w:t>Conditions</w:t>
            </w:r>
          </w:p>
        </w:tc>
        <w:tc>
          <w:tcPr>
            <w:tcW w:w="2006" w:type="dxa"/>
          </w:tcPr>
          <w:p w14:paraId="5C9972A7" w14:textId="02ABFD10" w:rsidR="00190D54" w:rsidRDefault="00190D54" w:rsidP="00190D54">
            <w:pPr>
              <w:pStyle w:val="TableHeading"/>
              <w:rPr>
                <w:lang w:eastAsia="ja-JP"/>
              </w:rPr>
            </w:pPr>
            <w:r>
              <w:rPr>
                <w:lang w:eastAsia="ja-JP"/>
              </w:rPr>
              <w:t>Nonconformity guide</w:t>
            </w:r>
          </w:p>
        </w:tc>
      </w:tr>
      <w:tr w:rsidR="00190D54" w14:paraId="783E5BC0" w14:textId="77777777" w:rsidTr="00314982">
        <w:trPr>
          <w:cantSplit/>
          <w:tblHeader/>
        </w:trPr>
        <w:tc>
          <w:tcPr>
            <w:tcW w:w="7054" w:type="dxa"/>
          </w:tcPr>
          <w:p w14:paraId="261448E1" w14:textId="30122898" w:rsidR="00190D54" w:rsidRDefault="00190D54" w:rsidP="00190D54">
            <w:pPr>
              <w:pStyle w:val="TableText"/>
              <w:rPr>
                <w:lang w:eastAsia="ja-JP"/>
              </w:rPr>
            </w:pPr>
            <w:r>
              <w:rPr>
                <w:lang w:eastAsia="ja-JP"/>
              </w:rPr>
              <w:t xml:space="preserve">5.1 </w:t>
            </w:r>
            <w:r w:rsidRPr="00673EF4">
              <w:rPr>
                <w:rFonts w:asciiTheme="majorHAnsi" w:hAnsiTheme="majorHAnsi" w:cstheme="majorHAnsi"/>
                <w:bCs/>
              </w:rPr>
              <w:t xml:space="preserve">The </w:t>
            </w:r>
            <w:r>
              <w:rPr>
                <w:rFonts w:asciiTheme="majorHAnsi" w:hAnsiTheme="majorHAnsi" w:cstheme="majorHAnsi"/>
                <w:bCs/>
              </w:rPr>
              <w:t>BIP</w:t>
            </w:r>
            <w:r w:rsidRPr="00673EF4">
              <w:rPr>
                <w:rFonts w:asciiTheme="majorHAnsi" w:hAnsiTheme="majorHAnsi" w:cstheme="majorHAnsi"/>
                <w:bCs/>
              </w:rPr>
              <w:t xml:space="preserve"> must ensure that records are kept which allow all products derived from imported pig meat to be traced in back to the biosecurity entry number.</w:t>
            </w:r>
          </w:p>
        </w:tc>
        <w:tc>
          <w:tcPr>
            <w:tcW w:w="2006" w:type="dxa"/>
            <w:vAlign w:val="center"/>
          </w:tcPr>
          <w:p w14:paraId="733CA2CC" w14:textId="5F4E648B" w:rsidR="00190D54" w:rsidRDefault="00190D54" w:rsidP="00314982">
            <w:pPr>
              <w:pStyle w:val="TableText"/>
              <w:jc w:val="center"/>
              <w:rPr>
                <w:lang w:eastAsia="ja-JP"/>
              </w:rPr>
            </w:pPr>
            <w:r>
              <w:rPr>
                <w:lang w:eastAsia="ja-JP"/>
              </w:rPr>
              <w:t>Major</w:t>
            </w:r>
          </w:p>
        </w:tc>
      </w:tr>
      <w:tr w:rsidR="00190D54" w14:paraId="7DA25000" w14:textId="77777777" w:rsidTr="00314982">
        <w:trPr>
          <w:cantSplit/>
          <w:tblHeader/>
        </w:trPr>
        <w:tc>
          <w:tcPr>
            <w:tcW w:w="7054" w:type="dxa"/>
          </w:tcPr>
          <w:p w14:paraId="033B2081" w14:textId="77777777" w:rsidR="00190D54" w:rsidRPr="00B55517" w:rsidRDefault="00190D54" w:rsidP="00190D54">
            <w:pPr>
              <w:pStyle w:val="TableText"/>
            </w:pPr>
            <w:r>
              <w:rPr>
                <w:lang w:eastAsia="ja-JP"/>
              </w:rPr>
              <w:t xml:space="preserve">5.2 </w:t>
            </w:r>
            <w:r w:rsidRPr="00B55517">
              <w:t xml:space="preserve">The </w:t>
            </w:r>
            <w:r>
              <w:t>BIP</w:t>
            </w:r>
            <w:r w:rsidRPr="00B55517">
              <w:t xml:space="preserve"> must maintain a waste register for imported pig meat waste. The waste register must accurately:</w:t>
            </w:r>
          </w:p>
          <w:p w14:paraId="3A67E092" w14:textId="77777777" w:rsidR="00EA568D" w:rsidRDefault="00190D54" w:rsidP="00190D54">
            <w:pPr>
              <w:pStyle w:val="TableBullet"/>
            </w:pPr>
            <w:r w:rsidRPr="00730C8D">
              <w:t xml:space="preserve">specify all types of imported pig meat waste generated at the </w:t>
            </w:r>
            <w:r>
              <w:t>AA</w:t>
            </w:r>
            <w:r w:rsidRPr="00730C8D">
              <w:t xml:space="preserve"> site in accordance with the level of detail provided in the definition of imported pig meat waste</w:t>
            </w:r>
          </w:p>
          <w:p w14:paraId="0B52C778" w14:textId="6FA8D107" w:rsidR="00190D54" w:rsidRDefault="00190D54" w:rsidP="00190D54">
            <w:pPr>
              <w:pStyle w:val="TableBullet"/>
              <w:rPr>
                <w:lang w:eastAsia="ja-JP"/>
              </w:rPr>
            </w:pPr>
            <w:r w:rsidRPr="00730C8D">
              <w:t>identify whether the waste is from pre-cook or post-cook processing.</w:t>
            </w:r>
          </w:p>
        </w:tc>
        <w:tc>
          <w:tcPr>
            <w:tcW w:w="2006" w:type="dxa"/>
            <w:vAlign w:val="center"/>
          </w:tcPr>
          <w:p w14:paraId="01BAFDAC" w14:textId="316EE9D5" w:rsidR="00190D54" w:rsidRDefault="00190D54" w:rsidP="00314982">
            <w:pPr>
              <w:pStyle w:val="TableText"/>
              <w:jc w:val="center"/>
              <w:rPr>
                <w:lang w:eastAsia="ja-JP"/>
              </w:rPr>
            </w:pPr>
            <w:r>
              <w:rPr>
                <w:lang w:eastAsia="ja-JP"/>
              </w:rPr>
              <w:t>Minor</w:t>
            </w:r>
          </w:p>
        </w:tc>
      </w:tr>
      <w:tr w:rsidR="00190D54" w14:paraId="01728F68" w14:textId="77777777" w:rsidTr="00314982">
        <w:trPr>
          <w:cantSplit/>
          <w:tblHeader/>
        </w:trPr>
        <w:tc>
          <w:tcPr>
            <w:tcW w:w="7054" w:type="dxa"/>
          </w:tcPr>
          <w:p w14:paraId="32E9E3FA" w14:textId="77777777" w:rsidR="00190D54" w:rsidRPr="00480789" w:rsidRDefault="00190D54" w:rsidP="00190D54">
            <w:pPr>
              <w:pStyle w:val="TableText"/>
            </w:pPr>
            <w:r>
              <w:rPr>
                <w:lang w:eastAsia="ja-JP"/>
              </w:rPr>
              <w:t xml:space="preserve">5.3 </w:t>
            </w:r>
            <w:r w:rsidRPr="00480789">
              <w:t>For each type of waste generated from the processing of imported pig meat, the waste register must provide the following information:</w:t>
            </w:r>
          </w:p>
          <w:p w14:paraId="51DBC017" w14:textId="77777777" w:rsidR="00190D54" w:rsidRPr="000F16A5" w:rsidRDefault="00190D54" w:rsidP="00190D54">
            <w:pPr>
              <w:pStyle w:val="TableBullet"/>
            </w:pPr>
            <w:r w:rsidRPr="000F16A5">
              <w:t xml:space="preserve">details of any treatment conducted on the imported pig meat waste at the </w:t>
            </w:r>
            <w:r>
              <w:t>AA</w:t>
            </w:r>
            <w:r w:rsidRPr="000F16A5">
              <w:t xml:space="preserve"> site (including core temperature and duration details, where applicable)</w:t>
            </w:r>
          </w:p>
          <w:p w14:paraId="76651D20" w14:textId="77777777" w:rsidR="00190D54" w:rsidRPr="000F16A5" w:rsidRDefault="00190D54" w:rsidP="00190D54">
            <w:pPr>
              <w:pStyle w:val="TableBullet"/>
            </w:pPr>
            <w:r w:rsidRPr="000F16A5">
              <w:t>the name of the external contractor that collects the waste from the facility</w:t>
            </w:r>
          </w:p>
          <w:p w14:paraId="201B4E9C" w14:textId="77777777" w:rsidR="00190D54" w:rsidRPr="000F16A5" w:rsidRDefault="00190D54" w:rsidP="00190D54">
            <w:pPr>
              <w:pStyle w:val="TableBullet"/>
            </w:pPr>
            <w:r w:rsidRPr="000F16A5">
              <w:t>the locations that the waste is taken to for further treatment and/or disposal (including the name of the organisation conducting the treatment/disposal activities at each location)</w:t>
            </w:r>
          </w:p>
          <w:p w14:paraId="56E409C2" w14:textId="52A3856C" w:rsidR="00190D54" w:rsidRDefault="00190D54" w:rsidP="00190D54">
            <w:pPr>
              <w:pStyle w:val="TableBullet"/>
              <w:rPr>
                <w:lang w:eastAsia="ja-JP"/>
              </w:rPr>
            </w:pPr>
            <w:r w:rsidRPr="000F16A5">
              <w:t>details of treatments (including time and temperature details, where applicable) and/or disposal conducted on the waste at each location to which the waste is taken.</w:t>
            </w:r>
          </w:p>
        </w:tc>
        <w:tc>
          <w:tcPr>
            <w:tcW w:w="2006" w:type="dxa"/>
            <w:vAlign w:val="center"/>
          </w:tcPr>
          <w:p w14:paraId="05574EB1" w14:textId="05D4C247" w:rsidR="00190D54" w:rsidRDefault="00190D54" w:rsidP="00314982">
            <w:pPr>
              <w:pStyle w:val="TableText"/>
              <w:jc w:val="center"/>
              <w:rPr>
                <w:lang w:eastAsia="ja-JP"/>
              </w:rPr>
            </w:pPr>
            <w:r>
              <w:rPr>
                <w:lang w:eastAsia="ja-JP"/>
              </w:rPr>
              <w:t>Major</w:t>
            </w:r>
          </w:p>
        </w:tc>
      </w:tr>
      <w:tr w:rsidR="00190D54" w14:paraId="2244FCFA" w14:textId="77777777" w:rsidTr="00314982">
        <w:trPr>
          <w:cantSplit/>
          <w:tblHeader/>
        </w:trPr>
        <w:tc>
          <w:tcPr>
            <w:tcW w:w="7054" w:type="dxa"/>
          </w:tcPr>
          <w:p w14:paraId="22797CEE" w14:textId="77777777" w:rsidR="00190D54" w:rsidRPr="000F16A5" w:rsidRDefault="00190D54" w:rsidP="00190D54">
            <w:pPr>
              <w:pStyle w:val="TableText"/>
            </w:pPr>
            <w:r>
              <w:rPr>
                <w:lang w:eastAsia="ja-JP"/>
              </w:rPr>
              <w:t xml:space="preserve">5.4 </w:t>
            </w:r>
            <w:r w:rsidRPr="000F16A5">
              <w:t xml:space="preserve">The </w:t>
            </w:r>
            <w:r>
              <w:t>BIP</w:t>
            </w:r>
            <w:r w:rsidRPr="000F16A5">
              <w:t xml:space="preserve"> is responsible for ensuring that accurate records and required documentation to enable verification of</w:t>
            </w:r>
            <w:r>
              <w:t xml:space="preserve"> </w:t>
            </w:r>
            <w:r w:rsidRPr="000F16A5">
              <w:t>compliance with this AA class are created, maintained and retained for a minimum of two years from the date that the imported pig meat product or waste left the AA site. Records and documentation required includes the following:</w:t>
            </w:r>
          </w:p>
          <w:p w14:paraId="29BA7434" w14:textId="77777777" w:rsidR="00190D54" w:rsidRPr="000F16A5" w:rsidRDefault="00190D54" w:rsidP="00190D54">
            <w:pPr>
              <w:pStyle w:val="TableBullet"/>
            </w:pPr>
            <w:r w:rsidRPr="000F16A5">
              <w:t>training records</w:t>
            </w:r>
          </w:p>
          <w:p w14:paraId="7108BC24" w14:textId="77777777" w:rsidR="00190D54" w:rsidRPr="000F16A5" w:rsidRDefault="00190D54" w:rsidP="00190D54">
            <w:pPr>
              <w:pStyle w:val="TableBullet"/>
            </w:pPr>
            <w:r w:rsidRPr="000F16A5">
              <w:t>inventory receipt and storage records</w:t>
            </w:r>
          </w:p>
          <w:p w14:paraId="77269554" w14:textId="77777777" w:rsidR="00190D54" w:rsidRPr="000F16A5" w:rsidRDefault="00190D54" w:rsidP="00190D54">
            <w:pPr>
              <w:pStyle w:val="TableBullet"/>
            </w:pPr>
            <w:r w:rsidRPr="000F16A5">
              <w:t>cooking records</w:t>
            </w:r>
          </w:p>
          <w:p w14:paraId="1E3BB938" w14:textId="77777777" w:rsidR="00190D54" w:rsidRPr="000F16A5" w:rsidRDefault="00190D54" w:rsidP="00190D54">
            <w:pPr>
              <w:pStyle w:val="TableBullet"/>
            </w:pPr>
            <w:r w:rsidRPr="000F16A5">
              <w:t>equipment calibration records</w:t>
            </w:r>
          </w:p>
          <w:p w14:paraId="743D5D00" w14:textId="77777777" w:rsidR="00190D54" w:rsidRPr="000F16A5" w:rsidRDefault="00190D54" w:rsidP="00190D54">
            <w:pPr>
              <w:pStyle w:val="TableBullet"/>
            </w:pPr>
            <w:r w:rsidRPr="000F16A5">
              <w:t>plant and equipment cleaning and sanitation records</w:t>
            </w:r>
          </w:p>
          <w:p w14:paraId="7125CA06" w14:textId="77777777" w:rsidR="00190D54" w:rsidRPr="000F16A5" w:rsidRDefault="00190D54" w:rsidP="00190D54">
            <w:pPr>
              <w:pStyle w:val="TableBullet"/>
            </w:pPr>
            <w:r w:rsidRPr="000F16A5">
              <w:t>movement of imported uncooked pig meat to and from the</w:t>
            </w:r>
            <w:r>
              <w:t xml:space="preserve"> </w:t>
            </w:r>
            <w:r w:rsidRPr="000F16A5">
              <w:t>AA site records</w:t>
            </w:r>
          </w:p>
          <w:p w14:paraId="51C4404A" w14:textId="77777777" w:rsidR="00190D54" w:rsidRPr="000F16A5" w:rsidRDefault="00190D54" w:rsidP="00190D54">
            <w:pPr>
              <w:pStyle w:val="TableBullet"/>
            </w:pPr>
            <w:r w:rsidRPr="000F16A5">
              <w:t>waste register</w:t>
            </w:r>
          </w:p>
          <w:p w14:paraId="70E33750" w14:textId="77777777" w:rsidR="00190D54" w:rsidRPr="000F16A5" w:rsidRDefault="00190D54" w:rsidP="00190D54">
            <w:pPr>
              <w:pStyle w:val="TableBullet"/>
            </w:pPr>
            <w:r w:rsidRPr="000F16A5">
              <w:t>Import Permits</w:t>
            </w:r>
          </w:p>
          <w:p w14:paraId="22F4379D" w14:textId="57CDEF7F" w:rsidR="00190D54" w:rsidRDefault="00190D54" w:rsidP="00190D54">
            <w:pPr>
              <w:pStyle w:val="TableBullet"/>
              <w:rPr>
                <w:lang w:eastAsia="ja-JP"/>
              </w:rPr>
            </w:pPr>
            <w:r w:rsidRPr="000F16A5">
              <w:t>internal audit records.</w:t>
            </w:r>
          </w:p>
        </w:tc>
        <w:tc>
          <w:tcPr>
            <w:tcW w:w="2006" w:type="dxa"/>
            <w:vAlign w:val="center"/>
          </w:tcPr>
          <w:p w14:paraId="0E0649AC" w14:textId="697EBBBB" w:rsidR="00190D54" w:rsidRDefault="00190D54" w:rsidP="00314982">
            <w:pPr>
              <w:pStyle w:val="TableText"/>
              <w:jc w:val="center"/>
              <w:rPr>
                <w:lang w:eastAsia="ja-JP"/>
              </w:rPr>
            </w:pPr>
            <w:r>
              <w:rPr>
                <w:lang w:eastAsia="ja-JP"/>
              </w:rPr>
              <w:t>Major</w:t>
            </w:r>
          </w:p>
        </w:tc>
      </w:tr>
      <w:tr w:rsidR="00190D54" w14:paraId="7E121911" w14:textId="77777777" w:rsidTr="00314982">
        <w:trPr>
          <w:cantSplit/>
          <w:tblHeader/>
        </w:trPr>
        <w:tc>
          <w:tcPr>
            <w:tcW w:w="7054" w:type="dxa"/>
          </w:tcPr>
          <w:p w14:paraId="4BA9C877" w14:textId="37104D12" w:rsidR="00190D54" w:rsidRDefault="00190D54" w:rsidP="00190D54">
            <w:pPr>
              <w:pStyle w:val="TableText"/>
              <w:rPr>
                <w:lang w:eastAsia="ja-JP"/>
              </w:rPr>
            </w:pPr>
            <w:r>
              <w:rPr>
                <w:lang w:eastAsia="ja-JP"/>
              </w:rPr>
              <w:t xml:space="preserve">5.5 </w:t>
            </w:r>
            <w:r>
              <w:rPr>
                <w:rFonts w:asciiTheme="majorHAnsi" w:hAnsiTheme="majorHAnsi" w:cstheme="majorHAnsi"/>
                <w:bCs/>
              </w:rPr>
              <w:t>R</w:t>
            </w:r>
            <w:r w:rsidRPr="004A3273">
              <w:rPr>
                <w:rFonts w:asciiTheme="majorHAnsi" w:hAnsiTheme="majorHAnsi" w:cstheme="majorHAnsi"/>
                <w:bCs/>
              </w:rPr>
              <w:t>ecords must be made available to the department within 48</w:t>
            </w:r>
            <w:r>
              <w:rPr>
                <w:rFonts w:asciiTheme="majorHAnsi" w:hAnsiTheme="majorHAnsi" w:cstheme="majorHAnsi"/>
                <w:bCs/>
              </w:rPr>
              <w:t xml:space="preserve"> </w:t>
            </w:r>
            <w:r w:rsidRPr="004A3273">
              <w:rPr>
                <w:rFonts w:asciiTheme="majorHAnsi" w:hAnsiTheme="majorHAnsi" w:cstheme="majorHAnsi"/>
                <w:bCs/>
              </w:rPr>
              <w:t>hours upon request.</w:t>
            </w:r>
          </w:p>
        </w:tc>
        <w:tc>
          <w:tcPr>
            <w:tcW w:w="2006" w:type="dxa"/>
            <w:vAlign w:val="center"/>
          </w:tcPr>
          <w:p w14:paraId="4B7C63EB" w14:textId="03FBB9B0" w:rsidR="00190D54" w:rsidRDefault="00190D54" w:rsidP="00314982">
            <w:pPr>
              <w:pStyle w:val="TableText"/>
              <w:jc w:val="center"/>
              <w:rPr>
                <w:lang w:eastAsia="ja-JP"/>
              </w:rPr>
            </w:pPr>
            <w:r>
              <w:rPr>
                <w:lang w:eastAsia="ja-JP"/>
              </w:rPr>
              <w:t>Major</w:t>
            </w:r>
          </w:p>
        </w:tc>
      </w:tr>
    </w:tbl>
    <w:p w14:paraId="6F9C5D3D" w14:textId="77777777" w:rsidR="00314982" w:rsidRDefault="00314982" w:rsidP="00190D54">
      <w:pPr>
        <w:pStyle w:val="Caption"/>
        <w:spacing w:before="240"/>
      </w:pPr>
    </w:p>
    <w:p w14:paraId="2FE086A3" w14:textId="77777777" w:rsidR="00314982" w:rsidRDefault="00314982">
      <w:pPr>
        <w:spacing w:after="0" w:line="240" w:lineRule="auto"/>
        <w:rPr>
          <w:rFonts w:ascii="Calibri" w:hAnsi="Calibri"/>
          <w:b/>
          <w:bCs/>
          <w:sz w:val="24"/>
          <w:szCs w:val="18"/>
        </w:rPr>
      </w:pPr>
      <w:r>
        <w:br w:type="page"/>
      </w:r>
    </w:p>
    <w:p w14:paraId="4C198875" w14:textId="1C1BFD52" w:rsidR="00190D54" w:rsidRPr="00314982" w:rsidRDefault="00190D54" w:rsidP="00190D54">
      <w:pPr>
        <w:pStyle w:val="Caption"/>
        <w:spacing w:before="240"/>
        <w:rPr>
          <w:color w:val="FF0000"/>
          <w:sz w:val="28"/>
          <w:szCs w:val="20"/>
        </w:rPr>
      </w:pPr>
      <w:r w:rsidRPr="00314982">
        <w:rPr>
          <w:color w:val="FF0000"/>
          <w:sz w:val="28"/>
          <w:szCs w:val="20"/>
        </w:rPr>
        <w:lastRenderedPageBreak/>
        <w:t xml:space="preserve">Table </w:t>
      </w:r>
      <w:r w:rsidR="00443F99" w:rsidRPr="00314982">
        <w:rPr>
          <w:color w:val="FF0000"/>
          <w:sz w:val="28"/>
          <w:szCs w:val="20"/>
        </w:rPr>
        <w:fldChar w:fldCharType="begin"/>
      </w:r>
      <w:r w:rsidR="00443F99" w:rsidRPr="00314982">
        <w:rPr>
          <w:color w:val="FF0000"/>
          <w:sz w:val="28"/>
          <w:szCs w:val="20"/>
        </w:rPr>
        <w:instrText xml:space="preserve"> SEQ Table \* ARABIC </w:instrText>
      </w:r>
      <w:r w:rsidR="00443F99" w:rsidRPr="00314982">
        <w:rPr>
          <w:color w:val="FF0000"/>
          <w:sz w:val="28"/>
          <w:szCs w:val="20"/>
        </w:rPr>
        <w:fldChar w:fldCharType="separate"/>
      </w:r>
      <w:r w:rsidR="00E5223E">
        <w:rPr>
          <w:noProof/>
          <w:color w:val="FF0000"/>
          <w:sz w:val="28"/>
          <w:szCs w:val="20"/>
        </w:rPr>
        <w:t>6</w:t>
      </w:r>
      <w:r w:rsidR="00443F99" w:rsidRPr="00314982">
        <w:rPr>
          <w:noProof/>
          <w:color w:val="FF0000"/>
          <w:sz w:val="28"/>
          <w:szCs w:val="20"/>
        </w:rPr>
        <w:fldChar w:fldCharType="end"/>
      </w:r>
      <w:r w:rsidRPr="00314982">
        <w:rPr>
          <w:color w:val="FF0000"/>
          <w:sz w:val="28"/>
          <w:szCs w:val="20"/>
        </w:rPr>
        <w:t xml:space="preserve"> Administration</w:t>
      </w:r>
    </w:p>
    <w:tbl>
      <w:tblPr>
        <w:tblStyle w:val="TableGrid"/>
        <w:tblW w:w="0" w:type="auto"/>
        <w:tblLook w:val="04A0" w:firstRow="1" w:lastRow="0" w:firstColumn="1" w:lastColumn="0" w:noHBand="0" w:noVBand="1"/>
      </w:tblPr>
      <w:tblGrid>
        <w:gridCol w:w="7054"/>
        <w:gridCol w:w="2006"/>
      </w:tblGrid>
      <w:tr w:rsidR="00190D54" w14:paraId="2D976929" w14:textId="77777777" w:rsidTr="00314982">
        <w:trPr>
          <w:cantSplit/>
          <w:tblHeader/>
        </w:trPr>
        <w:tc>
          <w:tcPr>
            <w:tcW w:w="7054" w:type="dxa"/>
          </w:tcPr>
          <w:p w14:paraId="0B25E4C9" w14:textId="318B8AEB" w:rsidR="00190D54" w:rsidRDefault="00987FE1" w:rsidP="00190D54">
            <w:pPr>
              <w:pStyle w:val="TableHeading"/>
              <w:rPr>
                <w:lang w:eastAsia="ja-JP"/>
              </w:rPr>
            </w:pPr>
            <w:r>
              <w:rPr>
                <w:lang w:eastAsia="ja-JP"/>
              </w:rPr>
              <w:t>Conditions</w:t>
            </w:r>
          </w:p>
        </w:tc>
        <w:tc>
          <w:tcPr>
            <w:tcW w:w="2006" w:type="dxa"/>
          </w:tcPr>
          <w:p w14:paraId="47C6B841" w14:textId="281F8D03" w:rsidR="00190D54" w:rsidRDefault="00190D54" w:rsidP="00190D54">
            <w:pPr>
              <w:pStyle w:val="TableHeading"/>
              <w:rPr>
                <w:lang w:eastAsia="ja-JP"/>
              </w:rPr>
            </w:pPr>
            <w:r>
              <w:rPr>
                <w:lang w:eastAsia="ja-JP"/>
              </w:rPr>
              <w:t>Nonconformity guide</w:t>
            </w:r>
          </w:p>
        </w:tc>
      </w:tr>
      <w:tr w:rsidR="00190D54" w14:paraId="40C6B7D5" w14:textId="77777777" w:rsidTr="00314982">
        <w:trPr>
          <w:cantSplit/>
          <w:tblHeader/>
        </w:trPr>
        <w:tc>
          <w:tcPr>
            <w:tcW w:w="7054" w:type="dxa"/>
          </w:tcPr>
          <w:p w14:paraId="1F5AECD1" w14:textId="77777777" w:rsidR="00190D54" w:rsidRPr="0008519B" w:rsidRDefault="00190D54" w:rsidP="00190D54">
            <w:pPr>
              <w:pStyle w:val="TableText"/>
            </w:pPr>
            <w:r>
              <w:rPr>
                <w:lang w:eastAsia="ja-JP"/>
              </w:rPr>
              <w:t xml:space="preserve">6.1 </w:t>
            </w:r>
            <w:r>
              <w:t>T</w:t>
            </w:r>
            <w:r w:rsidRPr="0008519B">
              <w:t>he following must be complied with:</w:t>
            </w:r>
          </w:p>
          <w:p w14:paraId="7E3BDC13" w14:textId="77777777" w:rsidR="00190D54" w:rsidRPr="0008519B" w:rsidRDefault="00190D54" w:rsidP="00190D54">
            <w:pPr>
              <w:pStyle w:val="TableBullet"/>
            </w:pPr>
            <w:r w:rsidRPr="0008519B">
              <w:t xml:space="preserve">the </w:t>
            </w:r>
            <w:r w:rsidRPr="00190D54">
              <w:rPr>
                <w:rStyle w:val="Emphasis"/>
              </w:rPr>
              <w:t>Biosecurity ACT 2015</w:t>
            </w:r>
            <w:r w:rsidRPr="0008519B">
              <w:t xml:space="preserve"> and subordinate legislation</w:t>
            </w:r>
          </w:p>
          <w:p w14:paraId="5976B00C" w14:textId="77777777" w:rsidR="00190D54" w:rsidRDefault="00190D54" w:rsidP="00190D54">
            <w:pPr>
              <w:pStyle w:val="TableBullet"/>
            </w:pPr>
            <w:r w:rsidRPr="0008519B">
              <w:t>Import Permit conditions</w:t>
            </w:r>
          </w:p>
          <w:p w14:paraId="394CB2F9" w14:textId="77777777" w:rsidR="00190D54" w:rsidRDefault="00190D54" w:rsidP="00190D54">
            <w:pPr>
              <w:pStyle w:val="TableBullet"/>
            </w:pPr>
            <w:r w:rsidRPr="005E53EB">
              <w:t>directions given by the department</w:t>
            </w:r>
          </w:p>
          <w:p w14:paraId="24AA11AE" w14:textId="4E7AC28A" w:rsidR="00190D54" w:rsidRDefault="00190D54" w:rsidP="00190D54">
            <w:pPr>
              <w:pStyle w:val="TableBullet"/>
              <w:rPr>
                <w:lang w:eastAsia="ja-JP"/>
              </w:rPr>
            </w:pPr>
            <w:r>
              <w:t xml:space="preserve">the </w:t>
            </w:r>
            <w:r w:rsidRPr="0052257A">
              <w:t>department's Biosecurity Import Conditions Database (BICON)</w:t>
            </w:r>
            <w:r w:rsidRPr="005E53EB">
              <w:t>.</w:t>
            </w:r>
          </w:p>
        </w:tc>
        <w:tc>
          <w:tcPr>
            <w:tcW w:w="2006" w:type="dxa"/>
            <w:vAlign w:val="center"/>
          </w:tcPr>
          <w:p w14:paraId="2B74F423" w14:textId="5E75E706" w:rsidR="00190D54" w:rsidRDefault="00190D54" w:rsidP="00314982">
            <w:pPr>
              <w:pStyle w:val="TableText"/>
              <w:jc w:val="center"/>
              <w:rPr>
                <w:lang w:eastAsia="ja-JP"/>
              </w:rPr>
            </w:pPr>
            <w:r>
              <w:rPr>
                <w:lang w:eastAsia="ja-JP"/>
              </w:rPr>
              <w:t>Minor, major or critical</w:t>
            </w:r>
          </w:p>
        </w:tc>
      </w:tr>
      <w:tr w:rsidR="00190D54" w14:paraId="1EA01D9A" w14:textId="77777777" w:rsidTr="00314982">
        <w:trPr>
          <w:cantSplit/>
          <w:tblHeader/>
        </w:trPr>
        <w:tc>
          <w:tcPr>
            <w:tcW w:w="7054" w:type="dxa"/>
          </w:tcPr>
          <w:p w14:paraId="3633DBB5" w14:textId="77777777" w:rsidR="00190D54" w:rsidRPr="00646159" w:rsidRDefault="00190D54" w:rsidP="00190D54">
            <w:pPr>
              <w:pStyle w:val="TableText"/>
            </w:pPr>
            <w:r>
              <w:rPr>
                <w:lang w:eastAsia="ja-JP"/>
              </w:rPr>
              <w:t xml:space="preserve">6.2 </w:t>
            </w:r>
            <w:r w:rsidRPr="00646159">
              <w:t xml:space="preserve">The </w:t>
            </w:r>
            <w:r>
              <w:t>BIP</w:t>
            </w:r>
            <w:r w:rsidRPr="00646159">
              <w:t xml:space="preserve"> must:</w:t>
            </w:r>
          </w:p>
          <w:p w14:paraId="7E808B10" w14:textId="77777777" w:rsidR="00190D54" w:rsidRPr="00F0073A" w:rsidRDefault="00190D54" w:rsidP="00190D54">
            <w:pPr>
              <w:pStyle w:val="TableBullet"/>
            </w:pPr>
            <w:r w:rsidRPr="00F0073A">
              <w:t xml:space="preserve">ensure compliance with all relevant conditions and procedures carried out in relation to goods subject to biosecurity control at the </w:t>
            </w:r>
            <w:r>
              <w:t>AA</w:t>
            </w:r>
            <w:r w:rsidRPr="00F0073A">
              <w:t xml:space="preserve"> site</w:t>
            </w:r>
          </w:p>
          <w:p w14:paraId="2463DCA0" w14:textId="77777777" w:rsidR="00190D54" w:rsidRDefault="00190D54" w:rsidP="00190D54">
            <w:pPr>
              <w:pStyle w:val="TableBullet"/>
            </w:pPr>
            <w:r w:rsidRPr="00F0073A">
              <w:t xml:space="preserve">ensure that its officers, employees, agents and contractors act consistently with, and ensure the proper performance of, the relevant conditions and the procedures in relation to the goods subject to biosecurity control at the </w:t>
            </w:r>
            <w:r>
              <w:t>AA</w:t>
            </w:r>
            <w:r w:rsidRPr="00F0073A">
              <w:t xml:space="preserve"> site</w:t>
            </w:r>
          </w:p>
          <w:p w14:paraId="22874D68" w14:textId="2613AAB0" w:rsidR="00190D54" w:rsidRDefault="00190D54" w:rsidP="00190D54">
            <w:pPr>
              <w:pStyle w:val="TableBullet"/>
              <w:rPr>
                <w:lang w:eastAsia="ja-JP"/>
              </w:rPr>
            </w:pPr>
            <w:r w:rsidRPr="00F0073A">
              <w:t>assist the department with any investigation relating to compliance with the Act.</w:t>
            </w:r>
          </w:p>
        </w:tc>
        <w:tc>
          <w:tcPr>
            <w:tcW w:w="2006" w:type="dxa"/>
          </w:tcPr>
          <w:p w14:paraId="3BB15F41" w14:textId="27806B0B" w:rsidR="00190D54" w:rsidRDefault="00190D54" w:rsidP="00190D54">
            <w:pPr>
              <w:pStyle w:val="TableText"/>
              <w:rPr>
                <w:lang w:eastAsia="ja-JP"/>
              </w:rPr>
            </w:pPr>
            <w:r>
              <w:rPr>
                <w:lang w:eastAsia="ja-JP"/>
              </w:rPr>
              <w:t>Minor, major or critical</w:t>
            </w:r>
          </w:p>
        </w:tc>
      </w:tr>
    </w:tbl>
    <w:p w14:paraId="58FE84F2" w14:textId="1B534092" w:rsidR="00190D54" w:rsidRPr="00314982" w:rsidRDefault="00190D54" w:rsidP="00190D54">
      <w:pPr>
        <w:pStyle w:val="Caption"/>
        <w:spacing w:before="240"/>
        <w:rPr>
          <w:color w:val="FF0000"/>
          <w:sz w:val="28"/>
          <w:szCs w:val="20"/>
        </w:rPr>
      </w:pPr>
      <w:r w:rsidRPr="00314982">
        <w:rPr>
          <w:color w:val="FF0000"/>
          <w:sz w:val="28"/>
          <w:szCs w:val="20"/>
        </w:rPr>
        <w:t xml:space="preserve">Table </w:t>
      </w:r>
      <w:r w:rsidR="00443F99" w:rsidRPr="00314982">
        <w:rPr>
          <w:color w:val="FF0000"/>
          <w:sz w:val="28"/>
          <w:szCs w:val="20"/>
        </w:rPr>
        <w:fldChar w:fldCharType="begin"/>
      </w:r>
      <w:r w:rsidR="00443F99" w:rsidRPr="00314982">
        <w:rPr>
          <w:color w:val="FF0000"/>
          <w:sz w:val="28"/>
          <w:szCs w:val="20"/>
        </w:rPr>
        <w:instrText xml:space="preserve"> SEQ Table \* ARABIC </w:instrText>
      </w:r>
      <w:r w:rsidR="00443F99" w:rsidRPr="00314982">
        <w:rPr>
          <w:color w:val="FF0000"/>
          <w:sz w:val="28"/>
          <w:szCs w:val="20"/>
        </w:rPr>
        <w:fldChar w:fldCharType="separate"/>
      </w:r>
      <w:r w:rsidR="00E5223E">
        <w:rPr>
          <w:noProof/>
          <w:color w:val="FF0000"/>
          <w:sz w:val="28"/>
          <w:szCs w:val="20"/>
        </w:rPr>
        <w:t>7</w:t>
      </w:r>
      <w:r w:rsidR="00443F99" w:rsidRPr="00314982">
        <w:rPr>
          <w:noProof/>
          <w:color w:val="FF0000"/>
          <w:sz w:val="28"/>
          <w:szCs w:val="20"/>
        </w:rPr>
        <w:fldChar w:fldCharType="end"/>
      </w:r>
      <w:r w:rsidRPr="00314982">
        <w:rPr>
          <w:color w:val="FF0000"/>
          <w:sz w:val="28"/>
          <w:szCs w:val="20"/>
        </w:rPr>
        <w:t>A General</w:t>
      </w:r>
    </w:p>
    <w:tbl>
      <w:tblPr>
        <w:tblStyle w:val="TableGrid"/>
        <w:tblW w:w="0" w:type="auto"/>
        <w:tblLook w:val="04A0" w:firstRow="1" w:lastRow="0" w:firstColumn="1" w:lastColumn="0" w:noHBand="0" w:noVBand="1"/>
      </w:tblPr>
      <w:tblGrid>
        <w:gridCol w:w="7054"/>
        <w:gridCol w:w="2006"/>
      </w:tblGrid>
      <w:tr w:rsidR="00190D54" w14:paraId="15DC43F0" w14:textId="77777777" w:rsidTr="00314982">
        <w:trPr>
          <w:cantSplit/>
          <w:tblHeader/>
        </w:trPr>
        <w:tc>
          <w:tcPr>
            <w:tcW w:w="7054" w:type="dxa"/>
          </w:tcPr>
          <w:p w14:paraId="3BCFF80A" w14:textId="7C915DAC" w:rsidR="00190D54" w:rsidRDefault="00987FE1" w:rsidP="00190D54">
            <w:pPr>
              <w:pStyle w:val="TableHeading"/>
              <w:rPr>
                <w:lang w:eastAsia="ja-JP"/>
              </w:rPr>
            </w:pPr>
            <w:r>
              <w:rPr>
                <w:lang w:eastAsia="ja-JP"/>
              </w:rPr>
              <w:t>Conditions</w:t>
            </w:r>
          </w:p>
        </w:tc>
        <w:tc>
          <w:tcPr>
            <w:tcW w:w="2006" w:type="dxa"/>
          </w:tcPr>
          <w:p w14:paraId="346B5D04" w14:textId="085C3613" w:rsidR="00190D54" w:rsidRDefault="00190D54" w:rsidP="00190D54">
            <w:pPr>
              <w:pStyle w:val="TableHeading"/>
              <w:rPr>
                <w:lang w:eastAsia="ja-JP"/>
              </w:rPr>
            </w:pPr>
            <w:r>
              <w:rPr>
                <w:lang w:eastAsia="ja-JP"/>
              </w:rPr>
              <w:t>Nonconformity guide</w:t>
            </w:r>
          </w:p>
        </w:tc>
      </w:tr>
      <w:tr w:rsidR="00190D54" w14:paraId="58CDF5BF" w14:textId="77777777" w:rsidTr="00314982">
        <w:trPr>
          <w:cantSplit/>
          <w:tblHeader/>
        </w:trPr>
        <w:tc>
          <w:tcPr>
            <w:tcW w:w="7054" w:type="dxa"/>
          </w:tcPr>
          <w:p w14:paraId="3E270DBA" w14:textId="76E206CF" w:rsidR="00190D54" w:rsidRDefault="00BB1892" w:rsidP="00190D54">
            <w:pPr>
              <w:pStyle w:val="TableText"/>
              <w:rPr>
                <w:lang w:eastAsia="ja-JP"/>
              </w:rPr>
            </w:pPr>
            <w:r>
              <w:rPr>
                <w:lang w:eastAsia="ja-JP"/>
              </w:rPr>
              <w:t xml:space="preserve">7.1 </w:t>
            </w:r>
            <w:r w:rsidRPr="003608FC">
              <w:rPr>
                <w:rFonts w:asciiTheme="majorHAnsi" w:hAnsiTheme="majorHAnsi" w:cstheme="majorHAnsi"/>
                <w:bCs/>
              </w:rPr>
              <w:t>Goods subject to biosecurity control must be maintained and processed at an AA site appropriate for the biosecurity risk associated with the items</w:t>
            </w:r>
            <w:r>
              <w:rPr>
                <w:rFonts w:asciiTheme="majorHAnsi" w:hAnsiTheme="majorHAnsi" w:cstheme="majorHAnsi"/>
                <w:bCs/>
              </w:rPr>
              <w:t>.</w:t>
            </w:r>
          </w:p>
        </w:tc>
        <w:tc>
          <w:tcPr>
            <w:tcW w:w="2006" w:type="dxa"/>
          </w:tcPr>
          <w:p w14:paraId="7B46739B" w14:textId="6BA6B7FB" w:rsidR="00190D54" w:rsidRDefault="00190D54" w:rsidP="00190D54">
            <w:pPr>
              <w:pStyle w:val="TableText"/>
              <w:rPr>
                <w:lang w:eastAsia="ja-JP"/>
              </w:rPr>
            </w:pPr>
            <w:r>
              <w:rPr>
                <w:lang w:eastAsia="ja-JP"/>
              </w:rPr>
              <w:t>Major or critical</w:t>
            </w:r>
          </w:p>
        </w:tc>
      </w:tr>
      <w:tr w:rsidR="00190D54" w14:paraId="3D1A3F42" w14:textId="77777777" w:rsidTr="00314982">
        <w:trPr>
          <w:cantSplit/>
          <w:tblHeader/>
        </w:trPr>
        <w:tc>
          <w:tcPr>
            <w:tcW w:w="7054" w:type="dxa"/>
          </w:tcPr>
          <w:p w14:paraId="705984B7" w14:textId="5E39FCCD" w:rsidR="00190D54" w:rsidRDefault="00BB1892" w:rsidP="00190D54">
            <w:pPr>
              <w:pStyle w:val="TableText"/>
              <w:rPr>
                <w:lang w:eastAsia="ja-JP"/>
              </w:rPr>
            </w:pPr>
            <w:r>
              <w:rPr>
                <w:lang w:eastAsia="ja-JP"/>
              </w:rPr>
              <w:t xml:space="preserve">7.2 </w:t>
            </w:r>
            <w:r w:rsidRPr="003608FC">
              <w:rPr>
                <w:rFonts w:asciiTheme="majorHAnsi" w:hAnsiTheme="majorHAnsi" w:cstheme="majorHAnsi"/>
                <w:bCs/>
              </w:rPr>
              <w:t xml:space="preserve">Goods subject to biosecurity control must be maintained and processed in accordance with the </w:t>
            </w:r>
            <w:r w:rsidR="00987FE1">
              <w:rPr>
                <w:rFonts w:asciiTheme="majorHAnsi" w:hAnsiTheme="majorHAnsi"/>
                <w:bCs/>
              </w:rPr>
              <w:t>c</w:t>
            </w:r>
            <w:r w:rsidR="00987FE1">
              <w:rPr>
                <w:lang w:eastAsia="ja-JP"/>
              </w:rPr>
              <w:t>onditions</w:t>
            </w:r>
            <w:r w:rsidR="00987FE1" w:rsidRPr="003608FC">
              <w:rPr>
                <w:rFonts w:asciiTheme="majorHAnsi" w:hAnsiTheme="majorHAnsi" w:cstheme="majorHAnsi"/>
                <w:bCs/>
              </w:rPr>
              <w:t xml:space="preserve"> </w:t>
            </w:r>
            <w:r w:rsidRPr="003608FC">
              <w:rPr>
                <w:rFonts w:asciiTheme="majorHAnsi" w:hAnsiTheme="majorHAnsi" w:cstheme="majorHAnsi"/>
                <w:bCs/>
              </w:rPr>
              <w:t xml:space="preserve">of the relevant </w:t>
            </w:r>
            <w:r>
              <w:rPr>
                <w:rFonts w:asciiTheme="majorHAnsi" w:hAnsiTheme="majorHAnsi" w:cstheme="majorHAnsi"/>
                <w:bCs/>
              </w:rPr>
              <w:t>AA</w:t>
            </w:r>
            <w:r w:rsidRPr="003608FC">
              <w:rPr>
                <w:rFonts w:asciiTheme="majorHAnsi" w:hAnsiTheme="majorHAnsi" w:cstheme="majorHAnsi"/>
                <w:bCs/>
              </w:rPr>
              <w:t xml:space="preserve"> class</w:t>
            </w:r>
            <w:r>
              <w:rPr>
                <w:rFonts w:asciiTheme="majorHAnsi" w:hAnsiTheme="majorHAnsi" w:cstheme="majorHAnsi"/>
                <w:bCs/>
              </w:rPr>
              <w:t>.</w:t>
            </w:r>
          </w:p>
        </w:tc>
        <w:tc>
          <w:tcPr>
            <w:tcW w:w="2006" w:type="dxa"/>
          </w:tcPr>
          <w:p w14:paraId="354542A3" w14:textId="75A5E4B1" w:rsidR="00190D54" w:rsidRDefault="00190D54" w:rsidP="00190D54">
            <w:pPr>
              <w:pStyle w:val="TableText"/>
              <w:rPr>
                <w:lang w:eastAsia="ja-JP"/>
              </w:rPr>
            </w:pPr>
            <w:r>
              <w:rPr>
                <w:lang w:eastAsia="ja-JP"/>
              </w:rPr>
              <w:t>Minor, major or critical</w:t>
            </w:r>
          </w:p>
        </w:tc>
      </w:tr>
      <w:tr w:rsidR="00190D54" w14:paraId="01E5EC03" w14:textId="77777777" w:rsidTr="00314982">
        <w:trPr>
          <w:cantSplit/>
          <w:tblHeader/>
        </w:trPr>
        <w:tc>
          <w:tcPr>
            <w:tcW w:w="7054" w:type="dxa"/>
          </w:tcPr>
          <w:p w14:paraId="32F98ADD" w14:textId="12E543E8" w:rsidR="00190D54" w:rsidRDefault="00BB1892" w:rsidP="00190D54">
            <w:pPr>
              <w:pStyle w:val="TableText"/>
              <w:rPr>
                <w:lang w:eastAsia="ja-JP"/>
              </w:rPr>
            </w:pPr>
            <w:r>
              <w:rPr>
                <w:lang w:eastAsia="ja-JP"/>
              </w:rPr>
              <w:t xml:space="preserve">7.3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import conditions specified in the department's Biosecurity Import Conditions Database (BICON)</w:t>
            </w:r>
            <w:r>
              <w:rPr>
                <w:rFonts w:asciiTheme="majorHAnsi" w:hAnsiTheme="majorHAnsi" w:cstheme="majorHAnsi"/>
                <w:bCs/>
              </w:rPr>
              <w:t>.</w:t>
            </w:r>
          </w:p>
        </w:tc>
        <w:tc>
          <w:tcPr>
            <w:tcW w:w="2006" w:type="dxa"/>
          </w:tcPr>
          <w:p w14:paraId="2A51097E" w14:textId="727BE3E3" w:rsidR="00190D54" w:rsidRDefault="00190D54" w:rsidP="00190D54">
            <w:pPr>
              <w:pStyle w:val="TableText"/>
              <w:rPr>
                <w:lang w:eastAsia="ja-JP"/>
              </w:rPr>
            </w:pPr>
            <w:r>
              <w:rPr>
                <w:lang w:eastAsia="ja-JP"/>
              </w:rPr>
              <w:t>Minor, major or critical</w:t>
            </w:r>
          </w:p>
        </w:tc>
      </w:tr>
      <w:tr w:rsidR="00190D54" w14:paraId="6292D5FB" w14:textId="77777777" w:rsidTr="00314982">
        <w:trPr>
          <w:cantSplit/>
          <w:tblHeader/>
        </w:trPr>
        <w:tc>
          <w:tcPr>
            <w:tcW w:w="7054" w:type="dxa"/>
          </w:tcPr>
          <w:p w14:paraId="6C9BDC45" w14:textId="232C72AB" w:rsidR="00190D54" w:rsidRDefault="00BB1892" w:rsidP="00190D54">
            <w:pPr>
              <w:pStyle w:val="TableText"/>
              <w:rPr>
                <w:lang w:eastAsia="ja-JP"/>
              </w:rPr>
            </w:pPr>
            <w:r>
              <w:rPr>
                <w:lang w:eastAsia="ja-JP"/>
              </w:rPr>
              <w:t xml:space="preserve">7.4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an Import Permit</w:t>
            </w:r>
            <w:r>
              <w:rPr>
                <w:rFonts w:asciiTheme="majorHAnsi" w:hAnsiTheme="majorHAnsi" w:cstheme="majorHAnsi"/>
                <w:bCs/>
              </w:rPr>
              <w:t>.</w:t>
            </w:r>
          </w:p>
        </w:tc>
        <w:tc>
          <w:tcPr>
            <w:tcW w:w="2006" w:type="dxa"/>
          </w:tcPr>
          <w:p w14:paraId="325E3137" w14:textId="7CA168A7" w:rsidR="00190D54" w:rsidRDefault="00190D54" w:rsidP="00190D54">
            <w:pPr>
              <w:pStyle w:val="TableText"/>
              <w:rPr>
                <w:lang w:eastAsia="ja-JP"/>
              </w:rPr>
            </w:pPr>
            <w:r>
              <w:rPr>
                <w:lang w:eastAsia="ja-JP"/>
              </w:rPr>
              <w:t>Minor, major or critical</w:t>
            </w:r>
          </w:p>
        </w:tc>
      </w:tr>
      <w:tr w:rsidR="00190D54" w14:paraId="69DFBB8D" w14:textId="77777777" w:rsidTr="00314982">
        <w:trPr>
          <w:cantSplit/>
          <w:tblHeader/>
        </w:trPr>
        <w:tc>
          <w:tcPr>
            <w:tcW w:w="7054" w:type="dxa"/>
          </w:tcPr>
          <w:p w14:paraId="3627F791" w14:textId="669A4E45" w:rsidR="00190D54" w:rsidRDefault="00BB1892" w:rsidP="00190D54">
            <w:pPr>
              <w:pStyle w:val="TableText"/>
              <w:rPr>
                <w:lang w:eastAsia="ja-JP"/>
              </w:rPr>
            </w:pPr>
            <w:r>
              <w:rPr>
                <w:lang w:eastAsia="ja-JP"/>
              </w:rPr>
              <w:t xml:space="preserve">7.5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any other direction from the department</w:t>
            </w:r>
            <w:r>
              <w:rPr>
                <w:rFonts w:asciiTheme="majorHAnsi" w:hAnsiTheme="majorHAnsi" w:cstheme="majorHAnsi"/>
                <w:bCs/>
              </w:rPr>
              <w:t>.</w:t>
            </w:r>
          </w:p>
        </w:tc>
        <w:tc>
          <w:tcPr>
            <w:tcW w:w="2006" w:type="dxa"/>
          </w:tcPr>
          <w:p w14:paraId="36515968" w14:textId="40E5783F" w:rsidR="00190D54" w:rsidRDefault="00190D54" w:rsidP="00190D54">
            <w:pPr>
              <w:pStyle w:val="TableText"/>
              <w:rPr>
                <w:lang w:eastAsia="ja-JP"/>
              </w:rPr>
            </w:pPr>
            <w:r>
              <w:rPr>
                <w:lang w:eastAsia="ja-JP"/>
              </w:rPr>
              <w:t>Minor, major or critical</w:t>
            </w:r>
          </w:p>
        </w:tc>
      </w:tr>
      <w:tr w:rsidR="00190D54" w14:paraId="2D23622C" w14:textId="77777777" w:rsidTr="00314982">
        <w:trPr>
          <w:cantSplit/>
          <w:tblHeader/>
        </w:trPr>
        <w:tc>
          <w:tcPr>
            <w:tcW w:w="7054" w:type="dxa"/>
          </w:tcPr>
          <w:p w14:paraId="472B0915" w14:textId="5329C633" w:rsidR="00190D54" w:rsidRDefault="00BB1892" w:rsidP="00190D54">
            <w:pPr>
              <w:pStyle w:val="TableText"/>
              <w:rPr>
                <w:lang w:eastAsia="ja-JP"/>
              </w:rPr>
            </w:pPr>
            <w:r>
              <w:rPr>
                <w:lang w:eastAsia="ja-JP"/>
              </w:rPr>
              <w:t xml:space="preserve">7.6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w:t>
            </w:r>
            <w:r>
              <w:rPr>
                <w:rFonts w:asciiTheme="majorHAnsi" w:hAnsiTheme="majorHAnsi" w:cstheme="majorHAnsi"/>
                <w:bCs/>
              </w:rPr>
              <w:t>t</w:t>
            </w:r>
            <w:r w:rsidRPr="0052257A">
              <w:rPr>
                <w:rFonts w:asciiTheme="majorHAnsi" w:hAnsiTheme="majorHAnsi" w:cstheme="majorHAnsi"/>
                <w:bCs/>
              </w:rPr>
              <w:t xml:space="preserve">he </w:t>
            </w:r>
            <w:r w:rsidRPr="00BB1892">
              <w:rPr>
                <w:rStyle w:val="Emphasis"/>
              </w:rPr>
              <w:t>Biosecurity Act 2015</w:t>
            </w:r>
            <w:r w:rsidRPr="0052257A">
              <w:rPr>
                <w:rFonts w:asciiTheme="majorHAnsi" w:hAnsiTheme="majorHAnsi" w:cstheme="majorHAnsi"/>
                <w:bCs/>
              </w:rPr>
              <w:t xml:space="preserve"> and subordinate legislation.</w:t>
            </w:r>
          </w:p>
        </w:tc>
        <w:tc>
          <w:tcPr>
            <w:tcW w:w="2006" w:type="dxa"/>
          </w:tcPr>
          <w:p w14:paraId="590843F1" w14:textId="36525EB0" w:rsidR="00190D54" w:rsidRDefault="00BB1892" w:rsidP="00190D54">
            <w:pPr>
              <w:pStyle w:val="TableText"/>
              <w:rPr>
                <w:lang w:eastAsia="ja-JP"/>
              </w:rPr>
            </w:pPr>
            <w:r>
              <w:rPr>
                <w:lang w:eastAsia="ja-JP"/>
              </w:rPr>
              <w:t>Major or critical</w:t>
            </w:r>
          </w:p>
        </w:tc>
      </w:tr>
      <w:tr w:rsidR="00190D54" w14:paraId="003A9916" w14:textId="77777777" w:rsidTr="00314982">
        <w:trPr>
          <w:cantSplit/>
          <w:tblHeader/>
        </w:trPr>
        <w:tc>
          <w:tcPr>
            <w:tcW w:w="7054" w:type="dxa"/>
          </w:tcPr>
          <w:p w14:paraId="01E5F9D4" w14:textId="77777777" w:rsidR="00BB1892" w:rsidRPr="001D3A70" w:rsidRDefault="00BB1892" w:rsidP="00BB1892">
            <w:pPr>
              <w:pStyle w:val="TableText"/>
            </w:pPr>
            <w:r>
              <w:rPr>
                <w:lang w:eastAsia="ja-JP"/>
              </w:rPr>
              <w:t xml:space="preserve">7.7 </w:t>
            </w:r>
            <w:r w:rsidRPr="001D3A70">
              <w:t>Goods subject to biosecurity control must be kept physically separated from other goods (including during transport), to ensure negligible risk of cross contamination to:</w:t>
            </w:r>
          </w:p>
          <w:p w14:paraId="6EADD9DC" w14:textId="77777777" w:rsidR="00BB1892" w:rsidRPr="00CF093F" w:rsidRDefault="00BB1892" w:rsidP="00BB1892">
            <w:pPr>
              <w:pStyle w:val="TableBullet"/>
            </w:pPr>
            <w:r w:rsidRPr="00CF093F">
              <w:t>imported items that have been released from biosecurity control</w:t>
            </w:r>
          </w:p>
          <w:p w14:paraId="1E8BAE55" w14:textId="77777777" w:rsidR="00BB1892" w:rsidRDefault="00BB1892" w:rsidP="00BB1892">
            <w:pPr>
              <w:pStyle w:val="TableBullet"/>
            </w:pPr>
            <w:r w:rsidRPr="00CF093F">
              <w:t>domestic items</w:t>
            </w:r>
          </w:p>
          <w:p w14:paraId="6FABC286" w14:textId="77777777" w:rsidR="00BB1892" w:rsidRPr="00CF093F" w:rsidRDefault="00BB1892" w:rsidP="00BB1892">
            <w:pPr>
              <w:pStyle w:val="TableBullet"/>
            </w:pPr>
            <w:r>
              <w:t>the Australian environment.</w:t>
            </w:r>
          </w:p>
          <w:p w14:paraId="417A01DC" w14:textId="2B52921B" w:rsidR="00190D54" w:rsidRPr="00BB1892" w:rsidRDefault="00BB1892" w:rsidP="00BB1892">
            <w:pPr>
              <w:pStyle w:val="TableText"/>
            </w:pPr>
            <w:r w:rsidRPr="00BB1892">
              <w:t>Note: Isolation can be achieved through the use of distance or physical barriers. The amount of distance or type of physical barrier required will depend on the nature of the goods subject to biosecurity control</w:t>
            </w:r>
          </w:p>
        </w:tc>
        <w:tc>
          <w:tcPr>
            <w:tcW w:w="2006" w:type="dxa"/>
          </w:tcPr>
          <w:p w14:paraId="00A62087" w14:textId="1106A2FB" w:rsidR="00190D54" w:rsidRDefault="00BB1892" w:rsidP="00190D54">
            <w:pPr>
              <w:pStyle w:val="TableText"/>
              <w:rPr>
                <w:lang w:eastAsia="ja-JP"/>
              </w:rPr>
            </w:pPr>
            <w:r>
              <w:rPr>
                <w:lang w:eastAsia="ja-JP"/>
              </w:rPr>
              <w:t>Major or critical</w:t>
            </w:r>
          </w:p>
        </w:tc>
      </w:tr>
      <w:tr w:rsidR="00BB1892" w14:paraId="53D42332" w14:textId="77777777" w:rsidTr="00314982">
        <w:trPr>
          <w:cantSplit/>
          <w:tblHeader/>
        </w:trPr>
        <w:tc>
          <w:tcPr>
            <w:tcW w:w="7054" w:type="dxa"/>
          </w:tcPr>
          <w:p w14:paraId="05FC06EB" w14:textId="7954DD3E" w:rsidR="00BB1892" w:rsidRDefault="00BB1892" w:rsidP="00BB1892">
            <w:pPr>
              <w:pStyle w:val="TableText"/>
              <w:rPr>
                <w:lang w:eastAsia="ja-JP"/>
              </w:rPr>
            </w:pPr>
            <w:r>
              <w:rPr>
                <w:lang w:eastAsia="ja-JP"/>
              </w:rPr>
              <w:t>7.8</w:t>
            </w:r>
            <w:r w:rsidRPr="001D3A70">
              <w:rPr>
                <w:rFonts w:asciiTheme="majorHAnsi" w:hAnsiTheme="majorHAnsi" w:cstheme="majorHAnsi"/>
                <w:bCs/>
              </w:rPr>
              <w:t xml:space="preserve"> The standard of hygiene at the AA site must be appropriate for the nature of the goods subject to biosecurity control.</w:t>
            </w:r>
          </w:p>
        </w:tc>
        <w:tc>
          <w:tcPr>
            <w:tcW w:w="2006" w:type="dxa"/>
          </w:tcPr>
          <w:p w14:paraId="30A20CDC" w14:textId="42C75C5F" w:rsidR="00BB1892" w:rsidRDefault="00BB1892" w:rsidP="00190D54">
            <w:pPr>
              <w:pStyle w:val="TableText"/>
              <w:rPr>
                <w:lang w:eastAsia="ja-JP"/>
              </w:rPr>
            </w:pPr>
            <w:r>
              <w:rPr>
                <w:lang w:eastAsia="ja-JP"/>
              </w:rPr>
              <w:t>Major or critical</w:t>
            </w:r>
          </w:p>
        </w:tc>
      </w:tr>
      <w:tr w:rsidR="00BB1892" w14:paraId="6909D376" w14:textId="77777777" w:rsidTr="00314982">
        <w:trPr>
          <w:cantSplit/>
          <w:tblHeader/>
        </w:trPr>
        <w:tc>
          <w:tcPr>
            <w:tcW w:w="7054" w:type="dxa"/>
          </w:tcPr>
          <w:p w14:paraId="5D08FBB7" w14:textId="5C501853" w:rsidR="00BB1892" w:rsidRDefault="00BB1892" w:rsidP="00BB1892">
            <w:pPr>
              <w:pStyle w:val="TableText"/>
              <w:rPr>
                <w:lang w:eastAsia="ja-JP"/>
              </w:rPr>
            </w:pPr>
            <w:r>
              <w:rPr>
                <w:lang w:eastAsia="ja-JP"/>
              </w:rPr>
              <w:t xml:space="preserve">7.9 </w:t>
            </w:r>
            <w:r w:rsidRPr="001D3A70">
              <w:rPr>
                <w:rFonts w:asciiTheme="majorHAnsi" w:hAnsiTheme="majorHAnsi" w:cstheme="majorHAnsi"/>
                <w:bCs/>
              </w:rPr>
              <w:t xml:space="preserve">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w:t>
            </w:r>
            <w:r w:rsidR="00987FE1">
              <w:rPr>
                <w:rFonts w:asciiTheme="majorHAnsi" w:hAnsiTheme="majorHAnsi" w:cstheme="majorHAnsi"/>
                <w:bCs/>
              </w:rPr>
              <w:t>c</w:t>
            </w:r>
            <w:r w:rsidR="00987FE1">
              <w:rPr>
                <w:lang w:eastAsia="ja-JP"/>
              </w:rPr>
              <w:t>onditions</w:t>
            </w:r>
            <w:r w:rsidRPr="001D3A70">
              <w:rPr>
                <w:rFonts w:asciiTheme="majorHAnsi" w:hAnsiTheme="majorHAnsi" w:cstheme="majorHAnsi"/>
                <w:bCs/>
              </w:rPr>
              <w:t>, import conditions and departmental directions.</w:t>
            </w:r>
          </w:p>
        </w:tc>
        <w:tc>
          <w:tcPr>
            <w:tcW w:w="2006" w:type="dxa"/>
          </w:tcPr>
          <w:p w14:paraId="3CAD8D13" w14:textId="520FF1CE" w:rsidR="00BB1892" w:rsidRDefault="00BB1892" w:rsidP="00190D54">
            <w:pPr>
              <w:pStyle w:val="TableText"/>
              <w:rPr>
                <w:lang w:eastAsia="ja-JP"/>
              </w:rPr>
            </w:pPr>
            <w:r>
              <w:rPr>
                <w:lang w:eastAsia="ja-JP"/>
              </w:rPr>
              <w:t>Major or critical</w:t>
            </w:r>
          </w:p>
        </w:tc>
      </w:tr>
    </w:tbl>
    <w:p w14:paraId="727524FE" w14:textId="2F6697B6" w:rsidR="00BB1892" w:rsidRPr="00314982" w:rsidRDefault="00BB1892" w:rsidP="00BB1892">
      <w:pPr>
        <w:pStyle w:val="Caption"/>
        <w:spacing w:before="240"/>
        <w:rPr>
          <w:color w:val="FF0000"/>
          <w:sz w:val="28"/>
          <w:szCs w:val="20"/>
        </w:rPr>
      </w:pPr>
      <w:r w:rsidRPr="00314982">
        <w:rPr>
          <w:color w:val="FF0000"/>
          <w:sz w:val="28"/>
          <w:szCs w:val="20"/>
        </w:rPr>
        <w:lastRenderedPageBreak/>
        <w:t>Table 7B General (continued)</w:t>
      </w:r>
    </w:p>
    <w:tbl>
      <w:tblPr>
        <w:tblStyle w:val="TableGrid"/>
        <w:tblW w:w="0" w:type="auto"/>
        <w:tblLook w:val="04A0" w:firstRow="1" w:lastRow="0" w:firstColumn="1" w:lastColumn="0" w:noHBand="0" w:noVBand="1"/>
      </w:tblPr>
      <w:tblGrid>
        <w:gridCol w:w="7054"/>
        <w:gridCol w:w="2006"/>
      </w:tblGrid>
      <w:tr w:rsidR="00BB1892" w14:paraId="77A4DC8D" w14:textId="77777777" w:rsidTr="00314982">
        <w:trPr>
          <w:cantSplit/>
          <w:tblHeader/>
        </w:trPr>
        <w:tc>
          <w:tcPr>
            <w:tcW w:w="7054" w:type="dxa"/>
          </w:tcPr>
          <w:p w14:paraId="1B247027" w14:textId="6F0124C3" w:rsidR="00BB1892" w:rsidRDefault="00E61DA5" w:rsidP="00BB1892">
            <w:pPr>
              <w:pStyle w:val="TableHeading"/>
              <w:rPr>
                <w:lang w:eastAsia="ja-JP"/>
              </w:rPr>
            </w:pPr>
            <w:r>
              <w:rPr>
                <w:lang w:eastAsia="ja-JP"/>
              </w:rPr>
              <w:t>Conditions</w:t>
            </w:r>
          </w:p>
        </w:tc>
        <w:tc>
          <w:tcPr>
            <w:tcW w:w="2006" w:type="dxa"/>
          </w:tcPr>
          <w:p w14:paraId="5FEF3A85" w14:textId="3D5EAEDE" w:rsidR="00BB1892" w:rsidRDefault="00BB1892" w:rsidP="00BB1892">
            <w:pPr>
              <w:pStyle w:val="TableHeading"/>
              <w:rPr>
                <w:lang w:eastAsia="ja-JP"/>
              </w:rPr>
            </w:pPr>
            <w:r>
              <w:rPr>
                <w:lang w:eastAsia="ja-JP"/>
              </w:rPr>
              <w:t>Nonconformity guide</w:t>
            </w:r>
          </w:p>
        </w:tc>
      </w:tr>
      <w:tr w:rsidR="00314982" w14:paraId="0F5C849D" w14:textId="77777777" w:rsidTr="00314982">
        <w:trPr>
          <w:cantSplit/>
          <w:tblHeader/>
        </w:trPr>
        <w:tc>
          <w:tcPr>
            <w:tcW w:w="7054" w:type="dxa"/>
            <w:vMerge w:val="restart"/>
          </w:tcPr>
          <w:p w14:paraId="3E7203F3" w14:textId="4FEA9E1E" w:rsidR="00314982" w:rsidRDefault="00314982" w:rsidP="00BB1892">
            <w:pPr>
              <w:pStyle w:val="TableText"/>
            </w:pPr>
            <w:r>
              <w:rPr>
                <w:lang w:eastAsia="ja-JP"/>
              </w:rPr>
              <w:t xml:space="preserve">7.10 </w:t>
            </w:r>
            <w:r w:rsidRPr="00CF093F">
              <w:t xml:space="preserve">Goods subject to biosecurity control are not permitted to be moved outside an </w:t>
            </w:r>
            <w:r>
              <w:t>AA</w:t>
            </w:r>
            <w:r w:rsidRPr="00CF093F">
              <w:t xml:space="preserve"> s</w:t>
            </w:r>
            <w:r>
              <w:t>ite except for the purpose of:</w:t>
            </w:r>
          </w:p>
          <w:p w14:paraId="370E593E" w14:textId="5AFAAEFD" w:rsidR="00314982" w:rsidRDefault="00314982" w:rsidP="00BB1892">
            <w:pPr>
              <w:pStyle w:val="TableBullet"/>
            </w:pPr>
            <w:r w:rsidRPr="00CF093F">
              <w:t>moving directly and securely to another AA site, of the appropriate AA class, with prior writte</w:t>
            </w:r>
            <w:r>
              <w:t>n approval from the department</w:t>
            </w:r>
          </w:p>
          <w:p w14:paraId="1C95C94F" w14:textId="77777777" w:rsidR="00314982" w:rsidRDefault="00314982" w:rsidP="00BB1892">
            <w:pPr>
              <w:pStyle w:val="TableBullet"/>
              <w:rPr>
                <w:lang w:eastAsia="ja-JP"/>
              </w:rPr>
            </w:pPr>
            <w:r w:rsidRPr="00CF093F">
              <w:t>moving directly and securely to an AA site of the same class (or of the same class but a higher biosecurity containment level sub-class) that is co-lo</w:t>
            </w:r>
            <w:r>
              <w:t xml:space="preserve">cated with the original AA </w:t>
            </w:r>
            <w:proofErr w:type="gramStart"/>
            <w:r>
              <w:t>site</w:t>
            </w:r>
            <w:proofErr w:type="gramEnd"/>
          </w:p>
          <w:p w14:paraId="39589CBD" w14:textId="77777777" w:rsidR="00314982" w:rsidRDefault="00314982" w:rsidP="00BB1892">
            <w:pPr>
              <w:pStyle w:val="TableBullet"/>
            </w:pPr>
            <w:r w:rsidRPr="00CF093F">
              <w:t>transport of biosecurity waste by a department approved waste transport company (operating under an AA fo</w:t>
            </w:r>
            <w:r>
              <w:t>r biosecurity waste transport).</w:t>
            </w:r>
          </w:p>
          <w:p w14:paraId="0AADFE11" w14:textId="1781CB9D" w:rsidR="00314982" w:rsidRDefault="00314982" w:rsidP="00BB1892">
            <w:pPr>
              <w:pStyle w:val="TableText"/>
              <w:rPr>
                <w:lang w:eastAsia="ja-JP"/>
              </w:rPr>
            </w:pPr>
            <w:r w:rsidRPr="00BB1892">
              <w:t xml:space="preserve">If the items are being transported </w:t>
            </w:r>
            <w:r>
              <w:t>by a non-Accredited Person (such as</w:t>
            </w:r>
            <w:r w:rsidRPr="00BB1892">
              <w:t xml:space="preserve"> a truck driver), the forwarding BIP must ensure that this person is made aware of the conditions relating to the transport of the items.</w:t>
            </w:r>
          </w:p>
        </w:tc>
        <w:tc>
          <w:tcPr>
            <w:tcW w:w="2006" w:type="dxa"/>
            <w:vAlign w:val="center"/>
          </w:tcPr>
          <w:p w14:paraId="77149339" w14:textId="77777777" w:rsidR="00314982" w:rsidRDefault="00314982" w:rsidP="00314982">
            <w:pPr>
              <w:pStyle w:val="TableText"/>
              <w:jc w:val="center"/>
              <w:rPr>
                <w:lang w:eastAsia="ja-JP"/>
              </w:rPr>
            </w:pPr>
            <w:r>
              <w:rPr>
                <w:lang w:eastAsia="ja-JP"/>
              </w:rPr>
              <w:t>Critical</w:t>
            </w:r>
          </w:p>
          <w:p w14:paraId="7DDA6FAB" w14:textId="77777777" w:rsidR="00314982" w:rsidRDefault="00314982" w:rsidP="00314982">
            <w:pPr>
              <w:pStyle w:val="TableText"/>
              <w:jc w:val="center"/>
              <w:rPr>
                <w:lang w:eastAsia="ja-JP"/>
              </w:rPr>
            </w:pPr>
          </w:p>
          <w:p w14:paraId="19278AF9" w14:textId="77777777" w:rsidR="00314982" w:rsidRDefault="00314982" w:rsidP="00314982">
            <w:pPr>
              <w:pStyle w:val="TableText"/>
              <w:jc w:val="center"/>
              <w:rPr>
                <w:lang w:eastAsia="ja-JP"/>
              </w:rPr>
            </w:pPr>
          </w:p>
          <w:p w14:paraId="4F173ADE" w14:textId="77777777" w:rsidR="00314982" w:rsidRDefault="00314982" w:rsidP="00314982">
            <w:pPr>
              <w:pStyle w:val="TableText"/>
              <w:jc w:val="center"/>
              <w:rPr>
                <w:lang w:eastAsia="ja-JP"/>
              </w:rPr>
            </w:pPr>
          </w:p>
          <w:p w14:paraId="5906D5B6" w14:textId="77777777" w:rsidR="00314982" w:rsidRDefault="00314982" w:rsidP="00314982">
            <w:pPr>
              <w:pStyle w:val="TableText"/>
              <w:jc w:val="center"/>
              <w:rPr>
                <w:lang w:eastAsia="ja-JP"/>
              </w:rPr>
            </w:pPr>
          </w:p>
          <w:p w14:paraId="4FF89AEE" w14:textId="3A1BD204" w:rsidR="00314982" w:rsidRDefault="00314982" w:rsidP="00314982">
            <w:pPr>
              <w:pStyle w:val="TableText"/>
              <w:jc w:val="center"/>
              <w:rPr>
                <w:lang w:eastAsia="ja-JP"/>
              </w:rPr>
            </w:pPr>
          </w:p>
        </w:tc>
      </w:tr>
      <w:tr w:rsidR="00314982" w14:paraId="72CE89D4" w14:textId="77777777" w:rsidTr="00314982">
        <w:trPr>
          <w:cantSplit/>
          <w:tblHeader/>
        </w:trPr>
        <w:tc>
          <w:tcPr>
            <w:tcW w:w="7054" w:type="dxa"/>
            <w:vMerge/>
          </w:tcPr>
          <w:p w14:paraId="6B5840F1" w14:textId="10E0D69C" w:rsidR="00314982" w:rsidRPr="00BB1892" w:rsidRDefault="00314982" w:rsidP="00BB1892">
            <w:pPr>
              <w:pStyle w:val="TableText"/>
            </w:pPr>
          </w:p>
        </w:tc>
        <w:tc>
          <w:tcPr>
            <w:tcW w:w="2006" w:type="dxa"/>
            <w:vAlign w:val="center"/>
          </w:tcPr>
          <w:p w14:paraId="33C04973" w14:textId="0D0709AD" w:rsidR="00314982" w:rsidRDefault="00314982" w:rsidP="00314982">
            <w:pPr>
              <w:pStyle w:val="TableText"/>
              <w:jc w:val="center"/>
              <w:rPr>
                <w:lang w:eastAsia="ja-JP"/>
              </w:rPr>
            </w:pPr>
            <w:r>
              <w:rPr>
                <w:lang w:eastAsia="ja-JP"/>
              </w:rPr>
              <w:t>Major</w:t>
            </w:r>
          </w:p>
        </w:tc>
      </w:tr>
      <w:tr w:rsidR="00BB1892" w14:paraId="727B4314" w14:textId="77777777" w:rsidTr="00314982">
        <w:trPr>
          <w:cantSplit/>
          <w:tblHeader/>
        </w:trPr>
        <w:tc>
          <w:tcPr>
            <w:tcW w:w="7054" w:type="dxa"/>
          </w:tcPr>
          <w:p w14:paraId="788A8E09" w14:textId="0D101FE9" w:rsidR="00BB1892" w:rsidRDefault="00BB1892" w:rsidP="00BB1892">
            <w:pPr>
              <w:pStyle w:val="TableText"/>
              <w:rPr>
                <w:lang w:eastAsia="ja-JP"/>
              </w:rPr>
            </w:pPr>
            <w:r>
              <w:rPr>
                <w:lang w:eastAsia="ja-JP"/>
              </w:rPr>
              <w:t xml:space="preserve">7.11 </w:t>
            </w:r>
            <w:r w:rsidRPr="009C358E">
              <w:rPr>
                <w:rFonts w:asciiTheme="majorHAnsi" w:hAnsiTheme="majorHAnsi" w:cstheme="majorHAnsi"/>
                <w:bCs/>
              </w:rPr>
              <w:t>Goods subject to biosecurity control are not permitted to leave the biosecurity area of an AA site, inadvertently or deliberately, without prior written direction or approval from the department</w:t>
            </w:r>
            <w:r>
              <w:rPr>
                <w:rFonts w:asciiTheme="majorHAnsi" w:hAnsiTheme="majorHAnsi" w:cstheme="majorHAnsi"/>
                <w:bCs/>
              </w:rPr>
              <w:t>.</w:t>
            </w:r>
          </w:p>
        </w:tc>
        <w:tc>
          <w:tcPr>
            <w:tcW w:w="2006" w:type="dxa"/>
            <w:vAlign w:val="center"/>
          </w:tcPr>
          <w:p w14:paraId="7677F191" w14:textId="27E1D5F2" w:rsidR="00BB1892" w:rsidRDefault="00BB1892" w:rsidP="00314982">
            <w:pPr>
              <w:pStyle w:val="TableText"/>
              <w:jc w:val="center"/>
              <w:rPr>
                <w:lang w:eastAsia="ja-JP"/>
              </w:rPr>
            </w:pPr>
            <w:r>
              <w:rPr>
                <w:lang w:eastAsia="ja-JP"/>
              </w:rPr>
              <w:t>Critical</w:t>
            </w:r>
          </w:p>
        </w:tc>
      </w:tr>
      <w:tr w:rsidR="00BB1892" w14:paraId="4865A7DB" w14:textId="77777777" w:rsidTr="00314982">
        <w:trPr>
          <w:cantSplit/>
          <w:tblHeader/>
        </w:trPr>
        <w:tc>
          <w:tcPr>
            <w:tcW w:w="7054" w:type="dxa"/>
          </w:tcPr>
          <w:p w14:paraId="4176A548" w14:textId="77777777" w:rsidR="00BB1892" w:rsidRPr="005B377F" w:rsidRDefault="00BB1892" w:rsidP="00BB1892">
            <w:pPr>
              <w:pStyle w:val="TableText"/>
            </w:pPr>
            <w:r>
              <w:rPr>
                <w:lang w:eastAsia="ja-JP"/>
              </w:rPr>
              <w:t xml:space="preserve">7.12 </w:t>
            </w:r>
            <w:r w:rsidRPr="005B377F">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48F28B72" w14:textId="18C21AFC" w:rsidR="00EA568D" w:rsidRDefault="00BB1892" w:rsidP="00BB1892">
            <w:pPr>
              <w:pStyle w:val="TableBullet"/>
            </w:pPr>
            <w:r w:rsidRPr="00CF093F">
              <w:t xml:space="preserve">visually verify for themselves that the items are being handled in accordance with the department's </w:t>
            </w:r>
            <w:proofErr w:type="gramStart"/>
            <w:r w:rsidR="00E61DA5">
              <w:t>c</w:t>
            </w:r>
            <w:r w:rsidR="00E61DA5">
              <w:rPr>
                <w:lang w:eastAsia="ja-JP"/>
              </w:rPr>
              <w:t>onditions</w:t>
            </w:r>
            <w:proofErr w:type="gramEnd"/>
          </w:p>
          <w:p w14:paraId="7DC95CC2" w14:textId="3E1F1196" w:rsidR="00BB1892" w:rsidRDefault="00BB1892" w:rsidP="00BB1892">
            <w:pPr>
              <w:pStyle w:val="TableBullet"/>
              <w:rPr>
                <w:lang w:eastAsia="ja-JP"/>
              </w:rPr>
            </w:pPr>
            <w:r w:rsidRPr="00CF093F">
              <w:t>communicate immediately and effectively with the persons being supervised.</w:t>
            </w:r>
          </w:p>
        </w:tc>
        <w:tc>
          <w:tcPr>
            <w:tcW w:w="2006" w:type="dxa"/>
            <w:vAlign w:val="center"/>
          </w:tcPr>
          <w:p w14:paraId="30F8807A" w14:textId="24BDC646" w:rsidR="00BB1892" w:rsidRDefault="00BB1892" w:rsidP="00314982">
            <w:pPr>
              <w:pStyle w:val="TableText"/>
              <w:jc w:val="center"/>
              <w:rPr>
                <w:lang w:eastAsia="ja-JP"/>
              </w:rPr>
            </w:pPr>
            <w:r>
              <w:rPr>
                <w:lang w:eastAsia="ja-JP"/>
              </w:rPr>
              <w:t>Major</w:t>
            </w:r>
          </w:p>
        </w:tc>
      </w:tr>
      <w:tr w:rsidR="00BB1892" w14:paraId="354C3DE3" w14:textId="77777777" w:rsidTr="00314982">
        <w:trPr>
          <w:cantSplit/>
          <w:tblHeader/>
        </w:trPr>
        <w:tc>
          <w:tcPr>
            <w:tcW w:w="7054" w:type="dxa"/>
          </w:tcPr>
          <w:p w14:paraId="7EE546BC" w14:textId="5108275C" w:rsidR="00BB1892" w:rsidRDefault="00BB1892" w:rsidP="00BB1892">
            <w:pPr>
              <w:pStyle w:val="TableText"/>
              <w:rPr>
                <w:lang w:eastAsia="ja-JP"/>
              </w:rPr>
            </w:pPr>
            <w:r>
              <w:rPr>
                <w:lang w:eastAsia="ja-JP"/>
              </w:rPr>
              <w:t xml:space="preserve">7.13 </w:t>
            </w:r>
            <w:r>
              <w:rPr>
                <w:rFonts w:asciiTheme="majorHAnsi" w:hAnsiTheme="majorHAnsi" w:cstheme="majorHAnsi"/>
                <w:bCs/>
              </w:rPr>
              <w:t>Persons performing the function of an Accredited Person must have successfully completed accreditation training.</w:t>
            </w:r>
          </w:p>
        </w:tc>
        <w:tc>
          <w:tcPr>
            <w:tcW w:w="2006" w:type="dxa"/>
            <w:vAlign w:val="center"/>
          </w:tcPr>
          <w:p w14:paraId="3CD793C2" w14:textId="52D8D636" w:rsidR="00BB1892" w:rsidRDefault="00BB1892" w:rsidP="00314982">
            <w:pPr>
              <w:pStyle w:val="TableText"/>
              <w:jc w:val="center"/>
              <w:rPr>
                <w:lang w:eastAsia="ja-JP"/>
              </w:rPr>
            </w:pPr>
            <w:r>
              <w:rPr>
                <w:lang w:eastAsia="ja-JP"/>
              </w:rPr>
              <w:t>Major</w:t>
            </w:r>
          </w:p>
        </w:tc>
      </w:tr>
      <w:tr w:rsidR="00BB1892" w14:paraId="4A438A31" w14:textId="77777777" w:rsidTr="00314982">
        <w:trPr>
          <w:cantSplit/>
          <w:tblHeader/>
        </w:trPr>
        <w:tc>
          <w:tcPr>
            <w:tcW w:w="7054" w:type="dxa"/>
          </w:tcPr>
          <w:p w14:paraId="48EF0116" w14:textId="7A0ABC31" w:rsidR="00BB1892" w:rsidRDefault="00BB1892" w:rsidP="00BB1892">
            <w:pPr>
              <w:pStyle w:val="TableText"/>
              <w:rPr>
                <w:lang w:eastAsia="ja-JP"/>
              </w:rPr>
            </w:pPr>
            <w:r>
              <w:rPr>
                <w:lang w:eastAsia="ja-JP"/>
              </w:rPr>
              <w:t xml:space="preserve">7.14 </w:t>
            </w:r>
            <w:r w:rsidRPr="005B377F">
              <w:rPr>
                <w:rFonts w:asciiTheme="majorHAnsi" w:hAnsiTheme="majorHAnsi" w:cstheme="majorHAnsi"/>
                <w:bCs/>
              </w:rPr>
              <w:t>Records must be maintained of Accredited Persons.</w:t>
            </w:r>
          </w:p>
        </w:tc>
        <w:tc>
          <w:tcPr>
            <w:tcW w:w="2006" w:type="dxa"/>
            <w:vAlign w:val="center"/>
          </w:tcPr>
          <w:p w14:paraId="140977BF" w14:textId="1F2DE4FD" w:rsidR="00BB1892" w:rsidRDefault="00BB1892" w:rsidP="00314982">
            <w:pPr>
              <w:pStyle w:val="TableText"/>
              <w:jc w:val="center"/>
              <w:rPr>
                <w:lang w:eastAsia="ja-JP"/>
              </w:rPr>
            </w:pPr>
            <w:r>
              <w:rPr>
                <w:lang w:eastAsia="ja-JP"/>
              </w:rPr>
              <w:t>Minor</w:t>
            </w:r>
          </w:p>
        </w:tc>
      </w:tr>
      <w:tr w:rsidR="00BB1892" w:rsidRPr="00BB1892" w14:paraId="37DF4EFB" w14:textId="77777777" w:rsidTr="00314982">
        <w:trPr>
          <w:cantSplit/>
          <w:tblHeader/>
        </w:trPr>
        <w:tc>
          <w:tcPr>
            <w:tcW w:w="7054" w:type="dxa"/>
          </w:tcPr>
          <w:p w14:paraId="1C194F4C" w14:textId="58BA82C2" w:rsidR="00BB1892" w:rsidRPr="00BB1892" w:rsidRDefault="00BB1892" w:rsidP="00BB1892">
            <w:pPr>
              <w:pStyle w:val="TableText"/>
            </w:pPr>
            <w:r w:rsidRPr="00BB1892">
              <w:t>7.15 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2006" w:type="dxa"/>
            <w:vAlign w:val="center"/>
          </w:tcPr>
          <w:p w14:paraId="1203D3C1" w14:textId="50A35F2D" w:rsidR="00BB1892" w:rsidRPr="00BB1892" w:rsidRDefault="00BB1892" w:rsidP="00314982">
            <w:pPr>
              <w:pStyle w:val="TableText"/>
              <w:jc w:val="center"/>
            </w:pPr>
            <w:r>
              <w:t>Major</w:t>
            </w:r>
          </w:p>
        </w:tc>
      </w:tr>
      <w:tr w:rsidR="00BB1892" w:rsidRPr="00BB1892" w14:paraId="63D0F19C" w14:textId="77777777" w:rsidTr="00314982">
        <w:trPr>
          <w:cantSplit/>
          <w:tblHeader/>
        </w:trPr>
        <w:tc>
          <w:tcPr>
            <w:tcW w:w="7054" w:type="dxa"/>
          </w:tcPr>
          <w:p w14:paraId="7DF8A383" w14:textId="3CFE3BBA" w:rsidR="00BB1892" w:rsidRPr="00BB1892" w:rsidRDefault="00BB1892" w:rsidP="00BB1892">
            <w:pPr>
              <w:pStyle w:val="TableText"/>
            </w:pPr>
            <w:r>
              <w:t xml:space="preserve">7.16 </w:t>
            </w:r>
            <w:r w:rsidRPr="00CF561E">
              <w:rPr>
                <w:rFonts w:asciiTheme="majorHAnsi" w:hAnsiTheme="majorHAnsi" w:cstheme="majorHAnsi"/>
                <w:bCs/>
              </w:rPr>
              <w:t>Ensure records are kept for a minimum of 18 months for goods subject to biosecurity control at the AA site</w:t>
            </w:r>
            <w:r>
              <w:rPr>
                <w:rFonts w:asciiTheme="majorHAnsi" w:hAnsiTheme="majorHAnsi" w:cstheme="majorHAnsi"/>
                <w:bCs/>
              </w:rPr>
              <w:t>.</w:t>
            </w:r>
          </w:p>
        </w:tc>
        <w:tc>
          <w:tcPr>
            <w:tcW w:w="2006" w:type="dxa"/>
            <w:vAlign w:val="center"/>
          </w:tcPr>
          <w:p w14:paraId="46A5DB0A" w14:textId="0FAB6275" w:rsidR="00BB1892" w:rsidRDefault="00BB1892" w:rsidP="00314982">
            <w:pPr>
              <w:pStyle w:val="TableText"/>
              <w:jc w:val="center"/>
            </w:pPr>
            <w:r>
              <w:t>Minor or major</w:t>
            </w:r>
          </w:p>
        </w:tc>
      </w:tr>
      <w:tr w:rsidR="00314982" w:rsidRPr="00BB1892" w14:paraId="6BB6974F" w14:textId="77777777" w:rsidTr="00314982">
        <w:trPr>
          <w:cantSplit/>
          <w:tblHeader/>
        </w:trPr>
        <w:tc>
          <w:tcPr>
            <w:tcW w:w="7054" w:type="dxa"/>
          </w:tcPr>
          <w:p w14:paraId="2D1DB083" w14:textId="3F5BBD8E" w:rsidR="00314982" w:rsidRDefault="00314982" w:rsidP="00314982">
            <w:pPr>
              <w:pStyle w:val="TableText"/>
            </w:pPr>
            <w:r>
              <w:rPr>
                <w:lang w:eastAsia="ja-JP"/>
              </w:rPr>
              <w:t xml:space="preserve">7.17 </w:t>
            </w:r>
            <w:r w:rsidRPr="00CF561E">
              <w:rPr>
                <w:rFonts w:asciiTheme="majorHAnsi" w:hAnsiTheme="majorHAnsi" w:cstheme="majorHAnsi"/>
                <w:bCs/>
              </w:rPr>
              <w:t xml:space="preserve">The </w:t>
            </w:r>
            <w:r>
              <w:rPr>
                <w:rFonts w:asciiTheme="majorHAnsi" w:hAnsiTheme="majorHAnsi" w:cstheme="majorHAnsi"/>
                <w:bCs/>
              </w:rPr>
              <w:t>BIP</w:t>
            </w:r>
            <w:r w:rsidRPr="00CF561E">
              <w:rPr>
                <w:rFonts w:asciiTheme="majorHAnsi" w:hAnsiTheme="majorHAnsi" w:cstheme="majorHAnsi"/>
                <w:bCs/>
              </w:rPr>
              <w:t xml:space="preserve"> must ensure that persons having physical access to goods subject to biosecurity control are aware that such items must only be handled by an Accredited Person or under the direct supervision of an Accredited Person.</w:t>
            </w:r>
          </w:p>
        </w:tc>
        <w:tc>
          <w:tcPr>
            <w:tcW w:w="2006" w:type="dxa"/>
            <w:vAlign w:val="center"/>
          </w:tcPr>
          <w:p w14:paraId="670952B3" w14:textId="3D83B931" w:rsidR="00314982" w:rsidRDefault="00314982" w:rsidP="00314982">
            <w:pPr>
              <w:pStyle w:val="TableText"/>
              <w:jc w:val="center"/>
            </w:pPr>
            <w:r>
              <w:rPr>
                <w:lang w:eastAsia="ja-JP"/>
              </w:rPr>
              <w:t>Major</w:t>
            </w:r>
          </w:p>
        </w:tc>
      </w:tr>
      <w:tr w:rsidR="00314982" w:rsidRPr="00BB1892" w14:paraId="35BA834C" w14:textId="77777777" w:rsidTr="00314982">
        <w:trPr>
          <w:cantSplit/>
          <w:trHeight w:val="1128"/>
          <w:tblHeader/>
        </w:trPr>
        <w:tc>
          <w:tcPr>
            <w:tcW w:w="7054" w:type="dxa"/>
            <w:vMerge w:val="restart"/>
          </w:tcPr>
          <w:p w14:paraId="01646705" w14:textId="77777777" w:rsidR="00314982" w:rsidRDefault="00314982" w:rsidP="00314982">
            <w:pPr>
              <w:pStyle w:val="TableText"/>
            </w:pPr>
            <w:r>
              <w:rPr>
                <w:lang w:eastAsia="ja-JP"/>
              </w:rPr>
              <w:t xml:space="preserve">7.18 </w:t>
            </w:r>
            <w:r w:rsidRPr="00CF561E">
              <w:t>Ceasing or transferring operations - the department must be informed, in writing, at least 15 w</w:t>
            </w:r>
            <w:r>
              <w:t>orking days prior to intended:</w:t>
            </w:r>
          </w:p>
          <w:p w14:paraId="03D0D29B" w14:textId="77777777" w:rsidR="00314982" w:rsidRPr="00552E03" w:rsidRDefault="00314982" w:rsidP="00314982">
            <w:pPr>
              <w:pStyle w:val="TableBullet"/>
            </w:pPr>
            <w:r>
              <w:t>closure of a current AA site</w:t>
            </w:r>
          </w:p>
          <w:p w14:paraId="7D2C4917" w14:textId="77777777" w:rsidR="00314982" w:rsidRPr="00BB1892" w:rsidRDefault="00314982" w:rsidP="00314982">
            <w:pPr>
              <w:pStyle w:val="TableBullet"/>
            </w:pPr>
            <w:r w:rsidRPr="00552E03">
              <w:t xml:space="preserve">relocation of the business, </w:t>
            </w:r>
            <w:r>
              <w:t>including the AA class function</w:t>
            </w:r>
          </w:p>
          <w:p w14:paraId="26FCF951" w14:textId="77777777" w:rsidR="00314982" w:rsidRPr="00552E03" w:rsidRDefault="00314982" w:rsidP="00314982">
            <w:pPr>
              <w:pStyle w:val="TableBullet"/>
            </w:pPr>
            <w:r w:rsidRPr="00552E03">
              <w:t>cea</w:t>
            </w:r>
            <w:r>
              <w:t xml:space="preserve">sing of operation as </w:t>
            </w:r>
            <w:proofErr w:type="gramStart"/>
            <w:r>
              <w:t>a</w:t>
            </w:r>
            <w:proofErr w:type="gramEnd"/>
            <w:r>
              <w:t xml:space="preserve"> AA site.</w:t>
            </w:r>
          </w:p>
          <w:p w14:paraId="72AB859A" w14:textId="51F559B0" w:rsidR="00314982" w:rsidRDefault="00314982" w:rsidP="00314982">
            <w:pPr>
              <w:pStyle w:val="TableText"/>
            </w:pPr>
            <w:r w:rsidRPr="00BB1892">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2006" w:type="dxa"/>
            <w:vAlign w:val="center"/>
          </w:tcPr>
          <w:p w14:paraId="4C7E96CB" w14:textId="77777777" w:rsidR="00314982" w:rsidRDefault="00314982" w:rsidP="00314982">
            <w:pPr>
              <w:pStyle w:val="TableText"/>
              <w:jc w:val="center"/>
              <w:rPr>
                <w:lang w:eastAsia="ja-JP"/>
              </w:rPr>
            </w:pPr>
            <w:r>
              <w:rPr>
                <w:lang w:eastAsia="ja-JP"/>
              </w:rPr>
              <w:t>Major</w:t>
            </w:r>
          </w:p>
          <w:p w14:paraId="2F6BCC21" w14:textId="77777777" w:rsidR="00314982" w:rsidRDefault="00314982" w:rsidP="00314982">
            <w:pPr>
              <w:pStyle w:val="TableText"/>
              <w:jc w:val="center"/>
              <w:rPr>
                <w:lang w:eastAsia="ja-JP"/>
              </w:rPr>
            </w:pPr>
          </w:p>
          <w:p w14:paraId="39315C9B" w14:textId="77777777" w:rsidR="00314982" w:rsidRDefault="00314982" w:rsidP="00314982">
            <w:pPr>
              <w:pStyle w:val="TableText"/>
              <w:jc w:val="center"/>
            </w:pPr>
          </w:p>
        </w:tc>
      </w:tr>
      <w:tr w:rsidR="00314982" w:rsidRPr="00BB1892" w14:paraId="305BAAB7" w14:textId="77777777" w:rsidTr="00314982">
        <w:trPr>
          <w:cantSplit/>
          <w:trHeight w:val="1281"/>
          <w:tblHeader/>
        </w:trPr>
        <w:tc>
          <w:tcPr>
            <w:tcW w:w="7054" w:type="dxa"/>
            <w:vMerge/>
          </w:tcPr>
          <w:p w14:paraId="506E9380" w14:textId="77777777" w:rsidR="00314982" w:rsidRDefault="00314982" w:rsidP="00314982">
            <w:pPr>
              <w:pStyle w:val="TableText"/>
              <w:rPr>
                <w:lang w:eastAsia="ja-JP"/>
              </w:rPr>
            </w:pPr>
          </w:p>
        </w:tc>
        <w:tc>
          <w:tcPr>
            <w:tcW w:w="2006" w:type="dxa"/>
            <w:vAlign w:val="center"/>
          </w:tcPr>
          <w:p w14:paraId="3D1D83F2" w14:textId="2DB5E0C4" w:rsidR="00314982" w:rsidRDefault="00314982" w:rsidP="00314982">
            <w:pPr>
              <w:pStyle w:val="TableText"/>
              <w:jc w:val="center"/>
              <w:rPr>
                <w:lang w:eastAsia="ja-JP"/>
              </w:rPr>
            </w:pPr>
            <w:r>
              <w:rPr>
                <w:lang w:eastAsia="ja-JP"/>
              </w:rPr>
              <w:t>Critical</w:t>
            </w:r>
          </w:p>
        </w:tc>
      </w:tr>
      <w:tr w:rsidR="00314982" w:rsidRPr="00BB1892" w14:paraId="31BB7A42" w14:textId="77777777" w:rsidTr="00314982">
        <w:trPr>
          <w:cantSplit/>
          <w:tblHeader/>
        </w:trPr>
        <w:tc>
          <w:tcPr>
            <w:tcW w:w="7054" w:type="dxa"/>
          </w:tcPr>
          <w:p w14:paraId="08C694DD" w14:textId="171C0330" w:rsidR="00314982" w:rsidRDefault="00314982" w:rsidP="00314982">
            <w:pPr>
              <w:pStyle w:val="TableText"/>
            </w:pPr>
            <w:r>
              <w:rPr>
                <w:lang w:eastAsia="ja-JP"/>
              </w:rPr>
              <w:t xml:space="preserve">7.17 </w:t>
            </w:r>
            <w:r w:rsidRPr="00CF561E">
              <w:rPr>
                <w:rFonts w:asciiTheme="majorHAnsi" w:hAnsiTheme="majorHAnsi" w:cstheme="majorHAnsi"/>
                <w:bCs/>
              </w:rPr>
              <w:t xml:space="preserve">The </w:t>
            </w:r>
            <w:r>
              <w:rPr>
                <w:rFonts w:asciiTheme="majorHAnsi" w:hAnsiTheme="majorHAnsi" w:cstheme="majorHAnsi"/>
                <w:bCs/>
              </w:rPr>
              <w:t>BIP</w:t>
            </w:r>
            <w:r w:rsidRPr="00CF561E">
              <w:rPr>
                <w:rFonts w:asciiTheme="majorHAnsi" w:hAnsiTheme="majorHAnsi" w:cstheme="majorHAnsi"/>
                <w:bCs/>
              </w:rPr>
              <w:t xml:space="preserve"> must ensure that persons having physical access to goods subject to biosecurity control are aware that such items must only be handled by an Accredited Person or under the direct supervision of an Accredited Person.</w:t>
            </w:r>
          </w:p>
        </w:tc>
        <w:tc>
          <w:tcPr>
            <w:tcW w:w="2006" w:type="dxa"/>
            <w:vAlign w:val="center"/>
          </w:tcPr>
          <w:p w14:paraId="45498D38" w14:textId="28B2F4A6" w:rsidR="00314982" w:rsidRDefault="00314982" w:rsidP="00314982">
            <w:pPr>
              <w:pStyle w:val="TableText"/>
              <w:jc w:val="center"/>
            </w:pPr>
            <w:r>
              <w:rPr>
                <w:lang w:eastAsia="ja-JP"/>
              </w:rPr>
              <w:t>Major</w:t>
            </w:r>
          </w:p>
        </w:tc>
      </w:tr>
    </w:tbl>
    <w:p w14:paraId="0EDC46E0" w14:textId="6982B5F8" w:rsidR="00BB1892" w:rsidRPr="00C83E0A" w:rsidRDefault="00BB1892" w:rsidP="00BB1892">
      <w:pPr>
        <w:pStyle w:val="Caption"/>
        <w:spacing w:before="240"/>
        <w:rPr>
          <w:color w:val="FF0000"/>
          <w:sz w:val="28"/>
          <w:szCs w:val="20"/>
        </w:rPr>
      </w:pPr>
      <w:r w:rsidRPr="00C83E0A">
        <w:rPr>
          <w:color w:val="FF0000"/>
          <w:sz w:val="28"/>
          <w:szCs w:val="20"/>
        </w:rPr>
        <w:lastRenderedPageBreak/>
        <w:t>Table 7C General (continued)</w:t>
      </w:r>
    </w:p>
    <w:tbl>
      <w:tblPr>
        <w:tblStyle w:val="TableGrid"/>
        <w:tblW w:w="0" w:type="auto"/>
        <w:tblLook w:val="04A0" w:firstRow="1" w:lastRow="0" w:firstColumn="1" w:lastColumn="0" w:noHBand="0" w:noVBand="1"/>
      </w:tblPr>
      <w:tblGrid>
        <w:gridCol w:w="7054"/>
        <w:gridCol w:w="2006"/>
      </w:tblGrid>
      <w:tr w:rsidR="00BB1892" w14:paraId="285B3858" w14:textId="77777777" w:rsidTr="00314982">
        <w:trPr>
          <w:cantSplit/>
          <w:tblHeader/>
        </w:trPr>
        <w:tc>
          <w:tcPr>
            <w:tcW w:w="7054" w:type="dxa"/>
          </w:tcPr>
          <w:p w14:paraId="3BA079BD" w14:textId="1F65C8AE" w:rsidR="00BB1892" w:rsidRDefault="00E61DA5" w:rsidP="00BB1892">
            <w:pPr>
              <w:pStyle w:val="TableHeading"/>
              <w:rPr>
                <w:lang w:eastAsia="ja-JP"/>
              </w:rPr>
            </w:pPr>
            <w:r>
              <w:rPr>
                <w:lang w:eastAsia="ja-JP"/>
              </w:rPr>
              <w:t>Conditions</w:t>
            </w:r>
          </w:p>
        </w:tc>
        <w:tc>
          <w:tcPr>
            <w:tcW w:w="2006" w:type="dxa"/>
          </w:tcPr>
          <w:p w14:paraId="166B2AF2" w14:textId="69FE4B0E" w:rsidR="00BB1892" w:rsidRDefault="00BB1892" w:rsidP="00BB1892">
            <w:pPr>
              <w:pStyle w:val="TableHeading"/>
              <w:rPr>
                <w:lang w:eastAsia="ja-JP"/>
              </w:rPr>
            </w:pPr>
            <w:r>
              <w:rPr>
                <w:lang w:eastAsia="ja-JP"/>
              </w:rPr>
              <w:t>Nonconformity guide</w:t>
            </w:r>
          </w:p>
        </w:tc>
      </w:tr>
      <w:tr w:rsidR="00BB1892" w14:paraId="1DB1BD37" w14:textId="77777777" w:rsidTr="00314982">
        <w:trPr>
          <w:cantSplit/>
          <w:tblHeader/>
        </w:trPr>
        <w:tc>
          <w:tcPr>
            <w:tcW w:w="7054" w:type="dxa"/>
          </w:tcPr>
          <w:p w14:paraId="5BFC49ED" w14:textId="7717F56A" w:rsidR="00BB1892" w:rsidRPr="009E7830" w:rsidRDefault="00BB1892" w:rsidP="00BB1892">
            <w:pPr>
              <w:pStyle w:val="TableText"/>
            </w:pPr>
            <w:r>
              <w:rPr>
                <w:lang w:eastAsia="ja-JP"/>
              </w:rPr>
              <w:t xml:space="preserve">7.19 </w:t>
            </w:r>
            <w:r w:rsidRPr="009E7830">
              <w:t xml:space="preserve">If there is </w:t>
            </w:r>
            <w:r>
              <w:t>any doubt as to whether goods:</w:t>
            </w:r>
          </w:p>
          <w:p w14:paraId="78ACF12B" w14:textId="3983DEA4" w:rsidR="00BB1892" w:rsidRDefault="00BB1892" w:rsidP="00BB1892">
            <w:pPr>
              <w:pStyle w:val="TableBullet"/>
            </w:pPr>
            <w:r w:rsidRPr="00552E03">
              <w:t xml:space="preserve">are </w:t>
            </w:r>
            <w:r>
              <w:t>subject to biosecurity control</w:t>
            </w:r>
          </w:p>
          <w:p w14:paraId="1DAD0A4A" w14:textId="2CEAEF2E" w:rsidR="00BB1892" w:rsidRDefault="00BB1892" w:rsidP="00BB1892">
            <w:pPr>
              <w:pStyle w:val="TableBullet"/>
            </w:pPr>
            <w:r w:rsidRPr="00552E03">
              <w:t xml:space="preserve">remain </w:t>
            </w:r>
            <w:r>
              <w:t>subject to biosecurity control</w:t>
            </w:r>
          </w:p>
          <w:p w14:paraId="1270828A" w14:textId="65E3B17B" w:rsidR="00BB1892" w:rsidRPr="00552E03" w:rsidRDefault="00BB1892" w:rsidP="00BB1892">
            <w:pPr>
              <w:pStyle w:val="TableBullet"/>
            </w:pPr>
            <w:r w:rsidRPr="00552E03">
              <w:t>become</w:t>
            </w:r>
            <w:r>
              <w:t xml:space="preserve"> subject to biosecurity control</w:t>
            </w:r>
          </w:p>
          <w:p w14:paraId="6DD66EB8" w14:textId="612AC1ED" w:rsidR="00BB1892" w:rsidRPr="00BB1892" w:rsidRDefault="00BB1892" w:rsidP="00BB1892">
            <w:pPr>
              <w:pStyle w:val="TableText"/>
            </w:pPr>
            <w:r w:rsidRPr="00BB1892">
              <w:t xml:space="preserve">then the goods must be handled in accordance with </w:t>
            </w:r>
            <w:r w:rsidR="00E61DA5">
              <w:t>c</w:t>
            </w:r>
            <w:r w:rsidR="00E61DA5">
              <w:rPr>
                <w:lang w:eastAsia="ja-JP"/>
              </w:rPr>
              <w:t>onditions</w:t>
            </w:r>
            <w:r w:rsidR="00E61DA5" w:rsidRPr="00BB1892">
              <w:t xml:space="preserve"> </w:t>
            </w:r>
            <w:r w:rsidRPr="00BB1892">
              <w:t>for goods subject to biosecurity control.</w:t>
            </w:r>
          </w:p>
        </w:tc>
        <w:tc>
          <w:tcPr>
            <w:tcW w:w="2006" w:type="dxa"/>
          </w:tcPr>
          <w:p w14:paraId="56628C6B" w14:textId="11049487" w:rsidR="00BB1892" w:rsidRDefault="00BB1892" w:rsidP="00BB1892">
            <w:pPr>
              <w:pStyle w:val="TableText"/>
              <w:rPr>
                <w:lang w:eastAsia="ja-JP"/>
              </w:rPr>
            </w:pPr>
            <w:r>
              <w:rPr>
                <w:lang w:eastAsia="ja-JP"/>
              </w:rPr>
              <w:t>Major</w:t>
            </w:r>
          </w:p>
        </w:tc>
      </w:tr>
      <w:tr w:rsidR="00BB1892" w14:paraId="3DAFE11A" w14:textId="77777777" w:rsidTr="00314982">
        <w:trPr>
          <w:cantSplit/>
          <w:tblHeader/>
        </w:trPr>
        <w:tc>
          <w:tcPr>
            <w:tcW w:w="7054" w:type="dxa"/>
          </w:tcPr>
          <w:p w14:paraId="3D05CCD1" w14:textId="77777777" w:rsidR="00BB1892" w:rsidRPr="009E7830" w:rsidRDefault="00BB1892" w:rsidP="00BB1892">
            <w:pPr>
              <w:pStyle w:val="TableText"/>
            </w:pPr>
            <w:r>
              <w:rPr>
                <w:lang w:eastAsia="ja-JP"/>
              </w:rPr>
              <w:t xml:space="preserve">7.20 </w:t>
            </w:r>
            <w:r w:rsidRPr="009E7830">
              <w:t xml:space="preserve">The BIP must notify the department in writing as soon as practicable within 15 </w:t>
            </w:r>
            <w:r w:rsidRPr="00F93A40">
              <w:t>working</w:t>
            </w:r>
            <w:r>
              <w:t xml:space="preserve"> </w:t>
            </w:r>
            <w:r w:rsidRPr="009E7830">
              <w:t>days of becoming aware of any change of status</w:t>
            </w:r>
            <w:r>
              <w:t xml:space="preserve">, </w:t>
            </w:r>
            <w:r w:rsidRPr="009E7830">
              <w:t xml:space="preserve">not previously </w:t>
            </w:r>
            <w:r>
              <w:t xml:space="preserve">been </w:t>
            </w:r>
            <w:r w:rsidRPr="009E7830">
              <w:t>notified to the department</w:t>
            </w:r>
            <w:r>
              <w:t>,</w:t>
            </w:r>
            <w:r w:rsidRPr="009E7830">
              <w:t xml:space="preserve"> of the BIP or their associates</w:t>
            </w:r>
            <w:r>
              <w:t xml:space="preserve"> relevant to the operation of the AA</w:t>
            </w:r>
            <w:r w:rsidRPr="009E7830">
              <w:t xml:space="preserve"> in relation to any of the following matters:</w:t>
            </w:r>
          </w:p>
          <w:p w14:paraId="228F4B5D" w14:textId="77777777" w:rsidR="00BB1892" w:rsidRPr="00FD3B0C" w:rsidRDefault="00BB1892" w:rsidP="00BB1892">
            <w:pPr>
              <w:pStyle w:val="TableBullet"/>
            </w:pPr>
            <w:r w:rsidRPr="00471EF3">
              <w:t xml:space="preserve">conviction of an offence or order to pay a pecuniary penalty under the </w:t>
            </w:r>
            <w:r w:rsidRPr="00BB1892">
              <w:rPr>
                <w:rStyle w:val="Emphasis"/>
              </w:rPr>
              <w:t>Biosecurity Act 2015, Quarantine Act 1908, Customs Act 1901</w:t>
            </w:r>
            <w:r w:rsidRPr="00FD3B0C">
              <w:t xml:space="preserve">, the Criminal Code or the </w:t>
            </w:r>
            <w:r w:rsidRPr="00BB1892">
              <w:rPr>
                <w:rStyle w:val="Emphasis"/>
              </w:rPr>
              <w:t>Crimes Act 1914</w:t>
            </w:r>
          </w:p>
          <w:p w14:paraId="6E4AF5AA" w14:textId="77777777" w:rsidR="00BB1892" w:rsidRPr="00FD3B0C" w:rsidRDefault="00BB1892" w:rsidP="00BB1892">
            <w:pPr>
              <w:pStyle w:val="TableBullet"/>
            </w:pPr>
            <w:r w:rsidRPr="00471EF3">
              <w:t xml:space="preserve">debt to the to the Commonwealth that is more than 28 days overdue under the </w:t>
            </w:r>
            <w:r w:rsidRPr="00BB1892">
              <w:rPr>
                <w:rStyle w:val="Emphasis"/>
              </w:rPr>
              <w:t>Biosecurity Act 2015, Quarantine Act 1908, Customs Act 1901</w:t>
            </w:r>
            <w:r w:rsidRPr="00FD3B0C">
              <w:t xml:space="preserve">, the Criminal Code or the </w:t>
            </w:r>
            <w:r w:rsidRPr="00BB1892">
              <w:rPr>
                <w:rStyle w:val="Emphasis"/>
              </w:rPr>
              <w:t>Crimes Act 1914</w:t>
            </w:r>
          </w:p>
          <w:p w14:paraId="46B4A060" w14:textId="4CBF7484" w:rsidR="00BB1892" w:rsidRDefault="00BB1892" w:rsidP="00BB1892">
            <w:pPr>
              <w:pStyle w:val="TableBullet"/>
              <w:rPr>
                <w:lang w:eastAsia="ja-JP"/>
              </w:rPr>
            </w:pPr>
            <w:r w:rsidRPr="009E7830">
              <w:t xml:space="preserve">refusal, involuntary suspension, involuntary revocation/cancelation or involuntary variation of an </w:t>
            </w:r>
            <w:r>
              <w:t>I</w:t>
            </w:r>
            <w:r w:rsidRPr="009E7830">
              <w:t xml:space="preserve">mport </w:t>
            </w:r>
            <w:r>
              <w:t>P</w:t>
            </w:r>
            <w:r w:rsidRPr="009E7830">
              <w:t xml:space="preserve">ermit, quarantine approved premises, compliance agreement or </w:t>
            </w:r>
            <w:r>
              <w:t>AA</w:t>
            </w:r>
            <w:r w:rsidRPr="009E7830">
              <w:t xml:space="preserve"> under the </w:t>
            </w:r>
            <w:r w:rsidRPr="00BB1892">
              <w:rPr>
                <w:rStyle w:val="Emphasis"/>
              </w:rPr>
              <w:t>Quarantine Act 1908</w:t>
            </w:r>
            <w:r w:rsidRPr="009E7830">
              <w:t xml:space="preserve"> or the </w:t>
            </w:r>
            <w:r w:rsidRPr="00BB1892">
              <w:rPr>
                <w:rStyle w:val="Emphasis"/>
              </w:rPr>
              <w:t>Biosecurity Act 2015</w:t>
            </w:r>
            <w:r>
              <w:t>.</w:t>
            </w:r>
          </w:p>
        </w:tc>
        <w:tc>
          <w:tcPr>
            <w:tcW w:w="2006" w:type="dxa"/>
          </w:tcPr>
          <w:p w14:paraId="1A7961F6" w14:textId="6E37FAD0" w:rsidR="00BB1892" w:rsidRDefault="00BB1892" w:rsidP="00BB1892">
            <w:pPr>
              <w:pStyle w:val="TableText"/>
              <w:rPr>
                <w:lang w:eastAsia="ja-JP"/>
              </w:rPr>
            </w:pPr>
            <w:r>
              <w:rPr>
                <w:lang w:eastAsia="ja-JP"/>
              </w:rPr>
              <w:t>Critical</w:t>
            </w:r>
          </w:p>
        </w:tc>
      </w:tr>
      <w:tr w:rsidR="00BB1892" w14:paraId="7C1184ED" w14:textId="77777777" w:rsidTr="00314982">
        <w:trPr>
          <w:cantSplit/>
          <w:tblHeader/>
        </w:trPr>
        <w:tc>
          <w:tcPr>
            <w:tcW w:w="7054" w:type="dxa"/>
          </w:tcPr>
          <w:p w14:paraId="1F5B67E8" w14:textId="04E85CE5" w:rsidR="00BB1892" w:rsidRDefault="00BB1892" w:rsidP="00BB1892">
            <w:pPr>
              <w:pStyle w:val="TableText"/>
              <w:rPr>
                <w:lang w:eastAsia="ja-JP"/>
              </w:rPr>
            </w:pPr>
            <w:r>
              <w:rPr>
                <w:lang w:eastAsia="ja-JP"/>
              </w:rPr>
              <w:t xml:space="preserve">7.21 </w:t>
            </w:r>
            <w:r w:rsidRPr="009E7830">
              <w:rPr>
                <w:rFonts w:asciiTheme="majorHAnsi" w:hAnsiTheme="majorHAnsi" w:cstheme="majorHAnsi"/>
                <w:bCs/>
              </w:rPr>
              <w:t xml:space="preserve">Biosecurity </w:t>
            </w:r>
            <w:r>
              <w:rPr>
                <w:rFonts w:asciiTheme="majorHAnsi" w:hAnsiTheme="majorHAnsi" w:cstheme="majorHAnsi"/>
                <w:bCs/>
              </w:rPr>
              <w:t>o</w:t>
            </w:r>
            <w:r w:rsidRPr="009E7830">
              <w:rPr>
                <w:rFonts w:asciiTheme="majorHAnsi" w:hAnsiTheme="majorHAnsi" w:cstheme="majorHAnsi"/>
                <w:bCs/>
              </w:rPr>
              <w:t xml:space="preserve">fficers, </w:t>
            </w:r>
            <w:r>
              <w:rPr>
                <w:rFonts w:asciiTheme="majorHAnsi" w:hAnsiTheme="majorHAnsi" w:cstheme="majorHAnsi"/>
                <w:bCs/>
              </w:rPr>
              <w:t>b</w:t>
            </w:r>
            <w:r w:rsidRPr="009E7830">
              <w:rPr>
                <w:rFonts w:asciiTheme="majorHAnsi" w:hAnsiTheme="majorHAnsi" w:cstheme="majorHAnsi"/>
                <w:bCs/>
              </w:rPr>
              <w:t xml:space="preserve">iosecurity </w:t>
            </w:r>
            <w:r>
              <w:rPr>
                <w:rFonts w:asciiTheme="majorHAnsi" w:hAnsiTheme="majorHAnsi" w:cstheme="majorHAnsi"/>
                <w:bCs/>
              </w:rPr>
              <w:t>enforcement o</w:t>
            </w:r>
            <w:r w:rsidR="008D4624">
              <w:rPr>
                <w:rFonts w:asciiTheme="majorHAnsi" w:hAnsiTheme="majorHAnsi" w:cstheme="majorHAnsi"/>
                <w:bCs/>
              </w:rPr>
              <w:t>fficers and department-approved auditors</w:t>
            </w:r>
            <w:r w:rsidRPr="009E7830">
              <w:rPr>
                <w:rFonts w:asciiTheme="majorHAnsi" w:hAnsiTheme="majorHAnsi" w:cstheme="majorHAnsi"/>
                <w:bCs/>
              </w:rPr>
              <w:t xml:space="preserve"> must be provided access to the AA site to perform the functions and exercise the powers conferred on them by the Biosecurity Act or another law of the Commonwealth.</w:t>
            </w:r>
          </w:p>
        </w:tc>
        <w:tc>
          <w:tcPr>
            <w:tcW w:w="2006" w:type="dxa"/>
          </w:tcPr>
          <w:p w14:paraId="10ADF15F" w14:textId="16D98477" w:rsidR="00BB1892" w:rsidRDefault="00BB1892" w:rsidP="00BB1892">
            <w:pPr>
              <w:pStyle w:val="TableText"/>
              <w:rPr>
                <w:lang w:eastAsia="ja-JP"/>
              </w:rPr>
            </w:pPr>
            <w:r>
              <w:rPr>
                <w:lang w:eastAsia="ja-JP"/>
              </w:rPr>
              <w:t>Critical</w:t>
            </w:r>
          </w:p>
        </w:tc>
      </w:tr>
      <w:tr w:rsidR="00BB1892" w14:paraId="2A4A8A09" w14:textId="77777777" w:rsidTr="00314982">
        <w:trPr>
          <w:cantSplit/>
          <w:tblHeader/>
        </w:trPr>
        <w:tc>
          <w:tcPr>
            <w:tcW w:w="7054" w:type="dxa"/>
          </w:tcPr>
          <w:p w14:paraId="472579E0" w14:textId="6EFF0185" w:rsidR="00BB1892" w:rsidRDefault="008D4624" w:rsidP="00BB1892">
            <w:pPr>
              <w:pStyle w:val="TableText"/>
              <w:rPr>
                <w:lang w:eastAsia="ja-JP"/>
              </w:rPr>
            </w:pPr>
            <w:r>
              <w:rPr>
                <w:lang w:eastAsia="ja-JP"/>
              </w:rPr>
              <w:t xml:space="preserve">7.22 </w:t>
            </w:r>
            <w:r w:rsidRPr="009E7830">
              <w:rPr>
                <w:rFonts w:asciiTheme="majorHAnsi" w:hAnsiTheme="majorHAnsi" w:cstheme="majorHAnsi"/>
                <w:bCs/>
              </w:rPr>
              <w:t>Depa</w:t>
            </w:r>
            <w:r>
              <w:rPr>
                <w:rFonts w:asciiTheme="majorHAnsi" w:hAnsiTheme="majorHAnsi" w:cstheme="majorHAnsi"/>
                <w:bCs/>
              </w:rPr>
              <w:t>rtmental auditors or department-approved auditors</w:t>
            </w:r>
            <w:r w:rsidRPr="009E7830">
              <w:rPr>
                <w:rFonts w:asciiTheme="majorHAnsi" w:hAnsiTheme="majorHAnsi" w:cstheme="majorHAnsi"/>
                <w:bCs/>
              </w:rPr>
              <w:t xml:space="preserve"> must be provided with facilities and assistance as requested, and any required documents, records or things relevant to the audit.</w:t>
            </w:r>
          </w:p>
        </w:tc>
        <w:tc>
          <w:tcPr>
            <w:tcW w:w="2006" w:type="dxa"/>
          </w:tcPr>
          <w:p w14:paraId="03C150EF" w14:textId="553428EE" w:rsidR="00BB1892" w:rsidRDefault="008D4624" w:rsidP="00BB1892">
            <w:pPr>
              <w:pStyle w:val="TableText"/>
              <w:rPr>
                <w:lang w:eastAsia="ja-JP"/>
              </w:rPr>
            </w:pPr>
            <w:r>
              <w:rPr>
                <w:lang w:eastAsia="ja-JP"/>
              </w:rPr>
              <w:t>Major or critical</w:t>
            </w:r>
          </w:p>
        </w:tc>
      </w:tr>
      <w:tr w:rsidR="00C83E0A" w14:paraId="7D3C988F" w14:textId="77777777" w:rsidTr="00314982">
        <w:trPr>
          <w:cantSplit/>
          <w:tblHeader/>
        </w:trPr>
        <w:tc>
          <w:tcPr>
            <w:tcW w:w="7054" w:type="dxa"/>
          </w:tcPr>
          <w:p w14:paraId="0C53367B" w14:textId="495C2E15" w:rsidR="00C83E0A" w:rsidRDefault="00C83E0A" w:rsidP="00C83E0A">
            <w:pPr>
              <w:pStyle w:val="TableText"/>
              <w:rPr>
                <w:lang w:eastAsia="ja-JP"/>
              </w:rPr>
            </w:pPr>
            <w:r>
              <w:rPr>
                <w:lang w:eastAsia="ja-JP"/>
              </w:rPr>
              <w:t xml:space="preserve">7.23 </w:t>
            </w:r>
            <w:r w:rsidRPr="009E7830">
              <w:rPr>
                <w:rFonts w:asciiTheme="majorHAnsi" w:hAnsiTheme="majorHAnsi" w:cstheme="majorHAnsi"/>
                <w:bCs/>
              </w:rPr>
              <w:t>The department must be notified of any Reportable Biosecurity Incident as soon as practicable, in accordance with the determination made by the Director of Biosecurity.</w:t>
            </w:r>
          </w:p>
        </w:tc>
        <w:tc>
          <w:tcPr>
            <w:tcW w:w="2006" w:type="dxa"/>
          </w:tcPr>
          <w:p w14:paraId="6F5DD18A" w14:textId="7060B192" w:rsidR="00C83E0A" w:rsidRDefault="00C83E0A" w:rsidP="00C83E0A">
            <w:pPr>
              <w:pStyle w:val="TableText"/>
              <w:rPr>
                <w:lang w:eastAsia="ja-JP"/>
              </w:rPr>
            </w:pPr>
            <w:r>
              <w:rPr>
                <w:lang w:eastAsia="ja-JP"/>
              </w:rPr>
              <w:t>Critical</w:t>
            </w:r>
          </w:p>
        </w:tc>
      </w:tr>
      <w:tr w:rsidR="00C83E0A" w14:paraId="54C53F06" w14:textId="77777777" w:rsidTr="00314982">
        <w:trPr>
          <w:cantSplit/>
          <w:tblHeader/>
        </w:trPr>
        <w:tc>
          <w:tcPr>
            <w:tcW w:w="7054" w:type="dxa"/>
          </w:tcPr>
          <w:p w14:paraId="1421906F" w14:textId="488914FE" w:rsidR="00C83E0A" w:rsidRDefault="00C83E0A" w:rsidP="00C83E0A">
            <w:pPr>
              <w:pStyle w:val="TableText"/>
              <w:rPr>
                <w:lang w:eastAsia="ja-JP"/>
              </w:rPr>
            </w:pPr>
            <w:r>
              <w:rPr>
                <w:lang w:eastAsia="ja-JP"/>
              </w:rPr>
              <w:t xml:space="preserve">7.24 </w:t>
            </w:r>
            <w:r>
              <w:rPr>
                <w:rFonts w:asciiTheme="majorHAnsi" w:hAnsiTheme="majorHAnsi" w:cstheme="majorHAnsi"/>
                <w:bCs/>
              </w:rPr>
              <w:t>Department-</w:t>
            </w:r>
            <w:r w:rsidRPr="005D284C">
              <w:rPr>
                <w:rFonts w:asciiTheme="majorHAnsi" w:hAnsiTheme="majorHAnsi" w:cstheme="majorHAnsi"/>
                <w:bCs/>
              </w:rPr>
              <w:t xml:space="preserve">approved auditors must be permitted to collect evidence of compliance and noncompliance with </w:t>
            </w:r>
            <w:r w:rsidRPr="008C7E8D">
              <w:rPr>
                <w:rFonts w:asciiTheme="majorHAnsi" w:hAnsiTheme="majorHAnsi" w:cstheme="majorHAnsi"/>
                <w:bCs/>
              </w:rPr>
              <w:t xml:space="preserve">AA </w:t>
            </w:r>
            <w:r>
              <w:rPr>
                <w:rFonts w:asciiTheme="majorHAnsi" w:hAnsiTheme="majorHAnsi"/>
                <w:bCs/>
              </w:rPr>
              <w:t>c</w:t>
            </w:r>
            <w:r>
              <w:rPr>
                <w:lang w:eastAsia="ja-JP"/>
              </w:rPr>
              <w:t>onditions</w:t>
            </w:r>
            <w:r w:rsidRPr="005D284C">
              <w:rPr>
                <w:rFonts w:asciiTheme="majorHAnsi" w:hAnsiTheme="majorHAnsi" w:cstheme="majorHAnsi"/>
                <w:bCs/>
              </w:rPr>
              <w:t xml:space="preserve"> through actions including the copying of documents and taking of photographs.</w:t>
            </w:r>
          </w:p>
        </w:tc>
        <w:tc>
          <w:tcPr>
            <w:tcW w:w="2006" w:type="dxa"/>
          </w:tcPr>
          <w:p w14:paraId="66AEA38D" w14:textId="4DF71DED" w:rsidR="00C83E0A" w:rsidRDefault="00C83E0A" w:rsidP="00C83E0A">
            <w:pPr>
              <w:pStyle w:val="TableText"/>
              <w:rPr>
                <w:lang w:eastAsia="ja-JP"/>
              </w:rPr>
            </w:pPr>
            <w:r>
              <w:rPr>
                <w:lang w:eastAsia="ja-JP"/>
              </w:rPr>
              <w:t>Major or critical</w:t>
            </w:r>
          </w:p>
        </w:tc>
      </w:tr>
    </w:tbl>
    <w:p w14:paraId="47EA2D3F" w14:textId="77777777" w:rsidR="008D4624" w:rsidRPr="007577CD" w:rsidRDefault="008D4624" w:rsidP="00C83E0A">
      <w:pPr>
        <w:pStyle w:val="Caption"/>
        <w:spacing w:before="240"/>
        <w:rPr>
          <w:lang w:eastAsia="ja-JP"/>
        </w:rPr>
      </w:pPr>
    </w:p>
    <w:sectPr w:rsidR="008D4624" w:rsidRPr="007577CD" w:rsidSect="001F2E50">
      <w:headerReference w:type="default" r:id="rId16"/>
      <w:footerReference w:type="default" r:id="rId17"/>
      <w:head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16AB" w14:textId="77777777" w:rsidR="001F2E50" w:rsidRDefault="001F2E50" w:rsidP="00267841">
      <w:r>
        <w:separator/>
      </w:r>
    </w:p>
    <w:p w14:paraId="51F287FE" w14:textId="77777777" w:rsidR="001F2E50" w:rsidRDefault="001F2E50"/>
    <w:p w14:paraId="60580E5D" w14:textId="77777777" w:rsidR="001F2E50" w:rsidRDefault="001F2E50"/>
  </w:endnote>
  <w:endnote w:type="continuationSeparator" w:id="0">
    <w:p w14:paraId="072ECECD" w14:textId="77777777" w:rsidR="001F2E50" w:rsidRDefault="001F2E50" w:rsidP="00267841">
      <w:r>
        <w:continuationSeparator/>
      </w:r>
    </w:p>
    <w:p w14:paraId="29C04180" w14:textId="77777777" w:rsidR="001F2E50" w:rsidRDefault="001F2E50"/>
    <w:p w14:paraId="4F9D99B9" w14:textId="77777777" w:rsidR="001F2E50" w:rsidRDefault="001F2E50"/>
  </w:endnote>
  <w:endnote w:type="continuationNotice" w:id="1">
    <w:p w14:paraId="05F37C22" w14:textId="77777777" w:rsidR="001F2E50" w:rsidRPr="00696C70" w:rsidRDefault="001F2E50" w:rsidP="00267841">
      <w:pPr>
        <w:pStyle w:val="Footer"/>
      </w:pPr>
    </w:p>
    <w:p w14:paraId="68EDDF05" w14:textId="77777777" w:rsidR="001F2E50" w:rsidRDefault="001F2E50"/>
    <w:p w14:paraId="0891A547" w14:textId="77777777" w:rsidR="001F2E50" w:rsidRDefault="001F2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24"/>
      <w:gridCol w:w="4541"/>
    </w:tblGrid>
    <w:tr w:rsidR="00B675B6" w:rsidRPr="00B675B6" w14:paraId="2A2E9AE5" w14:textId="77777777" w:rsidTr="00987FE1">
      <w:tc>
        <w:tcPr>
          <w:tcW w:w="4643" w:type="dxa"/>
          <w:tcBorders>
            <w:top w:val="nil"/>
            <w:left w:val="nil"/>
            <w:bottom w:val="nil"/>
            <w:right w:val="nil"/>
          </w:tcBorders>
        </w:tcPr>
        <w:p w14:paraId="7A0009A8" w14:textId="5E871C89" w:rsidR="00B675B6" w:rsidRPr="00B675B6" w:rsidRDefault="00B675B6" w:rsidP="00B675B6">
          <w:pPr>
            <w:pStyle w:val="Footer"/>
            <w:tabs>
              <w:tab w:val="clear" w:pos="4536"/>
            </w:tabs>
            <w:jc w:val="left"/>
          </w:pPr>
          <w:r w:rsidRPr="00B675B6">
            <w:t>V6.0</w:t>
          </w:r>
        </w:p>
      </w:tc>
      <w:tc>
        <w:tcPr>
          <w:tcW w:w="4643" w:type="dxa"/>
          <w:tcBorders>
            <w:left w:val="nil"/>
          </w:tcBorders>
          <w:vAlign w:val="center"/>
        </w:tcPr>
        <w:p w14:paraId="53688281" w14:textId="77777777" w:rsidR="00B675B6" w:rsidRPr="00B675B6" w:rsidRDefault="00B675B6" w:rsidP="00B675B6">
          <w:pPr>
            <w:pStyle w:val="Subtitle"/>
            <w:jc w:val="right"/>
            <w:rPr>
              <w:b/>
              <w:sz w:val="20"/>
              <w:szCs w:val="22"/>
            </w:rPr>
          </w:pPr>
          <w:r w:rsidRPr="00B675B6">
            <w:rPr>
              <w:sz w:val="20"/>
              <w:szCs w:val="22"/>
            </w:rPr>
            <w:t xml:space="preserve">Class 3.2 </w:t>
          </w:r>
          <w:r w:rsidRPr="00B675B6">
            <w:rPr>
              <w:sz w:val="20"/>
              <w:szCs w:val="22"/>
            </w:rPr>
            <w:t xml:space="preserve">Imported pig meat </w:t>
          </w:r>
          <w:proofErr w:type="gramStart"/>
          <w:r w:rsidRPr="00B675B6">
            <w:rPr>
              <w:sz w:val="20"/>
              <w:szCs w:val="22"/>
            </w:rPr>
            <w:t>processing</w:t>
          </w:r>
          <w:proofErr w:type="gramEnd"/>
        </w:p>
        <w:p w14:paraId="6E7F7168" w14:textId="3C351E54" w:rsidR="00B675B6" w:rsidRPr="00B675B6" w:rsidRDefault="00B675B6" w:rsidP="00B675B6">
          <w:pPr>
            <w:pStyle w:val="Footer"/>
            <w:tabs>
              <w:tab w:val="clear" w:pos="4536"/>
            </w:tabs>
            <w:jc w:val="right"/>
          </w:pPr>
          <w:r>
            <w:t>conditions</w:t>
          </w:r>
        </w:p>
      </w:tc>
    </w:tr>
  </w:tbl>
  <w:p w14:paraId="3141474A" w14:textId="77777777" w:rsidR="00BB1892" w:rsidRDefault="00BB1892" w:rsidP="00267841">
    <w:pPr>
      <w:pStyle w:val="Footer"/>
    </w:pPr>
    <w:r>
      <w:fldChar w:fldCharType="begin"/>
    </w:r>
    <w:r>
      <w:instrText xml:space="preserve"> PAGE   \* MERGEFORMAT </w:instrText>
    </w:r>
    <w:r>
      <w:fldChar w:fldCharType="separate"/>
    </w:r>
    <w:r w:rsidR="00144F63">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1084" w14:textId="77777777" w:rsidR="001F2E50" w:rsidRDefault="001F2E50" w:rsidP="00267841">
      <w:r>
        <w:separator/>
      </w:r>
    </w:p>
    <w:p w14:paraId="72B69FDF" w14:textId="77777777" w:rsidR="001F2E50" w:rsidRDefault="001F2E50"/>
    <w:p w14:paraId="63201B08" w14:textId="77777777" w:rsidR="001F2E50" w:rsidRDefault="001F2E50"/>
  </w:footnote>
  <w:footnote w:type="continuationSeparator" w:id="0">
    <w:p w14:paraId="33D96CEB" w14:textId="77777777" w:rsidR="001F2E50" w:rsidRDefault="001F2E50" w:rsidP="00267841">
      <w:r>
        <w:continuationSeparator/>
      </w:r>
    </w:p>
    <w:p w14:paraId="373450A8" w14:textId="77777777" w:rsidR="001F2E50" w:rsidRDefault="001F2E50"/>
    <w:p w14:paraId="6D071C56" w14:textId="77777777" w:rsidR="001F2E50" w:rsidRDefault="001F2E50"/>
  </w:footnote>
  <w:footnote w:type="continuationNotice" w:id="1">
    <w:p w14:paraId="09BD5710" w14:textId="77777777" w:rsidR="001F2E50" w:rsidRPr="00310C6A" w:rsidRDefault="001F2E50" w:rsidP="00267841">
      <w:pPr>
        <w:pStyle w:val="Footer"/>
      </w:pPr>
    </w:p>
    <w:p w14:paraId="3FC1A4A1" w14:textId="77777777" w:rsidR="001F2E50" w:rsidRDefault="001F2E50"/>
    <w:p w14:paraId="02D58796" w14:textId="77777777" w:rsidR="001F2E50" w:rsidRDefault="001F2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888E" w14:textId="236BAAB5" w:rsidR="00BB1892" w:rsidRPr="004901ED" w:rsidRDefault="00BB1892" w:rsidP="004901ED">
    <w:pPr>
      <w:pStyle w:val="Header"/>
    </w:pPr>
    <w:r w:rsidRPr="004901ED">
      <w:t>Approved Arrangements</w:t>
    </w:r>
    <w:r>
      <w:t>: 3.2—</w:t>
    </w:r>
    <w:r w:rsidRPr="004901ED">
      <w:t xml:space="preserve">Imported pig meat </w:t>
    </w:r>
    <w:proofErr w:type="gramStart"/>
    <w:r w:rsidRPr="004901ED">
      <w:t>processing</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FD80" w14:textId="6DE2F9EA" w:rsidR="00BB1892" w:rsidRDefault="00B675B6" w:rsidP="00C16FC4">
    <w:pPr>
      <w:pStyle w:val="Header"/>
      <w:jc w:val="left"/>
    </w:pPr>
    <w:r>
      <w:rPr>
        <w:noProof/>
      </w:rPr>
      <w:drawing>
        <wp:inline distT="0" distB="0" distL="0" distR="0" wp14:anchorId="379A7115" wp14:editId="3AF0FBD6">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18A13A7"/>
    <w:multiLevelType w:val="hybridMultilevel"/>
    <w:tmpl w:val="58E23A00"/>
    <w:lvl w:ilvl="0" w:tplc="BDC4A89E">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9C46DA04"/>
    <w:lvl w:ilvl="0" w:tplc="471C5B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725C7C9F"/>
    <w:multiLevelType w:val="hybridMultilevel"/>
    <w:tmpl w:val="83C8F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8A4997"/>
    <w:multiLevelType w:val="hybridMultilevel"/>
    <w:tmpl w:val="F598589E"/>
    <w:lvl w:ilvl="0" w:tplc="1062C0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40725108">
    <w:abstractNumId w:val="1"/>
  </w:num>
  <w:num w:numId="2" w16cid:durableId="1742293064">
    <w:abstractNumId w:val="0"/>
    <w:lvlOverride w:ilvl="0">
      <w:startOverride w:val="1"/>
    </w:lvlOverride>
  </w:num>
  <w:num w:numId="3" w16cid:durableId="257446002">
    <w:abstractNumId w:val="7"/>
  </w:num>
  <w:num w:numId="4" w16cid:durableId="1093352974">
    <w:abstractNumId w:val="4"/>
  </w:num>
  <w:num w:numId="5" w16cid:durableId="1531187597">
    <w:abstractNumId w:val="8"/>
  </w:num>
  <w:num w:numId="6" w16cid:durableId="1434476138">
    <w:abstractNumId w:val="9"/>
  </w:num>
  <w:num w:numId="7" w16cid:durableId="1200321238">
    <w:abstractNumId w:val="2"/>
  </w:num>
  <w:num w:numId="8" w16cid:durableId="1851526844">
    <w:abstractNumId w:val="6"/>
  </w:num>
  <w:num w:numId="9" w16cid:durableId="36008093">
    <w:abstractNumId w:val="5"/>
  </w:num>
  <w:num w:numId="10" w16cid:durableId="1099065740">
    <w:abstractNumId w:val="3"/>
  </w:num>
  <w:num w:numId="11" w16cid:durableId="1122532830">
    <w:abstractNumId w:val="11"/>
  </w:num>
  <w:num w:numId="12" w16cid:durableId="181837830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12E6"/>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12D1"/>
    <w:rsid w:val="00062969"/>
    <w:rsid w:val="00063145"/>
    <w:rsid w:val="00064698"/>
    <w:rsid w:val="000657DE"/>
    <w:rsid w:val="00066293"/>
    <w:rsid w:val="00066BCD"/>
    <w:rsid w:val="000678EA"/>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34C"/>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4F63"/>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D54"/>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2E50"/>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749"/>
    <w:rsid w:val="002A2E7D"/>
    <w:rsid w:val="002A2F85"/>
    <w:rsid w:val="002A33E4"/>
    <w:rsid w:val="002A3865"/>
    <w:rsid w:val="002A4CE2"/>
    <w:rsid w:val="002A53E8"/>
    <w:rsid w:val="002A54CA"/>
    <w:rsid w:val="002A584F"/>
    <w:rsid w:val="002A5915"/>
    <w:rsid w:val="002A6BE6"/>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4982"/>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484"/>
    <w:rsid w:val="0034357E"/>
    <w:rsid w:val="003435B5"/>
    <w:rsid w:val="00343B1C"/>
    <w:rsid w:val="0034406C"/>
    <w:rsid w:val="00344A75"/>
    <w:rsid w:val="00344DE6"/>
    <w:rsid w:val="0034510B"/>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58C3"/>
    <w:rsid w:val="003A6D6E"/>
    <w:rsid w:val="003A75E1"/>
    <w:rsid w:val="003B19C9"/>
    <w:rsid w:val="003B1BCB"/>
    <w:rsid w:val="003B1CD5"/>
    <w:rsid w:val="003B2FE0"/>
    <w:rsid w:val="003B41DB"/>
    <w:rsid w:val="003B490D"/>
    <w:rsid w:val="003B4A60"/>
    <w:rsid w:val="003B4D4D"/>
    <w:rsid w:val="003B5279"/>
    <w:rsid w:val="003B585C"/>
    <w:rsid w:val="003B5935"/>
    <w:rsid w:val="003B5B5B"/>
    <w:rsid w:val="003B732F"/>
    <w:rsid w:val="003B79E1"/>
    <w:rsid w:val="003C2026"/>
    <w:rsid w:val="003C22F7"/>
    <w:rsid w:val="003C4B0B"/>
    <w:rsid w:val="003C4E62"/>
    <w:rsid w:val="003C5005"/>
    <w:rsid w:val="003C5E30"/>
    <w:rsid w:val="003C6B5F"/>
    <w:rsid w:val="003C6BAB"/>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759"/>
    <w:rsid w:val="004229FD"/>
    <w:rsid w:val="00422FFD"/>
    <w:rsid w:val="00423860"/>
    <w:rsid w:val="00423F0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F99"/>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1ED"/>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E29"/>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7C6"/>
    <w:rsid w:val="004F49E8"/>
    <w:rsid w:val="004F4C6E"/>
    <w:rsid w:val="004F51D5"/>
    <w:rsid w:val="004F5A9B"/>
    <w:rsid w:val="00501BF1"/>
    <w:rsid w:val="00501FE0"/>
    <w:rsid w:val="00503B2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2471"/>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5E8B"/>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3756"/>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17C"/>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543"/>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7CD"/>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9AD"/>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5DBB"/>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0DFA"/>
    <w:rsid w:val="007F18EF"/>
    <w:rsid w:val="007F2528"/>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6F49"/>
    <w:rsid w:val="00807D21"/>
    <w:rsid w:val="00807DF2"/>
    <w:rsid w:val="00810981"/>
    <w:rsid w:val="008116BA"/>
    <w:rsid w:val="008120AB"/>
    <w:rsid w:val="00812130"/>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4AA"/>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513C"/>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4624"/>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87FE1"/>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60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28B"/>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E1F"/>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5B6"/>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892"/>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8C3"/>
    <w:rsid w:val="00BF296A"/>
    <w:rsid w:val="00BF29C2"/>
    <w:rsid w:val="00BF3D88"/>
    <w:rsid w:val="00BF4BB3"/>
    <w:rsid w:val="00BF6A24"/>
    <w:rsid w:val="00BF6F82"/>
    <w:rsid w:val="00BF73C4"/>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0A"/>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6C38"/>
    <w:rsid w:val="00D1780C"/>
    <w:rsid w:val="00D17B1E"/>
    <w:rsid w:val="00D2037E"/>
    <w:rsid w:val="00D205AC"/>
    <w:rsid w:val="00D2080D"/>
    <w:rsid w:val="00D20A05"/>
    <w:rsid w:val="00D211E0"/>
    <w:rsid w:val="00D21608"/>
    <w:rsid w:val="00D2175C"/>
    <w:rsid w:val="00D22005"/>
    <w:rsid w:val="00D22F18"/>
    <w:rsid w:val="00D23258"/>
    <w:rsid w:val="00D241A8"/>
    <w:rsid w:val="00D24449"/>
    <w:rsid w:val="00D24CAD"/>
    <w:rsid w:val="00D2528C"/>
    <w:rsid w:val="00D254C0"/>
    <w:rsid w:val="00D26832"/>
    <w:rsid w:val="00D272B1"/>
    <w:rsid w:val="00D2774B"/>
    <w:rsid w:val="00D300D1"/>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2DD1"/>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AF8"/>
    <w:rsid w:val="00D90B9E"/>
    <w:rsid w:val="00D91015"/>
    <w:rsid w:val="00D93C7D"/>
    <w:rsid w:val="00D9565D"/>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5A9"/>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1A9"/>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577"/>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23E"/>
    <w:rsid w:val="00E52CCA"/>
    <w:rsid w:val="00E539EE"/>
    <w:rsid w:val="00E54CD9"/>
    <w:rsid w:val="00E54CEA"/>
    <w:rsid w:val="00E54D4E"/>
    <w:rsid w:val="00E55CC5"/>
    <w:rsid w:val="00E5795A"/>
    <w:rsid w:val="00E6023E"/>
    <w:rsid w:val="00E607ED"/>
    <w:rsid w:val="00E6188D"/>
    <w:rsid w:val="00E61C85"/>
    <w:rsid w:val="00E61DA5"/>
    <w:rsid w:val="00E6310E"/>
    <w:rsid w:val="00E6364B"/>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374"/>
    <w:rsid w:val="00E92EE4"/>
    <w:rsid w:val="00E93351"/>
    <w:rsid w:val="00E93B3C"/>
    <w:rsid w:val="00E93F19"/>
    <w:rsid w:val="00E93FFA"/>
    <w:rsid w:val="00E943FE"/>
    <w:rsid w:val="00E94868"/>
    <w:rsid w:val="00E969E5"/>
    <w:rsid w:val="00E96EE5"/>
    <w:rsid w:val="00EA04F3"/>
    <w:rsid w:val="00EA18C8"/>
    <w:rsid w:val="00EA2814"/>
    <w:rsid w:val="00EA2831"/>
    <w:rsid w:val="00EA35EB"/>
    <w:rsid w:val="00EA3E11"/>
    <w:rsid w:val="00EA4366"/>
    <w:rsid w:val="00EA4D02"/>
    <w:rsid w:val="00EA5003"/>
    <w:rsid w:val="00EA568D"/>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C7651"/>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1C6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6C"/>
    <w:rsid w:val="00F51DBB"/>
    <w:rsid w:val="00F52469"/>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C6B"/>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58F"/>
    <w:rsid w:val="00FC1980"/>
    <w:rsid w:val="00FC245A"/>
    <w:rsid w:val="00FC2F5A"/>
    <w:rsid w:val="00FC377B"/>
    <w:rsid w:val="00FC3FA5"/>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0BE"/>
    <w:rsid w:val="00FE5903"/>
    <w:rsid w:val="00FE60DA"/>
    <w:rsid w:val="00FE6DCF"/>
    <w:rsid w:val="00FE751A"/>
    <w:rsid w:val="00FE78CC"/>
    <w:rsid w:val="00FE7B52"/>
    <w:rsid w:val="00FF0822"/>
    <w:rsid w:val="00FF0D64"/>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C0CE"/>
  <w15:docId w15:val="{108BC0FC-3B7A-4494-85E1-62BB580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901ED"/>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4901ED"/>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aliases w:val="Bold"/>
    <w:basedOn w:val="DefaultParagraphFont"/>
    <w:uiPriority w:val="22"/>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styleId="TOC7">
    <w:name w:val="toc 7"/>
    <w:basedOn w:val="Normal"/>
    <w:next w:val="Normal"/>
    <w:autoRedefine/>
    <w:uiPriority w:val="39"/>
    <w:semiHidden/>
    <w:rsid w:val="004901ED"/>
    <w:pPr>
      <w:spacing w:after="100"/>
      <w:ind w:left="1320"/>
    </w:pPr>
  </w:style>
  <w:style w:type="paragraph" w:customStyle="1" w:styleId="tablebullet2">
    <w:name w:val="table bullet 2"/>
    <w:qFormat/>
    <w:rsid w:val="008B513C"/>
    <w:pPr>
      <w:numPr>
        <w:numId w:val="10"/>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D24449"/>
    <w:rPr>
      <w:color w:val="605E5C"/>
      <w:shd w:val="clear" w:color="auto" w:fill="E1DFDD"/>
    </w:rPr>
  </w:style>
  <w:style w:type="paragraph" w:styleId="Revision">
    <w:name w:val="Revision"/>
    <w:hidden/>
    <w:uiPriority w:val="99"/>
    <w:semiHidden/>
    <w:rsid w:val="00D90AF8"/>
    <w:rPr>
      <w:rFonts w:eastAsiaTheme="minorHAnsi" w:cstheme="minorBidi"/>
      <w:sz w:val="22"/>
      <w:szCs w:val="22"/>
      <w:lang w:eastAsia="en-US"/>
    </w:rPr>
  </w:style>
  <w:style w:type="paragraph" w:customStyle="1" w:styleId="Biosecuritytagline">
    <w:name w:val="Biosecurity tagline"/>
    <w:next w:val="Normal"/>
    <w:rsid w:val="00B675B6"/>
    <w:pPr>
      <w:pBdr>
        <w:bottom w:val="single" w:sz="4" w:space="1" w:color="auto"/>
      </w:pBdr>
      <w:spacing w:after="120"/>
      <w:jc w:val="right"/>
    </w:pPr>
    <w:rPr>
      <w:rFonts w:asciiTheme="minorHAnsi" w:eastAsia="Times New Roman" w:hAnsiTheme="minorHAnsi"/>
      <w:b/>
      <w:bCs/>
      <w:color w:val="000000"/>
      <w:sz w:val="22"/>
      <w:lang w:eastAsia="en-US"/>
    </w:rPr>
  </w:style>
  <w:style w:type="paragraph" w:customStyle="1" w:styleId="Titlepageheading1">
    <w:name w:val="Title page heading 1"/>
    <w:basedOn w:val="Normal"/>
    <w:rsid w:val="00B675B6"/>
    <w:pPr>
      <w:spacing w:after="240" w:line="240" w:lineRule="auto"/>
      <w:ind w:left="1418"/>
      <w:contextualSpacing/>
    </w:pPr>
    <w:rPr>
      <w:rFonts w:eastAsia="Times New Roman" w:cs="Times New Roman"/>
      <w:b/>
      <w:bCs/>
      <w:color w:val="000000"/>
      <w:spacing w:val="5"/>
      <w:kern w:val="28"/>
      <w:sz w:val="48"/>
      <w:szCs w:val="20"/>
    </w:rPr>
  </w:style>
  <w:style w:type="paragraph" w:customStyle="1" w:styleId="Titlepagepublicationseriesname">
    <w:name w:val="Title page publication series name"/>
    <w:basedOn w:val="Normal"/>
    <w:qFormat/>
    <w:rsid w:val="00B675B6"/>
    <w:pPr>
      <w:spacing w:after="0" w:line="280" w:lineRule="atLeast"/>
      <w:jc w:val="right"/>
    </w:pPr>
    <w:rPr>
      <w:rFonts w:eastAsia="Calibri" w:cs="Times New Roman"/>
      <w:color w:val="000000"/>
    </w:rPr>
  </w:style>
  <w:style w:type="paragraph" w:customStyle="1" w:styleId="smalltext">
    <w:name w:val="small text"/>
    <w:basedOn w:val="Normal"/>
    <w:rsid w:val="00B675B6"/>
    <w:pPr>
      <w:spacing w:after="0" w:line="240" w:lineRule="auto"/>
    </w:pPr>
    <w:rPr>
      <w:rFonts w:eastAsia="Times New Roman" w:cs="Times New Roman"/>
      <w:color w:val="00000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37132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ff.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AC58965-07A2-49A3-AB65-432690D49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2DA4F-3E74-433A-9439-CDAD6902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5011</Words>
  <Characters>28568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Class 3.2 - requirements</vt:lpstr>
    </vt:vector>
  </TitlesOfParts>
  <Company>Department of Agriculture</Company>
  <LinksUpToDate>false</LinksUpToDate>
  <CharactersWithSpaces>33512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3.2 - requirements</dc:title>
  <dc:subject/>
  <dc:creator>Department of Agriculture, Water and the Environment;Department of Agriculture and Water Resources</dc:creator>
  <cp:keywords/>
  <dc:description/>
  <cp:lastModifiedBy>Fear, Theresa</cp:lastModifiedBy>
  <cp:revision>3</cp:revision>
  <cp:lastPrinted>2024-03-18T07:48:00Z</cp:lastPrinted>
  <dcterms:created xsi:type="dcterms:W3CDTF">2024-03-18T07:47:00Z</dcterms:created>
  <dcterms:modified xsi:type="dcterms:W3CDTF">2024-03-18T07:48:00Z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