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F49" w:rsidRPr="00806F49" w:rsidRDefault="002E25C1" w:rsidP="002E25C1">
      <w:pPr>
        <w:pStyle w:val="Heading1"/>
      </w:pPr>
      <w:bookmarkStart w:id="0" w:name="_GoBack"/>
      <w:bookmarkEnd w:id="0"/>
      <w:r>
        <w:t>A</w:t>
      </w:r>
      <w:r w:rsidR="00806F49" w:rsidRPr="00806F49">
        <w:t>pproved Arrangements</w:t>
      </w:r>
    </w:p>
    <w:p w:rsidR="00064698" w:rsidRDefault="00064698" w:rsidP="002E25C1">
      <w:pPr>
        <w:pStyle w:val="Subtitle"/>
        <w:rPr>
          <w:b/>
        </w:rPr>
      </w:pPr>
      <w:r>
        <w:t>F</w:t>
      </w:r>
      <w:r w:rsidR="0060223F">
        <w:t>or 7.6</w:t>
      </w:r>
      <w:r w:rsidR="002E25C1">
        <w:rPr>
          <w:b/>
        </w:rPr>
        <w:t>—</w:t>
      </w:r>
      <w:r w:rsidR="00443F92">
        <w:t xml:space="preserve">Laboratory </w:t>
      </w:r>
      <w:r w:rsidR="0060223F">
        <w:t>xenopus</w:t>
      </w:r>
    </w:p>
    <w:p w:rsidR="002F17E3" w:rsidRPr="002F17E3" w:rsidRDefault="00806F49" w:rsidP="002E25C1">
      <w:pPr>
        <w:pStyle w:val="Subtitle"/>
      </w:pPr>
      <w:r w:rsidRPr="00806F49">
        <w:t>Requirements</w:t>
      </w:r>
      <w:r w:rsidR="002E25C1">
        <w:rPr>
          <w:b/>
        </w:rPr>
        <w:t>—</w:t>
      </w:r>
      <w:r w:rsidR="0060223F" w:rsidRPr="002E25C1">
        <w:t>Version 5</w:t>
      </w:r>
      <w:r w:rsidR="002E25C1" w:rsidRPr="002E25C1">
        <w:t>.0</w:t>
      </w:r>
    </w:p>
    <w:p w:rsidR="00342E6E" w:rsidRDefault="00806F49" w:rsidP="00342E6E">
      <w:r>
        <w:rPr>
          <w:noProof/>
          <w:lang w:eastAsia="en-AU"/>
        </w:rPr>
        <w:drawing>
          <wp:inline distT="0" distB="0" distL="0" distR="0" wp14:anchorId="1F5C7718" wp14:editId="3951A1DF">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1" w:name="_Toc430782148"/>
      <w:r w:rsidR="00342E6E">
        <w:br w:type="page"/>
      </w:r>
    </w:p>
    <w:p w:rsidR="00806F49" w:rsidRPr="00C10BEB" w:rsidRDefault="00806F49" w:rsidP="002E25C1">
      <w:r w:rsidRPr="00C10BEB">
        <w:lastRenderedPageBreak/>
        <w:t>© Commonwealth of Australia</w:t>
      </w:r>
    </w:p>
    <w:p w:rsidR="00806F49" w:rsidRPr="002C1F4D" w:rsidRDefault="00806F49" w:rsidP="002E25C1">
      <w:pPr>
        <w:rPr>
          <w:b/>
        </w:rPr>
      </w:pPr>
      <w:r>
        <w:rPr>
          <w:b/>
        </w:rPr>
        <w:t>Ownership of intellectual property rights</w:t>
      </w:r>
    </w:p>
    <w:p w:rsidR="00806F49" w:rsidRPr="00C10BEB" w:rsidRDefault="00806F49" w:rsidP="002E25C1">
      <w:r w:rsidRPr="00C10BEB">
        <w:t>Unless otherwise noted, copyright (and any other intellectual property rights, if any) in this publication is owned by the Commonwealth of Australia (referred to as the Commonwealth).</w:t>
      </w:r>
    </w:p>
    <w:p w:rsidR="00806F49" w:rsidRPr="002C1F4D" w:rsidRDefault="00806F49" w:rsidP="002E25C1">
      <w:pPr>
        <w:rPr>
          <w:b/>
        </w:rPr>
      </w:pPr>
      <w:r>
        <w:rPr>
          <w:b/>
        </w:rPr>
        <w:t>Creative Commons Licence</w:t>
      </w:r>
    </w:p>
    <w:p w:rsidR="00806F49" w:rsidRPr="00C10BEB" w:rsidRDefault="00806F49" w:rsidP="002E25C1">
      <w:r w:rsidRPr="00C10BEB">
        <w:t>All material in this publication is licensed under a Creative Commons Attribution 3.0 Australia Licence, save for content supplied by third parties, logos and the Commonwealth Coat of Arms.</w:t>
      </w:r>
    </w:p>
    <w:p w:rsidR="00806F49" w:rsidRPr="00C10BEB" w:rsidRDefault="00806F49" w:rsidP="002E25C1">
      <w:r w:rsidRPr="00C10BEB">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t>deed.en</w:t>
      </w:r>
      <w:proofErr w:type="spellEnd"/>
      <w:r w:rsidRPr="00C10BEB">
        <w:t>. The full licence terms are available from creativecommons.org/licenses/by/3.0/au/</w:t>
      </w:r>
      <w:proofErr w:type="spellStart"/>
      <w:r w:rsidRPr="00C10BEB">
        <w:t>legalcode</w:t>
      </w:r>
      <w:proofErr w:type="spellEnd"/>
      <w:r w:rsidRPr="00C10BEB">
        <w:t>.</w:t>
      </w:r>
    </w:p>
    <w:p w:rsidR="00806F49" w:rsidRPr="00C53F98" w:rsidRDefault="00806F49" w:rsidP="002E25C1">
      <w:r w:rsidRPr="00C53F98">
        <w:t xml:space="preserve">This publication (and any material sourced from it) should be attributed as: </w:t>
      </w:r>
      <w:r>
        <w:t>Approved</w:t>
      </w:r>
      <w:r w:rsidRPr="00C53F98">
        <w:t xml:space="preserve"> Arrangements </w:t>
      </w:r>
      <w:r>
        <w:t>section</w:t>
      </w:r>
      <w:r w:rsidRPr="00C53F98">
        <w:t>, 201</w:t>
      </w:r>
      <w:r>
        <w:t>6</w:t>
      </w:r>
      <w:r w:rsidRPr="00C53F98">
        <w:t xml:space="preserve">, </w:t>
      </w:r>
      <w:r>
        <w:t>AA</w:t>
      </w:r>
      <w:r w:rsidRPr="00C53F98">
        <w:t xml:space="preserve"> </w:t>
      </w:r>
      <w:r>
        <w:t>&lt;name&gt;</w:t>
      </w:r>
      <w:r w:rsidRPr="00C53F98">
        <w:t xml:space="preserve"> - </w:t>
      </w:r>
      <w:r>
        <w:t>Requirements</w:t>
      </w:r>
      <w:r w:rsidRPr="00C53F98">
        <w:t>, (</w:t>
      </w:r>
      <w:r>
        <w:t>AA</w:t>
      </w:r>
      <w:r w:rsidRPr="00C53F98">
        <w:t xml:space="preserve"> </w:t>
      </w:r>
      <w:r>
        <w:t>for &lt;name&gt;</w:t>
      </w:r>
      <w:r w:rsidRPr="00C53F98">
        <w:t xml:space="preserve"> - </w:t>
      </w:r>
      <w:r>
        <w:t>Requirements</w:t>
      </w:r>
      <w:r w:rsidRPr="00C53F98">
        <w:t xml:space="preserve"> prepared for the Department of Agriculture</w:t>
      </w:r>
      <w:r>
        <w:t xml:space="preserve"> and Water Resources</w:t>
      </w:r>
      <w:r w:rsidRPr="00C53F98">
        <w:t>), Canberra.</w:t>
      </w:r>
    </w:p>
    <w:p w:rsidR="00806F49" w:rsidRPr="00E11425" w:rsidRDefault="00806F49" w:rsidP="002E25C1">
      <w:pPr>
        <w:rPr>
          <w:b/>
        </w:rPr>
      </w:pPr>
      <w:r>
        <w:rPr>
          <w:b/>
        </w:rPr>
        <w:t>Department of Agriculture and Water Resources</w:t>
      </w:r>
    </w:p>
    <w:p w:rsidR="002E25C1" w:rsidRDefault="00806F49" w:rsidP="002E25C1">
      <w:r w:rsidRPr="00C10BEB">
        <w:t>Postal address GPO Box 858</w:t>
      </w:r>
    </w:p>
    <w:p w:rsidR="00806F49" w:rsidRPr="00C10BEB" w:rsidRDefault="00806F49" w:rsidP="002E25C1">
      <w:r w:rsidRPr="00C10BEB">
        <w:t>Canberra ACT 2601</w:t>
      </w:r>
    </w:p>
    <w:p w:rsidR="00806F49" w:rsidRPr="00C10BEB" w:rsidRDefault="00806F49" w:rsidP="002E25C1">
      <w:r w:rsidRPr="00C10BEB">
        <w:t>Switchboard +61 2 6272 3933</w:t>
      </w:r>
    </w:p>
    <w:p w:rsidR="00806F49" w:rsidRPr="00EE20F3" w:rsidRDefault="00806F49" w:rsidP="002E25C1">
      <w:pPr>
        <w:rPr>
          <w:rFonts w:asciiTheme="minorHAnsi" w:hAnsiTheme="minorHAnsi"/>
        </w:rPr>
      </w:pPr>
      <w:r w:rsidRPr="00EE20F3">
        <w:rPr>
          <w:rFonts w:asciiTheme="minorHAnsi" w:hAnsiTheme="minorHAnsi"/>
        </w:rPr>
        <w:t xml:space="preserve">Web </w:t>
      </w:r>
      <w:hyperlink r:id="rId12" w:history="1">
        <w:r w:rsidRPr="00EE20F3">
          <w:rPr>
            <w:rStyle w:val="Hyperlink"/>
            <w:rFonts w:asciiTheme="minorHAnsi" w:hAnsiTheme="minorHAnsi" w:cstheme="majorHAnsi"/>
          </w:rPr>
          <w:t>agriculture.gov.au</w:t>
        </w:r>
      </w:hyperlink>
    </w:p>
    <w:p w:rsidR="00806F49" w:rsidRPr="004478A3" w:rsidRDefault="00806F49" w:rsidP="002E25C1">
      <w:pPr>
        <w:rPr>
          <w:rFonts w:asciiTheme="minorHAnsi" w:hAnsiTheme="minorHAnsi"/>
        </w:rPr>
      </w:pPr>
      <w:r w:rsidRPr="004478A3">
        <w:rPr>
          <w:rFonts w:asciiTheme="minorHAnsi" w:hAnsiTheme="minorHAnsi"/>
        </w:rPr>
        <w:t xml:space="preserve">Inquiries regarding the licence and any use of this document should be sent to: </w:t>
      </w:r>
      <w:hyperlink r:id="rId13" w:history="1">
        <w:r w:rsidRPr="004478A3">
          <w:rPr>
            <w:rStyle w:val="Hyperlink"/>
            <w:rFonts w:asciiTheme="minorHAnsi" w:hAnsiTheme="minorHAnsi" w:cstheme="majorHAnsi"/>
          </w:rPr>
          <w:t>copyright@agriculture.gov.au</w:t>
        </w:r>
      </w:hyperlink>
      <w:r w:rsidRPr="004478A3">
        <w:rPr>
          <w:rFonts w:asciiTheme="minorHAnsi" w:hAnsiTheme="minorHAnsi"/>
        </w:rPr>
        <w:t>.</w:t>
      </w:r>
    </w:p>
    <w:p w:rsidR="00806F49" w:rsidRPr="00C10BEB" w:rsidRDefault="00806F49" w:rsidP="002E25C1">
      <w:r w:rsidRPr="00C10BEB">
        <w:t>The Australian Government acting through the Department of Agriculture</w:t>
      </w:r>
      <w:r>
        <w:t xml:space="preserve"> and Water Resources</w:t>
      </w:r>
      <w:r w:rsidRPr="00C10BEB">
        <w:t xml:space="preserve"> 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rsidR="00806F49" w:rsidRPr="002E25C1" w:rsidRDefault="00806F49" w:rsidP="002E25C1">
      <w:pPr>
        <w:rPr>
          <w:rStyle w:val="Strong"/>
        </w:rPr>
      </w:pPr>
      <w:bookmarkStart w:id="2" w:name="_Toc451349357"/>
      <w:r w:rsidRPr="002E25C1">
        <w:rPr>
          <w:rStyle w:val="Strong"/>
        </w:rPr>
        <w:t>Version control</w:t>
      </w:r>
      <w:bookmarkEnd w:id="2"/>
    </w:p>
    <w:p w:rsidR="00806F49" w:rsidRPr="00C10BEB" w:rsidRDefault="00806F49" w:rsidP="002E25C1">
      <w:r w:rsidRPr="00C10BEB">
        <w:t>Updates to this document will occur automatically on the department’s website and the revision table below will list the a</w:t>
      </w:r>
      <w:r w:rsidR="00917D4E">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Approved by</w:t>
            </w:r>
          </w:p>
        </w:tc>
      </w:tr>
      <w:tr w:rsidR="0060223F" w:rsidRPr="00C10BEB" w:rsidTr="00896BB9">
        <w:trPr>
          <w:tblHeader/>
        </w:trPr>
        <w:tc>
          <w:tcPr>
            <w:tcW w:w="1668" w:type="dxa"/>
            <w:tcBorders>
              <w:top w:val="single" w:sz="12" w:space="0" w:color="C00000"/>
              <w:left w:val="nil"/>
              <w:bottom w:val="single" w:sz="2" w:space="0" w:color="auto"/>
              <w:right w:val="nil"/>
            </w:tcBorders>
          </w:tcPr>
          <w:p w:rsidR="0060223F" w:rsidRPr="00B03CA7" w:rsidRDefault="0060223F" w:rsidP="0060223F">
            <w:pPr>
              <w:pStyle w:val="TableText"/>
            </w:pPr>
            <w:r w:rsidRPr="00B03CA7">
              <w:t>9 May 2011</w:t>
            </w:r>
          </w:p>
        </w:tc>
        <w:tc>
          <w:tcPr>
            <w:tcW w:w="992" w:type="dxa"/>
            <w:tcBorders>
              <w:top w:val="single" w:sz="12" w:space="0" w:color="C00000"/>
              <w:left w:val="nil"/>
              <w:bottom w:val="single" w:sz="2" w:space="0" w:color="auto"/>
              <w:right w:val="nil"/>
            </w:tcBorders>
            <w:shd w:val="clear" w:color="auto" w:fill="auto"/>
          </w:tcPr>
          <w:p w:rsidR="0060223F" w:rsidRPr="00B03CA7" w:rsidRDefault="0060223F" w:rsidP="0060223F">
            <w:pPr>
              <w:pStyle w:val="TableText"/>
            </w:pPr>
            <w:r w:rsidRPr="00B03CA7">
              <w:t>1.0</w:t>
            </w:r>
          </w:p>
        </w:tc>
        <w:tc>
          <w:tcPr>
            <w:tcW w:w="3118" w:type="dxa"/>
            <w:tcBorders>
              <w:top w:val="single" w:sz="12" w:space="0" w:color="C00000"/>
              <w:left w:val="nil"/>
              <w:bottom w:val="single" w:sz="2" w:space="0" w:color="auto"/>
              <w:right w:val="nil"/>
            </w:tcBorders>
          </w:tcPr>
          <w:p w:rsidR="0060223F" w:rsidRPr="00B03CA7" w:rsidRDefault="0060223F" w:rsidP="0060223F">
            <w:pPr>
              <w:pStyle w:val="TableText"/>
            </w:pPr>
            <w:r w:rsidRPr="00B03CA7">
              <w:t>Revised document.</w:t>
            </w:r>
          </w:p>
        </w:tc>
        <w:tc>
          <w:tcPr>
            <w:tcW w:w="3828" w:type="dxa"/>
            <w:tcBorders>
              <w:top w:val="single" w:sz="12" w:space="0" w:color="C00000"/>
              <w:left w:val="nil"/>
              <w:bottom w:val="single" w:sz="2" w:space="0" w:color="auto"/>
              <w:right w:val="nil"/>
            </w:tcBorders>
            <w:shd w:val="clear" w:color="auto" w:fill="auto"/>
          </w:tcPr>
          <w:p w:rsidR="0060223F" w:rsidRPr="00B03CA7" w:rsidRDefault="0060223F" w:rsidP="0060223F">
            <w:pPr>
              <w:pStyle w:val="TableText"/>
            </w:pPr>
            <w:r w:rsidRPr="00B03CA7">
              <w:t>Co-regulation and Support Program</w:t>
            </w:r>
          </w:p>
        </w:tc>
      </w:tr>
      <w:tr w:rsidR="0060223F" w:rsidRPr="00C10BEB" w:rsidTr="00896BB9">
        <w:trPr>
          <w:tblHeader/>
        </w:trPr>
        <w:tc>
          <w:tcPr>
            <w:tcW w:w="1668" w:type="dxa"/>
            <w:tcBorders>
              <w:top w:val="single" w:sz="2" w:space="0" w:color="auto"/>
              <w:left w:val="nil"/>
              <w:bottom w:val="single" w:sz="2" w:space="0" w:color="auto"/>
              <w:right w:val="nil"/>
            </w:tcBorders>
          </w:tcPr>
          <w:p w:rsidR="0060223F" w:rsidRPr="00B03CA7" w:rsidRDefault="0060223F" w:rsidP="0060223F">
            <w:pPr>
              <w:pStyle w:val="TableText"/>
            </w:pPr>
            <w:r w:rsidRPr="00B03CA7">
              <w:t>30 Jun 2013</w:t>
            </w:r>
          </w:p>
        </w:tc>
        <w:tc>
          <w:tcPr>
            <w:tcW w:w="992" w:type="dxa"/>
            <w:tcBorders>
              <w:top w:val="single" w:sz="2" w:space="0" w:color="auto"/>
              <w:left w:val="nil"/>
              <w:bottom w:val="single" w:sz="2" w:space="0" w:color="auto"/>
              <w:right w:val="nil"/>
            </w:tcBorders>
            <w:shd w:val="clear" w:color="auto" w:fill="auto"/>
          </w:tcPr>
          <w:p w:rsidR="0060223F" w:rsidRPr="00B03CA7" w:rsidRDefault="0060223F" w:rsidP="0060223F">
            <w:pPr>
              <w:pStyle w:val="TableText"/>
            </w:pPr>
            <w:r w:rsidRPr="00B03CA7">
              <w:t>1.1</w:t>
            </w:r>
          </w:p>
        </w:tc>
        <w:tc>
          <w:tcPr>
            <w:tcW w:w="3118" w:type="dxa"/>
            <w:tcBorders>
              <w:top w:val="single" w:sz="2" w:space="0" w:color="auto"/>
              <w:left w:val="nil"/>
              <w:bottom w:val="single" w:sz="2" w:space="0" w:color="auto"/>
              <w:right w:val="nil"/>
            </w:tcBorders>
          </w:tcPr>
          <w:p w:rsidR="0060223F" w:rsidRPr="00B03CA7" w:rsidRDefault="0060223F" w:rsidP="0060223F">
            <w:pPr>
              <w:pStyle w:val="TableText"/>
            </w:pPr>
            <w:r w:rsidRPr="00B03CA7">
              <w:t>Updated departmental branding.</w:t>
            </w:r>
          </w:p>
        </w:tc>
        <w:tc>
          <w:tcPr>
            <w:tcW w:w="3828" w:type="dxa"/>
            <w:tcBorders>
              <w:top w:val="single" w:sz="2" w:space="0" w:color="auto"/>
              <w:left w:val="nil"/>
              <w:bottom w:val="single" w:sz="2" w:space="0" w:color="auto"/>
              <w:right w:val="nil"/>
            </w:tcBorders>
            <w:shd w:val="clear" w:color="auto" w:fill="auto"/>
          </w:tcPr>
          <w:p w:rsidR="0060223F" w:rsidRPr="00B03CA7" w:rsidRDefault="0060223F" w:rsidP="0060223F">
            <w:pPr>
              <w:pStyle w:val="TableText"/>
            </w:pPr>
            <w:r w:rsidRPr="00B03CA7">
              <w:t>Industry Arrangements Reform Program</w:t>
            </w:r>
          </w:p>
        </w:tc>
      </w:tr>
      <w:tr w:rsidR="0060223F" w:rsidRPr="00C10BEB" w:rsidTr="00896BB9">
        <w:trPr>
          <w:tblHeader/>
        </w:trPr>
        <w:tc>
          <w:tcPr>
            <w:tcW w:w="1668" w:type="dxa"/>
            <w:tcBorders>
              <w:top w:val="single" w:sz="2" w:space="0" w:color="auto"/>
              <w:left w:val="nil"/>
              <w:bottom w:val="single" w:sz="2" w:space="0" w:color="auto"/>
              <w:right w:val="nil"/>
            </w:tcBorders>
          </w:tcPr>
          <w:p w:rsidR="0060223F" w:rsidRPr="00B03CA7" w:rsidRDefault="0060223F" w:rsidP="0060223F">
            <w:pPr>
              <w:pStyle w:val="TableText"/>
            </w:pPr>
            <w:r w:rsidRPr="00B03CA7">
              <w:t>14 Jun 2014</w:t>
            </w:r>
          </w:p>
        </w:tc>
        <w:tc>
          <w:tcPr>
            <w:tcW w:w="992" w:type="dxa"/>
            <w:tcBorders>
              <w:top w:val="single" w:sz="2" w:space="0" w:color="auto"/>
              <w:left w:val="nil"/>
              <w:bottom w:val="single" w:sz="2" w:space="0" w:color="auto"/>
              <w:right w:val="nil"/>
            </w:tcBorders>
            <w:shd w:val="clear" w:color="auto" w:fill="auto"/>
          </w:tcPr>
          <w:p w:rsidR="0060223F" w:rsidRPr="00B03CA7" w:rsidRDefault="0060223F" w:rsidP="0060223F">
            <w:pPr>
              <w:pStyle w:val="TableText"/>
            </w:pPr>
            <w:r w:rsidRPr="00B03CA7">
              <w:t>2.0</w:t>
            </w:r>
          </w:p>
        </w:tc>
        <w:tc>
          <w:tcPr>
            <w:tcW w:w="3118" w:type="dxa"/>
            <w:tcBorders>
              <w:top w:val="single" w:sz="2" w:space="0" w:color="auto"/>
              <w:left w:val="nil"/>
              <w:bottom w:val="single" w:sz="2" w:space="0" w:color="auto"/>
              <w:right w:val="nil"/>
            </w:tcBorders>
          </w:tcPr>
          <w:p w:rsidR="0060223F" w:rsidRPr="00B03CA7" w:rsidRDefault="0060223F" w:rsidP="0060223F">
            <w:pPr>
              <w:pStyle w:val="TableText"/>
            </w:pPr>
            <w:r w:rsidRPr="00B03CA7">
              <w:t>Removal of criterion.</w:t>
            </w:r>
          </w:p>
        </w:tc>
        <w:tc>
          <w:tcPr>
            <w:tcW w:w="3828" w:type="dxa"/>
            <w:tcBorders>
              <w:top w:val="single" w:sz="2" w:space="0" w:color="auto"/>
              <w:left w:val="nil"/>
              <w:bottom w:val="single" w:sz="2" w:space="0" w:color="auto"/>
              <w:right w:val="nil"/>
            </w:tcBorders>
            <w:shd w:val="clear" w:color="auto" w:fill="auto"/>
          </w:tcPr>
          <w:p w:rsidR="0060223F" w:rsidRDefault="0060223F" w:rsidP="0060223F">
            <w:pPr>
              <w:pStyle w:val="TableText"/>
            </w:pPr>
            <w:r w:rsidRPr="00B03CA7">
              <w:t>Approved Arrangements section</w:t>
            </w:r>
          </w:p>
        </w:tc>
      </w:tr>
      <w:tr w:rsidR="0060223F" w:rsidRPr="00C10BEB" w:rsidTr="00896BB9">
        <w:trPr>
          <w:tblHeader/>
        </w:trPr>
        <w:tc>
          <w:tcPr>
            <w:tcW w:w="1668" w:type="dxa"/>
            <w:tcBorders>
              <w:top w:val="single" w:sz="2" w:space="0" w:color="auto"/>
              <w:left w:val="nil"/>
              <w:bottom w:val="single" w:sz="2" w:space="0" w:color="auto"/>
              <w:right w:val="nil"/>
            </w:tcBorders>
          </w:tcPr>
          <w:p w:rsidR="0060223F" w:rsidRPr="00C44B89" w:rsidRDefault="0060223F" w:rsidP="0060223F">
            <w:pPr>
              <w:pStyle w:val="TableText"/>
            </w:pPr>
            <w:r w:rsidRPr="00C44B89">
              <w:t>21 Aug 2014</w:t>
            </w:r>
          </w:p>
        </w:tc>
        <w:tc>
          <w:tcPr>
            <w:tcW w:w="992" w:type="dxa"/>
            <w:tcBorders>
              <w:top w:val="single" w:sz="2" w:space="0" w:color="auto"/>
              <w:left w:val="nil"/>
              <w:bottom w:val="single" w:sz="2" w:space="0" w:color="auto"/>
              <w:right w:val="nil"/>
            </w:tcBorders>
            <w:shd w:val="clear" w:color="auto" w:fill="auto"/>
          </w:tcPr>
          <w:p w:rsidR="0060223F" w:rsidRDefault="0060223F" w:rsidP="0060223F">
            <w:pPr>
              <w:pStyle w:val="TableText"/>
            </w:pPr>
            <w:r w:rsidRPr="00C44B89">
              <w:t>3.0</w:t>
            </w:r>
          </w:p>
        </w:tc>
        <w:tc>
          <w:tcPr>
            <w:tcW w:w="3118" w:type="dxa"/>
            <w:tcBorders>
              <w:top w:val="single" w:sz="2" w:space="0" w:color="auto"/>
              <w:left w:val="nil"/>
              <w:bottom w:val="single" w:sz="2" w:space="0" w:color="auto"/>
              <w:right w:val="nil"/>
            </w:tcBorders>
          </w:tcPr>
          <w:p w:rsidR="0060223F" w:rsidRPr="00DE205A" w:rsidRDefault="0060223F" w:rsidP="00342E6E">
            <w:pPr>
              <w:pStyle w:val="TableText"/>
            </w:pPr>
            <w:r>
              <w:t>Updated departmental branding</w:t>
            </w:r>
            <w:r w:rsidR="00342E6E">
              <w:t xml:space="preserve">. </w:t>
            </w:r>
            <w:r>
              <w:t>Criteria reviewed and updated.</w:t>
            </w:r>
          </w:p>
        </w:tc>
        <w:tc>
          <w:tcPr>
            <w:tcW w:w="3828" w:type="dxa"/>
            <w:tcBorders>
              <w:top w:val="single" w:sz="2" w:space="0" w:color="auto"/>
              <w:left w:val="nil"/>
              <w:bottom w:val="single" w:sz="2" w:space="0" w:color="auto"/>
              <w:right w:val="nil"/>
            </w:tcBorders>
            <w:shd w:val="clear" w:color="auto" w:fill="auto"/>
          </w:tcPr>
          <w:p w:rsidR="0060223F" w:rsidRPr="00DE205A" w:rsidRDefault="0060223F" w:rsidP="0060223F">
            <w:pPr>
              <w:pStyle w:val="TableText"/>
            </w:pPr>
            <w:r w:rsidRPr="00DE205A">
              <w:t>Approved Arrangements section</w:t>
            </w:r>
          </w:p>
        </w:tc>
      </w:tr>
      <w:tr w:rsidR="0060223F" w:rsidRPr="00C10BEB" w:rsidTr="00896BB9">
        <w:trPr>
          <w:tblHeader/>
        </w:trPr>
        <w:tc>
          <w:tcPr>
            <w:tcW w:w="1668" w:type="dxa"/>
            <w:tcBorders>
              <w:top w:val="single" w:sz="2" w:space="0" w:color="auto"/>
              <w:left w:val="nil"/>
              <w:bottom w:val="single" w:sz="2" w:space="0" w:color="auto"/>
              <w:right w:val="nil"/>
            </w:tcBorders>
          </w:tcPr>
          <w:p w:rsidR="0060223F" w:rsidRPr="00873041" w:rsidRDefault="0060223F" w:rsidP="0060223F">
            <w:pPr>
              <w:pStyle w:val="TableText"/>
            </w:pPr>
            <w:r w:rsidRPr="00873041">
              <w:t>Sept 2015</w:t>
            </w:r>
          </w:p>
        </w:tc>
        <w:tc>
          <w:tcPr>
            <w:tcW w:w="992" w:type="dxa"/>
            <w:tcBorders>
              <w:top w:val="single" w:sz="2" w:space="0" w:color="auto"/>
              <w:left w:val="nil"/>
              <w:bottom w:val="single" w:sz="2" w:space="0" w:color="auto"/>
              <w:right w:val="nil"/>
            </w:tcBorders>
            <w:shd w:val="clear" w:color="auto" w:fill="auto"/>
          </w:tcPr>
          <w:p w:rsidR="0060223F" w:rsidRPr="00873041" w:rsidRDefault="0060223F" w:rsidP="0060223F">
            <w:pPr>
              <w:pStyle w:val="TableText"/>
            </w:pPr>
            <w:r w:rsidRPr="00873041">
              <w:t>4.0</w:t>
            </w:r>
          </w:p>
        </w:tc>
        <w:tc>
          <w:tcPr>
            <w:tcW w:w="3118" w:type="dxa"/>
            <w:tcBorders>
              <w:top w:val="single" w:sz="2" w:space="0" w:color="auto"/>
              <w:left w:val="nil"/>
              <w:bottom w:val="single" w:sz="2" w:space="0" w:color="auto"/>
              <w:right w:val="nil"/>
            </w:tcBorders>
          </w:tcPr>
          <w:p w:rsidR="0060223F" w:rsidRPr="00873041" w:rsidRDefault="0060223F" w:rsidP="0060223F">
            <w:pPr>
              <w:pStyle w:val="TableText"/>
            </w:pPr>
            <w:r w:rsidRPr="00873041">
              <w:t>Updated departmental branding and template</w:t>
            </w:r>
          </w:p>
        </w:tc>
        <w:tc>
          <w:tcPr>
            <w:tcW w:w="3828" w:type="dxa"/>
            <w:tcBorders>
              <w:top w:val="single" w:sz="2" w:space="0" w:color="auto"/>
              <w:left w:val="nil"/>
              <w:bottom w:val="single" w:sz="2" w:space="0" w:color="auto"/>
              <w:right w:val="nil"/>
            </w:tcBorders>
            <w:shd w:val="clear" w:color="auto" w:fill="auto"/>
          </w:tcPr>
          <w:p w:rsidR="0060223F" w:rsidRPr="00873041" w:rsidRDefault="0060223F" w:rsidP="0060223F">
            <w:pPr>
              <w:pStyle w:val="TableText"/>
            </w:pPr>
            <w:r w:rsidRPr="00873041">
              <w:t>Approved Arrangements section</w:t>
            </w:r>
          </w:p>
        </w:tc>
      </w:tr>
      <w:tr w:rsidR="0060223F" w:rsidRPr="00C10BEB" w:rsidTr="00896BB9">
        <w:trPr>
          <w:tblHeader/>
        </w:trPr>
        <w:tc>
          <w:tcPr>
            <w:tcW w:w="1668" w:type="dxa"/>
            <w:tcBorders>
              <w:top w:val="single" w:sz="2" w:space="0" w:color="auto"/>
              <w:left w:val="nil"/>
              <w:bottom w:val="single" w:sz="2" w:space="0" w:color="auto"/>
              <w:right w:val="nil"/>
            </w:tcBorders>
          </w:tcPr>
          <w:p w:rsidR="0060223F" w:rsidRPr="00873041" w:rsidRDefault="0060223F" w:rsidP="0060223F">
            <w:pPr>
              <w:pStyle w:val="TableText"/>
            </w:pPr>
            <w:r w:rsidRPr="00873041">
              <w:t>16 Jun 2016</w:t>
            </w:r>
          </w:p>
        </w:tc>
        <w:tc>
          <w:tcPr>
            <w:tcW w:w="992" w:type="dxa"/>
            <w:tcBorders>
              <w:top w:val="single" w:sz="2" w:space="0" w:color="auto"/>
              <w:left w:val="nil"/>
              <w:bottom w:val="single" w:sz="2" w:space="0" w:color="auto"/>
              <w:right w:val="nil"/>
            </w:tcBorders>
            <w:shd w:val="clear" w:color="auto" w:fill="auto"/>
          </w:tcPr>
          <w:p w:rsidR="0060223F" w:rsidRPr="00873041" w:rsidRDefault="0060223F" w:rsidP="0060223F">
            <w:pPr>
              <w:pStyle w:val="TableText"/>
            </w:pPr>
            <w:r w:rsidRPr="00873041">
              <w:t>5.0</w:t>
            </w:r>
          </w:p>
        </w:tc>
        <w:tc>
          <w:tcPr>
            <w:tcW w:w="3118" w:type="dxa"/>
            <w:tcBorders>
              <w:top w:val="single" w:sz="2" w:space="0" w:color="auto"/>
              <w:left w:val="nil"/>
              <w:bottom w:val="single" w:sz="2" w:space="0" w:color="auto"/>
              <w:right w:val="nil"/>
            </w:tcBorders>
          </w:tcPr>
          <w:p w:rsidR="0060223F" w:rsidRPr="00873041" w:rsidRDefault="0060223F" w:rsidP="0060223F">
            <w:pPr>
              <w:pStyle w:val="TableText"/>
            </w:pPr>
            <w:r w:rsidRPr="00873041">
              <w:t xml:space="preserve">Updated references to the department and the </w:t>
            </w:r>
            <w:r w:rsidRPr="00342E6E">
              <w:rPr>
                <w:rStyle w:val="Emphasis"/>
              </w:rPr>
              <w:t>Biosecurity Act 2015</w:t>
            </w:r>
            <w:r w:rsidRPr="00873041">
              <w:t>.</w:t>
            </w:r>
          </w:p>
        </w:tc>
        <w:tc>
          <w:tcPr>
            <w:tcW w:w="3828" w:type="dxa"/>
            <w:tcBorders>
              <w:top w:val="single" w:sz="2" w:space="0" w:color="auto"/>
              <w:left w:val="nil"/>
              <w:bottom w:val="single" w:sz="2" w:space="0" w:color="auto"/>
              <w:right w:val="nil"/>
            </w:tcBorders>
            <w:shd w:val="clear" w:color="auto" w:fill="auto"/>
          </w:tcPr>
          <w:p w:rsidR="0060223F" w:rsidRDefault="0060223F" w:rsidP="0060223F">
            <w:pPr>
              <w:pStyle w:val="TableText"/>
            </w:pPr>
            <w:r w:rsidRPr="00873041">
              <w:t>Approved Arrangements section</w:t>
            </w:r>
          </w:p>
        </w:tc>
      </w:tr>
      <w:bookmarkEnd w:id="1"/>
    </w:tbl>
    <w:p w:rsidR="00A43F64" w:rsidRDefault="00A43F64">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rsidR="00A50834" w:rsidRDefault="00A50834">
          <w:pPr>
            <w:pStyle w:val="TOCHeading"/>
          </w:pPr>
          <w:r>
            <w:t>Contents</w:t>
          </w:r>
        </w:p>
        <w:p w:rsidR="00A05832"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4685669" w:history="1">
            <w:r w:rsidR="00A05832" w:rsidRPr="00A554AA">
              <w:rPr>
                <w:rStyle w:val="Hyperlink"/>
              </w:rPr>
              <w:t>Guide to using this document</w:t>
            </w:r>
            <w:r w:rsidR="00A05832">
              <w:rPr>
                <w:webHidden/>
              </w:rPr>
              <w:tab/>
            </w:r>
            <w:r w:rsidR="00A05832">
              <w:rPr>
                <w:webHidden/>
              </w:rPr>
              <w:fldChar w:fldCharType="begin"/>
            </w:r>
            <w:r w:rsidR="00A05832">
              <w:rPr>
                <w:webHidden/>
              </w:rPr>
              <w:instrText xml:space="preserve"> PAGEREF _Toc484685669 \h </w:instrText>
            </w:r>
            <w:r w:rsidR="00A05832">
              <w:rPr>
                <w:webHidden/>
              </w:rPr>
            </w:r>
            <w:r w:rsidR="00A05832">
              <w:rPr>
                <w:webHidden/>
              </w:rPr>
              <w:fldChar w:fldCharType="separate"/>
            </w:r>
            <w:r w:rsidR="006878B2">
              <w:rPr>
                <w:webHidden/>
              </w:rPr>
              <w:t>5</w:t>
            </w:r>
            <w:r w:rsidR="00A05832">
              <w:rPr>
                <w:webHidden/>
              </w:rPr>
              <w:fldChar w:fldCharType="end"/>
            </w:r>
          </w:hyperlink>
        </w:p>
        <w:p w:rsidR="00A05832" w:rsidRDefault="006878B2">
          <w:pPr>
            <w:pStyle w:val="TOC2"/>
            <w:rPr>
              <w:rFonts w:asciiTheme="minorHAnsi" w:eastAsiaTheme="minorEastAsia" w:hAnsiTheme="minorHAnsi"/>
              <w:lang w:eastAsia="en-AU"/>
            </w:rPr>
          </w:pPr>
          <w:hyperlink w:anchor="_Toc484685670" w:history="1">
            <w:r w:rsidR="00A05832" w:rsidRPr="00A554AA">
              <w:rPr>
                <w:rStyle w:val="Hyperlink"/>
              </w:rPr>
              <w:t>Definitions</w:t>
            </w:r>
            <w:r w:rsidR="00A05832">
              <w:rPr>
                <w:webHidden/>
              </w:rPr>
              <w:tab/>
            </w:r>
            <w:r w:rsidR="00A05832">
              <w:rPr>
                <w:webHidden/>
              </w:rPr>
              <w:fldChar w:fldCharType="begin"/>
            </w:r>
            <w:r w:rsidR="00A05832">
              <w:rPr>
                <w:webHidden/>
              </w:rPr>
              <w:instrText xml:space="preserve"> PAGEREF _Toc484685670 \h </w:instrText>
            </w:r>
            <w:r w:rsidR="00A05832">
              <w:rPr>
                <w:webHidden/>
              </w:rPr>
            </w:r>
            <w:r w:rsidR="00A05832">
              <w:rPr>
                <w:webHidden/>
              </w:rPr>
              <w:fldChar w:fldCharType="separate"/>
            </w:r>
            <w:r>
              <w:rPr>
                <w:webHidden/>
              </w:rPr>
              <w:t>5</w:t>
            </w:r>
            <w:r w:rsidR="00A05832">
              <w:rPr>
                <w:webHidden/>
              </w:rPr>
              <w:fldChar w:fldCharType="end"/>
            </w:r>
          </w:hyperlink>
        </w:p>
        <w:p w:rsidR="00A05832" w:rsidRDefault="006878B2">
          <w:pPr>
            <w:pStyle w:val="TOC2"/>
            <w:rPr>
              <w:rFonts w:asciiTheme="minorHAnsi" w:eastAsiaTheme="minorEastAsia" w:hAnsiTheme="minorHAnsi"/>
              <w:lang w:eastAsia="en-AU"/>
            </w:rPr>
          </w:pPr>
          <w:hyperlink w:anchor="_Toc484685671" w:history="1">
            <w:r w:rsidR="00A05832" w:rsidRPr="00A554AA">
              <w:rPr>
                <w:rStyle w:val="Hyperlink"/>
              </w:rPr>
              <w:t>Other documents</w:t>
            </w:r>
            <w:r w:rsidR="00A05832">
              <w:rPr>
                <w:webHidden/>
              </w:rPr>
              <w:tab/>
            </w:r>
            <w:r w:rsidR="00A05832">
              <w:rPr>
                <w:webHidden/>
              </w:rPr>
              <w:fldChar w:fldCharType="begin"/>
            </w:r>
            <w:r w:rsidR="00A05832">
              <w:rPr>
                <w:webHidden/>
              </w:rPr>
              <w:instrText xml:space="preserve"> PAGEREF _Toc484685671 \h </w:instrText>
            </w:r>
            <w:r w:rsidR="00A05832">
              <w:rPr>
                <w:webHidden/>
              </w:rPr>
            </w:r>
            <w:r w:rsidR="00A05832">
              <w:rPr>
                <w:webHidden/>
              </w:rPr>
              <w:fldChar w:fldCharType="separate"/>
            </w:r>
            <w:r>
              <w:rPr>
                <w:webHidden/>
              </w:rPr>
              <w:t>5</w:t>
            </w:r>
            <w:r w:rsidR="00A05832">
              <w:rPr>
                <w:webHidden/>
              </w:rPr>
              <w:fldChar w:fldCharType="end"/>
            </w:r>
          </w:hyperlink>
        </w:p>
        <w:p w:rsidR="00A05832" w:rsidRDefault="006878B2">
          <w:pPr>
            <w:pStyle w:val="TOC2"/>
            <w:rPr>
              <w:rFonts w:asciiTheme="minorHAnsi" w:eastAsiaTheme="minorEastAsia" w:hAnsiTheme="minorHAnsi"/>
              <w:lang w:eastAsia="en-AU"/>
            </w:rPr>
          </w:pPr>
          <w:hyperlink w:anchor="_Toc484685672" w:history="1">
            <w:r w:rsidR="00A05832" w:rsidRPr="00A554AA">
              <w:rPr>
                <w:rStyle w:val="Hyperlink"/>
              </w:rPr>
              <w:t>Nonconformity guide</w:t>
            </w:r>
            <w:r w:rsidR="00A05832">
              <w:rPr>
                <w:webHidden/>
              </w:rPr>
              <w:tab/>
            </w:r>
            <w:r w:rsidR="00A05832">
              <w:rPr>
                <w:webHidden/>
              </w:rPr>
              <w:fldChar w:fldCharType="begin"/>
            </w:r>
            <w:r w:rsidR="00A05832">
              <w:rPr>
                <w:webHidden/>
              </w:rPr>
              <w:instrText xml:space="preserve"> PAGEREF _Toc484685672 \h </w:instrText>
            </w:r>
            <w:r w:rsidR="00A05832">
              <w:rPr>
                <w:webHidden/>
              </w:rPr>
            </w:r>
            <w:r w:rsidR="00A05832">
              <w:rPr>
                <w:webHidden/>
              </w:rPr>
              <w:fldChar w:fldCharType="separate"/>
            </w:r>
            <w:r>
              <w:rPr>
                <w:webHidden/>
              </w:rPr>
              <w:t>5</w:t>
            </w:r>
            <w:r w:rsidR="00A05832">
              <w:rPr>
                <w:webHidden/>
              </w:rPr>
              <w:fldChar w:fldCharType="end"/>
            </w:r>
          </w:hyperlink>
        </w:p>
        <w:p w:rsidR="00A05832" w:rsidRDefault="006878B2">
          <w:pPr>
            <w:pStyle w:val="TOC1"/>
            <w:rPr>
              <w:rFonts w:asciiTheme="minorHAnsi" w:eastAsiaTheme="minorEastAsia" w:hAnsiTheme="minorHAnsi"/>
              <w:b w:val="0"/>
              <w:lang w:eastAsia="en-AU"/>
            </w:rPr>
          </w:pPr>
          <w:hyperlink w:anchor="_Toc484685673" w:history="1">
            <w:r w:rsidR="00A05832" w:rsidRPr="00A554AA">
              <w:rPr>
                <w:rStyle w:val="Hyperlink"/>
              </w:rPr>
              <w:t>AA Requirements</w:t>
            </w:r>
            <w:r w:rsidR="00A05832">
              <w:rPr>
                <w:webHidden/>
              </w:rPr>
              <w:tab/>
            </w:r>
            <w:r w:rsidR="00A05832">
              <w:rPr>
                <w:webHidden/>
              </w:rPr>
              <w:fldChar w:fldCharType="begin"/>
            </w:r>
            <w:r w:rsidR="00A05832">
              <w:rPr>
                <w:webHidden/>
              </w:rPr>
              <w:instrText xml:space="preserve"> PAGEREF _Toc484685673 \h </w:instrText>
            </w:r>
            <w:r w:rsidR="00A05832">
              <w:rPr>
                <w:webHidden/>
              </w:rPr>
            </w:r>
            <w:r w:rsidR="00A05832">
              <w:rPr>
                <w:webHidden/>
              </w:rPr>
              <w:fldChar w:fldCharType="separate"/>
            </w:r>
            <w:r>
              <w:rPr>
                <w:webHidden/>
              </w:rPr>
              <w:t>6</w:t>
            </w:r>
            <w:r w:rsidR="00A05832">
              <w:rPr>
                <w:webHidden/>
              </w:rPr>
              <w:fldChar w:fldCharType="end"/>
            </w:r>
          </w:hyperlink>
        </w:p>
        <w:p w:rsidR="00A50834" w:rsidRDefault="002A3865">
          <w:r>
            <w:rPr>
              <w:b/>
              <w:noProof/>
            </w:rPr>
            <w:fldChar w:fldCharType="end"/>
          </w:r>
        </w:p>
      </w:sdtContent>
    </w:sdt>
    <w:p w:rsidR="00806F49" w:rsidRDefault="00806F49">
      <w:pPr>
        <w:spacing w:after="0" w:line="240" w:lineRule="auto"/>
        <w:rPr>
          <w:lang w:eastAsia="ja-JP"/>
        </w:rPr>
      </w:pPr>
      <w:r>
        <w:rPr>
          <w:lang w:eastAsia="ja-JP"/>
        </w:rPr>
        <w:br w:type="page"/>
      </w:r>
    </w:p>
    <w:p w:rsidR="00064698" w:rsidRDefault="00064698" w:rsidP="00064698">
      <w:pPr>
        <w:pStyle w:val="Heading2"/>
        <w:numPr>
          <w:ilvl w:val="0"/>
          <w:numId w:val="0"/>
        </w:numPr>
        <w:ind w:left="720" w:hanging="720"/>
      </w:pPr>
      <w:bookmarkStart w:id="3" w:name="_Toc484685669"/>
      <w:r>
        <w:lastRenderedPageBreak/>
        <w:t>Guide to using this document</w:t>
      </w:r>
      <w:bookmarkEnd w:id="3"/>
    </w:p>
    <w:p w:rsidR="00064698" w:rsidRDefault="00064698" w:rsidP="00064698">
      <w:r>
        <w:t xml:space="preserve">This document sets out the requirements that must be met before the relevant Director will consider approval for the provision of biosecurity activities under </w:t>
      </w:r>
      <w:r w:rsidRPr="002E25C1">
        <w:t>section 406</w:t>
      </w:r>
      <w:r>
        <w:t xml:space="preserve"> of the </w:t>
      </w:r>
      <w:r w:rsidRPr="002E25C1">
        <w:rPr>
          <w:rStyle w:val="Emphasis"/>
        </w:rPr>
        <w:t>Biosecurity Act 2015</w:t>
      </w:r>
      <w:r>
        <w:t xml:space="preserve">, otherwise known as an </w:t>
      </w:r>
      <w:r w:rsidR="00613167">
        <w:t>a</w:t>
      </w:r>
      <w:r>
        <w:t xml:space="preserve">pproved </w:t>
      </w:r>
      <w:r w:rsidR="00613167">
        <w:t>a</w:t>
      </w:r>
      <w:r>
        <w:t>rrangement (AA).</w:t>
      </w:r>
    </w:p>
    <w:p w:rsidR="00064698" w:rsidRDefault="00064698" w:rsidP="00064698">
      <w:r>
        <w:t>This document specifies the requirements to be met for the approval, operation and audit of this class of AA. Compliance with the requirements will be assessed by audit.</w:t>
      </w:r>
    </w:p>
    <w:p w:rsidR="00064698" w:rsidRDefault="00064698" w:rsidP="00064698">
      <w:r>
        <w:t xml:space="preserve">In the event of any inconsistency between these requirements and any Import Permit condition, the Import Permit condition applies. If the </w:t>
      </w:r>
      <w:r w:rsidR="00613167">
        <w:t>a</w:t>
      </w:r>
      <w:r>
        <w:t xml:space="preserve">pplicant chooses to use automatic language translation services in connection with this document, it is done so at the </w:t>
      </w:r>
      <w:r w:rsidR="00613167">
        <w:t>a</w:t>
      </w:r>
      <w:r>
        <w:t>pplicant’s risk.</w:t>
      </w:r>
    </w:p>
    <w:p w:rsidR="00064698" w:rsidRDefault="00064698" w:rsidP="00064698">
      <w:r>
        <w:t>Unless specified otherwise, any references to ‘the department’ or ‘departmental’ means the Department of Agriculture and Water Resources. Any references to contacting the department mean contacting your closest regional office.</w:t>
      </w:r>
    </w:p>
    <w:p w:rsidR="00064698" w:rsidRDefault="002E25C1" w:rsidP="00064698">
      <w:r>
        <w:t>Further information on AAs, AA</w:t>
      </w:r>
      <w:r w:rsidR="00064698">
        <w:t xml:space="preserve"> regional contact de</w:t>
      </w:r>
      <w:r>
        <w:t>tails and copies of relevant AA</w:t>
      </w:r>
      <w:r w:rsidR="00064698">
        <w:t xml:space="preserve"> documentation is available on the </w:t>
      </w:r>
      <w:hyperlink r:id="rId14" w:history="1">
        <w:r w:rsidR="00064698" w:rsidRPr="002E25C1">
          <w:rPr>
            <w:rStyle w:val="Hyperlink"/>
          </w:rPr>
          <w:t>department’s website</w:t>
        </w:r>
      </w:hyperlink>
      <w:r>
        <w:t>.</w:t>
      </w:r>
    </w:p>
    <w:p w:rsidR="00064698" w:rsidRDefault="00064698" w:rsidP="00064698">
      <w:pPr>
        <w:pStyle w:val="Heading3"/>
      </w:pPr>
      <w:bookmarkStart w:id="4" w:name="_Toc484685670"/>
      <w:r>
        <w:t>Definitions</w:t>
      </w:r>
      <w:bookmarkEnd w:id="4"/>
    </w:p>
    <w:p w:rsidR="00064698" w:rsidRDefault="00064698" w:rsidP="00064698">
      <w:r>
        <w:t xml:space="preserve">Definitions that are not contained within the Approved Arrangements Glossary can be found in the </w:t>
      </w:r>
      <w:r w:rsidRPr="002E25C1">
        <w:rPr>
          <w:rStyle w:val="Emphasis"/>
        </w:rPr>
        <w:t>Biosecurity Act 2015</w:t>
      </w:r>
      <w:r>
        <w:t xml:space="preserve"> or the most recent edition of the Macquarie Dictionary.</w:t>
      </w:r>
    </w:p>
    <w:p w:rsidR="00064698" w:rsidRDefault="00064698" w:rsidP="00064698">
      <w:pPr>
        <w:pStyle w:val="Heading3"/>
      </w:pPr>
      <w:bookmarkStart w:id="5" w:name="_Toc484685671"/>
      <w:r>
        <w:t>Other documents</w:t>
      </w:r>
      <w:bookmarkEnd w:id="5"/>
    </w:p>
    <w:p w:rsidR="00064698" w:rsidRDefault="00064698" w:rsidP="00064698">
      <w:r>
        <w:t xml:space="preserve">The AA </w:t>
      </w:r>
      <w:r w:rsidR="00613167">
        <w:t>g</w:t>
      </w:r>
      <w:r>
        <w:t xml:space="preserve">eneral </w:t>
      </w:r>
      <w:r w:rsidR="00613167">
        <w:t>p</w:t>
      </w:r>
      <w:r>
        <w:t>olicies should be read in conjunction with these requirements. They will assist in understanding and complying with the obligations and requirements for the establishment and operation of an AA.</w:t>
      </w:r>
    </w:p>
    <w:p w:rsidR="00064698" w:rsidRDefault="00064698" w:rsidP="00064698">
      <w:pPr>
        <w:pStyle w:val="Heading3"/>
      </w:pPr>
      <w:bookmarkStart w:id="6" w:name="_Toc484685672"/>
      <w:r>
        <w:t>Nonconformity guide</w:t>
      </w:r>
      <w:bookmarkEnd w:id="6"/>
    </w:p>
    <w:p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613167">
        <w:t>b</w:t>
      </w:r>
      <w:r>
        <w:t xml:space="preserve">iosecurity </w:t>
      </w:r>
      <w:r w:rsidR="00613167">
        <w:t>o</w:t>
      </w:r>
      <w:r>
        <w:t>fficer.</w:t>
      </w:r>
    </w:p>
    <w:p w:rsidR="00064698" w:rsidRDefault="00064698" w:rsidP="00064698">
      <w:r>
        <w:t xml:space="preserve">Nonconformity classifications are detailed in the AA </w:t>
      </w:r>
      <w:r w:rsidR="00613167">
        <w:t>g</w:t>
      </w:r>
      <w:r>
        <w:t xml:space="preserve">eneral </w:t>
      </w:r>
      <w:r w:rsidR="00613167">
        <w:t>p</w:t>
      </w:r>
      <w:r>
        <w:t>olicies.</w:t>
      </w:r>
    </w:p>
    <w:p w:rsidR="00064698" w:rsidRDefault="00064698" w:rsidP="00064698">
      <w:pPr>
        <w:pStyle w:val="Heading2"/>
        <w:numPr>
          <w:ilvl w:val="0"/>
          <w:numId w:val="0"/>
        </w:numPr>
        <w:ind w:left="720" w:hanging="720"/>
      </w:pPr>
      <w:bookmarkStart w:id="7" w:name="_Toc484685673"/>
      <w:r>
        <w:lastRenderedPageBreak/>
        <w:t xml:space="preserve">AA </w:t>
      </w:r>
      <w:r w:rsidR="00806F49" w:rsidRPr="00806F49">
        <w:t>Requirements</w:t>
      </w:r>
      <w:bookmarkEnd w:id="7"/>
    </w:p>
    <w:p w:rsidR="002E25C1" w:rsidRDefault="002E25C1" w:rsidP="002E25C1">
      <w:pPr>
        <w:pStyle w:val="Caption"/>
      </w:pPr>
      <w:r>
        <w:t xml:space="preserve">Table </w:t>
      </w:r>
      <w:fldSimple w:instr=" SEQ Table \* ARABIC ">
        <w:r w:rsidR="006878B2">
          <w:rPr>
            <w:noProof/>
          </w:rPr>
          <w:t>1</w:t>
        </w:r>
      </w:fldSimple>
      <w:r>
        <w:t xml:space="preserve"> Site location</w:t>
      </w:r>
    </w:p>
    <w:tbl>
      <w:tblPr>
        <w:tblStyle w:val="TableGrid"/>
        <w:tblW w:w="0" w:type="auto"/>
        <w:tblLook w:val="04A0" w:firstRow="1" w:lastRow="0" w:firstColumn="1" w:lastColumn="0" w:noHBand="0" w:noVBand="1"/>
      </w:tblPr>
      <w:tblGrid>
        <w:gridCol w:w="4530"/>
        <w:gridCol w:w="4530"/>
      </w:tblGrid>
      <w:tr w:rsidR="002E25C1" w:rsidTr="002E25C1">
        <w:trPr>
          <w:cantSplit/>
          <w:tblHeader/>
        </w:trPr>
        <w:tc>
          <w:tcPr>
            <w:tcW w:w="4530" w:type="dxa"/>
          </w:tcPr>
          <w:p w:rsidR="002E25C1" w:rsidRDefault="002E25C1" w:rsidP="002E25C1">
            <w:pPr>
              <w:pStyle w:val="TableHeading"/>
              <w:rPr>
                <w:lang w:eastAsia="ja-JP"/>
              </w:rPr>
            </w:pPr>
            <w:r>
              <w:rPr>
                <w:lang w:eastAsia="ja-JP"/>
              </w:rPr>
              <w:t>Requirements</w:t>
            </w:r>
          </w:p>
        </w:tc>
        <w:tc>
          <w:tcPr>
            <w:tcW w:w="4530" w:type="dxa"/>
          </w:tcPr>
          <w:p w:rsidR="002E25C1" w:rsidRDefault="002E25C1" w:rsidP="002E25C1">
            <w:pPr>
              <w:pStyle w:val="TableHeading"/>
              <w:rPr>
                <w:lang w:eastAsia="ja-JP"/>
              </w:rPr>
            </w:pPr>
            <w:r>
              <w:rPr>
                <w:lang w:eastAsia="ja-JP"/>
              </w:rPr>
              <w:t>Nonconformity guide</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1.1 </w:t>
            </w:r>
            <w:r w:rsidRPr="0060223F">
              <w:t xml:space="preserve">Sites must generally be located within the metropolitan area of a declared port that has a permanently based </w:t>
            </w:r>
            <w:r>
              <w:t>b</w:t>
            </w:r>
            <w:r w:rsidRPr="0060223F">
              <w:t xml:space="preserve">iosecurity </w:t>
            </w:r>
            <w:r>
              <w:t>o</w:t>
            </w:r>
            <w:r w:rsidRPr="0060223F">
              <w:t>fficer. Applications are subject to approval by the Director of biosecurity and will be considered on their individual merits</w:t>
            </w:r>
            <w:r>
              <w:t>,</w:t>
            </w:r>
            <w:r w:rsidRPr="0060223F">
              <w:t xml:space="preserve"> with consideration being given to the biosecurity risk and serviceability associated with the location of each site.</w:t>
            </w:r>
          </w:p>
        </w:tc>
        <w:tc>
          <w:tcPr>
            <w:tcW w:w="4530" w:type="dxa"/>
          </w:tcPr>
          <w:p w:rsidR="002E25C1" w:rsidRDefault="002E25C1" w:rsidP="002E25C1">
            <w:pPr>
              <w:pStyle w:val="TableText"/>
              <w:rPr>
                <w:lang w:eastAsia="ja-JP"/>
              </w:rPr>
            </w:pPr>
            <w:r>
              <w:rPr>
                <w:lang w:eastAsia="ja-JP"/>
              </w:rPr>
              <w:t>Not applicable</w:t>
            </w:r>
          </w:p>
        </w:tc>
      </w:tr>
    </w:tbl>
    <w:p w:rsidR="002E25C1" w:rsidRDefault="002E25C1" w:rsidP="002E25C1">
      <w:pPr>
        <w:pStyle w:val="Caption"/>
        <w:spacing w:before="240"/>
      </w:pPr>
      <w:r>
        <w:t xml:space="preserve">Table </w:t>
      </w:r>
      <w:fldSimple w:instr=" SEQ Table \* ARABIC ">
        <w:r w:rsidR="006878B2">
          <w:rPr>
            <w:noProof/>
          </w:rPr>
          <w:t>2</w:t>
        </w:r>
      </w:fldSimple>
      <w:r>
        <w:t xml:space="preserve"> Access and security</w:t>
      </w:r>
    </w:p>
    <w:tbl>
      <w:tblPr>
        <w:tblStyle w:val="TableGrid"/>
        <w:tblW w:w="0" w:type="auto"/>
        <w:tblLook w:val="04A0" w:firstRow="1" w:lastRow="0" w:firstColumn="1" w:lastColumn="0" w:noHBand="0" w:noVBand="1"/>
      </w:tblPr>
      <w:tblGrid>
        <w:gridCol w:w="4530"/>
        <w:gridCol w:w="4530"/>
      </w:tblGrid>
      <w:tr w:rsidR="002E25C1" w:rsidTr="002E25C1">
        <w:trPr>
          <w:cantSplit/>
          <w:tblHeader/>
        </w:trPr>
        <w:tc>
          <w:tcPr>
            <w:tcW w:w="4530" w:type="dxa"/>
          </w:tcPr>
          <w:p w:rsidR="002E25C1" w:rsidRDefault="002E25C1" w:rsidP="002E25C1">
            <w:pPr>
              <w:pStyle w:val="TableHeading"/>
              <w:rPr>
                <w:lang w:eastAsia="ja-JP"/>
              </w:rPr>
            </w:pPr>
            <w:r>
              <w:rPr>
                <w:lang w:eastAsia="ja-JP"/>
              </w:rPr>
              <w:t>Requirements</w:t>
            </w:r>
          </w:p>
        </w:tc>
        <w:tc>
          <w:tcPr>
            <w:tcW w:w="4530" w:type="dxa"/>
          </w:tcPr>
          <w:p w:rsidR="002E25C1" w:rsidRDefault="002E25C1" w:rsidP="002E25C1">
            <w:pPr>
              <w:pStyle w:val="TableHeading"/>
              <w:rPr>
                <w:lang w:eastAsia="ja-JP"/>
              </w:rPr>
            </w:pPr>
            <w:r>
              <w:rPr>
                <w:lang w:eastAsia="ja-JP"/>
              </w:rPr>
              <w:t>Nonconformity guide</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2.1 </w:t>
            </w:r>
            <w:r w:rsidRPr="0060223F">
              <w:t>The site housing the animals must be constructed in order to provide complete physical isolation from domestic and native animals and insects.</w:t>
            </w:r>
          </w:p>
        </w:tc>
        <w:tc>
          <w:tcPr>
            <w:tcW w:w="4530" w:type="dxa"/>
          </w:tcPr>
          <w:p w:rsidR="002E25C1" w:rsidRDefault="002E25C1" w:rsidP="002E25C1">
            <w:pPr>
              <w:pStyle w:val="TableText"/>
              <w:rPr>
                <w:lang w:eastAsia="ja-JP"/>
              </w:rPr>
            </w:pPr>
            <w:r>
              <w:rPr>
                <w:lang w:eastAsia="ja-JP"/>
              </w:rPr>
              <w:t>Critical</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2.2 </w:t>
            </w:r>
            <w:r w:rsidRPr="0060223F">
              <w:t>External windows must be sealed and fitted with metal security bars or mesh.</w:t>
            </w:r>
          </w:p>
        </w:tc>
        <w:tc>
          <w:tcPr>
            <w:tcW w:w="4530" w:type="dxa"/>
          </w:tcPr>
          <w:p w:rsidR="002E25C1" w:rsidRDefault="002E25C1" w:rsidP="002E25C1">
            <w:pPr>
              <w:pStyle w:val="TableText"/>
              <w:rPr>
                <w:lang w:eastAsia="ja-JP"/>
              </w:rPr>
            </w:pPr>
            <w:r>
              <w:rPr>
                <w:lang w:eastAsia="ja-JP"/>
              </w:rPr>
              <w:t>Critical</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2.3 </w:t>
            </w:r>
            <w:r w:rsidRPr="0060223F">
              <w:t xml:space="preserve">Openings in the walls, floor or ceiling (e.g. window and vents) must be screened with fine screens (60 x 40 </w:t>
            </w:r>
            <w:proofErr w:type="spellStart"/>
            <w:r w:rsidRPr="0060223F">
              <w:t>swg</w:t>
            </w:r>
            <w:proofErr w:type="spellEnd"/>
            <w:r w:rsidRPr="0060223F">
              <w:t xml:space="preserve"> mesh = 51% free area or finer).</w:t>
            </w:r>
          </w:p>
        </w:tc>
        <w:tc>
          <w:tcPr>
            <w:tcW w:w="4530" w:type="dxa"/>
          </w:tcPr>
          <w:p w:rsidR="002E25C1" w:rsidRDefault="002E25C1" w:rsidP="002E25C1">
            <w:pPr>
              <w:pStyle w:val="TableText"/>
              <w:rPr>
                <w:lang w:eastAsia="ja-JP"/>
              </w:rPr>
            </w:pPr>
            <w:r>
              <w:rPr>
                <w:lang w:eastAsia="ja-JP"/>
              </w:rPr>
              <w:t>Critical</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2.4 </w:t>
            </w:r>
            <w:r w:rsidRPr="0060223F">
              <w:t>The entrance to the animal room/house must be posted with a professionally prepared sign which clearly identifies the types of animals kept at the site and lists emergency and maintenance procedures.</w:t>
            </w:r>
          </w:p>
        </w:tc>
        <w:tc>
          <w:tcPr>
            <w:tcW w:w="4530" w:type="dxa"/>
          </w:tcPr>
          <w:p w:rsidR="002E25C1" w:rsidRDefault="002E25C1" w:rsidP="002E25C1">
            <w:pPr>
              <w:pStyle w:val="TableText"/>
              <w:rPr>
                <w:lang w:eastAsia="ja-JP"/>
              </w:rPr>
            </w:pPr>
            <w:r>
              <w:rPr>
                <w:lang w:eastAsia="ja-JP"/>
              </w:rPr>
              <w:t>Major</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2.5 </w:t>
            </w:r>
            <w:r w:rsidRPr="0060223F">
              <w:t>The doors to the animal room/house must open inwards, be self-closing, lockable and preferably with a viewing panel. The door should also be sealable for decontamination, if necessary, and sufficient to prevent entry of vermin.</w:t>
            </w:r>
          </w:p>
        </w:tc>
        <w:tc>
          <w:tcPr>
            <w:tcW w:w="4530" w:type="dxa"/>
          </w:tcPr>
          <w:p w:rsidR="002E25C1" w:rsidRDefault="002E25C1" w:rsidP="002E25C1">
            <w:pPr>
              <w:pStyle w:val="TableText"/>
              <w:rPr>
                <w:lang w:eastAsia="ja-JP"/>
              </w:rPr>
            </w:pPr>
            <w:r>
              <w:rPr>
                <w:lang w:eastAsia="ja-JP"/>
              </w:rPr>
              <w:t>Major</w:t>
            </w:r>
          </w:p>
        </w:tc>
      </w:tr>
      <w:tr w:rsidR="002E25C1" w:rsidTr="002E25C1">
        <w:trPr>
          <w:cantSplit/>
          <w:tblHeader/>
        </w:trPr>
        <w:tc>
          <w:tcPr>
            <w:tcW w:w="4530" w:type="dxa"/>
          </w:tcPr>
          <w:p w:rsidR="002E25C1" w:rsidRPr="00F07A95" w:rsidRDefault="002E25C1" w:rsidP="002E25C1">
            <w:pPr>
              <w:pStyle w:val="TableText"/>
              <w:rPr>
                <w:lang w:eastAsia="ja-JP"/>
              </w:rPr>
            </w:pPr>
            <w:r w:rsidRPr="00F07A95">
              <w:rPr>
                <w:lang w:eastAsia="ja-JP"/>
              </w:rPr>
              <w:t xml:space="preserve">2.6 </w:t>
            </w:r>
            <w:r w:rsidRPr="00F07A95">
              <w:t>Cages/enclosures must be constructed of heavy duty metal or other suitable material for the secure holding of live animals (cages/enclosures must be kept locked at all times).</w:t>
            </w:r>
          </w:p>
        </w:tc>
        <w:tc>
          <w:tcPr>
            <w:tcW w:w="4530" w:type="dxa"/>
          </w:tcPr>
          <w:p w:rsidR="002E25C1" w:rsidRPr="00F07A95" w:rsidRDefault="002E25C1" w:rsidP="002E25C1">
            <w:pPr>
              <w:pStyle w:val="TableText"/>
              <w:rPr>
                <w:lang w:eastAsia="ja-JP"/>
              </w:rPr>
            </w:pPr>
            <w:r w:rsidRPr="00F07A95">
              <w:rPr>
                <w:lang w:eastAsia="ja-JP"/>
              </w:rPr>
              <w:t>Major</w:t>
            </w:r>
          </w:p>
        </w:tc>
      </w:tr>
      <w:tr w:rsidR="002E25C1" w:rsidTr="002E25C1">
        <w:trPr>
          <w:cantSplit/>
          <w:tblHeader/>
        </w:trPr>
        <w:tc>
          <w:tcPr>
            <w:tcW w:w="4530" w:type="dxa"/>
          </w:tcPr>
          <w:p w:rsidR="002E25C1" w:rsidRPr="00F07A95" w:rsidRDefault="002E25C1" w:rsidP="002E25C1">
            <w:pPr>
              <w:pStyle w:val="TableText"/>
              <w:rPr>
                <w:lang w:eastAsia="ja-JP"/>
              </w:rPr>
            </w:pPr>
            <w:r w:rsidRPr="00F07A95">
              <w:rPr>
                <w:lang w:eastAsia="ja-JP"/>
              </w:rPr>
              <w:t xml:space="preserve">2.7 </w:t>
            </w:r>
            <w:r w:rsidRPr="00F07A95">
              <w:t>Security alarms should be installed in the site.</w:t>
            </w:r>
          </w:p>
        </w:tc>
        <w:tc>
          <w:tcPr>
            <w:tcW w:w="4530" w:type="dxa"/>
          </w:tcPr>
          <w:p w:rsidR="002E25C1" w:rsidRPr="00F07A95" w:rsidRDefault="002E25C1" w:rsidP="002E25C1">
            <w:pPr>
              <w:pStyle w:val="TableText"/>
              <w:rPr>
                <w:lang w:eastAsia="ja-JP"/>
              </w:rPr>
            </w:pPr>
            <w:r w:rsidRPr="00F07A95">
              <w:rPr>
                <w:lang w:eastAsia="ja-JP"/>
              </w:rPr>
              <w:t>Minor</w:t>
            </w:r>
          </w:p>
        </w:tc>
      </w:tr>
    </w:tbl>
    <w:p w:rsidR="002E25C1" w:rsidRDefault="002E25C1" w:rsidP="002E25C1">
      <w:pPr>
        <w:pStyle w:val="Caption"/>
        <w:spacing w:before="240"/>
      </w:pPr>
      <w:r>
        <w:lastRenderedPageBreak/>
        <w:t xml:space="preserve">Table </w:t>
      </w:r>
      <w:fldSimple w:instr=" SEQ Table \* ARABIC ">
        <w:r w:rsidR="006878B2">
          <w:rPr>
            <w:noProof/>
          </w:rPr>
          <w:t>3</w:t>
        </w:r>
      </w:fldSimple>
      <w:r>
        <w:t xml:space="preserve"> Facilities and equipment</w:t>
      </w:r>
    </w:p>
    <w:tbl>
      <w:tblPr>
        <w:tblStyle w:val="TableGrid"/>
        <w:tblW w:w="0" w:type="auto"/>
        <w:tblLook w:val="04A0" w:firstRow="1" w:lastRow="0" w:firstColumn="1" w:lastColumn="0" w:noHBand="0" w:noVBand="1"/>
      </w:tblPr>
      <w:tblGrid>
        <w:gridCol w:w="4530"/>
        <w:gridCol w:w="4530"/>
      </w:tblGrid>
      <w:tr w:rsidR="002E25C1" w:rsidTr="002E25C1">
        <w:trPr>
          <w:cantSplit/>
          <w:tblHeader/>
        </w:trPr>
        <w:tc>
          <w:tcPr>
            <w:tcW w:w="4530" w:type="dxa"/>
          </w:tcPr>
          <w:p w:rsidR="002E25C1" w:rsidRDefault="002E25C1" w:rsidP="002E25C1">
            <w:pPr>
              <w:pStyle w:val="TableHeading"/>
              <w:rPr>
                <w:lang w:eastAsia="ja-JP"/>
              </w:rPr>
            </w:pPr>
            <w:r>
              <w:rPr>
                <w:lang w:eastAsia="ja-JP"/>
              </w:rPr>
              <w:t>Requirements</w:t>
            </w:r>
          </w:p>
        </w:tc>
        <w:tc>
          <w:tcPr>
            <w:tcW w:w="4530" w:type="dxa"/>
          </w:tcPr>
          <w:p w:rsidR="002E25C1" w:rsidRDefault="002E25C1" w:rsidP="002E25C1">
            <w:pPr>
              <w:pStyle w:val="TableHeading"/>
              <w:rPr>
                <w:lang w:eastAsia="ja-JP"/>
              </w:rPr>
            </w:pPr>
            <w:r>
              <w:rPr>
                <w:lang w:eastAsia="ja-JP"/>
              </w:rPr>
              <w:t>Nonconformity guide</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3.1 </w:t>
            </w:r>
            <w:r w:rsidRPr="0060223F">
              <w:t>The lighting and air-conditioning must be adequate.</w:t>
            </w:r>
          </w:p>
        </w:tc>
        <w:tc>
          <w:tcPr>
            <w:tcW w:w="4530" w:type="dxa"/>
          </w:tcPr>
          <w:p w:rsidR="002E25C1" w:rsidRDefault="002E25C1" w:rsidP="002E25C1">
            <w:pPr>
              <w:pStyle w:val="TableText"/>
              <w:rPr>
                <w:lang w:eastAsia="ja-JP"/>
              </w:rPr>
            </w:pPr>
            <w:r>
              <w:rPr>
                <w:lang w:eastAsia="ja-JP"/>
              </w:rPr>
              <w:t>Minor</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3.2 </w:t>
            </w:r>
            <w:r w:rsidRPr="0060223F">
              <w:t>Floors, walls, bench tops and ceilings must have impervious surfaces.</w:t>
            </w:r>
          </w:p>
        </w:tc>
        <w:tc>
          <w:tcPr>
            <w:tcW w:w="4530" w:type="dxa"/>
          </w:tcPr>
          <w:p w:rsidR="002E25C1" w:rsidRDefault="002E25C1" w:rsidP="002E25C1">
            <w:pPr>
              <w:pStyle w:val="TableText"/>
              <w:rPr>
                <w:lang w:eastAsia="ja-JP"/>
              </w:rPr>
            </w:pPr>
            <w:r>
              <w:rPr>
                <w:lang w:eastAsia="ja-JP"/>
              </w:rPr>
              <w:t>Major</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3.3 </w:t>
            </w:r>
            <w:r w:rsidRPr="0060223F">
              <w:t>There must be a lockable deep freezer for pathology specimens/bodies located within a functional proximity to the biosecurity house/room.</w:t>
            </w:r>
          </w:p>
        </w:tc>
        <w:tc>
          <w:tcPr>
            <w:tcW w:w="4530" w:type="dxa"/>
          </w:tcPr>
          <w:p w:rsidR="002E25C1" w:rsidRDefault="002E25C1" w:rsidP="002E25C1">
            <w:pPr>
              <w:pStyle w:val="TableText"/>
              <w:rPr>
                <w:lang w:eastAsia="ja-JP"/>
              </w:rPr>
            </w:pPr>
            <w:r>
              <w:rPr>
                <w:lang w:eastAsia="ja-JP"/>
              </w:rPr>
              <w:t>Minor</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3.4 </w:t>
            </w:r>
            <w:r w:rsidRPr="0060223F">
              <w:t>There must be a sink for hand washing with elbow/foot/thigh operated taps.</w:t>
            </w:r>
          </w:p>
        </w:tc>
        <w:tc>
          <w:tcPr>
            <w:tcW w:w="4530" w:type="dxa"/>
          </w:tcPr>
          <w:p w:rsidR="002E25C1" w:rsidRDefault="002E25C1" w:rsidP="002E25C1">
            <w:pPr>
              <w:pStyle w:val="TableText"/>
              <w:rPr>
                <w:lang w:eastAsia="ja-JP"/>
              </w:rPr>
            </w:pPr>
            <w:r>
              <w:rPr>
                <w:lang w:eastAsia="ja-JP"/>
              </w:rPr>
              <w:t>Major</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3.5 </w:t>
            </w:r>
            <w:r w:rsidRPr="0060223F">
              <w:t>There must be suitable closed and lockable live animal/animal tissue transport containers.</w:t>
            </w:r>
          </w:p>
        </w:tc>
        <w:tc>
          <w:tcPr>
            <w:tcW w:w="4530" w:type="dxa"/>
          </w:tcPr>
          <w:p w:rsidR="002E25C1" w:rsidRDefault="002E25C1" w:rsidP="002E25C1">
            <w:pPr>
              <w:pStyle w:val="TableText"/>
              <w:rPr>
                <w:lang w:eastAsia="ja-JP"/>
              </w:rPr>
            </w:pPr>
            <w:r>
              <w:rPr>
                <w:lang w:eastAsia="ja-JP"/>
              </w:rPr>
              <w:t>Minor</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3.6 </w:t>
            </w:r>
            <w:r w:rsidRPr="0060223F">
              <w:t>Animals involved in genetic manipulation experiments are not to be used for other purposes or to provide tissues for other purposes.</w:t>
            </w:r>
          </w:p>
        </w:tc>
        <w:tc>
          <w:tcPr>
            <w:tcW w:w="4530" w:type="dxa"/>
          </w:tcPr>
          <w:p w:rsidR="002E25C1" w:rsidRDefault="002E25C1" w:rsidP="002E25C1">
            <w:pPr>
              <w:pStyle w:val="TableText"/>
              <w:rPr>
                <w:lang w:eastAsia="ja-JP"/>
              </w:rPr>
            </w:pPr>
            <w:r>
              <w:rPr>
                <w:lang w:eastAsia="ja-JP"/>
              </w:rPr>
              <w:t>Critical</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3.7 </w:t>
            </w:r>
            <w:r w:rsidRPr="0060223F">
              <w:t>Live animals or tissues derived from animals held at the animal house/room shall not be removed from the animal house/room unless departmental approval has been granted.</w:t>
            </w:r>
          </w:p>
        </w:tc>
        <w:tc>
          <w:tcPr>
            <w:tcW w:w="4530" w:type="dxa"/>
          </w:tcPr>
          <w:p w:rsidR="002E25C1" w:rsidRDefault="002E25C1" w:rsidP="002E25C1">
            <w:pPr>
              <w:pStyle w:val="TableText"/>
              <w:rPr>
                <w:lang w:eastAsia="ja-JP"/>
              </w:rPr>
            </w:pPr>
            <w:r>
              <w:rPr>
                <w:lang w:eastAsia="ja-JP"/>
              </w:rPr>
              <w:t>Critical</w:t>
            </w:r>
          </w:p>
        </w:tc>
      </w:tr>
    </w:tbl>
    <w:p w:rsidR="002E25C1" w:rsidRDefault="002E25C1" w:rsidP="002E25C1">
      <w:pPr>
        <w:pStyle w:val="Caption"/>
        <w:spacing w:before="240"/>
      </w:pPr>
      <w:r>
        <w:t xml:space="preserve">Table </w:t>
      </w:r>
      <w:fldSimple w:instr=" SEQ Table \* ARABIC ">
        <w:r w:rsidR="006878B2">
          <w:rPr>
            <w:noProof/>
          </w:rPr>
          <w:t>4</w:t>
        </w:r>
      </w:fldSimple>
      <w:r>
        <w:t xml:space="preserve"> Waste disposal</w:t>
      </w:r>
    </w:p>
    <w:tbl>
      <w:tblPr>
        <w:tblStyle w:val="TableGrid"/>
        <w:tblW w:w="0" w:type="auto"/>
        <w:tblLook w:val="04A0" w:firstRow="1" w:lastRow="0" w:firstColumn="1" w:lastColumn="0" w:noHBand="0" w:noVBand="1"/>
      </w:tblPr>
      <w:tblGrid>
        <w:gridCol w:w="4530"/>
        <w:gridCol w:w="4530"/>
      </w:tblGrid>
      <w:tr w:rsidR="002E25C1" w:rsidTr="002E25C1">
        <w:trPr>
          <w:cantSplit/>
          <w:tblHeader/>
        </w:trPr>
        <w:tc>
          <w:tcPr>
            <w:tcW w:w="4530" w:type="dxa"/>
          </w:tcPr>
          <w:p w:rsidR="002E25C1" w:rsidRDefault="002E25C1" w:rsidP="002E25C1">
            <w:pPr>
              <w:pStyle w:val="TableHeading"/>
              <w:rPr>
                <w:lang w:eastAsia="ja-JP"/>
              </w:rPr>
            </w:pPr>
            <w:r>
              <w:rPr>
                <w:lang w:eastAsia="ja-JP"/>
              </w:rPr>
              <w:t>Requirements</w:t>
            </w:r>
          </w:p>
        </w:tc>
        <w:tc>
          <w:tcPr>
            <w:tcW w:w="4530" w:type="dxa"/>
          </w:tcPr>
          <w:p w:rsidR="002E25C1" w:rsidRDefault="002E25C1" w:rsidP="002E25C1">
            <w:pPr>
              <w:pStyle w:val="TableHeading"/>
              <w:rPr>
                <w:lang w:eastAsia="ja-JP"/>
              </w:rPr>
            </w:pPr>
            <w:r>
              <w:rPr>
                <w:lang w:eastAsia="ja-JP"/>
              </w:rPr>
              <w:t>Nonconformity guide</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4.1 </w:t>
            </w:r>
            <w:r w:rsidRPr="0060223F">
              <w:t>Animal room/house floors must drain to a central drain. This drain should always contain water or disinfectant in the trap.</w:t>
            </w:r>
          </w:p>
        </w:tc>
        <w:tc>
          <w:tcPr>
            <w:tcW w:w="4530" w:type="dxa"/>
          </w:tcPr>
          <w:p w:rsidR="002E25C1" w:rsidRDefault="002E25C1" w:rsidP="002E25C1">
            <w:pPr>
              <w:pStyle w:val="TableText"/>
              <w:rPr>
                <w:lang w:eastAsia="ja-JP"/>
              </w:rPr>
            </w:pPr>
            <w:r>
              <w:rPr>
                <w:lang w:eastAsia="ja-JP"/>
              </w:rPr>
              <w:t>Critical</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4.2 </w:t>
            </w:r>
            <w:r w:rsidRPr="0060223F">
              <w:t>Each room must have its own sanitation equipment.</w:t>
            </w:r>
          </w:p>
        </w:tc>
        <w:tc>
          <w:tcPr>
            <w:tcW w:w="4530" w:type="dxa"/>
          </w:tcPr>
          <w:p w:rsidR="002E25C1" w:rsidRDefault="002E25C1" w:rsidP="002E25C1">
            <w:pPr>
              <w:pStyle w:val="TableText"/>
              <w:rPr>
                <w:lang w:eastAsia="ja-JP"/>
              </w:rPr>
            </w:pPr>
            <w:r>
              <w:rPr>
                <w:lang w:eastAsia="ja-JP"/>
              </w:rPr>
              <w:t>Minor</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4.3 </w:t>
            </w:r>
            <w:r w:rsidRPr="0060223F">
              <w:t>Bedding should be absorbent.</w:t>
            </w:r>
          </w:p>
        </w:tc>
        <w:tc>
          <w:tcPr>
            <w:tcW w:w="4530" w:type="dxa"/>
          </w:tcPr>
          <w:p w:rsidR="002E25C1" w:rsidRDefault="002E25C1" w:rsidP="002E25C1">
            <w:pPr>
              <w:pStyle w:val="TableText"/>
              <w:rPr>
                <w:lang w:eastAsia="ja-JP"/>
              </w:rPr>
            </w:pPr>
            <w:r>
              <w:rPr>
                <w:lang w:eastAsia="ja-JP"/>
              </w:rPr>
              <w:t>Minor</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4.4 </w:t>
            </w:r>
            <w:r w:rsidRPr="0060223F">
              <w:t>Bedding and other waste material must be removed in a manner that minimises the creation of aerosols.</w:t>
            </w:r>
          </w:p>
        </w:tc>
        <w:tc>
          <w:tcPr>
            <w:tcW w:w="4530" w:type="dxa"/>
          </w:tcPr>
          <w:p w:rsidR="002E25C1" w:rsidRDefault="002E25C1" w:rsidP="002E25C1">
            <w:pPr>
              <w:pStyle w:val="TableText"/>
              <w:rPr>
                <w:lang w:eastAsia="ja-JP"/>
              </w:rPr>
            </w:pPr>
            <w:r>
              <w:rPr>
                <w:lang w:eastAsia="ja-JP"/>
              </w:rPr>
              <w:t>Major</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4.5 </w:t>
            </w:r>
            <w:r w:rsidRPr="0060223F">
              <w:t>Cage cleaning areas must be close to animal rooms.</w:t>
            </w:r>
          </w:p>
        </w:tc>
        <w:tc>
          <w:tcPr>
            <w:tcW w:w="4530" w:type="dxa"/>
          </w:tcPr>
          <w:p w:rsidR="002E25C1" w:rsidRDefault="002E25C1" w:rsidP="002E25C1">
            <w:pPr>
              <w:pStyle w:val="TableText"/>
              <w:rPr>
                <w:lang w:eastAsia="ja-JP"/>
              </w:rPr>
            </w:pPr>
            <w:r>
              <w:rPr>
                <w:lang w:eastAsia="ja-JP"/>
              </w:rPr>
              <w:t>Major</w:t>
            </w:r>
          </w:p>
        </w:tc>
      </w:tr>
      <w:tr w:rsidR="002E25C1" w:rsidTr="002E25C1">
        <w:trPr>
          <w:cantSplit/>
          <w:tblHeader/>
        </w:trPr>
        <w:tc>
          <w:tcPr>
            <w:tcW w:w="4530" w:type="dxa"/>
          </w:tcPr>
          <w:p w:rsidR="002E25C1" w:rsidRDefault="002E25C1" w:rsidP="002E25C1">
            <w:pPr>
              <w:pStyle w:val="TableText"/>
              <w:rPr>
                <w:lang w:eastAsia="ja-JP"/>
              </w:rPr>
            </w:pPr>
            <w:r>
              <w:rPr>
                <w:lang w:eastAsia="ja-JP"/>
              </w:rPr>
              <w:t>4.6</w:t>
            </w:r>
            <w:r w:rsidRPr="0060223F">
              <w:t xml:space="preserve"> Residues, packaging, bedding and absorbent material must be destroyed either by incineration or autoclaving.</w:t>
            </w:r>
          </w:p>
        </w:tc>
        <w:tc>
          <w:tcPr>
            <w:tcW w:w="4530" w:type="dxa"/>
          </w:tcPr>
          <w:p w:rsidR="002E25C1" w:rsidRDefault="002E25C1" w:rsidP="002E25C1">
            <w:pPr>
              <w:pStyle w:val="TableText"/>
              <w:rPr>
                <w:lang w:eastAsia="ja-JP"/>
              </w:rPr>
            </w:pPr>
            <w:r>
              <w:rPr>
                <w:lang w:eastAsia="ja-JP"/>
              </w:rPr>
              <w:t>Major</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4.7 </w:t>
            </w:r>
            <w:r w:rsidRPr="0060223F">
              <w:t>Dead bodies, tissues or unhatched eggs are to be disposed of by incineration, sterilisation in an autoclave or by high temperature isolation before leaving the biosecurity area.</w:t>
            </w:r>
          </w:p>
        </w:tc>
        <w:tc>
          <w:tcPr>
            <w:tcW w:w="4530" w:type="dxa"/>
          </w:tcPr>
          <w:p w:rsidR="002E25C1" w:rsidRDefault="002E25C1" w:rsidP="002E25C1">
            <w:pPr>
              <w:pStyle w:val="TableText"/>
              <w:rPr>
                <w:lang w:eastAsia="ja-JP"/>
              </w:rPr>
            </w:pPr>
            <w:r>
              <w:rPr>
                <w:lang w:eastAsia="ja-JP"/>
              </w:rPr>
              <w:t>Critical</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4.8 </w:t>
            </w:r>
            <w:r w:rsidRPr="0060223F">
              <w:t>A recommended method of solid waste disposal is by bag autoclaving, re-bagged, and transporting for incineration or deep burial. If material is bulky and heat penetration is in doubt, then it should be autoclaved, bagged again and then incinerated or deep buried. Alternatively the waste can be packed into biohazard bags and then left in a UV airlock overnight, then removed and autoclaved before disposal.</w:t>
            </w:r>
          </w:p>
        </w:tc>
        <w:tc>
          <w:tcPr>
            <w:tcW w:w="4530" w:type="dxa"/>
          </w:tcPr>
          <w:p w:rsidR="002E25C1" w:rsidRDefault="002E25C1" w:rsidP="002E25C1">
            <w:pPr>
              <w:pStyle w:val="TableText"/>
              <w:rPr>
                <w:lang w:eastAsia="ja-JP"/>
              </w:rPr>
            </w:pPr>
            <w:r>
              <w:rPr>
                <w:lang w:eastAsia="ja-JP"/>
              </w:rPr>
              <w:t>Critical</w:t>
            </w:r>
          </w:p>
        </w:tc>
      </w:tr>
    </w:tbl>
    <w:p w:rsidR="002E25C1" w:rsidRDefault="002E25C1" w:rsidP="002E25C1">
      <w:pPr>
        <w:pStyle w:val="Caption"/>
        <w:spacing w:before="240"/>
      </w:pPr>
      <w:r>
        <w:lastRenderedPageBreak/>
        <w:t xml:space="preserve">Table </w:t>
      </w:r>
      <w:fldSimple w:instr=" SEQ Table \* ARABIC ">
        <w:r w:rsidR="006878B2">
          <w:rPr>
            <w:noProof/>
          </w:rPr>
          <w:t>5</w:t>
        </w:r>
      </w:fldSimple>
      <w:r>
        <w:t xml:space="preserve"> Air quality and air flow patterns</w:t>
      </w:r>
    </w:p>
    <w:tbl>
      <w:tblPr>
        <w:tblStyle w:val="TableGrid"/>
        <w:tblW w:w="0" w:type="auto"/>
        <w:tblLook w:val="04A0" w:firstRow="1" w:lastRow="0" w:firstColumn="1" w:lastColumn="0" w:noHBand="0" w:noVBand="1"/>
      </w:tblPr>
      <w:tblGrid>
        <w:gridCol w:w="4530"/>
        <w:gridCol w:w="4530"/>
      </w:tblGrid>
      <w:tr w:rsidR="002E25C1" w:rsidTr="002E25C1">
        <w:trPr>
          <w:cantSplit/>
          <w:tblHeader/>
        </w:trPr>
        <w:tc>
          <w:tcPr>
            <w:tcW w:w="4530" w:type="dxa"/>
          </w:tcPr>
          <w:p w:rsidR="002E25C1" w:rsidRDefault="002E25C1" w:rsidP="002E25C1">
            <w:pPr>
              <w:pStyle w:val="TableHeading"/>
              <w:rPr>
                <w:lang w:eastAsia="ja-JP"/>
              </w:rPr>
            </w:pPr>
            <w:r>
              <w:rPr>
                <w:lang w:eastAsia="ja-JP"/>
              </w:rPr>
              <w:t>Requirements</w:t>
            </w:r>
          </w:p>
        </w:tc>
        <w:tc>
          <w:tcPr>
            <w:tcW w:w="4530" w:type="dxa"/>
          </w:tcPr>
          <w:p w:rsidR="002E25C1" w:rsidRDefault="002E25C1" w:rsidP="002E25C1">
            <w:pPr>
              <w:pStyle w:val="TableHeading"/>
              <w:rPr>
                <w:lang w:eastAsia="ja-JP"/>
              </w:rPr>
            </w:pPr>
            <w:r>
              <w:rPr>
                <w:lang w:eastAsia="ja-JP"/>
              </w:rPr>
              <w:t>Nonconformity guide</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5.1 </w:t>
            </w:r>
            <w:r w:rsidRPr="0060223F">
              <w:t>Air flow patterns must be such as to prevent air from flowing from biosecurity isolation areas to other areas unless HEPA filtered and prevent dead pockets.</w:t>
            </w:r>
          </w:p>
        </w:tc>
        <w:tc>
          <w:tcPr>
            <w:tcW w:w="4530" w:type="dxa"/>
          </w:tcPr>
          <w:p w:rsidR="002E25C1" w:rsidRDefault="002E25C1" w:rsidP="002E25C1">
            <w:pPr>
              <w:pStyle w:val="TableText"/>
              <w:rPr>
                <w:lang w:eastAsia="ja-JP"/>
              </w:rPr>
            </w:pPr>
            <w:r>
              <w:rPr>
                <w:lang w:eastAsia="ja-JP"/>
              </w:rPr>
              <w:t>Major</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5.2 </w:t>
            </w:r>
            <w:r w:rsidRPr="0060223F">
              <w:t>Ventilation must give negative pressure in the lab. Inward flow is required if imported animals are sharing a common air supply with non-imported animals (except in the case of specific pathogen free (SPF) animals where they would be in an isolator of SPF barrier).</w:t>
            </w:r>
          </w:p>
        </w:tc>
        <w:tc>
          <w:tcPr>
            <w:tcW w:w="4530" w:type="dxa"/>
          </w:tcPr>
          <w:p w:rsidR="002E25C1" w:rsidRDefault="002E25C1" w:rsidP="002E25C1">
            <w:pPr>
              <w:pStyle w:val="TableText"/>
              <w:rPr>
                <w:lang w:eastAsia="ja-JP"/>
              </w:rPr>
            </w:pPr>
            <w:r>
              <w:rPr>
                <w:lang w:eastAsia="ja-JP"/>
              </w:rPr>
              <w:t>Major</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5.3 </w:t>
            </w:r>
            <w:r w:rsidRPr="0060223F">
              <w:t>Intake air should be 100</w:t>
            </w:r>
            <w:r>
              <w:t xml:space="preserve"> per cent</w:t>
            </w:r>
            <w:r w:rsidRPr="0060223F">
              <w:t xml:space="preserve"> fresh (non-recycled to avoid cross-contamination by infectious agents and to dispose of irritating chemicals, primarily ammonia).</w:t>
            </w:r>
          </w:p>
        </w:tc>
        <w:tc>
          <w:tcPr>
            <w:tcW w:w="4530" w:type="dxa"/>
          </w:tcPr>
          <w:p w:rsidR="002E25C1" w:rsidRDefault="002E25C1" w:rsidP="002E25C1">
            <w:pPr>
              <w:pStyle w:val="TableText"/>
              <w:rPr>
                <w:lang w:eastAsia="ja-JP"/>
              </w:rPr>
            </w:pPr>
            <w:r>
              <w:rPr>
                <w:lang w:eastAsia="ja-JP"/>
              </w:rPr>
              <w:t>Minor</w:t>
            </w:r>
          </w:p>
        </w:tc>
      </w:tr>
      <w:tr w:rsidR="002E25C1" w:rsidTr="002E25C1">
        <w:trPr>
          <w:cantSplit/>
          <w:tblHeader/>
        </w:trPr>
        <w:tc>
          <w:tcPr>
            <w:tcW w:w="4530" w:type="dxa"/>
          </w:tcPr>
          <w:p w:rsidR="002E25C1" w:rsidRDefault="002E25C1" w:rsidP="002E25C1">
            <w:pPr>
              <w:pStyle w:val="TableText"/>
              <w:rPr>
                <w:lang w:eastAsia="ja-JP"/>
              </w:rPr>
            </w:pPr>
            <w:r>
              <w:rPr>
                <w:lang w:eastAsia="ja-JP"/>
              </w:rPr>
              <w:t xml:space="preserve">5.4 </w:t>
            </w:r>
            <w:r w:rsidRPr="0060223F">
              <w:t>Intake air should not be contaminated by exhaust air from the site, incinerator smoke, or other contaminated air.</w:t>
            </w:r>
          </w:p>
        </w:tc>
        <w:tc>
          <w:tcPr>
            <w:tcW w:w="4530" w:type="dxa"/>
          </w:tcPr>
          <w:p w:rsidR="002E25C1" w:rsidRDefault="002E25C1" w:rsidP="002E25C1">
            <w:pPr>
              <w:pStyle w:val="TableText"/>
              <w:rPr>
                <w:lang w:eastAsia="ja-JP"/>
              </w:rPr>
            </w:pPr>
            <w:r>
              <w:rPr>
                <w:lang w:eastAsia="ja-JP"/>
              </w:rPr>
              <w:t>Minor</w:t>
            </w:r>
          </w:p>
        </w:tc>
      </w:tr>
      <w:tr w:rsidR="002E25C1" w:rsidTr="002E25C1">
        <w:trPr>
          <w:cantSplit/>
          <w:tblHeader/>
        </w:trPr>
        <w:tc>
          <w:tcPr>
            <w:tcW w:w="4530" w:type="dxa"/>
          </w:tcPr>
          <w:p w:rsidR="002E25C1" w:rsidRDefault="0032732D" w:rsidP="002E25C1">
            <w:pPr>
              <w:pStyle w:val="TableText"/>
              <w:rPr>
                <w:lang w:eastAsia="ja-JP"/>
              </w:rPr>
            </w:pPr>
            <w:r>
              <w:rPr>
                <w:lang w:eastAsia="ja-JP"/>
              </w:rPr>
              <w:t xml:space="preserve">5.5 </w:t>
            </w:r>
            <w:r w:rsidRPr="0060223F">
              <w:t>There must be at least eight fresh air changes each hour.</w:t>
            </w:r>
          </w:p>
        </w:tc>
        <w:tc>
          <w:tcPr>
            <w:tcW w:w="4530" w:type="dxa"/>
          </w:tcPr>
          <w:p w:rsidR="002E25C1" w:rsidRDefault="002E25C1" w:rsidP="002E25C1">
            <w:pPr>
              <w:pStyle w:val="TableText"/>
              <w:rPr>
                <w:lang w:eastAsia="ja-JP"/>
              </w:rPr>
            </w:pPr>
            <w:r>
              <w:rPr>
                <w:lang w:eastAsia="ja-JP"/>
              </w:rPr>
              <w:t>Minor</w:t>
            </w:r>
          </w:p>
        </w:tc>
      </w:tr>
      <w:tr w:rsidR="002E25C1" w:rsidTr="002E25C1">
        <w:trPr>
          <w:cantSplit/>
          <w:tblHeader/>
        </w:trPr>
        <w:tc>
          <w:tcPr>
            <w:tcW w:w="4530" w:type="dxa"/>
          </w:tcPr>
          <w:p w:rsidR="002E25C1" w:rsidRDefault="0032732D" w:rsidP="002E25C1">
            <w:pPr>
              <w:pStyle w:val="TableText"/>
              <w:rPr>
                <w:lang w:eastAsia="ja-JP"/>
              </w:rPr>
            </w:pPr>
            <w:r>
              <w:rPr>
                <w:lang w:eastAsia="ja-JP"/>
              </w:rPr>
              <w:t xml:space="preserve">5.6 </w:t>
            </w:r>
            <w:r w:rsidRPr="0060223F">
              <w:t>Vacuum lines and air outlets should, where necessary, be protected by high efficiency particulate air filters (HEPA) and liquid disinfectant traps.</w:t>
            </w:r>
          </w:p>
        </w:tc>
        <w:tc>
          <w:tcPr>
            <w:tcW w:w="4530" w:type="dxa"/>
          </w:tcPr>
          <w:p w:rsidR="002E25C1" w:rsidRDefault="0032732D" w:rsidP="002E25C1">
            <w:pPr>
              <w:pStyle w:val="TableText"/>
              <w:rPr>
                <w:lang w:eastAsia="ja-JP"/>
              </w:rPr>
            </w:pPr>
            <w:r>
              <w:rPr>
                <w:lang w:eastAsia="ja-JP"/>
              </w:rPr>
              <w:t>Minor</w:t>
            </w:r>
          </w:p>
        </w:tc>
      </w:tr>
    </w:tbl>
    <w:p w:rsidR="0032732D" w:rsidRDefault="0032732D" w:rsidP="0032732D">
      <w:pPr>
        <w:pStyle w:val="Caption"/>
        <w:spacing w:before="240"/>
      </w:pPr>
      <w:r>
        <w:lastRenderedPageBreak/>
        <w:t xml:space="preserve">Table </w:t>
      </w:r>
      <w:fldSimple w:instr=" SEQ Table \* ARABIC ">
        <w:r w:rsidR="006878B2">
          <w:rPr>
            <w:noProof/>
          </w:rPr>
          <w:t>6</w:t>
        </w:r>
      </w:fldSimple>
      <w:r>
        <w:t xml:space="preserve"> Office and record requirements</w:t>
      </w:r>
    </w:p>
    <w:tbl>
      <w:tblPr>
        <w:tblStyle w:val="TableGrid"/>
        <w:tblW w:w="0" w:type="auto"/>
        <w:tblLook w:val="04A0" w:firstRow="1" w:lastRow="0" w:firstColumn="1" w:lastColumn="0" w:noHBand="0" w:noVBand="1"/>
      </w:tblPr>
      <w:tblGrid>
        <w:gridCol w:w="4530"/>
        <w:gridCol w:w="4530"/>
      </w:tblGrid>
      <w:tr w:rsidR="0032732D" w:rsidTr="0032732D">
        <w:trPr>
          <w:cantSplit/>
          <w:tblHeader/>
        </w:trPr>
        <w:tc>
          <w:tcPr>
            <w:tcW w:w="4530" w:type="dxa"/>
          </w:tcPr>
          <w:p w:rsidR="0032732D" w:rsidRDefault="0032732D" w:rsidP="0032732D">
            <w:pPr>
              <w:pStyle w:val="TableHeading"/>
              <w:rPr>
                <w:lang w:eastAsia="ja-JP"/>
              </w:rPr>
            </w:pPr>
            <w:r>
              <w:rPr>
                <w:lang w:eastAsia="ja-JP"/>
              </w:rPr>
              <w:t>Requirements</w:t>
            </w:r>
          </w:p>
        </w:tc>
        <w:tc>
          <w:tcPr>
            <w:tcW w:w="4530" w:type="dxa"/>
          </w:tcPr>
          <w:p w:rsidR="0032732D" w:rsidRDefault="0032732D" w:rsidP="0032732D">
            <w:pPr>
              <w:pStyle w:val="TableHeading"/>
              <w:rPr>
                <w:lang w:eastAsia="ja-JP"/>
              </w:rPr>
            </w:pPr>
            <w:r>
              <w:rPr>
                <w:lang w:eastAsia="ja-JP"/>
              </w:rPr>
              <w:t>Nonconformity guide</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6.1 </w:t>
            </w:r>
            <w:r w:rsidRPr="0060223F">
              <w:t xml:space="preserve">Records are to be made available, within a reasonable time, for inspection by </w:t>
            </w:r>
            <w:r>
              <w:t>b</w:t>
            </w:r>
            <w:r w:rsidRPr="0060223F">
              <w:t xml:space="preserve">iosecurity </w:t>
            </w:r>
            <w:r>
              <w:t>o</w:t>
            </w:r>
            <w:r w:rsidRPr="0060223F">
              <w:t xml:space="preserve">fficers. In addition, these records must be retained at these sites for a minimum period of 18 months during which time they will, upon request, be made available to a </w:t>
            </w:r>
            <w:r>
              <w:t>b</w:t>
            </w:r>
            <w:r w:rsidRPr="0060223F">
              <w:t xml:space="preserve">iosecurity </w:t>
            </w:r>
            <w:r>
              <w:t>o</w:t>
            </w:r>
            <w:r w:rsidRPr="0060223F">
              <w:t>fficer.</w:t>
            </w:r>
          </w:p>
        </w:tc>
        <w:tc>
          <w:tcPr>
            <w:tcW w:w="4530" w:type="dxa"/>
          </w:tcPr>
          <w:p w:rsidR="0032732D" w:rsidRDefault="0032732D" w:rsidP="0032732D">
            <w:pPr>
              <w:pStyle w:val="TableText"/>
              <w:rPr>
                <w:lang w:eastAsia="ja-JP"/>
              </w:rPr>
            </w:pPr>
            <w:r>
              <w:rPr>
                <w:lang w:eastAsia="ja-JP"/>
              </w:rPr>
              <w:t>Critical</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6.2 </w:t>
            </w:r>
            <w:r w:rsidRPr="0060223F">
              <w:t>Records of goods subject to biosecurity control imported through the site must be maintained.</w:t>
            </w:r>
          </w:p>
        </w:tc>
        <w:tc>
          <w:tcPr>
            <w:tcW w:w="4530" w:type="dxa"/>
          </w:tcPr>
          <w:p w:rsidR="0032732D" w:rsidRDefault="0032732D" w:rsidP="0032732D">
            <w:pPr>
              <w:pStyle w:val="TableText"/>
              <w:rPr>
                <w:lang w:eastAsia="ja-JP"/>
              </w:rPr>
            </w:pPr>
            <w:r>
              <w:rPr>
                <w:lang w:eastAsia="ja-JP"/>
              </w:rPr>
              <w:t>Critical</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6.3 </w:t>
            </w:r>
            <w:r w:rsidRPr="0060223F">
              <w:t>Records for each consignment of goods must include: biosecurity entry number, Import Permit number (if applicable), name and address of importer, date of arrival, country of origin, details of any treatments, method of waste disposal, and date of waste disposal/destruction.</w:t>
            </w:r>
          </w:p>
        </w:tc>
        <w:tc>
          <w:tcPr>
            <w:tcW w:w="4530" w:type="dxa"/>
          </w:tcPr>
          <w:p w:rsidR="0032732D" w:rsidRDefault="0032732D" w:rsidP="0032732D">
            <w:pPr>
              <w:pStyle w:val="TableText"/>
              <w:rPr>
                <w:lang w:eastAsia="ja-JP"/>
              </w:rPr>
            </w:pPr>
            <w:r>
              <w:rPr>
                <w:lang w:eastAsia="ja-JP"/>
              </w:rPr>
              <w:t>Critical</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6.4 </w:t>
            </w:r>
            <w:r w:rsidRPr="0060223F">
              <w:t>A log book is to be kept, with importations, births (or hatchings), deaths, destructions and transfers.</w:t>
            </w:r>
          </w:p>
        </w:tc>
        <w:tc>
          <w:tcPr>
            <w:tcW w:w="4530" w:type="dxa"/>
          </w:tcPr>
          <w:p w:rsidR="0032732D" w:rsidRDefault="0032732D" w:rsidP="0032732D">
            <w:pPr>
              <w:pStyle w:val="TableText"/>
              <w:rPr>
                <w:lang w:eastAsia="ja-JP"/>
              </w:rPr>
            </w:pPr>
            <w:r>
              <w:rPr>
                <w:lang w:eastAsia="ja-JP"/>
              </w:rPr>
              <w:t>Critical</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6.5 </w:t>
            </w:r>
            <w:r w:rsidRPr="0060223F">
              <w:t>Details of post mortem results and other test results must also be available.</w:t>
            </w:r>
          </w:p>
        </w:tc>
        <w:tc>
          <w:tcPr>
            <w:tcW w:w="4530" w:type="dxa"/>
          </w:tcPr>
          <w:p w:rsidR="0032732D" w:rsidRDefault="0032732D" w:rsidP="0032732D">
            <w:pPr>
              <w:pStyle w:val="TableText"/>
              <w:rPr>
                <w:lang w:eastAsia="ja-JP"/>
              </w:rPr>
            </w:pPr>
            <w:r>
              <w:rPr>
                <w:lang w:eastAsia="ja-JP"/>
              </w:rPr>
              <w:t>Critical</w:t>
            </w:r>
          </w:p>
        </w:tc>
      </w:tr>
      <w:tr w:rsidR="0032732D" w:rsidTr="0032732D">
        <w:trPr>
          <w:cantSplit/>
          <w:tblHeader/>
        </w:trPr>
        <w:tc>
          <w:tcPr>
            <w:tcW w:w="4530" w:type="dxa"/>
          </w:tcPr>
          <w:p w:rsidR="0032732D" w:rsidRDefault="0032732D" w:rsidP="0032732D">
            <w:pPr>
              <w:pStyle w:val="TableText"/>
            </w:pPr>
            <w:r>
              <w:rPr>
                <w:lang w:eastAsia="ja-JP"/>
              </w:rPr>
              <w:t xml:space="preserve">6.6 </w:t>
            </w:r>
            <w:r>
              <w:t>Office and general site requirements must provide the department with the confidence that applicable work health and safety standards have been met, this is achieved by:</w:t>
            </w:r>
          </w:p>
          <w:p w:rsidR="0032732D" w:rsidRDefault="0032732D" w:rsidP="0032732D">
            <w:pPr>
              <w:pStyle w:val="TableBullet"/>
            </w:pPr>
            <w:r>
              <w:t>providing a first aid cabinet/kit which is fully stocked and meets the minimum commercial Australian Standard (AS2675-1983: Portable first aid kits for use by consumers)</w:t>
            </w:r>
          </w:p>
          <w:p w:rsidR="0032732D" w:rsidRDefault="0032732D" w:rsidP="0032732D">
            <w:pPr>
              <w:pStyle w:val="TableBullet"/>
            </w:pPr>
            <w:r>
              <w:t>providing vehicle parking for visiting biosecurity officers (note: this may require department identified parking or providing a parking permit)</w:t>
            </w:r>
          </w:p>
          <w:p w:rsidR="0032732D" w:rsidRDefault="0032732D" w:rsidP="0032732D">
            <w:pPr>
              <w:pStyle w:val="TableBullet"/>
            </w:pPr>
            <w:r>
              <w:t>ensuring adequate security for any departmental technical equipment left on the premises</w:t>
            </w:r>
          </w:p>
          <w:p w:rsidR="0032732D" w:rsidRDefault="0032732D" w:rsidP="0032732D">
            <w:pPr>
              <w:pStyle w:val="TableBullet"/>
            </w:pPr>
            <w:r>
              <w:t>providing access and the availability of:</w:t>
            </w:r>
          </w:p>
          <w:p w:rsidR="0032732D" w:rsidRDefault="0032732D" w:rsidP="0032732D">
            <w:pPr>
              <w:pStyle w:val="Tablebullet2"/>
            </w:pPr>
            <w:r>
              <w:t>a desk, chair and a telephone with direct outside call access</w:t>
            </w:r>
          </w:p>
          <w:p w:rsidR="0032732D" w:rsidRDefault="0032732D" w:rsidP="0032732D">
            <w:pPr>
              <w:pStyle w:val="Tablebullet2"/>
            </w:pPr>
            <w:r>
              <w:t>toilet facilities</w:t>
            </w:r>
          </w:p>
          <w:p w:rsidR="0032732D" w:rsidRDefault="0032732D" w:rsidP="0032732D">
            <w:pPr>
              <w:pStyle w:val="Tablebullet2"/>
            </w:pPr>
            <w:r>
              <w:t>hand washing facilities and a hygienic means of drying hands</w:t>
            </w:r>
          </w:p>
          <w:p w:rsidR="0032732D" w:rsidRDefault="0032732D" w:rsidP="0032732D">
            <w:pPr>
              <w:pStyle w:val="Tablebullet2"/>
              <w:rPr>
                <w:lang w:eastAsia="ja-JP"/>
              </w:rPr>
            </w:pPr>
            <w:proofErr w:type="gramStart"/>
            <w:r>
              <w:t>suitable</w:t>
            </w:r>
            <w:proofErr w:type="gramEnd"/>
            <w:r>
              <w:t xml:space="preserve"> arrangements to ensure amenities are clean.</w:t>
            </w:r>
          </w:p>
        </w:tc>
        <w:tc>
          <w:tcPr>
            <w:tcW w:w="4530" w:type="dxa"/>
          </w:tcPr>
          <w:p w:rsidR="0032732D" w:rsidRDefault="0032732D" w:rsidP="0032732D">
            <w:pPr>
              <w:pStyle w:val="TableText"/>
              <w:rPr>
                <w:lang w:eastAsia="ja-JP"/>
              </w:rPr>
            </w:pPr>
            <w:r>
              <w:rPr>
                <w:lang w:eastAsia="ja-JP"/>
              </w:rPr>
              <w:t>Minor</w:t>
            </w:r>
          </w:p>
        </w:tc>
      </w:tr>
    </w:tbl>
    <w:p w:rsidR="0032732D" w:rsidRDefault="0032732D" w:rsidP="0032732D">
      <w:pPr>
        <w:pStyle w:val="Caption"/>
        <w:spacing w:before="240"/>
      </w:pPr>
      <w:r>
        <w:t xml:space="preserve">Table </w:t>
      </w:r>
      <w:fldSimple w:instr=" SEQ Table \* ARABIC ">
        <w:r w:rsidR="006878B2">
          <w:rPr>
            <w:noProof/>
          </w:rPr>
          <w:t>7</w:t>
        </w:r>
      </w:fldSimple>
      <w:r>
        <w:t xml:space="preserve"> Administration</w:t>
      </w:r>
    </w:p>
    <w:tbl>
      <w:tblPr>
        <w:tblStyle w:val="TableGrid"/>
        <w:tblW w:w="0" w:type="auto"/>
        <w:tblLook w:val="04A0" w:firstRow="1" w:lastRow="0" w:firstColumn="1" w:lastColumn="0" w:noHBand="0" w:noVBand="1"/>
      </w:tblPr>
      <w:tblGrid>
        <w:gridCol w:w="4530"/>
        <w:gridCol w:w="4530"/>
      </w:tblGrid>
      <w:tr w:rsidR="0032732D" w:rsidTr="0032732D">
        <w:trPr>
          <w:cantSplit/>
          <w:tblHeader/>
        </w:trPr>
        <w:tc>
          <w:tcPr>
            <w:tcW w:w="4530" w:type="dxa"/>
          </w:tcPr>
          <w:p w:rsidR="0032732D" w:rsidRDefault="0032732D" w:rsidP="0032732D">
            <w:pPr>
              <w:pStyle w:val="TableHeading"/>
              <w:rPr>
                <w:lang w:eastAsia="ja-JP"/>
              </w:rPr>
            </w:pPr>
            <w:r>
              <w:rPr>
                <w:lang w:eastAsia="ja-JP"/>
              </w:rPr>
              <w:t>Requirements</w:t>
            </w:r>
          </w:p>
        </w:tc>
        <w:tc>
          <w:tcPr>
            <w:tcW w:w="4530" w:type="dxa"/>
          </w:tcPr>
          <w:p w:rsidR="0032732D" w:rsidRDefault="0032732D" w:rsidP="0032732D">
            <w:pPr>
              <w:pStyle w:val="TableHeading"/>
              <w:rPr>
                <w:lang w:eastAsia="ja-JP"/>
              </w:rPr>
            </w:pPr>
            <w:r>
              <w:rPr>
                <w:lang w:eastAsia="ja-JP"/>
              </w:rPr>
              <w:t>Nonconformity guide</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7.1 </w:t>
            </w:r>
            <w:r w:rsidRPr="0060223F">
              <w:t xml:space="preserve">Sites must be securely locked when unattended and </w:t>
            </w:r>
            <w:r>
              <w:t>after-hours</w:t>
            </w:r>
            <w:r w:rsidRPr="0060223F">
              <w:t xml:space="preserve"> access to the site must be limited to authorised persons only.</w:t>
            </w:r>
          </w:p>
        </w:tc>
        <w:tc>
          <w:tcPr>
            <w:tcW w:w="4530" w:type="dxa"/>
          </w:tcPr>
          <w:p w:rsidR="0032732D" w:rsidRDefault="0032732D" w:rsidP="0032732D">
            <w:pPr>
              <w:pStyle w:val="TableText"/>
              <w:rPr>
                <w:lang w:eastAsia="ja-JP"/>
              </w:rPr>
            </w:pPr>
            <w:r>
              <w:rPr>
                <w:lang w:eastAsia="ja-JP"/>
              </w:rPr>
              <w:t>Major or critical</w:t>
            </w:r>
          </w:p>
        </w:tc>
      </w:tr>
    </w:tbl>
    <w:p w:rsidR="0032732D" w:rsidRDefault="0032732D" w:rsidP="0032732D">
      <w:pPr>
        <w:pStyle w:val="Caption"/>
        <w:spacing w:before="240"/>
      </w:pPr>
      <w:r>
        <w:lastRenderedPageBreak/>
        <w:t xml:space="preserve">Table </w:t>
      </w:r>
      <w:fldSimple w:instr=" SEQ Table \* ARABIC ">
        <w:r w:rsidR="006878B2">
          <w:rPr>
            <w:noProof/>
          </w:rPr>
          <w:t>8</w:t>
        </w:r>
      </w:fldSimple>
      <w:r>
        <w:t>A General</w:t>
      </w:r>
    </w:p>
    <w:tbl>
      <w:tblPr>
        <w:tblStyle w:val="TableGrid"/>
        <w:tblW w:w="0" w:type="auto"/>
        <w:tblLook w:val="04A0" w:firstRow="1" w:lastRow="0" w:firstColumn="1" w:lastColumn="0" w:noHBand="0" w:noVBand="1"/>
      </w:tblPr>
      <w:tblGrid>
        <w:gridCol w:w="4530"/>
        <w:gridCol w:w="4530"/>
      </w:tblGrid>
      <w:tr w:rsidR="0032732D" w:rsidTr="0032732D">
        <w:trPr>
          <w:cantSplit/>
          <w:tblHeader/>
        </w:trPr>
        <w:tc>
          <w:tcPr>
            <w:tcW w:w="4530" w:type="dxa"/>
          </w:tcPr>
          <w:p w:rsidR="0032732D" w:rsidRDefault="0032732D" w:rsidP="0032732D">
            <w:pPr>
              <w:pStyle w:val="TableHeading"/>
              <w:rPr>
                <w:lang w:eastAsia="ja-JP"/>
              </w:rPr>
            </w:pPr>
            <w:r>
              <w:rPr>
                <w:lang w:eastAsia="ja-JP"/>
              </w:rPr>
              <w:t>Requirements</w:t>
            </w:r>
          </w:p>
        </w:tc>
        <w:tc>
          <w:tcPr>
            <w:tcW w:w="4530" w:type="dxa"/>
          </w:tcPr>
          <w:p w:rsidR="0032732D" w:rsidRDefault="0032732D" w:rsidP="0032732D">
            <w:pPr>
              <w:pStyle w:val="TableHeading"/>
              <w:rPr>
                <w:lang w:eastAsia="ja-JP"/>
              </w:rPr>
            </w:pPr>
            <w:r>
              <w:rPr>
                <w:lang w:eastAsia="ja-JP"/>
              </w:rPr>
              <w:t>Nonconformity guide</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8.1 </w:t>
            </w:r>
            <w:r w:rsidRPr="0060223F">
              <w:t>Goods subject to biosecurity control must be maintained and processed at an AA site appropriate for the biosecurity risk associated with the items.</w:t>
            </w:r>
          </w:p>
        </w:tc>
        <w:tc>
          <w:tcPr>
            <w:tcW w:w="4530" w:type="dxa"/>
          </w:tcPr>
          <w:p w:rsidR="0032732D" w:rsidRDefault="0032732D" w:rsidP="0032732D">
            <w:pPr>
              <w:pStyle w:val="TableText"/>
              <w:rPr>
                <w:lang w:eastAsia="ja-JP"/>
              </w:rPr>
            </w:pPr>
            <w:r>
              <w:rPr>
                <w:lang w:eastAsia="ja-JP"/>
              </w:rPr>
              <w:t>Major or critical</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8.2 </w:t>
            </w:r>
            <w:r w:rsidRPr="0060223F">
              <w:t>Goods subject to biosecurity control must be maintained and processed in accordance with the requirements of the relevant AA class.</w:t>
            </w:r>
          </w:p>
        </w:tc>
        <w:tc>
          <w:tcPr>
            <w:tcW w:w="4530" w:type="dxa"/>
          </w:tcPr>
          <w:p w:rsidR="0032732D" w:rsidRDefault="0032732D" w:rsidP="0032732D">
            <w:pPr>
              <w:pStyle w:val="TableText"/>
              <w:rPr>
                <w:lang w:eastAsia="ja-JP"/>
              </w:rPr>
            </w:pPr>
            <w:r>
              <w:rPr>
                <w:lang w:eastAsia="ja-JP"/>
              </w:rPr>
              <w:t>Minor, major or critical</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8.3 </w:t>
            </w:r>
            <w:r w:rsidRPr="0060223F">
              <w:t>Goods subject to biosecurity control must be maintained and processed in accordance with import conditions specified in the department's Biosecurity Import Conditions Database (BICON).</w:t>
            </w:r>
          </w:p>
        </w:tc>
        <w:tc>
          <w:tcPr>
            <w:tcW w:w="4530" w:type="dxa"/>
          </w:tcPr>
          <w:p w:rsidR="0032732D" w:rsidRDefault="0032732D" w:rsidP="0032732D">
            <w:pPr>
              <w:pStyle w:val="TableText"/>
              <w:rPr>
                <w:lang w:eastAsia="ja-JP"/>
              </w:rPr>
            </w:pPr>
            <w:r>
              <w:rPr>
                <w:lang w:eastAsia="ja-JP"/>
              </w:rPr>
              <w:t>Minor, major or critical</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8.4 </w:t>
            </w:r>
            <w:r w:rsidRPr="0060223F">
              <w:t>Goods subject to biosecurity control must be maintained and processed in accordance with an Import Permit.</w:t>
            </w:r>
          </w:p>
        </w:tc>
        <w:tc>
          <w:tcPr>
            <w:tcW w:w="4530" w:type="dxa"/>
          </w:tcPr>
          <w:p w:rsidR="0032732D" w:rsidRDefault="0032732D" w:rsidP="0032732D">
            <w:pPr>
              <w:pStyle w:val="TableText"/>
              <w:rPr>
                <w:lang w:eastAsia="ja-JP"/>
              </w:rPr>
            </w:pPr>
            <w:r>
              <w:rPr>
                <w:lang w:eastAsia="ja-JP"/>
              </w:rPr>
              <w:t>Minor, major or critical</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8.5 </w:t>
            </w:r>
            <w:r w:rsidRPr="0060223F">
              <w:t>Goods subject to biosecurity control must be maintained and processed in accordance with any other direction from the department.</w:t>
            </w:r>
          </w:p>
        </w:tc>
        <w:tc>
          <w:tcPr>
            <w:tcW w:w="4530" w:type="dxa"/>
          </w:tcPr>
          <w:p w:rsidR="0032732D" w:rsidRDefault="0032732D" w:rsidP="0032732D">
            <w:pPr>
              <w:pStyle w:val="TableText"/>
              <w:rPr>
                <w:lang w:eastAsia="ja-JP"/>
              </w:rPr>
            </w:pPr>
            <w:r>
              <w:rPr>
                <w:lang w:eastAsia="ja-JP"/>
              </w:rPr>
              <w:t>Minor, major or critical</w:t>
            </w:r>
          </w:p>
        </w:tc>
      </w:tr>
      <w:tr w:rsidR="0032732D" w:rsidTr="0032732D">
        <w:trPr>
          <w:cantSplit/>
          <w:tblHeader/>
        </w:trPr>
        <w:tc>
          <w:tcPr>
            <w:tcW w:w="4530" w:type="dxa"/>
          </w:tcPr>
          <w:p w:rsidR="0032732D" w:rsidRPr="0032732D" w:rsidRDefault="0032732D" w:rsidP="0032732D">
            <w:pPr>
              <w:pStyle w:val="TableText"/>
              <w:rPr>
                <w:b/>
                <w:lang w:eastAsia="ja-JP"/>
              </w:rPr>
            </w:pPr>
            <w:r>
              <w:rPr>
                <w:lang w:eastAsia="ja-JP"/>
              </w:rPr>
              <w:t xml:space="preserve">8.6 </w:t>
            </w:r>
            <w:r w:rsidRPr="0060223F">
              <w:t xml:space="preserve">Goods subject to biosecurity control must be maintained and processed in accordance with the </w:t>
            </w:r>
            <w:r w:rsidRPr="0032732D">
              <w:rPr>
                <w:rStyle w:val="Emphasis"/>
              </w:rPr>
              <w:t>Biosecurity Act 2015</w:t>
            </w:r>
            <w:r w:rsidRPr="0060223F">
              <w:t xml:space="preserve"> and subordinate legislation.</w:t>
            </w:r>
          </w:p>
        </w:tc>
        <w:tc>
          <w:tcPr>
            <w:tcW w:w="4530" w:type="dxa"/>
          </w:tcPr>
          <w:p w:rsidR="0032732D" w:rsidRDefault="0032732D" w:rsidP="0032732D">
            <w:pPr>
              <w:pStyle w:val="TableText"/>
              <w:rPr>
                <w:lang w:eastAsia="ja-JP"/>
              </w:rPr>
            </w:pPr>
            <w:r>
              <w:rPr>
                <w:lang w:eastAsia="ja-JP"/>
              </w:rPr>
              <w:t>Major or critical</w:t>
            </w:r>
          </w:p>
        </w:tc>
      </w:tr>
      <w:tr w:rsidR="0032732D" w:rsidTr="0032732D">
        <w:trPr>
          <w:cantSplit/>
          <w:tblHeader/>
        </w:trPr>
        <w:tc>
          <w:tcPr>
            <w:tcW w:w="4530" w:type="dxa"/>
          </w:tcPr>
          <w:p w:rsidR="0032732D" w:rsidRDefault="0032732D" w:rsidP="0032732D">
            <w:pPr>
              <w:pStyle w:val="TableText"/>
            </w:pPr>
            <w:r>
              <w:rPr>
                <w:lang w:eastAsia="ja-JP"/>
              </w:rPr>
              <w:t xml:space="preserve">8.7 </w:t>
            </w:r>
            <w:r>
              <w:t>Goods subject to biosecurity control must be kept physically separated from other goods (including during transport), to ensure negligible risk of cross contamination to:</w:t>
            </w:r>
          </w:p>
          <w:p w:rsidR="0032732D" w:rsidRDefault="0032732D" w:rsidP="0032732D">
            <w:pPr>
              <w:pStyle w:val="TableBullet"/>
            </w:pPr>
            <w:r>
              <w:t>imported items that have been released from biosecurity control</w:t>
            </w:r>
          </w:p>
          <w:p w:rsidR="0032732D" w:rsidRDefault="0032732D" w:rsidP="0032732D">
            <w:pPr>
              <w:pStyle w:val="TableBullet"/>
            </w:pPr>
            <w:r>
              <w:t>domestic items</w:t>
            </w:r>
          </w:p>
          <w:p w:rsidR="0032732D" w:rsidRDefault="0032732D" w:rsidP="0032732D">
            <w:pPr>
              <w:pStyle w:val="TableBullet"/>
            </w:pPr>
            <w:proofErr w:type="gramStart"/>
            <w:r>
              <w:t>the</w:t>
            </w:r>
            <w:proofErr w:type="gramEnd"/>
            <w:r>
              <w:t xml:space="preserve"> Australian environment.</w:t>
            </w:r>
          </w:p>
          <w:p w:rsidR="0032732D" w:rsidRDefault="0032732D" w:rsidP="0032732D">
            <w:pPr>
              <w:pStyle w:val="TableText"/>
              <w:rPr>
                <w:lang w:eastAsia="ja-JP"/>
              </w:rPr>
            </w:pPr>
            <w:r w:rsidRPr="002E25C1">
              <w:rPr>
                <w:rStyle w:val="Emphasis"/>
                <w:i w:val="0"/>
              </w:rPr>
              <w:t>Note</w:t>
            </w:r>
            <w:r w:rsidRPr="002E25C1">
              <w:rPr>
                <w:i/>
              </w:rPr>
              <w:t>:</w:t>
            </w:r>
            <w:r>
              <w:t xml:space="preserve"> Isolation can be achieved through the use of distance or physical barriers. The amount of distance or type of physical barrier required will depend on the nature of the goods subject to biosecurity control.</w:t>
            </w:r>
          </w:p>
        </w:tc>
        <w:tc>
          <w:tcPr>
            <w:tcW w:w="4530" w:type="dxa"/>
          </w:tcPr>
          <w:p w:rsidR="0032732D" w:rsidRDefault="0032732D" w:rsidP="0032732D">
            <w:pPr>
              <w:pStyle w:val="TableText"/>
              <w:rPr>
                <w:lang w:eastAsia="ja-JP"/>
              </w:rPr>
            </w:pPr>
            <w:r>
              <w:rPr>
                <w:lang w:eastAsia="ja-JP"/>
              </w:rPr>
              <w:t>Major or critical</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8.8 </w:t>
            </w:r>
            <w:r w:rsidRPr="0060223F">
              <w:t>The standard of hygiene at the AA site must be appropriate for the nature of the goods subject to biosecurity control.</w:t>
            </w:r>
          </w:p>
        </w:tc>
        <w:tc>
          <w:tcPr>
            <w:tcW w:w="4530" w:type="dxa"/>
          </w:tcPr>
          <w:p w:rsidR="0032732D" w:rsidRDefault="0032732D" w:rsidP="0032732D">
            <w:pPr>
              <w:pStyle w:val="TableText"/>
              <w:rPr>
                <w:lang w:eastAsia="ja-JP"/>
              </w:rPr>
            </w:pPr>
            <w:r>
              <w:rPr>
                <w:lang w:eastAsia="ja-JP"/>
              </w:rPr>
              <w:t>Major or critical</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8.9 </w:t>
            </w:r>
            <w:r w:rsidRPr="0060223F">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tc>
        <w:tc>
          <w:tcPr>
            <w:tcW w:w="4530" w:type="dxa"/>
          </w:tcPr>
          <w:p w:rsidR="0032732D" w:rsidRDefault="0032732D" w:rsidP="0032732D">
            <w:pPr>
              <w:pStyle w:val="TableText"/>
              <w:rPr>
                <w:lang w:eastAsia="ja-JP"/>
              </w:rPr>
            </w:pPr>
            <w:r>
              <w:rPr>
                <w:lang w:eastAsia="ja-JP"/>
              </w:rPr>
              <w:t>Major or critical</w:t>
            </w:r>
          </w:p>
        </w:tc>
      </w:tr>
    </w:tbl>
    <w:p w:rsidR="0032732D" w:rsidRDefault="0032732D" w:rsidP="0032732D">
      <w:pPr>
        <w:pStyle w:val="Caption"/>
        <w:spacing w:before="240"/>
      </w:pPr>
      <w:r>
        <w:lastRenderedPageBreak/>
        <w:t>Table 8B General (continued)</w:t>
      </w:r>
    </w:p>
    <w:tbl>
      <w:tblPr>
        <w:tblStyle w:val="TableGrid"/>
        <w:tblW w:w="0" w:type="auto"/>
        <w:tblLook w:val="04A0" w:firstRow="1" w:lastRow="0" w:firstColumn="1" w:lastColumn="0" w:noHBand="0" w:noVBand="1"/>
      </w:tblPr>
      <w:tblGrid>
        <w:gridCol w:w="4530"/>
        <w:gridCol w:w="4530"/>
      </w:tblGrid>
      <w:tr w:rsidR="0032732D" w:rsidTr="0032732D">
        <w:trPr>
          <w:cantSplit/>
          <w:tblHeader/>
        </w:trPr>
        <w:tc>
          <w:tcPr>
            <w:tcW w:w="4530" w:type="dxa"/>
          </w:tcPr>
          <w:p w:rsidR="0032732D" w:rsidRDefault="0032732D" w:rsidP="0032732D">
            <w:pPr>
              <w:pStyle w:val="TableHeading"/>
              <w:rPr>
                <w:lang w:eastAsia="ja-JP"/>
              </w:rPr>
            </w:pPr>
            <w:r>
              <w:rPr>
                <w:lang w:eastAsia="ja-JP"/>
              </w:rPr>
              <w:t>Requirements</w:t>
            </w:r>
          </w:p>
        </w:tc>
        <w:tc>
          <w:tcPr>
            <w:tcW w:w="4530" w:type="dxa"/>
          </w:tcPr>
          <w:p w:rsidR="0032732D" w:rsidRDefault="0032732D" w:rsidP="0032732D">
            <w:pPr>
              <w:pStyle w:val="TableHeading"/>
              <w:rPr>
                <w:lang w:eastAsia="ja-JP"/>
              </w:rPr>
            </w:pPr>
            <w:r>
              <w:rPr>
                <w:lang w:eastAsia="ja-JP"/>
              </w:rPr>
              <w:t>Nonconformity guide</w:t>
            </w:r>
          </w:p>
        </w:tc>
      </w:tr>
      <w:tr w:rsidR="0032732D" w:rsidTr="0032732D">
        <w:trPr>
          <w:cantSplit/>
          <w:tblHeader/>
        </w:trPr>
        <w:tc>
          <w:tcPr>
            <w:tcW w:w="4530" w:type="dxa"/>
          </w:tcPr>
          <w:p w:rsidR="0032732D" w:rsidRDefault="0032732D" w:rsidP="0032732D">
            <w:pPr>
              <w:pStyle w:val="TableText"/>
            </w:pPr>
            <w:r>
              <w:rPr>
                <w:lang w:eastAsia="ja-JP"/>
              </w:rPr>
              <w:t xml:space="preserve">8.10 </w:t>
            </w:r>
            <w:r>
              <w:t>Goods subject to biosecurity control are not permitted to be moved outside an AA site except for the purpose of:</w:t>
            </w:r>
          </w:p>
          <w:p w:rsidR="0032732D" w:rsidRDefault="0032732D" w:rsidP="0032732D">
            <w:pPr>
              <w:pStyle w:val="TableBullet"/>
            </w:pPr>
            <w:r>
              <w:t>moving directly and securely to another AA site, of the appropriate AA class, with prior written approval from the department</w:t>
            </w:r>
          </w:p>
        </w:tc>
        <w:tc>
          <w:tcPr>
            <w:tcW w:w="4530" w:type="dxa"/>
          </w:tcPr>
          <w:p w:rsidR="0032732D" w:rsidRDefault="0032732D" w:rsidP="0032732D">
            <w:pPr>
              <w:pStyle w:val="TableText"/>
              <w:rPr>
                <w:lang w:eastAsia="ja-JP"/>
              </w:rPr>
            </w:pPr>
            <w:r>
              <w:rPr>
                <w:lang w:eastAsia="ja-JP"/>
              </w:rPr>
              <w:t>Critical</w:t>
            </w:r>
          </w:p>
        </w:tc>
      </w:tr>
      <w:tr w:rsidR="0032732D" w:rsidTr="0032732D">
        <w:trPr>
          <w:cantSplit/>
          <w:tblHeader/>
        </w:trPr>
        <w:tc>
          <w:tcPr>
            <w:tcW w:w="4530" w:type="dxa"/>
          </w:tcPr>
          <w:p w:rsidR="0032732D" w:rsidRDefault="0032732D" w:rsidP="0032732D">
            <w:pPr>
              <w:pStyle w:val="TableBullet"/>
            </w:pPr>
            <w:r>
              <w:t>moving directly and securely to an AA site of the same class (or of the same class but a higher biosecurity containment level sub-class) that is co-located with the original AA site</w:t>
            </w:r>
          </w:p>
        </w:tc>
        <w:tc>
          <w:tcPr>
            <w:tcW w:w="4530" w:type="dxa"/>
          </w:tcPr>
          <w:p w:rsidR="0032732D" w:rsidRDefault="0032732D" w:rsidP="0032732D">
            <w:pPr>
              <w:pStyle w:val="TableText"/>
              <w:rPr>
                <w:lang w:eastAsia="ja-JP"/>
              </w:rPr>
            </w:pPr>
          </w:p>
        </w:tc>
      </w:tr>
      <w:tr w:rsidR="0032732D" w:rsidTr="0032732D">
        <w:trPr>
          <w:cantSplit/>
          <w:tblHeader/>
        </w:trPr>
        <w:tc>
          <w:tcPr>
            <w:tcW w:w="4530" w:type="dxa"/>
          </w:tcPr>
          <w:p w:rsidR="0032732D" w:rsidRDefault="0032732D" w:rsidP="0032732D">
            <w:pPr>
              <w:pStyle w:val="TableBullet"/>
            </w:pPr>
            <w:proofErr w:type="gramStart"/>
            <w:r>
              <w:t>transport</w:t>
            </w:r>
            <w:proofErr w:type="gramEnd"/>
            <w:r>
              <w:t xml:space="preserve"> of biosecurity waste by a department approved waste transport company (operating under an AA for biosecurity waste transport).</w:t>
            </w:r>
          </w:p>
          <w:p w:rsidR="0032732D" w:rsidRDefault="0032732D" w:rsidP="0032732D">
            <w:pPr>
              <w:pStyle w:val="TableText"/>
              <w:rPr>
                <w:lang w:eastAsia="ja-JP"/>
              </w:rPr>
            </w:pPr>
            <w:r>
              <w:t>If the items are being transported by a non-accredited person (such as a truck driver), the forwarding biosecurity industry participant must ensure that this person is made aware of the conditions relating to the transport of the items.</w:t>
            </w:r>
          </w:p>
        </w:tc>
        <w:tc>
          <w:tcPr>
            <w:tcW w:w="4530" w:type="dxa"/>
          </w:tcPr>
          <w:p w:rsidR="0032732D" w:rsidRDefault="0032732D" w:rsidP="0032732D">
            <w:pPr>
              <w:pStyle w:val="TableText"/>
              <w:rPr>
                <w:lang w:eastAsia="ja-JP"/>
              </w:rPr>
            </w:pPr>
            <w:r>
              <w:rPr>
                <w:lang w:eastAsia="ja-JP"/>
              </w:rPr>
              <w:t>Major</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8.11 </w:t>
            </w:r>
            <w:r w:rsidRPr="00D71810">
              <w:t>Goods subject to biosecurity control are not permitted to leave the biosecurity area of an AA site, inadvertently or deliberately, without prior written direction or approval from the department.</w:t>
            </w:r>
          </w:p>
        </w:tc>
        <w:tc>
          <w:tcPr>
            <w:tcW w:w="4530" w:type="dxa"/>
          </w:tcPr>
          <w:p w:rsidR="0032732D" w:rsidRDefault="0032732D" w:rsidP="0032732D">
            <w:pPr>
              <w:pStyle w:val="TableText"/>
              <w:rPr>
                <w:lang w:eastAsia="ja-JP"/>
              </w:rPr>
            </w:pPr>
            <w:r>
              <w:rPr>
                <w:lang w:eastAsia="ja-JP"/>
              </w:rPr>
              <w:t>Critical</w:t>
            </w:r>
          </w:p>
        </w:tc>
      </w:tr>
      <w:tr w:rsidR="0032732D" w:rsidTr="0032732D">
        <w:trPr>
          <w:cantSplit/>
          <w:tblHeader/>
        </w:trPr>
        <w:tc>
          <w:tcPr>
            <w:tcW w:w="4530" w:type="dxa"/>
          </w:tcPr>
          <w:p w:rsidR="0032732D" w:rsidRDefault="0032732D" w:rsidP="0032732D">
            <w:pPr>
              <w:pStyle w:val="TableText"/>
            </w:pPr>
            <w:r>
              <w:rPr>
                <w:lang w:eastAsia="ja-JP"/>
              </w:rPr>
              <w:t xml:space="preserve">8.12 </w:t>
            </w:r>
            <w:r>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rsidR="0032732D" w:rsidRDefault="0032732D" w:rsidP="0032732D">
            <w:pPr>
              <w:pStyle w:val="TableBullet"/>
            </w:pPr>
            <w:r>
              <w:t>visually verify for themselves that the items are being handled in accordance with the department's requirements</w:t>
            </w:r>
          </w:p>
          <w:p w:rsidR="0032732D" w:rsidRDefault="0032732D" w:rsidP="0032732D">
            <w:pPr>
              <w:pStyle w:val="TableBullet"/>
              <w:rPr>
                <w:lang w:eastAsia="ja-JP"/>
              </w:rPr>
            </w:pPr>
            <w:proofErr w:type="gramStart"/>
            <w:r>
              <w:t>communicate</w:t>
            </w:r>
            <w:proofErr w:type="gramEnd"/>
            <w:r>
              <w:t xml:space="preserve"> immediately and effectively with the persons being supervised.</w:t>
            </w:r>
          </w:p>
        </w:tc>
        <w:tc>
          <w:tcPr>
            <w:tcW w:w="4530" w:type="dxa"/>
          </w:tcPr>
          <w:p w:rsidR="0032732D" w:rsidRDefault="0032732D" w:rsidP="0032732D">
            <w:pPr>
              <w:pStyle w:val="TableText"/>
              <w:rPr>
                <w:lang w:eastAsia="ja-JP"/>
              </w:rPr>
            </w:pPr>
            <w:r>
              <w:rPr>
                <w:lang w:eastAsia="ja-JP"/>
              </w:rPr>
              <w:t>Major</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8.13 </w:t>
            </w:r>
            <w:r w:rsidRPr="00D71810">
              <w:t xml:space="preserve">Persons performing the function of an </w:t>
            </w:r>
            <w:r>
              <w:t>a</w:t>
            </w:r>
            <w:r w:rsidRPr="00D71810">
              <w:t xml:space="preserve">ccredited </w:t>
            </w:r>
            <w:r>
              <w:t>p</w:t>
            </w:r>
            <w:r w:rsidRPr="00D71810">
              <w:t xml:space="preserve">erson must have successfully completed the department's approved training to obtain and maintain </w:t>
            </w:r>
            <w:r>
              <w:t>a</w:t>
            </w:r>
            <w:r w:rsidRPr="00D71810">
              <w:t xml:space="preserve">ccredited </w:t>
            </w:r>
            <w:r>
              <w:t>p</w:t>
            </w:r>
            <w:r w:rsidRPr="00D71810">
              <w:t>erson status.</w:t>
            </w:r>
          </w:p>
        </w:tc>
        <w:tc>
          <w:tcPr>
            <w:tcW w:w="4530" w:type="dxa"/>
          </w:tcPr>
          <w:p w:rsidR="0032732D" w:rsidRDefault="0032732D" w:rsidP="0032732D">
            <w:pPr>
              <w:pStyle w:val="TableText"/>
              <w:rPr>
                <w:lang w:eastAsia="ja-JP"/>
              </w:rPr>
            </w:pPr>
            <w:r>
              <w:rPr>
                <w:lang w:eastAsia="ja-JP"/>
              </w:rPr>
              <w:t>Major</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8.14 </w:t>
            </w:r>
            <w:r w:rsidRPr="00D71810">
              <w:t xml:space="preserve">Records must be maintained of </w:t>
            </w:r>
            <w:r>
              <w:t>a</w:t>
            </w:r>
            <w:r w:rsidRPr="00D71810">
              <w:t xml:space="preserve">ccredited </w:t>
            </w:r>
            <w:r>
              <w:t>p</w:t>
            </w:r>
            <w:r w:rsidRPr="00D71810">
              <w:t>ersons.</w:t>
            </w:r>
          </w:p>
        </w:tc>
        <w:tc>
          <w:tcPr>
            <w:tcW w:w="4530" w:type="dxa"/>
          </w:tcPr>
          <w:p w:rsidR="0032732D" w:rsidRDefault="0032732D" w:rsidP="0032732D">
            <w:pPr>
              <w:pStyle w:val="TableText"/>
              <w:rPr>
                <w:lang w:eastAsia="ja-JP"/>
              </w:rPr>
            </w:pPr>
            <w:r>
              <w:rPr>
                <w:lang w:eastAsia="ja-JP"/>
              </w:rPr>
              <w:t>Minor</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8.15 </w:t>
            </w:r>
            <w:r w:rsidRPr="00D71810">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4530" w:type="dxa"/>
          </w:tcPr>
          <w:p w:rsidR="0032732D" w:rsidRDefault="0032732D" w:rsidP="0032732D">
            <w:pPr>
              <w:pStyle w:val="TableText"/>
              <w:rPr>
                <w:lang w:eastAsia="ja-JP"/>
              </w:rPr>
            </w:pPr>
            <w:r>
              <w:rPr>
                <w:lang w:eastAsia="ja-JP"/>
              </w:rPr>
              <w:t>Major</w:t>
            </w:r>
          </w:p>
        </w:tc>
      </w:tr>
      <w:tr w:rsidR="0032732D" w:rsidTr="0032732D">
        <w:trPr>
          <w:cantSplit/>
          <w:tblHeader/>
        </w:trPr>
        <w:tc>
          <w:tcPr>
            <w:tcW w:w="4530" w:type="dxa"/>
          </w:tcPr>
          <w:p w:rsidR="0032732D" w:rsidRDefault="0032732D" w:rsidP="0032732D">
            <w:pPr>
              <w:pStyle w:val="TableText"/>
              <w:rPr>
                <w:lang w:eastAsia="ja-JP"/>
              </w:rPr>
            </w:pPr>
            <w:r>
              <w:rPr>
                <w:lang w:eastAsia="ja-JP"/>
              </w:rPr>
              <w:t xml:space="preserve">8.16 </w:t>
            </w:r>
            <w:r w:rsidRPr="00D71810">
              <w:t>Ensure records are kept for a minimum of 18 months for goods subject to biosecurity control at the AA site.</w:t>
            </w:r>
          </w:p>
        </w:tc>
        <w:tc>
          <w:tcPr>
            <w:tcW w:w="4530" w:type="dxa"/>
          </w:tcPr>
          <w:p w:rsidR="0032732D" w:rsidRDefault="0032732D" w:rsidP="0032732D">
            <w:pPr>
              <w:pStyle w:val="TableText"/>
              <w:rPr>
                <w:lang w:eastAsia="ja-JP"/>
              </w:rPr>
            </w:pPr>
            <w:r>
              <w:rPr>
                <w:lang w:eastAsia="ja-JP"/>
              </w:rPr>
              <w:t>Minor or major</w:t>
            </w:r>
          </w:p>
        </w:tc>
      </w:tr>
    </w:tbl>
    <w:p w:rsidR="0032732D" w:rsidRDefault="0032732D" w:rsidP="0032732D">
      <w:pPr>
        <w:pStyle w:val="Caption"/>
        <w:spacing w:before="240"/>
      </w:pPr>
      <w:r>
        <w:lastRenderedPageBreak/>
        <w:t>Table 8C General (continued)</w:t>
      </w:r>
    </w:p>
    <w:tbl>
      <w:tblPr>
        <w:tblStyle w:val="TableGrid"/>
        <w:tblW w:w="0" w:type="auto"/>
        <w:tblLook w:val="04A0" w:firstRow="1" w:lastRow="0" w:firstColumn="1" w:lastColumn="0" w:noHBand="0" w:noVBand="1"/>
      </w:tblPr>
      <w:tblGrid>
        <w:gridCol w:w="4530"/>
        <w:gridCol w:w="4530"/>
      </w:tblGrid>
      <w:tr w:rsidR="0032732D" w:rsidTr="0032732D">
        <w:trPr>
          <w:cantSplit/>
          <w:tblHeader/>
        </w:trPr>
        <w:tc>
          <w:tcPr>
            <w:tcW w:w="4530" w:type="dxa"/>
          </w:tcPr>
          <w:p w:rsidR="0032732D" w:rsidRDefault="0032732D" w:rsidP="0032732D">
            <w:pPr>
              <w:pStyle w:val="TableHeading"/>
              <w:rPr>
                <w:lang w:eastAsia="ja-JP"/>
              </w:rPr>
            </w:pPr>
            <w:r>
              <w:rPr>
                <w:lang w:eastAsia="ja-JP"/>
              </w:rPr>
              <w:t>Requirements</w:t>
            </w:r>
          </w:p>
        </w:tc>
        <w:tc>
          <w:tcPr>
            <w:tcW w:w="4530" w:type="dxa"/>
          </w:tcPr>
          <w:p w:rsidR="0032732D" w:rsidRDefault="0032732D" w:rsidP="0032732D">
            <w:pPr>
              <w:pStyle w:val="TableHeading"/>
              <w:rPr>
                <w:lang w:eastAsia="ja-JP"/>
              </w:rPr>
            </w:pPr>
            <w:r>
              <w:rPr>
                <w:lang w:eastAsia="ja-JP"/>
              </w:rPr>
              <w:t>Nonconformity guide</w:t>
            </w:r>
          </w:p>
        </w:tc>
      </w:tr>
      <w:tr w:rsidR="0032732D" w:rsidTr="0032732D">
        <w:trPr>
          <w:cantSplit/>
          <w:tblHeader/>
        </w:trPr>
        <w:tc>
          <w:tcPr>
            <w:tcW w:w="4530" w:type="dxa"/>
          </w:tcPr>
          <w:p w:rsidR="0032732D" w:rsidRDefault="00A0029D" w:rsidP="00A0029D">
            <w:pPr>
              <w:pStyle w:val="TableText"/>
            </w:pPr>
            <w:r>
              <w:rPr>
                <w:lang w:eastAsia="ja-JP"/>
              </w:rPr>
              <w:t xml:space="preserve">8.17 </w:t>
            </w:r>
            <w:r>
              <w:t>Ensure goods subject to biosecurity control are traceable in terms of (where applicable):</w:t>
            </w:r>
          </w:p>
        </w:tc>
        <w:tc>
          <w:tcPr>
            <w:tcW w:w="4530" w:type="dxa"/>
          </w:tcPr>
          <w:p w:rsidR="0032732D" w:rsidRDefault="0032732D" w:rsidP="00A0029D">
            <w:pPr>
              <w:pStyle w:val="TableText"/>
              <w:rPr>
                <w:lang w:eastAsia="ja-JP"/>
              </w:rPr>
            </w:pPr>
          </w:p>
        </w:tc>
      </w:tr>
      <w:tr w:rsidR="0032732D" w:rsidTr="0032732D">
        <w:trPr>
          <w:cantSplit/>
          <w:tblHeader/>
        </w:trPr>
        <w:tc>
          <w:tcPr>
            <w:tcW w:w="4530" w:type="dxa"/>
          </w:tcPr>
          <w:p w:rsidR="00A0029D" w:rsidRDefault="00A0029D" w:rsidP="00A0029D">
            <w:pPr>
              <w:pStyle w:val="TableBullet"/>
            </w:pPr>
            <w:r>
              <w:t>declaration/entry number</w:t>
            </w:r>
          </w:p>
          <w:p w:rsidR="00A0029D" w:rsidRDefault="00A0029D" w:rsidP="00A0029D">
            <w:pPr>
              <w:pStyle w:val="TableBullet"/>
            </w:pPr>
            <w:r>
              <w:t>Import Permit number</w:t>
            </w:r>
          </w:p>
          <w:p w:rsidR="00A0029D" w:rsidRDefault="00A0029D" w:rsidP="00A0029D">
            <w:pPr>
              <w:pStyle w:val="TableBullet"/>
            </w:pPr>
            <w:r>
              <w:t>Air Waybill or Bill of Lading number</w:t>
            </w:r>
          </w:p>
          <w:p w:rsidR="00A0029D" w:rsidRDefault="00A0029D" w:rsidP="00A0029D">
            <w:pPr>
              <w:pStyle w:val="TableBullet"/>
            </w:pPr>
            <w:r>
              <w:t>date of receipt</w:t>
            </w:r>
          </w:p>
          <w:p w:rsidR="00A0029D" w:rsidRDefault="00A0029D" w:rsidP="00A0029D">
            <w:pPr>
              <w:pStyle w:val="TableBullet"/>
            </w:pPr>
            <w:r>
              <w:t>processing (including inspection, treatment, testing) details</w:t>
            </w:r>
          </w:p>
          <w:p w:rsidR="00A0029D" w:rsidRDefault="00A0029D" w:rsidP="00A0029D">
            <w:pPr>
              <w:pStyle w:val="TableBullet"/>
            </w:pPr>
            <w:r>
              <w:t>release from biosecurity control</w:t>
            </w:r>
          </w:p>
          <w:p w:rsidR="00A0029D" w:rsidRDefault="00A0029D" w:rsidP="00A0029D">
            <w:pPr>
              <w:pStyle w:val="TableBullet"/>
            </w:pPr>
            <w:r>
              <w:t>disposal details</w:t>
            </w:r>
          </w:p>
          <w:p w:rsidR="00A0029D" w:rsidRDefault="00A0029D" w:rsidP="00A0029D">
            <w:pPr>
              <w:pStyle w:val="TableBullet"/>
            </w:pPr>
            <w:r>
              <w:t>storage location</w:t>
            </w:r>
          </w:p>
          <w:p w:rsidR="0032732D" w:rsidRDefault="00A0029D" w:rsidP="00A0029D">
            <w:pPr>
              <w:pStyle w:val="TableBullet"/>
              <w:rPr>
                <w:lang w:eastAsia="ja-JP"/>
              </w:rPr>
            </w:pPr>
            <w:proofErr w:type="gramStart"/>
            <w:r>
              <w:t>accredited</w:t>
            </w:r>
            <w:proofErr w:type="gramEnd"/>
            <w:r>
              <w:t xml:space="preserve"> person responsible for the items.</w:t>
            </w:r>
          </w:p>
        </w:tc>
        <w:tc>
          <w:tcPr>
            <w:tcW w:w="4530" w:type="dxa"/>
          </w:tcPr>
          <w:p w:rsidR="00A0029D" w:rsidRDefault="00A0029D" w:rsidP="00A0029D">
            <w:pPr>
              <w:pStyle w:val="TableBullet"/>
            </w:pPr>
            <w:r>
              <w:t>Major</w:t>
            </w:r>
          </w:p>
          <w:p w:rsidR="00A0029D" w:rsidRDefault="00A0029D" w:rsidP="00A0029D">
            <w:pPr>
              <w:pStyle w:val="TableBullet"/>
            </w:pPr>
            <w:r>
              <w:t>Major</w:t>
            </w:r>
          </w:p>
          <w:p w:rsidR="00A0029D" w:rsidRDefault="00A0029D" w:rsidP="00A0029D">
            <w:pPr>
              <w:pStyle w:val="TableBullet"/>
            </w:pPr>
            <w:r>
              <w:t>Minor</w:t>
            </w:r>
          </w:p>
          <w:p w:rsidR="00A0029D" w:rsidRDefault="00A0029D" w:rsidP="00A0029D">
            <w:pPr>
              <w:pStyle w:val="TableBullet"/>
            </w:pPr>
            <w:r>
              <w:t>Major</w:t>
            </w:r>
          </w:p>
          <w:p w:rsidR="00A0029D" w:rsidRDefault="00A0029D" w:rsidP="00A0029D">
            <w:pPr>
              <w:pStyle w:val="TableBullet"/>
            </w:pPr>
            <w:r>
              <w:t>Major</w:t>
            </w:r>
          </w:p>
          <w:p w:rsidR="00A0029D" w:rsidRDefault="00A0029D" w:rsidP="00A0029D">
            <w:pPr>
              <w:pStyle w:val="TableBullet"/>
            </w:pPr>
            <w:r>
              <w:t>Major</w:t>
            </w:r>
          </w:p>
          <w:p w:rsidR="00A0029D" w:rsidRDefault="00A0029D" w:rsidP="00A0029D">
            <w:pPr>
              <w:pStyle w:val="TableBullet"/>
            </w:pPr>
            <w:r>
              <w:t>Major</w:t>
            </w:r>
          </w:p>
          <w:p w:rsidR="00A0029D" w:rsidRDefault="00A0029D" w:rsidP="00A0029D">
            <w:pPr>
              <w:pStyle w:val="TableBullet"/>
            </w:pPr>
            <w:r>
              <w:t>Major</w:t>
            </w:r>
          </w:p>
          <w:p w:rsidR="0032732D" w:rsidRDefault="00A0029D" w:rsidP="00A0029D">
            <w:pPr>
              <w:pStyle w:val="TableBullet"/>
              <w:rPr>
                <w:lang w:eastAsia="ja-JP"/>
              </w:rPr>
            </w:pPr>
            <w:r>
              <w:t>Major</w:t>
            </w:r>
          </w:p>
        </w:tc>
      </w:tr>
      <w:tr w:rsidR="0032732D" w:rsidTr="0032732D">
        <w:trPr>
          <w:cantSplit/>
          <w:tblHeader/>
        </w:trPr>
        <w:tc>
          <w:tcPr>
            <w:tcW w:w="4530" w:type="dxa"/>
          </w:tcPr>
          <w:p w:rsidR="0032732D" w:rsidRDefault="00A0029D" w:rsidP="0032732D">
            <w:pPr>
              <w:pStyle w:val="TableText"/>
              <w:rPr>
                <w:lang w:eastAsia="ja-JP"/>
              </w:rPr>
            </w:pPr>
            <w:r>
              <w:rPr>
                <w:lang w:eastAsia="ja-JP"/>
              </w:rPr>
              <w:t xml:space="preserve">8.18 </w:t>
            </w:r>
            <w:r w:rsidRPr="00D71810">
              <w:t xml:space="preserve">The BIP must ensure that persons having physical access to goods subject to biosecurity control are aware that such items must only be handled by an </w:t>
            </w:r>
            <w:r>
              <w:t>a</w:t>
            </w:r>
            <w:r w:rsidRPr="00D71810">
              <w:t xml:space="preserve">ccredited </w:t>
            </w:r>
            <w:r>
              <w:t>p</w:t>
            </w:r>
            <w:r w:rsidRPr="00D71810">
              <w:t xml:space="preserve">erson or under the direct supervision of an </w:t>
            </w:r>
            <w:r>
              <w:t>a</w:t>
            </w:r>
            <w:r w:rsidRPr="00D71810">
              <w:t xml:space="preserve">ccredited </w:t>
            </w:r>
            <w:r>
              <w:t>p</w:t>
            </w:r>
            <w:r w:rsidRPr="00D71810">
              <w:t>erson.</w:t>
            </w:r>
          </w:p>
        </w:tc>
        <w:tc>
          <w:tcPr>
            <w:tcW w:w="4530" w:type="dxa"/>
          </w:tcPr>
          <w:p w:rsidR="0032732D" w:rsidRDefault="00A0029D" w:rsidP="0032732D">
            <w:pPr>
              <w:pStyle w:val="TableText"/>
              <w:rPr>
                <w:lang w:eastAsia="ja-JP"/>
              </w:rPr>
            </w:pPr>
            <w:r>
              <w:rPr>
                <w:lang w:eastAsia="ja-JP"/>
              </w:rPr>
              <w:t>Major</w:t>
            </w:r>
          </w:p>
        </w:tc>
      </w:tr>
      <w:tr w:rsidR="0032732D" w:rsidTr="0032732D">
        <w:trPr>
          <w:cantSplit/>
          <w:tblHeader/>
        </w:trPr>
        <w:tc>
          <w:tcPr>
            <w:tcW w:w="4530" w:type="dxa"/>
          </w:tcPr>
          <w:p w:rsidR="0032732D" w:rsidRDefault="00A0029D" w:rsidP="00A0029D">
            <w:pPr>
              <w:pStyle w:val="TableText"/>
            </w:pPr>
            <w:r>
              <w:rPr>
                <w:lang w:eastAsia="ja-JP"/>
              </w:rPr>
              <w:t xml:space="preserve">8.19 </w:t>
            </w:r>
            <w:r>
              <w:t>A contingency plan must be in place to manage unexpected events that threaten to compromise biosecurity integrity of the AA site. Unexpected events include:</w:t>
            </w:r>
          </w:p>
        </w:tc>
        <w:tc>
          <w:tcPr>
            <w:tcW w:w="4530" w:type="dxa"/>
          </w:tcPr>
          <w:p w:rsidR="0032732D" w:rsidRDefault="0032732D" w:rsidP="00A0029D">
            <w:pPr>
              <w:pStyle w:val="TableText"/>
              <w:rPr>
                <w:lang w:eastAsia="ja-JP"/>
              </w:rPr>
            </w:pPr>
          </w:p>
        </w:tc>
      </w:tr>
      <w:tr w:rsidR="0032732D" w:rsidTr="0032732D">
        <w:trPr>
          <w:cantSplit/>
          <w:tblHeader/>
        </w:trPr>
        <w:tc>
          <w:tcPr>
            <w:tcW w:w="4530" w:type="dxa"/>
          </w:tcPr>
          <w:p w:rsidR="00A0029D" w:rsidRDefault="00A0029D" w:rsidP="00A0029D">
            <w:pPr>
              <w:pStyle w:val="TableBullet"/>
            </w:pPr>
            <w:r>
              <w:t>appearance of pests or symptoms of disease</w:t>
            </w:r>
          </w:p>
          <w:p w:rsidR="00A0029D" w:rsidRDefault="00A0029D" w:rsidP="00A0029D">
            <w:pPr>
              <w:pStyle w:val="TableBullet"/>
            </w:pPr>
            <w:r>
              <w:t>structural damage (for example, due to storms)</w:t>
            </w:r>
          </w:p>
          <w:p w:rsidR="00A0029D" w:rsidRDefault="00A0029D" w:rsidP="00A0029D">
            <w:pPr>
              <w:pStyle w:val="TableBullet"/>
            </w:pPr>
            <w:r>
              <w:t>unauthorised removal of goods subject to biosecurity control</w:t>
            </w:r>
          </w:p>
          <w:p w:rsidR="00A0029D" w:rsidRDefault="00A0029D" w:rsidP="00A0029D">
            <w:pPr>
              <w:pStyle w:val="TableBullet"/>
            </w:pPr>
            <w:r>
              <w:t>spillages of goods subject to biosecurity control</w:t>
            </w:r>
          </w:p>
          <w:p w:rsidR="0032732D" w:rsidRDefault="00A0029D" w:rsidP="00A0029D">
            <w:pPr>
              <w:pStyle w:val="TableBullet"/>
              <w:rPr>
                <w:lang w:eastAsia="ja-JP"/>
              </w:rPr>
            </w:pPr>
            <w:proofErr w:type="gramStart"/>
            <w:r>
              <w:t>sudden</w:t>
            </w:r>
            <w:proofErr w:type="gramEnd"/>
            <w:r>
              <w:t xml:space="preserve"> unavailability of an accredited person.</w:t>
            </w:r>
          </w:p>
        </w:tc>
        <w:tc>
          <w:tcPr>
            <w:tcW w:w="4530" w:type="dxa"/>
          </w:tcPr>
          <w:p w:rsidR="00A0029D" w:rsidRDefault="00A0029D" w:rsidP="00A0029D">
            <w:pPr>
              <w:pStyle w:val="TableBullet"/>
            </w:pPr>
            <w:r>
              <w:t>Major</w:t>
            </w:r>
          </w:p>
          <w:p w:rsidR="00A0029D" w:rsidRDefault="00A0029D" w:rsidP="00A0029D">
            <w:pPr>
              <w:pStyle w:val="TableBullet"/>
            </w:pPr>
            <w:r>
              <w:t>Major</w:t>
            </w:r>
          </w:p>
          <w:p w:rsidR="00A0029D" w:rsidRDefault="00A0029D" w:rsidP="00A0029D">
            <w:pPr>
              <w:pStyle w:val="TableBullet"/>
            </w:pPr>
            <w:r>
              <w:t>Major</w:t>
            </w:r>
          </w:p>
          <w:p w:rsidR="00A0029D" w:rsidRDefault="00A0029D" w:rsidP="00A0029D">
            <w:pPr>
              <w:pStyle w:val="TableBullet"/>
            </w:pPr>
            <w:r>
              <w:t>Major</w:t>
            </w:r>
          </w:p>
          <w:p w:rsidR="0032732D" w:rsidRDefault="00A0029D" w:rsidP="00A0029D">
            <w:pPr>
              <w:pStyle w:val="TableBullet"/>
              <w:rPr>
                <w:lang w:eastAsia="ja-JP"/>
              </w:rPr>
            </w:pPr>
            <w:r>
              <w:t>Minor</w:t>
            </w:r>
          </w:p>
        </w:tc>
      </w:tr>
      <w:tr w:rsidR="0032732D" w:rsidTr="0032732D">
        <w:trPr>
          <w:cantSplit/>
          <w:tblHeader/>
        </w:trPr>
        <w:tc>
          <w:tcPr>
            <w:tcW w:w="4530" w:type="dxa"/>
          </w:tcPr>
          <w:p w:rsidR="00A0029D" w:rsidRDefault="00A0029D" w:rsidP="00A0029D">
            <w:pPr>
              <w:pStyle w:val="TableText"/>
            </w:pPr>
            <w:r>
              <w:rPr>
                <w:lang w:eastAsia="ja-JP"/>
              </w:rPr>
              <w:t xml:space="preserve">8.20 </w:t>
            </w:r>
            <w:r>
              <w:t>Ceasing or transferring operations. The department must be informed in writing, at least 15 working days prior to intended:</w:t>
            </w:r>
          </w:p>
          <w:p w:rsidR="0032732D" w:rsidRDefault="00A0029D" w:rsidP="00A0029D">
            <w:pPr>
              <w:pStyle w:val="TableBullet"/>
            </w:pPr>
            <w:r>
              <w:t>closure of a current AA site</w:t>
            </w:r>
          </w:p>
        </w:tc>
        <w:tc>
          <w:tcPr>
            <w:tcW w:w="4530" w:type="dxa"/>
          </w:tcPr>
          <w:p w:rsidR="0032732D" w:rsidRDefault="00A0029D" w:rsidP="0032732D">
            <w:pPr>
              <w:pStyle w:val="TableText"/>
              <w:rPr>
                <w:lang w:eastAsia="ja-JP"/>
              </w:rPr>
            </w:pPr>
            <w:r>
              <w:rPr>
                <w:lang w:eastAsia="ja-JP"/>
              </w:rPr>
              <w:t>Major</w:t>
            </w:r>
          </w:p>
        </w:tc>
      </w:tr>
      <w:tr w:rsidR="0032732D" w:rsidTr="0032732D">
        <w:trPr>
          <w:cantSplit/>
          <w:tblHeader/>
        </w:trPr>
        <w:tc>
          <w:tcPr>
            <w:tcW w:w="4530" w:type="dxa"/>
          </w:tcPr>
          <w:p w:rsidR="0032732D" w:rsidRDefault="00A0029D" w:rsidP="00A0029D">
            <w:pPr>
              <w:pStyle w:val="TableBullet"/>
            </w:pPr>
            <w:r>
              <w:t>relocation of the business, including the AA class function</w:t>
            </w:r>
          </w:p>
        </w:tc>
        <w:tc>
          <w:tcPr>
            <w:tcW w:w="4530" w:type="dxa"/>
          </w:tcPr>
          <w:p w:rsidR="0032732D" w:rsidRDefault="0032732D" w:rsidP="0032732D">
            <w:pPr>
              <w:pStyle w:val="TableText"/>
              <w:rPr>
                <w:lang w:eastAsia="ja-JP"/>
              </w:rPr>
            </w:pPr>
          </w:p>
        </w:tc>
      </w:tr>
      <w:tr w:rsidR="00A0029D" w:rsidTr="0032732D">
        <w:trPr>
          <w:cantSplit/>
          <w:tblHeader/>
        </w:trPr>
        <w:tc>
          <w:tcPr>
            <w:tcW w:w="4530" w:type="dxa"/>
          </w:tcPr>
          <w:p w:rsidR="00A0029D" w:rsidRDefault="00A0029D" w:rsidP="00A0029D">
            <w:pPr>
              <w:pStyle w:val="TableBullet"/>
            </w:pPr>
            <w:proofErr w:type="gramStart"/>
            <w:r>
              <w:t>ceasing</w:t>
            </w:r>
            <w:proofErr w:type="gramEnd"/>
            <w:r>
              <w:t xml:space="preserve"> of operation as a AA site.</w:t>
            </w:r>
          </w:p>
          <w:p w:rsidR="00A0029D" w:rsidRDefault="00A0029D" w:rsidP="00A0029D">
            <w:pPr>
              <w:pStyle w:val="TableText"/>
            </w:pPr>
            <w:r>
              <w:t>Any goods subject to biosecurity control that remain at the AA site must be treated or destroyed in accordance with a department approved method or transferred to another AA site with prior approval from the department. The BIP will be liable for associated costs.</w:t>
            </w:r>
          </w:p>
        </w:tc>
        <w:tc>
          <w:tcPr>
            <w:tcW w:w="4530" w:type="dxa"/>
          </w:tcPr>
          <w:p w:rsidR="00A0029D" w:rsidRDefault="00A0029D" w:rsidP="0032732D">
            <w:pPr>
              <w:pStyle w:val="TableText"/>
              <w:rPr>
                <w:lang w:eastAsia="ja-JP"/>
              </w:rPr>
            </w:pPr>
            <w:r>
              <w:rPr>
                <w:lang w:eastAsia="ja-JP"/>
              </w:rPr>
              <w:t>Critical</w:t>
            </w:r>
          </w:p>
        </w:tc>
      </w:tr>
    </w:tbl>
    <w:p w:rsidR="00A0029D" w:rsidRDefault="00A0029D" w:rsidP="00A0029D">
      <w:pPr>
        <w:pStyle w:val="Caption"/>
        <w:spacing w:before="240"/>
      </w:pPr>
      <w:r>
        <w:lastRenderedPageBreak/>
        <w:t>Table 8D General (continued)</w:t>
      </w:r>
    </w:p>
    <w:tbl>
      <w:tblPr>
        <w:tblStyle w:val="TableGrid"/>
        <w:tblW w:w="0" w:type="auto"/>
        <w:tblLook w:val="04A0" w:firstRow="1" w:lastRow="0" w:firstColumn="1" w:lastColumn="0" w:noHBand="0" w:noVBand="1"/>
      </w:tblPr>
      <w:tblGrid>
        <w:gridCol w:w="4530"/>
        <w:gridCol w:w="4530"/>
      </w:tblGrid>
      <w:tr w:rsidR="00A0029D" w:rsidTr="00A0029D">
        <w:trPr>
          <w:cantSplit/>
          <w:tblHeader/>
        </w:trPr>
        <w:tc>
          <w:tcPr>
            <w:tcW w:w="4530" w:type="dxa"/>
          </w:tcPr>
          <w:p w:rsidR="00A0029D" w:rsidRDefault="00A0029D" w:rsidP="00A0029D">
            <w:pPr>
              <w:pStyle w:val="TableHeading"/>
              <w:rPr>
                <w:lang w:eastAsia="ja-JP"/>
              </w:rPr>
            </w:pPr>
            <w:r>
              <w:rPr>
                <w:lang w:eastAsia="ja-JP"/>
              </w:rPr>
              <w:t>Requirements</w:t>
            </w:r>
          </w:p>
        </w:tc>
        <w:tc>
          <w:tcPr>
            <w:tcW w:w="4530" w:type="dxa"/>
          </w:tcPr>
          <w:p w:rsidR="00A0029D" w:rsidRDefault="00A0029D" w:rsidP="00A0029D">
            <w:pPr>
              <w:pStyle w:val="TableHeading"/>
              <w:rPr>
                <w:lang w:eastAsia="ja-JP"/>
              </w:rPr>
            </w:pPr>
            <w:r>
              <w:rPr>
                <w:lang w:eastAsia="ja-JP"/>
              </w:rPr>
              <w:t>Nonconformity guide</w:t>
            </w:r>
          </w:p>
        </w:tc>
      </w:tr>
      <w:tr w:rsidR="00A0029D" w:rsidTr="00A0029D">
        <w:trPr>
          <w:cantSplit/>
          <w:tblHeader/>
        </w:trPr>
        <w:tc>
          <w:tcPr>
            <w:tcW w:w="4530" w:type="dxa"/>
          </w:tcPr>
          <w:p w:rsidR="00A0029D" w:rsidRDefault="00A0029D" w:rsidP="00A0029D">
            <w:pPr>
              <w:pStyle w:val="TableText"/>
            </w:pPr>
            <w:r>
              <w:rPr>
                <w:lang w:eastAsia="ja-JP"/>
              </w:rPr>
              <w:t xml:space="preserve">8.21 </w:t>
            </w:r>
            <w:r>
              <w:t>If there is any doubt as to whether goods:</w:t>
            </w:r>
          </w:p>
          <w:p w:rsidR="00A0029D" w:rsidRDefault="00A0029D" w:rsidP="00A0029D">
            <w:pPr>
              <w:pStyle w:val="TableBullet"/>
            </w:pPr>
            <w:r>
              <w:t>are subject to biosecurity control</w:t>
            </w:r>
          </w:p>
          <w:p w:rsidR="00A0029D" w:rsidRDefault="00A0029D" w:rsidP="00A0029D">
            <w:pPr>
              <w:pStyle w:val="TableBullet"/>
            </w:pPr>
            <w:r>
              <w:t>remain subject to biosecurity control</w:t>
            </w:r>
          </w:p>
          <w:p w:rsidR="00A0029D" w:rsidRDefault="00A0029D" w:rsidP="00A0029D">
            <w:pPr>
              <w:pStyle w:val="TableBullet"/>
            </w:pPr>
            <w:r>
              <w:t>become subject to biosecurity control</w:t>
            </w:r>
          </w:p>
          <w:p w:rsidR="00A0029D" w:rsidRDefault="00A0029D" w:rsidP="00A0029D">
            <w:pPr>
              <w:pStyle w:val="TableText"/>
              <w:rPr>
                <w:lang w:eastAsia="ja-JP"/>
              </w:rPr>
            </w:pPr>
            <w:proofErr w:type="gramStart"/>
            <w:r>
              <w:t>then</w:t>
            </w:r>
            <w:proofErr w:type="gramEnd"/>
            <w:r>
              <w:t xml:space="preserve"> the goods must be handled in accordance with requirements for goods subject to biosecurity control.</w:t>
            </w:r>
          </w:p>
        </w:tc>
        <w:tc>
          <w:tcPr>
            <w:tcW w:w="4530" w:type="dxa"/>
          </w:tcPr>
          <w:p w:rsidR="00A0029D" w:rsidRDefault="00A0029D" w:rsidP="00A0029D">
            <w:pPr>
              <w:pStyle w:val="TableText"/>
              <w:rPr>
                <w:lang w:eastAsia="ja-JP"/>
              </w:rPr>
            </w:pPr>
            <w:r>
              <w:rPr>
                <w:lang w:eastAsia="ja-JP"/>
              </w:rPr>
              <w:t>Major</w:t>
            </w:r>
          </w:p>
        </w:tc>
      </w:tr>
      <w:tr w:rsidR="00A0029D" w:rsidTr="00A0029D">
        <w:trPr>
          <w:cantSplit/>
          <w:tblHeader/>
        </w:trPr>
        <w:tc>
          <w:tcPr>
            <w:tcW w:w="4530" w:type="dxa"/>
          </w:tcPr>
          <w:p w:rsidR="00A0029D" w:rsidRDefault="00A0029D" w:rsidP="00A0029D">
            <w:pPr>
              <w:pStyle w:val="TableText"/>
            </w:pPr>
            <w:r>
              <w:rPr>
                <w:lang w:eastAsia="ja-JP"/>
              </w:rPr>
              <w:t xml:space="preserve">8.22 </w:t>
            </w:r>
            <w:r>
              <w:t>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rsidR="00A0029D" w:rsidRDefault="00A0029D" w:rsidP="00A0029D">
            <w:pPr>
              <w:pStyle w:val="TableBullet"/>
            </w:pPr>
            <w:r>
              <w:t xml:space="preserve">conviction of an offence or order to pay a pecuniary penalty under the </w:t>
            </w:r>
            <w:r w:rsidRPr="00A0029D">
              <w:rPr>
                <w:rStyle w:val="Emphasis"/>
              </w:rPr>
              <w:t>Biosecurity Act 2015, Quarantine Act 1908, Customs Act 1901</w:t>
            </w:r>
            <w:r>
              <w:t xml:space="preserve">, the Criminal Code or the </w:t>
            </w:r>
            <w:r w:rsidRPr="00A0029D">
              <w:rPr>
                <w:rStyle w:val="Emphasis"/>
              </w:rPr>
              <w:t>Crimes Act 1914</w:t>
            </w:r>
          </w:p>
          <w:p w:rsidR="00A0029D" w:rsidRDefault="00A0029D" w:rsidP="00A0029D">
            <w:pPr>
              <w:pStyle w:val="TableBullet"/>
            </w:pPr>
            <w:r>
              <w:t xml:space="preserve">debt to the to the Commonwealth that is more than 28 days overdue under the </w:t>
            </w:r>
            <w:r w:rsidRPr="00A0029D">
              <w:rPr>
                <w:rStyle w:val="Emphasis"/>
              </w:rPr>
              <w:t>Biosecurity Act 2015, Quarantine Act 1908, Customs Act 1901</w:t>
            </w:r>
            <w:r>
              <w:t xml:space="preserve">, the Criminal Code or the </w:t>
            </w:r>
            <w:r w:rsidRPr="00A0029D">
              <w:rPr>
                <w:rStyle w:val="Emphasis"/>
              </w:rPr>
              <w:t>Crimes Act 1914</w:t>
            </w:r>
          </w:p>
          <w:p w:rsidR="00A0029D" w:rsidRDefault="00A0029D" w:rsidP="00A0029D">
            <w:pPr>
              <w:pStyle w:val="TableBullet"/>
              <w:rPr>
                <w:lang w:eastAsia="ja-JP"/>
              </w:rPr>
            </w:pPr>
            <w:proofErr w:type="gramStart"/>
            <w:r>
              <w:t>refusal</w:t>
            </w:r>
            <w:proofErr w:type="gramEnd"/>
            <w:r>
              <w:t xml:space="preserve">, involuntary suspension, involuntary revocation/cancellation or involuntary variation of an Import Permit, quarantine approved premises, compliance agreement or AA under the </w:t>
            </w:r>
            <w:r w:rsidRPr="00A0029D">
              <w:rPr>
                <w:rStyle w:val="Emphasis"/>
              </w:rPr>
              <w:t xml:space="preserve">Quarantine Act 1908 </w:t>
            </w:r>
            <w:r>
              <w:t xml:space="preserve">or the </w:t>
            </w:r>
            <w:r w:rsidRPr="00A0029D">
              <w:rPr>
                <w:rStyle w:val="Emphasis"/>
              </w:rPr>
              <w:t>Biosecurity Act 2015.</w:t>
            </w:r>
          </w:p>
        </w:tc>
        <w:tc>
          <w:tcPr>
            <w:tcW w:w="4530" w:type="dxa"/>
          </w:tcPr>
          <w:p w:rsidR="00A0029D" w:rsidRDefault="00A0029D" w:rsidP="00A0029D">
            <w:pPr>
              <w:pStyle w:val="TableText"/>
              <w:rPr>
                <w:lang w:eastAsia="ja-JP"/>
              </w:rPr>
            </w:pPr>
            <w:r>
              <w:rPr>
                <w:lang w:eastAsia="ja-JP"/>
              </w:rPr>
              <w:t>Critical</w:t>
            </w:r>
          </w:p>
        </w:tc>
      </w:tr>
      <w:tr w:rsidR="00A0029D" w:rsidTr="00A0029D">
        <w:trPr>
          <w:cantSplit/>
          <w:tblHeader/>
        </w:trPr>
        <w:tc>
          <w:tcPr>
            <w:tcW w:w="4530" w:type="dxa"/>
          </w:tcPr>
          <w:p w:rsidR="00A0029D" w:rsidRDefault="00A0029D" w:rsidP="00A0029D">
            <w:pPr>
              <w:pStyle w:val="TableText"/>
              <w:rPr>
                <w:lang w:eastAsia="ja-JP"/>
              </w:rPr>
            </w:pPr>
            <w:r>
              <w:rPr>
                <w:lang w:eastAsia="ja-JP"/>
              </w:rPr>
              <w:t xml:space="preserve">8.23 </w:t>
            </w:r>
            <w:r w:rsidRPr="00D71810">
              <w:t xml:space="preserve">Biosecurity </w:t>
            </w:r>
            <w:r>
              <w:t>o</w:t>
            </w:r>
            <w:r w:rsidRPr="00D71810">
              <w:t xml:space="preserve">fficers, </w:t>
            </w:r>
            <w:r>
              <w:t>b</w:t>
            </w:r>
            <w:r w:rsidRPr="00D71810">
              <w:t xml:space="preserve">iosecurity </w:t>
            </w:r>
            <w:r>
              <w:t>e</w:t>
            </w:r>
            <w:r w:rsidRPr="00D71810">
              <w:t xml:space="preserve">nforcement </w:t>
            </w:r>
            <w:r>
              <w:t>officers and department-approved auditors</w:t>
            </w:r>
            <w:r w:rsidRPr="00D71810">
              <w:t xml:space="preserve"> must be provided access to the AA site to perform the functions and exercise the powers conferred on them by the Biosecurity Act or another law of the Commonwealth.</w:t>
            </w:r>
          </w:p>
        </w:tc>
        <w:tc>
          <w:tcPr>
            <w:tcW w:w="4530" w:type="dxa"/>
          </w:tcPr>
          <w:p w:rsidR="00A0029D" w:rsidRDefault="00A0029D" w:rsidP="00A0029D">
            <w:pPr>
              <w:pStyle w:val="TableText"/>
              <w:rPr>
                <w:lang w:eastAsia="ja-JP"/>
              </w:rPr>
            </w:pPr>
            <w:r>
              <w:rPr>
                <w:lang w:eastAsia="ja-JP"/>
              </w:rPr>
              <w:t>Critical</w:t>
            </w:r>
          </w:p>
        </w:tc>
      </w:tr>
      <w:tr w:rsidR="00A0029D" w:rsidTr="00A0029D">
        <w:trPr>
          <w:cantSplit/>
          <w:tblHeader/>
        </w:trPr>
        <w:tc>
          <w:tcPr>
            <w:tcW w:w="4530" w:type="dxa"/>
          </w:tcPr>
          <w:p w:rsidR="00A0029D" w:rsidRDefault="00A0029D" w:rsidP="00A0029D">
            <w:pPr>
              <w:pStyle w:val="TableText"/>
              <w:rPr>
                <w:lang w:eastAsia="ja-JP"/>
              </w:rPr>
            </w:pPr>
            <w:r>
              <w:rPr>
                <w:lang w:eastAsia="ja-JP"/>
              </w:rPr>
              <w:t xml:space="preserve">8.24 </w:t>
            </w:r>
            <w:r w:rsidRPr="00D71810">
              <w:t>Depa</w:t>
            </w:r>
            <w:r>
              <w:t>rtmental auditors or department-approved auditors</w:t>
            </w:r>
            <w:r w:rsidRPr="00D71810">
              <w:t xml:space="preserve"> must be provided with facilities and assistance as requested, and any required documents, records or things relevant to the audit.</w:t>
            </w:r>
          </w:p>
        </w:tc>
        <w:tc>
          <w:tcPr>
            <w:tcW w:w="4530" w:type="dxa"/>
          </w:tcPr>
          <w:p w:rsidR="00A0029D" w:rsidRDefault="00A0029D" w:rsidP="00A0029D">
            <w:pPr>
              <w:pStyle w:val="TableText"/>
              <w:rPr>
                <w:lang w:eastAsia="ja-JP"/>
              </w:rPr>
            </w:pPr>
            <w:r>
              <w:rPr>
                <w:lang w:eastAsia="ja-JP"/>
              </w:rPr>
              <w:t>Major or critical</w:t>
            </w:r>
          </w:p>
        </w:tc>
      </w:tr>
      <w:tr w:rsidR="00A0029D" w:rsidTr="00A0029D">
        <w:trPr>
          <w:cantSplit/>
          <w:tblHeader/>
        </w:trPr>
        <w:tc>
          <w:tcPr>
            <w:tcW w:w="4530" w:type="dxa"/>
          </w:tcPr>
          <w:p w:rsidR="00A0029D" w:rsidRDefault="00A0029D" w:rsidP="00A0029D">
            <w:pPr>
              <w:pStyle w:val="TableText"/>
              <w:rPr>
                <w:lang w:eastAsia="ja-JP"/>
              </w:rPr>
            </w:pPr>
            <w:r>
              <w:rPr>
                <w:lang w:eastAsia="ja-JP"/>
              </w:rPr>
              <w:t xml:space="preserve">8.25 </w:t>
            </w:r>
            <w:r w:rsidRPr="00D71810">
              <w:t xml:space="preserve">The department must be notified of any </w:t>
            </w:r>
            <w:r>
              <w:t>r</w:t>
            </w:r>
            <w:r w:rsidRPr="00D71810">
              <w:t xml:space="preserve">eportable </w:t>
            </w:r>
            <w:r>
              <w:t>b</w:t>
            </w:r>
            <w:r w:rsidRPr="00D71810">
              <w:t xml:space="preserve">iosecurity </w:t>
            </w:r>
            <w:r>
              <w:t>i</w:t>
            </w:r>
            <w:r w:rsidRPr="00D71810">
              <w:t>ncident as soon as practicable, in accordance with the determination made by the Director of Biosecurity.</w:t>
            </w:r>
          </w:p>
        </w:tc>
        <w:tc>
          <w:tcPr>
            <w:tcW w:w="4530" w:type="dxa"/>
          </w:tcPr>
          <w:p w:rsidR="00A0029D" w:rsidRDefault="00A0029D" w:rsidP="00A0029D">
            <w:pPr>
              <w:pStyle w:val="TableText"/>
              <w:rPr>
                <w:lang w:eastAsia="ja-JP"/>
              </w:rPr>
            </w:pPr>
            <w:r>
              <w:rPr>
                <w:lang w:eastAsia="ja-JP"/>
              </w:rPr>
              <w:t>Critical</w:t>
            </w:r>
          </w:p>
        </w:tc>
      </w:tr>
      <w:tr w:rsidR="00A0029D" w:rsidTr="00A0029D">
        <w:trPr>
          <w:cantSplit/>
          <w:tblHeader/>
        </w:trPr>
        <w:tc>
          <w:tcPr>
            <w:tcW w:w="4530" w:type="dxa"/>
          </w:tcPr>
          <w:p w:rsidR="00A0029D" w:rsidRDefault="00A0029D" w:rsidP="00A0029D">
            <w:pPr>
              <w:pStyle w:val="TableText"/>
              <w:rPr>
                <w:lang w:eastAsia="ja-JP"/>
              </w:rPr>
            </w:pPr>
            <w:r>
              <w:rPr>
                <w:lang w:eastAsia="ja-JP"/>
              </w:rPr>
              <w:t xml:space="preserve">8.26 </w:t>
            </w:r>
            <w:r>
              <w:t>Department-</w:t>
            </w:r>
            <w:r w:rsidRPr="00D71810">
              <w:t>approved auditors must be permitted to collect evidence of compliance and noncompliance with AA requirements through actions including the copying of documents and taking of photographs.</w:t>
            </w:r>
          </w:p>
        </w:tc>
        <w:tc>
          <w:tcPr>
            <w:tcW w:w="4530" w:type="dxa"/>
          </w:tcPr>
          <w:p w:rsidR="00A0029D" w:rsidRDefault="00A0029D" w:rsidP="00A0029D">
            <w:pPr>
              <w:pStyle w:val="TableText"/>
              <w:rPr>
                <w:lang w:eastAsia="ja-JP"/>
              </w:rPr>
            </w:pPr>
            <w:r>
              <w:rPr>
                <w:lang w:eastAsia="ja-JP"/>
              </w:rPr>
              <w:t>Major or critical</w:t>
            </w:r>
          </w:p>
        </w:tc>
      </w:tr>
    </w:tbl>
    <w:p w:rsidR="00D22F18" w:rsidRPr="00D22F18" w:rsidRDefault="00D22F18" w:rsidP="00A0029D"/>
    <w:sectPr w:rsidR="00D22F18" w:rsidRPr="00D22F18" w:rsidSect="00D22F18">
      <w:headerReference w:type="default" r:id="rId15"/>
      <w:footerReference w:type="default" r:id="rId16"/>
      <w:headerReference w:type="first" r:id="rId17"/>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526" w:rsidRDefault="00DA0526" w:rsidP="00267841">
      <w:r>
        <w:separator/>
      </w:r>
    </w:p>
    <w:p w:rsidR="00DA0526" w:rsidRDefault="00DA0526"/>
    <w:p w:rsidR="00DA0526" w:rsidRDefault="00DA0526"/>
  </w:endnote>
  <w:endnote w:type="continuationSeparator" w:id="0">
    <w:p w:rsidR="00DA0526" w:rsidRDefault="00DA0526" w:rsidP="00267841">
      <w:r>
        <w:continuationSeparator/>
      </w:r>
    </w:p>
    <w:p w:rsidR="00DA0526" w:rsidRDefault="00DA0526"/>
    <w:p w:rsidR="00DA0526" w:rsidRDefault="00DA0526"/>
  </w:endnote>
  <w:endnote w:type="continuationNotice" w:id="1">
    <w:p w:rsidR="00DA0526" w:rsidRPr="00696C70" w:rsidRDefault="00DA0526" w:rsidP="00267841">
      <w:pPr>
        <w:pStyle w:val="Footer"/>
      </w:pPr>
    </w:p>
    <w:p w:rsidR="00DA0526" w:rsidRDefault="00DA0526"/>
    <w:p w:rsidR="00DA0526" w:rsidRDefault="00DA0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5C1" w:rsidRDefault="002E25C1" w:rsidP="00267841">
    <w:pPr>
      <w:pStyle w:val="Footer"/>
    </w:pPr>
    <w:r>
      <w:t>Department of Agriculture and Water Resources</w:t>
    </w:r>
  </w:p>
  <w:p w:rsidR="002E25C1" w:rsidRDefault="002E25C1" w:rsidP="00267841">
    <w:pPr>
      <w:pStyle w:val="Footer"/>
    </w:pPr>
    <w:r>
      <w:fldChar w:fldCharType="begin"/>
    </w:r>
    <w:r>
      <w:instrText xml:space="preserve"> PAGE   \* MERGEFORMAT </w:instrText>
    </w:r>
    <w:r>
      <w:fldChar w:fldCharType="separate"/>
    </w:r>
    <w:r w:rsidR="006878B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526" w:rsidRDefault="00DA0526" w:rsidP="00267841">
      <w:r>
        <w:separator/>
      </w:r>
    </w:p>
    <w:p w:rsidR="00DA0526" w:rsidRDefault="00DA0526"/>
    <w:p w:rsidR="00DA0526" w:rsidRDefault="00DA0526"/>
  </w:footnote>
  <w:footnote w:type="continuationSeparator" w:id="0">
    <w:p w:rsidR="00DA0526" w:rsidRDefault="00DA0526" w:rsidP="00267841">
      <w:r>
        <w:continuationSeparator/>
      </w:r>
    </w:p>
    <w:p w:rsidR="00DA0526" w:rsidRDefault="00DA0526"/>
    <w:p w:rsidR="00DA0526" w:rsidRDefault="00DA0526"/>
  </w:footnote>
  <w:footnote w:type="continuationNotice" w:id="1">
    <w:p w:rsidR="00DA0526" w:rsidRPr="00310C6A" w:rsidRDefault="00DA0526" w:rsidP="00267841">
      <w:pPr>
        <w:pStyle w:val="Footer"/>
      </w:pPr>
    </w:p>
    <w:p w:rsidR="00DA0526" w:rsidRDefault="00DA0526"/>
    <w:p w:rsidR="00DA0526" w:rsidRDefault="00DA05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5C1" w:rsidRPr="00B01303" w:rsidRDefault="002E25C1" w:rsidP="00342E6E">
    <w:pPr>
      <w:pStyle w:val="Header"/>
    </w:pPr>
    <w:r w:rsidRPr="00A26A9F">
      <w:t xml:space="preserve">Approved Arrangements: </w:t>
    </w:r>
    <w:r>
      <w:t>7.6—Laboratory xenopus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5C1" w:rsidRDefault="002E25C1" w:rsidP="00C16FC4">
    <w:pPr>
      <w:pStyle w:val="Header"/>
      <w:jc w:val="left"/>
    </w:pPr>
    <w:r>
      <w:rPr>
        <w:noProof/>
        <w:lang w:eastAsia="en-AU"/>
      </w:rPr>
      <w:drawing>
        <wp:inline distT="0" distB="0" distL="0" distR="0" wp14:anchorId="4CCAF969" wp14:editId="21CF10E8">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C86914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29013A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64E14"/>
    <w:multiLevelType w:val="multilevel"/>
    <w:tmpl w:val="197C0294"/>
    <w:numStyleLink w:val="Headinglist"/>
  </w:abstractNum>
  <w:abstractNum w:abstractNumId="5"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BCF612F"/>
    <w:multiLevelType w:val="hybridMultilevel"/>
    <w:tmpl w:val="23F83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AEE3381"/>
    <w:multiLevelType w:val="hybridMultilevel"/>
    <w:tmpl w:val="490252AC"/>
    <w:lvl w:ilvl="0" w:tplc="C0C85B4A">
      <w:start w:val="1"/>
      <w:numFmt w:val="bullet"/>
      <w:pStyle w:val="Tablebullet2"/>
      <w:lvlText w:val="-"/>
      <w:lvlJc w:val="left"/>
      <w:pPr>
        <w:ind w:left="1004" w:hanging="360"/>
      </w:pPr>
      <w:rPr>
        <w:rFonts w:ascii="Cambria" w:hAnsi="Cambria"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7"/>
  </w:num>
  <w:num w:numId="4">
    <w:abstractNumId w:val="3"/>
  </w:num>
  <w:num w:numId="5">
    <w:abstractNumId w:val="8"/>
  </w:num>
  <w:num w:numId="6">
    <w:abstractNumId w:val="10"/>
  </w:num>
  <w:num w:numId="7">
    <w:abstractNumId w:val="2"/>
  </w:num>
  <w:num w:numId="8">
    <w:abstractNumId w:val="5"/>
  </w:num>
  <w:num w:numId="9">
    <w:abstractNumId w:val="4"/>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9A"/>
    <w:rsid w:val="000008A6"/>
    <w:rsid w:val="00001559"/>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204"/>
    <w:rsid w:val="000165F4"/>
    <w:rsid w:val="00020B9F"/>
    <w:rsid w:val="0002273A"/>
    <w:rsid w:val="000232C5"/>
    <w:rsid w:val="00023C00"/>
    <w:rsid w:val="000257A6"/>
    <w:rsid w:val="0002655F"/>
    <w:rsid w:val="0002792F"/>
    <w:rsid w:val="000304DC"/>
    <w:rsid w:val="00030743"/>
    <w:rsid w:val="00030DBE"/>
    <w:rsid w:val="00033EE3"/>
    <w:rsid w:val="00034415"/>
    <w:rsid w:val="00034582"/>
    <w:rsid w:val="0003507A"/>
    <w:rsid w:val="000353F7"/>
    <w:rsid w:val="000357D6"/>
    <w:rsid w:val="00037065"/>
    <w:rsid w:val="00037410"/>
    <w:rsid w:val="000409CF"/>
    <w:rsid w:val="000413BD"/>
    <w:rsid w:val="00041B91"/>
    <w:rsid w:val="00041C73"/>
    <w:rsid w:val="00041D7C"/>
    <w:rsid w:val="00042F5E"/>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0E59"/>
    <w:rsid w:val="0006118A"/>
    <w:rsid w:val="00062969"/>
    <w:rsid w:val="00063145"/>
    <w:rsid w:val="00064698"/>
    <w:rsid w:val="000657DE"/>
    <w:rsid w:val="00066293"/>
    <w:rsid w:val="00066BCD"/>
    <w:rsid w:val="00067C92"/>
    <w:rsid w:val="00067D89"/>
    <w:rsid w:val="00072255"/>
    <w:rsid w:val="0007238F"/>
    <w:rsid w:val="00072BB5"/>
    <w:rsid w:val="00072F5D"/>
    <w:rsid w:val="00073001"/>
    <w:rsid w:val="00073076"/>
    <w:rsid w:val="00073C5D"/>
    <w:rsid w:val="000744D9"/>
    <w:rsid w:val="0007466B"/>
    <w:rsid w:val="00074FA1"/>
    <w:rsid w:val="00075E46"/>
    <w:rsid w:val="00075F7A"/>
    <w:rsid w:val="000762B2"/>
    <w:rsid w:val="00076791"/>
    <w:rsid w:val="000768B4"/>
    <w:rsid w:val="00076F1E"/>
    <w:rsid w:val="00077E7A"/>
    <w:rsid w:val="0008128C"/>
    <w:rsid w:val="000812F7"/>
    <w:rsid w:val="00082202"/>
    <w:rsid w:val="0008286D"/>
    <w:rsid w:val="00082B00"/>
    <w:rsid w:val="00082BFB"/>
    <w:rsid w:val="00083505"/>
    <w:rsid w:val="00083BBC"/>
    <w:rsid w:val="00083FCE"/>
    <w:rsid w:val="00084FAB"/>
    <w:rsid w:val="00085A2C"/>
    <w:rsid w:val="00086094"/>
    <w:rsid w:val="0008679E"/>
    <w:rsid w:val="00086969"/>
    <w:rsid w:val="00086AB1"/>
    <w:rsid w:val="0008702B"/>
    <w:rsid w:val="00087F29"/>
    <w:rsid w:val="000908B8"/>
    <w:rsid w:val="000917A0"/>
    <w:rsid w:val="00092BD5"/>
    <w:rsid w:val="00092F0D"/>
    <w:rsid w:val="00095D10"/>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0617"/>
    <w:rsid w:val="000C1F61"/>
    <w:rsid w:val="000C4A92"/>
    <w:rsid w:val="000C4F8B"/>
    <w:rsid w:val="000C5064"/>
    <w:rsid w:val="000C55B6"/>
    <w:rsid w:val="000C6D11"/>
    <w:rsid w:val="000C6D47"/>
    <w:rsid w:val="000C77CB"/>
    <w:rsid w:val="000D0236"/>
    <w:rsid w:val="000D0633"/>
    <w:rsid w:val="000D0A73"/>
    <w:rsid w:val="000D1B32"/>
    <w:rsid w:val="000D4B9C"/>
    <w:rsid w:val="000D51AA"/>
    <w:rsid w:val="000D5CBE"/>
    <w:rsid w:val="000E0219"/>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84"/>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2EA6"/>
    <w:rsid w:val="00173C56"/>
    <w:rsid w:val="00174B32"/>
    <w:rsid w:val="00174F3A"/>
    <w:rsid w:val="00175044"/>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4DF0"/>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0F84"/>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048"/>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3E8"/>
    <w:rsid w:val="002A54CA"/>
    <w:rsid w:val="002A584F"/>
    <w:rsid w:val="002A6BE6"/>
    <w:rsid w:val="002A7718"/>
    <w:rsid w:val="002B03EA"/>
    <w:rsid w:val="002B115C"/>
    <w:rsid w:val="002B11DB"/>
    <w:rsid w:val="002B1209"/>
    <w:rsid w:val="002B258E"/>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072"/>
    <w:rsid w:val="002D770B"/>
    <w:rsid w:val="002E15C1"/>
    <w:rsid w:val="002E1F51"/>
    <w:rsid w:val="002E25C1"/>
    <w:rsid w:val="002E369B"/>
    <w:rsid w:val="002E36E9"/>
    <w:rsid w:val="002E371A"/>
    <w:rsid w:val="002E49EC"/>
    <w:rsid w:val="002E58BF"/>
    <w:rsid w:val="002E6147"/>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78B6"/>
    <w:rsid w:val="0031086C"/>
    <w:rsid w:val="00310C6A"/>
    <w:rsid w:val="00310C71"/>
    <w:rsid w:val="00311643"/>
    <w:rsid w:val="00311AE5"/>
    <w:rsid w:val="0031204B"/>
    <w:rsid w:val="00313686"/>
    <w:rsid w:val="00313B55"/>
    <w:rsid w:val="00313FC3"/>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5BD5"/>
    <w:rsid w:val="00326A34"/>
    <w:rsid w:val="0032732D"/>
    <w:rsid w:val="00330AA8"/>
    <w:rsid w:val="00330B23"/>
    <w:rsid w:val="00330D9C"/>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2E6E"/>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5CA9"/>
    <w:rsid w:val="0037626B"/>
    <w:rsid w:val="003769A7"/>
    <w:rsid w:val="00377B60"/>
    <w:rsid w:val="003808AB"/>
    <w:rsid w:val="0038217A"/>
    <w:rsid w:val="0038231F"/>
    <w:rsid w:val="003833A4"/>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674"/>
    <w:rsid w:val="003B490D"/>
    <w:rsid w:val="003B4A60"/>
    <w:rsid w:val="003B5279"/>
    <w:rsid w:val="003B585C"/>
    <w:rsid w:val="003B5935"/>
    <w:rsid w:val="003B5B5B"/>
    <w:rsid w:val="003B732F"/>
    <w:rsid w:val="003B79E1"/>
    <w:rsid w:val="003C2026"/>
    <w:rsid w:val="003C22F7"/>
    <w:rsid w:val="003C43B5"/>
    <w:rsid w:val="003C4B0B"/>
    <w:rsid w:val="003C4E62"/>
    <w:rsid w:val="003C5005"/>
    <w:rsid w:val="003C5E30"/>
    <w:rsid w:val="003C6B5F"/>
    <w:rsid w:val="003D09C0"/>
    <w:rsid w:val="003D1904"/>
    <w:rsid w:val="003D19F7"/>
    <w:rsid w:val="003D1F05"/>
    <w:rsid w:val="003D1FD1"/>
    <w:rsid w:val="003D55FB"/>
    <w:rsid w:val="003D76E8"/>
    <w:rsid w:val="003E1159"/>
    <w:rsid w:val="003E1175"/>
    <w:rsid w:val="003E179A"/>
    <w:rsid w:val="003E1B9E"/>
    <w:rsid w:val="003E2FDF"/>
    <w:rsid w:val="003E3DD5"/>
    <w:rsid w:val="003E4B01"/>
    <w:rsid w:val="003E503E"/>
    <w:rsid w:val="003E54C4"/>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1D4F"/>
    <w:rsid w:val="00413B42"/>
    <w:rsid w:val="0041423E"/>
    <w:rsid w:val="00414417"/>
    <w:rsid w:val="00414BAC"/>
    <w:rsid w:val="00414F28"/>
    <w:rsid w:val="0041651B"/>
    <w:rsid w:val="00416BCE"/>
    <w:rsid w:val="00420AD1"/>
    <w:rsid w:val="00421318"/>
    <w:rsid w:val="004213A2"/>
    <w:rsid w:val="00421EC4"/>
    <w:rsid w:val="004229FD"/>
    <w:rsid w:val="00422FFD"/>
    <w:rsid w:val="0042310E"/>
    <w:rsid w:val="00423860"/>
    <w:rsid w:val="004242F9"/>
    <w:rsid w:val="00424322"/>
    <w:rsid w:val="004249AC"/>
    <w:rsid w:val="00424CEC"/>
    <w:rsid w:val="00425E8C"/>
    <w:rsid w:val="00425EB9"/>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3F92"/>
    <w:rsid w:val="00444066"/>
    <w:rsid w:val="004443ED"/>
    <w:rsid w:val="00444D96"/>
    <w:rsid w:val="00444E80"/>
    <w:rsid w:val="0044567B"/>
    <w:rsid w:val="004470C1"/>
    <w:rsid w:val="00447246"/>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692F"/>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2CA8"/>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DD9"/>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232"/>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035"/>
    <w:rsid w:val="00531659"/>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47F14"/>
    <w:rsid w:val="005517FF"/>
    <w:rsid w:val="00551877"/>
    <w:rsid w:val="00553194"/>
    <w:rsid w:val="0055393D"/>
    <w:rsid w:val="0055410B"/>
    <w:rsid w:val="005542D1"/>
    <w:rsid w:val="0055430C"/>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38D"/>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0A12"/>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448"/>
    <w:rsid w:val="005F4921"/>
    <w:rsid w:val="005F5A23"/>
    <w:rsid w:val="005F5C2B"/>
    <w:rsid w:val="005F5D9C"/>
    <w:rsid w:val="005F6E12"/>
    <w:rsid w:val="005F745C"/>
    <w:rsid w:val="0060223F"/>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167"/>
    <w:rsid w:val="0061363E"/>
    <w:rsid w:val="006141A3"/>
    <w:rsid w:val="0061542D"/>
    <w:rsid w:val="00617820"/>
    <w:rsid w:val="00620144"/>
    <w:rsid w:val="006210B8"/>
    <w:rsid w:val="006214CB"/>
    <w:rsid w:val="00621557"/>
    <w:rsid w:val="00621A78"/>
    <w:rsid w:val="00621A7E"/>
    <w:rsid w:val="00621ACD"/>
    <w:rsid w:val="00622AEF"/>
    <w:rsid w:val="0062352A"/>
    <w:rsid w:val="0062358C"/>
    <w:rsid w:val="006243FA"/>
    <w:rsid w:val="006247D4"/>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16E3"/>
    <w:rsid w:val="00642F61"/>
    <w:rsid w:val="00644B6C"/>
    <w:rsid w:val="006450AD"/>
    <w:rsid w:val="00646234"/>
    <w:rsid w:val="00646FF6"/>
    <w:rsid w:val="00647DDA"/>
    <w:rsid w:val="0065049F"/>
    <w:rsid w:val="00650D95"/>
    <w:rsid w:val="00651D2B"/>
    <w:rsid w:val="00651D36"/>
    <w:rsid w:val="00651E20"/>
    <w:rsid w:val="00652156"/>
    <w:rsid w:val="006553AB"/>
    <w:rsid w:val="00655E8A"/>
    <w:rsid w:val="0065672D"/>
    <w:rsid w:val="00656EF1"/>
    <w:rsid w:val="0065745F"/>
    <w:rsid w:val="00660817"/>
    <w:rsid w:val="00660C1F"/>
    <w:rsid w:val="00662603"/>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8B2"/>
    <w:rsid w:val="00690824"/>
    <w:rsid w:val="006909CE"/>
    <w:rsid w:val="00690CA8"/>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1E9D"/>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851"/>
    <w:rsid w:val="00706508"/>
    <w:rsid w:val="0070731E"/>
    <w:rsid w:val="00710571"/>
    <w:rsid w:val="007106CF"/>
    <w:rsid w:val="00710C82"/>
    <w:rsid w:val="007111CB"/>
    <w:rsid w:val="007111DF"/>
    <w:rsid w:val="00711D5E"/>
    <w:rsid w:val="007126D7"/>
    <w:rsid w:val="00712706"/>
    <w:rsid w:val="00712B8C"/>
    <w:rsid w:val="00714EF6"/>
    <w:rsid w:val="007152DF"/>
    <w:rsid w:val="0071667A"/>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27F7E"/>
    <w:rsid w:val="007316A3"/>
    <w:rsid w:val="007316EC"/>
    <w:rsid w:val="00732118"/>
    <w:rsid w:val="007336EF"/>
    <w:rsid w:val="00733DF4"/>
    <w:rsid w:val="0073435D"/>
    <w:rsid w:val="0073483A"/>
    <w:rsid w:val="00734A48"/>
    <w:rsid w:val="00735FF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3925"/>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8B5"/>
    <w:rsid w:val="00797E5B"/>
    <w:rsid w:val="007A041D"/>
    <w:rsid w:val="007A07E9"/>
    <w:rsid w:val="007A106B"/>
    <w:rsid w:val="007A261C"/>
    <w:rsid w:val="007A3974"/>
    <w:rsid w:val="007A3CFD"/>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3CBA"/>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C7EFA"/>
    <w:rsid w:val="007D18D9"/>
    <w:rsid w:val="007D1E45"/>
    <w:rsid w:val="007D334B"/>
    <w:rsid w:val="007D34B4"/>
    <w:rsid w:val="007D366D"/>
    <w:rsid w:val="007D3AEB"/>
    <w:rsid w:val="007D42C4"/>
    <w:rsid w:val="007D461F"/>
    <w:rsid w:val="007D547A"/>
    <w:rsid w:val="007D5C1A"/>
    <w:rsid w:val="007D5D0A"/>
    <w:rsid w:val="007D640A"/>
    <w:rsid w:val="007D6446"/>
    <w:rsid w:val="007D6474"/>
    <w:rsid w:val="007D6B17"/>
    <w:rsid w:val="007D6C23"/>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540"/>
    <w:rsid w:val="008047D6"/>
    <w:rsid w:val="008048DC"/>
    <w:rsid w:val="00804B66"/>
    <w:rsid w:val="0080537A"/>
    <w:rsid w:val="0080547F"/>
    <w:rsid w:val="0080560E"/>
    <w:rsid w:val="00805700"/>
    <w:rsid w:val="008057CF"/>
    <w:rsid w:val="0080639B"/>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A76"/>
    <w:rsid w:val="0083748F"/>
    <w:rsid w:val="008408F1"/>
    <w:rsid w:val="008419E1"/>
    <w:rsid w:val="00841B10"/>
    <w:rsid w:val="00841C87"/>
    <w:rsid w:val="008423F6"/>
    <w:rsid w:val="00842E9E"/>
    <w:rsid w:val="00843D66"/>
    <w:rsid w:val="00844186"/>
    <w:rsid w:val="008446B7"/>
    <w:rsid w:val="00844782"/>
    <w:rsid w:val="00844C17"/>
    <w:rsid w:val="008502AB"/>
    <w:rsid w:val="0085041D"/>
    <w:rsid w:val="008504C2"/>
    <w:rsid w:val="00850664"/>
    <w:rsid w:val="00851C46"/>
    <w:rsid w:val="00851FAC"/>
    <w:rsid w:val="00852C2B"/>
    <w:rsid w:val="00853466"/>
    <w:rsid w:val="00853A8C"/>
    <w:rsid w:val="00856AF0"/>
    <w:rsid w:val="00856E28"/>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03"/>
    <w:rsid w:val="00875C89"/>
    <w:rsid w:val="00875E24"/>
    <w:rsid w:val="008766F4"/>
    <w:rsid w:val="008806E7"/>
    <w:rsid w:val="00881B78"/>
    <w:rsid w:val="008825A4"/>
    <w:rsid w:val="008845A2"/>
    <w:rsid w:val="008847BC"/>
    <w:rsid w:val="008850E2"/>
    <w:rsid w:val="0088566F"/>
    <w:rsid w:val="00890D46"/>
    <w:rsid w:val="00890D61"/>
    <w:rsid w:val="00892B45"/>
    <w:rsid w:val="008932A6"/>
    <w:rsid w:val="008934E9"/>
    <w:rsid w:val="008939C0"/>
    <w:rsid w:val="00896BB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177"/>
    <w:rsid w:val="008D185A"/>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1C7F"/>
    <w:rsid w:val="008F29B6"/>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6659"/>
    <w:rsid w:val="00917D4E"/>
    <w:rsid w:val="00920507"/>
    <w:rsid w:val="00920C44"/>
    <w:rsid w:val="00920D0B"/>
    <w:rsid w:val="0092245A"/>
    <w:rsid w:val="00922863"/>
    <w:rsid w:val="00922E7F"/>
    <w:rsid w:val="009230C6"/>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2FD"/>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931"/>
    <w:rsid w:val="00967AD1"/>
    <w:rsid w:val="00967B6C"/>
    <w:rsid w:val="00967F34"/>
    <w:rsid w:val="0097094B"/>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C86"/>
    <w:rsid w:val="00983EFF"/>
    <w:rsid w:val="00984ABB"/>
    <w:rsid w:val="00984ADC"/>
    <w:rsid w:val="00984E0B"/>
    <w:rsid w:val="0098534A"/>
    <w:rsid w:val="00985E10"/>
    <w:rsid w:val="00985EB0"/>
    <w:rsid w:val="009863A4"/>
    <w:rsid w:val="00986A66"/>
    <w:rsid w:val="00987024"/>
    <w:rsid w:val="0098761C"/>
    <w:rsid w:val="00987F7A"/>
    <w:rsid w:val="00990670"/>
    <w:rsid w:val="00991DC5"/>
    <w:rsid w:val="00992B09"/>
    <w:rsid w:val="0099300C"/>
    <w:rsid w:val="00993A4D"/>
    <w:rsid w:val="009948A3"/>
    <w:rsid w:val="00995424"/>
    <w:rsid w:val="00995DCD"/>
    <w:rsid w:val="009963D1"/>
    <w:rsid w:val="00997D35"/>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B19"/>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29D"/>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832"/>
    <w:rsid w:val="00A05A79"/>
    <w:rsid w:val="00A06906"/>
    <w:rsid w:val="00A078ED"/>
    <w:rsid w:val="00A079F5"/>
    <w:rsid w:val="00A12105"/>
    <w:rsid w:val="00A12797"/>
    <w:rsid w:val="00A13BBD"/>
    <w:rsid w:val="00A14455"/>
    <w:rsid w:val="00A14F1A"/>
    <w:rsid w:val="00A150E6"/>
    <w:rsid w:val="00A16285"/>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868"/>
    <w:rsid w:val="00A25E45"/>
    <w:rsid w:val="00A25E60"/>
    <w:rsid w:val="00A25FDA"/>
    <w:rsid w:val="00A26254"/>
    <w:rsid w:val="00A262F3"/>
    <w:rsid w:val="00A26A9F"/>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5EE"/>
    <w:rsid w:val="00A40B9B"/>
    <w:rsid w:val="00A40C43"/>
    <w:rsid w:val="00A42232"/>
    <w:rsid w:val="00A42B10"/>
    <w:rsid w:val="00A43CFC"/>
    <w:rsid w:val="00A43F64"/>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68E7"/>
    <w:rsid w:val="00A67961"/>
    <w:rsid w:val="00A7294F"/>
    <w:rsid w:val="00A73187"/>
    <w:rsid w:val="00A73F66"/>
    <w:rsid w:val="00A74D8B"/>
    <w:rsid w:val="00A75071"/>
    <w:rsid w:val="00A756D1"/>
    <w:rsid w:val="00A75A8D"/>
    <w:rsid w:val="00A775E2"/>
    <w:rsid w:val="00A8086B"/>
    <w:rsid w:val="00A81C7F"/>
    <w:rsid w:val="00A821C0"/>
    <w:rsid w:val="00A8233F"/>
    <w:rsid w:val="00A82B7C"/>
    <w:rsid w:val="00A82B89"/>
    <w:rsid w:val="00A82CBA"/>
    <w:rsid w:val="00A82E80"/>
    <w:rsid w:val="00A8313D"/>
    <w:rsid w:val="00A83D64"/>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0129"/>
    <w:rsid w:val="00AB1066"/>
    <w:rsid w:val="00AB14CA"/>
    <w:rsid w:val="00AB16FC"/>
    <w:rsid w:val="00AB523E"/>
    <w:rsid w:val="00AB54D3"/>
    <w:rsid w:val="00AB710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BFD"/>
    <w:rsid w:val="00AF2D57"/>
    <w:rsid w:val="00AF47FE"/>
    <w:rsid w:val="00AF4814"/>
    <w:rsid w:val="00AF54DD"/>
    <w:rsid w:val="00AF5DA3"/>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18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112C"/>
    <w:rsid w:val="00B4299C"/>
    <w:rsid w:val="00B4499D"/>
    <w:rsid w:val="00B4536A"/>
    <w:rsid w:val="00B455D6"/>
    <w:rsid w:val="00B467DB"/>
    <w:rsid w:val="00B4737C"/>
    <w:rsid w:val="00B477D1"/>
    <w:rsid w:val="00B47865"/>
    <w:rsid w:val="00B47918"/>
    <w:rsid w:val="00B47ABE"/>
    <w:rsid w:val="00B512F7"/>
    <w:rsid w:val="00B51F46"/>
    <w:rsid w:val="00B52ECF"/>
    <w:rsid w:val="00B53426"/>
    <w:rsid w:val="00B5550C"/>
    <w:rsid w:val="00B55B45"/>
    <w:rsid w:val="00B56816"/>
    <w:rsid w:val="00B578E6"/>
    <w:rsid w:val="00B60AAB"/>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0AA"/>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ABA"/>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4F4B"/>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3195"/>
    <w:rsid w:val="00CF36A9"/>
    <w:rsid w:val="00CF3C71"/>
    <w:rsid w:val="00CF3EF6"/>
    <w:rsid w:val="00CF3FB0"/>
    <w:rsid w:val="00CF43C2"/>
    <w:rsid w:val="00CF48E4"/>
    <w:rsid w:val="00CF4973"/>
    <w:rsid w:val="00CF4B0F"/>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2AD6"/>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57B94"/>
    <w:rsid w:val="00D650D6"/>
    <w:rsid w:val="00D66249"/>
    <w:rsid w:val="00D70631"/>
    <w:rsid w:val="00D70C93"/>
    <w:rsid w:val="00D71810"/>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259A"/>
    <w:rsid w:val="00D835B5"/>
    <w:rsid w:val="00D83938"/>
    <w:rsid w:val="00D8399A"/>
    <w:rsid w:val="00D8413C"/>
    <w:rsid w:val="00D8618C"/>
    <w:rsid w:val="00D87422"/>
    <w:rsid w:val="00D87DD9"/>
    <w:rsid w:val="00D90149"/>
    <w:rsid w:val="00D908DE"/>
    <w:rsid w:val="00D90B9E"/>
    <w:rsid w:val="00D91015"/>
    <w:rsid w:val="00D91898"/>
    <w:rsid w:val="00D9565D"/>
    <w:rsid w:val="00D96E10"/>
    <w:rsid w:val="00D978A9"/>
    <w:rsid w:val="00D97EA3"/>
    <w:rsid w:val="00DA0174"/>
    <w:rsid w:val="00DA01C2"/>
    <w:rsid w:val="00DA0526"/>
    <w:rsid w:val="00DA054A"/>
    <w:rsid w:val="00DA09E7"/>
    <w:rsid w:val="00DA114C"/>
    <w:rsid w:val="00DA18E4"/>
    <w:rsid w:val="00DA2009"/>
    <w:rsid w:val="00DA3315"/>
    <w:rsid w:val="00DA62AA"/>
    <w:rsid w:val="00DA74BE"/>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6A4A"/>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112F"/>
    <w:rsid w:val="00E11F0A"/>
    <w:rsid w:val="00E12BE0"/>
    <w:rsid w:val="00E1388A"/>
    <w:rsid w:val="00E13F24"/>
    <w:rsid w:val="00E144D4"/>
    <w:rsid w:val="00E14AA6"/>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4C1C"/>
    <w:rsid w:val="00E3693C"/>
    <w:rsid w:val="00E37690"/>
    <w:rsid w:val="00E37F4E"/>
    <w:rsid w:val="00E400BD"/>
    <w:rsid w:val="00E404C8"/>
    <w:rsid w:val="00E4064A"/>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1DE"/>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DFE"/>
    <w:rsid w:val="00E725C3"/>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1617"/>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5BB"/>
    <w:rsid w:val="00F05EFB"/>
    <w:rsid w:val="00F07A95"/>
    <w:rsid w:val="00F1051A"/>
    <w:rsid w:val="00F10B6B"/>
    <w:rsid w:val="00F11CBC"/>
    <w:rsid w:val="00F126C4"/>
    <w:rsid w:val="00F12FAF"/>
    <w:rsid w:val="00F133D6"/>
    <w:rsid w:val="00F13EB3"/>
    <w:rsid w:val="00F141A8"/>
    <w:rsid w:val="00F14C57"/>
    <w:rsid w:val="00F17C7D"/>
    <w:rsid w:val="00F17E47"/>
    <w:rsid w:val="00F22EC4"/>
    <w:rsid w:val="00F23179"/>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07"/>
    <w:rsid w:val="00F42F46"/>
    <w:rsid w:val="00F430E5"/>
    <w:rsid w:val="00F44642"/>
    <w:rsid w:val="00F46E09"/>
    <w:rsid w:val="00F5092F"/>
    <w:rsid w:val="00F510FA"/>
    <w:rsid w:val="00F51DBB"/>
    <w:rsid w:val="00F52AF4"/>
    <w:rsid w:val="00F53197"/>
    <w:rsid w:val="00F53406"/>
    <w:rsid w:val="00F548BA"/>
    <w:rsid w:val="00F55BDB"/>
    <w:rsid w:val="00F57F61"/>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38E7"/>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376"/>
    <w:rsid w:val="00FD2DF3"/>
    <w:rsid w:val="00FD35D0"/>
    <w:rsid w:val="00FD4D99"/>
    <w:rsid w:val="00FD6E7C"/>
    <w:rsid w:val="00FD700F"/>
    <w:rsid w:val="00FD7837"/>
    <w:rsid w:val="00FE0575"/>
    <w:rsid w:val="00FE1564"/>
    <w:rsid w:val="00FE1E9E"/>
    <w:rsid w:val="00FE25BD"/>
    <w:rsid w:val="00FE4104"/>
    <w:rsid w:val="00FE45A3"/>
    <w:rsid w:val="00FE469F"/>
    <w:rsid w:val="00FE49B4"/>
    <w:rsid w:val="00FE5134"/>
    <w:rsid w:val="00FE5903"/>
    <w:rsid w:val="00FE60DA"/>
    <w:rsid w:val="00FE6DCF"/>
    <w:rsid w:val="00FE700C"/>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ullet2">
    <w:name w:val="Table bullet 2"/>
    <w:basedOn w:val="ListBullet2"/>
    <w:qFormat/>
    <w:rsid w:val="0032732D"/>
    <w:pPr>
      <w:numPr>
        <w:numId w:val="13"/>
      </w:numP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27BE72-F491-4EEB-8D79-F5CB9C97AEFE}"/>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87E332B7-3D96-4069-8B93-712D5D057194}"/>
</file>

<file path=docProps/app.xml><?xml version="1.0" encoding="utf-8"?>
<Properties xmlns="http://schemas.openxmlformats.org/officeDocument/2006/extended-properties" xmlns:vt="http://schemas.openxmlformats.org/officeDocument/2006/docPropsVTypes">
  <Template>Normal</Template>
  <TotalTime>54</TotalTime>
  <Pages>13</Pages>
  <Words>3100</Words>
  <Characters>17489</Characters>
  <Application>Microsoft Office Word</Application>
  <DocSecurity>0</DocSecurity>
  <Lines>546</Lines>
  <Paragraphs>311</Paragraphs>
  <ScaleCrop>false</ScaleCrop>
  <HeadingPairs>
    <vt:vector size="2" baseType="variant">
      <vt:variant>
        <vt:lpstr>Title</vt:lpstr>
      </vt:variant>
      <vt:variant>
        <vt:i4>1</vt:i4>
      </vt:variant>
    </vt:vector>
  </HeadingPairs>
  <TitlesOfParts>
    <vt:vector size="1" baseType="lpstr">
      <vt:lpstr>Approved arrangements for 7.6: Laboratory xenopus - requirements</vt:lpstr>
    </vt:vector>
  </TitlesOfParts>
  <Company>Department of Agriculture Fisheries &amp; Forestry</Company>
  <LinksUpToDate>false</LinksUpToDate>
  <CharactersWithSpaces>20278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7.6: Laboratory xenopus - requirements</dc:title>
  <dc:creator>Department of Agriculture and Water Resources</dc:creator>
  <cp:lastModifiedBy>Dang, Van</cp:lastModifiedBy>
  <cp:revision>9</cp:revision>
  <cp:lastPrinted>2017-06-21T01:13:00Z</cp:lastPrinted>
  <dcterms:created xsi:type="dcterms:W3CDTF">2017-04-10T05:43:00Z</dcterms:created>
  <dcterms:modified xsi:type="dcterms:W3CDTF">2017-06-21T01:13:00Z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