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09" w14:textId="05C4F859" w:rsidR="00A468EB" w:rsidRPr="00A468EB" w:rsidRDefault="009164BE" w:rsidP="00A468EB">
      <w:pPr>
        <w:pStyle w:val="Heading1"/>
      </w:pPr>
      <w:r>
        <w:t>Identifying and resolving an AEP error</w:t>
      </w:r>
    </w:p>
    <w:p w14:paraId="067EE7C5" w14:textId="77777777" w:rsidR="009164BE" w:rsidRDefault="009164BE" w:rsidP="009164BE">
      <w:r>
        <w:t>This task card describes the types of system errors generated through Automated Entry Processing (AEP) and the necessary action required to rectify the concern. There are four types of errors:</w:t>
      </w:r>
    </w:p>
    <w:p w14:paraId="4D8E1C40" w14:textId="77777777" w:rsidR="009164BE" w:rsidRDefault="009164BE" w:rsidP="009164BE">
      <w:r>
        <w:t>•</w:t>
      </w:r>
      <w:r>
        <w:tab/>
        <w:t>Re-lodge</w:t>
      </w:r>
    </w:p>
    <w:p w14:paraId="5FDE991E" w14:textId="77777777" w:rsidR="009164BE" w:rsidRDefault="009164BE" w:rsidP="009164BE">
      <w:r>
        <w:t>•</w:t>
      </w:r>
      <w:r>
        <w:tab/>
        <w:t xml:space="preserve">AEP processing error </w:t>
      </w:r>
    </w:p>
    <w:p w14:paraId="79A4F3E1" w14:textId="77777777" w:rsidR="009164BE" w:rsidRDefault="009164BE" w:rsidP="009164BE">
      <w:r>
        <w:t>•</w:t>
      </w:r>
      <w:r>
        <w:tab/>
        <w:t>Document processing required</w:t>
      </w:r>
    </w:p>
    <w:p w14:paraId="482CF2BA" w14:textId="10C5FBD1" w:rsidR="009164BE" w:rsidRDefault="009164BE" w:rsidP="009164BE">
      <w:r>
        <w:t>•</w:t>
      </w:r>
      <w:r>
        <w:tab/>
        <w:t>Additional processing – ICS major amendment</w:t>
      </w:r>
      <w:r w:rsidR="00724816">
        <w:t>.</w:t>
      </w:r>
    </w:p>
    <w:p w14:paraId="7078101F" w14:textId="5DE0071F" w:rsidR="009164BE" w:rsidRDefault="009164BE" w:rsidP="00A468EB">
      <w:r>
        <w:t>These are outlined in more detail below.</w:t>
      </w:r>
    </w:p>
    <w:p w14:paraId="0E4AEF4B" w14:textId="74A198D4" w:rsidR="00B440B9" w:rsidRPr="00366CF8" w:rsidRDefault="009164BE" w:rsidP="009164BE">
      <w:pPr>
        <w:pStyle w:val="Heading2"/>
      </w:pPr>
      <w:r>
        <w:t>Re-lodge</w:t>
      </w:r>
    </w:p>
    <w:p w14:paraId="73D82A63" w14:textId="77777777" w:rsidR="009164BE" w:rsidRDefault="009164BE" w:rsidP="009164BE">
      <w:r>
        <w:t xml:space="preserve">A </w:t>
      </w:r>
      <w:r w:rsidRPr="009164BE">
        <w:rPr>
          <w:b/>
        </w:rPr>
        <w:t>re-lodge</w:t>
      </w:r>
      <w:r>
        <w:t xml:space="preserve"> direction will be generated when there is not enough information supplied, or there is an error in the information entered in the import declaration. </w:t>
      </w:r>
    </w:p>
    <w:p w14:paraId="46DEFE2B" w14:textId="77777777" w:rsidR="009164BE" w:rsidRDefault="009164BE" w:rsidP="009164BE">
      <w:r w:rsidRPr="009164BE">
        <w:rPr>
          <w:b/>
        </w:rPr>
        <w:t>Re-lodge</w:t>
      </w:r>
      <w:r>
        <w:t xml:space="preserve"> directions will be generated if the </w:t>
      </w:r>
      <w:proofErr w:type="spellStart"/>
      <w:r>
        <w:t>lodgement</w:t>
      </w:r>
      <w:proofErr w:type="spellEnd"/>
      <w:r>
        <w:t xml:space="preserve"> contains one or more of the following:</w:t>
      </w:r>
    </w:p>
    <w:p w14:paraId="73C9882B" w14:textId="498BC00C" w:rsidR="009164BE" w:rsidRDefault="009164BE" w:rsidP="00CD67BF">
      <w:pPr>
        <w:pStyle w:val="ListParagraph"/>
        <w:numPr>
          <w:ilvl w:val="0"/>
          <w:numId w:val="30"/>
        </w:numPr>
      </w:pPr>
      <w:r>
        <w:t xml:space="preserve">conflicting answer to general declaration question 7 (FCL) or 9 (LCL) and the concern type entered/not entered in the declaration </w:t>
      </w:r>
    </w:p>
    <w:p w14:paraId="1579BD94" w14:textId="6F0BF2F3" w:rsidR="009164BE" w:rsidRDefault="009164BE" w:rsidP="00CD67BF">
      <w:pPr>
        <w:pStyle w:val="ListParagraph"/>
        <w:numPr>
          <w:ilvl w:val="0"/>
          <w:numId w:val="30"/>
        </w:numPr>
      </w:pPr>
      <w:r>
        <w:t>invalid cargo type for the concern type entered</w:t>
      </w:r>
    </w:p>
    <w:p w14:paraId="56530943" w14:textId="7C86405F" w:rsidR="00E3236F" w:rsidRDefault="00E3236F" w:rsidP="00CD67BF">
      <w:pPr>
        <w:pStyle w:val="ListParagraph"/>
        <w:numPr>
          <w:ilvl w:val="0"/>
          <w:numId w:val="30"/>
        </w:numPr>
      </w:pPr>
      <w:r>
        <w:t xml:space="preserve">invalid </w:t>
      </w:r>
      <w:r w:rsidR="00ED1CBB">
        <w:t xml:space="preserve">associating of </w:t>
      </w:r>
      <w:r>
        <w:t>line</w:t>
      </w:r>
      <w:r w:rsidR="00ED1CBB">
        <w:t xml:space="preserve"> to </w:t>
      </w:r>
      <w:r>
        <w:t xml:space="preserve">container </w:t>
      </w:r>
    </w:p>
    <w:p w14:paraId="7A6A963A" w14:textId="7E3BD950" w:rsidR="009164BE" w:rsidRDefault="009164BE" w:rsidP="00CD67BF">
      <w:pPr>
        <w:pStyle w:val="ListParagraph"/>
        <w:numPr>
          <w:ilvl w:val="0"/>
          <w:numId w:val="30"/>
        </w:numPr>
      </w:pPr>
      <w:r>
        <w:t>conflicting concern types TFUM and TDIS entered</w:t>
      </w:r>
    </w:p>
    <w:p w14:paraId="66122980" w14:textId="31BFD201" w:rsidR="009164BE" w:rsidRDefault="009164BE" w:rsidP="00CD67BF">
      <w:pPr>
        <w:pStyle w:val="ListParagraph"/>
        <w:numPr>
          <w:ilvl w:val="0"/>
          <w:numId w:val="30"/>
        </w:numPr>
      </w:pPr>
      <w:r>
        <w:t xml:space="preserve">invalid AEPCOMM code </w:t>
      </w:r>
    </w:p>
    <w:p w14:paraId="61CF0C35" w14:textId="61325D94" w:rsidR="009164BE" w:rsidRDefault="009164BE" w:rsidP="00CD67BF">
      <w:pPr>
        <w:pStyle w:val="ListParagraph"/>
        <w:numPr>
          <w:ilvl w:val="0"/>
          <w:numId w:val="30"/>
        </w:numPr>
      </w:pPr>
      <w:r>
        <w:t xml:space="preserve">multiple outcomes selected for the one commodity group </w:t>
      </w:r>
    </w:p>
    <w:p w14:paraId="26C18C23" w14:textId="729D79E7" w:rsidR="009164BE" w:rsidRDefault="009164BE" w:rsidP="00CD67BF">
      <w:pPr>
        <w:pStyle w:val="ListParagraph"/>
        <w:numPr>
          <w:ilvl w:val="0"/>
          <w:numId w:val="30"/>
        </w:numPr>
      </w:pPr>
      <w:r>
        <w:t>invalid or missing location for the AEPCOMM</w:t>
      </w:r>
      <w:r w:rsidR="00677BC6">
        <w:t xml:space="preserve"> code or concern type entered.</w:t>
      </w:r>
    </w:p>
    <w:p w14:paraId="6A29E9D6" w14:textId="51AD33C2" w:rsidR="009164BE" w:rsidRDefault="009164BE" w:rsidP="009164BE">
      <w:r>
        <w:t xml:space="preserve">If you receive the </w:t>
      </w:r>
      <w:r w:rsidRPr="009164BE">
        <w:rPr>
          <w:b/>
        </w:rPr>
        <w:t>re-lodge</w:t>
      </w:r>
      <w:r>
        <w:t xml:space="preserve"> direction you will need to amend the import declaration in ICS </w:t>
      </w:r>
      <w:r w:rsidR="00ED1CBB">
        <w:t xml:space="preserve">or </w:t>
      </w:r>
      <w:r w:rsidR="00245F27">
        <w:t>third-</w:t>
      </w:r>
      <w:r w:rsidR="00ED1CBB">
        <w:t xml:space="preserve">party software </w:t>
      </w:r>
      <w:r>
        <w:t xml:space="preserve">to relieve the concern raised, this cannot be actioned by the department. </w:t>
      </w:r>
    </w:p>
    <w:p w14:paraId="46813A0E" w14:textId="64FCAFC0" w:rsidR="009164BE" w:rsidRDefault="009164BE" w:rsidP="009164BE">
      <w:r>
        <w:t xml:space="preserve">Once amended, the consignment will re-process through AEP and an automated direction will be generated. In some cases, the update may be deemed a major amendment. You will be notified if this has occurred and documentation will be required to be presented to the department through the Cargo Online </w:t>
      </w:r>
      <w:proofErr w:type="spellStart"/>
      <w:r>
        <w:t>Lodgement</w:t>
      </w:r>
      <w:proofErr w:type="spellEnd"/>
      <w:r>
        <w:t xml:space="preserve"> System (COLS).</w:t>
      </w:r>
    </w:p>
    <w:p w14:paraId="15CDF407" w14:textId="77777777" w:rsidR="009164BE" w:rsidRDefault="009164BE" w:rsidP="009164BE">
      <w:pPr>
        <w:pStyle w:val="Heading2"/>
      </w:pPr>
      <w:r>
        <w:t>AEP processing error</w:t>
      </w:r>
    </w:p>
    <w:p w14:paraId="17BE4966" w14:textId="0E419EC6" w:rsidR="009164BE" w:rsidRDefault="009164BE" w:rsidP="009164BE">
      <w:r>
        <w:t xml:space="preserve">An </w:t>
      </w:r>
      <w:r w:rsidRPr="00A42CE8">
        <w:rPr>
          <w:b/>
        </w:rPr>
        <w:t>AEP processing error</w:t>
      </w:r>
      <w:r>
        <w:t xml:space="preserve"> direction will be applied when the information entered in your import declaration does not meet one or more of the requirements of the Class 19.1 and/or Class 19.2 approved arrangements. It is important to understand the reason why the error has occurred to ensure future consignments meet all operating requirements.</w:t>
      </w:r>
    </w:p>
    <w:p w14:paraId="7A129396" w14:textId="77777777" w:rsidR="009164BE" w:rsidRDefault="009164BE" w:rsidP="009164BE">
      <w:r>
        <w:t>AEP processing errors will be generated if one or more of the following apply:</w:t>
      </w:r>
    </w:p>
    <w:p w14:paraId="35B4D0E9" w14:textId="77777777" w:rsidR="009164BE" w:rsidRDefault="009164BE" w:rsidP="009164BE">
      <w:pPr>
        <w:pStyle w:val="ListParagraph"/>
        <w:widowControl/>
        <w:numPr>
          <w:ilvl w:val="0"/>
          <w:numId w:val="26"/>
        </w:numPr>
        <w:spacing w:before="60" w:after="60" w:line="276" w:lineRule="auto"/>
        <w:ind w:right="0"/>
      </w:pPr>
      <w:r>
        <w:t>the branch and/or broker is not accredited or approved for AEP under NCCC or AEPCOMM approved arrangements</w:t>
      </w:r>
    </w:p>
    <w:p w14:paraId="74BF5860" w14:textId="77777777" w:rsidR="009164BE" w:rsidRDefault="009164BE" w:rsidP="009164BE">
      <w:pPr>
        <w:pStyle w:val="ListParagraph"/>
        <w:widowControl/>
        <w:numPr>
          <w:ilvl w:val="0"/>
          <w:numId w:val="26"/>
        </w:numPr>
        <w:spacing w:before="60" w:after="60" w:line="276" w:lineRule="auto"/>
        <w:ind w:right="0"/>
      </w:pPr>
      <w:r>
        <w:t>the AEPCOMM code entered is not suitable for the commodity (e.g. tariff group or cargo type not approved pathway in BICON and the Class 19.2 AA)</w:t>
      </w:r>
    </w:p>
    <w:p w14:paraId="516A151F" w14:textId="54D0C052" w:rsidR="00D376CD" w:rsidRDefault="009164BE" w:rsidP="00D376CD">
      <w:pPr>
        <w:pStyle w:val="ListParagraph"/>
        <w:widowControl/>
        <w:numPr>
          <w:ilvl w:val="0"/>
          <w:numId w:val="26"/>
        </w:numPr>
        <w:spacing w:before="60" w:after="60" w:line="276" w:lineRule="auto"/>
        <w:ind w:right="0"/>
      </w:pPr>
      <w:r>
        <w:t>the goods are subject to a high risk Community Protection (CP) profile where the commodity is no longer ‘in scope’ of AEPCOMM</w:t>
      </w:r>
    </w:p>
    <w:p w14:paraId="676EE93F" w14:textId="139F422B" w:rsidR="00D376CD" w:rsidRDefault="00D376CD" w:rsidP="00D376CD">
      <w:pPr>
        <w:pStyle w:val="ListParagraph"/>
        <w:widowControl/>
        <w:numPr>
          <w:ilvl w:val="0"/>
          <w:numId w:val="26"/>
        </w:numPr>
        <w:spacing w:before="60" w:after="60" w:line="276" w:lineRule="auto"/>
        <w:ind w:right="0"/>
      </w:pPr>
      <w:r>
        <w:lastRenderedPageBreak/>
        <w:t>the consignment consists of mixed cargo types other than FCL/FCX (</w:t>
      </w:r>
      <w:r w:rsidR="007C0413">
        <w:t>e.g.,</w:t>
      </w:r>
      <w:r>
        <w:t xml:space="preserve"> FCL and B/B), mixed cargo types are not suitable for the NCCC and AEPCOMM approved arrangements.</w:t>
      </w:r>
      <w:r w:rsidR="005D2FE7">
        <w:t xml:space="preserve"> Refer to task card ‘Lodging non-standard AEP </w:t>
      </w:r>
      <w:proofErr w:type="gramStart"/>
      <w:r w:rsidR="005D2FE7">
        <w:t>consignments’</w:t>
      </w:r>
      <w:proofErr w:type="gramEnd"/>
      <w:r w:rsidR="00ED1CBB">
        <w:t>.</w:t>
      </w:r>
    </w:p>
    <w:p w14:paraId="4F698F69" w14:textId="5777AEEB" w:rsidR="00677BC6" w:rsidRDefault="009164BE" w:rsidP="00677BC6">
      <w:pPr>
        <w:widowControl/>
        <w:spacing w:before="0" w:after="0"/>
        <w:ind w:right="0"/>
        <w:rPr>
          <w:rStyle w:val="Hyperlink"/>
          <w:rFonts w:cs="Calibri"/>
        </w:rPr>
      </w:pPr>
      <w:r>
        <w:t xml:space="preserve">In the above scenarios, you will need to submit your import documentation through COLS for assessment. Amending the declaration will not rectify the processing error. </w:t>
      </w:r>
      <w:r w:rsidRPr="005D0F43">
        <w:t xml:space="preserve">Repeated incorrect </w:t>
      </w:r>
      <w:proofErr w:type="spellStart"/>
      <w:r w:rsidRPr="005D0F43">
        <w:t>lodgement</w:t>
      </w:r>
      <w:r>
        <w:t>s</w:t>
      </w:r>
      <w:proofErr w:type="spellEnd"/>
      <w:r w:rsidRPr="005D0F43">
        <w:t xml:space="preserve"> resulting in AEP processing errors </w:t>
      </w:r>
      <w:r>
        <w:t>may</w:t>
      </w:r>
      <w:r w:rsidRPr="005D0F43">
        <w:t xml:space="preserve"> be considered non-com</w:t>
      </w:r>
      <w:r w:rsidR="00677BC6">
        <w:t>pliance against the arrangement</w:t>
      </w:r>
      <w:r w:rsidR="00ED1CBB">
        <w:t>.</w:t>
      </w:r>
    </w:p>
    <w:p w14:paraId="74AA8870" w14:textId="77777777" w:rsidR="00677BC6" w:rsidRDefault="00677BC6" w:rsidP="00677BC6">
      <w:pPr>
        <w:pStyle w:val="Heading2"/>
      </w:pPr>
      <w:r>
        <w:t>Document processing required</w:t>
      </w:r>
    </w:p>
    <w:p w14:paraId="4D5BEED6" w14:textId="77777777" w:rsidR="00677BC6" w:rsidRDefault="00677BC6" w:rsidP="00677BC6">
      <w:r>
        <w:t xml:space="preserve">An </w:t>
      </w:r>
      <w:r w:rsidRPr="00A42CE8">
        <w:rPr>
          <w:b/>
        </w:rPr>
        <w:t>Automatic Entry Processing – Document</w:t>
      </w:r>
      <w:r>
        <w:t xml:space="preserve"> </w:t>
      </w:r>
      <w:r w:rsidRPr="00A42CE8">
        <w:rPr>
          <w:b/>
        </w:rPr>
        <w:t>processing required</w:t>
      </w:r>
      <w:r>
        <w:t xml:space="preserve"> direction will be applied when the documentation needs to be referred to the department for assessment. </w:t>
      </w:r>
    </w:p>
    <w:p w14:paraId="5AE65824" w14:textId="77777777" w:rsidR="00677BC6" w:rsidRDefault="00677BC6" w:rsidP="00677BC6">
      <w:r>
        <w:t>Document processing required is not considered a system error, however this will be applied in the following cases:</w:t>
      </w:r>
    </w:p>
    <w:p w14:paraId="51D03318" w14:textId="77777777" w:rsidR="00677BC6" w:rsidRDefault="00677BC6" w:rsidP="00677BC6">
      <w:pPr>
        <w:pStyle w:val="ListParagraph"/>
        <w:widowControl/>
        <w:numPr>
          <w:ilvl w:val="0"/>
          <w:numId w:val="27"/>
        </w:numPr>
        <w:spacing w:before="60" w:after="60" w:line="276" w:lineRule="auto"/>
        <w:ind w:right="0"/>
      </w:pPr>
      <w:r>
        <w:t xml:space="preserve">When concern types </w:t>
      </w:r>
      <w:r w:rsidRPr="00AC697D">
        <w:t>BNCC</w:t>
      </w:r>
      <w:r>
        <w:t xml:space="preserve"> or BCOM have been entered.</w:t>
      </w:r>
    </w:p>
    <w:p w14:paraId="3B450DA4" w14:textId="77777777" w:rsidR="00677BC6" w:rsidRDefault="00677BC6" w:rsidP="00677BC6">
      <w:pPr>
        <w:pStyle w:val="ListParagraph"/>
        <w:widowControl/>
        <w:numPr>
          <w:ilvl w:val="0"/>
          <w:numId w:val="27"/>
        </w:numPr>
        <w:spacing w:before="60" w:after="60" w:line="276" w:lineRule="auto"/>
        <w:ind w:right="0"/>
      </w:pPr>
      <w:r>
        <w:t>The consignment contains a concern type for the non-commodity and the commodity requires assessment. The non-commodity AEP direction will be applied in addition to the document processing required direction.</w:t>
      </w:r>
    </w:p>
    <w:p w14:paraId="39A2EBD9" w14:textId="587826E9" w:rsidR="00677BC6" w:rsidRDefault="00677BC6" w:rsidP="00677BC6">
      <w:pPr>
        <w:pStyle w:val="ListParagraph"/>
        <w:widowControl/>
        <w:numPr>
          <w:ilvl w:val="0"/>
          <w:numId w:val="27"/>
        </w:numPr>
        <w:spacing w:before="60" w:after="60" w:line="276" w:lineRule="auto"/>
        <w:ind w:right="0"/>
      </w:pPr>
      <w:r>
        <w:t>If an AEPCOMM code has been populated on some lines of an entry and there are other active lines without an AEPCOMM code. The AEP direction/s will be applied in addition to the document processing required direction.</w:t>
      </w:r>
    </w:p>
    <w:p w14:paraId="3A3EC9BC" w14:textId="77777777" w:rsidR="00677BC6" w:rsidRDefault="00677BC6" w:rsidP="00677BC6">
      <w:r>
        <w:t xml:space="preserve">If you receive a </w:t>
      </w:r>
      <w:r w:rsidRPr="00A42CE8">
        <w:rPr>
          <w:b/>
        </w:rPr>
        <w:t>document processing required</w:t>
      </w:r>
      <w:r>
        <w:t xml:space="preserve"> direction you will need to submit import documentation through COLS. If BCOM or BNCC has been entered, you should include information on the reason you are volunteering the consignment for assessment.</w:t>
      </w:r>
    </w:p>
    <w:p w14:paraId="38E412EB" w14:textId="19A705F9" w:rsidR="00677BC6" w:rsidRDefault="00677BC6" w:rsidP="00677BC6">
      <w:pPr>
        <w:pStyle w:val="Heading2"/>
      </w:pPr>
      <w:r>
        <w:t>ICS major amendment</w:t>
      </w:r>
    </w:p>
    <w:p w14:paraId="0B810BC0" w14:textId="5B7A7EEE" w:rsidR="00677BC6" w:rsidRDefault="00677BC6" w:rsidP="00677BC6">
      <w:r>
        <w:t xml:space="preserve">An </w:t>
      </w:r>
      <w:r w:rsidRPr="00161744">
        <w:rPr>
          <w:b/>
        </w:rPr>
        <w:t>Additional Processing - ICS major amendment</w:t>
      </w:r>
      <w:r>
        <w:rPr>
          <w:b/>
        </w:rPr>
        <w:t xml:space="preserve"> </w:t>
      </w:r>
      <w:r>
        <w:t xml:space="preserve">direction will be applied when an amendment has been made to the import declaration that cannot be automatically updated through the system. In these circumstances documentation will need to be submitted through COLS. Upfront payment may be required, refer to task card </w:t>
      </w:r>
      <w:hyperlink r:id="rId8" w:history="1">
        <w:r w:rsidRPr="00165FE4">
          <w:rPr>
            <w:rStyle w:val="Hyperlink"/>
          </w:rPr>
          <w:t xml:space="preserve">How do I pay for my new </w:t>
        </w:r>
        <w:proofErr w:type="spellStart"/>
        <w:r w:rsidRPr="00165FE4">
          <w:rPr>
            <w:rStyle w:val="Hyperlink"/>
          </w:rPr>
          <w:t>lodgement</w:t>
        </w:r>
        <w:proofErr w:type="spellEnd"/>
      </w:hyperlink>
      <w:r>
        <w:t>.</w:t>
      </w:r>
    </w:p>
    <w:p w14:paraId="226DA7AD" w14:textId="5C3C4395" w:rsidR="00677BC6" w:rsidRDefault="00677BC6" w:rsidP="00677BC6">
      <w:r>
        <w:t xml:space="preserve">Location changes may be actioned </w:t>
      </w:r>
      <w:r w:rsidR="00BE41DB">
        <w:t xml:space="preserve">by requesting through COLS or </w:t>
      </w:r>
      <w:r>
        <w:t>over the phone by contacting 1800 900 090. Amendment charges apply and documentation may be requested by the biosecurity officer to confirm the change of location is suitable.</w:t>
      </w:r>
    </w:p>
    <w:p w14:paraId="05645877" w14:textId="77777777" w:rsidR="00677BC6" w:rsidRPr="00161744" w:rsidRDefault="00677BC6" w:rsidP="00677BC6"/>
    <w:p w14:paraId="63C6677F" w14:textId="77777777" w:rsidR="00677BC6" w:rsidRPr="002A7DD6" w:rsidRDefault="00677BC6" w:rsidP="00677BC6">
      <w:pPr>
        <w:rPr>
          <w:i/>
        </w:rPr>
      </w:pPr>
      <w:r>
        <w:rPr>
          <w:i/>
        </w:rPr>
        <w:t xml:space="preserve">If further assistance is required please contact </w:t>
      </w:r>
      <w:hyperlink r:id="rId9" w:history="1">
        <w:r w:rsidRPr="006D42F9">
          <w:rPr>
            <w:rStyle w:val="Hyperlink"/>
            <w:i/>
          </w:rPr>
          <w:t>AEPsupport@agriculture.gov.au</w:t>
        </w:r>
      </w:hyperlink>
      <w:r>
        <w:rPr>
          <w:i/>
        </w:rPr>
        <w:t xml:space="preserve"> or call 1800 900 090</w:t>
      </w:r>
    </w:p>
    <w:p w14:paraId="6E715B9B" w14:textId="36253B2D" w:rsidR="00BD4894" w:rsidRPr="00366CF8" w:rsidRDefault="00BD4894" w:rsidP="00677BC6"/>
    <w:sectPr w:rsidR="00BD4894" w:rsidRPr="00366CF8" w:rsidSect="003D734E">
      <w:headerReference w:type="default" r:id="rId10"/>
      <w:footerReference w:type="default" r:id="rId11"/>
      <w:headerReference w:type="first" r:id="rId12"/>
      <w:pgSz w:w="11906" w:h="16838"/>
      <w:pgMar w:top="993" w:right="720" w:bottom="709" w:left="72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4D69" w14:textId="77777777" w:rsidR="00641644" w:rsidRDefault="00641644" w:rsidP="00A468EB">
      <w:r>
        <w:separator/>
      </w:r>
    </w:p>
  </w:endnote>
  <w:endnote w:type="continuationSeparator" w:id="0">
    <w:p w14:paraId="0A5F8399" w14:textId="77777777" w:rsidR="00641644" w:rsidRDefault="00641644" w:rsidP="00A4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4CFB" w14:textId="77777777" w:rsidR="003D734E" w:rsidRPr="00EC4F22" w:rsidRDefault="00711557" w:rsidP="003D734E">
    <w:pPr>
      <w:pStyle w:val="Footer"/>
    </w:pPr>
    <w:r w:rsidRPr="00EC4F22">
      <w:sym w:font="Wingdings" w:char="F02A"/>
    </w:r>
    <w:r>
      <w:t xml:space="preserve"> </w:t>
    </w:r>
  </w:p>
  <w:tbl>
    <w:tblPr>
      <w:tblStyle w:val="TableGrid"/>
      <w:tblW w:w="113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57C6C"/>
      <w:tblLook w:val="04A0" w:firstRow="1" w:lastRow="0" w:firstColumn="1" w:lastColumn="0" w:noHBand="0" w:noVBand="1"/>
    </w:tblPr>
    <w:tblGrid>
      <w:gridCol w:w="11341"/>
    </w:tblGrid>
    <w:tr w:rsidR="003D734E" w14:paraId="4F3D71C9" w14:textId="77777777" w:rsidTr="003D734E">
      <w:trPr>
        <w:trHeight w:val="1275"/>
      </w:trPr>
      <w:tc>
        <w:tcPr>
          <w:tcW w:w="11341" w:type="dxa"/>
          <w:shd w:val="clear" w:color="auto" w:fill="857C6C"/>
        </w:tcPr>
        <w:p w14:paraId="3C384712" w14:textId="3C52E542" w:rsidR="003D734E" w:rsidRPr="00EC4F22" w:rsidRDefault="00000000" w:rsidP="003D734E">
          <w:pPr>
            <w:pStyle w:val="Footer"/>
          </w:pPr>
          <w:hyperlink r:id="rId1" w:history="1">
            <w:r w:rsidR="003D734E" w:rsidRPr="003D734E">
              <w:t>AEPsupport@agriculture.gov.au</w:t>
            </w:r>
          </w:hyperlink>
          <w:r w:rsidR="007E73A7">
            <w:t xml:space="preserve">                                                    </w:t>
          </w:r>
          <w:r w:rsidR="003D734E" w:rsidRPr="00EC4F22">
            <w:tab/>
          </w:r>
          <w:sdt>
            <w:sdtPr>
              <w:rPr>
                <w:b/>
              </w:rPr>
              <w:alias w:val="Title"/>
              <w:id w:val="305365337"/>
              <w:placeholder>
                <w:docPart w:val="3D31CEAF84AB4295992059BACBFB35F2"/>
              </w:placeholder>
              <w:dataBinding w:prefixMappings="xmlns:ns0='http://purl.org/dc/elements/1.1/' xmlns:ns1='http://schemas.openxmlformats.org/package/2006/metadata/core-properties' " w:xpath="/ns1:coreProperties[1]/ns0:title[1]" w:storeItemID="{6C3C8BC8-F283-45AE-878A-BAB7291924A1}"/>
              <w:text/>
            </w:sdtPr>
            <w:sdtContent>
              <w:r w:rsidR="007E73A7">
                <w:rPr>
                  <w:b/>
                </w:rPr>
                <w:t>Identifying and resolving an AEP error</w:t>
              </w:r>
            </w:sdtContent>
          </w:sdt>
        </w:p>
        <w:p w14:paraId="560B4026" w14:textId="1B3D8720" w:rsidR="003D734E" w:rsidRPr="00EC4F22" w:rsidRDefault="003D734E" w:rsidP="003D734E">
          <w:pPr>
            <w:pStyle w:val="Footer"/>
          </w:pPr>
          <w:r w:rsidRPr="00EC4F22">
            <w:sym w:font="Wingdings" w:char="F028"/>
          </w:r>
          <w:r w:rsidRPr="00EC4F22">
            <w:t xml:space="preserve"> 1800 </w:t>
          </w:r>
          <w:r>
            <w:t>900 090</w:t>
          </w:r>
          <w:r w:rsidRPr="00EC4F22">
            <w:tab/>
            <w:t xml:space="preserve">Page </w:t>
          </w:r>
          <w:r w:rsidRPr="00EC4F22">
            <w:fldChar w:fldCharType="begin"/>
          </w:r>
          <w:r w:rsidRPr="00EC4F22">
            <w:instrText xml:space="preserve"> PAGE   \* MERGEFORMAT </w:instrText>
          </w:r>
          <w:r w:rsidRPr="00EC4F22">
            <w:fldChar w:fldCharType="separate"/>
          </w:r>
          <w:r w:rsidR="00B06BAB">
            <w:rPr>
              <w:noProof/>
            </w:rPr>
            <w:t>2</w:t>
          </w:r>
          <w:r w:rsidRPr="00EC4F22">
            <w:fldChar w:fldCharType="end"/>
          </w:r>
          <w:r w:rsidRPr="00EC4F22">
            <w:t xml:space="preserve"> of </w:t>
          </w:r>
          <w:r w:rsidR="005D2FE7">
            <w:rPr>
              <w:noProof/>
            </w:rPr>
            <w:fldChar w:fldCharType="begin"/>
          </w:r>
          <w:r w:rsidR="005D2FE7">
            <w:rPr>
              <w:noProof/>
            </w:rPr>
            <w:instrText xml:space="preserve"> NUMPAGES   \* MERGEFORMAT </w:instrText>
          </w:r>
          <w:r w:rsidR="005D2FE7">
            <w:rPr>
              <w:noProof/>
            </w:rPr>
            <w:fldChar w:fldCharType="separate"/>
          </w:r>
          <w:r w:rsidR="00B06BAB">
            <w:rPr>
              <w:noProof/>
            </w:rPr>
            <w:t>2</w:t>
          </w:r>
          <w:r w:rsidR="005D2FE7">
            <w:rPr>
              <w:noProof/>
            </w:rPr>
            <w:fldChar w:fldCharType="end"/>
          </w:r>
          <w:r w:rsidRPr="00EC4F22">
            <w:tab/>
          </w:r>
          <w:r>
            <w:fldChar w:fldCharType="begin"/>
          </w:r>
          <w:r>
            <w:instrText xml:space="preserve"> DATE  \@ "MMMM yy"  \* MERGEFORMAT </w:instrText>
          </w:r>
          <w:r>
            <w:fldChar w:fldCharType="separate"/>
          </w:r>
          <w:r w:rsidR="00DB09D5">
            <w:rPr>
              <w:noProof/>
            </w:rPr>
            <w:t>November 22</w:t>
          </w:r>
          <w:r>
            <w:fldChar w:fldCharType="end"/>
          </w:r>
        </w:p>
        <w:p w14:paraId="11504395" w14:textId="77777777" w:rsidR="003D734E" w:rsidRDefault="003D734E" w:rsidP="003D734E">
          <w:pPr>
            <w:pStyle w:val="Footer"/>
          </w:pPr>
        </w:p>
      </w:tc>
    </w:tr>
  </w:tbl>
  <w:p w14:paraId="3EE10E5E" w14:textId="78C79216" w:rsidR="00711557" w:rsidRPr="00EC4F22" w:rsidRDefault="00711557" w:rsidP="003D7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E069" w14:textId="77777777" w:rsidR="00641644" w:rsidRDefault="00641644" w:rsidP="00A468EB">
      <w:r>
        <w:separator/>
      </w:r>
    </w:p>
  </w:footnote>
  <w:footnote w:type="continuationSeparator" w:id="0">
    <w:p w14:paraId="7178C0CE" w14:textId="77777777" w:rsidR="00641644" w:rsidRDefault="00641644" w:rsidP="00A4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99C5" w14:textId="4F24BFDC" w:rsidR="00711557" w:rsidRPr="00366CF8" w:rsidRDefault="00366CF8" w:rsidP="00366CF8">
    <w:pPr>
      <w:pStyle w:val="Header"/>
    </w:pPr>
    <w:r w:rsidRPr="00366CF8">
      <w:t>Department of Agriculture</w:t>
    </w:r>
    <w:r w:rsidR="007E73A7">
      <w:t>, Fisheries and Forestry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5168" w14:textId="4D8D9375" w:rsidR="00724816" w:rsidRDefault="00724816">
    <w:pPr>
      <w:pStyle w:val="Header"/>
    </w:pPr>
    <w:r>
      <w:drawing>
        <wp:inline distT="0" distB="0" distL="0" distR="0" wp14:anchorId="4B5ECA2B" wp14:editId="5AC477A5">
          <wp:extent cx="2000250" cy="581845"/>
          <wp:effectExtent l="0" t="0" r="0" b="889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16894" cy="586687"/>
                  </a:xfrm>
                  <a:prstGeom prst="rect">
                    <a:avLst/>
                  </a:prstGeom>
                </pic:spPr>
              </pic:pic>
            </a:graphicData>
          </a:graphic>
        </wp:inline>
      </w:drawing>
    </w:r>
  </w:p>
  <w:p w14:paraId="25ED1993" w14:textId="4403982A" w:rsidR="00366CF8" w:rsidRDefault="00366CF8" w:rsidP="00D779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A40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2EC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0E0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C0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88A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A89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8E2B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649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26F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7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7B26E2"/>
    <w:multiLevelType w:val="hybridMultilevel"/>
    <w:tmpl w:val="5F165E72"/>
    <w:lvl w:ilvl="0" w:tplc="8C18E79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30241"/>
    <w:multiLevelType w:val="hybridMultilevel"/>
    <w:tmpl w:val="45A40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0169E5"/>
    <w:multiLevelType w:val="hybridMultilevel"/>
    <w:tmpl w:val="2FC85BD8"/>
    <w:lvl w:ilvl="0" w:tplc="D00633A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3281AC6"/>
    <w:multiLevelType w:val="multilevel"/>
    <w:tmpl w:val="8BF83A66"/>
    <w:styleLink w:val="heading"/>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707B28"/>
    <w:multiLevelType w:val="hybridMultilevel"/>
    <w:tmpl w:val="EED2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6B5707"/>
    <w:multiLevelType w:val="hybridMultilevel"/>
    <w:tmpl w:val="FE1E5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6F65B9"/>
    <w:multiLevelType w:val="hybridMultilevel"/>
    <w:tmpl w:val="5FD0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B1F16"/>
    <w:multiLevelType w:val="hybridMultilevel"/>
    <w:tmpl w:val="7F821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E96A00"/>
    <w:multiLevelType w:val="hybridMultilevel"/>
    <w:tmpl w:val="7D105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F522C6"/>
    <w:multiLevelType w:val="hybridMultilevel"/>
    <w:tmpl w:val="682E3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BF299C"/>
    <w:multiLevelType w:val="multilevel"/>
    <w:tmpl w:val="8BF83A66"/>
    <w:numStyleLink w:val="heading"/>
  </w:abstractNum>
  <w:abstractNum w:abstractNumId="21" w15:restartNumberingAfterBreak="0">
    <w:nsid w:val="6C2D3BBD"/>
    <w:multiLevelType w:val="hybridMultilevel"/>
    <w:tmpl w:val="DF6A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D859A4"/>
    <w:multiLevelType w:val="multilevel"/>
    <w:tmpl w:val="DBF2837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cs="Times New Roman" w:hint="default"/>
        <w:b w:val="0"/>
        <w:bCs w:val="0"/>
        <w:i w:val="0"/>
        <w:iCs w:val="0"/>
        <w:caps w:val="0"/>
        <w:smallCaps w:val="0"/>
        <w:strike w:val="0"/>
        <w:dstrike w:val="0"/>
        <w:outline w:val="0"/>
        <w:shadow w:val="0"/>
        <w:emboss w:val="0"/>
        <w:imprint w:val="0"/>
        <w:noProof w:val="0"/>
        <w:vanish w:val="0"/>
        <w:kern w:val="0"/>
        <w:position w:val="0"/>
        <w:u w:val="none"/>
        <w:vertAlign w:val="baseline"/>
        <w:em w:val="none"/>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883514350">
    <w:abstractNumId w:val="12"/>
  </w:num>
  <w:num w:numId="2" w16cid:durableId="873736328">
    <w:abstractNumId w:val="18"/>
  </w:num>
  <w:num w:numId="3" w16cid:durableId="305934744">
    <w:abstractNumId w:val="19"/>
  </w:num>
  <w:num w:numId="4" w16cid:durableId="1754205966">
    <w:abstractNumId w:val="22"/>
  </w:num>
  <w:num w:numId="5" w16cid:durableId="320623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938845">
    <w:abstractNumId w:val="22"/>
  </w:num>
  <w:num w:numId="7" w16cid:durableId="10585489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381032">
    <w:abstractNumId w:val="17"/>
  </w:num>
  <w:num w:numId="9" w16cid:durableId="1632519050">
    <w:abstractNumId w:val="14"/>
  </w:num>
  <w:num w:numId="10" w16cid:durableId="1829596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1139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6768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4293552">
    <w:abstractNumId w:val="13"/>
  </w:num>
  <w:num w:numId="14" w16cid:durableId="1169832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0107651">
    <w:abstractNumId w:val="20"/>
  </w:num>
  <w:num w:numId="16" w16cid:durableId="24603240">
    <w:abstractNumId w:val="9"/>
  </w:num>
  <w:num w:numId="17" w16cid:durableId="1190530108">
    <w:abstractNumId w:val="7"/>
  </w:num>
  <w:num w:numId="18" w16cid:durableId="931937280">
    <w:abstractNumId w:val="6"/>
  </w:num>
  <w:num w:numId="19" w16cid:durableId="827936854">
    <w:abstractNumId w:val="5"/>
  </w:num>
  <w:num w:numId="20" w16cid:durableId="1186285813">
    <w:abstractNumId w:val="4"/>
  </w:num>
  <w:num w:numId="21" w16cid:durableId="1807966075">
    <w:abstractNumId w:val="8"/>
  </w:num>
  <w:num w:numId="22" w16cid:durableId="1190989551">
    <w:abstractNumId w:val="3"/>
  </w:num>
  <w:num w:numId="23" w16cid:durableId="1014306716">
    <w:abstractNumId w:val="2"/>
  </w:num>
  <w:num w:numId="24" w16cid:durableId="595947732">
    <w:abstractNumId w:val="1"/>
  </w:num>
  <w:num w:numId="25" w16cid:durableId="811019944">
    <w:abstractNumId w:val="0"/>
  </w:num>
  <w:num w:numId="26" w16cid:durableId="1423070753">
    <w:abstractNumId w:val="15"/>
  </w:num>
  <w:num w:numId="27" w16cid:durableId="1715619448">
    <w:abstractNumId w:val="11"/>
  </w:num>
  <w:num w:numId="28" w16cid:durableId="1615748254">
    <w:abstractNumId w:val="16"/>
  </w:num>
  <w:num w:numId="29" w16cid:durableId="1517841870">
    <w:abstractNumId w:val="10"/>
  </w:num>
  <w:num w:numId="30" w16cid:durableId="541207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82"/>
    <w:rsid w:val="00022110"/>
    <w:rsid w:val="00042DAB"/>
    <w:rsid w:val="00052900"/>
    <w:rsid w:val="000631C0"/>
    <w:rsid w:val="00072DB0"/>
    <w:rsid w:val="000874A1"/>
    <w:rsid w:val="000A4099"/>
    <w:rsid w:val="000C56FB"/>
    <w:rsid w:val="000D1188"/>
    <w:rsid w:val="000E4941"/>
    <w:rsid w:val="00101440"/>
    <w:rsid w:val="001035E7"/>
    <w:rsid w:val="0010785F"/>
    <w:rsid w:val="001260F2"/>
    <w:rsid w:val="001362AC"/>
    <w:rsid w:val="00143FB0"/>
    <w:rsid w:val="00153303"/>
    <w:rsid w:val="00153378"/>
    <w:rsid w:val="00157658"/>
    <w:rsid w:val="00157E5D"/>
    <w:rsid w:val="00164C8D"/>
    <w:rsid w:val="001660BC"/>
    <w:rsid w:val="001728E4"/>
    <w:rsid w:val="0018158A"/>
    <w:rsid w:val="001935BB"/>
    <w:rsid w:val="001958EF"/>
    <w:rsid w:val="001A7754"/>
    <w:rsid w:val="001B1F24"/>
    <w:rsid w:val="001D3B62"/>
    <w:rsid w:val="001E5F81"/>
    <w:rsid w:val="001F52CA"/>
    <w:rsid w:val="002101C4"/>
    <w:rsid w:val="00210A4E"/>
    <w:rsid w:val="00232726"/>
    <w:rsid w:val="00245F27"/>
    <w:rsid w:val="002571D6"/>
    <w:rsid w:val="002646CF"/>
    <w:rsid w:val="0026633E"/>
    <w:rsid w:val="00287092"/>
    <w:rsid w:val="002A7DD6"/>
    <w:rsid w:val="002B16E6"/>
    <w:rsid w:val="002C1ED2"/>
    <w:rsid w:val="002C7D80"/>
    <w:rsid w:val="002D23F7"/>
    <w:rsid w:val="002D4F60"/>
    <w:rsid w:val="002D7710"/>
    <w:rsid w:val="002E3AC1"/>
    <w:rsid w:val="002E4B13"/>
    <w:rsid w:val="002E7D8D"/>
    <w:rsid w:val="002F6150"/>
    <w:rsid w:val="002F7BC4"/>
    <w:rsid w:val="00320F09"/>
    <w:rsid w:val="00332CB5"/>
    <w:rsid w:val="00350530"/>
    <w:rsid w:val="003543FB"/>
    <w:rsid w:val="00366CF8"/>
    <w:rsid w:val="00370757"/>
    <w:rsid w:val="00372301"/>
    <w:rsid w:val="003817E9"/>
    <w:rsid w:val="00387DF8"/>
    <w:rsid w:val="00390EC0"/>
    <w:rsid w:val="0039388C"/>
    <w:rsid w:val="003A3052"/>
    <w:rsid w:val="003A3366"/>
    <w:rsid w:val="003B0227"/>
    <w:rsid w:val="003B409C"/>
    <w:rsid w:val="003B4128"/>
    <w:rsid w:val="003B43BC"/>
    <w:rsid w:val="003C138F"/>
    <w:rsid w:val="003D4ACE"/>
    <w:rsid w:val="003D6E7E"/>
    <w:rsid w:val="003D734E"/>
    <w:rsid w:val="00406EB2"/>
    <w:rsid w:val="00412958"/>
    <w:rsid w:val="004318E0"/>
    <w:rsid w:val="00442FB1"/>
    <w:rsid w:val="0047049C"/>
    <w:rsid w:val="004733D5"/>
    <w:rsid w:val="0047552C"/>
    <w:rsid w:val="00493E82"/>
    <w:rsid w:val="004A2AD8"/>
    <w:rsid w:val="004C0703"/>
    <w:rsid w:val="004C74A4"/>
    <w:rsid w:val="004D6435"/>
    <w:rsid w:val="004D6A65"/>
    <w:rsid w:val="004D7FC7"/>
    <w:rsid w:val="004E1F3C"/>
    <w:rsid w:val="004E40CD"/>
    <w:rsid w:val="00511733"/>
    <w:rsid w:val="005157B3"/>
    <w:rsid w:val="005163A6"/>
    <w:rsid w:val="005404CA"/>
    <w:rsid w:val="00543260"/>
    <w:rsid w:val="00552E63"/>
    <w:rsid w:val="0056492F"/>
    <w:rsid w:val="005664EB"/>
    <w:rsid w:val="005829DD"/>
    <w:rsid w:val="00592CB4"/>
    <w:rsid w:val="00596FA1"/>
    <w:rsid w:val="005A6A5E"/>
    <w:rsid w:val="005B7BD6"/>
    <w:rsid w:val="005C3FD9"/>
    <w:rsid w:val="005D2FE7"/>
    <w:rsid w:val="005D69E4"/>
    <w:rsid w:val="005E1908"/>
    <w:rsid w:val="005F70E5"/>
    <w:rsid w:val="005F75F9"/>
    <w:rsid w:val="006031A1"/>
    <w:rsid w:val="00641644"/>
    <w:rsid w:val="006716F9"/>
    <w:rsid w:val="00677BC6"/>
    <w:rsid w:val="006855BC"/>
    <w:rsid w:val="006B7182"/>
    <w:rsid w:val="006C43E9"/>
    <w:rsid w:val="006E2798"/>
    <w:rsid w:val="00711557"/>
    <w:rsid w:val="00713CDA"/>
    <w:rsid w:val="00724816"/>
    <w:rsid w:val="00737080"/>
    <w:rsid w:val="007454D4"/>
    <w:rsid w:val="00752884"/>
    <w:rsid w:val="00753F65"/>
    <w:rsid w:val="0075546A"/>
    <w:rsid w:val="00760EDB"/>
    <w:rsid w:val="00770F99"/>
    <w:rsid w:val="00772B3B"/>
    <w:rsid w:val="007750B4"/>
    <w:rsid w:val="0077718C"/>
    <w:rsid w:val="007B549E"/>
    <w:rsid w:val="007C0413"/>
    <w:rsid w:val="007E73A7"/>
    <w:rsid w:val="007E7432"/>
    <w:rsid w:val="007F189A"/>
    <w:rsid w:val="007F50D5"/>
    <w:rsid w:val="007F69FB"/>
    <w:rsid w:val="008047F9"/>
    <w:rsid w:val="0081718B"/>
    <w:rsid w:val="00825C1C"/>
    <w:rsid w:val="008355E9"/>
    <w:rsid w:val="00837D94"/>
    <w:rsid w:val="0084338B"/>
    <w:rsid w:val="008476CA"/>
    <w:rsid w:val="0085220F"/>
    <w:rsid w:val="00854D92"/>
    <w:rsid w:val="0087145E"/>
    <w:rsid w:val="008764E7"/>
    <w:rsid w:val="008864D4"/>
    <w:rsid w:val="008919B0"/>
    <w:rsid w:val="008B65EC"/>
    <w:rsid w:val="008D1551"/>
    <w:rsid w:val="008D5B11"/>
    <w:rsid w:val="008E14ED"/>
    <w:rsid w:val="008E61C0"/>
    <w:rsid w:val="008F61CD"/>
    <w:rsid w:val="008F6FC8"/>
    <w:rsid w:val="00904D1F"/>
    <w:rsid w:val="00911964"/>
    <w:rsid w:val="009164BE"/>
    <w:rsid w:val="0092540A"/>
    <w:rsid w:val="0093394A"/>
    <w:rsid w:val="00933B91"/>
    <w:rsid w:val="00935A58"/>
    <w:rsid w:val="009371B9"/>
    <w:rsid w:val="0093766E"/>
    <w:rsid w:val="009413CE"/>
    <w:rsid w:val="00944A94"/>
    <w:rsid w:val="0094537F"/>
    <w:rsid w:val="00945718"/>
    <w:rsid w:val="00960CF6"/>
    <w:rsid w:val="00972526"/>
    <w:rsid w:val="0097325C"/>
    <w:rsid w:val="009A0206"/>
    <w:rsid w:val="009A7953"/>
    <w:rsid w:val="009C0274"/>
    <w:rsid w:val="009C0D80"/>
    <w:rsid w:val="009C78E5"/>
    <w:rsid w:val="009D4456"/>
    <w:rsid w:val="009E04C0"/>
    <w:rsid w:val="009E571D"/>
    <w:rsid w:val="009F3AFC"/>
    <w:rsid w:val="009F48D7"/>
    <w:rsid w:val="009F48FE"/>
    <w:rsid w:val="00A03B01"/>
    <w:rsid w:val="00A26542"/>
    <w:rsid w:val="00A430AD"/>
    <w:rsid w:val="00A468EB"/>
    <w:rsid w:val="00A5353C"/>
    <w:rsid w:val="00A655A7"/>
    <w:rsid w:val="00A6653F"/>
    <w:rsid w:val="00A72192"/>
    <w:rsid w:val="00A8551F"/>
    <w:rsid w:val="00A9454B"/>
    <w:rsid w:val="00AB5799"/>
    <w:rsid w:val="00AE6A26"/>
    <w:rsid w:val="00AF34D6"/>
    <w:rsid w:val="00AF5A97"/>
    <w:rsid w:val="00B03892"/>
    <w:rsid w:val="00B06BAB"/>
    <w:rsid w:val="00B06E75"/>
    <w:rsid w:val="00B20225"/>
    <w:rsid w:val="00B33A26"/>
    <w:rsid w:val="00B36617"/>
    <w:rsid w:val="00B37640"/>
    <w:rsid w:val="00B410A0"/>
    <w:rsid w:val="00B440B9"/>
    <w:rsid w:val="00B44264"/>
    <w:rsid w:val="00B46CD2"/>
    <w:rsid w:val="00B71641"/>
    <w:rsid w:val="00B976AC"/>
    <w:rsid w:val="00BA5DB9"/>
    <w:rsid w:val="00BD4894"/>
    <w:rsid w:val="00BE41DB"/>
    <w:rsid w:val="00C23266"/>
    <w:rsid w:val="00C26E9A"/>
    <w:rsid w:val="00C278C0"/>
    <w:rsid w:val="00C27EE7"/>
    <w:rsid w:val="00C34467"/>
    <w:rsid w:val="00C40302"/>
    <w:rsid w:val="00C414FB"/>
    <w:rsid w:val="00C47C52"/>
    <w:rsid w:val="00C52A9C"/>
    <w:rsid w:val="00C60F44"/>
    <w:rsid w:val="00C64A7D"/>
    <w:rsid w:val="00C67A4B"/>
    <w:rsid w:val="00C7266A"/>
    <w:rsid w:val="00C7273C"/>
    <w:rsid w:val="00C84F13"/>
    <w:rsid w:val="00CA2DC1"/>
    <w:rsid w:val="00CA4183"/>
    <w:rsid w:val="00CB6BA4"/>
    <w:rsid w:val="00CC4977"/>
    <w:rsid w:val="00CC57E9"/>
    <w:rsid w:val="00CD67BF"/>
    <w:rsid w:val="00CE03C8"/>
    <w:rsid w:val="00CE2B19"/>
    <w:rsid w:val="00CF3BAD"/>
    <w:rsid w:val="00CF4B4B"/>
    <w:rsid w:val="00D227CF"/>
    <w:rsid w:val="00D34A02"/>
    <w:rsid w:val="00D376CD"/>
    <w:rsid w:val="00D429E9"/>
    <w:rsid w:val="00D4656F"/>
    <w:rsid w:val="00D544DA"/>
    <w:rsid w:val="00D619E7"/>
    <w:rsid w:val="00D7650B"/>
    <w:rsid w:val="00D7799A"/>
    <w:rsid w:val="00D96F43"/>
    <w:rsid w:val="00DA57A7"/>
    <w:rsid w:val="00DB09D5"/>
    <w:rsid w:val="00DB2B00"/>
    <w:rsid w:val="00DC68C5"/>
    <w:rsid w:val="00DC70CD"/>
    <w:rsid w:val="00E02B90"/>
    <w:rsid w:val="00E13CD4"/>
    <w:rsid w:val="00E17D98"/>
    <w:rsid w:val="00E3236F"/>
    <w:rsid w:val="00E347B2"/>
    <w:rsid w:val="00E367B8"/>
    <w:rsid w:val="00E41154"/>
    <w:rsid w:val="00E708D3"/>
    <w:rsid w:val="00E7320A"/>
    <w:rsid w:val="00E80A9C"/>
    <w:rsid w:val="00E83578"/>
    <w:rsid w:val="00E91587"/>
    <w:rsid w:val="00EA3A52"/>
    <w:rsid w:val="00EB1DCD"/>
    <w:rsid w:val="00EB30C2"/>
    <w:rsid w:val="00EB3507"/>
    <w:rsid w:val="00EB63F8"/>
    <w:rsid w:val="00EB6AB5"/>
    <w:rsid w:val="00EC4F22"/>
    <w:rsid w:val="00EC78CF"/>
    <w:rsid w:val="00ED1CBB"/>
    <w:rsid w:val="00ED6642"/>
    <w:rsid w:val="00ED66C5"/>
    <w:rsid w:val="00ED6FE2"/>
    <w:rsid w:val="00EE6F3F"/>
    <w:rsid w:val="00EF2AD6"/>
    <w:rsid w:val="00F36D2D"/>
    <w:rsid w:val="00F42078"/>
    <w:rsid w:val="00F56BC2"/>
    <w:rsid w:val="00F61521"/>
    <w:rsid w:val="00F775C9"/>
    <w:rsid w:val="00F842BF"/>
    <w:rsid w:val="00F84390"/>
    <w:rsid w:val="00F95DCE"/>
    <w:rsid w:val="00FB467D"/>
    <w:rsid w:val="00FB5119"/>
    <w:rsid w:val="00FB54F0"/>
    <w:rsid w:val="00FE2ED3"/>
    <w:rsid w:val="00FE561B"/>
    <w:rsid w:val="00FE568A"/>
    <w:rsid w:val="00FF0548"/>
    <w:rsid w:val="00FF148B"/>
    <w:rsid w:val="00FF4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634CD"/>
  <w15:docId w15:val="{1D97C6AA-B3EE-4D37-943D-F0360615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9C"/>
    <w:pPr>
      <w:widowControl w:val="0"/>
      <w:spacing w:before="120" w:after="120" w:line="240" w:lineRule="auto"/>
      <w:ind w:right="697"/>
    </w:pPr>
    <w:rPr>
      <w:rFonts w:ascii="Calibri" w:eastAsia="Calibri" w:hAnsi="Calibri"/>
      <w:lang w:val="en-US"/>
    </w:rPr>
  </w:style>
  <w:style w:type="paragraph" w:styleId="Heading1">
    <w:name w:val="heading 1"/>
    <w:next w:val="Normal"/>
    <w:link w:val="Heading1Char"/>
    <w:uiPriority w:val="9"/>
    <w:qFormat/>
    <w:rsid w:val="005C3FD9"/>
    <w:pPr>
      <w:spacing w:after="120"/>
      <w:outlineLvl w:val="0"/>
    </w:pPr>
    <w:rPr>
      <w:rFonts w:ascii="Calibri" w:eastAsiaTheme="majorEastAsia" w:hAnsi="Calibri" w:cstheme="majorBidi"/>
      <w:spacing w:val="5"/>
      <w:kern w:val="28"/>
      <w:sz w:val="52"/>
      <w:szCs w:val="52"/>
      <w:lang w:val="en-US"/>
    </w:rPr>
  </w:style>
  <w:style w:type="paragraph" w:styleId="Heading2">
    <w:name w:val="heading 2"/>
    <w:next w:val="Normal"/>
    <w:link w:val="Heading2Char"/>
    <w:uiPriority w:val="9"/>
    <w:unhideWhenUsed/>
    <w:rsid w:val="00A468EB"/>
    <w:pPr>
      <w:keepNext/>
      <w:keepLines/>
      <w:numPr>
        <w:numId w:val="15"/>
      </w:numPr>
      <w:spacing w:before="200" w:after="0"/>
      <w:outlineLvl w:val="1"/>
    </w:pPr>
    <w:rPr>
      <w:rFonts w:ascii="Calibri" w:eastAsiaTheme="majorEastAsia" w:hAnsi="Calibri" w:cstheme="majorBidi"/>
      <w:b/>
      <w:bCs/>
      <w:sz w:val="36"/>
      <w:szCs w:val="36"/>
      <w:lang w:val="en-US"/>
    </w:rPr>
  </w:style>
  <w:style w:type="paragraph" w:styleId="Heading3">
    <w:name w:val="heading 3"/>
    <w:next w:val="Normal"/>
    <w:link w:val="Heading3Char"/>
    <w:uiPriority w:val="9"/>
    <w:unhideWhenUsed/>
    <w:rsid w:val="00366CF8"/>
    <w:pPr>
      <w:keepNext/>
      <w:keepLines/>
      <w:numPr>
        <w:ilvl w:val="1"/>
        <w:numId w:val="15"/>
      </w:numPr>
      <w:spacing w:before="120" w:after="0" w:line="240" w:lineRule="auto"/>
      <w:outlineLvl w:val="2"/>
    </w:pPr>
    <w:rPr>
      <w:rFonts w:ascii="Calibri" w:eastAsiaTheme="majorEastAsia" w:hAnsi="Calibri" w:cstheme="majorBidi"/>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182"/>
    <w:rPr>
      <w:rFonts w:ascii="Tahoma" w:hAnsi="Tahoma" w:cs="Tahoma"/>
      <w:sz w:val="16"/>
      <w:szCs w:val="16"/>
    </w:rPr>
  </w:style>
  <w:style w:type="paragraph" w:styleId="Header">
    <w:name w:val="header"/>
    <w:basedOn w:val="Normal"/>
    <w:link w:val="HeaderChar"/>
    <w:uiPriority w:val="99"/>
    <w:unhideWhenUsed/>
    <w:rsid w:val="00101440"/>
    <w:pPr>
      <w:pBdr>
        <w:bottom w:val="single" w:sz="4" w:space="1" w:color="auto"/>
      </w:pBdr>
      <w:tabs>
        <w:tab w:val="center" w:pos="4513"/>
        <w:tab w:val="right" w:pos="9026"/>
      </w:tabs>
      <w:spacing w:after="0"/>
    </w:pPr>
    <w:rPr>
      <w:noProof/>
      <w:sz w:val="20"/>
      <w:szCs w:val="20"/>
      <w:lang w:eastAsia="en-AU"/>
    </w:rPr>
  </w:style>
  <w:style w:type="character" w:customStyle="1" w:styleId="HeaderChar">
    <w:name w:val="Header Char"/>
    <w:basedOn w:val="DefaultParagraphFont"/>
    <w:link w:val="Header"/>
    <w:uiPriority w:val="99"/>
    <w:rsid w:val="00101440"/>
    <w:rPr>
      <w:rFonts w:ascii="Calibri" w:eastAsia="Calibri" w:hAnsi="Calibri"/>
      <w:noProof/>
      <w:sz w:val="20"/>
      <w:szCs w:val="20"/>
      <w:lang w:val="en-US" w:eastAsia="en-AU"/>
    </w:rPr>
  </w:style>
  <w:style w:type="paragraph" w:styleId="Footer">
    <w:name w:val="footer"/>
    <w:link w:val="FooterChar"/>
    <w:uiPriority w:val="99"/>
    <w:unhideWhenUsed/>
    <w:rsid w:val="003D734E"/>
    <w:pPr>
      <w:tabs>
        <w:tab w:val="center" w:pos="4513"/>
        <w:tab w:val="right" w:pos="9026"/>
      </w:tabs>
      <w:spacing w:after="0"/>
    </w:pPr>
    <w:rPr>
      <w:rFonts w:ascii="Calibri" w:eastAsia="Calibri" w:hAnsi="Calibri"/>
      <w:color w:val="FFFFFF" w:themeColor="background1"/>
      <w:lang w:val="en-US"/>
    </w:rPr>
  </w:style>
  <w:style w:type="character" w:customStyle="1" w:styleId="FooterChar">
    <w:name w:val="Footer Char"/>
    <w:basedOn w:val="DefaultParagraphFont"/>
    <w:link w:val="Footer"/>
    <w:uiPriority w:val="99"/>
    <w:rsid w:val="003D734E"/>
    <w:rPr>
      <w:rFonts w:ascii="Calibri" w:eastAsia="Calibri" w:hAnsi="Calibri"/>
      <w:color w:val="FFFFFF" w:themeColor="background1"/>
      <w:lang w:val="en-US"/>
    </w:rPr>
  </w:style>
  <w:style w:type="paragraph" w:styleId="Title">
    <w:name w:val="Title"/>
    <w:basedOn w:val="Normal"/>
    <w:next w:val="Normal"/>
    <w:link w:val="TitleChar"/>
    <w:uiPriority w:val="10"/>
    <w:qFormat/>
    <w:rsid w:val="00F56BC2"/>
    <w:pPr>
      <w:pBdr>
        <w:bottom w:val="single" w:sz="8" w:space="4" w:color="776F65"/>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56BC2"/>
    <w:rPr>
      <w:rFonts w:eastAsiaTheme="majorEastAsia" w:cstheme="majorBidi"/>
      <w:spacing w:val="5"/>
      <w:kern w:val="28"/>
      <w:sz w:val="52"/>
      <w:szCs w:val="52"/>
    </w:rPr>
  </w:style>
  <w:style w:type="character" w:customStyle="1" w:styleId="Heading1Char">
    <w:name w:val="Heading 1 Char"/>
    <w:basedOn w:val="DefaultParagraphFont"/>
    <w:link w:val="Heading1"/>
    <w:uiPriority w:val="9"/>
    <w:rsid w:val="005C3FD9"/>
    <w:rPr>
      <w:rFonts w:ascii="Calibri" w:eastAsiaTheme="majorEastAsia" w:hAnsi="Calibri" w:cstheme="majorBidi"/>
      <w:spacing w:val="5"/>
      <w:kern w:val="28"/>
      <w:sz w:val="52"/>
      <w:szCs w:val="52"/>
      <w:lang w:val="en-US"/>
    </w:rPr>
  </w:style>
  <w:style w:type="character" w:customStyle="1" w:styleId="Heading2Char">
    <w:name w:val="Heading 2 Char"/>
    <w:basedOn w:val="DefaultParagraphFont"/>
    <w:link w:val="Heading2"/>
    <w:uiPriority w:val="9"/>
    <w:rsid w:val="00A468EB"/>
    <w:rPr>
      <w:rFonts w:ascii="Calibri" w:eastAsiaTheme="majorEastAsia" w:hAnsi="Calibri" w:cstheme="majorBidi"/>
      <w:b/>
      <w:bCs/>
      <w:sz w:val="36"/>
      <w:szCs w:val="36"/>
      <w:lang w:val="en-US"/>
    </w:rPr>
  </w:style>
  <w:style w:type="paragraph" w:styleId="ListParagraph">
    <w:name w:val="List Paragraph"/>
    <w:basedOn w:val="Normal"/>
    <w:uiPriority w:val="34"/>
    <w:qFormat/>
    <w:rsid w:val="0084338B"/>
    <w:pPr>
      <w:ind w:left="720"/>
      <w:contextualSpacing/>
    </w:pPr>
  </w:style>
  <w:style w:type="character" w:styleId="Hyperlink">
    <w:name w:val="Hyperlink"/>
    <w:basedOn w:val="DefaultParagraphFont"/>
    <w:uiPriority w:val="99"/>
    <w:unhideWhenUsed/>
    <w:rsid w:val="003817E9"/>
    <w:rPr>
      <w:color w:val="0000FF" w:themeColor="hyperlink"/>
      <w:u w:val="single"/>
    </w:rPr>
  </w:style>
  <w:style w:type="character" w:styleId="PlaceholderText">
    <w:name w:val="Placeholder Text"/>
    <w:basedOn w:val="DefaultParagraphFont"/>
    <w:uiPriority w:val="99"/>
    <w:semiHidden/>
    <w:rsid w:val="00C47C52"/>
    <w:rPr>
      <w:color w:val="808080"/>
    </w:rPr>
  </w:style>
  <w:style w:type="paragraph" w:styleId="NoSpacing">
    <w:name w:val="No Spacing"/>
    <w:uiPriority w:val="1"/>
    <w:rsid w:val="00ED6FE2"/>
    <w:pPr>
      <w:spacing w:after="0" w:line="240" w:lineRule="auto"/>
    </w:pPr>
  </w:style>
  <w:style w:type="paragraph" w:customStyle="1" w:styleId="Button">
    <w:name w:val="Button"/>
    <w:basedOn w:val="Normal"/>
    <w:link w:val="ButtonChar"/>
    <w:qFormat/>
    <w:rsid w:val="00ED6FE2"/>
    <w:rPr>
      <w:noProof/>
      <w:position w:val="-6"/>
      <w:lang w:eastAsia="en-AU"/>
    </w:rPr>
  </w:style>
  <w:style w:type="character" w:customStyle="1" w:styleId="ButtonChar">
    <w:name w:val="Button Char"/>
    <w:basedOn w:val="DefaultParagraphFont"/>
    <w:link w:val="Button"/>
    <w:rsid w:val="00ED6FE2"/>
    <w:rPr>
      <w:noProof/>
      <w:position w:val="-6"/>
      <w:lang w:eastAsia="en-AU"/>
    </w:rPr>
  </w:style>
  <w:style w:type="paragraph" w:styleId="Caption">
    <w:name w:val="caption"/>
    <w:basedOn w:val="Normal"/>
    <w:next w:val="Normal"/>
    <w:uiPriority w:val="35"/>
    <w:unhideWhenUsed/>
    <w:qFormat/>
    <w:rsid w:val="00904D1F"/>
    <w:pPr>
      <w:spacing w:before="0" w:after="200"/>
    </w:pPr>
    <w:rPr>
      <w:i/>
      <w:iCs/>
      <w:color w:val="1F497D" w:themeColor="text2"/>
      <w:sz w:val="18"/>
      <w:szCs w:val="18"/>
    </w:rPr>
  </w:style>
  <w:style w:type="paragraph" w:customStyle="1" w:styleId="Default">
    <w:name w:val="Default"/>
    <w:rsid w:val="00143FB0"/>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BD4894"/>
    <w:rPr>
      <w:sz w:val="16"/>
      <w:szCs w:val="16"/>
    </w:rPr>
  </w:style>
  <w:style w:type="paragraph" w:styleId="CommentText">
    <w:name w:val="annotation text"/>
    <w:basedOn w:val="Normal"/>
    <w:link w:val="CommentTextChar"/>
    <w:uiPriority w:val="99"/>
    <w:unhideWhenUsed/>
    <w:rsid w:val="00BD4894"/>
    <w:rPr>
      <w:sz w:val="20"/>
      <w:szCs w:val="20"/>
    </w:rPr>
  </w:style>
  <w:style w:type="character" w:customStyle="1" w:styleId="CommentTextChar">
    <w:name w:val="Comment Text Char"/>
    <w:basedOn w:val="DefaultParagraphFont"/>
    <w:link w:val="CommentText"/>
    <w:uiPriority w:val="99"/>
    <w:rsid w:val="00BD4894"/>
    <w:rPr>
      <w:sz w:val="20"/>
      <w:szCs w:val="20"/>
    </w:rPr>
  </w:style>
  <w:style w:type="paragraph" w:styleId="CommentSubject">
    <w:name w:val="annotation subject"/>
    <w:basedOn w:val="CommentText"/>
    <w:next w:val="CommentText"/>
    <w:link w:val="CommentSubjectChar"/>
    <w:uiPriority w:val="99"/>
    <w:semiHidden/>
    <w:unhideWhenUsed/>
    <w:rsid w:val="00BD4894"/>
    <w:rPr>
      <w:b/>
      <w:bCs/>
    </w:rPr>
  </w:style>
  <w:style w:type="character" w:customStyle="1" w:styleId="CommentSubjectChar">
    <w:name w:val="Comment Subject Char"/>
    <w:basedOn w:val="CommentTextChar"/>
    <w:link w:val="CommentSubject"/>
    <w:uiPriority w:val="99"/>
    <w:semiHidden/>
    <w:rsid w:val="00BD4894"/>
    <w:rPr>
      <w:b/>
      <w:bCs/>
      <w:sz w:val="20"/>
      <w:szCs w:val="20"/>
    </w:rPr>
  </w:style>
  <w:style w:type="character" w:styleId="FollowedHyperlink">
    <w:name w:val="FollowedHyperlink"/>
    <w:basedOn w:val="DefaultParagraphFont"/>
    <w:uiPriority w:val="99"/>
    <w:semiHidden/>
    <w:unhideWhenUsed/>
    <w:rsid w:val="00FE568A"/>
    <w:rPr>
      <w:color w:val="800080" w:themeColor="followedHyperlink"/>
      <w:u w:val="single"/>
    </w:rPr>
  </w:style>
  <w:style w:type="character" w:customStyle="1" w:styleId="Heading3Char">
    <w:name w:val="Heading 3 Char"/>
    <w:basedOn w:val="DefaultParagraphFont"/>
    <w:link w:val="Heading3"/>
    <w:uiPriority w:val="9"/>
    <w:rsid w:val="00366CF8"/>
    <w:rPr>
      <w:rFonts w:ascii="Calibri" w:eastAsiaTheme="majorEastAsia" w:hAnsi="Calibri" w:cstheme="majorBidi"/>
      <w:b/>
      <w:sz w:val="28"/>
      <w:szCs w:val="24"/>
      <w:lang w:val="en-US"/>
    </w:rPr>
  </w:style>
  <w:style w:type="numbering" w:customStyle="1" w:styleId="heading">
    <w:name w:val="heading"/>
    <w:uiPriority w:val="99"/>
    <w:rsid w:val="00A468EB"/>
    <w:pPr>
      <w:numPr>
        <w:numId w:val="13"/>
      </w:numPr>
    </w:pPr>
  </w:style>
  <w:style w:type="paragraph" w:styleId="ListBullet">
    <w:name w:val="List Bullet"/>
    <w:basedOn w:val="Normal"/>
    <w:uiPriority w:val="99"/>
    <w:unhideWhenUsed/>
    <w:rsid w:val="00E80A9C"/>
    <w:pPr>
      <w:numPr>
        <w:numId w:val="16"/>
      </w:numPr>
      <w:contextualSpacing/>
    </w:pPr>
  </w:style>
  <w:style w:type="table" w:styleId="TableGrid">
    <w:name w:val="Table Grid"/>
    <w:basedOn w:val="TableNormal"/>
    <w:uiPriority w:val="59"/>
    <w:rsid w:val="00D7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16"/>
    <w:pPr>
      <w:spacing w:after="0" w:line="240" w:lineRule="auto"/>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SiteCollectionDocuments/importing/howdoipa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Psupport@agriculture.gov.a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AEPsupport@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1CEAF84AB4295992059BACBFB35F2"/>
        <w:category>
          <w:name w:val="General"/>
          <w:gallery w:val="placeholder"/>
        </w:category>
        <w:types>
          <w:type w:val="bbPlcHdr"/>
        </w:types>
        <w:behaviors>
          <w:behavior w:val="content"/>
        </w:behaviors>
        <w:guid w:val="{9A07FC60-A2D9-40FB-9315-40FE133C73EF}"/>
      </w:docPartPr>
      <w:docPartBody>
        <w:p w:rsidR="00360440" w:rsidRDefault="00332B9F" w:rsidP="00332B9F">
          <w:pPr>
            <w:pStyle w:val="3D31CEAF84AB4295992059BACBFB35F2"/>
          </w:pPr>
          <w:r w:rsidRPr="00A8153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2720"/>
    <w:rsid w:val="002919AC"/>
    <w:rsid w:val="00332B9F"/>
    <w:rsid w:val="00360440"/>
    <w:rsid w:val="00372720"/>
    <w:rsid w:val="00482511"/>
    <w:rsid w:val="00607169"/>
    <w:rsid w:val="006A0075"/>
    <w:rsid w:val="00730394"/>
    <w:rsid w:val="00BD6B78"/>
    <w:rsid w:val="00C12B05"/>
    <w:rsid w:val="00E77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B9F"/>
    <w:rPr>
      <w:color w:val="808080"/>
    </w:rPr>
  </w:style>
  <w:style w:type="paragraph" w:customStyle="1" w:styleId="3D31CEAF84AB4295992059BACBFB35F2">
    <w:name w:val="3D31CEAF84AB4295992059BACBFB35F2"/>
    <w:rsid w:val="00332B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209E9-0645-4047-A217-89C41371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Identifying and resolving an AEP error</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and resolving an AEP error</dc:title>
  <dc:creator>Department of Agriculture Fisheries and Forestry</dc:creator>
  <cp:lastModifiedBy>Nov, Amanda</cp:lastModifiedBy>
  <cp:revision>7</cp:revision>
  <cp:lastPrinted>2017-11-01T23:59:00Z</cp:lastPrinted>
  <dcterms:created xsi:type="dcterms:W3CDTF">2022-07-28T02:15:00Z</dcterms:created>
  <dcterms:modified xsi:type="dcterms:W3CDTF">2022-11-10T06:52:00Z</dcterms:modified>
</cp:coreProperties>
</file>