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2909" w14:textId="5240940C" w:rsidR="00A468EB" w:rsidRPr="00A468EB" w:rsidRDefault="00A468EB" w:rsidP="00A468EB">
      <w:pPr>
        <w:pStyle w:val="Heading1"/>
      </w:pPr>
      <w:r>
        <w:t xml:space="preserve">Lodging </w:t>
      </w:r>
      <w:r w:rsidR="00BA3EDB">
        <w:t>NCCC</w:t>
      </w:r>
      <w:r>
        <w:t xml:space="preserve"> consignments</w:t>
      </w:r>
    </w:p>
    <w:p w14:paraId="05E32B8C" w14:textId="42DCDDF8" w:rsidR="00BA3EDB" w:rsidRPr="009E35E0" w:rsidRDefault="00BA3EDB" w:rsidP="00BA3EDB">
      <w:r>
        <w:t>This</w:t>
      </w:r>
      <w:r>
        <w:rPr>
          <w:spacing w:val="-3"/>
        </w:rPr>
        <w:t xml:space="preserve"> </w:t>
      </w:r>
      <w:r>
        <w:t>task</w:t>
      </w:r>
      <w:r>
        <w:rPr>
          <w:spacing w:val="-3"/>
        </w:rPr>
        <w:t xml:space="preserve"> </w:t>
      </w:r>
      <w:r>
        <w:t>card</w:t>
      </w:r>
      <w:r>
        <w:rPr>
          <w:spacing w:val="-4"/>
        </w:rPr>
        <w:t xml:space="preserve"> </w:t>
      </w:r>
      <w:r>
        <w:t xml:space="preserve">describes the information required to lodge an import declaration in accordance with the Class 19.1 Non-commodity for </w:t>
      </w:r>
      <w:proofErr w:type="spellStart"/>
      <w:r>
        <w:t>Containerised</w:t>
      </w:r>
      <w:proofErr w:type="spellEnd"/>
      <w:r>
        <w:t xml:space="preserve"> Cargo Clearance (NCCC) approved arrangement. Where concerns are identified, automated biosecurity directions will be issued through the Agriculture Import Management System (AIMS) via Automated Entry Processing (AEP). </w:t>
      </w:r>
    </w:p>
    <w:p w14:paraId="122D87ED" w14:textId="77777777" w:rsidR="00BA3EDB" w:rsidRPr="00A468EB" w:rsidRDefault="00BA3EDB" w:rsidP="00BA3EDB">
      <w:pPr>
        <w:pStyle w:val="Heading2"/>
      </w:pPr>
      <w:r w:rsidRPr="00A468EB">
        <w:t>Accreditation Requirements</w:t>
      </w:r>
    </w:p>
    <w:p w14:paraId="6E2A7C6E" w14:textId="1D7E0787" w:rsidR="00BA3EDB" w:rsidRDefault="00BA3EDB" w:rsidP="00BA3EDB">
      <w:pPr>
        <w:pStyle w:val="BodyText"/>
        <w:spacing w:before="58" w:line="278" w:lineRule="auto"/>
        <w:ind w:left="0" w:right="700"/>
      </w:pPr>
      <w:r>
        <w:t>Before lodging a consignment in the Integrated Cargo System (ICS) or third</w:t>
      </w:r>
      <w:r w:rsidR="000F644A">
        <w:t>-</w:t>
      </w:r>
      <w:r>
        <w:t xml:space="preserve">party software you (the individual) must be accredited and be employed by a Biosecurity Industry Participant (BIP) who has </w:t>
      </w:r>
      <w:proofErr w:type="gramStart"/>
      <w:r>
        <w:t>entered into</w:t>
      </w:r>
      <w:proofErr w:type="gramEnd"/>
      <w:r>
        <w:t xml:space="preserve"> a </w:t>
      </w:r>
      <w:r w:rsidRPr="00AF035A">
        <w:rPr>
          <w:spacing w:val="-2"/>
        </w:rPr>
        <w:t xml:space="preserve">Class 19.1 Non-commodity for </w:t>
      </w:r>
      <w:proofErr w:type="spellStart"/>
      <w:r w:rsidRPr="00AF035A">
        <w:rPr>
          <w:spacing w:val="-2"/>
        </w:rPr>
        <w:t>Containerised</w:t>
      </w:r>
      <w:proofErr w:type="spellEnd"/>
      <w:r w:rsidRPr="00AF035A">
        <w:rPr>
          <w:spacing w:val="-2"/>
        </w:rPr>
        <w:t xml:space="preserve"> Cargo Clearance (NCCC)</w:t>
      </w:r>
      <w:r>
        <w:rPr>
          <w:i/>
          <w:spacing w:val="-2"/>
        </w:rPr>
        <w:t xml:space="preserve"> </w:t>
      </w:r>
      <w:r>
        <w:t xml:space="preserve">approved arrangement (AA) with the </w:t>
      </w:r>
      <w:r w:rsidR="000F644A">
        <w:t>d</w:t>
      </w:r>
      <w:r>
        <w:t>epartment.</w:t>
      </w:r>
    </w:p>
    <w:p w14:paraId="36C21D73" w14:textId="525ECCE6" w:rsidR="00BA3EDB" w:rsidRDefault="00BA3EDB" w:rsidP="00BA3EDB">
      <w:r>
        <w:t xml:space="preserve">To become an accredited person you must meet all requirements as outlined on the </w:t>
      </w:r>
      <w:hyperlink r:id="rId8" w:anchor="broker-accreditationhttp://www.agriculture.gov.au/import/arrival/arrangements/training-accreditation" w:history="1">
        <w:r w:rsidRPr="00F842BF">
          <w:rPr>
            <w:rStyle w:val="Hyperlink"/>
          </w:rPr>
          <w:t>Training and accreditation for approved arrangements webpage</w:t>
        </w:r>
      </w:hyperlink>
      <w:r>
        <w:t>. Once approved, you must maintain your accreditation for the NCCC AA by completing continued biosecurity competency (CBC) sessions stipulated by the department in a given CBC period.</w:t>
      </w:r>
    </w:p>
    <w:p w14:paraId="4FF09F37" w14:textId="77777777" w:rsidR="00BA3EDB" w:rsidRPr="00320F09" w:rsidRDefault="00BA3EDB" w:rsidP="00BA3EDB">
      <w:pPr>
        <w:rPr>
          <w:rStyle w:val="Emphasis"/>
          <w:i w:val="0"/>
          <w:color w:val="auto"/>
        </w:rPr>
      </w:pPr>
      <w:r>
        <w:t xml:space="preserve">If you or your business do not hold a Class 19.1 Broker AA, you will need to review the </w:t>
      </w:r>
      <w:hyperlink r:id="rId9" w:anchor="class-19" w:history="1">
        <w:r w:rsidRPr="00320F09">
          <w:rPr>
            <w:rStyle w:val="Hyperlink"/>
          </w:rPr>
          <w:t>class</w:t>
        </w:r>
        <w:r>
          <w:rPr>
            <w:rStyle w:val="Hyperlink"/>
          </w:rPr>
          <w:t xml:space="preserve"> 19.1</w:t>
        </w:r>
        <w:r w:rsidRPr="00320F09">
          <w:rPr>
            <w:rStyle w:val="Hyperlink"/>
          </w:rPr>
          <w:t xml:space="preserve"> requirements document</w:t>
        </w:r>
      </w:hyperlink>
      <w:r>
        <w:t xml:space="preserve"> and apply online at </w:t>
      </w:r>
      <w:hyperlink r:id="rId10" w:anchor="application" w:history="1">
        <w:r w:rsidRPr="00320F09">
          <w:rPr>
            <w:rStyle w:val="Hyperlink"/>
          </w:rPr>
          <w:t>Applying for an approved arrangement</w:t>
        </w:r>
      </w:hyperlink>
      <w:r>
        <w:t>.</w:t>
      </w:r>
    </w:p>
    <w:p w14:paraId="5D18E409" w14:textId="77777777" w:rsidR="00BA3EDB" w:rsidRDefault="00BA3EDB" w:rsidP="00BA3EDB">
      <w:pPr>
        <w:pStyle w:val="Button"/>
        <w:rPr>
          <w:rStyle w:val="Emphasis"/>
        </w:rPr>
      </w:pPr>
    </w:p>
    <w:p w14:paraId="52401F8D" w14:textId="1D0DDE66" w:rsidR="00BA3EDB" w:rsidRPr="00A468EB" w:rsidRDefault="00BA3EDB" w:rsidP="00BA3EDB">
      <w:pPr>
        <w:pStyle w:val="Heading2"/>
      </w:pPr>
      <w:r>
        <w:t>Assessment and identification of non-commodity concerns</w:t>
      </w:r>
    </w:p>
    <w:p w14:paraId="2068464F" w14:textId="77777777" w:rsidR="00BA3EDB" w:rsidRPr="00E02B90" w:rsidRDefault="00BA3EDB" w:rsidP="00BA3EDB">
      <w:pPr>
        <w:pStyle w:val="ListParagraph"/>
        <w:keepNext/>
        <w:widowControl/>
        <w:numPr>
          <w:ilvl w:val="0"/>
          <w:numId w:val="5"/>
        </w:numPr>
        <w:shd w:val="clear" w:color="auto" w:fill="397A80"/>
        <w:spacing w:before="60" w:after="60"/>
        <w:ind w:right="0"/>
        <w:contextualSpacing w:val="0"/>
        <w:rPr>
          <w:rFonts w:eastAsia="Times New Roman" w:cs="Times New Roman"/>
          <w:vanish/>
          <w:color w:val="F2ECE5"/>
          <w:spacing w:val="4"/>
          <w:sz w:val="32"/>
          <w:szCs w:val="32"/>
        </w:rPr>
      </w:pPr>
    </w:p>
    <w:p w14:paraId="5B5E1AA4" w14:textId="77777777" w:rsidR="00BA3EDB" w:rsidRPr="00E02B90" w:rsidRDefault="00BA3EDB" w:rsidP="00BA3EDB">
      <w:pPr>
        <w:pStyle w:val="ListParagraph"/>
        <w:keepNext/>
        <w:widowControl/>
        <w:numPr>
          <w:ilvl w:val="0"/>
          <w:numId w:val="5"/>
        </w:numPr>
        <w:shd w:val="clear" w:color="auto" w:fill="397A80"/>
        <w:spacing w:before="60" w:after="60"/>
        <w:ind w:right="0"/>
        <w:contextualSpacing w:val="0"/>
        <w:rPr>
          <w:rFonts w:eastAsia="Times New Roman" w:cs="Times New Roman"/>
          <w:vanish/>
          <w:color w:val="F2ECE5"/>
          <w:spacing w:val="4"/>
          <w:sz w:val="32"/>
          <w:szCs w:val="32"/>
        </w:rPr>
      </w:pPr>
    </w:p>
    <w:p w14:paraId="3AAFF4CD" w14:textId="7A535C2D" w:rsidR="000A7313" w:rsidRPr="00366CF8" w:rsidRDefault="000A7313" w:rsidP="000A7313">
      <w:pPr>
        <w:pStyle w:val="Heading3"/>
      </w:pPr>
      <w:r>
        <w:t>Document assessment</w:t>
      </w:r>
    </w:p>
    <w:p w14:paraId="23EEE6EA" w14:textId="77777777" w:rsidR="00BA3EDB" w:rsidRDefault="00BA3EDB" w:rsidP="000A7313">
      <w:r>
        <w:t>Once you have compiled your consignment information, you need to assess the import documentation and delivery location of the goods using the most current version of:</w:t>
      </w:r>
    </w:p>
    <w:p w14:paraId="1F1D59C1" w14:textId="77777777" w:rsidR="00BA3EDB" w:rsidRPr="00143FB0" w:rsidRDefault="004C6B4C" w:rsidP="00BA3EDB">
      <w:pPr>
        <w:pStyle w:val="ListParagraph"/>
        <w:widowControl/>
        <w:numPr>
          <w:ilvl w:val="0"/>
          <w:numId w:val="8"/>
        </w:numPr>
        <w:spacing w:before="60" w:after="60" w:line="276" w:lineRule="auto"/>
        <w:ind w:right="0"/>
        <w:rPr>
          <w:rFonts w:cs="Calibri"/>
        </w:rPr>
      </w:pPr>
      <w:hyperlink r:id="rId11" w:anchor="class-19" w:history="1">
        <w:r w:rsidR="00BA3EDB" w:rsidRPr="00042DAB">
          <w:rPr>
            <w:rStyle w:val="Hyperlink"/>
            <w:rFonts w:cs="Calibri"/>
          </w:rPr>
          <w:t xml:space="preserve">Class 19.1 Non-commodity for </w:t>
        </w:r>
        <w:proofErr w:type="spellStart"/>
        <w:r w:rsidR="00BA3EDB" w:rsidRPr="00042DAB">
          <w:rPr>
            <w:rStyle w:val="Hyperlink"/>
            <w:rFonts w:cs="Calibri"/>
          </w:rPr>
          <w:t>Containerised</w:t>
        </w:r>
        <w:proofErr w:type="spellEnd"/>
        <w:r w:rsidR="00BA3EDB" w:rsidRPr="00042DAB">
          <w:rPr>
            <w:rStyle w:val="Hyperlink"/>
            <w:rFonts w:cs="Calibri"/>
          </w:rPr>
          <w:t xml:space="preserve"> Cargo Clearance (NCCC)</w:t>
        </w:r>
      </w:hyperlink>
      <w:r w:rsidR="00BA3EDB" w:rsidRPr="00143FB0">
        <w:rPr>
          <w:rFonts w:cs="Calibri"/>
        </w:rPr>
        <w:t xml:space="preserve"> </w:t>
      </w:r>
    </w:p>
    <w:p w14:paraId="4409042D" w14:textId="77777777" w:rsidR="00BA3EDB" w:rsidRPr="00143FB0" w:rsidRDefault="004C6B4C" w:rsidP="00BA3EDB">
      <w:pPr>
        <w:pStyle w:val="ListParagraph"/>
        <w:widowControl/>
        <w:numPr>
          <w:ilvl w:val="0"/>
          <w:numId w:val="8"/>
        </w:numPr>
        <w:spacing w:before="60" w:after="60" w:line="276" w:lineRule="auto"/>
        <w:ind w:right="0"/>
        <w:rPr>
          <w:rFonts w:cs="Calibri"/>
        </w:rPr>
      </w:pPr>
      <w:hyperlink r:id="rId12" w:history="1">
        <w:r w:rsidR="00BA3EDB" w:rsidRPr="00042DAB">
          <w:rPr>
            <w:rStyle w:val="Hyperlink"/>
            <w:rFonts w:cs="Calibri"/>
          </w:rPr>
          <w:t>Approved arrangements general policies</w:t>
        </w:r>
      </w:hyperlink>
      <w:r w:rsidR="00BA3EDB" w:rsidRPr="00143FB0">
        <w:rPr>
          <w:rFonts w:cs="Calibri"/>
        </w:rPr>
        <w:t xml:space="preserve"> </w:t>
      </w:r>
    </w:p>
    <w:p w14:paraId="28F1FBA1" w14:textId="77777777" w:rsidR="00BA3EDB" w:rsidRPr="00143FB0" w:rsidRDefault="004C6B4C" w:rsidP="00BA3EDB">
      <w:pPr>
        <w:pStyle w:val="ListParagraph"/>
        <w:widowControl/>
        <w:numPr>
          <w:ilvl w:val="0"/>
          <w:numId w:val="8"/>
        </w:numPr>
        <w:spacing w:before="60" w:after="60" w:line="276" w:lineRule="auto"/>
        <w:ind w:right="0"/>
        <w:rPr>
          <w:rFonts w:cs="Calibri"/>
        </w:rPr>
      </w:pPr>
      <w:hyperlink r:id="rId13" w:history="1">
        <w:r w:rsidR="00BA3EDB" w:rsidRPr="00042DAB">
          <w:rPr>
            <w:rStyle w:val="Hyperlink"/>
            <w:rFonts w:cs="Calibri"/>
          </w:rPr>
          <w:t>Non-commodity information requirements policy</w:t>
        </w:r>
      </w:hyperlink>
    </w:p>
    <w:p w14:paraId="664F1BB0" w14:textId="77777777" w:rsidR="00BA3EDB" w:rsidRPr="00143FB0" w:rsidRDefault="004C6B4C" w:rsidP="00BA3EDB">
      <w:pPr>
        <w:pStyle w:val="ListParagraph"/>
        <w:widowControl/>
        <w:numPr>
          <w:ilvl w:val="0"/>
          <w:numId w:val="8"/>
        </w:numPr>
        <w:spacing w:before="60" w:after="60" w:line="276" w:lineRule="auto"/>
        <w:ind w:right="0"/>
        <w:rPr>
          <w:rFonts w:cs="Calibri"/>
        </w:rPr>
      </w:pPr>
      <w:hyperlink r:id="rId14" w:history="1">
        <w:r w:rsidR="00BA3EDB" w:rsidRPr="00042DAB">
          <w:rPr>
            <w:rStyle w:val="Hyperlink"/>
            <w:rFonts w:cs="Calibri"/>
          </w:rPr>
          <w:t>Minimum documentary and import declaration requirements policy</w:t>
        </w:r>
      </w:hyperlink>
      <w:r w:rsidR="00BA3EDB" w:rsidRPr="00143FB0">
        <w:rPr>
          <w:rFonts w:cs="Calibri"/>
        </w:rPr>
        <w:t xml:space="preserve"> </w:t>
      </w:r>
    </w:p>
    <w:p w14:paraId="03E624BB" w14:textId="77777777" w:rsidR="00BA3EDB" w:rsidRPr="00854669" w:rsidRDefault="004C6B4C" w:rsidP="00BA3EDB">
      <w:pPr>
        <w:pStyle w:val="ListParagraph"/>
        <w:widowControl/>
        <w:numPr>
          <w:ilvl w:val="0"/>
          <w:numId w:val="8"/>
        </w:numPr>
        <w:spacing w:before="60" w:after="60" w:line="276" w:lineRule="auto"/>
        <w:ind w:right="0"/>
        <w:rPr>
          <w:rStyle w:val="Hyperlink"/>
          <w:rFonts w:cs="Calibri"/>
        </w:rPr>
      </w:pPr>
      <w:hyperlink r:id="rId15" w:history="1">
        <w:r w:rsidR="00BA3EDB" w:rsidRPr="00E42921">
          <w:rPr>
            <w:rStyle w:val="Hyperlink"/>
            <w:rFonts w:cs="Calibri"/>
          </w:rPr>
          <w:t xml:space="preserve">Biosecurity Import Conditions (BICON) – Non-commodity </w:t>
        </w:r>
        <w:r w:rsidR="00BA3EDB">
          <w:rPr>
            <w:rStyle w:val="Hyperlink"/>
            <w:rFonts w:cs="Calibri"/>
          </w:rPr>
          <w:t>case</w:t>
        </w:r>
      </w:hyperlink>
      <w:r w:rsidR="00BA3EDB">
        <w:rPr>
          <w:rStyle w:val="Hyperlink"/>
          <w:rFonts w:cs="Calibri"/>
        </w:rPr>
        <w:t xml:space="preserve"> </w:t>
      </w:r>
    </w:p>
    <w:p w14:paraId="6B0433B0" w14:textId="7D48652F" w:rsidR="000A7313" w:rsidRPr="00366CF8" w:rsidRDefault="000A7313" w:rsidP="000A7313">
      <w:pPr>
        <w:pStyle w:val="Heading3"/>
      </w:pPr>
      <w:r>
        <w:t xml:space="preserve">Full Import Declaration (FID) </w:t>
      </w:r>
      <w:proofErr w:type="spellStart"/>
      <w:r>
        <w:t>lodgement</w:t>
      </w:r>
      <w:proofErr w:type="spellEnd"/>
    </w:p>
    <w:p w14:paraId="7EBCBB1D" w14:textId="7FBD4F43" w:rsidR="00BA3EDB" w:rsidRDefault="00BA3EDB" w:rsidP="000A7313">
      <w:r>
        <w:t>Once you have assessed the non-commodity requirements and supporting documentation for the goods, you can now lodge the FID. This will be lodged through the ICS or third</w:t>
      </w:r>
      <w:r w:rsidR="00933779">
        <w:t>-</w:t>
      </w:r>
      <w:r>
        <w:t>party software and must include all mandatory information as outlined in the above policies.</w:t>
      </w:r>
    </w:p>
    <w:p w14:paraId="296356CD" w14:textId="77777777" w:rsidR="00BA3EDB" w:rsidRDefault="00BA3EDB" w:rsidP="000A7313">
      <w:r>
        <w:t>If the consignment does not meet the non-commodity requirements you will need to answer ‘no’ to general declaration questions 7 (FCL) or 9 (LCL) and enter the appropriate concern type/s to address the biosecurity concern.</w:t>
      </w:r>
    </w:p>
    <w:p w14:paraId="6BB6E5AB" w14:textId="3813F4AD" w:rsidR="00933779" w:rsidRDefault="00BA3EDB" w:rsidP="000A7313">
      <w:r>
        <w:t xml:space="preserve">The concern types and descriptions are </w:t>
      </w:r>
      <w:r w:rsidR="00466224">
        <w:t>outlined in</w:t>
      </w:r>
      <w:r w:rsidR="00933779">
        <w:t xml:space="preserve"> Table 1.</w:t>
      </w:r>
    </w:p>
    <w:p w14:paraId="18CC1997" w14:textId="77777777" w:rsidR="00933779" w:rsidRPr="00451EE4" w:rsidRDefault="00933779" w:rsidP="00933779">
      <w:pPr>
        <w:pStyle w:val="Caption"/>
      </w:pPr>
      <w:bookmarkStart w:id="0" w:name="_Toc103586616"/>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w:t>
      </w:r>
      <w:r>
        <w:t xml:space="preserve"> Concern types</w:t>
      </w:r>
      <w:bookmarkEnd w:id="0"/>
    </w:p>
    <w:tbl>
      <w:tblPr>
        <w:tblW w:w="5000" w:type="pct"/>
        <w:tblBorders>
          <w:top w:val="single" w:sz="4" w:space="0" w:color="auto"/>
          <w:bottom w:val="single" w:sz="4" w:space="0" w:color="auto"/>
        </w:tblBorders>
        <w:tblLook w:val="04A0" w:firstRow="1" w:lastRow="0" w:firstColumn="1" w:lastColumn="0" w:noHBand="0" w:noVBand="1"/>
      </w:tblPr>
      <w:tblGrid>
        <w:gridCol w:w="902"/>
        <w:gridCol w:w="2111"/>
        <w:gridCol w:w="4699"/>
        <w:gridCol w:w="1459"/>
        <w:gridCol w:w="1295"/>
      </w:tblGrid>
      <w:tr w:rsidR="00933779" w:rsidRPr="0040627E" w14:paraId="033B03CC" w14:textId="77777777" w:rsidTr="00CF4041">
        <w:trPr>
          <w:trHeight w:val="315"/>
        </w:trPr>
        <w:tc>
          <w:tcPr>
            <w:tcW w:w="495" w:type="pct"/>
            <w:tcBorders>
              <w:top w:val="single" w:sz="4" w:space="0" w:color="auto"/>
              <w:bottom w:val="single" w:sz="4" w:space="0" w:color="auto"/>
            </w:tcBorders>
            <w:shd w:val="clear" w:color="auto" w:fill="FFFFFF" w:themeFill="background1"/>
            <w:vAlign w:val="center"/>
            <w:hideMark/>
          </w:tcPr>
          <w:p w14:paraId="68FE82E1" w14:textId="77777777" w:rsidR="00933779" w:rsidRPr="00A4124E" w:rsidRDefault="00933779" w:rsidP="00CF4041">
            <w:pPr>
              <w:pStyle w:val="TableHeading"/>
            </w:pPr>
            <w:r>
              <w:lastRenderedPageBreak/>
              <w:br w:type="page"/>
            </w:r>
            <w:r w:rsidRPr="00A4124E">
              <w:t>Concern type</w:t>
            </w:r>
          </w:p>
        </w:tc>
        <w:tc>
          <w:tcPr>
            <w:tcW w:w="754" w:type="pct"/>
            <w:tcBorders>
              <w:top w:val="single" w:sz="4" w:space="0" w:color="auto"/>
              <w:bottom w:val="single" w:sz="4" w:space="0" w:color="auto"/>
            </w:tcBorders>
            <w:shd w:val="clear" w:color="auto" w:fill="FFFFFF" w:themeFill="background1"/>
            <w:vAlign w:val="center"/>
            <w:hideMark/>
          </w:tcPr>
          <w:p w14:paraId="06EFE774" w14:textId="77777777" w:rsidR="00933779" w:rsidRPr="00A4124E" w:rsidRDefault="00933779" w:rsidP="00CF4041">
            <w:pPr>
              <w:pStyle w:val="TableHeading"/>
            </w:pPr>
            <w:r w:rsidRPr="00A4124E">
              <w:t>Concern</w:t>
            </w:r>
          </w:p>
        </w:tc>
        <w:tc>
          <w:tcPr>
            <w:tcW w:w="2330" w:type="pct"/>
            <w:tcBorders>
              <w:top w:val="single" w:sz="4" w:space="0" w:color="auto"/>
              <w:bottom w:val="single" w:sz="4" w:space="0" w:color="auto"/>
            </w:tcBorders>
            <w:shd w:val="clear" w:color="auto" w:fill="FFFFFF" w:themeFill="background1"/>
            <w:vAlign w:val="center"/>
            <w:hideMark/>
          </w:tcPr>
          <w:p w14:paraId="3C8F0E54" w14:textId="77777777" w:rsidR="00933779" w:rsidRPr="00A4124E" w:rsidRDefault="00933779" w:rsidP="00CF4041">
            <w:pPr>
              <w:pStyle w:val="TableHeading"/>
            </w:pPr>
            <w:r w:rsidRPr="00A4124E">
              <w:t>Description</w:t>
            </w:r>
          </w:p>
        </w:tc>
        <w:tc>
          <w:tcPr>
            <w:tcW w:w="781" w:type="pct"/>
            <w:tcBorders>
              <w:top w:val="single" w:sz="4" w:space="0" w:color="auto"/>
              <w:bottom w:val="single" w:sz="4" w:space="0" w:color="auto"/>
            </w:tcBorders>
            <w:shd w:val="clear" w:color="auto" w:fill="FFFFFF" w:themeFill="background1"/>
            <w:vAlign w:val="center"/>
            <w:hideMark/>
          </w:tcPr>
          <w:p w14:paraId="57258767" w14:textId="77777777" w:rsidR="00933779" w:rsidRPr="00A4124E" w:rsidRDefault="00933779" w:rsidP="00CF4041">
            <w:pPr>
              <w:pStyle w:val="TableHeading"/>
            </w:pPr>
            <w:r w:rsidRPr="00A4124E">
              <w:t>Cargo type</w:t>
            </w:r>
          </w:p>
        </w:tc>
        <w:tc>
          <w:tcPr>
            <w:tcW w:w="640" w:type="pct"/>
            <w:tcBorders>
              <w:top w:val="single" w:sz="4" w:space="0" w:color="auto"/>
              <w:bottom w:val="single" w:sz="4" w:space="0" w:color="auto"/>
            </w:tcBorders>
            <w:shd w:val="clear" w:color="auto" w:fill="FFFFFF" w:themeFill="background1"/>
            <w:vAlign w:val="center"/>
            <w:hideMark/>
          </w:tcPr>
          <w:p w14:paraId="55C860EB" w14:textId="77777777" w:rsidR="00933779" w:rsidRPr="00A4124E" w:rsidRDefault="00933779" w:rsidP="00CF4041">
            <w:pPr>
              <w:pStyle w:val="TableHeading"/>
            </w:pPr>
            <w:r w:rsidRPr="00A4124E">
              <w:t>Outcome</w:t>
            </w:r>
          </w:p>
        </w:tc>
      </w:tr>
      <w:tr w:rsidR="00933779" w:rsidRPr="0040627E" w14:paraId="707E9914" w14:textId="77777777" w:rsidTr="00CF4041">
        <w:trPr>
          <w:trHeight w:val="975"/>
        </w:trPr>
        <w:tc>
          <w:tcPr>
            <w:tcW w:w="495" w:type="pct"/>
            <w:tcBorders>
              <w:top w:val="single" w:sz="4" w:space="0" w:color="auto"/>
              <w:bottom w:val="nil"/>
              <w:right w:val="nil"/>
            </w:tcBorders>
            <w:shd w:val="clear" w:color="auto" w:fill="auto"/>
            <w:vAlign w:val="center"/>
            <w:hideMark/>
          </w:tcPr>
          <w:p w14:paraId="0A0D5638" w14:textId="77777777" w:rsidR="00933779" w:rsidRPr="0040627E" w:rsidRDefault="00933779" w:rsidP="00CF4041">
            <w:pPr>
              <w:pStyle w:val="TableText"/>
            </w:pPr>
            <w:r w:rsidRPr="0040627E">
              <w:t>BCOM</w:t>
            </w:r>
          </w:p>
        </w:tc>
        <w:tc>
          <w:tcPr>
            <w:tcW w:w="754" w:type="pct"/>
            <w:tcBorders>
              <w:top w:val="single" w:sz="4" w:space="0" w:color="auto"/>
              <w:left w:val="nil"/>
              <w:bottom w:val="nil"/>
              <w:right w:val="nil"/>
            </w:tcBorders>
            <w:shd w:val="clear" w:color="auto" w:fill="auto"/>
            <w:vAlign w:val="center"/>
            <w:hideMark/>
          </w:tcPr>
          <w:p w14:paraId="3CB16329" w14:textId="77777777" w:rsidR="00933779" w:rsidRPr="0040627E" w:rsidRDefault="00933779" w:rsidP="00CF4041">
            <w:pPr>
              <w:pStyle w:val="TableText"/>
            </w:pPr>
            <w:r w:rsidRPr="0040627E">
              <w:t xml:space="preserve">Broker </w:t>
            </w:r>
            <w:r>
              <w:t>referred:</w:t>
            </w:r>
            <w:r w:rsidRPr="0040627E">
              <w:t xml:space="preserve"> commodity issues</w:t>
            </w:r>
          </w:p>
        </w:tc>
        <w:tc>
          <w:tcPr>
            <w:tcW w:w="2330" w:type="pct"/>
            <w:tcBorders>
              <w:top w:val="single" w:sz="4" w:space="0" w:color="auto"/>
              <w:left w:val="nil"/>
              <w:bottom w:val="nil"/>
              <w:right w:val="nil"/>
            </w:tcBorders>
            <w:shd w:val="clear" w:color="auto" w:fill="auto"/>
            <w:vAlign w:val="center"/>
            <w:hideMark/>
          </w:tcPr>
          <w:p w14:paraId="7C35EAEE" w14:textId="77777777" w:rsidR="00933779" w:rsidRPr="0040627E" w:rsidRDefault="00933779" w:rsidP="00CF4041">
            <w:pPr>
              <w:pStyle w:val="TableText"/>
            </w:pPr>
            <w:r w:rsidRPr="0040627E">
              <w:t>Department assessment required. To be used to refer concerns with a commodity line that has not been referred to the department through ICS community protection profiles or concerns regarding the authenticity of the commodity documentation.</w:t>
            </w:r>
          </w:p>
        </w:tc>
        <w:tc>
          <w:tcPr>
            <w:tcW w:w="781" w:type="pct"/>
            <w:tcBorders>
              <w:top w:val="single" w:sz="4" w:space="0" w:color="auto"/>
              <w:left w:val="nil"/>
              <w:bottom w:val="nil"/>
              <w:right w:val="nil"/>
            </w:tcBorders>
            <w:shd w:val="clear" w:color="auto" w:fill="auto"/>
            <w:vAlign w:val="center"/>
            <w:hideMark/>
          </w:tcPr>
          <w:p w14:paraId="3B82B595" w14:textId="77777777" w:rsidR="00933779" w:rsidRPr="0040627E" w:rsidRDefault="00933779" w:rsidP="00CF4041">
            <w:pPr>
              <w:pStyle w:val="TableText"/>
            </w:pPr>
            <w:r w:rsidRPr="0040627E">
              <w:t>For all cargo types</w:t>
            </w:r>
          </w:p>
        </w:tc>
        <w:tc>
          <w:tcPr>
            <w:tcW w:w="640" w:type="pct"/>
            <w:tcBorders>
              <w:top w:val="single" w:sz="4" w:space="0" w:color="auto"/>
              <w:left w:val="nil"/>
              <w:bottom w:val="nil"/>
            </w:tcBorders>
            <w:shd w:val="clear" w:color="auto" w:fill="auto"/>
            <w:vAlign w:val="center"/>
            <w:hideMark/>
          </w:tcPr>
          <w:p w14:paraId="207CD831" w14:textId="77777777" w:rsidR="00933779" w:rsidRPr="0040627E" w:rsidRDefault="00933779" w:rsidP="00CF4041">
            <w:pPr>
              <w:pStyle w:val="TableText"/>
            </w:pPr>
            <w:r w:rsidRPr="0040627E">
              <w:t>Document processing required (applies to all lines)</w:t>
            </w:r>
          </w:p>
        </w:tc>
      </w:tr>
      <w:tr w:rsidR="00933779" w:rsidRPr="0040627E" w14:paraId="29F1CE7F" w14:textId="77777777" w:rsidTr="00CF4041">
        <w:trPr>
          <w:trHeight w:val="975"/>
        </w:trPr>
        <w:tc>
          <w:tcPr>
            <w:tcW w:w="495" w:type="pct"/>
            <w:tcBorders>
              <w:top w:val="nil"/>
              <w:bottom w:val="single" w:sz="4" w:space="0" w:color="auto"/>
            </w:tcBorders>
            <w:shd w:val="clear" w:color="auto" w:fill="auto"/>
            <w:vAlign w:val="center"/>
            <w:hideMark/>
          </w:tcPr>
          <w:p w14:paraId="43C386D5" w14:textId="77777777" w:rsidR="00933779" w:rsidRPr="0040627E" w:rsidRDefault="00933779" w:rsidP="00CF4041">
            <w:pPr>
              <w:pStyle w:val="TableText"/>
            </w:pPr>
            <w:r w:rsidRPr="0040627E">
              <w:t>BNCC</w:t>
            </w:r>
          </w:p>
        </w:tc>
        <w:tc>
          <w:tcPr>
            <w:tcW w:w="754" w:type="pct"/>
            <w:tcBorders>
              <w:top w:val="nil"/>
              <w:bottom w:val="single" w:sz="4" w:space="0" w:color="auto"/>
            </w:tcBorders>
            <w:shd w:val="clear" w:color="auto" w:fill="auto"/>
            <w:vAlign w:val="center"/>
            <w:hideMark/>
          </w:tcPr>
          <w:p w14:paraId="3F1868E1" w14:textId="77777777" w:rsidR="00933779" w:rsidRPr="0040627E" w:rsidRDefault="00933779" w:rsidP="00CF4041">
            <w:pPr>
              <w:pStyle w:val="TableText"/>
            </w:pPr>
            <w:r w:rsidRPr="0040627E">
              <w:t xml:space="preserve">Broker </w:t>
            </w:r>
            <w:r>
              <w:t>referred:</w:t>
            </w:r>
            <w:r w:rsidRPr="0040627E">
              <w:t xml:space="preserve"> non-commodity issues</w:t>
            </w:r>
          </w:p>
        </w:tc>
        <w:tc>
          <w:tcPr>
            <w:tcW w:w="2330" w:type="pct"/>
            <w:tcBorders>
              <w:top w:val="nil"/>
              <w:bottom w:val="single" w:sz="4" w:space="0" w:color="auto"/>
            </w:tcBorders>
            <w:shd w:val="clear" w:color="auto" w:fill="auto"/>
            <w:vAlign w:val="center"/>
            <w:hideMark/>
          </w:tcPr>
          <w:p w14:paraId="267C4EDD" w14:textId="77777777" w:rsidR="00933779" w:rsidRPr="0040627E" w:rsidRDefault="00933779" w:rsidP="00CF4041">
            <w:pPr>
              <w:pStyle w:val="TableText"/>
            </w:pPr>
            <w:r w:rsidRPr="0040627E">
              <w:t>Department assessment required. To be used to refer non-commodity concerns other than listed or would like the non-commodity concerns assessed by the department due to the outcome required not being available—for example, external container inspection.</w:t>
            </w:r>
          </w:p>
        </w:tc>
        <w:tc>
          <w:tcPr>
            <w:tcW w:w="781" w:type="pct"/>
            <w:tcBorders>
              <w:top w:val="nil"/>
              <w:bottom w:val="single" w:sz="4" w:space="0" w:color="auto"/>
            </w:tcBorders>
            <w:shd w:val="clear" w:color="auto" w:fill="auto"/>
            <w:vAlign w:val="center"/>
            <w:hideMark/>
          </w:tcPr>
          <w:p w14:paraId="09EA46EF" w14:textId="77777777" w:rsidR="00933779" w:rsidRPr="0040627E" w:rsidRDefault="00933779" w:rsidP="00CF4041">
            <w:pPr>
              <w:pStyle w:val="TableText"/>
            </w:pPr>
            <w:r w:rsidRPr="0040627E">
              <w:t>For all cargo types</w:t>
            </w:r>
          </w:p>
        </w:tc>
        <w:tc>
          <w:tcPr>
            <w:tcW w:w="640" w:type="pct"/>
            <w:tcBorders>
              <w:top w:val="nil"/>
              <w:bottom w:val="single" w:sz="4" w:space="0" w:color="auto"/>
            </w:tcBorders>
            <w:shd w:val="clear" w:color="auto" w:fill="auto"/>
            <w:vAlign w:val="center"/>
            <w:hideMark/>
          </w:tcPr>
          <w:p w14:paraId="7BAFFFB5" w14:textId="77777777" w:rsidR="00933779" w:rsidRPr="0040627E" w:rsidRDefault="00933779" w:rsidP="00CF4041">
            <w:pPr>
              <w:pStyle w:val="TableText"/>
            </w:pPr>
            <w:r w:rsidRPr="0040627E">
              <w:t>Document processing required</w:t>
            </w:r>
          </w:p>
        </w:tc>
      </w:tr>
      <w:tr w:rsidR="00933779" w:rsidRPr="0040627E" w14:paraId="0B00FCF1" w14:textId="77777777" w:rsidTr="00CF4041">
        <w:trPr>
          <w:trHeight w:val="315"/>
        </w:trPr>
        <w:tc>
          <w:tcPr>
            <w:tcW w:w="495" w:type="pct"/>
            <w:tcBorders>
              <w:top w:val="single" w:sz="4" w:space="0" w:color="auto"/>
              <w:bottom w:val="single" w:sz="4" w:space="0" w:color="auto"/>
            </w:tcBorders>
            <w:shd w:val="clear" w:color="auto" w:fill="FFFFFF" w:themeFill="background1"/>
            <w:vAlign w:val="center"/>
          </w:tcPr>
          <w:p w14:paraId="3C8BAED6" w14:textId="77777777" w:rsidR="00933779" w:rsidRPr="00075282" w:rsidRDefault="00933779" w:rsidP="00CF4041">
            <w:pPr>
              <w:pStyle w:val="TableText"/>
            </w:pPr>
            <w:r w:rsidRPr="00075282">
              <w:t>KPRA</w:t>
            </w:r>
          </w:p>
        </w:tc>
        <w:tc>
          <w:tcPr>
            <w:tcW w:w="754" w:type="pct"/>
            <w:tcBorders>
              <w:top w:val="single" w:sz="4" w:space="0" w:color="auto"/>
              <w:bottom w:val="single" w:sz="4" w:space="0" w:color="auto"/>
            </w:tcBorders>
            <w:shd w:val="clear" w:color="auto" w:fill="FFFFFF" w:themeFill="background1"/>
            <w:vAlign w:val="center"/>
          </w:tcPr>
          <w:p w14:paraId="55BF1345" w14:textId="77777777" w:rsidR="00933779" w:rsidRPr="00075282" w:rsidRDefault="00933779" w:rsidP="00CF4041">
            <w:pPr>
              <w:pStyle w:val="TableText"/>
            </w:pPr>
            <w:r w:rsidRPr="00075282">
              <w:t>Khapra</w:t>
            </w:r>
            <w:r>
              <w:t xml:space="preserve"> beetle risk not managed offshore</w:t>
            </w:r>
          </w:p>
        </w:tc>
        <w:tc>
          <w:tcPr>
            <w:tcW w:w="2330" w:type="pct"/>
            <w:tcBorders>
              <w:top w:val="single" w:sz="4" w:space="0" w:color="auto"/>
              <w:bottom w:val="single" w:sz="4" w:space="0" w:color="auto"/>
            </w:tcBorders>
            <w:shd w:val="clear" w:color="auto" w:fill="FFFFFF" w:themeFill="background1"/>
            <w:vAlign w:val="center"/>
          </w:tcPr>
          <w:p w14:paraId="1E531B81" w14:textId="77777777" w:rsidR="00933779" w:rsidRPr="00075282" w:rsidRDefault="00933779" w:rsidP="00CF4041">
            <w:pPr>
              <w:pStyle w:val="TableText"/>
            </w:pPr>
            <w:r w:rsidRPr="00075282">
              <w:t xml:space="preserve">Department assessment required. FCL/X not treated for </w:t>
            </w:r>
            <w:r>
              <w:t>k</w:t>
            </w:r>
            <w:r w:rsidRPr="00075282">
              <w:t xml:space="preserve">hapra beetle or treatment certificate is unacceptable (for containers </w:t>
            </w:r>
            <w:r>
              <w:t>packed in</w:t>
            </w:r>
            <w:r w:rsidRPr="00075282">
              <w:t xml:space="preserve"> a </w:t>
            </w:r>
            <w:r>
              <w:t>k</w:t>
            </w:r>
            <w:r w:rsidRPr="00075282">
              <w:t xml:space="preserve">hapra beetle country and </w:t>
            </w:r>
            <w:r>
              <w:t xml:space="preserve">destined </w:t>
            </w:r>
            <w:r w:rsidRPr="00075282">
              <w:t xml:space="preserve">to be </w:t>
            </w:r>
            <w:r w:rsidRPr="008D327F">
              <w:t>unpacked in</w:t>
            </w:r>
            <w:r w:rsidRPr="00075282">
              <w:t xml:space="preserve"> a </w:t>
            </w:r>
            <w:r>
              <w:t>rural khapra risk post code in Australia</w:t>
            </w:r>
            <w:r w:rsidRPr="00075282">
              <w:t>)</w:t>
            </w:r>
            <w:r>
              <w:t>.</w:t>
            </w:r>
          </w:p>
        </w:tc>
        <w:tc>
          <w:tcPr>
            <w:tcW w:w="781" w:type="pct"/>
            <w:tcBorders>
              <w:top w:val="single" w:sz="4" w:space="0" w:color="auto"/>
              <w:bottom w:val="single" w:sz="4" w:space="0" w:color="auto"/>
            </w:tcBorders>
            <w:shd w:val="clear" w:color="auto" w:fill="FFFFFF" w:themeFill="background1"/>
            <w:vAlign w:val="center"/>
          </w:tcPr>
          <w:p w14:paraId="7552EABE" w14:textId="77777777" w:rsidR="00933779" w:rsidRPr="00075282" w:rsidRDefault="00933779" w:rsidP="00CF4041">
            <w:pPr>
              <w:pStyle w:val="TableText"/>
            </w:pPr>
            <w:r w:rsidRPr="0040627E">
              <w:t>For cargo types—</w:t>
            </w:r>
            <w:r w:rsidRPr="00075282">
              <w:t>FC</w:t>
            </w:r>
            <w:r>
              <w:t>L, FCX</w:t>
            </w:r>
          </w:p>
        </w:tc>
        <w:tc>
          <w:tcPr>
            <w:tcW w:w="640" w:type="pct"/>
            <w:tcBorders>
              <w:top w:val="single" w:sz="4" w:space="0" w:color="auto"/>
              <w:bottom w:val="single" w:sz="4" w:space="0" w:color="auto"/>
            </w:tcBorders>
            <w:shd w:val="clear" w:color="auto" w:fill="FFFFFF" w:themeFill="background1"/>
            <w:vAlign w:val="center"/>
          </w:tcPr>
          <w:p w14:paraId="090474C9" w14:textId="77777777" w:rsidR="00933779" w:rsidRPr="00075282" w:rsidRDefault="00933779" w:rsidP="00CF4041">
            <w:pPr>
              <w:pStyle w:val="TableText"/>
            </w:pPr>
            <w:r w:rsidRPr="00075282">
              <w:t xml:space="preserve">Document processing required </w:t>
            </w:r>
          </w:p>
        </w:tc>
      </w:tr>
      <w:tr w:rsidR="00933779" w:rsidRPr="0040627E" w14:paraId="55E5B942" w14:textId="77777777" w:rsidTr="00CF4041">
        <w:trPr>
          <w:trHeight w:val="735"/>
        </w:trPr>
        <w:tc>
          <w:tcPr>
            <w:tcW w:w="495" w:type="pct"/>
            <w:tcBorders>
              <w:top w:val="single" w:sz="4" w:space="0" w:color="auto"/>
              <w:bottom w:val="single" w:sz="4" w:space="0" w:color="auto"/>
            </w:tcBorders>
            <w:shd w:val="clear" w:color="auto" w:fill="auto"/>
            <w:hideMark/>
          </w:tcPr>
          <w:p w14:paraId="3FF46CB0" w14:textId="77777777" w:rsidR="00933779" w:rsidRDefault="00933779" w:rsidP="00CF4041">
            <w:pPr>
              <w:pStyle w:val="TableText"/>
            </w:pPr>
            <w:r w:rsidRPr="0040627E">
              <w:t>RURL</w:t>
            </w:r>
          </w:p>
          <w:p w14:paraId="1EFA6C30" w14:textId="77777777" w:rsidR="00933779" w:rsidRDefault="00933779" w:rsidP="00CF4041">
            <w:pPr>
              <w:pStyle w:val="TableText"/>
            </w:pPr>
          </w:p>
          <w:p w14:paraId="08153586" w14:textId="77777777" w:rsidR="00933779" w:rsidRDefault="00933779" w:rsidP="00CF4041">
            <w:pPr>
              <w:pStyle w:val="TableText"/>
            </w:pPr>
          </w:p>
          <w:p w14:paraId="30B2FF1E" w14:textId="77777777" w:rsidR="00933779" w:rsidRDefault="00933779" w:rsidP="00CF4041">
            <w:pPr>
              <w:pStyle w:val="TableText"/>
            </w:pPr>
          </w:p>
          <w:p w14:paraId="5DF1E688" w14:textId="77777777" w:rsidR="00933779" w:rsidRDefault="00933779" w:rsidP="00CF4041">
            <w:pPr>
              <w:pStyle w:val="TableText"/>
            </w:pPr>
            <w:r>
              <w:t>RUAA</w:t>
            </w:r>
          </w:p>
          <w:p w14:paraId="2425D7EF" w14:textId="77777777" w:rsidR="00933779" w:rsidRDefault="00933779" w:rsidP="00CF4041">
            <w:pPr>
              <w:pStyle w:val="TableText"/>
            </w:pPr>
          </w:p>
          <w:p w14:paraId="5AD9AE36" w14:textId="77777777" w:rsidR="00933779" w:rsidRDefault="00933779" w:rsidP="00CF4041">
            <w:pPr>
              <w:pStyle w:val="TableText"/>
            </w:pPr>
          </w:p>
          <w:p w14:paraId="6BFD24E8" w14:textId="77777777" w:rsidR="00933779" w:rsidRDefault="00933779" w:rsidP="00CF4041">
            <w:pPr>
              <w:pStyle w:val="TableText"/>
            </w:pPr>
          </w:p>
          <w:p w14:paraId="697DC992" w14:textId="77777777" w:rsidR="00933779" w:rsidRPr="0040627E" w:rsidRDefault="00933779" w:rsidP="00CF4041">
            <w:pPr>
              <w:pStyle w:val="TableText"/>
            </w:pPr>
            <w:r>
              <w:t>REAA</w:t>
            </w:r>
          </w:p>
        </w:tc>
        <w:tc>
          <w:tcPr>
            <w:tcW w:w="754" w:type="pct"/>
            <w:tcBorders>
              <w:top w:val="single" w:sz="4" w:space="0" w:color="auto"/>
              <w:bottom w:val="single" w:sz="4" w:space="0" w:color="auto"/>
            </w:tcBorders>
            <w:shd w:val="clear" w:color="auto" w:fill="auto"/>
            <w:hideMark/>
          </w:tcPr>
          <w:p w14:paraId="19AAD875" w14:textId="77777777" w:rsidR="00933779" w:rsidRDefault="00933779" w:rsidP="00CF4041">
            <w:pPr>
              <w:pStyle w:val="TableText"/>
            </w:pPr>
            <w:r w:rsidRPr="0040627E">
              <w:t>Rural</w:t>
            </w:r>
            <w:r>
              <w:t xml:space="preserve"> unpack location</w:t>
            </w:r>
          </w:p>
          <w:p w14:paraId="4A3EC1FE" w14:textId="77777777" w:rsidR="00933779" w:rsidRDefault="00933779" w:rsidP="00CF4041">
            <w:pPr>
              <w:pStyle w:val="TableText"/>
            </w:pPr>
          </w:p>
          <w:p w14:paraId="64A4FDAB" w14:textId="77777777" w:rsidR="00933779" w:rsidRDefault="00933779" w:rsidP="00CF4041">
            <w:pPr>
              <w:pStyle w:val="TableText"/>
            </w:pPr>
          </w:p>
          <w:p w14:paraId="28A48581" w14:textId="77777777" w:rsidR="00933779" w:rsidRDefault="00933779" w:rsidP="00CF4041">
            <w:pPr>
              <w:pStyle w:val="TableText"/>
            </w:pPr>
          </w:p>
          <w:p w14:paraId="4AA26D6B" w14:textId="77777777" w:rsidR="00933779" w:rsidRDefault="00933779" w:rsidP="00CF4041">
            <w:pPr>
              <w:pStyle w:val="TableText"/>
            </w:pPr>
            <w:r w:rsidRPr="0040627E">
              <w:t>Rural</w:t>
            </w:r>
            <w:r>
              <w:t xml:space="preserve"> unpack location</w:t>
            </w:r>
          </w:p>
          <w:p w14:paraId="544C8D9E" w14:textId="77777777" w:rsidR="00933779" w:rsidRDefault="00933779" w:rsidP="00CF4041">
            <w:pPr>
              <w:pStyle w:val="TableText"/>
            </w:pPr>
          </w:p>
          <w:p w14:paraId="17E1C7E2" w14:textId="77777777" w:rsidR="00933779" w:rsidRDefault="00933779" w:rsidP="00CF4041">
            <w:pPr>
              <w:pStyle w:val="TableText"/>
            </w:pPr>
          </w:p>
          <w:p w14:paraId="4BBDE8A4" w14:textId="77777777" w:rsidR="00933779" w:rsidRDefault="00933779" w:rsidP="00CF4041">
            <w:pPr>
              <w:pStyle w:val="TableText"/>
            </w:pPr>
          </w:p>
          <w:p w14:paraId="4F92B69E" w14:textId="77777777" w:rsidR="00933779" w:rsidRDefault="00933779" w:rsidP="00CF4041">
            <w:pPr>
              <w:pStyle w:val="TableText"/>
            </w:pPr>
            <w:r w:rsidRPr="0040627E">
              <w:t>Rural</w:t>
            </w:r>
            <w:r>
              <w:t xml:space="preserve"> unpack location – external inspect</w:t>
            </w:r>
          </w:p>
          <w:p w14:paraId="4A749979" w14:textId="77777777" w:rsidR="00933779" w:rsidRPr="0040627E" w:rsidRDefault="00933779" w:rsidP="00CF4041">
            <w:pPr>
              <w:pStyle w:val="TableText"/>
            </w:pPr>
          </w:p>
        </w:tc>
        <w:tc>
          <w:tcPr>
            <w:tcW w:w="2330" w:type="pct"/>
            <w:tcBorders>
              <w:top w:val="single" w:sz="4" w:space="0" w:color="auto"/>
              <w:bottom w:val="single" w:sz="4" w:space="0" w:color="auto"/>
            </w:tcBorders>
            <w:shd w:val="clear" w:color="auto" w:fill="auto"/>
            <w:vAlign w:val="center"/>
            <w:hideMark/>
          </w:tcPr>
          <w:p w14:paraId="76309B22" w14:textId="77777777" w:rsidR="00933779" w:rsidRDefault="00933779" w:rsidP="00CF4041">
            <w:pPr>
              <w:pStyle w:val="TableText"/>
            </w:pPr>
            <w:r w:rsidRPr="0040627E">
              <w:t>FCL/X destined to be unpacked at a non-metropolitan location. For containers that meet the need for an external inspection only, the BNCC code needs to be included with the RURL designation at lodgement.</w:t>
            </w:r>
          </w:p>
          <w:p w14:paraId="41BC61EF" w14:textId="77777777" w:rsidR="00933779" w:rsidRDefault="00933779" w:rsidP="00CF4041">
            <w:pPr>
              <w:pStyle w:val="TableText"/>
            </w:pPr>
          </w:p>
          <w:p w14:paraId="7305EDF4" w14:textId="77777777" w:rsidR="00933779" w:rsidRDefault="00933779" w:rsidP="00CF4041">
            <w:pPr>
              <w:pStyle w:val="TableText"/>
            </w:pPr>
            <w:r w:rsidRPr="0040627E">
              <w:t>FCL/X destined to be unpacked at a non-metropolitan location.</w:t>
            </w:r>
            <w:r>
              <w:t xml:space="preserve"> To be used to refer rural destination concerns for inspection at a class 14.4 approved arrangement site.</w:t>
            </w:r>
          </w:p>
          <w:p w14:paraId="4586AB91" w14:textId="77777777" w:rsidR="00933779" w:rsidRDefault="00933779" w:rsidP="00CF4041">
            <w:pPr>
              <w:pStyle w:val="TableText"/>
            </w:pPr>
          </w:p>
          <w:p w14:paraId="5A70B251" w14:textId="77777777" w:rsidR="00933779" w:rsidRPr="009C2618" w:rsidRDefault="00933779" w:rsidP="00CF4041">
            <w:pPr>
              <w:pStyle w:val="TableText"/>
            </w:pPr>
            <w:bookmarkStart w:id="1" w:name="_Hlk107337608"/>
            <w:r w:rsidRPr="009C2618">
              <w:t xml:space="preserve">FCL/X destined to be unpacked at a non-metropolitan location. To be used to refer hard frozen containers, iso tanks, containers carrying </w:t>
            </w:r>
            <w:r w:rsidRPr="006B6D97">
              <w:t>dangerous goods</w:t>
            </w:r>
            <w:r w:rsidRPr="009C2618">
              <w:t xml:space="preserve">, or containers carrying </w:t>
            </w:r>
            <w:r w:rsidRPr="006B6D97">
              <w:t>diplomatic goods with</w:t>
            </w:r>
            <w:r w:rsidRPr="009C2618">
              <w:t xml:space="preserve"> rural destination concerns for inspection at a class 14.4 approved arrangement site.</w:t>
            </w:r>
          </w:p>
          <w:bookmarkEnd w:id="1"/>
          <w:p w14:paraId="3075A2B2" w14:textId="77777777" w:rsidR="00933779" w:rsidRPr="0040627E" w:rsidRDefault="00933779" w:rsidP="00CF4041">
            <w:pPr>
              <w:pStyle w:val="TableText"/>
            </w:pPr>
          </w:p>
        </w:tc>
        <w:tc>
          <w:tcPr>
            <w:tcW w:w="781" w:type="pct"/>
            <w:tcBorders>
              <w:top w:val="single" w:sz="4" w:space="0" w:color="auto"/>
              <w:bottom w:val="single" w:sz="4" w:space="0" w:color="auto"/>
            </w:tcBorders>
            <w:shd w:val="clear" w:color="auto" w:fill="auto"/>
            <w:hideMark/>
          </w:tcPr>
          <w:p w14:paraId="2BEF5544" w14:textId="77777777" w:rsidR="00933779" w:rsidRDefault="00933779" w:rsidP="00CF4041">
            <w:pPr>
              <w:pStyle w:val="TableText"/>
            </w:pPr>
            <w:r w:rsidRPr="0040627E">
              <w:t>For cargo types—FCL, FCX</w:t>
            </w:r>
          </w:p>
          <w:p w14:paraId="17A6D9F0" w14:textId="77777777" w:rsidR="00933779" w:rsidRDefault="00933779" w:rsidP="00CF4041">
            <w:pPr>
              <w:pStyle w:val="TableText"/>
            </w:pPr>
          </w:p>
          <w:p w14:paraId="7703838E" w14:textId="77777777" w:rsidR="00933779" w:rsidRDefault="00933779" w:rsidP="00CF4041">
            <w:pPr>
              <w:pStyle w:val="TableText"/>
            </w:pPr>
          </w:p>
          <w:p w14:paraId="5CDAE7B4" w14:textId="77777777" w:rsidR="00933779" w:rsidRDefault="00933779" w:rsidP="00CF4041">
            <w:pPr>
              <w:pStyle w:val="TableText"/>
            </w:pPr>
            <w:r w:rsidRPr="0040627E">
              <w:t>For cargo types—FCL, FCX</w:t>
            </w:r>
          </w:p>
          <w:p w14:paraId="54F7CDD0" w14:textId="77777777" w:rsidR="00933779" w:rsidRDefault="00933779" w:rsidP="00CF4041">
            <w:pPr>
              <w:pStyle w:val="TableText"/>
            </w:pPr>
          </w:p>
          <w:p w14:paraId="419F9435" w14:textId="77777777" w:rsidR="00933779" w:rsidRDefault="00933779" w:rsidP="00CF4041">
            <w:pPr>
              <w:pStyle w:val="TableText"/>
            </w:pPr>
          </w:p>
          <w:p w14:paraId="22058175" w14:textId="77777777" w:rsidR="00933779" w:rsidRPr="0040627E" w:rsidRDefault="00933779" w:rsidP="00CF4041">
            <w:pPr>
              <w:pStyle w:val="TableText"/>
            </w:pPr>
            <w:r w:rsidRPr="0040627E">
              <w:t>For cargo types—FCL, FCX</w:t>
            </w:r>
          </w:p>
        </w:tc>
        <w:tc>
          <w:tcPr>
            <w:tcW w:w="640" w:type="pct"/>
            <w:tcBorders>
              <w:top w:val="single" w:sz="4" w:space="0" w:color="auto"/>
              <w:bottom w:val="single" w:sz="4" w:space="0" w:color="auto"/>
            </w:tcBorders>
            <w:shd w:val="clear" w:color="auto" w:fill="auto"/>
            <w:hideMark/>
          </w:tcPr>
          <w:p w14:paraId="484434ED" w14:textId="77777777" w:rsidR="00933779" w:rsidRDefault="00933779" w:rsidP="00CF4041">
            <w:pPr>
              <w:pStyle w:val="TableText"/>
            </w:pPr>
            <w:r w:rsidRPr="0040627E">
              <w:t>Inspection—rural tailgate</w:t>
            </w:r>
          </w:p>
          <w:p w14:paraId="7BAF569D" w14:textId="77777777" w:rsidR="00933779" w:rsidRDefault="00933779" w:rsidP="00CF4041">
            <w:pPr>
              <w:pStyle w:val="TableText"/>
            </w:pPr>
          </w:p>
          <w:p w14:paraId="109AC22B" w14:textId="77777777" w:rsidR="00933779" w:rsidRDefault="00933779" w:rsidP="00CF4041">
            <w:pPr>
              <w:pStyle w:val="TableText"/>
            </w:pPr>
            <w:r>
              <w:t xml:space="preserve">Approved arrangements - </w:t>
            </w:r>
            <w:r w:rsidRPr="00C35B12">
              <w:t>AA Rural Tailgate Inspection</w:t>
            </w:r>
          </w:p>
          <w:p w14:paraId="1C17AC49" w14:textId="77777777" w:rsidR="00933779" w:rsidRDefault="00933779" w:rsidP="00CF4041">
            <w:pPr>
              <w:pStyle w:val="TableText"/>
            </w:pPr>
          </w:p>
          <w:p w14:paraId="53393CFE" w14:textId="77777777" w:rsidR="00933779" w:rsidRPr="0040627E" w:rsidRDefault="00933779" w:rsidP="00CF4041">
            <w:pPr>
              <w:pStyle w:val="TableText"/>
            </w:pPr>
            <w:r>
              <w:t xml:space="preserve">Approved arrangements - </w:t>
            </w:r>
            <w:r w:rsidRPr="00C35B12">
              <w:t>AA Rural Tailgate Ext. inspect</w:t>
            </w:r>
          </w:p>
        </w:tc>
      </w:tr>
      <w:tr w:rsidR="00933779" w:rsidRPr="0040627E" w14:paraId="1DB4C770" w14:textId="77777777" w:rsidTr="00CF4041">
        <w:trPr>
          <w:trHeight w:val="495"/>
        </w:trPr>
        <w:tc>
          <w:tcPr>
            <w:tcW w:w="495" w:type="pct"/>
            <w:tcBorders>
              <w:top w:val="single" w:sz="4" w:space="0" w:color="auto"/>
            </w:tcBorders>
            <w:shd w:val="clear" w:color="auto" w:fill="auto"/>
            <w:vAlign w:val="center"/>
            <w:hideMark/>
          </w:tcPr>
          <w:p w14:paraId="690102C6" w14:textId="77777777" w:rsidR="00933779" w:rsidRPr="0040627E" w:rsidRDefault="00933779" w:rsidP="00CF4041">
            <w:pPr>
              <w:pStyle w:val="TableText"/>
            </w:pPr>
            <w:r w:rsidRPr="0040627E">
              <w:t>PCIN</w:t>
            </w:r>
          </w:p>
        </w:tc>
        <w:tc>
          <w:tcPr>
            <w:tcW w:w="754" w:type="pct"/>
            <w:tcBorders>
              <w:top w:val="single" w:sz="4" w:space="0" w:color="auto"/>
            </w:tcBorders>
            <w:shd w:val="clear" w:color="auto" w:fill="auto"/>
            <w:vAlign w:val="center"/>
            <w:hideMark/>
          </w:tcPr>
          <w:p w14:paraId="66D4520D" w14:textId="77777777" w:rsidR="00933779" w:rsidRPr="0040627E" w:rsidRDefault="00933779" w:rsidP="00CF4041">
            <w:pPr>
              <w:pStyle w:val="TableText"/>
            </w:pPr>
            <w:r w:rsidRPr="0040627E">
              <w:t>Packaging/cleanliness—inspection</w:t>
            </w:r>
          </w:p>
        </w:tc>
        <w:tc>
          <w:tcPr>
            <w:tcW w:w="2330" w:type="pct"/>
            <w:tcBorders>
              <w:top w:val="single" w:sz="4" w:space="0" w:color="auto"/>
            </w:tcBorders>
            <w:shd w:val="clear" w:color="auto" w:fill="auto"/>
            <w:vAlign w:val="center"/>
            <w:hideMark/>
          </w:tcPr>
          <w:p w14:paraId="7A5C9AAE" w14:textId="77777777" w:rsidR="00933779" w:rsidRPr="0040627E" w:rsidRDefault="00933779" w:rsidP="00CF4041">
            <w:pPr>
              <w:pStyle w:val="TableText"/>
            </w:pPr>
            <w:r w:rsidRPr="0040627E">
              <w:t>Declared unacceptable packaging material and/or nil container cleanliness statement.</w:t>
            </w:r>
          </w:p>
        </w:tc>
        <w:tc>
          <w:tcPr>
            <w:tcW w:w="781" w:type="pct"/>
            <w:tcBorders>
              <w:top w:val="single" w:sz="4" w:space="0" w:color="auto"/>
            </w:tcBorders>
            <w:shd w:val="clear" w:color="auto" w:fill="auto"/>
            <w:vAlign w:val="center"/>
            <w:hideMark/>
          </w:tcPr>
          <w:p w14:paraId="4DA6FCDF" w14:textId="77777777" w:rsidR="00933779" w:rsidRPr="0040627E" w:rsidRDefault="00933779" w:rsidP="00CF4041">
            <w:pPr>
              <w:pStyle w:val="TableText"/>
            </w:pPr>
            <w:r w:rsidRPr="0040627E">
              <w:t>For cargo types—FCL, FCX, LCL</w:t>
            </w:r>
          </w:p>
        </w:tc>
        <w:tc>
          <w:tcPr>
            <w:tcW w:w="640" w:type="pct"/>
            <w:tcBorders>
              <w:top w:val="single" w:sz="4" w:space="0" w:color="auto"/>
            </w:tcBorders>
            <w:shd w:val="clear" w:color="auto" w:fill="auto"/>
            <w:vAlign w:val="center"/>
            <w:hideMark/>
          </w:tcPr>
          <w:p w14:paraId="1A3FD400" w14:textId="77777777" w:rsidR="00933779" w:rsidRPr="0040627E" w:rsidRDefault="00933779" w:rsidP="00CF4041">
            <w:pPr>
              <w:pStyle w:val="TableText"/>
            </w:pPr>
            <w:r w:rsidRPr="0040627E">
              <w:t>Cargo inspection</w:t>
            </w:r>
          </w:p>
        </w:tc>
      </w:tr>
      <w:tr w:rsidR="00933779" w:rsidRPr="0040627E" w14:paraId="5A31F40F" w14:textId="77777777" w:rsidTr="00CF4041">
        <w:trPr>
          <w:trHeight w:val="495"/>
        </w:trPr>
        <w:tc>
          <w:tcPr>
            <w:tcW w:w="495" w:type="pct"/>
            <w:tcBorders>
              <w:bottom w:val="single" w:sz="4" w:space="0" w:color="auto"/>
            </w:tcBorders>
            <w:shd w:val="clear" w:color="auto" w:fill="auto"/>
            <w:vAlign w:val="center"/>
            <w:hideMark/>
          </w:tcPr>
          <w:p w14:paraId="3B53D972" w14:textId="77777777" w:rsidR="00933779" w:rsidRPr="0040627E" w:rsidRDefault="00933779" w:rsidP="00CF4041">
            <w:pPr>
              <w:pStyle w:val="TableText"/>
            </w:pPr>
            <w:r w:rsidRPr="0040627E">
              <w:t>PCTG</w:t>
            </w:r>
          </w:p>
        </w:tc>
        <w:tc>
          <w:tcPr>
            <w:tcW w:w="754" w:type="pct"/>
            <w:tcBorders>
              <w:bottom w:val="single" w:sz="4" w:space="0" w:color="auto"/>
            </w:tcBorders>
            <w:shd w:val="clear" w:color="auto" w:fill="auto"/>
            <w:vAlign w:val="center"/>
            <w:hideMark/>
          </w:tcPr>
          <w:p w14:paraId="1AC9C860" w14:textId="77777777" w:rsidR="00933779" w:rsidRPr="0040627E" w:rsidRDefault="00933779" w:rsidP="00CF4041">
            <w:pPr>
              <w:pStyle w:val="TableText"/>
            </w:pPr>
            <w:r w:rsidRPr="0040627E">
              <w:t>Packaging/cleanliness—tailgate</w:t>
            </w:r>
          </w:p>
        </w:tc>
        <w:tc>
          <w:tcPr>
            <w:tcW w:w="2330" w:type="pct"/>
            <w:tcBorders>
              <w:bottom w:val="single" w:sz="4" w:space="0" w:color="auto"/>
            </w:tcBorders>
            <w:shd w:val="clear" w:color="auto" w:fill="auto"/>
            <w:vAlign w:val="center"/>
            <w:hideMark/>
          </w:tcPr>
          <w:p w14:paraId="4A18DC2C" w14:textId="77777777" w:rsidR="00933779" w:rsidRPr="0040627E" w:rsidRDefault="00933779" w:rsidP="00CF4041">
            <w:pPr>
              <w:pStyle w:val="TableText"/>
            </w:pPr>
            <w:r w:rsidRPr="0040627E">
              <w:t>Declared unacceptable packaging material and/or nil container cleanliness statement.</w:t>
            </w:r>
          </w:p>
        </w:tc>
        <w:tc>
          <w:tcPr>
            <w:tcW w:w="781" w:type="pct"/>
            <w:tcBorders>
              <w:bottom w:val="single" w:sz="4" w:space="0" w:color="auto"/>
            </w:tcBorders>
            <w:shd w:val="clear" w:color="auto" w:fill="auto"/>
            <w:vAlign w:val="center"/>
            <w:hideMark/>
          </w:tcPr>
          <w:p w14:paraId="36C360E5" w14:textId="77777777" w:rsidR="00933779" w:rsidRPr="0040627E" w:rsidRDefault="00933779" w:rsidP="00CF4041">
            <w:pPr>
              <w:pStyle w:val="TableText"/>
            </w:pPr>
            <w:r w:rsidRPr="0040627E">
              <w:t>For cargo types—FCL, FCX</w:t>
            </w:r>
          </w:p>
        </w:tc>
        <w:tc>
          <w:tcPr>
            <w:tcW w:w="640" w:type="pct"/>
            <w:tcBorders>
              <w:bottom w:val="single" w:sz="4" w:space="0" w:color="auto"/>
            </w:tcBorders>
            <w:shd w:val="clear" w:color="auto" w:fill="auto"/>
            <w:vAlign w:val="center"/>
            <w:hideMark/>
          </w:tcPr>
          <w:p w14:paraId="00691407" w14:textId="77777777" w:rsidR="00933779" w:rsidRPr="0040627E" w:rsidRDefault="00933779" w:rsidP="00CF4041">
            <w:pPr>
              <w:pStyle w:val="TableText"/>
            </w:pPr>
            <w:r w:rsidRPr="0040627E">
              <w:t>Tailgate</w:t>
            </w:r>
          </w:p>
        </w:tc>
      </w:tr>
      <w:tr w:rsidR="00933779" w:rsidRPr="0040627E" w14:paraId="2F396C72" w14:textId="77777777" w:rsidTr="00CF4041">
        <w:trPr>
          <w:trHeight w:val="735"/>
        </w:trPr>
        <w:tc>
          <w:tcPr>
            <w:tcW w:w="495" w:type="pct"/>
            <w:tcBorders>
              <w:top w:val="single" w:sz="4" w:space="0" w:color="auto"/>
            </w:tcBorders>
            <w:shd w:val="clear" w:color="auto" w:fill="auto"/>
            <w:vAlign w:val="center"/>
            <w:hideMark/>
          </w:tcPr>
          <w:p w14:paraId="496CC109" w14:textId="77777777" w:rsidR="00933779" w:rsidRPr="0040627E" w:rsidRDefault="00933779" w:rsidP="00CF4041">
            <w:pPr>
              <w:pStyle w:val="TableText"/>
            </w:pPr>
            <w:r w:rsidRPr="0040627E">
              <w:t>PDIN</w:t>
            </w:r>
          </w:p>
        </w:tc>
        <w:tc>
          <w:tcPr>
            <w:tcW w:w="754" w:type="pct"/>
            <w:tcBorders>
              <w:top w:val="single" w:sz="4" w:space="0" w:color="auto"/>
            </w:tcBorders>
            <w:shd w:val="clear" w:color="auto" w:fill="auto"/>
            <w:vAlign w:val="center"/>
            <w:hideMark/>
          </w:tcPr>
          <w:p w14:paraId="6C365979" w14:textId="77777777" w:rsidR="00933779" w:rsidRPr="0040627E" w:rsidRDefault="00933779" w:rsidP="00CF4041">
            <w:pPr>
              <w:pStyle w:val="TableText"/>
            </w:pPr>
            <w:r w:rsidRPr="0040627E">
              <w:t>Packing declaration—inspection</w:t>
            </w:r>
          </w:p>
        </w:tc>
        <w:tc>
          <w:tcPr>
            <w:tcW w:w="2330" w:type="pct"/>
            <w:tcBorders>
              <w:top w:val="single" w:sz="4" w:space="0" w:color="auto"/>
            </w:tcBorders>
            <w:shd w:val="clear" w:color="auto" w:fill="auto"/>
            <w:vAlign w:val="center"/>
            <w:hideMark/>
          </w:tcPr>
          <w:p w14:paraId="7C1363AD" w14:textId="77777777" w:rsidR="00933779" w:rsidRPr="0040627E" w:rsidRDefault="00933779" w:rsidP="00CF4041">
            <w:pPr>
              <w:pStyle w:val="TableText"/>
            </w:pPr>
            <w:r w:rsidRPr="00B46E91">
              <w:t>Packing declaration concerns. Nil packing declaration or it does not comply with the Minimum documentary and import declaration requirements policy</w:t>
            </w:r>
            <w:r w:rsidRPr="0040627E">
              <w:t>.</w:t>
            </w:r>
          </w:p>
        </w:tc>
        <w:tc>
          <w:tcPr>
            <w:tcW w:w="781" w:type="pct"/>
            <w:tcBorders>
              <w:top w:val="single" w:sz="4" w:space="0" w:color="auto"/>
            </w:tcBorders>
            <w:shd w:val="clear" w:color="auto" w:fill="auto"/>
            <w:vAlign w:val="center"/>
            <w:hideMark/>
          </w:tcPr>
          <w:p w14:paraId="0EE3D345" w14:textId="77777777" w:rsidR="00933779" w:rsidRPr="0040627E" w:rsidRDefault="00933779" w:rsidP="00CF4041">
            <w:pPr>
              <w:pStyle w:val="TableText"/>
            </w:pPr>
            <w:r w:rsidRPr="0040627E">
              <w:t>For cargo types—FCL, FCX, LCL</w:t>
            </w:r>
          </w:p>
        </w:tc>
        <w:tc>
          <w:tcPr>
            <w:tcW w:w="640" w:type="pct"/>
            <w:tcBorders>
              <w:top w:val="single" w:sz="4" w:space="0" w:color="auto"/>
            </w:tcBorders>
            <w:shd w:val="clear" w:color="auto" w:fill="auto"/>
            <w:vAlign w:val="center"/>
            <w:hideMark/>
          </w:tcPr>
          <w:p w14:paraId="552CB570" w14:textId="77777777" w:rsidR="00933779" w:rsidRPr="0040627E" w:rsidRDefault="00933779" w:rsidP="00CF4041">
            <w:pPr>
              <w:pStyle w:val="TableText"/>
            </w:pPr>
            <w:r w:rsidRPr="0040627E">
              <w:t>Cargo inspection</w:t>
            </w:r>
          </w:p>
        </w:tc>
      </w:tr>
      <w:tr w:rsidR="00933779" w:rsidRPr="0040627E" w14:paraId="575D0C92" w14:textId="77777777" w:rsidTr="00CF4041">
        <w:trPr>
          <w:trHeight w:val="495"/>
        </w:trPr>
        <w:tc>
          <w:tcPr>
            <w:tcW w:w="495" w:type="pct"/>
            <w:tcBorders>
              <w:bottom w:val="single" w:sz="4" w:space="0" w:color="auto"/>
            </w:tcBorders>
            <w:shd w:val="clear" w:color="auto" w:fill="auto"/>
            <w:vAlign w:val="center"/>
            <w:hideMark/>
          </w:tcPr>
          <w:p w14:paraId="49021453" w14:textId="77777777" w:rsidR="00933779" w:rsidRPr="0040627E" w:rsidRDefault="00933779" w:rsidP="00CF4041">
            <w:pPr>
              <w:pStyle w:val="TableText"/>
            </w:pPr>
            <w:r w:rsidRPr="0040627E">
              <w:t>PDTG</w:t>
            </w:r>
          </w:p>
        </w:tc>
        <w:tc>
          <w:tcPr>
            <w:tcW w:w="754" w:type="pct"/>
            <w:tcBorders>
              <w:bottom w:val="single" w:sz="4" w:space="0" w:color="auto"/>
            </w:tcBorders>
            <w:shd w:val="clear" w:color="auto" w:fill="auto"/>
            <w:vAlign w:val="center"/>
            <w:hideMark/>
          </w:tcPr>
          <w:p w14:paraId="6FD295DB" w14:textId="77777777" w:rsidR="00933779" w:rsidRPr="0040627E" w:rsidRDefault="00933779" w:rsidP="00CF4041">
            <w:pPr>
              <w:pStyle w:val="TableText"/>
            </w:pPr>
            <w:r w:rsidRPr="0040627E">
              <w:t>Packing declaration—tailgate</w:t>
            </w:r>
          </w:p>
        </w:tc>
        <w:tc>
          <w:tcPr>
            <w:tcW w:w="2330" w:type="pct"/>
            <w:tcBorders>
              <w:bottom w:val="single" w:sz="4" w:space="0" w:color="auto"/>
            </w:tcBorders>
            <w:shd w:val="clear" w:color="auto" w:fill="auto"/>
            <w:vAlign w:val="center"/>
            <w:hideMark/>
          </w:tcPr>
          <w:p w14:paraId="7CCBED5D" w14:textId="77777777" w:rsidR="00933779" w:rsidRPr="0040627E" w:rsidRDefault="00933779" w:rsidP="00CF4041">
            <w:pPr>
              <w:pStyle w:val="TableText"/>
            </w:pPr>
            <w:r w:rsidRPr="0040627E">
              <w:t xml:space="preserve">Packing declaration concerns. Nil </w:t>
            </w:r>
            <w:r>
              <w:t>p</w:t>
            </w:r>
            <w:r w:rsidRPr="0040627E">
              <w:t>acking declaration or it does not comply with the Minimum documentary and import declaration requirements policy.</w:t>
            </w:r>
          </w:p>
        </w:tc>
        <w:tc>
          <w:tcPr>
            <w:tcW w:w="781" w:type="pct"/>
            <w:tcBorders>
              <w:bottom w:val="single" w:sz="4" w:space="0" w:color="auto"/>
            </w:tcBorders>
            <w:shd w:val="clear" w:color="auto" w:fill="auto"/>
            <w:vAlign w:val="center"/>
            <w:hideMark/>
          </w:tcPr>
          <w:p w14:paraId="365DFDE6" w14:textId="77777777" w:rsidR="00933779" w:rsidRPr="0040627E" w:rsidRDefault="00933779" w:rsidP="00CF4041">
            <w:pPr>
              <w:pStyle w:val="TableText"/>
            </w:pPr>
            <w:r w:rsidRPr="0040627E">
              <w:t>For cargo types—FCL, FCX</w:t>
            </w:r>
          </w:p>
        </w:tc>
        <w:tc>
          <w:tcPr>
            <w:tcW w:w="640" w:type="pct"/>
            <w:tcBorders>
              <w:bottom w:val="single" w:sz="4" w:space="0" w:color="auto"/>
            </w:tcBorders>
            <w:shd w:val="clear" w:color="auto" w:fill="auto"/>
            <w:vAlign w:val="center"/>
            <w:hideMark/>
          </w:tcPr>
          <w:p w14:paraId="4EE236CC" w14:textId="77777777" w:rsidR="00933779" w:rsidRPr="0040627E" w:rsidRDefault="00933779" w:rsidP="00CF4041">
            <w:pPr>
              <w:pStyle w:val="TableText"/>
            </w:pPr>
            <w:r w:rsidRPr="0040627E">
              <w:t>Tailgate</w:t>
            </w:r>
          </w:p>
        </w:tc>
      </w:tr>
      <w:tr w:rsidR="00933779" w:rsidRPr="0040627E" w14:paraId="6F13B661" w14:textId="77777777" w:rsidTr="00CF4041">
        <w:trPr>
          <w:trHeight w:val="735"/>
        </w:trPr>
        <w:tc>
          <w:tcPr>
            <w:tcW w:w="495" w:type="pct"/>
            <w:tcBorders>
              <w:top w:val="single" w:sz="4" w:space="0" w:color="auto"/>
            </w:tcBorders>
            <w:shd w:val="clear" w:color="auto" w:fill="auto"/>
            <w:vAlign w:val="center"/>
            <w:hideMark/>
          </w:tcPr>
          <w:p w14:paraId="27B81C6D" w14:textId="77777777" w:rsidR="00933779" w:rsidRPr="0040627E" w:rsidRDefault="00933779" w:rsidP="00CF4041">
            <w:pPr>
              <w:pStyle w:val="TableText"/>
            </w:pPr>
            <w:r w:rsidRPr="0040627E">
              <w:t>TFUM</w:t>
            </w:r>
          </w:p>
        </w:tc>
        <w:tc>
          <w:tcPr>
            <w:tcW w:w="754" w:type="pct"/>
            <w:tcBorders>
              <w:top w:val="single" w:sz="4" w:space="0" w:color="auto"/>
            </w:tcBorders>
            <w:shd w:val="clear" w:color="auto" w:fill="auto"/>
            <w:vAlign w:val="center"/>
            <w:hideMark/>
          </w:tcPr>
          <w:p w14:paraId="5D273DD7" w14:textId="77777777" w:rsidR="00933779" w:rsidRPr="0040627E" w:rsidRDefault="00933779" w:rsidP="00CF4041">
            <w:pPr>
              <w:pStyle w:val="TableText"/>
            </w:pPr>
            <w:r w:rsidRPr="0040627E">
              <w:t>Timber—fumigate</w:t>
            </w:r>
          </w:p>
        </w:tc>
        <w:tc>
          <w:tcPr>
            <w:tcW w:w="2330" w:type="pct"/>
            <w:tcBorders>
              <w:top w:val="single" w:sz="4" w:space="0" w:color="auto"/>
            </w:tcBorders>
            <w:shd w:val="clear" w:color="auto" w:fill="auto"/>
            <w:vAlign w:val="center"/>
            <w:hideMark/>
          </w:tcPr>
          <w:p w14:paraId="457C3C71" w14:textId="77777777" w:rsidR="00933779" w:rsidRPr="0040627E" w:rsidRDefault="00933779" w:rsidP="00CF4041">
            <w:pPr>
              <w:pStyle w:val="TableText"/>
            </w:pPr>
            <w:r w:rsidRPr="0040627E">
              <w:t>Untreated timber/bamboo packaging.</w:t>
            </w:r>
          </w:p>
        </w:tc>
        <w:tc>
          <w:tcPr>
            <w:tcW w:w="781" w:type="pct"/>
            <w:tcBorders>
              <w:top w:val="single" w:sz="4" w:space="0" w:color="auto"/>
            </w:tcBorders>
            <w:shd w:val="clear" w:color="auto" w:fill="auto"/>
            <w:vAlign w:val="center"/>
            <w:hideMark/>
          </w:tcPr>
          <w:p w14:paraId="4A27A500" w14:textId="77777777" w:rsidR="00933779" w:rsidRPr="0040627E" w:rsidRDefault="00933779" w:rsidP="00CF4041">
            <w:pPr>
              <w:pStyle w:val="TableText"/>
            </w:pPr>
            <w:r w:rsidRPr="0040627E">
              <w:t>For cargo types—FCL, FCX, LCL</w:t>
            </w:r>
          </w:p>
        </w:tc>
        <w:tc>
          <w:tcPr>
            <w:tcW w:w="640" w:type="pct"/>
            <w:tcBorders>
              <w:top w:val="single" w:sz="4" w:space="0" w:color="auto"/>
            </w:tcBorders>
            <w:shd w:val="clear" w:color="auto" w:fill="auto"/>
            <w:vAlign w:val="center"/>
            <w:hideMark/>
          </w:tcPr>
          <w:p w14:paraId="6DF1C4B1" w14:textId="77777777" w:rsidR="00933779" w:rsidRPr="0040627E" w:rsidRDefault="00933779" w:rsidP="00CF4041">
            <w:pPr>
              <w:pStyle w:val="TableText"/>
            </w:pPr>
            <w:r w:rsidRPr="0040627E">
              <w:t>Fumigation (CH3Br 48g/M3 24hr 21C or above)</w:t>
            </w:r>
          </w:p>
        </w:tc>
      </w:tr>
      <w:tr w:rsidR="00933779" w:rsidRPr="0040627E" w14:paraId="527C7D96" w14:textId="77777777" w:rsidTr="00CF4041">
        <w:trPr>
          <w:trHeight w:val="495"/>
        </w:trPr>
        <w:tc>
          <w:tcPr>
            <w:tcW w:w="495" w:type="pct"/>
            <w:shd w:val="clear" w:color="auto" w:fill="auto"/>
            <w:vAlign w:val="center"/>
            <w:hideMark/>
          </w:tcPr>
          <w:p w14:paraId="62489FA5" w14:textId="77777777" w:rsidR="00933779" w:rsidRPr="0040627E" w:rsidRDefault="00933779" w:rsidP="00CF4041">
            <w:pPr>
              <w:pStyle w:val="TableText"/>
            </w:pPr>
            <w:r w:rsidRPr="0040627E">
              <w:t>TINS</w:t>
            </w:r>
          </w:p>
        </w:tc>
        <w:tc>
          <w:tcPr>
            <w:tcW w:w="754" w:type="pct"/>
            <w:shd w:val="clear" w:color="auto" w:fill="auto"/>
            <w:vAlign w:val="center"/>
            <w:hideMark/>
          </w:tcPr>
          <w:p w14:paraId="17217940" w14:textId="77777777" w:rsidR="00933779" w:rsidRPr="0040627E" w:rsidRDefault="00933779" w:rsidP="00CF4041">
            <w:pPr>
              <w:pStyle w:val="TableText"/>
              <w:rPr>
                <w:rFonts w:ascii="Calibri" w:hAnsi="Calibri"/>
              </w:rPr>
            </w:pPr>
            <w:r w:rsidRPr="0040627E">
              <w:rPr>
                <w:rFonts w:ascii="Calibri" w:hAnsi="Calibri"/>
              </w:rPr>
              <w:t>T</w:t>
            </w:r>
            <w:r w:rsidRPr="0040627E">
              <w:t>imber—inspect</w:t>
            </w:r>
          </w:p>
        </w:tc>
        <w:tc>
          <w:tcPr>
            <w:tcW w:w="2330" w:type="pct"/>
            <w:shd w:val="clear" w:color="auto" w:fill="auto"/>
            <w:vAlign w:val="center"/>
            <w:hideMark/>
          </w:tcPr>
          <w:p w14:paraId="7A354CD6" w14:textId="77777777" w:rsidR="00933779" w:rsidRPr="0040627E" w:rsidRDefault="00933779" w:rsidP="00CF4041">
            <w:pPr>
              <w:pStyle w:val="TableText"/>
            </w:pPr>
            <w:r w:rsidRPr="0040627E">
              <w:t>Untreated timber</w:t>
            </w:r>
            <w:r>
              <w:t>/bamboo</w:t>
            </w:r>
            <w:r w:rsidRPr="0040627E">
              <w:t xml:space="preserve"> packaging.</w:t>
            </w:r>
          </w:p>
        </w:tc>
        <w:tc>
          <w:tcPr>
            <w:tcW w:w="781" w:type="pct"/>
            <w:shd w:val="clear" w:color="auto" w:fill="auto"/>
            <w:vAlign w:val="center"/>
            <w:hideMark/>
          </w:tcPr>
          <w:p w14:paraId="69D19D9C" w14:textId="77777777" w:rsidR="00933779" w:rsidRPr="0040627E" w:rsidRDefault="00933779" w:rsidP="00CF4041">
            <w:pPr>
              <w:pStyle w:val="TableText"/>
            </w:pPr>
            <w:r w:rsidRPr="0040627E">
              <w:t>For cargo types—FCL, FCX, LCL</w:t>
            </w:r>
          </w:p>
        </w:tc>
        <w:tc>
          <w:tcPr>
            <w:tcW w:w="640" w:type="pct"/>
            <w:shd w:val="clear" w:color="auto" w:fill="auto"/>
            <w:vAlign w:val="center"/>
            <w:hideMark/>
          </w:tcPr>
          <w:p w14:paraId="29984ADB" w14:textId="77777777" w:rsidR="00933779" w:rsidRPr="0040627E" w:rsidRDefault="00933779" w:rsidP="00CF4041">
            <w:pPr>
              <w:pStyle w:val="TableText"/>
            </w:pPr>
            <w:r w:rsidRPr="0040627E">
              <w:t>Cargo inspection</w:t>
            </w:r>
          </w:p>
        </w:tc>
      </w:tr>
      <w:tr w:rsidR="00933779" w:rsidRPr="0040627E" w14:paraId="38C3569E" w14:textId="77777777" w:rsidTr="00CF4041">
        <w:trPr>
          <w:trHeight w:val="735"/>
        </w:trPr>
        <w:tc>
          <w:tcPr>
            <w:tcW w:w="495" w:type="pct"/>
            <w:shd w:val="clear" w:color="auto" w:fill="auto"/>
            <w:vAlign w:val="center"/>
            <w:hideMark/>
          </w:tcPr>
          <w:p w14:paraId="0CEACF05" w14:textId="77777777" w:rsidR="00933779" w:rsidRPr="0040627E" w:rsidRDefault="00933779" w:rsidP="00CF4041">
            <w:pPr>
              <w:pStyle w:val="TableText"/>
            </w:pPr>
            <w:r w:rsidRPr="0040627E">
              <w:t>TDIS</w:t>
            </w:r>
          </w:p>
        </w:tc>
        <w:tc>
          <w:tcPr>
            <w:tcW w:w="754" w:type="pct"/>
            <w:shd w:val="clear" w:color="auto" w:fill="auto"/>
            <w:vAlign w:val="center"/>
            <w:hideMark/>
          </w:tcPr>
          <w:p w14:paraId="27149908" w14:textId="77777777" w:rsidR="00933779" w:rsidRPr="0040627E" w:rsidRDefault="00933779" w:rsidP="00CF4041">
            <w:pPr>
              <w:pStyle w:val="TableText"/>
            </w:pPr>
            <w:r w:rsidRPr="0040627E">
              <w:t>Timber—dispose</w:t>
            </w:r>
          </w:p>
        </w:tc>
        <w:tc>
          <w:tcPr>
            <w:tcW w:w="2330" w:type="pct"/>
            <w:shd w:val="clear" w:color="auto" w:fill="auto"/>
            <w:vAlign w:val="center"/>
            <w:hideMark/>
          </w:tcPr>
          <w:p w14:paraId="5C3F93CF" w14:textId="77777777" w:rsidR="00933779" w:rsidRPr="0040627E" w:rsidRDefault="00933779" w:rsidP="00CF4041">
            <w:pPr>
              <w:pStyle w:val="TableText"/>
            </w:pPr>
            <w:r w:rsidRPr="0040627E">
              <w:t>Untreated timber/bamboo packaging.</w:t>
            </w:r>
          </w:p>
        </w:tc>
        <w:tc>
          <w:tcPr>
            <w:tcW w:w="781" w:type="pct"/>
            <w:shd w:val="clear" w:color="auto" w:fill="auto"/>
            <w:vAlign w:val="center"/>
            <w:hideMark/>
          </w:tcPr>
          <w:p w14:paraId="0E16461E" w14:textId="77777777" w:rsidR="00933779" w:rsidRPr="0040627E" w:rsidRDefault="00933779" w:rsidP="00CF4041">
            <w:pPr>
              <w:pStyle w:val="TableText"/>
            </w:pPr>
            <w:r w:rsidRPr="0040627E">
              <w:t>For cargo types—FCL, FCX, LCL</w:t>
            </w:r>
          </w:p>
        </w:tc>
        <w:tc>
          <w:tcPr>
            <w:tcW w:w="640" w:type="pct"/>
            <w:shd w:val="clear" w:color="auto" w:fill="auto"/>
            <w:vAlign w:val="center"/>
            <w:hideMark/>
          </w:tcPr>
          <w:p w14:paraId="078C9F2E" w14:textId="77777777" w:rsidR="00933779" w:rsidRPr="0040627E" w:rsidRDefault="00933779" w:rsidP="00CF4041">
            <w:pPr>
              <w:pStyle w:val="TableText"/>
            </w:pPr>
            <w:r w:rsidRPr="0040627E">
              <w:t>Disposal permission—non-commodity</w:t>
            </w:r>
          </w:p>
        </w:tc>
      </w:tr>
    </w:tbl>
    <w:p w14:paraId="393882C1" w14:textId="77777777" w:rsidR="00933779" w:rsidRDefault="00933779" w:rsidP="00933779">
      <w:pPr>
        <w:rPr>
          <w:lang w:eastAsia="ja-JP"/>
        </w:rPr>
      </w:pPr>
    </w:p>
    <w:p w14:paraId="1007C726" w14:textId="77777777" w:rsidR="00466224" w:rsidRDefault="00466224" w:rsidP="00466224">
      <w:pPr>
        <w:rPr>
          <w:lang w:eastAsia="ja-JP"/>
        </w:rPr>
      </w:pPr>
    </w:p>
    <w:p w14:paraId="14D11C2E" w14:textId="0E6FAA46" w:rsidR="00BA3EDB" w:rsidRDefault="00BA3EDB" w:rsidP="00466224">
      <w:pPr>
        <w:tabs>
          <w:tab w:val="left" w:pos="3075"/>
        </w:tabs>
      </w:pPr>
      <w:r>
        <w:t xml:space="preserve">Where there is a choice of concern type outcome, </w:t>
      </w:r>
      <w:proofErr w:type="gramStart"/>
      <w:r>
        <w:t>e.g.</w:t>
      </w:r>
      <w:proofErr w:type="gramEnd"/>
      <w:r>
        <w:t xml:space="preserve"> tailgate </w:t>
      </w:r>
      <w:r w:rsidRPr="001C7273">
        <w:rPr>
          <w:b/>
        </w:rPr>
        <w:t>or</w:t>
      </w:r>
      <w:r>
        <w:t xml:space="preserve"> inspect, it is your responsibility to choose the most appropriate outcome. For example, when the commodity requires a full unpack, a tailgate inspection (PCTG or PDTG) to inspect non-commodity concerns may not be the most efficient way to manage the consignment. In this instance, it may be more appropriate to use concern types PCIN or PDIN. The cargo type should also be considered e.g. a tailgate would not be suitable for LCL cargo. </w:t>
      </w:r>
    </w:p>
    <w:p w14:paraId="781031EF" w14:textId="70047DBE" w:rsidR="00BA3EDB" w:rsidRDefault="00BA3EDB" w:rsidP="00BA3EDB">
      <w:r>
        <w:t xml:space="preserve">For those concerns associated with a treatment or inspection outcome you need to nominate a location for the activity to take place. You must ensure that the </w:t>
      </w:r>
      <w:r w:rsidR="00661847">
        <w:t xml:space="preserve">AA site ID </w:t>
      </w:r>
      <w:r>
        <w:t xml:space="preserve">is approved to perform the biosecurity function before entering the AA site ID. The </w:t>
      </w:r>
      <w:r w:rsidR="00661847">
        <w:t xml:space="preserve">AA </w:t>
      </w:r>
      <w:r>
        <w:t xml:space="preserve">site ID must be entered into the header level </w:t>
      </w:r>
      <w:r w:rsidRPr="00AF035A">
        <w:rPr>
          <w:i/>
        </w:rPr>
        <w:t>AQIS Inspection location</w:t>
      </w:r>
      <w:r>
        <w:t xml:space="preserve"> field of the ICS.</w:t>
      </w:r>
    </w:p>
    <w:p w14:paraId="6B0AEEB0" w14:textId="7BF4428C" w:rsidR="000A7313" w:rsidRPr="00A468EB" w:rsidRDefault="000A7313" w:rsidP="000A7313">
      <w:pPr>
        <w:pStyle w:val="Heading2"/>
      </w:pPr>
      <w:r>
        <w:t>Automated directions</w:t>
      </w:r>
    </w:p>
    <w:p w14:paraId="00ED18BA" w14:textId="6AA37C1E" w:rsidR="00BA3EDB" w:rsidRDefault="00BA3EDB" w:rsidP="000A7313">
      <w:r>
        <w:t xml:space="preserve">The </w:t>
      </w:r>
      <w:proofErr w:type="spellStart"/>
      <w:r>
        <w:t>lodgement</w:t>
      </w:r>
      <w:proofErr w:type="spellEnd"/>
      <w:r>
        <w:t xml:space="preserve"> of one or more biosecurity concern types will generate an automated biosecurity direction emailed to the branch email address nominated in ICS</w:t>
      </w:r>
      <w:r w:rsidR="000B2BF0">
        <w:t>.</w:t>
      </w:r>
      <w:r>
        <w:t xml:space="preserve"> </w:t>
      </w:r>
      <w:r w:rsidR="000B2BF0">
        <w:t>N</w:t>
      </w:r>
      <w:r>
        <w:t>on-commodity line</w:t>
      </w:r>
      <w:r w:rsidR="000B2BF0">
        <w:t>s</w:t>
      </w:r>
      <w:r>
        <w:t xml:space="preserve"> will be applied to the AIMS entry and associated to th</w:t>
      </w:r>
      <w:r w:rsidR="000B2BF0">
        <w:t>e automated</w:t>
      </w:r>
      <w:r>
        <w:t xml:space="preserve"> direction. Based on the direction you will need to take the following action:</w:t>
      </w:r>
    </w:p>
    <w:p w14:paraId="22DA5085" w14:textId="77777777" w:rsidR="00BA3EDB" w:rsidRDefault="00BA3EDB" w:rsidP="00BA3EDB">
      <w:pPr>
        <w:pStyle w:val="ListParagraph"/>
        <w:widowControl/>
        <w:numPr>
          <w:ilvl w:val="0"/>
          <w:numId w:val="9"/>
        </w:numPr>
        <w:spacing w:before="60" w:after="60" w:line="276" w:lineRule="auto"/>
        <w:ind w:right="0"/>
      </w:pPr>
      <w:r>
        <w:t xml:space="preserve">NCCC or AEP Verification – submit documentation through the Cargo Online </w:t>
      </w:r>
      <w:proofErr w:type="spellStart"/>
      <w:r>
        <w:t>Lodgement</w:t>
      </w:r>
      <w:proofErr w:type="spellEnd"/>
      <w:r>
        <w:t xml:space="preserve"> System (COLS)</w:t>
      </w:r>
    </w:p>
    <w:p w14:paraId="2C4FB398" w14:textId="77777777" w:rsidR="00BA3EDB" w:rsidRDefault="00BA3EDB" w:rsidP="00BA3EDB">
      <w:pPr>
        <w:pStyle w:val="ListParagraph"/>
        <w:widowControl/>
        <w:numPr>
          <w:ilvl w:val="0"/>
          <w:numId w:val="9"/>
        </w:numPr>
        <w:spacing w:before="60" w:after="60" w:line="276" w:lineRule="auto"/>
        <w:ind w:right="0"/>
      </w:pPr>
      <w:r>
        <w:t xml:space="preserve">Document processing required – submit documentation through the COLS. </w:t>
      </w:r>
    </w:p>
    <w:p w14:paraId="08A992D2" w14:textId="77777777" w:rsidR="00BA3EDB" w:rsidRDefault="00BA3EDB" w:rsidP="00BA3EDB">
      <w:pPr>
        <w:pStyle w:val="ListParagraph"/>
        <w:widowControl/>
        <w:numPr>
          <w:ilvl w:val="0"/>
          <w:numId w:val="9"/>
        </w:numPr>
        <w:spacing w:before="60" w:after="60" w:line="276" w:lineRule="auto"/>
        <w:ind w:right="0"/>
      </w:pPr>
      <w:r>
        <w:t>AEP processing error – submit documentation through the COLS</w:t>
      </w:r>
    </w:p>
    <w:p w14:paraId="6C722DC8" w14:textId="77777777" w:rsidR="00BA3EDB" w:rsidRDefault="00BA3EDB" w:rsidP="00BA3EDB">
      <w:pPr>
        <w:pStyle w:val="ListParagraph"/>
        <w:widowControl/>
        <w:numPr>
          <w:ilvl w:val="0"/>
          <w:numId w:val="9"/>
        </w:numPr>
        <w:spacing w:before="60" w:after="60" w:line="276" w:lineRule="auto"/>
        <w:ind w:right="0"/>
      </w:pPr>
      <w:r>
        <w:t xml:space="preserve">Re-lodge – refer to task card: </w:t>
      </w:r>
      <w:r w:rsidRPr="00AF035A">
        <w:rPr>
          <w:i/>
        </w:rPr>
        <w:t>Identifying and resolving an AEP error</w:t>
      </w:r>
      <w:r>
        <w:t xml:space="preserve"> </w:t>
      </w:r>
    </w:p>
    <w:p w14:paraId="38B3DFC2" w14:textId="77777777" w:rsidR="00466224" w:rsidRDefault="00466224" w:rsidP="00466224">
      <w:pPr>
        <w:pStyle w:val="ListBullet"/>
        <w:numPr>
          <w:ilvl w:val="0"/>
          <w:numId w:val="9"/>
        </w:numPr>
      </w:pPr>
      <w:r>
        <w:t xml:space="preserve">Inspection – go to the </w:t>
      </w:r>
      <w:hyperlink r:id="rId16" w:history="1">
        <w:r>
          <w:rPr>
            <w:rStyle w:val="Hyperlink"/>
          </w:rPr>
          <w:t>Biosecurity portal</w:t>
        </w:r>
      </w:hyperlink>
      <w:r>
        <w:t xml:space="preserve"> to request an inspection</w:t>
      </w:r>
    </w:p>
    <w:p w14:paraId="5E236A72" w14:textId="72CB7A00" w:rsidR="00BA3EDB" w:rsidRDefault="00BA3EDB" w:rsidP="00BA3EDB">
      <w:pPr>
        <w:pStyle w:val="ListParagraph"/>
        <w:widowControl/>
        <w:numPr>
          <w:ilvl w:val="0"/>
          <w:numId w:val="9"/>
        </w:numPr>
        <w:spacing w:before="60" w:after="60" w:line="276" w:lineRule="auto"/>
        <w:ind w:right="0"/>
      </w:pPr>
      <w:r>
        <w:t xml:space="preserve">Fumigation – contact the </w:t>
      </w:r>
      <w:r w:rsidR="00466224">
        <w:t>third-party</w:t>
      </w:r>
      <w:r>
        <w:t xml:space="preserve"> provider, fumigation results must be submitted to the department on completion of the treatment</w:t>
      </w:r>
    </w:p>
    <w:p w14:paraId="0FB77AD9" w14:textId="77777777" w:rsidR="00BA3EDB" w:rsidRDefault="00BA3EDB" w:rsidP="000A7313">
      <w:r>
        <w:t>If concern codes BCOM or BNCC have been entered, you should include information in COLS on the reason you are volunteering the consignment for assessment.</w:t>
      </w:r>
    </w:p>
    <w:p w14:paraId="6E715B9B" w14:textId="673AB118" w:rsidR="00BD4894" w:rsidRDefault="00BA3EDB" w:rsidP="000A7313">
      <w:r>
        <w:t>Where consignments</w:t>
      </w:r>
      <w:r w:rsidRPr="002A7DD6">
        <w:t xml:space="preserve"> do not meet the standard assessment and </w:t>
      </w:r>
      <w:proofErr w:type="spellStart"/>
      <w:r w:rsidRPr="002A7DD6">
        <w:t>lodgement</w:t>
      </w:r>
      <w:proofErr w:type="spellEnd"/>
      <w:r>
        <w:t xml:space="preserve"> outlined in this task card refer to </w:t>
      </w:r>
      <w:r w:rsidRPr="00AF035A">
        <w:rPr>
          <w:b/>
        </w:rPr>
        <w:t>Lodging non-standard AEP consignments</w:t>
      </w:r>
      <w:r>
        <w:t>. This includes hazardous goods, hard frozen containers and split (metro /rural) delivery locations.</w:t>
      </w:r>
    </w:p>
    <w:p w14:paraId="51A8C15C" w14:textId="71BFAAB5" w:rsidR="00466224" w:rsidRDefault="00466224" w:rsidP="000A7313"/>
    <w:p w14:paraId="6104CFE6" w14:textId="77777777" w:rsidR="00466224" w:rsidRPr="00366CF8" w:rsidRDefault="00466224" w:rsidP="00466224"/>
    <w:sectPr w:rsidR="00466224" w:rsidRPr="00366CF8" w:rsidSect="003D734E">
      <w:headerReference w:type="default" r:id="rId17"/>
      <w:footerReference w:type="default" r:id="rId18"/>
      <w:headerReference w:type="first" r:id="rId19"/>
      <w:pgSz w:w="11906" w:h="16838"/>
      <w:pgMar w:top="993" w:right="720" w:bottom="709"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B68F" w14:textId="77777777" w:rsidR="00711557" w:rsidRDefault="00711557" w:rsidP="00A468EB">
      <w:r>
        <w:separator/>
      </w:r>
    </w:p>
  </w:endnote>
  <w:endnote w:type="continuationSeparator" w:id="0">
    <w:p w14:paraId="133BCC41" w14:textId="77777777" w:rsidR="00711557" w:rsidRDefault="00711557" w:rsidP="00A4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4CFB" w14:textId="77777777" w:rsidR="003D734E" w:rsidRPr="00EC4F22" w:rsidRDefault="00711557" w:rsidP="003D734E">
    <w:pPr>
      <w:pStyle w:val="Footer"/>
    </w:pPr>
    <w:r w:rsidRPr="00EC4F22">
      <w:sym w:font="Wingdings" w:char="F02A"/>
    </w:r>
    <w:r>
      <w:t xml:space="preserve"> </w:t>
    </w:r>
  </w:p>
  <w:tbl>
    <w:tblPr>
      <w:tblStyle w:val="TableGrid"/>
      <w:tblW w:w="1134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57C6C"/>
      <w:tblLook w:val="04A0" w:firstRow="1" w:lastRow="0" w:firstColumn="1" w:lastColumn="0" w:noHBand="0" w:noVBand="1"/>
    </w:tblPr>
    <w:tblGrid>
      <w:gridCol w:w="11341"/>
    </w:tblGrid>
    <w:tr w:rsidR="003D734E" w14:paraId="4F3D71C9" w14:textId="77777777" w:rsidTr="003D734E">
      <w:trPr>
        <w:trHeight w:val="1275"/>
      </w:trPr>
      <w:tc>
        <w:tcPr>
          <w:tcW w:w="11341" w:type="dxa"/>
          <w:shd w:val="clear" w:color="auto" w:fill="857C6C"/>
        </w:tcPr>
        <w:p w14:paraId="3C384712" w14:textId="2BDA3B11" w:rsidR="003D734E" w:rsidRPr="00EC4F22" w:rsidRDefault="004C6B4C" w:rsidP="003D734E">
          <w:pPr>
            <w:pStyle w:val="Footer"/>
          </w:pPr>
          <w:hyperlink r:id="rId1" w:history="1">
            <w:r w:rsidR="003D734E" w:rsidRPr="003D734E">
              <w:t>AEPsupport@agriculture.gov.au</w:t>
            </w:r>
          </w:hyperlink>
          <w:r w:rsidR="003D734E" w:rsidRPr="00EC4F22">
            <w:tab/>
          </w:r>
          <w:sdt>
            <w:sdtPr>
              <w:rPr>
                <w:b/>
              </w:rPr>
              <w:alias w:val="Title"/>
              <w:id w:val="305365337"/>
              <w:placeholder>
                <w:docPart w:val="3D31CEAF84AB4295992059BACBFB35F2"/>
              </w:placeholder>
              <w:dataBinding w:prefixMappings="xmlns:ns0='http://purl.org/dc/elements/1.1/' xmlns:ns1='http://schemas.openxmlformats.org/package/2006/metadata/core-properties' " w:xpath="/ns1:coreProperties[1]/ns0:title[1]" w:storeItemID="{6C3C8BC8-F283-45AE-878A-BAB7291924A1}"/>
              <w:text/>
            </w:sdtPr>
            <w:sdtEndPr/>
            <w:sdtContent>
              <w:r>
                <w:rPr>
                  <w:b/>
                </w:rPr>
                <w:t>Lodging NCCC consignments</w:t>
              </w:r>
            </w:sdtContent>
          </w:sdt>
        </w:p>
        <w:p w14:paraId="560B4026" w14:textId="63508739" w:rsidR="003D734E" w:rsidRPr="00EC4F22" w:rsidRDefault="003D734E" w:rsidP="003D734E">
          <w:pPr>
            <w:pStyle w:val="Footer"/>
          </w:pPr>
          <w:r w:rsidRPr="00EC4F22">
            <w:sym w:font="Wingdings" w:char="F028"/>
          </w:r>
          <w:r w:rsidRPr="00EC4F22">
            <w:t xml:space="preserve"> 1800 </w:t>
          </w:r>
          <w:r>
            <w:t>900 090</w:t>
          </w:r>
          <w:r w:rsidRPr="00EC4F22">
            <w:tab/>
            <w:t xml:space="preserve">Page </w:t>
          </w:r>
          <w:r w:rsidRPr="00EC4F22">
            <w:fldChar w:fldCharType="begin"/>
          </w:r>
          <w:r w:rsidRPr="00EC4F22">
            <w:instrText xml:space="preserve"> PAGE   \* MERGEFORMAT </w:instrText>
          </w:r>
          <w:r w:rsidRPr="00EC4F22">
            <w:fldChar w:fldCharType="separate"/>
          </w:r>
          <w:r w:rsidR="00DA6B62">
            <w:rPr>
              <w:noProof/>
            </w:rPr>
            <w:t>2</w:t>
          </w:r>
          <w:r w:rsidRPr="00EC4F22">
            <w:fldChar w:fldCharType="end"/>
          </w:r>
          <w:r w:rsidRPr="00EC4F22">
            <w:t xml:space="preserve"> of </w:t>
          </w:r>
          <w:r w:rsidR="000B2BF0">
            <w:rPr>
              <w:noProof/>
            </w:rPr>
            <w:fldChar w:fldCharType="begin"/>
          </w:r>
          <w:r w:rsidR="000B2BF0">
            <w:rPr>
              <w:noProof/>
            </w:rPr>
            <w:instrText xml:space="preserve"> NUMPAGES   \* MERGEFORMAT </w:instrText>
          </w:r>
          <w:r w:rsidR="000B2BF0">
            <w:rPr>
              <w:noProof/>
            </w:rPr>
            <w:fldChar w:fldCharType="separate"/>
          </w:r>
          <w:r w:rsidR="00DA6B62">
            <w:rPr>
              <w:noProof/>
            </w:rPr>
            <w:t>2</w:t>
          </w:r>
          <w:r w:rsidR="000B2BF0">
            <w:rPr>
              <w:noProof/>
            </w:rPr>
            <w:fldChar w:fldCharType="end"/>
          </w:r>
          <w:r w:rsidRPr="00EC4F22">
            <w:tab/>
          </w:r>
          <w:r>
            <w:fldChar w:fldCharType="begin"/>
          </w:r>
          <w:r>
            <w:instrText xml:space="preserve"> DATE  \@ "MMMM yy"  \* MERGEFORMAT </w:instrText>
          </w:r>
          <w:r>
            <w:fldChar w:fldCharType="separate"/>
          </w:r>
          <w:r w:rsidR="004C6B4C">
            <w:rPr>
              <w:noProof/>
            </w:rPr>
            <w:t>November 22</w:t>
          </w:r>
          <w:r>
            <w:fldChar w:fldCharType="end"/>
          </w:r>
        </w:p>
        <w:p w14:paraId="11504395" w14:textId="77777777" w:rsidR="003D734E" w:rsidRDefault="003D734E" w:rsidP="003D734E">
          <w:pPr>
            <w:pStyle w:val="Footer"/>
          </w:pPr>
        </w:p>
      </w:tc>
    </w:tr>
  </w:tbl>
  <w:p w14:paraId="3EE10E5E" w14:textId="78C79216" w:rsidR="00711557" w:rsidRPr="00EC4F22" w:rsidRDefault="00711557" w:rsidP="003D7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148A" w14:textId="77777777" w:rsidR="00711557" w:rsidRDefault="00711557" w:rsidP="00A468EB">
      <w:r>
        <w:separator/>
      </w:r>
    </w:p>
  </w:footnote>
  <w:footnote w:type="continuationSeparator" w:id="0">
    <w:p w14:paraId="5BF17C9A" w14:textId="77777777" w:rsidR="00711557" w:rsidRDefault="00711557" w:rsidP="00A46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99C5" w14:textId="641D04D3" w:rsidR="00711557" w:rsidRPr="00366CF8" w:rsidRDefault="00366CF8" w:rsidP="00366CF8">
    <w:pPr>
      <w:pStyle w:val="Header"/>
    </w:pPr>
    <w:r w:rsidRPr="00366CF8">
      <w:t>Department of Agriculture</w:t>
    </w:r>
    <w:r w:rsidR="00661847">
      <w:t>, Fisheries and Forestry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A9F7" w14:textId="326AC237" w:rsidR="000F644A" w:rsidRDefault="000F644A">
    <w:pPr>
      <w:pStyle w:val="Header"/>
    </w:pPr>
    <w:r>
      <w:drawing>
        <wp:inline distT="0" distB="0" distL="0" distR="0" wp14:anchorId="44A974F9" wp14:editId="640A597F">
          <wp:extent cx="2057400" cy="598469"/>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65772" cy="600904"/>
                  </a:xfrm>
                  <a:prstGeom prst="rect">
                    <a:avLst/>
                  </a:prstGeom>
                </pic:spPr>
              </pic:pic>
            </a:graphicData>
          </a:graphic>
        </wp:inline>
      </w:drawing>
    </w:r>
  </w:p>
  <w:p w14:paraId="25ED1993" w14:textId="78528612" w:rsidR="00366CF8" w:rsidRDefault="00366CF8" w:rsidP="00D779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A402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2EC7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0E0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9C0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88AC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A89E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8E2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864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26F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7B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E0169E5"/>
    <w:multiLevelType w:val="hybridMultilevel"/>
    <w:tmpl w:val="2FC85BD8"/>
    <w:lvl w:ilvl="0" w:tplc="D00633A4">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281AC6"/>
    <w:multiLevelType w:val="multilevel"/>
    <w:tmpl w:val="8BF83A66"/>
    <w:styleLink w:val="heading"/>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707B28"/>
    <w:multiLevelType w:val="hybridMultilevel"/>
    <w:tmpl w:val="EED28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AB1F16"/>
    <w:multiLevelType w:val="hybridMultilevel"/>
    <w:tmpl w:val="7F821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E96A00"/>
    <w:multiLevelType w:val="hybridMultilevel"/>
    <w:tmpl w:val="7D1059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F522C6"/>
    <w:multiLevelType w:val="hybridMultilevel"/>
    <w:tmpl w:val="682E3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BF299C"/>
    <w:multiLevelType w:val="multilevel"/>
    <w:tmpl w:val="8BF83A66"/>
    <w:numStyleLink w:val="heading"/>
  </w:abstractNum>
  <w:abstractNum w:abstractNumId="17" w15:restartNumberingAfterBreak="0">
    <w:nsid w:val="78D859A4"/>
    <w:multiLevelType w:val="multilevel"/>
    <w:tmpl w:val="DBF283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cs="Times New Roman" w:hint="default"/>
        <w:b w:val="0"/>
        <w:bCs w:val="0"/>
        <w:i w:val="0"/>
        <w:iCs w:val="0"/>
        <w:caps w:val="0"/>
        <w:smallCaps w:val="0"/>
        <w:strike w:val="0"/>
        <w:dstrike w:val="0"/>
        <w:outline w:val="0"/>
        <w:shadow w:val="0"/>
        <w:emboss w:val="0"/>
        <w:imprint w:val="0"/>
        <w:noProof w:val="0"/>
        <w:vanish w:val="0"/>
        <w:kern w:val="0"/>
        <w:position w:val="0"/>
        <w:u w:val="none"/>
        <w:vertAlign w:val="baseline"/>
        <w:em w:val="none"/>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268"/>
        </w:tabs>
        <w:ind w:left="2268" w:hanging="1134"/>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98275650">
    <w:abstractNumId w:val="10"/>
  </w:num>
  <w:num w:numId="2" w16cid:durableId="1050224013">
    <w:abstractNumId w:val="14"/>
  </w:num>
  <w:num w:numId="3" w16cid:durableId="1196967460">
    <w:abstractNumId w:val="15"/>
  </w:num>
  <w:num w:numId="4" w16cid:durableId="830678128">
    <w:abstractNumId w:val="17"/>
  </w:num>
  <w:num w:numId="5" w16cid:durableId="1647078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165327">
    <w:abstractNumId w:val="17"/>
  </w:num>
  <w:num w:numId="7" w16cid:durableId="14773326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520863">
    <w:abstractNumId w:val="13"/>
  </w:num>
  <w:num w:numId="9" w16cid:durableId="1265500731">
    <w:abstractNumId w:val="12"/>
  </w:num>
  <w:num w:numId="10" w16cid:durableId="1370833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833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78646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165493">
    <w:abstractNumId w:val="11"/>
  </w:num>
  <w:num w:numId="14" w16cid:durableId="303432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040834">
    <w:abstractNumId w:val="16"/>
  </w:num>
  <w:num w:numId="16" w16cid:durableId="592327350">
    <w:abstractNumId w:val="9"/>
  </w:num>
  <w:num w:numId="17" w16cid:durableId="356006834">
    <w:abstractNumId w:val="7"/>
  </w:num>
  <w:num w:numId="18" w16cid:durableId="993870594">
    <w:abstractNumId w:val="6"/>
  </w:num>
  <w:num w:numId="19" w16cid:durableId="755908219">
    <w:abstractNumId w:val="5"/>
  </w:num>
  <w:num w:numId="20" w16cid:durableId="887886475">
    <w:abstractNumId w:val="4"/>
  </w:num>
  <w:num w:numId="21" w16cid:durableId="1241063224">
    <w:abstractNumId w:val="8"/>
  </w:num>
  <w:num w:numId="22" w16cid:durableId="455219921">
    <w:abstractNumId w:val="3"/>
  </w:num>
  <w:num w:numId="23" w16cid:durableId="420301510">
    <w:abstractNumId w:val="2"/>
  </w:num>
  <w:num w:numId="24" w16cid:durableId="951939168">
    <w:abstractNumId w:val="1"/>
  </w:num>
  <w:num w:numId="25" w16cid:durableId="174996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82"/>
    <w:rsid w:val="00022110"/>
    <w:rsid w:val="00042DAB"/>
    <w:rsid w:val="00052900"/>
    <w:rsid w:val="000631C0"/>
    <w:rsid w:val="00072DB0"/>
    <w:rsid w:val="000874A1"/>
    <w:rsid w:val="000A4099"/>
    <w:rsid w:val="000A7313"/>
    <w:rsid w:val="000B2BF0"/>
    <w:rsid w:val="000C56FB"/>
    <w:rsid w:val="000D1188"/>
    <w:rsid w:val="000E4941"/>
    <w:rsid w:val="000F644A"/>
    <w:rsid w:val="00101440"/>
    <w:rsid w:val="001035E7"/>
    <w:rsid w:val="0010785F"/>
    <w:rsid w:val="001260F2"/>
    <w:rsid w:val="001362AC"/>
    <w:rsid w:val="00143FB0"/>
    <w:rsid w:val="00153303"/>
    <w:rsid w:val="00153378"/>
    <w:rsid w:val="00157658"/>
    <w:rsid w:val="00157E5D"/>
    <w:rsid w:val="00164C8D"/>
    <w:rsid w:val="001660BC"/>
    <w:rsid w:val="001728E4"/>
    <w:rsid w:val="0018158A"/>
    <w:rsid w:val="001935BB"/>
    <w:rsid w:val="001958EF"/>
    <w:rsid w:val="001A7754"/>
    <w:rsid w:val="001B1F24"/>
    <w:rsid w:val="001D3B62"/>
    <w:rsid w:val="001E5F81"/>
    <w:rsid w:val="001F52CA"/>
    <w:rsid w:val="002101C4"/>
    <w:rsid w:val="00210A4E"/>
    <w:rsid w:val="00232726"/>
    <w:rsid w:val="002571D6"/>
    <w:rsid w:val="002646CF"/>
    <w:rsid w:val="0026633E"/>
    <w:rsid w:val="00287092"/>
    <w:rsid w:val="002A7DD6"/>
    <w:rsid w:val="002B16E6"/>
    <w:rsid w:val="002C1ED2"/>
    <w:rsid w:val="002C7D80"/>
    <w:rsid w:val="002D23F7"/>
    <w:rsid w:val="002D4F60"/>
    <w:rsid w:val="002D7710"/>
    <w:rsid w:val="002E3AC1"/>
    <w:rsid w:val="002E4B13"/>
    <w:rsid w:val="002E7D8D"/>
    <w:rsid w:val="002F6150"/>
    <w:rsid w:val="002F7BC4"/>
    <w:rsid w:val="00320F09"/>
    <w:rsid w:val="00322518"/>
    <w:rsid w:val="00332CB5"/>
    <w:rsid w:val="00350530"/>
    <w:rsid w:val="003543FB"/>
    <w:rsid w:val="00366CF8"/>
    <w:rsid w:val="00370757"/>
    <w:rsid w:val="00372301"/>
    <w:rsid w:val="003817E9"/>
    <w:rsid w:val="00387DF8"/>
    <w:rsid w:val="00390EC0"/>
    <w:rsid w:val="0039388C"/>
    <w:rsid w:val="003A3052"/>
    <w:rsid w:val="003A3366"/>
    <w:rsid w:val="003B0227"/>
    <w:rsid w:val="003B409C"/>
    <w:rsid w:val="003B4128"/>
    <w:rsid w:val="003B43BC"/>
    <w:rsid w:val="003C138F"/>
    <w:rsid w:val="003D4ACE"/>
    <w:rsid w:val="003D6E7E"/>
    <w:rsid w:val="003D734E"/>
    <w:rsid w:val="00406EB2"/>
    <w:rsid w:val="00412958"/>
    <w:rsid w:val="004318E0"/>
    <w:rsid w:val="00442FB1"/>
    <w:rsid w:val="00466224"/>
    <w:rsid w:val="0047049C"/>
    <w:rsid w:val="004733D5"/>
    <w:rsid w:val="0047552C"/>
    <w:rsid w:val="00493E82"/>
    <w:rsid w:val="004A2AD8"/>
    <w:rsid w:val="004C0703"/>
    <w:rsid w:val="004C6B4C"/>
    <w:rsid w:val="004C74A4"/>
    <w:rsid w:val="004D6435"/>
    <w:rsid w:val="004D6A65"/>
    <w:rsid w:val="004D7FC7"/>
    <w:rsid w:val="004E1F3C"/>
    <w:rsid w:val="004E40CD"/>
    <w:rsid w:val="00511733"/>
    <w:rsid w:val="005157B3"/>
    <w:rsid w:val="005163A6"/>
    <w:rsid w:val="005404CA"/>
    <w:rsid w:val="00543260"/>
    <w:rsid w:val="00552E63"/>
    <w:rsid w:val="0056492F"/>
    <w:rsid w:val="005664EB"/>
    <w:rsid w:val="00584539"/>
    <w:rsid w:val="00592CB4"/>
    <w:rsid w:val="00596FA1"/>
    <w:rsid w:val="005A6A5E"/>
    <w:rsid w:val="005B7BD6"/>
    <w:rsid w:val="005C3FD9"/>
    <w:rsid w:val="005D69E4"/>
    <w:rsid w:val="005E1908"/>
    <w:rsid w:val="005F70E5"/>
    <w:rsid w:val="005F75F9"/>
    <w:rsid w:val="006031A1"/>
    <w:rsid w:val="00661847"/>
    <w:rsid w:val="006716F9"/>
    <w:rsid w:val="006855BC"/>
    <w:rsid w:val="006B7182"/>
    <w:rsid w:val="006C43E9"/>
    <w:rsid w:val="006E2798"/>
    <w:rsid w:val="00711557"/>
    <w:rsid w:val="00713CDA"/>
    <w:rsid w:val="00737080"/>
    <w:rsid w:val="007454D4"/>
    <w:rsid w:val="00752884"/>
    <w:rsid w:val="00753F65"/>
    <w:rsid w:val="0075546A"/>
    <w:rsid w:val="00760EDB"/>
    <w:rsid w:val="00770F99"/>
    <w:rsid w:val="00772B3B"/>
    <w:rsid w:val="007750B4"/>
    <w:rsid w:val="0077718C"/>
    <w:rsid w:val="007B549E"/>
    <w:rsid w:val="007E7432"/>
    <w:rsid w:val="007F189A"/>
    <w:rsid w:val="007F50D5"/>
    <w:rsid w:val="007F69FB"/>
    <w:rsid w:val="008047F9"/>
    <w:rsid w:val="0081718B"/>
    <w:rsid w:val="00825C1C"/>
    <w:rsid w:val="008355E9"/>
    <w:rsid w:val="00837D94"/>
    <w:rsid w:val="0084338B"/>
    <w:rsid w:val="008476CA"/>
    <w:rsid w:val="0085220F"/>
    <w:rsid w:val="00854D92"/>
    <w:rsid w:val="0087145E"/>
    <w:rsid w:val="008764E7"/>
    <w:rsid w:val="008864D4"/>
    <w:rsid w:val="008919B0"/>
    <w:rsid w:val="008B65EC"/>
    <w:rsid w:val="008D1551"/>
    <w:rsid w:val="008D5B11"/>
    <w:rsid w:val="008E14ED"/>
    <w:rsid w:val="008E61C0"/>
    <w:rsid w:val="008F61CD"/>
    <w:rsid w:val="008F6FC8"/>
    <w:rsid w:val="00904D1F"/>
    <w:rsid w:val="00911964"/>
    <w:rsid w:val="0092540A"/>
    <w:rsid w:val="00933779"/>
    <w:rsid w:val="0093394A"/>
    <w:rsid w:val="00933B91"/>
    <w:rsid w:val="00935A58"/>
    <w:rsid w:val="009371B9"/>
    <w:rsid w:val="0093766E"/>
    <w:rsid w:val="009413CE"/>
    <w:rsid w:val="00944A94"/>
    <w:rsid w:val="0094537F"/>
    <w:rsid w:val="00945718"/>
    <w:rsid w:val="00960CF6"/>
    <w:rsid w:val="00972526"/>
    <w:rsid w:val="0097325C"/>
    <w:rsid w:val="009A0206"/>
    <w:rsid w:val="009A7953"/>
    <w:rsid w:val="009C0274"/>
    <w:rsid w:val="009C0D80"/>
    <w:rsid w:val="009C78E5"/>
    <w:rsid w:val="009D4456"/>
    <w:rsid w:val="009D7644"/>
    <w:rsid w:val="009E04C0"/>
    <w:rsid w:val="009E571D"/>
    <w:rsid w:val="009F3AFC"/>
    <w:rsid w:val="009F48D7"/>
    <w:rsid w:val="009F48FE"/>
    <w:rsid w:val="00A03B01"/>
    <w:rsid w:val="00A26542"/>
    <w:rsid w:val="00A430AD"/>
    <w:rsid w:val="00A468EB"/>
    <w:rsid w:val="00A5353C"/>
    <w:rsid w:val="00A655A7"/>
    <w:rsid w:val="00A6653F"/>
    <w:rsid w:val="00A72192"/>
    <w:rsid w:val="00A8551F"/>
    <w:rsid w:val="00A9454B"/>
    <w:rsid w:val="00A97CBE"/>
    <w:rsid w:val="00AB5799"/>
    <w:rsid w:val="00AE6A26"/>
    <w:rsid w:val="00AF34D6"/>
    <w:rsid w:val="00AF5A97"/>
    <w:rsid w:val="00B03892"/>
    <w:rsid w:val="00B06E75"/>
    <w:rsid w:val="00B20225"/>
    <w:rsid w:val="00B33A26"/>
    <w:rsid w:val="00B36617"/>
    <w:rsid w:val="00B37640"/>
    <w:rsid w:val="00B410A0"/>
    <w:rsid w:val="00B440B9"/>
    <w:rsid w:val="00B44264"/>
    <w:rsid w:val="00B46CD2"/>
    <w:rsid w:val="00B71641"/>
    <w:rsid w:val="00B976AC"/>
    <w:rsid w:val="00BA3EDB"/>
    <w:rsid w:val="00BA5DB9"/>
    <w:rsid w:val="00BD4894"/>
    <w:rsid w:val="00C23266"/>
    <w:rsid w:val="00C278C0"/>
    <w:rsid w:val="00C27EE7"/>
    <w:rsid w:val="00C34467"/>
    <w:rsid w:val="00C40302"/>
    <w:rsid w:val="00C414FB"/>
    <w:rsid w:val="00C47C52"/>
    <w:rsid w:val="00C52A9C"/>
    <w:rsid w:val="00C60F44"/>
    <w:rsid w:val="00C64A7D"/>
    <w:rsid w:val="00C67A4B"/>
    <w:rsid w:val="00C7266A"/>
    <w:rsid w:val="00C7273C"/>
    <w:rsid w:val="00C84F13"/>
    <w:rsid w:val="00CA2DC1"/>
    <w:rsid w:val="00CA4183"/>
    <w:rsid w:val="00CB6BA4"/>
    <w:rsid w:val="00CC0985"/>
    <w:rsid w:val="00CC4977"/>
    <w:rsid w:val="00CC57E9"/>
    <w:rsid w:val="00CE03C8"/>
    <w:rsid w:val="00CE2B19"/>
    <w:rsid w:val="00CF3BAD"/>
    <w:rsid w:val="00CF4B4B"/>
    <w:rsid w:val="00D34A02"/>
    <w:rsid w:val="00D429E9"/>
    <w:rsid w:val="00D4656F"/>
    <w:rsid w:val="00D544DA"/>
    <w:rsid w:val="00D619E7"/>
    <w:rsid w:val="00D7650B"/>
    <w:rsid w:val="00D7799A"/>
    <w:rsid w:val="00D96F43"/>
    <w:rsid w:val="00DA57A7"/>
    <w:rsid w:val="00DA6B62"/>
    <w:rsid w:val="00DB2B00"/>
    <w:rsid w:val="00DC68C5"/>
    <w:rsid w:val="00DC70CD"/>
    <w:rsid w:val="00E01283"/>
    <w:rsid w:val="00E02B90"/>
    <w:rsid w:val="00E13CD4"/>
    <w:rsid w:val="00E17D98"/>
    <w:rsid w:val="00E347B2"/>
    <w:rsid w:val="00E367B8"/>
    <w:rsid w:val="00E41154"/>
    <w:rsid w:val="00E708D3"/>
    <w:rsid w:val="00E7320A"/>
    <w:rsid w:val="00E80A9C"/>
    <w:rsid w:val="00E83578"/>
    <w:rsid w:val="00E91587"/>
    <w:rsid w:val="00E96FCE"/>
    <w:rsid w:val="00EA3A52"/>
    <w:rsid w:val="00EB1DCD"/>
    <w:rsid w:val="00EB30C2"/>
    <w:rsid w:val="00EB3507"/>
    <w:rsid w:val="00EB63F8"/>
    <w:rsid w:val="00EB6AB5"/>
    <w:rsid w:val="00EC4F22"/>
    <w:rsid w:val="00EC78CF"/>
    <w:rsid w:val="00ED6642"/>
    <w:rsid w:val="00ED66C5"/>
    <w:rsid w:val="00ED6FE2"/>
    <w:rsid w:val="00EE6F3F"/>
    <w:rsid w:val="00EF2AD6"/>
    <w:rsid w:val="00F36D2D"/>
    <w:rsid w:val="00F42078"/>
    <w:rsid w:val="00F56BC2"/>
    <w:rsid w:val="00F61521"/>
    <w:rsid w:val="00F775C9"/>
    <w:rsid w:val="00F842BF"/>
    <w:rsid w:val="00F84390"/>
    <w:rsid w:val="00F95DCE"/>
    <w:rsid w:val="00FB467D"/>
    <w:rsid w:val="00FB5119"/>
    <w:rsid w:val="00FB54F0"/>
    <w:rsid w:val="00FE2ED3"/>
    <w:rsid w:val="00FE561B"/>
    <w:rsid w:val="00FE568A"/>
    <w:rsid w:val="00FF0548"/>
    <w:rsid w:val="00FF148B"/>
    <w:rsid w:val="00FF4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440634CD"/>
  <w15:docId w15:val="{1D97C6AA-B3EE-4D37-943D-F0360615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9C"/>
    <w:pPr>
      <w:widowControl w:val="0"/>
      <w:spacing w:before="120" w:after="120" w:line="240" w:lineRule="auto"/>
      <w:ind w:right="697"/>
    </w:pPr>
    <w:rPr>
      <w:rFonts w:ascii="Calibri" w:eastAsia="Calibri" w:hAnsi="Calibri"/>
      <w:lang w:val="en-US"/>
    </w:rPr>
  </w:style>
  <w:style w:type="paragraph" w:styleId="Heading1">
    <w:name w:val="heading 1"/>
    <w:next w:val="Normal"/>
    <w:link w:val="Heading1Char"/>
    <w:uiPriority w:val="9"/>
    <w:qFormat/>
    <w:rsid w:val="005C3FD9"/>
    <w:pPr>
      <w:spacing w:after="120"/>
      <w:outlineLvl w:val="0"/>
    </w:pPr>
    <w:rPr>
      <w:rFonts w:ascii="Calibri" w:eastAsiaTheme="majorEastAsia" w:hAnsi="Calibri" w:cstheme="majorBidi"/>
      <w:spacing w:val="5"/>
      <w:kern w:val="28"/>
      <w:sz w:val="52"/>
      <w:szCs w:val="52"/>
      <w:lang w:val="en-US"/>
    </w:rPr>
  </w:style>
  <w:style w:type="paragraph" w:styleId="Heading2">
    <w:name w:val="heading 2"/>
    <w:next w:val="Normal"/>
    <w:link w:val="Heading2Char"/>
    <w:uiPriority w:val="9"/>
    <w:unhideWhenUsed/>
    <w:rsid w:val="00A468EB"/>
    <w:pPr>
      <w:keepNext/>
      <w:keepLines/>
      <w:numPr>
        <w:numId w:val="15"/>
      </w:numPr>
      <w:spacing w:before="200" w:after="0"/>
      <w:outlineLvl w:val="1"/>
    </w:pPr>
    <w:rPr>
      <w:rFonts w:ascii="Calibri" w:eastAsiaTheme="majorEastAsia" w:hAnsi="Calibri" w:cstheme="majorBidi"/>
      <w:b/>
      <w:bCs/>
      <w:sz w:val="36"/>
      <w:szCs w:val="36"/>
      <w:lang w:val="en-US"/>
    </w:rPr>
  </w:style>
  <w:style w:type="paragraph" w:styleId="Heading3">
    <w:name w:val="heading 3"/>
    <w:next w:val="Normal"/>
    <w:link w:val="Heading3Char"/>
    <w:uiPriority w:val="9"/>
    <w:unhideWhenUsed/>
    <w:rsid w:val="00366CF8"/>
    <w:pPr>
      <w:keepNext/>
      <w:keepLines/>
      <w:numPr>
        <w:ilvl w:val="1"/>
        <w:numId w:val="15"/>
      </w:numPr>
      <w:spacing w:before="120" w:after="0" w:line="240" w:lineRule="auto"/>
      <w:outlineLvl w:val="2"/>
    </w:pPr>
    <w:rPr>
      <w:rFonts w:ascii="Calibri" w:eastAsiaTheme="majorEastAsia" w:hAnsi="Calibri" w:cstheme="majorBidi"/>
      <w:b/>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182"/>
    <w:rPr>
      <w:rFonts w:ascii="Tahoma" w:hAnsi="Tahoma" w:cs="Tahoma"/>
      <w:sz w:val="16"/>
      <w:szCs w:val="16"/>
    </w:rPr>
  </w:style>
  <w:style w:type="paragraph" w:styleId="Header">
    <w:name w:val="header"/>
    <w:basedOn w:val="Normal"/>
    <w:link w:val="HeaderChar"/>
    <w:uiPriority w:val="99"/>
    <w:unhideWhenUsed/>
    <w:rsid w:val="00101440"/>
    <w:pPr>
      <w:pBdr>
        <w:bottom w:val="single" w:sz="4" w:space="1" w:color="auto"/>
      </w:pBdr>
      <w:tabs>
        <w:tab w:val="center" w:pos="4513"/>
        <w:tab w:val="right" w:pos="9026"/>
      </w:tabs>
      <w:spacing w:after="0"/>
    </w:pPr>
    <w:rPr>
      <w:noProof/>
      <w:sz w:val="20"/>
      <w:szCs w:val="20"/>
      <w:lang w:eastAsia="en-AU"/>
    </w:rPr>
  </w:style>
  <w:style w:type="character" w:customStyle="1" w:styleId="HeaderChar">
    <w:name w:val="Header Char"/>
    <w:basedOn w:val="DefaultParagraphFont"/>
    <w:link w:val="Header"/>
    <w:uiPriority w:val="99"/>
    <w:rsid w:val="00101440"/>
    <w:rPr>
      <w:rFonts w:ascii="Calibri" w:eastAsia="Calibri" w:hAnsi="Calibri"/>
      <w:noProof/>
      <w:sz w:val="20"/>
      <w:szCs w:val="20"/>
      <w:lang w:val="en-US" w:eastAsia="en-AU"/>
    </w:rPr>
  </w:style>
  <w:style w:type="paragraph" w:styleId="Footer">
    <w:name w:val="footer"/>
    <w:link w:val="FooterChar"/>
    <w:uiPriority w:val="99"/>
    <w:unhideWhenUsed/>
    <w:rsid w:val="003D734E"/>
    <w:pPr>
      <w:tabs>
        <w:tab w:val="center" w:pos="4513"/>
        <w:tab w:val="right" w:pos="9026"/>
      </w:tabs>
      <w:spacing w:after="0"/>
    </w:pPr>
    <w:rPr>
      <w:rFonts w:ascii="Calibri" w:eastAsia="Calibri" w:hAnsi="Calibri"/>
      <w:color w:val="FFFFFF" w:themeColor="background1"/>
      <w:lang w:val="en-US"/>
    </w:rPr>
  </w:style>
  <w:style w:type="character" w:customStyle="1" w:styleId="FooterChar">
    <w:name w:val="Footer Char"/>
    <w:basedOn w:val="DefaultParagraphFont"/>
    <w:link w:val="Footer"/>
    <w:uiPriority w:val="99"/>
    <w:rsid w:val="003D734E"/>
    <w:rPr>
      <w:rFonts w:ascii="Calibri" w:eastAsia="Calibri" w:hAnsi="Calibri"/>
      <w:color w:val="FFFFFF" w:themeColor="background1"/>
      <w:lang w:val="en-US"/>
    </w:rPr>
  </w:style>
  <w:style w:type="paragraph" w:styleId="Title">
    <w:name w:val="Title"/>
    <w:basedOn w:val="Normal"/>
    <w:next w:val="Normal"/>
    <w:link w:val="TitleChar"/>
    <w:uiPriority w:val="10"/>
    <w:qFormat/>
    <w:rsid w:val="00F56BC2"/>
    <w:pPr>
      <w:pBdr>
        <w:bottom w:val="single" w:sz="8" w:space="4" w:color="776F65"/>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F56BC2"/>
    <w:rPr>
      <w:rFonts w:eastAsiaTheme="majorEastAsia" w:cstheme="majorBidi"/>
      <w:spacing w:val="5"/>
      <w:kern w:val="28"/>
      <w:sz w:val="52"/>
      <w:szCs w:val="52"/>
    </w:rPr>
  </w:style>
  <w:style w:type="character" w:customStyle="1" w:styleId="Heading1Char">
    <w:name w:val="Heading 1 Char"/>
    <w:basedOn w:val="DefaultParagraphFont"/>
    <w:link w:val="Heading1"/>
    <w:uiPriority w:val="9"/>
    <w:rsid w:val="005C3FD9"/>
    <w:rPr>
      <w:rFonts w:ascii="Calibri" w:eastAsiaTheme="majorEastAsia" w:hAnsi="Calibri" w:cstheme="majorBidi"/>
      <w:spacing w:val="5"/>
      <w:kern w:val="28"/>
      <w:sz w:val="52"/>
      <w:szCs w:val="52"/>
      <w:lang w:val="en-US"/>
    </w:rPr>
  </w:style>
  <w:style w:type="character" w:customStyle="1" w:styleId="Heading2Char">
    <w:name w:val="Heading 2 Char"/>
    <w:basedOn w:val="DefaultParagraphFont"/>
    <w:link w:val="Heading2"/>
    <w:uiPriority w:val="9"/>
    <w:rsid w:val="00A468EB"/>
    <w:rPr>
      <w:rFonts w:ascii="Calibri" w:eastAsiaTheme="majorEastAsia" w:hAnsi="Calibri" w:cstheme="majorBidi"/>
      <w:b/>
      <w:bCs/>
      <w:sz w:val="36"/>
      <w:szCs w:val="36"/>
      <w:lang w:val="en-US"/>
    </w:rPr>
  </w:style>
  <w:style w:type="paragraph" w:styleId="ListParagraph">
    <w:name w:val="List Paragraph"/>
    <w:basedOn w:val="Normal"/>
    <w:uiPriority w:val="34"/>
    <w:qFormat/>
    <w:rsid w:val="0084338B"/>
    <w:pPr>
      <w:ind w:left="720"/>
      <w:contextualSpacing/>
    </w:pPr>
  </w:style>
  <w:style w:type="character" w:styleId="Hyperlink">
    <w:name w:val="Hyperlink"/>
    <w:basedOn w:val="DefaultParagraphFont"/>
    <w:uiPriority w:val="99"/>
    <w:unhideWhenUsed/>
    <w:rsid w:val="003817E9"/>
    <w:rPr>
      <w:color w:val="0000FF" w:themeColor="hyperlink"/>
      <w:u w:val="single"/>
    </w:rPr>
  </w:style>
  <w:style w:type="character" w:styleId="PlaceholderText">
    <w:name w:val="Placeholder Text"/>
    <w:basedOn w:val="DefaultParagraphFont"/>
    <w:uiPriority w:val="99"/>
    <w:semiHidden/>
    <w:rsid w:val="00C47C52"/>
    <w:rPr>
      <w:color w:val="808080"/>
    </w:rPr>
  </w:style>
  <w:style w:type="paragraph" w:styleId="NoSpacing">
    <w:name w:val="No Spacing"/>
    <w:uiPriority w:val="1"/>
    <w:rsid w:val="00ED6FE2"/>
    <w:pPr>
      <w:spacing w:after="0" w:line="240" w:lineRule="auto"/>
    </w:pPr>
  </w:style>
  <w:style w:type="paragraph" w:customStyle="1" w:styleId="Button">
    <w:name w:val="Button"/>
    <w:basedOn w:val="Normal"/>
    <w:link w:val="ButtonChar"/>
    <w:qFormat/>
    <w:rsid w:val="00ED6FE2"/>
    <w:rPr>
      <w:noProof/>
      <w:position w:val="-6"/>
      <w:lang w:eastAsia="en-AU"/>
    </w:rPr>
  </w:style>
  <w:style w:type="character" w:customStyle="1" w:styleId="ButtonChar">
    <w:name w:val="Button Char"/>
    <w:basedOn w:val="DefaultParagraphFont"/>
    <w:link w:val="Button"/>
    <w:rsid w:val="00ED6FE2"/>
    <w:rPr>
      <w:noProof/>
      <w:position w:val="-6"/>
      <w:lang w:eastAsia="en-AU"/>
    </w:rPr>
  </w:style>
  <w:style w:type="paragraph" w:styleId="Caption">
    <w:name w:val="caption"/>
    <w:basedOn w:val="Normal"/>
    <w:next w:val="Normal"/>
    <w:uiPriority w:val="12"/>
    <w:unhideWhenUsed/>
    <w:qFormat/>
    <w:rsid w:val="00904D1F"/>
    <w:pPr>
      <w:spacing w:before="0" w:after="200"/>
    </w:pPr>
    <w:rPr>
      <w:i/>
      <w:iCs/>
      <w:color w:val="1F497D" w:themeColor="text2"/>
      <w:sz w:val="18"/>
      <w:szCs w:val="18"/>
    </w:rPr>
  </w:style>
  <w:style w:type="paragraph" w:customStyle="1" w:styleId="Default">
    <w:name w:val="Default"/>
    <w:rsid w:val="00143FB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BD4894"/>
    <w:rPr>
      <w:sz w:val="16"/>
      <w:szCs w:val="16"/>
    </w:rPr>
  </w:style>
  <w:style w:type="paragraph" w:styleId="CommentText">
    <w:name w:val="annotation text"/>
    <w:basedOn w:val="Normal"/>
    <w:link w:val="CommentTextChar"/>
    <w:uiPriority w:val="99"/>
    <w:unhideWhenUsed/>
    <w:rsid w:val="00BD4894"/>
    <w:rPr>
      <w:sz w:val="20"/>
      <w:szCs w:val="20"/>
    </w:rPr>
  </w:style>
  <w:style w:type="character" w:customStyle="1" w:styleId="CommentTextChar">
    <w:name w:val="Comment Text Char"/>
    <w:basedOn w:val="DefaultParagraphFont"/>
    <w:link w:val="CommentText"/>
    <w:uiPriority w:val="99"/>
    <w:rsid w:val="00BD4894"/>
    <w:rPr>
      <w:sz w:val="20"/>
      <w:szCs w:val="20"/>
    </w:rPr>
  </w:style>
  <w:style w:type="paragraph" w:styleId="CommentSubject">
    <w:name w:val="annotation subject"/>
    <w:basedOn w:val="CommentText"/>
    <w:next w:val="CommentText"/>
    <w:link w:val="CommentSubjectChar"/>
    <w:uiPriority w:val="99"/>
    <w:semiHidden/>
    <w:unhideWhenUsed/>
    <w:rsid w:val="00BD4894"/>
    <w:rPr>
      <w:b/>
      <w:bCs/>
    </w:rPr>
  </w:style>
  <w:style w:type="character" w:customStyle="1" w:styleId="CommentSubjectChar">
    <w:name w:val="Comment Subject Char"/>
    <w:basedOn w:val="CommentTextChar"/>
    <w:link w:val="CommentSubject"/>
    <w:uiPriority w:val="99"/>
    <w:semiHidden/>
    <w:rsid w:val="00BD4894"/>
    <w:rPr>
      <w:b/>
      <w:bCs/>
      <w:sz w:val="20"/>
      <w:szCs w:val="20"/>
    </w:rPr>
  </w:style>
  <w:style w:type="character" w:styleId="FollowedHyperlink">
    <w:name w:val="FollowedHyperlink"/>
    <w:basedOn w:val="DefaultParagraphFont"/>
    <w:uiPriority w:val="99"/>
    <w:semiHidden/>
    <w:unhideWhenUsed/>
    <w:rsid w:val="00FE568A"/>
    <w:rPr>
      <w:color w:val="800080" w:themeColor="followedHyperlink"/>
      <w:u w:val="single"/>
    </w:rPr>
  </w:style>
  <w:style w:type="character" w:customStyle="1" w:styleId="Heading3Char">
    <w:name w:val="Heading 3 Char"/>
    <w:basedOn w:val="DefaultParagraphFont"/>
    <w:link w:val="Heading3"/>
    <w:uiPriority w:val="9"/>
    <w:rsid w:val="00366CF8"/>
    <w:rPr>
      <w:rFonts w:ascii="Calibri" w:eastAsiaTheme="majorEastAsia" w:hAnsi="Calibri" w:cstheme="majorBidi"/>
      <w:b/>
      <w:sz w:val="28"/>
      <w:szCs w:val="24"/>
      <w:lang w:val="en-US"/>
    </w:rPr>
  </w:style>
  <w:style w:type="numbering" w:customStyle="1" w:styleId="heading">
    <w:name w:val="heading"/>
    <w:uiPriority w:val="99"/>
    <w:rsid w:val="00A468EB"/>
    <w:pPr>
      <w:numPr>
        <w:numId w:val="13"/>
      </w:numPr>
    </w:pPr>
  </w:style>
  <w:style w:type="paragraph" w:styleId="ListBullet">
    <w:name w:val="List Bullet"/>
    <w:basedOn w:val="Normal"/>
    <w:uiPriority w:val="99"/>
    <w:unhideWhenUsed/>
    <w:rsid w:val="00E80A9C"/>
    <w:pPr>
      <w:numPr>
        <w:numId w:val="16"/>
      </w:numPr>
      <w:contextualSpacing/>
    </w:pPr>
  </w:style>
  <w:style w:type="table" w:styleId="TableGrid">
    <w:name w:val="Table Grid"/>
    <w:basedOn w:val="TableNormal"/>
    <w:uiPriority w:val="59"/>
    <w:rsid w:val="00D77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Tip/Note"/>
    <w:uiPriority w:val="20"/>
    <w:qFormat/>
    <w:rsid w:val="00BA3EDB"/>
    <w:rPr>
      <w:i/>
      <w:color w:val="C44500"/>
      <w:sz w:val="20"/>
    </w:rPr>
  </w:style>
  <w:style w:type="paragraph" w:customStyle="1" w:styleId="ICHeading1">
    <w:name w:val="IC_Heading1"/>
    <w:basedOn w:val="Normal"/>
    <w:next w:val="Normal"/>
    <w:qFormat/>
    <w:rsid w:val="00BA3EDB"/>
    <w:pPr>
      <w:keepNext/>
      <w:widowControl/>
      <w:shd w:val="clear" w:color="auto" w:fill="397A80"/>
      <w:tabs>
        <w:tab w:val="num" w:pos="1134"/>
      </w:tabs>
      <w:spacing w:before="60" w:after="60"/>
      <w:ind w:left="1134" w:right="0" w:hanging="1134"/>
    </w:pPr>
    <w:rPr>
      <w:rFonts w:eastAsia="Times New Roman" w:cs="Times New Roman"/>
      <w:color w:val="F2ECE5"/>
      <w:spacing w:val="4"/>
      <w:sz w:val="32"/>
      <w:szCs w:val="32"/>
      <w:lang w:val="en-AU"/>
    </w:rPr>
  </w:style>
  <w:style w:type="paragraph" w:customStyle="1" w:styleId="ICHeading2">
    <w:name w:val="IC_Heading2"/>
    <w:basedOn w:val="Normal"/>
    <w:next w:val="Normal"/>
    <w:qFormat/>
    <w:rsid w:val="00BA3EDB"/>
    <w:pPr>
      <w:keepNext/>
      <w:widowControl/>
      <w:tabs>
        <w:tab w:val="num" w:pos="1134"/>
      </w:tabs>
      <w:spacing w:before="60" w:after="60"/>
      <w:ind w:left="1134" w:right="0" w:hanging="1134"/>
    </w:pPr>
    <w:rPr>
      <w:rFonts w:eastAsia="Times New Roman" w:cs="Times New Roman"/>
      <w:color w:val="397A80"/>
      <w:spacing w:val="4"/>
      <w:sz w:val="28"/>
      <w:szCs w:val="28"/>
      <w:lang w:val="en-AU"/>
    </w:rPr>
  </w:style>
  <w:style w:type="paragraph" w:customStyle="1" w:styleId="ICHeading3">
    <w:name w:val="IC_Heading3"/>
    <w:basedOn w:val="ICHeading2"/>
    <w:next w:val="Normal"/>
    <w:rsid w:val="00BA3EDB"/>
    <w:pPr>
      <w:spacing w:before="240"/>
    </w:pPr>
    <w:rPr>
      <w:sz w:val="24"/>
    </w:rPr>
  </w:style>
  <w:style w:type="paragraph" w:customStyle="1" w:styleId="ICParaNumberedLvl4">
    <w:name w:val="IC_Para_Numbered_Lvl4"/>
    <w:basedOn w:val="Normal"/>
    <w:rsid w:val="00BA3EDB"/>
    <w:pPr>
      <w:widowControl/>
      <w:tabs>
        <w:tab w:val="num" w:pos="2268"/>
      </w:tabs>
      <w:spacing w:after="60"/>
      <w:ind w:left="2268" w:right="0" w:hanging="1134"/>
    </w:pPr>
    <w:rPr>
      <w:rFonts w:eastAsia="Times New Roman" w:cs="Times New Roman"/>
      <w:b/>
      <w:color w:val="595959" w:themeColor="text1" w:themeTint="A6"/>
      <w:spacing w:val="4"/>
      <w:lang w:val="en-AU"/>
    </w:rPr>
  </w:style>
  <w:style w:type="paragraph" w:styleId="BodyText">
    <w:name w:val="Body Text"/>
    <w:basedOn w:val="Normal"/>
    <w:link w:val="BodyTextChar"/>
    <w:uiPriority w:val="1"/>
    <w:qFormat/>
    <w:rsid w:val="00BA3EDB"/>
    <w:pPr>
      <w:spacing w:before="0" w:after="0"/>
      <w:ind w:left="640" w:right="0"/>
    </w:pPr>
  </w:style>
  <w:style w:type="character" w:customStyle="1" w:styleId="BodyTextChar">
    <w:name w:val="Body Text Char"/>
    <w:basedOn w:val="DefaultParagraphFont"/>
    <w:link w:val="BodyText"/>
    <w:uiPriority w:val="1"/>
    <w:rsid w:val="00BA3EDB"/>
    <w:rPr>
      <w:rFonts w:ascii="Calibri" w:eastAsia="Calibri" w:hAnsi="Calibri"/>
      <w:lang w:val="en-US"/>
    </w:rPr>
  </w:style>
  <w:style w:type="paragraph" w:styleId="Revision">
    <w:name w:val="Revision"/>
    <w:hidden/>
    <w:uiPriority w:val="99"/>
    <w:semiHidden/>
    <w:rsid w:val="00E01283"/>
    <w:pPr>
      <w:spacing w:after="0" w:line="240" w:lineRule="auto"/>
    </w:pPr>
    <w:rPr>
      <w:rFonts w:ascii="Calibri" w:eastAsia="Calibri" w:hAnsi="Calibri"/>
      <w:lang w:val="en-US"/>
    </w:rPr>
  </w:style>
  <w:style w:type="paragraph" w:customStyle="1" w:styleId="TableText">
    <w:name w:val="Table Text"/>
    <w:basedOn w:val="Normal"/>
    <w:uiPriority w:val="13"/>
    <w:qFormat/>
    <w:rsid w:val="00933779"/>
    <w:pPr>
      <w:widowControl/>
      <w:spacing w:before="60" w:after="60"/>
      <w:ind w:right="0"/>
    </w:pPr>
    <w:rPr>
      <w:rFonts w:ascii="Cambria" w:eastAsia="Cambria" w:hAnsi="Cambria" w:cs="Segoe UI"/>
      <w:sz w:val="18"/>
      <w:lang w:val="en-AU" w:eastAsia="en-AU"/>
    </w:rPr>
  </w:style>
  <w:style w:type="paragraph" w:customStyle="1" w:styleId="TableHeading">
    <w:name w:val="Table Heading"/>
    <w:basedOn w:val="TableText"/>
    <w:uiPriority w:val="14"/>
    <w:qFormat/>
    <w:rsid w:val="00933779"/>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e.gov.au/import/arrival/arrangements/training-accreditation" TargetMode="External"/><Relationship Id="rId13" Type="http://schemas.openxmlformats.org/officeDocument/2006/relationships/hyperlink" Target="http://www.agriculture.gov.au/import/arrival/clearance-inspection/documentary-requirements/non-commodity_information_requirements_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griculture.gov.au/import/arrival/arrangements/general-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griculture.gov.au/biosecurity-trade/import/online-services/biosecurity-port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iculture.gov.au/import/arrival/arrangements/requirements" TargetMode="External"/><Relationship Id="rId5" Type="http://schemas.openxmlformats.org/officeDocument/2006/relationships/webSettings" Target="webSettings.xml"/><Relationship Id="rId15" Type="http://schemas.openxmlformats.org/officeDocument/2006/relationships/hyperlink" Target="http://www.agriculture.gov.au/import/online-services/bicon" TargetMode="External"/><Relationship Id="rId10" Type="http://schemas.openxmlformats.org/officeDocument/2006/relationships/hyperlink" Target="http://www.agriculture.gov.au/import/arrival/arrangements/apply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griculture.gov.au/import/arrival/arrangements/requirements" TargetMode="External"/><Relationship Id="rId14" Type="http://schemas.openxmlformats.org/officeDocument/2006/relationships/hyperlink" Target="http://www.agriculture.gov.au/import/arrival/clearance-inspection/documentary-requirements/minimum-document-requirements-polic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EPsupport@agricultur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31CEAF84AB4295992059BACBFB35F2"/>
        <w:category>
          <w:name w:val="General"/>
          <w:gallery w:val="placeholder"/>
        </w:category>
        <w:types>
          <w:type w:val="bbPlcHdr"/>
        </w:types>
        <w:behaviors>
          <w:behavior w:val="content"/>
        </w:behaviors>
        <w:guid w:val="{9A07FC60-A2D9-40FB-9315-40FE133C73EF}"/>
      </w:docPartPr>
      <w:docPartBody>
        <w:p w:rsidR="00360440" w:rsidRDefault="00332B9F" w:rsidP="00332B9F">
          <w:pPr>
            <w:pStyle w:val="3D31CEAF84AB4295992059BACBFB35F2"/>
          </w:pPr>
          <w:r w:rsidRPr="00A8153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72720"/>
    <w:rsid w:val="002919AC"/>
    <w:rsid w:val="00332B9F"/>
    <w:rsid w:val="00360440"/>
    <w:rsid w:val="00372720"/>
    <w:rsid w:val="006A0075"/>
    <w:rsid w:val="00730394"/>
    <w:rsid w:val="00BD6B78"/>
    <w:rsid w:val="00C12B05"/>
    <w:rsid w:val="00E7733F"/>
    <w:rsid w:val="00FA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B9F"/>
    <w:rPr>
      <w:color w:val="808080"/>
    </w:rPr>
  </w:style>
  <w:style w:type="paragraph" w:customStyle="1" w:styleId="3D31CEAF84AB4295992059BACBFB35F2">
    <w:name w:val="3D31CEAF84AB4295992059BACBFB35F2"/>
    <w:rsid w:val="00332B9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A601F-CE27-49CD-A890-5E6EF465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Lodging NCCC consignments</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Lodging NCCC consignments</dc:title>
  <dc:creator>Department of Agriculture Fisheries and Forestry</dc:creator>
  <cp:lastModifiedBy>Nov, Amanda</cp:lastModifiedBy>
  <cp:revision>6</cp:revision>
  <cp:lastPrinted>2017-11-01T23:59:00Z</cp:lastPrinted>
  <dcterms:created xsi:type="dcterms:W3CDTF">2022-07-28T03:10:00Z</dcterms:created>
  <dcterms:modified xsi:type="dcterms:W3CDTF">2022-11-10T06:08:00Z</dcterms:modified>
</cp:coreProperties>
</file>