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595" w:rsidRDefault="005E496E" w:rsidP="00CC1595">
      <w:pPr>
        <w:pStyle w:val="Heading1"/>
        <w:spacing w:before="0" w:after="120" w:line="240" w:lineRule="auto"/>
        <w:rPr>
          <w:rFonts w:asciiTheme="minorHAnsi" w:hAnsiTheme="minorHAnsi"/>
        </w:rPr>
      </w:pPr>
      <w:r>
        <w:rPr>
          <w:noProof/>
          <w:lang w:eastAsia="en-AU"/>
        </w:rPr>
        <w:drawing>
          <wp:inline distT="0" distB="0" distL="0" distR="0" wp14:anchorId="1BB4B54F" wp14:editId="7E9C531D">
            <wp:extent cx="2400300" cy="693420"/>
            <wp:effectExtent l="0" t="0" r="0" b="0"/>
            <wp:docPr id="2" name="Picture 2" descr="Picture">
              <a:hlinkClick xmlns:a="http://schemas.openxmlformats.org/drawingml/2006/main" r:id="rId10" tgtFrame="&quot;_blank&quot;"/>
            </wp:docPr>
            <wp:cNvGraphicFramePr/>
            <a:graphic xmlns:a="http://schemas.openxmlformats.org/drawingml/2006/main">
              <a:graphicData uri="http://schemas.openxmlformats.org/drawingml/2006/picture">
                <pic:pic xmlns:pic="http://schemas.openxmlformats.org/drawingml/2006/picture">
                  <pic:nvPicPr>
                    <pic:cNvPr id="2" name="Picture 2" descr="Picture">
                      <a:hlinkClick r:id="rId10" tgtFrame="&quot;_blank&quot;"/>
                    </pic:cNvPr>
                    <pic:cNvPicPr/>
                  </pic:nvPicPr>
                  <pic:blipFill rotWithShape="1">
                    <a:blip r:embed="rId11">
                      <a:extLst>
                        <a:ext uri="{28A0092B-C50C-407E-A947-70E740481C1C}">
                          <a14:useLocalDpi xmlns:a14="http://schemas.microsoft.com/office/drawing/2010/main" val="0"/>
                        </a:ext>
                      </a:extLst>
                    </a:blip>
                    <a:srcRect l="5142" b="6736"/>
                    <a:stretch/>
                  </pic:blipFill>
                  <pic:spPr bwMode="auto">
                    <a:xfrm>
                      <a:off x="0" y="0"/>
                      <a:ext cx="2400300" cy="693420"/>
                    </a:xfrm>
                    <a:prstGeom prst="rect">
                      <a:avLst/>
                    </a:prstGeom>
                    <a:noFill/>
                    <a:ln>
                      <a:noFill/>
                    </a:ln>
                    <a:extLst>
                      <a:ext uri="{53640926-AAD7-44D8-BBD7-CCE9431645EC}">
                        <a14:shadowObscured xmlns:a14="http://schemas.microsoft.com/office/drawing/2010/main"/>
                      </a:ext>
                    </a:extLst>
                  </pic:spPr>
                </pic:pic>
              </a:graphicData>
            </a:graphic>
          </wp:inline>
        </w:drawing>
      </w:r>
    </w:p>
    <w:p w:rsidR="00CC1595" w:rsidRDefault="0079525E" w:rsidP="00CC1595">
      <w:pPr>
        <w:pStyle w:val="Heading1"/>
        <w:spacing w:before="120" w:after="120" w:line="240" w:lineRule="auto"/>
        <w:jc w:val="center"/>
        <w:rPr>
          <w:rFonts w:asciiTheme="minorHAnsi" w:hAnsiTheme="minorHAnsi"/>
        </w:rPr>
      </w:pPr>
      <w:r w:rsidRPr="00CC1595">
        <w:rPr>
          <w:rFonts w:asciiTheme="minorHAnsi" w:hAnsiTheme="minorHAnsi"/>
        </w:rPr>
        <w:t>Class 5 and 7</w:t>
      </w:r>
      <w:r w:rsidR="00CC1595">
        <w:rPr>
          <w:rFonts w:asciiTheme="minorHAnsi" w:hAnsiTheme="minorHAnsi"/>
        </w:rPr>
        <w:t xml:space="preserve"> containment level 3 and 4 approved arrangement </w:t>
      </w:r>
      <w:r w:rsidR="00315150" w:rsidRPr="00CC1595">
        <w:rPr>
          <w:rFonts w:asciiTheme="minorHAnsi" w:hAnsiTheme="minorHAnsi"/>
        </w:rPr>
        <w:t>site</w:t>
      </w:r>
    </w:p>
    <w:p w:rsidR="00197187" w:rsidRPr="00CC1595" w:rsidRDefault="00CC1595" w:rsidP="00CC1595">
      <w:pPr>
        <w:pStyle w:val="Heading1"/>
        <w:spacing w:before="120" w:after="120" w:line="240" w:lineRule="auto"/>
        <w:jc w:val="center"/>
        <w:rPr>
          <w:rFonts w:asciiTheme="minorHAnsi" w:hAnsiTheme="minorHAnsi"/>
          <w:sz w:val="32"/>
        </w:rPr>
      </w:pPr>
      <w:r>
        <w:rPr>
          <w:rFonts w:asciiTheme="minorHAnsi" w:hAnsiTheme="minorHAnsi"/>
        </w:rPr>
        <w:t>D</w:t>
      </w:r>
      <w:r w:rsidR="00F575B0" w:rsidRPr="00CC1595">
        <w:rPr>
          <w:rFonts w:asciiTheme="minorHAnsi" w:hAnsiTheme="minorHAnsi"/>
        </w:rPr>
        <w:t>ecommission checklist</w:t>
      </w:r>
    </w:p>
    <w:p w:rsidR="009C22C7" w:rsidRDefault="009C22C7" w:rsidP="00CC1595">
      <w:pPr>
        <w:autoSpaceDE w:val="0"/>
        <w:autoSpaceDN w:val="0"/>
        <w:adjustRightInd w:val="0"/>
        <w:spacing w:before="120" w:after="120" w:line="240" w:lineRule="auto"/>
      </w:pPr>
      <w:r w:rsidRPr="00CC1595">
        <w:t xml:space="preserve">This checklist is to be used by </w:t>
      </w:r>
      <w:r w:rsidR="00315150" w:rsidRPr="00CC1595">
        <w:t>B</w:t>
      </w:r>
      <w:r w:rsidR="001D1D7E" w:rsidRPr="00CC1595">
        <w:t xml:space="preserve">iosecurity </w:t>
      </w:r>
      <w:r w:rsidR="00315150" w:rsidRPr="00CC1595">
        <w:t>I</w:t>
      </w:r>
      <w:r w:rsidR="001D1D7E" w:rsidRPr="00CC1595">
        <w:t xml:space="preserve">ndustry </w:t>
      </w:r>
      <w:r w:rsidR="00315150" w:rsidRPr="00CC1595">
        <w:t>P</w:t>
      </w:r>
      <w:r w:rsidR="001D1D7E" w:rsidRPr="00CC1595">
        <w:t>articipants</w:t>
      </w:r>
      <w:r w:rsidRPr="00CC1595">
        <w:t>, who operate under the class: 95.1, 95.2, 95.3 and 95.4 classified as PC3 or PC4 facility or class 5 and 7 containment level 3 or 4 criteria (</w:t>
      </w:r>
      <w:r w:rsidR="00315150" w:rsidRPr="00CC1595">
        <w:t xml:space="preserve">BC </w:t>
      </w:r>
      <w:r w:rsidRPr="00CC1595">
        <w:t xml:space="preserve">or </w:t>
      </w:r>
      <w:r w:rsidR="002527F4" w:rsidRPr="00CC1595">
        <w:t xml:space="preserve">BIC </w:t>
      </w:r>
      <w:r w:rsidR="00315150" w:rsidRPr="00CC1595">
        <w:t>requirements</w:t>
      </w:r>
      <w:r w:rsidRPr="00CC1595">
        <w:t xml:space="preserve">), when decommissioning their </w:t>
      </w:r>
      <w:r w:rsidR="00CC1595">
        <w:t>approved arrangement</w:t>
      </w:r>
      <w:r w:rsidR="00315150" w:rsidRPr="00CC1595">
        <w:t xml:space="preserve"> sites</w:t>
      </w:r>
      <w:r w:rsidRPr="00CC1595">
        <w:t>.</w:t>
      </w:r>
    </w:p>
    <w:tbl>
      <w:tblPr>
        <w:tblStyle w:val="TableGrid"/>
        <w:tblW w:w="0" w:type="auto"/>
        <w:tblLook w:val="04A0" w:firstRow="1" w:lastRow="0" w:firstColumn="1" w:lastColumn="0" w:noHBand="0" w:noVBand="1"/>
      </w:tblPr>
      <w:tblGrid>
        <w:gridCol w:w="4508"/>
        <w:gridCol w:w="4508"/>
      </w:tblGrid>
      <w:tr w:rsidR="00CC1595" w:rsidRPr="00CC1595" w:rsidTr="0030483E">
        <w:tc>
          <w:tcPr>
            <w:tcW w:w="4508" w:type="dxa"/>
          </w:tcPr>
          <w:p w:rsidR="00CC1595" w:rsidRPr="00CC1595" w:rsidRDefault="00CC1595" w:rsidP="00CC1595">
            <w:pPr>
              <w:autoSpaceDE w:val="0"/>
              <w:autoSpaceDN w:val="0"/>
              <w:adjustRightInd w:val="0"/>
              <w:spacing w:before="120" w:after="120"/>
              <w:rPr>
                <w:b/>
              </w:rPr>
            </w:pPr>
            <w:r w:rsidRPr="00CC1595">
              <w:rPr>
                <w:b/>
              </w:rPr>
              <w:t>Legal entity name</w:t>
            </w:r>
          </w:p>
        </w:tc>
        <w:tc>
          <w:tcPr>
            <w:tcW w:w="4508" w:type="dxa"/>
          </w:tcPr>
          <w:p w:rsidR="00CC1595" w:rsidRPr="00CC1595" w:rsidRDefault="00CC1595" w:rsidP="00CC1595">
            <w:pPr>
              <w:autoSpaceDE w:val="0"/>
              <w:autoSpaceDN w:val="0"/>
              <w:adjustRightInd w:val="0"/>
              <w:spacing w:before="120" w:after="120"/>
            </w:pPr>
          </w:p>
        </w:tc>
      </w:tr>
      <w:tr w:rsidR="00CC1595" w:rsidRPr="00CC1595" w:rsidTr="0030483E">
        <w:tc>
          <w:tcPr>
            <w:tcW w:w="4508" w:type="dxa"/>
          </w:tcPr>
          <w:p w:rsidR="00CC1595" w:rsidRPr="00CC1595" w:rsidRDefault="00CC1595" w:rsidP="00CC1595">
            <w:pPr>
              <w:autoSpaceDE w:val="0"/>
              <w:autoSpaceDN w:val="0"/>
              <w:adjustRightInd w:val="0"/>
              <w:spacing w:before="120" w:after="120"/>
              <w:rPr>
                <w:b/>
              </w:rPr>
            </w:pPr>
            <w:r w:rsidRPr="00CC1595">
              <w:rPr>
                <w:b/>
              </w:rPr>
              <w:t>Approved arrangement reference number</w:t>
            </w:r>
          </w:p>
        </w:tc>
        <w:tc>
          <w:tcPr>
            <w:tcW w:w="4508" w:type="dxa"/>
          </w:tcPr>
          <w:p w:rsidR="00CC1595" w:rsidRPr="00CC1595" w:rsidRDefault="00CC1595" w:rsidP="00CC1595">
            <w:pPr>
              <w:autoSpaceDE w:val="0"/>
              <w:autoSpaceDN w:val="0"/>
              <w:adjustRightInd w:val="0"/>
              <w:spacing w:before="120" w:after="120"/>
            </w:pPr>
          </w:p>
        </w:tc>
      </w:tr>
      <w:tr w:rsidR="00CC1595" w:rsidRPr="00CC1595" w:rsidTr="0030483E">
        <w:tc>
          <w:tcPr>
            <w:tcW w:w="4508" w:type="dxa"/>
          </w:tcPr>
          <w:p w:rsidR="00CC1595" w:rsidRPr="00CC1595" w:rsidRDefault="00CC1595" w:rsidP="00CC1595">
            <w:pPr>
              <w:autoSpaceDE w:val="0"/>
              <w:autoSpaceDN w:val="0"/>
              <w:adjustRightInd w:val="0"/>
              <w:spacing w:before="120" w:after="120"/>
              <w:rPr>
                <w:b/>
              </w:rPr>
            </w:pPr>
            <w:r w:rsidRPr="00CC1595">
              <w:rPr>
                <w:b/>
              </w:rPr>
              <w:t>Physical address</w:t>
            </w:r>
          </w:p>
        </w:tc>
        <w:tc>
          <w:tcPr>
            <w:tcW w:w="4508" w:type="dxa"/>
          </w:tcPr>
          <w:p w:rsidR="00CC1595" w:rsidRPr="00CC1595" w:rsidRDefault="00CC1595" w:rsidP="00CC1595">
            <w:pPr>
              <w:autoSpaceDE w:val="0"/>
              <w:autoSpaceDN w:val="0"/>
              <w:adjustRightInd w:val="0"/>
              <w:spacing w:before="120" w:after="120"/>
            </w:pPr>
          </w:p>
        </w:tc>
      </w:tr>
      <w:tr w:rsidR="00CC1595" w:rsidRPr="00CC1595" w:rsidTr="0030483E">
        <w:tc>
          <w:tcPr>
            <w:tcW w:w="4508" w:type="dxa"/>
          </w:tcPr>
          <w:p w:rsidR="00CC1595" w:rsidRPr="00CC1595" w:rsidRDefault="00CC1595" w:rsidP="00CC1595">
            <w:pPr>
              <w:autoSpaceDE w:val="0"/>
              <w:autoSpaceDN w:val="0"/>
              <w:adjustRightInd w:val="0"/>
              <w:spacing w:before="120" w:after="120"/>
              <w:rPr>
                <w:b/>
              </w:rPr>
            </w:pPr>
            <w:r w:rsidRPr="00CC1595">
              <w:rPr>
                <w:b/>
              </w:rPr>
              <w:t>Person who completed this checklist</w:t>
            </w:r>
          </w:p>
        </w:tc>
        <w:tc>
          <w:tcPr>
            <w:tcW w:w="4508" w:type="dxa"/>
          </w:tcPr>
          <w:p w:rsidR="00CC1595" w:rsidRPr="00CC1595" w:rsidRDefault="00CC1595" w:rsidP="00CC1595">
            <w:pPr>
              <w:autoSpaceDE w:val="0"/>
              <w:autoSpaceDN w:val="0"/>
              <w:adjustRightInd w:val="0"/>
              <w:spacing w:before="120" w:after="120"/>
            </w:pPr>
          </w:p>
        </w:tc>
      </w:tr>
    </w:tbl>
    <w:p w:rsidR="00197187" w:rsidRPr="00CC1595" w:rsidRDefault="00197187" w:rsidP="00CC1595">
      <w:pPr>
        <w:pStyle w:val="Heading2"/>
        <w:spacing w:before="120" w:beforeAutospacing="0" w:after="120" w:afterAutospacing="0"/>
        <w:jc w:val="left"/>
        <w:rPr>
          <w:rFonts w:asciiTheme="minorHAnsi" w:hAnsiTheme="minorHAnsi"/>
          <w:color w:val="365F91" w:themeColor="accent1" w:themeShade="BF"/>
        </w:rPr>
      </w:pPr>
      <w:r w:rsidRPr="00CC1595">
        <w:rPr>
          <w:rFonts w:asciiTheme="minorHAnsi" w:hAnsiTheme="minorHAnsi"/>
          <w:color w:val="365F91" w:themeColor="accent1" w:themeShade="BF"/>
        </w:rPr>
        <w:t xml:space="preserve">Decommission </w:t>
      </w:r>
      <w:r w:rsidR="000B07BF" w:rsidRPr="00CC1595">
        <w:rPr>
          <w:rFonts w:asciiTheme="minorHAnsi" w:hAnsiTheme="minorHAnsi"/>
          <w:color w:val="365F91" w:themeColor="accent1" w:themeShade="BF"/>
        </w:rPr>
        <w:t>p</w:t>
      </w:r>
      <w:r w:rsidRPr="00CC1595">
        <w:rPr>
          <w:rFonts w:asciiTheme="minorHAnsi" w:hAnsiTheme="minorHAnsi"/>
          <w:color w:val="365F91" w:themeColor="accent1" w:themeShade="BF"/>
        </w:rPr>
        <w:t xml:space="preserve">rocesses and </w:t>
      </w:r>
      <w:r w:rsidR="000B07BF" w:rsidRPr="00CC1595">
        <w:rPr>
          <w:rFonts w:asciiTheme="minorHAnsi" w:hAnsiTheme="minorHAnsi"/>
          <w:color w:val="365F91" w:themeColor="accent1" w:themeShade="BF"/>
        </w:rPr>
        <w:t>c</w:t>
      </w:r>
      <w:r w:rsidRPr="00CC1595">
        <w:rPr>
          <w:rFonts w:asciiTheme="minorHAnsi" w:hAnsiTheme="minorHAnsi"/>
          <w:color w:val="365F91" w:themeColor="accent1" w:themeShade="BF"/>
        </w:rPr>
        <w:t xml:space="preserve">ompletion </w:t>
      </w:r>
      <w:r w:rsidR="000B07BF" w:rsidRPr="00CC1595">
        <w:rPr>
          <w:rFonts w:asciiTheme="minorHAnsi" w:hAnsiTheme="minorHAnsi"/>
          <w:color w:val="365F91" w:themeColor="accent1" w:themeShade="BF"/>
        </w:rPr>
        <w:t>s</w:t>
      </w:r>
      <w:r w:rsidRPr="00CC1595">
        <w:rPr>
          <w:rFonts w:asciiTheme="minorHAnsi" w:hAnsiTheme="minorHAnsi"/>
          <w:color w:val="365F91" w:themeColor="accent1" w:themeShade="BF"/>
        </w:rPr>
        <w:t>chedule</w:t>
      </w:r>
    </w:p>
    <w:p w:rsidR="00197187" w:rsidRPr="00CC1595" w:rsidRDefault="00197187" w:rsidP="00CC1595">
      <w:pPr>
        <w:shd w:val="clear" w:color="auto" w:fill="FFFFFF"/>
        <w:spacing w:before="120" w:after="120" w:line="240" w:lineRule="auto"/>
        <w:rPr>
          <w:rFonts w:eastAsia="Times New Roman" w:cs="Times New Roman"/>
          <w:szCs w:val="21"/>
          <w:lang w:eastAsia="en-AU"/>
        </w:rPr>
      </w:pPr>
      <w:r w:rsidRPr="00CC1595">
        <w:rPr>
          <w:rFonts w:eastAsia="Times New Roman" w:cs="Times New Roman"/>
          <w:bCs/>
          <w:lang w:eastAsia="en-AU"/>
        </w:rPr>
        <w:t>The following steps must be followed to undertake the refurbishment or decommissioning of a</w:t>
      </w:r>
      <w:r w:rsidR="00315150" w:rsidRPr="00CC1595">
        <w:rPr>
          <w:rFonts w:eastAsia="Times New Roman" w:cs="Times New Roman"/>
          <w:bCs/>
          <w:lang w:eastAsia="en-AU"/>
        </w:rPr>
        <w:t>n</w:t>
      </w:r>
      <w:r w:rsidRPr="00CC1595">
        <w:rPr>
          <w:rFonts w:eastAsia="Times New Roman" w:cs="Times New Roman"/>
          <w:bCs/>
          <w:lang w:eastAsia="en-AU"/>
        </w:rPr>
        <w:t xml:space="preserve"> </w:t>
      </w:r>
      <w:r w:rsidR="00CC1595">
        <w:rPr>
          <w:rFonts w:eastAsia="Times New Roman" w:cs="Times New Roman"/>
          <w:bCs/>
          <w:lang w:eastAsia="en-AU"/>
        </w:rPr>
        <w:t>approved arrangement</w:t>
      </w:r>
      <w:r w:rsidR="00315150" w:rsidRPr="00CC1595">
        <w:rPr>
          <w:rFonts w:eastAsia="Times New Roman" w:cs="Times New Roman"/>
          <w:bCs/>
          <w:lang w:eastAsia="en-AU"/>
        </w:rPr>
        <w:t xml:space="preserve"> site </w:t>
      </w:r>
      <w:r w:rsidRPr="00CC1595">
        <w:rPr>
          <w:rFonts w:eastAsia="Times New Roman" w:cs="Times New Roman"/>
          <w:bCs/>
          <w:lang w:eastAsia="en-AU"/>
        </w:rPr>
        <w:t xml:space="preserve">in accordance with </w:t>
      </w:r>
      <w:r w:rsidR="00717C44" w:rsidRPr="00CC1595">
        <w:rPr>
          <w:rFonts w:eastAsia="Times New Roman" w:cs="Times New Roman"/>
          <w:bCs/>
          <w:lang w:eastAsia="en-AU"/>
        </w:rPr>
        <w:t xml:space="preserve">the Department of Agriculture </w:t>
      </w:r>
      <w:r w:rsidR="00315150" w:rsidRPr="00CC1595">
        <w:rPr>
          <w:rFonts w:eastAsia="Times New Roman" w:cs="Times New Roman"/>
          <w:bCs/>
          <w:lang w:eastAsia="en-AU"/>
        </w:rPr>
        <w:t xml:space="preserve">and Water Resources </w:t>
      </w:r>
      <w:r w:rsidR="00CF6F19" w:rsidRPr="00CC1595">
        <w:rPr>
          <w:rFonts w:eastAsia="Times New Roman" w:cs="Times New Roman"/>
          <w:bCs/>
          <w:lang w:eastAsia="en-AU"/>
        </w:rPr>
        <w:t>requirements</w:t>
      </w:r>
      <w:r w:rsidR="00F13DC7" w:rsidRPr="00CC1595">
        <w:rPr>
          <w:rFonts w:eastAsia="Times New Roman" w:cs="Times New Roman"/>
          <w:bCs/>
          <w:lang w:eastAsia="en-AU"/>
        </w:rPr>
        <w:t>:</w:t>
      </w:r>
    </w:p>
    <w:p w:rsidR="00197187" w:rsidRPr="00CC1595" w:rsidRDefault="00DF78AD" w:rsidP="00CC1595">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sidRPr="00CC1595">
        <w:rPr>
          <w:rFonts w:eastAsia="Times New Roman" w:cs="Times New Roman"/>
          <w:szCs w:val="21"/>
          <w:lang w:eastAsia="en-AU"/>
        </w:rPr>
        <w:t xml:space="preserve">a </w:t>
      </w:r>
      <w:r w:rsidR="00197187" w:rsidRPr="00CC1595">
        <w:rPr>
          <w:rFonts w:eastAsia="Times New Roman" w:cs="Times New Roman"/>
          <w:szCs w:val="21"/>
          <w:lang w:eastAsia="en-AU"/>
        </w:rPr>
        <w:t xml:space="preserve">submission must be provided to </w:t>
      </w:r>
      <w:r w:rsidR="00717C44" w:rsidRPr="00CC1595">
        <w:rPr>
          <w:rFonts w:eastAsia="Times New Roman" w:cs="Times New Roman"/>
          <w:szCs w:val="21"/>
          <w:lang w:eastAsia="en-AU"/>
        </w:rPr>
        <w:t xml:space="preserve">the department </w:t>
      </w:r>
      <w:r w:rsidR="00197187" w:rsidRPr="00CC1595">
        <w:rPr>
          <w:rFonts w:eastAsia="Times New Roman" w:cs="Times New Roman"/>
          <w:szCs w:val="21"/>
          <w:lang w:eastAsia="en-AU"/>
        </w:rPr>
        <w:t>detailing the schedule for completion of the listed processes </w:t>
      </w:r>
    </w:p>
    <w:p w:rsidR="00197187" w:rsidRPr="00CC1595" w:rsidRDefault="00DF78AD" w:rsidP="00CC1595">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sidRPr="00CC1595">
        <w:rPr>
          <w:rFonts w:eastAsia="Times New Roman" w:cs="Times New Roman"/>
          <w:szCs w:val="21"/>
          <w:lang w:eastAsia="en-AU"/>
        </w:rPr>
        <w:t xml:space="preserve">detailed </w:t>
      </w:r>
      <w:r w:rsidR="00197187" w:rsidRPr="00CC1595">
        <w:rPr>
          <w:rFonts w:eastAsia="Times New Roman" w:cs="Times New Roman"/>
          <w:szCs w:val="21"/>
          <w:lang w:eastAsia="en-AU"/>
        </w:rPr>
        <w:t>procedures for completion of each step must be outlined in the submission</w:t>
      </w:r>
    </w:p>
    <w:p w:rsidR="00197187" w:rsidRPr="00CC1595" w:rsidRDefault="00DF78AD" w:rsidP="00CC1595">
      <w:pPr>
        <w:numPr>
          <w:ilvl w:val="0"/>
          <w:numId w:val="1"/>
        </w:numPr>
        <w:shd w:val="clear" w:color="auto" w:fill="FFFFFF"/>
        <w:tabs>
          <w:tab w:val="clear" w:pos="720"/>
          <w:tab w:val="num" w:pos="993"/>
        </w:tabs>
        <w:spacing w:before="120" w:after="120" w:line="240" w:lineRule="auto"/>
        <w:ind w:left="851"/>
        <w:rPr>
          <w:rFonts w:eastAsia="Times New Roman" w:cs="Times New Roman"/>
          <w:szCs w:val="21"/>
          <w:lang w:eastAsia="en-AU"/>
        </w:rPr>
      </w:pPr>
      <w:r w:rsidRPr="00CC1595">
        <w:rPr>
          <w:rFonts w:eastAsia="Times New Roman" w:cs="Times New Roman"/>
          <w:szCs w:val="21"/>
          <w:lang w:eastAsia="en-AU"/>
        </w:rPr>
        <w:t xml:space="preserve">documentary </w:t>
      </w:r>
      <w:r w:rsidR="00197187" w:rsidRPr="00CC1595">
        <w:rPr>
          <w:rFonts w:eastAsia="Times New Roman" w:cs="Times New Roman"/>
          <w:szCs w:val="21"/>
          <w:lang w:eastAsia="en-AU"/>
        </w:rPr>
        <w:t>evidence of the completion of each step must be kept for audit purposes</w:t>
      </w:r>
      <w:r w:rsidR="00F76643" w:rsidRPr="00CC1595">
        <w:rPr>
          <w:rFonts w:eastAsia="Times New Roman" w:cs="Times New Roman"/>
          <w:szCs w:val="21"/>
          <w:lang w:eastAsia="en-AU"/>
        </w:rPr>
        <w:t>.</w:t>
      </w:r>
    </w:p>
    <w:tbl>
      <w:tblPr>
        <w:tblW w:w="0" w:type="auto"/>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8359"/>
        <w:gridCol w:w="657"/>
      </w:tblGrid>
      <w:tr w:rsidR="00CC1595" w:rsidRPr="00CC1595" w:rsidTr="004A62F7">
        <w:trPr>
          <w:trHeight w:val="660"/>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tcPr>
          <w:p w:rsidR="00CC1595" w:rsidRDefault="00CC1595" w:rsidP="00CC1595">
            <w:pPr>
              <w:spacing w:before="120" w:after="120" w:line="240" w:lineRule="auto"/>
              <w:rPr>
                <w:rFonts w:eastAsia="Times New Roman" w:cs="Times New Roman"/>
                <w:b/>
                <w:bCs/>
                <w:lang w:eastAsia="en-AU"/>
              </w:rPr>
            </w:pPr>
            <w:r w:rsidRPr="00CC1595">
              <w:rPr>
                <w:rFonts w:eastAsia="Times New Roman" w:cs="Times New Roman"/>
                <w:b/>
                <w:bCs/>
                <w:lang w:eastAsia="en-AU"/>
              </w:rPr>
              <w:t>Transfer or destroy (by an approved method) material subject to biosecurity control.</w:t>
            </w:r>
          </w:p>
          <w:p w:rsidR="00CC1595" w:rsidRPr="00CC1595" w:rsidRDefault="00CC1595" w:rsidP="00CC1595">
            <w:pPr>
              <w:spacing w:before="120" w:after="120" w:line="240" w:lineRule="auto"/>
              <w:ind w:left="-31"/>
              <w:rPr>
                <w:rFonts w:eastAsia="Times New Roman" w:cs="Times New Roman"/>
                <w:szCs w:val="21"/>
                <w:lang w:eastAsia="en-AU"/>
              </w:rPr>
            </w:pPr>
            <w:r w:rsidRPr="00CC1595">
              <w:rPr>
                <w:rFonts w:eastAsia="Times New Roman" w:cs="Times New Roman"/>
                <w:szCs w:val="21"/>
                <w:lang w:eastAsia="en-AU"/>
              </w:rPr>
              <w:t xml:space="preserve">If </w:t>
            </w:r>
            <w:r w:rsidRPr="00CC1595">
              <w:rPr>
                <w:rFonts w:eastAsia="Times New Roman" w:cs="Times New Roman"/>
                <w:bCs/>
                <w:lang w:eastAsia="en-AU"/>
              </w:rPr>
              <w:t>transfer</w:t>
            </w:r>
            <w:r w:rsidRPr="00CC1595">
              <w:rPr>
                <w:rFonts w:eastAsia="Times New Roman" w:cs="Times New Roman"/>
                <w:szCs w:val="21"/>
                <w:lang w:eastAsia="en-AU"/>
              </w:rPr>
              <w:t xml:space="preserve"> of any goods subject to biosecurity control to another </w:t>
            </w:r>
            <w:r>
              <w:rPr>
                <w:rFonts w:eastAsia="Times New Roman" w:cs="Times New Roman"/>
                <w:szCs w:val="21"/>
                <w:lang w:eastAsia="en-AU"/>
              </w:rPr>
              <w:t>approved arrangement</w:t>
            </w:r>
            <w:r w:rsidRPr="00CC1595">
              <w:rPr>
                <w:rFonts w:eastAsia="Times New Roman" w:cs="Times New Roman"/>
                <w:szCs w:val="21"/>
                <w:lang w:eastAsia="en-AU"/>
              </w:rPr>
              <w:t xml:space="preserve"> site is required: </w:t>
            </w:r>
          </w:p>
          <w:p w:rsidR="00CC1595" w:rsidRPr="00CC1595" w:rsidRDefault="00CC1595" w:rsidP="00CC1595">
            <w:pPr>
              <w:pStyle w:val="ListParagraph"/>
              <w:numPr>
                <w:ilvl w:val="0"/>
                <w:numId w:val="14"/>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 xml:space="preserve">a transport plan detailing how the goods will be taken from the site to the new site. This plan will need to be submitted to </w:t>
            </w:r>
            <w:hyperlink r:id="rId12" w:history="1">
              <w:r w:rsidRPr="00CC1595">
                <w:rPr>
                  <w:rStyle w:val="Hyperlink"/>
                </w:rPr>
                <w:t>Audit Services</w:t>
              </w:r>
            </w:hyperlink>
            <w:r w:rsidRPr="00CC1595">
              <w:t xml:space="preserve"> </w:t>
            </w:r>
            <w:r w:rsidRPr="00CC1595">
              <w:rPr>
                <w:rFonts w:eastAsia="Times New Roman" w:cs="Times New Roman"/>
                <w:szCs w:val="21"/>
                <w:lang w:eastAsia="en-AU"/>
              </w:rPr>
              <w:t xml:space="preserve">for assessment. The plan needs to ensure the following requirements are met: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the name of the </w:t>
            </w:r>
            <w:r>
              <w:rPr>
                <w:rFonts w:eastAsia="Times New Roman" w:cs="Times New Roman"/>
                <w:szCs w:val="21"/>
                <w:lang w:eastAsia="en-AU"/>
              </w:rPr>
              <w:t>biosecurity industry participant</w:t>
            </w:r>
            <w:r w:rsidRPr="00CC1595">
              <w:rPr>
                <w:rFonts w:eastAsia="Times New Roman" w:cs="Times New Roman"/>
                <w:szCs w:val="21"/>
                <w:lang w:eastAsia="en-AU"/>
              </w:rPr>
              <w:t xml:space="preserve"> or Accredited Person responsible for the transfer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the name and </w:t>
            </w:r>
            <w:r w:rsidR="003526C7">
              <w:rPr>
                <w:rFonts w:eastAsia="Times New Roman" w:cs="Times New Roman"/>
                <w:szCs w:val="21"/>
                <w:lang w:eastAsia="en-AU"/>
              </w:rPr>
              <w:t>approved arrangement reference n</w:t>
            </w:r>
            <w:r w:rsidRPr="00CC1595">
              <w:rPr>
                <w:rFonts w:eastAsia="Times New Roman" w:cs="Times New Roman"/>
                <w:szCs w:val="21"/>
                <w:lang w:eastAsia="en-AU"/>
              </w:rPr>
              <w:t>umber for the receiving site</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transpo</w:t>
            </w:r>
            <w:r>
              <w:rPr>
                <w:rFonts w:eastAsia="Times New Roman" w:cs="Times New Roman"/>
                <w:szCs w:val="21"/>
                <w:lang w:eastAsia="en-AU"/>
              </w:rPr>
              <w:t>rt company name (if applicable)</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the transport route is the most direct route between the two sites,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the route taken is on sealed roads only, and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what will happen in the event of an accidental spill of the goods subject to biosecurity control and what equipment will be used?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method of containment to prevent exposure to the external environment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 xml:space="preserve">procedures to ensure that the driver is made aware of the conditions relating to the movement of goods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lastRenderedPageBreak/>
              <w:t xml:space="preserve">contingency plan for transportation </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b/>
                <w:bCs/>
                <w:lang w:eastAsia="en-AU"/>
              </w:rPr>
            </w:pPr>
            <w:r w:rsidRPr="00CC1595">
              <w:rPr>
                <w:rFonts w:eastAsia="Times New Roman" w:cs="Times New Roman"/>
                <w:szCs w:val="21"/>
                <w:lang w:eastAsia="en-AU"/>
              </w:rPr>
              <w:t>the records that will be kept including:</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date and time goods left old AA site and arrived at new AA site</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type of goods transferred</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quantity</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date of transfer</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transport provider</w:t>
            </w:r>
          </w:p>
          <w:p w:rsidR="00CC1595" w:rsidRPr="00CC1595" w:rsidRDefault="00CC1595" w:rsidP="00CC1595">
            <w:pPr>
              <w:pStyle w:val="ListParagraph"/>
              <w:numPr>
                <w:ilvl w:val="0"/>
                <w:numId w:val="14"/>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 xml:space="preserve">transfer must be to </w:t>
            </w:r>
            <w:r w:rsidR="003526C7">
              <w:rPr>
                <w:rFonts w:eastAsia="Times New Roman" w:cs="Times New Roman"/>
                <w:szCs w:val="21"/>
                <w:lang w:eastAsia="en-AU"/>
              </w:rPr>
              <w:t xml:space="preserve">a </w:t>
            </w:r>
            <w:r w:rsidRPr="00CC1595">
              <w:rPr>
                <w:rFonts w:eastAsia="Times New Roman" w:cs="Times New Roman"/>
                <w:szCs w:val="21"/>
                <w:lang w:eastAsia="en-AU"/>
              </w:rPr>
              <w:t>site of a containment level equal to or higher than required</w:t>
            </w:r>
          </w:p>
          <w:p w:rsidR="00CC1595" w:rsidRPr="00CC1595" w:rsidRDefault="00CC1595" w:rsidP="00CC1595">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in higher risk circumstances the department may require the transport process to be carried out under direct departmental supervision.</w:t>
            </w:r>
          </w:p>
          <w:p w:rsidR="00CC1595" w:rsidRPr="00CC1595" w:rsidRDefault="003526C7" w:rsidP="00CC1595">
            <w:pPr>
              <w:spacing w:before="120" w:after="120" w:line="240" w:lineRule="auto"/>
              <w:rPr>
                <w:rFonts w:eastAsia="Times New Roman" w:cs="Times New Roman"/>
                <w:szCs w:val="21"/>
                <w:lang w:eastAsia="en-AU"/>
              </w:rPr>
            </w:pPr>
            <w:r>
              <w:rPr>
                <w:rFonts w:eastAsia="Times New Roman" w:cs="Times New Roman"/>
                <w:szCs w:val="21"/>
                <w:lang w:eastAsia="en-AU"/>
              </w:rPr>
              <w:t>In the case of class 5</w:t>
            </w:r>
            <w:r w:rsidR="00CC1595" w:rsidRPr="00CC1595">
              <w:rPr>
                <w:rFonts w:eastAsia="Times New Roman" w:cs="Times New Roman"/>
                <w:szCs w:val="21"/>
                <w:lang w:eastAsia="en-AU"/>
              </w:rPr>
              <w:t xml:space="preserve"> sites it will be a requirement that the approved arrangements section be advised for further direction.</w:t>
            </w:r>
          </w:p>
          <w:p w:rsidR="00CC1595" w:rsidRPr="00CC1595" w:rsidRDefault="00CC1595" w:rsidP="00CC1595">
            <w:pPr>
              <w:spacing w:before="120" w:after="120" w:line="240" w:lineRule="auto"/>
              <w:rPr>
                <w:rFonts w:eastAsia="Times New Roman" w:cs="Times New Roman"/>
                <w:b/>
                <w:bCs/>
                <w:lang w:eastAsia="en-AU"/>
              </w:rPr>
            </w:pPr>
            <w:r w:rsidRPr="00CC1595">
              <w:rPr>
                <w:rFonts w:eastAsia="Times New Roman" w:cs="Times New Roman"/>
                <w:lang w:eastAsia="en-AU"/>
              </w:rPr>
              <w:t>Refer to the driver and accredited person’s checklist on the department’s website (under question:</w:t>
            </w:r>
            <w:r w:rsidRPr="00CC1595">
              <w:rPr>
                <w:rFonts w:eastAsia="Times New Roman" w:cs="Times New Roman"/>
                <w:b/>
                <w:bCs/>
                <w:color w:val="284E36"/>
                <w:lang w:eastAsia="en-AU"/>
              </w:rPr>
              <w:t xml:space="preserve"> </w:t>
            </w:r>
            <w:r w:rsidRPr="00CC1595">
              <w:rPr>
                <w:rFonts w:eastAsia="Times New Roman" w:cs="Times New Roman"/>
                <w:bCs/>
                <w:lang w:eastAsia="en-AU"/>
              </w:rPr>
              <w:t xml:space="preserve">What if I need to move goods subject to biosecurity control from one </w:t>
            </w:r>
            <w:r w:rsidR="003526C7">
              <w:rPr>
                <w:rFonts w:eastAsia="Times New Roman" w:cs="Times New Roman"/>
                <w:bCs/>
                <w:lang w:eastAsia="en-AU"/>
              </w:rPr>
              <w:t xml:space="preserve">approved arrangement </w:t>
            </w:r>
            <w:r w:rsidRPr="00CC1595">
              <w:rPr>
                <w:rFonts w:eastAsia="Times New Roman" w:cs="Times New Roman"/>
                <w:bCs/>
                <w:lang w:eastAsia="en-AU"/>
              </w:rPr>
              <w:t xml:space="preserve">site to another </w:t>
            </w:r>
            <w:r w:rsidR="003526C7">
              <w:rPr>
                <w:rFonts w:eastAsia="Times New Roman" w:cs="Times New Roman"/>
                <w:bCs/>
                <w:lang w:eastAsia="en-AU"/>
              </w:rPr>
              <w:t>approve arrangement</w:t>
            </w:r>
            <w:r w:rsidRPr="00CC1595">
              <w:rPr>
                <w:rFonts w:eastAsia="Times New Roman" w:cs="Times New Roman"/>
                <w:bCs/>
                <w:lang w:eastAsia="en-AU"/>
              </w:rPr>
              <w:t xml:space="preserve"> site?).</w:t>
            </w:r>
          </w:p>
          <w:p w:rsidR="00CC1595" w:rsidRPr="00CC1595" w:rsidRDefault="003526C7" w:rsidP="00CC1595">
            <w:pPr>
              <w:pStyle w:val="ListParagraph"/>
              <w:numPr>
                <w:ilvl w:val="1"/>
                <w:numId w:val="16"/>
              </w:numPr>
              <w:spacing w:before="120" w:after="120" w:line="240" w:lineRule="auto"/>
              <w:ind w:left="1103"/>
              <w:contextualSpacing w:val="0"/>
              <w:rPr>
                <w:rFonts w:eastAsia="Times New Roman" w:cs="Times New Roman"/>
                <w:b/>
                <w:bCs/>
                <w:lang w:eastAsia="en-AU"/>
              </w:rPr>
            </w:pPr>
            <w:r w:rsidRPr="00CC1595">
              <w:rPr>
                <w:rFonts w:eastAsia="Times New Roman" w:cs="Times New Roman"/>
                <w:szCs w:val="21"/>
                <w:lang w:eastAsia="en-AU"/>
              </w:rPr>
              <w:t xml:space="preserve">transport </w:t>
            </w:r>
            <w:r w:rsidR="00CC1595" w:rsidRPr="00CC1595">
              <w:rPr>
                <w:rFonts w:eastAsia="Times New Roman" w:cs="Times New Roman"/>
                <w:szCs w:val="21"/>
                <w:lang w:eastAsia="en-AU"/>
              </w:rPr>
              <w:t>paths (including map) to be provided. Where goods subject to biosecurity control are to be destroyed (now biosecurity waste)</w:t>
            </w:r>
            <w:r>
              <w:rPr>
                <w:rFonts w:eastAsia="Times New Roman" w:cs="Times New Roman"/>
                <w:szCs w:val="21"/>
                <w:lang w:eastAsia="en-AU"/>
              </w:rPr>
              <w:t xml:space="preserve"> </w:t>
            </w:r>
            <w:r w:rsidR="00CC1595" w:rsidRPr="00CC1595">
              <w:rPr>
                <w:rFonts w:eastAsia="Times New Roman" w:cs="Times New Roman"/>
                <w:szCs w:val="21"/>
                <w:lang w:eastAsia="en-AU"/>
              </w:rPr>
              <w:t>-</w:t>
            </w:r>
            <w:r>
              <w:rPr>
                <w:rFonts w:eastAsia="Times New Roman" w:cs="Times New Roman"/>
                <w:szCs w:val="21"/>
                <w:lang w:eastAsia="en-AU"/>
              </w:rPr>
              <w:t xml:space="preserve"> </w:t>
            </w:r>
            <w:r w:rsidR="00CC1595" w:rsidRPr="00CC1595">
              <w:rPr>
                <w:rFonts w:eastAsia="Times New Roman" w:cs="Times New Roman"/>
                <w:szCs w:val="21"/>
                <w:lang w:eastAsia="en-AU"/>
              </w:rPr>
              <w:t xml:space="preserve">this must be carried out using an approved method. See </w:t>
            </w:r>
            <w:r w:rsidRPr="00CC1595">
              <w:rPr>
                <w:rFonts w:eastAsia="Times New Roman" w:cs="Times New Roman"/>
                <w:szCs w:val="21"/>
                <w:lang w:eastAsia="en-AU"/>
              </w:rPr>
              <w:t xml:space="preserve">biosecurity waste </w:t>
            </w:r>
            <w:r w:rsidR="00CC1595" w:rsidRPr="00CC1595">
              <w:rPr>
                <w:rFonts w:eastAsia="Times New Roman" w:cs="Times New Roman"/>
                <w:szCs w:val="21"/>
                <w:lang w:eastAsia="en-AU"/>
              </w:rPr>
              <w:t>section below.</w:t>
            </w:r>
          </w:p>
        </w:tc>
        <w:sdt>
          <w:sdtPr>
            <w:rPr>
              <w:rFonts w:eastAsia="Times New Roman" w:cs="Times New Roman"/>
              <w:bCs/>
              <w:lang w:eastAsia="en-AU"/>
            </w:rPr>
            <w:id w:val="51816057"/>
            <w14:checkbox>
              <w14:checked w14:val="0"/>
              <w14:checkedState w14:val="2612" w14:font="MS Gothic"/>
              <w14:uncheckedState w14:val="2610" w14:font="MS Gothic"/>
            </w14:checkbox>
          </w:sdtPr>
          <w:sdtEndPr/>
          <w:sdtContent>
            <w:tc>
              <w:tcPr>
                <w:tcW w:w="657" w:type="dxa"/>
                <w:tcBorders>
                  <w:top w:val="single" w:sz="4" w:space="0" w:color="auto"/>
                  <w:bottom w:val="single" w:sz="4" w:space="0" w:color="auto"/>
                  <w:right w:val="single" w:sz="4" w:space="0" w:color="auto"/>
                </w:tcBorders>
                <w:vAlign w:val="center"/>
              </w:tcPr>
              <w:p w:rsidR="00CC1595" w:rsidRPr="00CC1595" w:rsidRDefault="00CC1595"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r w:rsidR="00CC1595" w:rsidRPr="00CC1595" w:rsidTr="004A62F7">
        <w:trPr>
          <w:trHeight w:val="660"/>
        </w:trPr>
        <w:tc>
          <w:tcPr>
            <w:tcW w:w="8359" w:type="dxa"/>
            <w:tcBorders>
              <w:top w:val="single" w:sz="4" w:space="0" w:color="auto"/>
              <w:bottom w:val="nil"/>
              <w:right w:val="single" w:sz="4" w:space="0" w:color="auto"/>
            </w:tcBorders>
            <w:tcMar>
              <w:top w:w="60" w:type="dxa"/>
              <w:left w:w="60" w:type="dxa"/>
              <w:bottom w:w="60" w:type="dxa"/>
              <w:right w:w="60" w:type="dxa"/>
            </w:tcMar>
            <w:hideMark/>
          </w:tcPr>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b/>
                <w:bCs/>
                <w:lang w:eastAsia="en-AU"/>
              </w:rPr>
              <w:t>Biosecurity signage removed</w:t>
            </w:r>
            <w:r w:rsidRPr="00CC1595">
              <w:rPr>
                <w:rFonts w:eastAsia="Times New Roman" w:cs="Times New Roman"/>
                <w:szCs w:val="21"/>
                <w:lang w:eastAsia="en-AU"/>
              </w:rPr>
              <w:t xml:space="preserve"> </w:t>
            </w:r>
          </w:p>
          <w:p w:rsidR="00CC1595" w:rsidRPr="00CC1595" w:rsidRDefault="00CC1595" w:rsidP="00CC1595">
            <w:pPr>
              <w:spacing w:before="120" w:after="120" w:line="240" w:lineRule="auto"/>
              <w:rPr>
                <w:rFonts w:eastAsia="Times New Roman" w:cs="Times New Roman"/>
                <w:b/>
                <w:bCs/>
                <w:lang w:eastAsia="en-AU"/>
              </w:rPr>
            </w:pPr>
            <w:r w:rsidRPr="00CC1595">
              <w:rPr>
                <w:rFonts w:eastAsia="Times New Roman" w:cs="Times New Roman"/>
                <w:szCs w:val="21"/>
                <w:lang w:eastAsia="en-AU"/>
              </w:rPr>
              <w:t xml:space="preserve">Remove biosecurity signage once the goods subject to biosecurity control </w:t>
            </w:r>
            <w:r w:rsidR="009D29B0">
              <w:rPr>
                <w:rFonts w:eastAsia="Times New Roman" w:cs="Times New Roman"/>
                <w:szCs w:val="21"/>
                <w:lang w:eastAsia="en-AU"/>
              </w:rPr>
              <w:t>have been removed from the</w:t>
            </w:r>
            <w:r w:rsidRPr="00CC1595">
              <w:rPr>
                <w:rFonts w:eastAsia="Times New Roman" w:cs="Times New Roman"/>
                <w:szCs w:val="21"/>
                <w:lang w:eastAsia="en-AU"/>
              </w:rPr>
              <w:t xml:space="preserve"> site.</w:t>
            </w:r>
          </w:p>
        </w:tc>
        <w:sdt>
          <w:sdtPr>
            <w:rPr>
              <w:rFonts w:eastAsia="Times New Roman" w:cs="Times New Roman"/>
              <w:bCs/>
              <w:lang w:eastAsia="en-AU"/>
            </w:rPr>
            <w:id w:val="-860896997"/>
            <w14:checkbox>
              <w14:checked w14:val="0"/>
              <w14:checkedState w14:val="2612" w14:font="MS Gothic"/>
              <w14:uncheckedState w14:val="2610" w14:font="MS Gothic"/>
            </w14:checkbox>
          </w:sdtPr>
          <w:sdtEndPr/>
          <w:sdtContent>
            <w:tc>
              <w:tcPr>
                <w:tcW w:w="657" w:type="dxa"/>
                <w:tcBorders>
                  <w:top w:val="single" w:sz="4" w:space="0" w:color="auto"/>
                  <w:bottom w:val="nil"/>
                  <w:right w:val="single" w:sz="4" w:space="0" w:color="auto"/>
                </w:tcBorders>
                <w:vAlign w:val="center"/>
              </w:tcPr>
              <w:p w:rsidR="00CC1595" w:rsidRPr="00CC1595" w:rsidRDefault="003526C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r w:rsidR="004A62F7" w:rsidRPr="00CC1595" w:rsidTr="004A62F7">
        <w:tc>
          <w:tcPr>
            <w:tcW w:w="8359" w:type="dxa"/>
            <w:tcBorders>
              <w:top w:val="single" w:sz="4" w:space="0" w:color="auto"/>
              <w:right w:val="single" w:sz="4" w:space="0" w:color="auto"/>
            </w:tcBorders>
            <w:tcMar>
              <w:top w:w="60" w:type="dxa"/>
              <w:left w:w="60" w:type="dxa"/>
              <w:bottom w:w="60" w:type="dxa"/>
              <w:right w:w="60" w:type="dxa"/>
            </w:tcMar>
          </w:tcPr>
          <w:p w:rsidR="004A62F7" w:rsidRPr="00CC1595" w:rsidRDefault="004A62F7" w:rsidP="004A62F7">
            <w:pPr>
              <w:spacing w:before="120" w:after="120" w:line="240" w:lineRule="auto"/>
              <w:rPr>
                <w:rFonts w:eastAsia="Times New Roman" w:cs="Times New Roman"/>
                <w:b/>
                <w:bCs/>
                <w:lang w:eastAsia="en-AU"/>
              </w:rPr>
            </w:pPr>
            <w:r w:rsidRPr="00CC1595">
              <w:rPr>
                <w:rFonts w:eastAsia="Times New Roman" w:cs="Times New Roman"/>
                <w:b/>
                <w:bCs/>
                <w:lang w:eastAsia="en-AU"/>
              </w:rPr>
              <w:t>Old facility cleaned and disinfected</w:t>
            </w:r>
          </w:p>
          <w:p w:rsidR="004A62F7" w:rsidRPr="00CC1595" w:rsidRDefault="004A62F7" w:rsidP="004A62F7">
            <w:pPr>
              <w:pStyle w:val="Default"/>
              <w:spacing w:before="120" w:after="120"/>
              <w:rPr>
                <w:rFonts w:asciiTheme="minorHAnsi" w:hAnsiTheme="minorHAnsi"/>
                <w:bCs/>
                <w:sz w:val="22"/>
                <w:szCs w:val="18"/>
              </w:rPr>
            </w:pPr>
            <w:r w:rsidRPr="00CC1595">
              <w:rPr>
                <w:rFonts w:asciiTheme="minorHAnsi" w:hAnsiTheme="minorHAnsi"/>
                <w:bCs/>
                <w:sz w:val="22"/>
                <w:szCs w:val="18"/>
              </w:rPr>
              <w:t xml:space="preserve">Check the list of approved broad spectrum disinfectants on the department’s website. </w:t>
            </w:r>
          </w:p>
          <w:p w:rsidR="004A62F7" w:rsidRPr="00CC1595" w:rsidRDefault="004A62F7" w:rsidP="004A62F7">
            <w:pPr>
              <w:pStyle w:val="ListParagraph"/>
              <w:numPr>
                <w:ilvl w:val="0"/>
                <w:numId w:val="5"/>
              </w:numPr>
              <w:tabs>
                <w:tab w:val="left" w:pos="5025"/>
              </w:tabs>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remove and destroy (as described in biosecurity waste below):</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absorbent surfaces e.g. carpet</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pest bait stations and other pest traps/deterrents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waste including animal bedding, drain trap waste and dunnage.</w:t>
            </w:r>
          </w:p>
          <w:p w:rsidR="004A62F7" w:rsidRPr="00CC1595" w:rsidRDefault="004A62F7" w:rsidP="004A62F7">
            <w:pPr>
              <w:pStyle w:val="ListParagraph"/>
              <w:numPr>
                <w:ilvl w:val="0"/>
                <w:numId w:val="5"/>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disinfect:</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surfaces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benches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cabinetry</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framing</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shelving</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other exposed surfaces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floors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doors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windows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lastRenderedPageBreak/>
              <w:t>walls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ceilings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ceiling tiles to be washed</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acoustics bags to be washed, autoclaved or deep buried</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ventilation openings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fume cupboards and cabinets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fume cupboards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recirculating fume cupboards</w:t>
            </w:r>
          </w:p>
          <w:p w:rsidR="004A62F7" w:rsidRPr="00CC1595" w:rsidRDefault="004A62F7" w:rsidP="004A62F7">
            <w:pPr>
              <w:numPr>
                <w:ilvl w:val="2"/>
                <w:numId w:val="7"/>
              </w:numPr>
              <w:tabs>
                <w:tab w:val="clear" w:pos="2160"/>
              </w:tabs>
              <w:spacing w:before="120" w:after="120" w:line="240" w:lineRule="auto"/>
              <w:ind w:left="1495"/>
              <w:rPr>
                <w:rFonts w:eastAsia="Times New Roman" w:cs="Times New Roman"/>
                <w:szCs w:val="21"/>
                <w:lang w:eastAsia="en-AU"/>
              </w:rPr>
            </w:pPr>
            <w:r w:rsidRPr="00CC1595">
              <w:rPr>
                <w:rFonts w:eastAsia="Times New Roman" w:cs="Times New Roman"/>
                <w:szCs w:val="21"/>
                <w:lang w:eastAsia="en-AU"/>
              </w:rPr>
              <w:t>Biological Safety Cabinet</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fridges/freezers/cool rooms/storage rooms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animal pens and cages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drain traps</w:t>
            </w:r>
          </w:p>
          <w:p w:rsidR="004A62F7" w:rsidRPr="00CC1595" w:rsidRDefault="004A62F7" w:rsidP="004A62F7">
            <w:pPr>
              <w:pStyle w:val="ListParagraph"/>
              <w:numPr>
                <w:ilvl w:val="1"/>
                <w:numId w:val="16"/>
              </w:numPr>
              <w:spacing w:before="120" w:after="120" w:line="240" w:lineRule="auto"/>
              <w:ind w:left="1103"/>
              <w:contextualSpacing w:val="0"/>
              <w:rPr>
                <w:rFonts w:eastAsia="Times New Roman" w:cs="Times New Roman"/>
                <w:szCs w:val="21"/>
                <w:lang w:eastAsia="en-AU"/>
              </w:rPr>
            </w:pPr>
            <w:r w:rsidRPr="00CC1595">
              <w:rPr>
                <w:rFonts w:eastAsia="Times New Roman" w:cs="Times New Roman"/>
                <w:szCs w:val="21"/>
                <w:lang w:eastAsia="en-AU"/>
              </w:rPr>
              <w:t>equipment used within facility that is to be reused (Autoclaving can be used</w:t>
            </w:r>
            <w:r>
              <w:rPr>
                <w:rFonts w:eastAsia="Times New Roman" w:cs="Times New Roman"/>
                <w:szCs w:val="21"/>
                <w:lang w:eastAsia="en-AU"/>
              </w:rPr>
              <w:t>,</w:t>
            </w:r>
            <w:r w:rsidRPr="00CC1595">
              <w:rPr>
                <w:rFonts w:eastAsia="Times New Roman" w:cs="Times New Roman"/>
                <w:szCs w:val="21"/>
                <w:lang w:eastAsia="en-AU"/>
              </w:rPr>
              <w:t xml:space="preserve"> 121</w:t>
            </w:r>
            <w:r w:rsidRPr="00CC1595">
              <w:rPr>
                <w:rFonts w:cstheme="majorHAnsi"/>
                <w:bCs/>
              </w:rPr>
              <w:sym w:font="Symbol" w:char="F0B0"/>
            </w:r>
            <w:r w:rsidRPr="00CC1595">
              <w:rPr>
                <w:rFonts w:eastAsia="Times New Roman" w:cs="Times New Roman"/>
                <w:szCs w:val="21"/>
                <w:lang w:eastAsia="en-AU"/>
              </w:rPr>
              <w:t>C (core temperature) for 15 minutes or 121</w:t>
            </w:r>
            <w:r w:rsidRPr="00CC1595">
              <w:rPr>
                <w:rFonts w:cstheme="majorHAnsi"/>
                <w:bCs/>
              </w:rPr>
              <w:sym w:font="Symbol" w:char="F0B0"/>
            </w:r>
            <w:r w:rsidRPr="00CC1595">
              <w:rPr>
                <w:rFonts w:eastAsia="Times New Roman" w:cs="Times New Roman"/>
                <w:szCs w:val="21"/>
                <w:lang w:eastAsia="en-AU"/>
              </w:rPr>
              <w:t xml:space="preserve">C for 30 minutes where core temperature is not measured. Where 15 minute autoclaving time is used, the </w:t>
            </w:r>
            <w:r>
              <w:rPr>
                <w:rFonts w:eastAsia="Times New Roman" w:cs="Times New Roman"/>
                <w:szCs w:val="21"/>
                <w:lang w:eastAsia="en-AU"/>
              </w:rPr>
              <w:t>Biosecurity Industry Participant</w:t>
            </w:r>
            <w:r w:rsidRPr="00CC1595">
              <w:rPr>
                <w:rFonts w:eastAsia="Times New Roman" w:cs="Times New Roman"/>
                <w:szCs w:val="21"/>
                <w:lang w:eastAsia="en-AU"/>
              </w:rPr>
              <w:t xml:space="preserve"> must specify how the core temperature was reached and how this temperature was recorded).</w:t>
            </w:r>
          </w:p>
          <w:p w:rsidR="004A62F7" w:rsidRPr="00CC1595" w:rsidRDefault="004A62F7" w:rsidP="004A62F7">
            <w:pPr>
              <w:spacing w:before="120" w:after="120" w:line="240" w:lineRule="auto"/>
              <w:rPr>
                <w:rFonts w:eastAsia="Times New Roman" w:cs="Times New Roman"/>
                <w:b/>
                <w:bCs/>
                <w:lang w:eastAsia="en-AU"/>
              </w:rPr>
            </w:pPr>
            <w:r w:rsidRPr="00CC1595">
              <w:rPr>
                <w:rFonts w:eastAsia="Times New Roman" w:cs="Times New Roman"/>
                <w:b/>
                <w:bCs/>
                <w:lang w:eastAsia="en-AU"/>
              </w:rPr>
              <w:t>Note</w:t>
            </w:r>
            <w:r w:rsidRPr="00CC1595">
              <w:rPr>
                <w:rFonts w:eastAsia="Times New Roman" w:cs="Times New Roman"/>
                <w:szCs w:val="21"/>
                <w:lang w:eastAsia="en-AU"/>
              </w:rPr>
              <w:t>: Cleaning and disinfectant waste is to be considered and disposed of as biosecurity waste.</w:t>
            </w:r>
          </w:p>
        </w:tc>
        <w:sdt>
          <w:sdtPr>
            <w:rPr>
              <w:rFonts w:eastAsia="Times New Roman" w:cs="Times New Roman"/>
              <w:bCs/>
              <w:lang w:eastAsia="en-AU"/>
            </w:rPr>
            <w:id w:val="-720822834"/>
            <w14:checkbox>
              <w14:checked w14:val="0"/>
              <w14:checkedState w14:val="2612" w14:font="MS Gothic"/>
              <w14:uncheckedState w14:val="2610" w14:font="MS Gothic"/>
            </w14:checkbox>
          </w:sdtPr>
          <w:sdtEndPr/>
          <w:sdtContent>
            <w:tc>
              <w:tcPr>
                <w:tcW w:w="657" w:type="dxa"/>
                <w:tcBorders>
                  <w:top w:val="single" w:sz="4" w:space="0" w:color="auto"/>
                  <w:right w:val="single" w:sz="4" w:space="0" w:color="auto"/>
                </w:tcBorders>
                <w:vAlign w:val="center"/>
              </w:tcPr>
              <w:p w:rsidR="004A62F7" w:rsidRDefault="004A62F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bookmarkStart w:id="0" w:name="_GoBack"/>
        <w:bookmarkEnd w:id="0"/>
      </w:tr>
      <w:tr w:rsidR="00CC1595" w:rsidRPr="00CC1595" w:rsidTr="004A62F7">
        <w:tc>
          <w:tcPr>
            <w:tcW w:w="8359" w:type="dxa"/>
            <w:tcBorders>
              <w:top w:val="single" w:sz="4" w:space="0" w:color="auto"/>
              <w:right w:val="single" w:sz="4" w:space="0" w:color="auto"/>
            </w:tcBorders>
            <w:tcMar>
              <w:top w:w="60" w:type="dxa"/>
              <w:left w:w="60" w:type="dxa"/>
              <w:bottom w:w="60" w:type="dxa"/>
              <w:right w:w="60" w:type="dxa"/>
            </w:tcMar>
            <w:hideMark/>
          </w:tcPr>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b/>
                <w:bCs/>
                <w:lang w:eastAsia="en-AU"/>
              </w:rPr>
              <w:t>Gaseous decontamination of rooms (including airlocks), filter canisters and exhaust ducting upstream of filter canisters.</w:t>
            </w:r>
          </w:p>
          <w:p w:rsidR="00CC1595" w:rsidRPr="00CC1595" w:rsidRDefault="00CC1595" w:rsidP="00CC1595">
            <w:pPr>
              <w:pStyle w:val="ListParagraph"/>
              <w:numPr>
                <w:ilvl w:val="0"/>
                <w:numId w:val="14"/>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spore strips are to be used post decontamination in areas of expected high contamination (e.g. Biological Safety Cabinets) to confirm efficacy of the decontamination</w:t>
            </w:r>
          </w:p>
          <w:p w:rsidR="00CC1595" w:rsidRPr="00CC1595" w:rsidRDefault="00CC1595" w:rsidP="00CC1595">
            <w:pPr>
              <w:pStyle w:val="ListParagraph"/>
              <w:numPr>
                <w:ilvl w:val="0"/>
                <w:numId w:val="13"/>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the potential work health and safety risks and possible requirement of neutralisation of gases and ventilation of decontamination areas must be acknowledge through this process.</w:t>
            </w:r>
          </w:p>
        </w:tc>
        <w:sdt>
          <w:sdtPr>
            <w:rPr>
              <w:rFonts w:eastAsia="Times New Roman" w:cs="Times New Roman"/>
              <w:bCs/>
              <w:lang w:eastAsia="en-AU"/>
            </w:rPr>
            <w:id w:val="955833262"/>
            <w14:checkbox>
              <w14:checked w14:val="0"/>
              <w14:checkedState w14:val="2612" w14:font="MS Gothic"/>
              <w14:uncheckedState w14:val="2610" w14:font="MS Gothic"/>
            </w14:checkbox>
          </w:sdtPr>
          <w:sdtEndPr/>
          <w:sdtContent>
            <w:tc>
              <w:tcPr>
                <w:tcW w:w="657" w:type="dxa"/>
                <w:tcBorders>
                  <w:top w:val="single" w:sz="4" w:space="0" w:color="auto"/>
                  <w:right w:val="single" w:sz="4" w:space="0" w:color="auto"/>
                </w:tcBorders>
                <w:vAlign w:val="center"/>
              </w:tcPr>
              <w:p w:rsidR="00CC1595" w:rsidRPr="00CC1595" w:rsidRDefault="003526C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r w:rsidR="00CC1595" w:rsidRPr="00CC1595" w:rsidTr="004A62F7">
        <w:trPr>
          <w:trHeight w:val="72"/>
        </w:trPr>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b/>
                <w:bCs/>
                <w:lang w:eastAsia="en-AU"/>
              </w:rPr>
              <w:t>Biosecurity waste to be removed and destroyed on site (BC3 only) or destroyed within the facility (BC4)</w:t>
            </w:r>
          </w:p>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szCs w:val="21"/>
                <w:lang w:eastAsia="en-AU"/>
              </w:rPr>
              <w:t>Where biosecurity waste is to be destroyed - this must be carried out using an approved method. Approved methods are:</w:t>
            </w:r>
          </w:p>
          <w:p w:rsidR="00CC1595" w:rsidRPr="00CC1595" w:rsidRDefault="00CC1595" w:rsidP="00CC1595">
            <w:pPr>
              <w:pStyle w:val="ListParagraph"/>
              <w:numPr>
                <w:ilvl w:val="0"/>
                <w:numId w:val="13"/>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as stated in Import Permit conditions</w:t>
            </w:r>
          </w:p>
          <w:p w:rsidR="00CC1595" w:rsidRPr="00CC1595" w:rsidRDefault="00CC1595" w:rsidP="00CC1595">
            <w:pPr>
              <w:pStyle w:val="ListParagraph"/>
              <w:numPr>
                <w:ilvl w:val="0"/>
                <w:numId w:val="13"/>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high temperature incineration (approved facility on site)</w:t>
            </w:r>
          </w:p>
          <w:p w:rsidR="00CC1595" w:rsidRPr="00CC1595" w:rsidRDefault="00CC1595" w:rsidP="00CC1595">
            <w:pPr>
              <w:pStyle w:val="ListParagraph"/>
              <w:numPr>
                <w:ilvl w:val="0"/>
                <w:numId w:val="13"/>
              </w:numPr>
              <w:spacing w:before="120" w:after="120" w:line="240" w:lineRule="auto"/>
              <w:contextualSpacing w:val="0"/>
              <w:rPr>
                <w:rFonts w:eastAsia="Times New Roman" w:cs="Times New Roman"/>
                <w:szCs w:val="21"/>
                <w:lang w:eastAsia="en-AU"/>
              </w:rPr>
            </w:pPr>
            <w:r w:rsidRPr="00CC1595">
              <w:rPr>
                <w:rFonts w:eastAsia="Times New Roman" w:cs="Times New Roman"/>
                <w:szCs w:val="21"/>
                <w:lang w:eastAsia="en-AU"/>
              </w:rPr>
              <w:t>autoclaving.</w:t>
            </w:r>
          </w:p>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szCs w:val="21"/>
                <w:lang w:eastAsia="en-AU"/>
              </w:rPr>
              <w:t>Liquid waste to be disposed of by an approved method.</w:t>
            </w:r>
          </w:p>
        </w:tc>
        <w:sdt>
          <w:sdtPr>
            <w:rPr>
              <w:rFonts w:eastAsia="Times New Roman" w:cs="Times New Roman"/>
              <w:bCs/>
              <w:lang w:eastAsia="en-AU"/>
            </w:rPr>
            <w:id w:val="-64647762"/>
            <w14:checkbox>
              <w14:checked w14:val="0"/>
              <w14:checkedState w14:val="2612" w14:font="MS Gothic"/>
              <w14:uncheckedState w14:val="2610" w14:font="MS Gothic"/>
            </w14:checkbox>
          </w:sdtPr>
          <w:sdtEndPr/>
          <w:sdtContent>
            <w:tc>
              <w:tcPr>
                <w:tcW w:w="657" w:type="dxa"/>
                <w:tcBorders>
                  <w:top w:val="single" w:sz="4" w:space="0" w:color="auto"/>
                  <w:bottom w:val="single" w:sz="4" w:space="0" w:color="auto"/>
                  <w:right w:val="single" w:sz="4" w:space="0" w:color="auto"/>
                </w:tcBorders>
                <w:vAlign w:val="center"/>
              </w:tcPr>
              <w:p w:rsidR="00CC1595" w:rsidRPr="00CC1595" w:rsidRDefault="003526C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r w:rsidR="00CC1595" w:rsidRPr="00CC1595" w:rsidTr="004A62F7">
        <w:trPr>
          <w:trHeight w:val="60"/>
        </w:trPr>
        <w:tc>
          <w:tcPr>
            <w:tcW w:w="8359" w:type="dxa"/>
            <w:tcBorders>
              <w:top w:val="single" w:sz="4" w:space="0" w:color="auto"/>
              <w:right w:val="single" w:sz="4" w:space="0" w:color="auto"/>
            </w:tcBorders>
            <w:tcMar>
              <w:top w:w="60" w:type="dxa"/>
              <w:left w:w="60" w:type="dxa"/>
              <w:bottom w:w="60" w:type="dxa"/>
              <w:right w:w="60" w:type="dxa"/>
            </w:tcMar>
            <w:hideMark/>
          </w:tcPr>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b/>
                <w:bCs/>
                <w:lang w:eastAsia="en-AU"/>
              </w:rPr>
              <w:t>Records management</w:t>
            </w:r>
          </w:p>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szCs w:val="21"/>
                <w:lang w:eastAsia="en-AU"/>
              </w:rPr>
              <w:t>Records to be available for inspection up to 18 months from the date of decommission.</w:t>
            </w:r>
          </w:p>
          <w:p w:rsidR="00CC1595" w:rsidRPr="00CC1595" w:rsidRDefault="00CC1595" w:rsidP="00CC1595">
            <w:pPr>
              <w:spacing w:before="120" w:after="120" w:line="240" w:lineRule="auto"/>
              <w:rPr>
                <w:rFonts w:eastAsia="Times New Roman" w:cs="Times New Roman"/>
                <w:b/>
                <w:bCs/>
                <w:lang w:eastAsia="en-AU"/>
              </w:rPr>
            </w:pPr>
            <w:r w:rsidRPr="00CC1595">
              <w:rPr>
                <w:rFonts w:eastAsia="Times New Roman" w:cs="Times New Roman"/>
                <w:szCs w:val="21"/>
                <w:lang w:eastAsia="en-AU"/>
              </w:rPr>
              <w:lastRenderedPageBreak/>
              <w:t>Arrange appropriate storage for biosecurity control related records. Records are to be available within 48 hours of a request from the department.</w:t>
            </w:r>
          </w:p>
        </w:tc>
        <w:sdt>
          <w:sdtPr>
            <w:rPr>
              <w:rFonts w:eastAsia="Times New Roman" w:cs="Times New Roman"/>
              <w:bCs/>
              <w:lang w:eastAsia="en-AU"/>
            </w:rPr>
            <w:id w:val="-1441830344"/>
            <w14:checkbox>
              <w14:checked w14:val="0"/>
              <w14:checkedState w14:val="2612" w14:font="MS Gothic"/>
              <w14:uncheckedState w14:val="2610" w14:font="MS Gothic"/>
            </w14:checkbox>
          </w:sdtPr>
          <w:sdtEndPr/>
          <w:sdtContent>
            <w:tc>
              <w:tcPr>
                <w:tcW w:w="657" w:type="dxa"/>
                <w:tcBorders>
                  <w:top w:val="single" w:sz="4" w:space="0" w:color="auto"/>
                  <w:right w:val="single" w:sz="4" w:space="0" w:color="auto"/>
                </w:tcBorders>
                <w:vAlign w:val="center"/>
              </w:tcPr>
              <w:p w:rsidR="00CC1595" w:rsidRPr="00CC1595" w:rsidRDefault="003526C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r w:rsidR="00CC1595" w:rsidRPr="00CC1595" w:rsidTr="004A62F7">
        <w:tc>
          <w:tcPr>
            <w:tcW w:w="8359" w:type="dxa"/>
            <w:tcBorders>
              <w:top w:val="single" w:sz="4" w:space="0" w:color="auto"/>
              <w:bottom w:val="single" w:sz="4" w:space="0" w:color="auto"/>
              <w:right w:val="single" w:sz="4" w:space="0" w:color="auto"/>
            </w:tcBorders>
            <w:tcMar>
              <w:top w:w="60" w:type="dxa"/>
              <w:left w:w="60" w:type="dxa"/>
              <w:bottom w:w="60" w:type="dxa"/>
              <w:right w:w="60" w:type="dxa"/>
            </w:tcMar>
            <w:hideMark/>
          </w:tcPr>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b/>
                <w:bCs/>
                <w:lang w:eastAsia="en-AU"/>
              </w:rPr>
              <w:t xml:space="preserve">Final close out </w:t>
            </w:r>
            <w:r w:rsidR="00AF784E">
              <w:rPr>
                <w:rFonts w:eastAsia="Times New Roman" w:cs="Times New Roman"/>
                <w:b/>
                <w:bCs/>
                <w:lang w:eastAsia="en-AU"/>
              </w:rPr>
              <w:t>on</w:t>
            </w:r>
            <w:r w:rsidRPr="00CC1595">
              <w:rPr>
                <w:rFonts w:eastAsia="Times New Roman" w:cs="Times New Roman"/>
                <w:b/>
                <w:bCs/>
                <w:lang w:eastAsia="en-AU"/>
              </w:rPr>
              <w:t>site audit</w:t>
            </w:r>
          </w:p>
          <w:p w:rsidR="00CC1595" w:rsidRPr="00CC1595" w:rsidRDefault="00CC1595" w:rsidP="00CC1595">
            <w:pPr>
              <w:spacing w:before="120" w:after="120" w:line="240" w:lineRule="auto"/>
              <w:rPr>
                <w:rFonts w:eastAsia="Times New Roman" w:cs="Times New Roman"/>
                <w:szCs w:val="21"/>
                <w:lang w:eastAsia="en-AU"/>
              </w:rPr>
            </w:pPr>
            <w:r w:rsidRPr="00CC1595">
              <w:rPr>
                <w:rFonts w:eastAsia="Times New Roman" w:cs="Times New Roman"/>
                <w:szCs w:val="21"/>
                <w:lang w:eastAsia="en-AU"/>
              </w:rPr>
              <w:t>Inspection is a chargeable activity - charged at fee for service rates.</w:t>
            </w:r>
          </w:p>
        </w:tc>
        <w:sdt>
          <w:sdtPr>
            <w:rPr>
              <w:rFonts w:eastAsia="Times New Roman" w:cs="Times New Roman"/>
              <w:bCs/>
              <w:lang w:eastAsia="en-AU"/>
            </w:rPr>
            <w:id w:val="2052957529"/>
            <w14:checkbox>
              <w14:checked w14:val="0"/>
              <w14:checkedState w14:val="2612" w14:font="MS Gothic"/>
              <w14:uncheckedState w14:val="2610" w14:font="MS Gothic"/>
            </w14:checkbox>
          </w:sdtPr>
          <w:sdtEndPr/>
          <w:sdtContent>
            <w:tc>
              <w:tcPr>
                <w:tcW w:w="657" w:type="dxa"/>
                <w:tcBorders>
                  <w:top w:val="single" w:sz="4" w:space="0" w:color="auto"/>
                  <w:bottom w:val="single" w:sz="4" w:space="0" w:color="auto"/>
                  <w:right w:val="single" w:sz="4" w:space="0" w:color="auto"/>
                </w:tcBorders>
                <w:vAlign w:val="center"/>
              </w:tcPr>
              <w:p w:rsidR="00CC1595" w:rsidRPr="00CC1595" w:rsidRDefault="003526C7" w:rsidP="00CC1595">
                <w:pPr>
                  <w:spacing w:before="120" w:after="120" w:line="240" w:lineRule="auto"/>
                  <w:jc w:val="center"/>
                  <w:rPr>
                    <w:rFonts w:eastAsia="Times New Roman" w:cs="Times New Roman"/>
                    <w:bCs/>
                    <w:lang w:eastAsia="en-AU"/>
                  </w:rPr>
                </w:pPr>
                <w:r>
                  <w:rPr>
                    <w:rFonts w:ascii="MS Gothic" w:eastAsia="MS Gothic" w:hAnsi="MS Gothic" w:cs="Times New Roman" w:hint="eastAsia"/>
                    <w:bCs/>
                    <w:lang w:eastAsia="en-AU"/>
                  </w:rPr>
                  <w:t>☐</w:t>
                </w:r>
              </w:p>
            </w:tc>
          </w:sdtContent>
        </w:sdt>
      </w:tr>
    </w:tbl>
    <w:p w:rsidR="00197187" w:rsidRPr="00CC1595" w:rsidRDefault="00197187" w:rsidP="00CC1595">
      <w:pPr>
        <w:pStyle w:val="Heading2"/>
        <w:spacing w:before="120" w:beforeAutospacing="0" w:after="120" w:afterAutospacing="0"/>
        <w:jc w:val="left"/>
        <w:rPr>
          <w:rFonts w:asciiTheme="minorHAnsi" w:hAnsiTheme="minorHAnsi"/>
          <w:color w:val="365F91" w:themeColor="accent1" w:themeShade="BF"/>
        </w:rPr>
      </w:pPr>
      <w:r w:rsidRPr="00CC1595">
        <w:rPr>
          <w:rFonts w:asciiTheme="minorHAnsi" w:hAnsiTheme="minorHAnsi"/>
          <w:color w:val="365F91" w:themeColor="accent1" w:themeShade="BF"/>
        </w:rPr>
        <w:t xml:space="preserve">Operator </w:t>
      </w:r>
      <w:r w:rsidR="00F575B0" w:rsidRPr="00CC1595">
        <w:rPr>
          <w:rFonts w:asciiTheme="minorHAnsi" w:hAnsiTheme="minorHAnsi"/>
          <w:color w:val="365F91" w:themeColor="accent1" w:themeShade="BF"/>
        </w:rPr>
        <w:t>comments</w:t>
      </w:r>
    </w:p>
    <w:tbl>
      <w:tblPr>
        <w:tblW w:w="0" w:type="auto"/>
        <w:tblBorders>
          <w:top w:val="single" w:sz="4" w:space="0" w:color="auto"/>
          <w:left w:val="single" w:sz="4" w:space="0" w:color="auto"/>
          <w:bottom w:val="single" w:sz="4" w:space="0" w:color="auto"/>
          <w:right w:val="single" w:sz="4" w:space="0" w:color="auto"/>
        </w:tblBorders>
        <w:tblCellMar>
          <w:top w:w="30" w:type="dxa"/>
          <w:left w:w="30" w:type="dxa"/>
          <w:bottom w:w="30" w:type="dxa"/>
          <w:right w:w="30" w:type="dxa"/>
        </w:tblCellMar>
        <w:tblLook w:val="04A0" w:firstRow="1" w:lastRow="0" w:firstColumn="1" w:lastColumn="0" w:noHBand="0" w:noVBand="1"/>
      </w:tblPr>
      <w:tblGrid>
        <w:gridCol w:w="9016"/>
      </w:tblGrid>
      <w:tr w:rsidR="00197187" w:rsidRPr="00CC1595" w:rsidTr="00197187">
        <w:tc>
          <w:tcPr>
            <w:tcW w:w="14078" w:type="dxa"/>
            <w:tcMar>
              <w:top w:w="60" w:type="dxa"/>
              <w:left w:w="60" w:type="dxa"/>
              <w:bottom w:w="60" w:type="dxa"/>
              <w:right w:w="60" w:type="dxa"/>
            </w:tcMar>
            <w:hideMark/>
          </w:tcPr>
          <w:p w:rsidR="00197187" w:rsidRPr="00CC1595" w:rsidRDefault="00197187" w:rsidP="00CC1595">
            <w:pPr>
              <w:spacing w:before="120" w:after="120" w:line="240" w:lineRule="auto"/>
              <w:rPr>
                <w:rFonts w:eastAsia="Times New Roman" w:cs="Times New Roman"/>
                <w:sz w:val="21"/>
                <w:szCs w:val="21"/>
                <w:lang w:eastAsia="en-AU"/>
              </w:rPr>
            </w:pPr>
          </w:p>
        </w:tc>
      </w:tr>
    </w:tbl>
    <w:p w:rsidR="000533E9" w:rsidRDefault="00CF6F19" w:rsidP="00CC1595">
      <w:pPr>
        <w:shd w:val="clear" w:color="auto" w:fill="FFFFFF"/>
        <w:spacing w:before="120" w:after="120" w:line="240" w:lineRule="auto"/>
        <w:rPr>
          <w:rFonts w:eastAsia="Times New Roman" w:cs="Times New Roman"/>
          <w:sz w:val="21"/>
          <w:szCs w:val="21"/>
          <w:lang w:eastAsia="en-AU"/>
        </w:rPr>
      </w:pPr>
      <w:r w:rsidRPr="00CC1595">
        <w:rPr>
          <w:rFonts w:eastAsia="Times New Roman" w:cs="Times New Roman"/>
          <w:sz w:val="21"/>
          <w:szCs w:val="21"/>
          <w:lang w:eastAsia="en-AU"/>
        </w:rPr>
        <w:t xml:space="preserve">This procedures checklist and the accompanying time schedule will need to be provided to </w:t>
      </w:r>
      <w:r w:rsidR="000B07BF" w:rsidRPr="00CC1595">
        <w:rPr>
          <w:rFonts w:eastAsia="Times New Roman" w:cs="Times New Roman"/>
          <w:sz w:val="21"/>
          <w:szCs w:val="21"/>
          <w:lang w:eastAsia="en-AU"/>
        </w:rPr>
        <w:t xml:space="preserve">your </w:t>
      </w:r>
      <w:hyperlink r:id="rId13" w:history="1">
        <w:r w:rsidR="00A70BEF" w:rsidRPr="00CC1595">
          <w:rPr>
            <w:rStyle w:val="Hyperlink"/>
          </w:rPr>
          <w:t>Audit Services</w:t>
        </w:r>
      </w:hyperlink>
      <w:r w:rsidR="000B07BF" w:rsidRPr="00CC1595">
        <w:t xml:space="preserve"> </w:t>
      </w:r>
      <w:r w:rsidRPr="00CC1595">
        <w:rPr>
          <w:rFonts w:eastAsia="Times New Roman" w:cs="Times New Roman"/>
          <w:sz w:val="21"/>
          <w:szCs w:val="21"/>
          <w:lang w:eastAsia="en-AU"/>
        </w:rPr>
        <w:t xml:space="preserve">prior to any actions being undertaken. </w:t>
      </w:r>
    </w:p>
    <w:p w:rsidR="005677B5" w:rsidRPr="00CC1595" w:rsidRDefault="005677B5" w:rsidP="005677B5">
      <w:pPr>
        <w:pStyle w:val="Heading2"/>
        <w:spacing w:before="120" w:beforeAutospacing="0" w:after="120" w:afterAutospacing="0"/>
        <w:jc w:val="left"/>
        <w:rPr>
          <w:rFonts w:asciiTheme="minorHAnsi" w:hAnsiTheme="minorHAnsi"/>
          <w:color w:val="365F91" w:themeColor="accent1" w:themeShade="BF"/>
        </w:rPr>
      </w:pPr>
      <w:r>
        <w:rPr>
          <w:rFonts w:asciiTheme="minorHAnsi" w:hAnsiTheme="minorHAnsi"/>
          <w:color w:val="365F91" w:themeColor="accent1" w:themeShade="BF"/>
        </w:rPr>
        <w:t>Privacy notice</w:t>
      </w:r>
    </w:p>
    <w:tbl>
      <w:tblPr>
        <w:tblStyle w:val="TableGrid"/>
        <w:tblW w:w="0" w:type="auto"/>
        <w:tblLook w:val="04A0" w:firstRow="1" w:lastRow="0" w:firstColumn="1" w:lastColumn="0" w:noHBand="0" w:noVBand="1"/>
      </w:tblPr>
      <w:tblGrid>
        <w:gridCol w:w="3005"/>
        <w:gridCol w:w="1503"/>
        <w:gridCol w:w="1502"/>
        <w:gridCol w:w="3006"/>
      </w:tblGrid>
      <w:tr w:rsidR="000C4F7B" w:rsidTr="000C4F7B">
        <w:tc>
          <w:tcPr>
            <w:tcW w:w="9016" w:type="dxa"/>
            <w:gridSpan w:val="4"/>
            <w:tcBorders>
              <w:left w:val="nil"/>
              <w:right w:val="nil"/>
            </w:tcBorders>
          </w:tcPr>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 xml:space="preserve">'Personal information' means information or an opinion about an identified individual, or an individual who is reasonably identifiable. 'Personal information' that is collected under or in accordance with the </w:t>
            </w:r>
            <w:r w:rsidRPr="000C4F7B">
              <w:rPr>
                <w:rFonts w:eastAsia="Times New Roman" w:cs="Times New Roman"/>
                <w:i/>
                <w:sz w:val="18"/>
                <w:szCs w:val="18"/>
                <w:lang w:val="en-US" w:eastAsia="en-AU"/>
              </w:rPr>
              <w:t>Biosecurity Act 2015</w:t>
            </w:r>
            <w:r w:rsidRPr="000C4F7B">
              <w:rPr>
                <w:rFonts w:eastAsia="Times New Roman" w:cs="Times New Roman"/>
                <w:sz w:val="18"/>
                <w:szCs w:val="18"/>
                <w:lang w:val="en-US" w:eastAsia="en-AU"/>
              </w:rPr>
              <w:t xml:space="preserve"> is also 'protected information' under the Biosecurity Act.</w:t>
            </w:r>
          </w:p>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 xml:space="preserve">The collection of 'protected information' including personal and commercial-in-confidence information by the Department of Agriculture and Water Resources in relation to this application is being collected under the </w:t>
            </w:r>
            <w:r w:rsidRPr="000C4F7B">
              <w:rPr>
                <w:rFonts w:eastAsia="Times New Roman" w:cs="Times New Roman"/>
                <w:i/>
                <w:sz w:val="18"/>
                <w:szCs w:val="18"/>
                <w:lang w:val="en-US" w:eastAsia="en-AU"/>
              </w:rPr>
              <w:t>Biosecurity Act 2015</w:t>
            </w:r>
            <w:r w:rsidRPr="000C4F7B">
              <w:rPr>
                <w:rFonts w:eastAsia="Times New Roman" w:cs="Times New Roman"/>
                <w:sz w:val="18"/>
                <w:szCs w:val="18"/>
                <w:lang w:val="en-US"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0C4F7B">
              <w:rPr>
                <w:rFonts w:eastAsia="Times New Roman" w:cs="Times New Roman"/>
                <w:i/>
                <w:sz w:val="18"/>
                <w:szCs w:val="18"/>
                <w:lang w:val="en-US" w:eastAsia="en-AU"/>
              </w:rPr>
              <w:t>Biosecurity Act 2015</w:t>
            </w:r>
            <w:r w:rsidRPr="000C4F7B">
              <w:rPr>
                <w:rFonts w:eastAsia="Times New Roman" w:cs="Times New Roman"/>
                <w:sz w:val="18"/>
                <w:szCs w:val="18"/>
                <w:lang w:val="en-US" w:eastAsia="en-AU"/>
              </w:rPr>
              <w:t>. A person to whom protected information relates may consent to the information being disclosed for a certain purpose.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 xml:space="preserve">The personal information requested on this form may be disclosed to other Commonwealth agencies such as the Department of Home Affairs </w:t>
            </w:r>
            <w:r w:rsidRPr="000C4F7B">
              <w:rPr>
                <w:rFonts w:eastAsia="Times New Roman" w:cs="Times New Roman"/>
                <w:sz w:val="18"/>
                <w:szCs w:val="18"/>
                <w:lang w:eastAsia="en-AU"/>
              </w:rPr>
              <w:t>(DHA)</w:t>
            </w:r>
            <w:r w:rsidRPr="000C4F7B">
              <w:rPr>
                <w:rFonts w:eastAsia="Times New Roman" w:cs="Times New Roman"/>
                <w:sz w:val="18"/>
                <w:szCs w:val="18"/>
                <w:lang w:val="en-US" w:eastAsia="en-AU"/>
              </w:rPr>
              <w:t>.</w:t>
            </w:r>
          </w:p>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rsidR="000C4F7B" w:rsidRPr="000C4F7B" w:rsidRDefault="000C4F7B" w:rsidP="000C4F7B">
            <w:pPr>
              <w:widowControl w:val="0"/>
              <w:numPr>
                <w:ilvl w:val="0"/>
                <w:numId w:val="18"/>
              </w:numPr>
              <w:spacing w:before="40" w:after="40"/>
              <w:ind w:left="-108" w:right="-164"/>
              <w:rPr>
                <w:rFonts w:eastAsia="Times New Roman" w:cs="Times New Roman"/>
                <w:sz w:val="18"/>
                <w:szCs w:val="18"/>
                <w:lang w:eastAsia="en-AU"/>
              </w:rPr>
            </w:pPr>
            <w:r w:rsidRPr="000C4F7B">
              <w:rPr>
                <w:rFonts w:eastAsia="Times New Roman" w:cs="Times New Roman"/>
                <w:b/>
                <w:sz w:val="18"/>
                <w:szCs w:val="18"/>
                <w:lang w:eastAsia="en-AU"/>
              </w:rPr>
              <w:t>Information about individuals in this application (personal and protected information).</w:t>
            </w:r>
            <w:r w:rsidRPr="000C4F7B">
              <w:rPr>
                <w:rFonts w:eastAsia="Times New Roman" w:cs="Times New Roman"/>
                <w:sz w:val="18"/>
                <w:szCs w:val="18"/>
                <w:lang w:eastAsia="en-AU"/>
              </w:rPr>
              <w:t xml:space="preserve"> This information includes personal information, as defined in the </w:t>
            </w:r>
            <w:r w:rsidRPr="000C4F7B">
              <w:rPr>
                <w:rFonts w:eastAsia="Times New Roman" w:cs="Times New Roman"/>
                <w:i/>
                <w:sz w:val="18"/>
                <w:szCs w:val="18"/>
                <w:lang w:eastAsia="en-AU"/>
              </w:rPr>
              <w:t>Privacy Act 1988</w:t>
            </w:r>
            <w:r w:rsidRPr="000C4F7B">
              <w:rPr>
                <w:rFonts w:eastAsia="Times New Roman" w:cs="Times New Roman"/>
                <w:sz w:val="18"/>
                <w:szCs w:val="18"/>
                <w:lang w:eastAsia="en-AU"/>
              </w:rPr>
              <w:t xml:space="preserve">, that is protected information under the </w:t>
            </w:r>
            <w:r w:rsidRPr="000C4F7B">
              <w:rPr>
                <w:rFonts w:eastAsia="Times New Roman" w:cs="Times New Roman"/>
                <w:i/>
                <w:sz w:val="18"/>
                <w:szCs w:val="18"/>
                <w:lang w:eastAsia="en-AU"/>
              </w:rPr>
              <w:t>Biosecurity Act 2015</w:t>
            </w:r>
            <w:r w:rsidRPr="000C4F7B">
              <w:rPr>
                <w:rFonts w:eastAsia="Times New Roman" w:cs="Times New Roman"/>
                <w:sz w:val="18"/>
                <w:szCs w:val="18"/>
                <w:lang w:eastAsia="en-AU"/>
              </w:rPr>
              <w:t xml:space="preserve">. This information may also include commercial-in-confidence information, as defined in section 15 of the Biosecurity Act, about individuals that is protected information. </w:t>
            </w:r>
          </w:p>
          <w:p w:rsidR="000C4F7B" w:rsidRPr="000C4F7B" w:rsidRDefault="000C4F7B" w:rsidP="000C4F7B">
            <w:pPr>
              <w:widowControl w:val="0"/>
              <w:numPr>
                <w:ilvl w:val="0"/>
                <w:numId w:val="18"/>
              </w:numPr>
              <w:spacing w:before="40" w:after="40"/>
              <w:ind w:left="-108" w:right="-164"/>
              <w:rPr>
                <w:rFonts w:eastAsia="Times New Roman" w:cs="Times New Roman"/>
                <w:sz w:val="18"/>
                <w:szCs w:val="18"/>
                <w:lang w:eastAsia="en-AU"/>
              </w:rPr>
            </w:pPr>
            <w:r w:rsidRPr="000C4F7B">
              <w:rPr>
                <w:rFonts w:eastAsia="Times New Roman" w:cs="Times New Roman"/>
                <w:b/>
                <w:sz w:val="18"/>
                <w:szCs w:val="18"/>
                <w:lang w:eastAsia="en-AU"/>
              </w:rPr>
              <w:t xml:space="preserve">Information about the applicant which is not personal information </w:t>
            </w:r>
            <w:r w:rsidRPr="000C4F7B">
              <w:rPr>
                <w:rFonts w:eastAsia="Times New Roman" w:cs="Times New Roman"/>
                <w:sz w:val="18"/>
                <w:szCs w:val="18"/>
                <w:lang w:eastAsia="en-AU"/>
              </w:rPr>
              <w:t>(</w:t>
            </w:r>
            <w:r w:rsidRPr="000C4F7B">
              <w:rPr>
                <w:rFonts w:eastAsia="Times New Roman" w:cs="Times New Roman"/>
                <w:b/>
                <w:sz w:val="18"/>
                <w:szCs w:val="18"/>
                <w:lang w:eastAsia="en-AU"/>
              </w:rPr>
              <w:t>entity and protected information</w:t>
            </w:r>
            <w:r w:rsidRPr="000C4F7B">
              <w:rPr>
                <w:rFonts w:eastAsia="Times New Roman" w:cs="Times New Roman"/>
                <w:sz w:val="18"/>
                <w:szCs w:val="18"/>
                <w:lang w:eastAsia="en-AU"/>
              </w:rPr>
              <w:t xml:space="preserve">). This information may include commercial-in-confidence information, as defined in section 15 of the Biosecurity Act, that is protected information under the Biosecurity Act. </w:t>
            </w:r>
          </w:p>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eastAsia="en-AU"/>
              </w:rPr>
              <w:t xml:space="preserve">Note: Decisions regarding this consent provision do not impact on the assessment of this application. If consent is provided it may be withdrawn at any time by notifying the department at </w:t>
            </w:r>
            <w:hyperlink r:id="rId14" w:history="1">
              <w:r w:rsidRPr="000C4F7B">
                <w:rPr>
                  <w:rFonts w:eastAsia="Times New Roman" w:cs="Times New Roman"/>
                  <w:color w:val="0000FF" w:themeColor="hyperlink"/>
                  <w:sz w:val="18"/>
                  <w:szCs w:val="18"/>
                  <w:u w:val="single"/>
                  <w:lang w:eastAsia="en-AU"/>
                </w:rPr>
                <w:t>aa.canberra@agriculture.gov.au</w:t>
              </w:r>
            </w:hyperlink>
            <w:r w:rsidRPr="000C4F7B">
              <w:rPr>
                <w:rFonts w:eastAsia="Times New Roman" w:cs="Times New Roman"/>
                <w:sz w:val="18"/>
                <w:szCs w:val="18"/>
                <w:lang w:eastAsia="en-AU"/>
              </w:rPr>
              <w:t>.</w:t>
            </w:r>
          </w:p>
          <w:p w:rsidR="000C4F7B" w:rsidRPr="000C4F7B" w:rsidRDefault="000C4F7B" w:rsidP="000C4F7B">
            <w:pPr>
              <w:spacing w:before="40" w:after="40"/>
              <w:ind w:left="-108" w:right="-164"/>
              <w:rPr>
                <w:rFonts w:eastAsia="Calibri" w:cs="Times New Roman"/>
                <w:b/>
                <w:sz w:val="18"/>
                <w:szCs w:val="18"/>
                <w:lang w:eastAsia="ja-JP"/>
              </w:rPr>
            </w:pPr>
            <w:r w:rsidRPr="000C4F7B">
              <w:rPr>
                <w:rFonts w:eastAsia="Calibri" w:cs="Times New Roman"/>
                <w:b/>
                <w:sz w:val="18"/>
                <w:szCs w:val="18"/>
                <w:lang w:eastAsia="ja-JP"/>
              </w:rPr>
              <w:t>Consent can be given by relevant persons by completing the below declarations.</w:t>
            </w:r>
          </w:p>
          <w:p w:rsidR="000C4F7B" w:rsidRDefault="000C4F7B" w:rsidP="000C4F7B">
            <w:pPr>
              <w:spacing w:before="40" w:after="40"/>
              <w:ind w:left="-108" w:right="-164"/>
              <w:rPr>
                <w:rFonts w:eastAsia="Calibri" w:cs="Times New Roman"/>
                <w:b/>
                <w:sz w:val="18"/>
                <w:szCs w:val="18"/>
                <w:lang w:eastAsia="ja-JP"/>
              </w:rPr>
            </w:pPr>
          </w:p>
          <w:p w:rsidR="000C4F7B" w:rsidRPr="000C4F7B" w:rsidRDefault="000C4F7B" w:rsidP="000C4F7B">
            <w:pPr>
              <w:spacing w:before="40" w:after="40"/>
              <w:ind w:left="-108" w:right="-164"/>
              <w:rPr>
                <w:rFonts w:eastAsia="Calibri" w:cs="Times New Roman"/>
                <w:b/>
                <w:sz w:val="18"/>
                <w:szCs w:val="18"/>
                <w:lang w:eastAsia="ja-JP"/>
              </w:rPr>
            </w:pPr>
            <w:r w:rsidRPr="000C4F7B">
              <w:rPr>
                <w:rFonts w:eastAsia="Calibri" w:cs="Times New Roman"/>
                <w:b/>
                <w:sz w:val="18"/>
                <w:szCs w:val="18"/>
                <w:lang w:eastAsia="ja-JP"/>
              </w:rPr>
              <w:t>Consent to disclose personal and protected information</w:t>
            </w:r>
          </w:p>
          <w:p w:rsidR="000C4F7B" w:rsidRPr="000C4F7B" w:rsidRDefault="000C4F7B" w:rsidP="000C4F7B">
            <w:pPr>
              <w:spacing w:before="40" w:after="40"/>
              <w:ind w:left="-108" w:right="-164"/>
              <w:rPr>
                <w:rFonts w:eastAsia="Calibri" w:cs="Times New Roman"/>
                <w:sz w:val="18"/>
                <w:szCs w:val="18"/>
                <w:lang w:eastAsia="ja-JP"/>
              </w:rPr>
            </w:pPr>
            <w:r w:rsidRPr="000C4F7B">
              <w:rPr>
                <w:rFonts w:eastAsia="Calibri" w:cs="Times New Roman"/>
                <w:sz w:val="18"/>
                <w:szCs w:val="18"/>
              </w:rPr>
              <w:t>This application contains personal information and/or commercial-in-confidence information which constitutes protected information under the Biosecurity Act</w:t>
            </w:r>
            <w:r w:rsidRPr="000C4F7B">
              <w:rPr>
                <w:rFonts w:eastAsia="Calibri" w:cs="Times New Roman"/>
                <w:sz w:val="18"/>
                <w:szCs w:val="18"/>
                <w:lang w:eastAsia="ja-JP"/>
              </w:rPr>
              <w:t>. Under subsection 588(3) of the Biosecurity Act the department may disclose protected information that relates to me with my consent.</w:t>
            </w:r>
          </w:p>
          <w:p w:rsidR="000C4F7B" w:rsidRDefault="000C4F7B" w:rsidP="000C4F7B">
            <w:pPr>
              <w:spacing w:before="120" w:after="120"/>
              <w:ind w:left="-108" w:right="-164"/>
            </w:pPr>
            <w:r w:rsidRPr="000C4F7B">
              <w:rPr>
                <w:rFonts w:cs="Times New Roman"/>
                <w:sz w:val="18"/>
                <w:szCs w:val="18"/>
                <w:lang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w:t>
            </w:r>
          </w:p>
        </w:tc>
      </w:tr>
      <w:tr w:rsidR="000C4F7B" w:rsidTr="000C4F7B">
        <w:trPr>
          <w:trHeight w:val="256"/>
        </w:trPr>
        <w:tc>
          <w:tcPr>
            <w:tcW w:w="4508" w:type="dxa"/>
            <w:gridSpan w:val="2"/>
            <w:tcBorders>
              <w:left w:val="nil"/>
            </w:tcBorders>
          </w:tcPr>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Signature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Declarant full name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r>
      <w:tr w:rsidR="000C4F7B" w:rsidTr="000C4F7B">
        <w:trPr>
          <w:trHeight w:val="254"/>
        </w:trPr>
        <w:tc>
          <w:tcPr>
            <w:tcW w:w="4508" w:type="dxa"/>
            <w:gridSpan w:val="2"/>
            <w:tcBorders>
              <w:left w:val="nil"/>
            </w:tcBorders>
          </w:tcPr>
          <w:p w:rsid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Signature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Approved arrangements manager full name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r>
      <w:tr w:rsidR="000C4F7B" w:rsidTr="000C4F7B">
        <w:trPr>
          <w:trHeight w:val="254"/>
        </w:trPr>
        <w:tc>
          <w:tcPr>
            <w:tcW w:w="4508" w:type="dxa"/>
            <w:gridSpan w:val="2"/>
            <w:tcBorders>
              <w:left w:val="nil"/>
            </w:tcBorders>
          </w:tcPr>
          <w:p w:rsid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lastRenderedPageBreak/>
              <w:t>Signature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c>
          <w:tcPr>
            <w:tcW w:w="4508" w:type="dxa"/>
            <w:gridSpan w:val="2"/>
            <w:tcBorders>
              <w:right w:val="nil"/>
            </w:tcBorders>
          </w:tcPr>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val="en-US" w:eastAsia="en-AU"/>
              </w:rPr>
              <w:t>Approved arrangements site contact full name</w:t>
            </w:r>
          </w:p>
          <w:p w:rsidR="000C4F7B" w:rsidRPr="000C4F7B" w:rsidRDefault="000C4F7B" w:rsidP="000C4F7B">
            <w:pPr>
              <w:widowControl w:val="0"/>
              <w:spacing w:before="40" w:after="40"/>
              <w:ind w:left="-108" w:right="-164"/>
              <w:rPr>
                <w:rFonts w:eastAsia="Times New Roman" w:cs="Times New Roman"/>
                <w:sz w:val="18"/>
                <w:szCs w:val="18"/>
                <w:lang w:val="en-US" w:eastAsia="en-AU"/>
              </w:rPr>
            </w:pPr>
          </w:p>
        </w:tc>
      </w:tr>
      <w:tr w:rsidR="000C4F7B" w:rsidTr="000C4F7B">
        <w:tc>
          <w:tcPr>
            <w:tcW w:w="9016" w:type="dxa"/>
            <w:gridSpan w:val="4"/>
            <w:tcBorders>
              <w:left w:val="nil"/>
              <w:bottom w:val="single" w:sz="4" w:space="0" w:color="auto"/>
              <w:right w:val="nil"/>
            </w:tcBorders>
          </w:tcPr>
          <w:p w:rsidR="000C4F7B" w:rsidRPr="000C4F7B" w:rsidRDefault="000C4F7B" w:rsidP="000C4F7B">
            <w:pPr>
              <w:widowControl w:val="0"/>
              <w:spacing w:before="40" w:after="40"/>
              <w:ind w:left="-108" w:right="-164"/>
              <w:rPr>
                <w:rFonts w:eastAsia="Times New Roman" w:cs="Times New Roman"/>
                <w:b/>
                <w:sz w:val="18"/>
                <w:szCs w:val="18"/>
                <w:lang w:eastAsia="en-AU"/>
              </w:rPr>
            </w:pPr>
            <w:r w:rsidRPr="000C4F7B">
              <w:rPr>
                <w:rFonts w:eastAsia="Times New Roman" w:cs="Times New Roman"/>
                <w:b/>
                <w:sz w:val="18"/>
                <w:szCs w:val="18"/>
                <w:lang w:eastAsia="en-AU"/>
              </w:rPr>
              <w:t>Consent to disclose entity information</w:t>
            </w:r>
          </w:p>
          <w:p w:rsidR="000C4F7B" w:rsidRPr="000C4F7B" w:rsidRDefault="000C4F7B" w:rsidP="000C4F7B">
            <w:pPr>
              <w:widowControl w:val="0"/>
              <w:spacing w:before="40" w:after="40"/>
              <w:ind w:left="-108" w:right="-164"/>
              <w:rPr>
                <w:rFonts w:eastAsia="Times New Roman" w:cs="Times New Roman"/>
                <w:sz w:val="18"/>
                <w:szCs w:val="18"/>
                <w:lang w:val="en-US" w:eastAsia="en-AU"/>
              </w:rPr>
            </w:pPr>
            <w:r w:rsidRPr="000C4F7B">
              <w:rPr>
                <w:rFonts w:eastAsia="Times New Roman" w:cs="Times New Roman"/>
                <w:sz w:val="18"/>
                <w:szCs w:val="18"/>
                <w:lang w:eastAsia="en-AU"/>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0C4F7B" w:rsidRPr="000C4F7B" w:rsidTr="000C4F7B">
        <w:tc>
          <w:tcPr>
            <w:tcW w:w="3005" w:type="dxa"/>
            <w:tcBorders>
              <w:top w:val="single" w:sz="4" w:space="0" w:color="auto"/>
              <w:left w:val="nil"/>
              <w:bottom w:val="single" w:sz="4" w:space="0" w:color="auto"/>
              <w:right w:val="single" w:sz="4" w:space="0" w:color="auto"/>
            </w:tcBorders>
          </w:tcPr>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eastAsia="en-AU"/>
              </w:rPr>
              <w:t>Signature</w:t>
            </w:r>
          </w:p>
          <w:p w:rsidR="000C4F7B" w:rsidRPr="000C4F7B" w:rsidRDefault="000C4F7B" w:rsidP="000C4F7B">
            <w:pPr>
              <w:widowControl w:val="0"/>
              <w:spacing w:before="40" w:after="40"/>
              <w:ind w:left="-108" w:right="-164"/>
              <w:rPr>
                <w:rFonts w:eastAsia="Times New Roman" w:cs="Times New Roman"/>
                <w:sz w:val="18"/>
                <w:szCs w:val="18"/>
                <w:lang w:eastAsia="en-AU"/>
              </w:rPr>
            </w:pPr>
          </w:p>
        </w:tc>
        <w:tc>
          <w:tcPr>
            <w:tcW w:w="3005" w:type="dxa"/>
            <w:gridSpan w:val="2"/>
            <w:tcBorders>
              <w:top w:val="single" w:sz="4" w:space="0" w:color="auto"/>
              <w:left w:val="single" w:sz="4" w:space="0" w:color="auto"/>
              <w:bottom w:val="single" w:sz="4" w:space="0" w:color="auto"/>
              <w:right w:val="single" w:sz="4" w:space="0" w:color="auto"/>
            </w:tcBorders>
          </w:tcPr>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eastAsia="en-AU"/>
              </w:rPr>
              <w:t>Declarant full name</w:t>
            </w:r>
          </w:p>
          <w:p w:rsidR="000C4F7B" w:rsidRPr="000C4F7B" w:rsidRDefault="000C4F7B" w:rsidP="000C4F7B">
            <w:pPr>
              <w:widowControl w:val="0"/>
              <w:spacing w:before="40" w:after="40"/>
              <w:ind w:left="-108" w:right="-164"/>
              <w:rPr>
                <w:rFonts w:eastAsia="Times New Roman" w:cs="Times New Roman"/>
                <w:sz w:val="18"/>
                <w:szCs w:val="18"/>
                <w:lang w:eastAsia="en-AU"/>
              </w:rPr>
            </w:pPr>
          </w:p>
        </w:tc>
        <w:tc>
          <w:tcPr>
            <w:tcW w:w="3006" w:type="dxa"/>
            <w:tcBorders>
              <w:top w:val="single" w:sz="4" w:space="0" w:color="auto"/>
              <w:left w:val="single" w:sz="4" w:space="0" w:color="auto"/>
              <w:bottom w:val="single" w:sz="4" w:space="0" w:color="auto"/>
              <w:right w:val="nil"/>
            </w:tcBorders>
          </w:tcPr>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eastAsia="en-AU"/>
              </w:rPr>
              <w:t>Name of entity</w:t>
            </w:r>
          </w:p>
          <w:p w:rsidR="000C4F7B" w:rsidRPr="000C4F7B" w:rsidRDefault="000C4F7B" w:rsidP="000C4F7B">
            <w:pPr>
              <w:widowControl w:val="0"/>
              <w:spacing w:before="40" w:after="40"/>
              <w:ind w:left="-108" w:right="-164"/>
              <w:rPr>
                <w:rFonts w:eastAsia="Times New Roman" w:cs="Times New Roman"/>
                <w:sz w:val="18"/>
                <w:szCs w:val="18"/>
                <w:lang w:eastAsia="en-AU"/>
              </w:rPr>
            </w:pPr>
          </w:p>
        </w:tc>
      </w:tr>
      <w:tr w:rsidR="000C4F7B" w:rsidTr="000C4F7B">
        <w:tc>
          <w:tcPr>
            <w:tcW w:w="9016" w:type="dxa"/>
            <w:gridSpan w:val="4"/>
            <w:tcBorders>
              <w:top w:val="single" w:sz="4" w:space="0" w:color="auto"/>
              <w:left w:val="nil"/>
              <w:right w:val="nil"/>
            </w:tcBorders>
          </w:tcPr>
          <w:p w:rsidR="000C4F7B" w:rsidRPr="000C4F7B" w:rsidRDefault="000C4F7B" w:rsidP="000C4F7B">
            <w:pPr>
              <w:widowControl w:val="0"/>
              <w:spacing w:before="40" w:after="40"/>
              <w:ind w:left="-108" w:right="-164"/>
              <w:rPr>
                <w:rFonts w:eastAsia="Times New Roman" w:cs="Times New Roman"/>
                <w:sz w:val="18"/>
                <w:szCs w:val="18"/>
                <w:lang w:eastAsia="en-AU"/>
              </w:rPr>
            </w:pPr>
            <w:r w:rsidRPr="000C4F7B">
              <w:rPr>
                <w:rFonts w:eastAsia="Times New Roman" w:cs="Times New Roman"/>
                <w:sz w:val="18"/>
                <w:szCs w:val="18"/>
                <w:lang w:val="en-US" w:eastAsia="en-AU"/>
              </w:rPr>
              <w:t xml:space="preserve">See our </w:t>
            </w:r>
            <w:hyperlink r:id="rId15" w:history="1">
              <w:r w:rsidRPr="000C4F7B">
                <w:rPr>
                  <w:rStyle w:val="Hyperlink"/>
                  <w:rFonts w:eastAsia="Times New Roman" w:cs="Times New Roman"/>
                  <w:sz w:val="18"/>
                  <w:szCs w:val="18"/>
                  <w:lang w:val="en-US" w:eastAsia="en-AU"/>
                </w:rPr>
                <w:t xml:space="preserve">Privacy Policy </w:t>
              </w:r>
            </w:hyperlink>
            <w:r w:rsidRPr="000C4F7B">
              <w:rPr>
                <w:rFonts w:eastAsia="Times New Roman" w:cs="Times New Roman"/>
                <w:sz w:val="18"/>
                <w:szCs w:val="18"/>
                <w:lang w:val="en-US" w:eastAsia="en-AU"/>
              </w:rPr>
              <w:t>webpage to learn more about accessing or correcting personal information or making a complaint. Alternatively, telephone the department on +61 2 6272 3933.</w:t>
            </w:r>
          </w:p>
        </w:tc>
      </w:tr>
    </w:tbl>
    <w:p w:rsidR="000C4F7B" w:rsidRPr="00CC1595" w:rsidRDefault="000C4F7B" w:rsidP="00CC1595">
      <w:pPr>
        <w:shd w:val="clear" w:color="auto" w:fill="FFFFFF"/>
        <w:spacing w:before="120" w:after="120" w:line="240" w:lineRule="auto"/>
      </w:pPr>
    </w:p>
    <w:sectPr w:rsidR="000C4F7B" w:rsidRPr="00CC1595" w:rsidSect="004A62F7">
      <w:headerReference w:type="default" r:id="rId16"/>
      <w:footerReference w:type="default" r:id="rId17"/>
      <w:headerReference w:type="first" r:id="rId18"/>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77E" w:rsidRDefault="0062577E" w:rsidP="00F76643">
      <w:pPr>
        <w:spacing w:after="0" w:line="240" w:lineRule="auto"/>
      </w:pPr>
      <w:r>
        <w:separator/>
      </w:r>
    </w:p>
  </w:endnote>
  <w:endnote w:type="continuationSeparator" w:id="0">
    <w:p w:rsidR="0062577E" w:rsidRDefault="0062577E" w:rsidP="00F7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A62F7" w:rsidRPr="004A62F7" w:rsidTr="004A62F7">
      <w:tc>
        <w:tcPr>
          <w:tcW w:w="4508" w:type="dxa"/>
        </w:tcPr>
        <w:p w:rsidR="004A62F7" w:rsidRPr="004A62F7" w:rsidRDefault="005E496E" w:rsidP="000C4F7B">
          <w:pPr>
            <w:pStyle w:val="Footer"/>
            <w:rPr>
              <w:sz w:val="20"/>
              <w:szCs w:val="20"/>
            </w:rPr>
          </w:pPr>
          <w:r>
            <w:rPr>
              <w:sz w:val="20"/>
              <w:szCs w:val="20"/>
            </w:rPr>
            <w:t>June 2019</w:t>
          </w:r>
        </w:p>
      </w:tc>
      <w:tc>
        <w:tcPr>
          <w:tcW w:w="4508" w:type="dxa"/>
        </w:tcPr>
        <w:p w:rsidR="004A62F7" w:rsidRPr="004A62F7" w:rsidRDefault="005E496E">
          <w:pPr>
            <w:pStyle w:val="Footer"/>
            <w:jc w:val="right"/>
            <w:rPr>
              <w:sz w:val="20"/>
              <w:szCs w:val="20"/>
            </w:rPr>
          </w:pPr>
          <w:sdt>
            <w:sdtPr>
              <w:rPr>
                <w:sz w:val="20"/>
                <w:szCs w:val="20"/>
              </w:rPr>
              <w:id w:val="-783966920"/>
              <w:docPartObj>
                <w:docPartGallery w:val="Page Numbers (Top of Page)"/>
                <w:docPartUnique/>
              </w:docPartObj>
            </w:sdtPr>
            <w:sdtEndPr/>
            <w:sdtContent>
              <w:r w:rsidR="004A62F7" w:rsidRPr="004A62F7">
                <w:rPr>
                  <w:sz w:val="20"/>
                  <w:szCs w:val="20"/>
                </w:rPr>
                <w:t xml:space="preserve">Page </w:t>
              </w:r>
              <w:r w:rsidR="004A62F7" w:rsidRPr="004A62F7">
                <w:rPr>
                  <w:b/>
                  <w:bCs/>
                  <w:sz w:val="20"/>
                  <w:szCs w:val="20"/>
                </w:rPr>
                <w:fldChar w:fldCharType="begin"/>
              </w:r>
              <w:r w:rsidR="004A62F7" w:rsidRPr="004A62F7">
                <w:rPr>
                  <w:b/>
                  <w:bCs/>
                  <w:sz w:val="20"/>
                  <w:szCs w:val="20"/>
                </w:rPr>
                <w:instrText xml:space="preserve"> PAGE </w:instrText>
              </w:r>
              <w:r w:rsidR="004A62F7" w:rsidRPr="004A62F7">
                <w:rPr>
                  <w:b/>
                  <w:bCs/>
                  <w:sz w:val="20"/>
                  <w:szCs w:val="20"/>
                </w:rPr>
                <w:fldChar w:fldCharType="separate"/>
              </w:r>
              <w:r>
                <w:rPr>
                  <w:b/>
                  <w:bCs/>
                  <w:noProof/>
                  <w:sz w:val="20"/>
                  <w:szCs w:val="20"/>
                </w:rPr>
                <w:t>4</w:t>
              </w:r>
              <w:r w:rsidR="004A62F7" w:rsidRPr="004A62F7">
                <w:rPr>
                  <w:b/>
                  <w:bCs/>
                  <w:sz w:val="20"/>
                  <w:szCs w:val="20"/>
                </w:rPr>
                <w:fldChar w:fldCharType="end"/>
              </w:r>
              <w:r w:rsidR="004A62F7" w:rsidRPr="004A62F7">
                <w:rPr>
                  <w:sz w:val="20"/>
                  <w:szCs w:val="20"/>
                </w:rPr>
                <w:t xml:space="preserve"> of </w:t>
              </w:r>
              <w:r w:rsidR="004A62F7" w:rsidRPr="004A62F7">
                <w:rPr>
                  <w:b/>
                  <w:bCs/>
                  <w:sz w:val="20"/>
                  <w:szCs w:val="20"/>
                </w:rPr>
                <w:fldChar w:fldCharType="begin"/>
              </w:r>
              <w:r w:rsidR="004A62F7" w:rsidRPr="004A62F7">
                <w:rPr>
                  <w:b/>
                  <w:bCs/>
                  <w:sz w:val="20"/>
                  <w:szCs w:val="20"/>
                </w:rPr>
                <w:instrText xml:space="preserve"> NUMPAGES  </w:instrText>
              </w:r>
              <w:r w:rsidR="004A62F7" w:rsidRPr="004A62F7">
                <w:rPr>
                  <w:b/>
                  <w:bCs/>
                  <w:sz w:val="20"/>
                  <w:szCs w:val="20"/>
                </w:rPr>
                <w:fldChar w:fldCharType="separate"/>
              </w:r>
              <w:r>
                <w:rPr>
                  <w:b/>
                  <w:bCs/>
                  <w:noProof/>
                  <w:sz w:val="20"/>
                  <w:szCs w:val="20"/>
                </w:rPr>
                <w:t>5</w:t>
              </w:r>
              <w:r w:rsidR="004A62F7" w:rsidRPr="004A62F7">
                <w:rPr>
                  <w:b/>
                  <w:bCs/>
                  <w:sz w:val="20"/>
                  <w:szCs w:val="20"/>
                </w:rPr>
                <w:fldChar w:fldCharType="end"/>
              </w:r>
            </w:sdtContent>
          </w:sdt>
        </w:p>
      </w:tc>
    </w:tr>
  </w:tbl>
  <w:p w:rsidR="004A62F7" w:rsidRPr="004A62F7" w:rsidRDefault="004A62F7">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77E" w:rsidRDefault="0062577E" w:rsidP="00F76643">
      <w:pPr>
        <w:spacing w:after="0" w:line="240" w:lineRule="auto"/>
      </w:pPr>
      <w:r>
        <w:separator/>
      </w:r>
    </w:p>
  </w:footnote>
  <w:footnote w:type="continuationSeparator" w:id="0">
    <w:p w:rsidR="0062577E" w:rsidRDefault="0062577E" w:rsidP="00F76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F7" w:rsidRPr="004A62F7" w:rsidRDefault="004A62F7" w:rsidP="004A62F7">
    <w:pPr>
      <w:pStyle w:val="Header"/>
      <w:jc w:val="right"/>
      <w:rPr>
        <w:sz w:val="20"/>
      </w:rPr>
    </w:pPr>
    <w:r w:rsidRPr="004A62F7">
      <w:rPr>
        <w:bCs/>
        <w:sz w:val="20"/>
      </w:rPr>
      <w:t>Class 5 and 7 level 3 and 4 decommission checklist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8AD" w:rsidRPr="00CC1595" w:rsidRDefault="005E496E" w:rsidP="00CC1595">
    <w:pPr>
      <w:pStyle w:val="Header"/>
      <w:tabs>
        <w:tab w:val="clear" w:pos="4513"/>
        <w:tab w:val="clear" w:pos="9026"/>
        <w:tab w:val="left" w:pos="2775"/>
      </w:tabs>
      <w:jc w:val="right"/>
      <w:rPr>
        <w:sz w:val="20"/>
        <w:szCs w:val="20"/>
      </w:rPr>
    </w:pPr>
    <w:r>
      <w:rPr>
        <w:rFonts w:cs="Segoe UI"/>
        <w:sz w:val="20"/>
        <w:szCs w:val="20"/>
      </w:rPr>
      <w:t>June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737A"/>
    <w:multiLevelType w:val="multilevel"/>
    <w:tmpl w:val="B290A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60C23"/>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55889"/>
    <w:multiLevelType w:val="multilevel"/>
    <w:tmpl w:val="82E4E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967AAB"/>
    <w:multiLevelType w:val="hybridMultilevel"/>
    <w:tmpl w:val="B202A226"/>
    <w:lvl w:ilvl="0" w:tplc="0C090003">
      <w:start w:val="1"/>
      <w:numFmt w:val="bullet"/>
      <w:lvlText w:val="o"/>
      <w:lvlJc w:val="left"/>
      <w:pPr>
        <w:ind w:left="720" w:hanging="360"/>
      </w:pPr>
      <w:rPr>
        <w:rFonts w:ascii="Courier New" w:hAnsi="Courier New" w:cs="Courier New" w:hint="default"/>
      </w:rPr>
    </w:lvl>
    <w:lvl w:ilvl="1" w:tplc="172E8312">
      <w:start w:val="1"/>
      <w:numFmt w:val="bullet"/>
      <w:lvlText w:val="o"/>
      <w:lvlJc w:val="left"/>
      <w:pPr>
        <w:ind w:left="1440" w:hanging="360"/>
      </w:pPr>
      <w:rPr>
        <w:rFonts w:ascii="Courier New" w:hAnsi="Courier New" w:cs="Courier New" w:hint="default"/>
        <w:sz w:val="2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605FC4"/>
    <w:multiLevelType w:val="multilevel"/>
    <w:tmpl w:val="400A4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0149B2"/>
    <w:multiLevelType w:val="hybridMultilevel"/>
    <w:tmpl w:val="9B1ACB6A"/>
    <w:lvl w:ilvl="0" w:tplc="0C090001">
      <w:start w:val="1"/>
      <w:numFmt w:val="bullet"/>
      <w:lvlText w:val=""/>
      <w:lvlJc w:val="left"/>
      <w:pPr>
        <w:ind w:left="510" w:hanging="360"/>
      </w:pPr>
      <w:rPr>
        <w:rFonts w:ascii="Symbol" w:hAnsi="Symbol" w:hint="default"/>
      </w:rPr>
    </w:lvl>
    <w:lvl w:ilvl="1" w:tplc="2850F906">
      <w:numFmt w:val="bullet"/>
      <w:lvlText w:val="-"/>
      <w:lvlJc w:val="left"/>
      <w:pPr>
        <w:ind w:left="1230" w:hanging="360"/>
      </w:pPr>
      <w:rPr>
        <w:rFonts w:ascii="Calibri" w:eastAsia="Times New Roman" w:hAnsi="Calibri" w:cs="Times New Roman"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6" w15:restartNumberingAfterBreak="0">
    <w:nsid w:val="2CB85D63"/>
    <w:multiLevelType w:val="multilevel"/>
    <w:tmpl w:val="AD32E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FE5930"/>
    <w:multiLevelType w:val="multilevel"/>
    <w:tmpl w:val="A9C6C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167CC7"/>
    <w:multiLevelType w:val="multilevel"/>
    <w:tmpl w:val="711E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2F4B3C"/>
    <w:multiLevelType w:val="multilevel"/>
    <w:tmpl w:val="24EA8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F35D5"/>
    <w:multiLevelType w:val="multilevel"/>
    <w:tmpl w:val="C6CC09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004FB"/>
    <w:multiLevelType w:val="hybridMultilevel"/>
    <w:tmpl w:val="FA46F00C"/>
    <w:lvl w:ilvl="0" w:tplc="0C090001">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3" w15:restartNumberingAfterBreak="0">
    <w:nsid w:val="478F701C"/>
    <w:multiLevelType w:val="multilevel"/>
    <w:tmpl w:val="D88AB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3866"/>
    <w:multiLevelType w:val="hybridMultilevel"/>
    <w:tmpl w:val="CB9EFDAC"/>
    <w:lvl w:ilvl="0" w:tplc="0C090001">
      <w:start w:val="1"/>
      <w:numFmt w:val="bullet"/>
      <w:lvlText w:val=""/>
      <w:lvlJc w:val="left"/>
      <w:pPr>
        <w:ind w:left="720" w:hanging="360"/>
      </w:pPr>
      <w:rPr>
        <w:rFonts w:ascii="Symbol" w:hAnsi="Symbol" w:hint="default"/>
      </w:rPr>
    </w:lvl>
    <w:lvl w:ilvl="1" w:tplc="E208EDC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2E3A9B"/>
    <w:multiLevelType w:val="hybridMultilevel"/>
    <w:tmpl w:val="65FE21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B56F3E"/>
    <w:multiLevelType w:val="multilevel"/>
    <w:tmpl w:val="E02468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A5684"/>
    <w:multiLevelType w:val="multilevel"/>
    <w:tmpl w:val="BD4820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5"/>
  </w:num>
  <w:num w:numId="4">
    <w:abstractNumId w:val="11"/>
  </w:num>
  <w:num w:numId="5">
    <w:abstractNumId w:val="6"/>
  </w:num>
  <w:num w:numId="6">
    <w:abstractNumId w:val="16"/>
  </w:num>
  <w:num w:numId="7">
    <w:abstractNumId w:val="2"/>
  </w:num>
  <w:num w:numId="8">
    <w:abstractNumId w:val="10"/>
  </w:num>
  <w:num w:numId="9">
    <w:abstractNumId w:val="0"/>
  </w:num>
  <w:num w:numId="10">
    <w:abstractNumId w:val="4"/>
  </w:num>
  <w:num w:numId="11">
    <w:abstractNumId w:val="7"/>
  </w:num>
  <w:num w:numId="12">
    <w:abstractNumId w:val="1"/>
  </w:num>
  <w:num w:numId="13">
    <w:abstractNumId w:val="17"/>
  </w:num>
  <w:num w:numId="14">
    <w:abstractNumId w:val="15"/>
  </w:num>
  <w:num w:numId="15">
    <w:abstractNumId w:val="14"/>
  </w:num>
  <w:num w:numId="16">
    <w:abstractNumId w:val="3"/>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87"/>
    <w:rsid w:val="00011314"/>
    <w:rsid w:val="000337B6"/>
    <w:rsid w:val="000533E9"/>
    <w:rsid w:val="00097C35"/>
    <w:rsid w:val="000B07BF"/>
    <w:rsid w:val="000C4F7B"/>
    <w:rsid w:val="000F7374"/>
    <w:rsid w:val="0010033E"/>
    <w:rsid w:val="00146AE2"/>
    <w:rsid w:val="00155F1A"/>
    <w:rsid w:val="00177D14"/>
    <w:rsid w:val="00197187"/>
    <w:rsid w:val="001D1D7E"/>
    <w:rsid w:val="002207A1"/>
    <w:rsid w:val="002345CD"/>
    <w:rsid w:val="002527F4"/>
    <w:rsid w:val="00267DCA"/>
    <w:rsid w:val="002A58E5"/>
    <w:rsid w:val="002C4A9E"/>
    <w:rsid w:val="002F11F8"/>
    <w:rsid w:val="00315150"/>
    <w:rsid w:val="00320953"/>
    <w:rsid w:val="003526C7"/>
    <w:rsid w:val="00397B33"/>
    <w:rsid w:val="003B7BD0"/>
    <w:rsid w:val="00400B4F"/>
    <w:rsid w:val="00425833"/>
    <w:rsid w:val="00460749"/>
    <w:rsid w:val="004A62F7"/>
    <w:rsid w:val="004B78F7"/>
    <w:rsid w:val="004E10D2"/>
    <w:rsid w:val="00537A01"/>
    <w:rsid w:val="005677B5"/>
    <w:rsid w:val="00573390"/>
    <w:rsid w:val="005E3E2E"/>
    <w:rsid w:val="005E496E"/>
    <w:rsid w:val="0062577E"/>
    <w:rsid w:val="006A2A9F"/>
    <w:rsid w:val="006D3381"/>
    <w:rsid w:val="00717C44"/>
    <w:rsid w:val="00736D0E"/>
    <w:rsid w:val="0075597C"/>
    <w:rsid w:val="0079525E"/>
    <w:rsid w:val="007F0D06"/>
    <w:rsid w:val="00852CB0"/>
    <w:rsid w:val="00904610"/>
    <w:rsid w:val="009179B3"/>
    <w:rsid w:val="00933116"/>
    <w:rsid w:val="00936FF9"/>
    <w:rsid w:val="00942C78"/>
    <w:rsid w:val="00975A51"/>
    <w:rsid w:val="009978CD"/>
    <w:rsid w:val="009C22C7"/>
    <w:rsid w:val="009C434B"/>
    <w:rsid w:val="009D29B0"/>
    <w:rsid w:val="00A01BE4"/>
    <w:rsid w:val="00A06EA3"/>
    <w:rsid w:val="00A14C72"/>
    <w:rsid w:val="00A15597"/>
    <w:rsid w:val="00A70BEF"/>
    <w:rsid w:val="00A93F1B"/>
    <w:rsid w:val="00AB006D"/>
    <w:rsid w:val="00AE0923"/>
    <w:rsid w:val="00AF1940"/>
    <w:rsid w:val="00AF784E"/>
    <w:rsid w:val="00B7215E"/>
    <w:rsid w:val="00BB3576"/>
    <w:rsid w:val="00BB65F9"/>
    <w:rsid w:val="00BE78B4"/>
    <w:rsid w:val="00C16446"/>
    <w:rsid w:val="00C87608"/>
    <w:rsid w:val="00CA01B8"/>
    <w:rsid w:val="00CA1ADC"/>
    <w:rsid w:val="00CC1595"/>
    <w:rsid w:val="00CF6F19"/>
    <w:rsid w:val="00D3486C"/>
    <w:rsid w:val="00D558E5"/>
    <w:rsid w:val="00D62BF0"/>
    <w:rsid w:val="00D82B2E"/>
    <w:rsid w:val="00DF78AD"/>
    <w:rsid w:val="00E11C95"/>
    <w:rsid w:val="00EC0882"/>
    <w:rsid w:val="00F011F8"/>
    <w:rsid w:val="00F13DC7"/>
    <w:rsid w:val="00F21695"/>
    <w:rsid w:val="00F575B0"/>
    <w:rsid w:val="00F766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CADE3EDC-C60C-4D43-9559-C87C9D98C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187"/>
  </w:style>
  <w:style w:type="paragraph" w:styleId="Heading1">
    <w:name w:val="heading 1"/>
    <w:basedOn w:val="Normal"/>
    <w:next w:val="Normal"/>
    <w:link w:val="Heading1Char"/>
    <w:uiPriority w:val="9"/>
    <w:qFormat/>
    <w:rsid w:val="00F766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11C95"/>
    <w:pPr>
      <w:shd w:val="clear" w:color="auto" w:fill="FFFFFF"/>
      <w:spacing w:before="100" w:beforeAutospacing="1" w:after="100" w:afterAutospacing="1" w:line="240" w:lineRule="auto"/>
      <w:jc w:val="center"/>
      <w:outlineLvl w:val="1"/>
    </w:pPr>
    <w:rPr>
      <w:rFonts w:ascii="Calibri" w:eastAsia="Times New Roman" w:hAnsi="Calibri" w:cs="Times New Roman"/>
      <w:b/>
      <w:bCs/>
      <w:color w:val="284E36"/>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87"/>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197187"/>
    <w:rPr>
      <w:color w:val="0000FF" w:themeColor="hyperlink"/>
      <w:u w:val="single"/>
    </w:rPr>
  </w:style>
  <w:style w:type="paragraph" w:styleId="ListParagraph">
    <w:name w:val="List Paragraph"/>
    <w:basedOn w:val="Normal"/>
    <w:uiPriority w:val="34"/>
    <w:qFormat/>
    <w:rsid w:val="00197187"/>
    <w:pPr>
      <w:ind w:left="720"/>
      <w:contextualSpacing/>
    </w:pPr>
  </w:style>
  <w:style w:type="paragraph" w:styleId="BalloonText">
    <w:name w:val="Balloon Text"/>
    <w:basedOn w:val="Normal"/>
    <w:link w:val="BalloonTextChar"/>
    <w:uiPriority w:val="99"/>
    <w:semiHidden/>
    <w:unhideWhenUsed/>
    <w:rsid w:val="001971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187"/>
    <w:rPr>
      <w:rFonts w:ascii="Tahoma" w:hAnsi="Tahoma" w:cs="Tahoma"/>
      <w:sz w:val="16"/>
      <w:szCs w:val="16"/>
    </w:rPr>
  </w:style>
  <w:style w:type="character" w:styleId="FollowedHyperlink">
    <w:name w:val="FollowedHyperlink"/>
    <w:basedOn w:val="DefaultParagraphFont"/>
    <w:uiPriority w:val="99"/>
    <w:semiHidden/>
    <w:unhideWhenUsed/>
    <w:rsid w:val="002A58E5"/>
    <w:rPr>
      <w:color w:val="800080" w:themeColor="followedHyperlink"/>
      <w:u w:val="single"/>
    </w:rPr>
  </w:style>
  <w:style w:type="paragraph" w:styleId="Header">
    <w:name w:val="header"/>
    <w:basedOn w:val="Normal"/>
    <w:link w:val="HeaderChar"/>
    <w:uiPriority w:val="99"/>
    <w:unhideWhenUsed/>
    <w:rsid w:val="00F76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643"/>
  </w:style>
  <w:style w:type="paragraph" w:styleId="Footer">
    <w:name w:val="footer"/>
    <w:basedOn w:val="Normal"/>
    <w:link w:val="FooterChar"/>
    <w:uiPriority w:val="99"/>
    <w:unhideWhenUsed/>
    <w:rsid w:val="00F76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643"/>
  </w:style>
  <w:style w:type="character" w:customStyle="1" w:styleId="Heading1Char">
    <w:name w:val="Heading 1 Char"/>
    <w:basedOn w:val="DefaultParagraphFont"/>
    <w:link w:val="Heading1"/>
    <w:uiPriority w:val="9"/>
    <w:rsid w:val="00F76643"/>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76643"/>
    <w:rPr>
      <w:sz w:val="16"/>
      <w:szCs w:val="16"/>
    </w:rPr>
  </w:style>
  <w:style w:type="paragraph" w:styleId="CommentText">
    <w:name w:val="annotation text"/>
    <w:basedOn w:val="Normal"/>
    <w:link w:val="CommentTextChar"/>
    <w:uiPriority w:val="99"/>
    <w:semiHidden/>
    <w:unhideWhenUsed/>
    <w:rsid w:val="00F76643"/>
    <w:pPr>
      <w:spacing w:line="240" w:lineRule="auto"/>
    </w:pPr>
    <w:rPr>
      <w:sz w:val="20"/>
      <w:szCs w:val="20"/>
    </w:rPr>
  </w:style>
  <w:style w:type="character" w:customStyle="1" w:styleId="CommentTextChar">
    <w:name w:val="Comment Text Char"/>
    <w:basedOn w:val="DefaultParagraphFont"/>
    <w:link w:val="CommentText"/>
    <w:uiPriority w:val="99"/>
    <w:semiHidden/>
    <w:rsid w:val="00F76643"/>
    <w:rPr>
      <w:sz w:val="20"/>
      <w:szCs w:val="20"/>
    </w:rPr>
  </w:style>
  <w:style w:type="paragraph" w:styleId="CommentSubject">
    <w:name w:val="annotation subject"/>
    <w:basedOn w:val="CommentText"/>
    <w:next w:val="CommentText"/>
    <w:link w:val="CommentSubjectChar"/>
    <w:uiPriority w:val="99"/>
    <w:semiHidden/>
    <w:unhideWhenUsed/>
    <w:rsid w:val="00F76643"/>
    <w:rPr>
      <w:b/>
      <w:bCs/>
    </w:rPr>
  </w:style>
  <w:style w:type="character" w:customStyle="1" w:styleId="CommentSubjectChar">
    <w:name w:val="Comment Subject Char"/>
    <w:basedOn w:val="CommentTextChar"/>
    <w:link w:val="CommentSubject"/>
    <w:uiPriority w:val="99"/>
    <w:semiHidden/>
    <w:rsid w:val="00F76643"/>
    <w:rPr>
      <w:b/>
      <w:bCs/>
      <w:sz w:val="20"/>
      <w:szCs w:val="20"/>
    </w:rPr>
  </w:style>
  <w:style w:type="paragraph" w:styleId="Revision">
    <w:name w:val="Revision"/>
    <w:hidden/>
    <w:uiPriority w:val="99"/>
    <w:semiHidden/>
    <w:rsid w:val="00F76643"/>
    <w:pPr>
      <w:spacing w:after="0" w:line="240" w:lineRule="auto"/>
    </w:pPr>
  </w:style>
  <w:style w:type="character" w:customStyle="1" w:styleId="Heading2Char">
    <w:name w:val="Heading 2 Char"/>
    <w:basedOn w:val="DefaultParagraphFont"/>
    <w:link w:val="Heading2"/>
    <w:uiPriority w:val="9"/>
    <w:rsid w:val="00E11C95"/>
    <w:rPr>
      <w:rFonts w:ascii="Calibri" w:eastAsia="Times New Roman" w:hAnsi="Calibri" w:cs="Times New Roman"/>
      <w:b/>
      <w:bCs/>
      <w:color w:val="284E36"/>
      <w:sz w:val="27"/>
      <w:szCs w:val="27"/>
      <w:shd w:val="clear" w:color="auto" w:fill="FFFFFF"/>
      <w:lang w:eastAsia="en-AU"/>
    </w:rPr>
  </w:style>
  <w:style w:type="table" w:styleId="TableGrid">
    <w:name w:val="Table Grid"/>
    <w:basedOn w:val="TableNormal"/>
    <w:uiPriority w:val="59"/>
    <w:rsid w:val="00CC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rsid w:val="00942C78"/>
    <w:pPr>
      <w:spacing w:after="0" w:line="240" w:lineRule="auto"/>
      <w:ind w:left="247"/>
    </w:pPr>
    <w:rPr>
      <w:rFonts w:ascii="Arial" w:hAnsi="Arial" w:cs="Arial"/>
      <w:sz w:val="24"/>
      <w:szCs w:val="24"/>
    </w:rPr>
  </w:style>
  <w:style w:type="character" w:customStyle="1" w:styleId="BodyTextChar">
    <w:name w:val="Body Text Char"/>
    <w:basedOn w:val="DefaultParagraphFont"/>
    <w:link w:val="BodyText"/>
    <w:uiPriority w:val="1"/>
    <w:semiHidden/>
    <w:rsid w:val="00942C7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948151">
      <w:bodyDiv w:val="1"/>
      <w:marLeft w:val="0"/>
      <w:marRight w:val="0"/>
      <w:marTop w:val="0"/>
      <w:marBottom w:val="0"/>
      <w:divBdr>
        <w:top w:val="none" w:sz="0" w:space="0" w:color="auto"/>
        <w:left w:val="none" w:sz="0" w:space="0" w:color="auto"/>
        <w:bottom w:val="none" w:sz="0" w:space="0" w:color="auto"/>
        <w:right w:val="none" w:sz="0" w:space="0" w:color="auto"/>
      </w:divBdr>
    </w:div>
    <w:div w:id="1970668720">
      <w:bodyDiv w:val="1"/>
      <w:marLeft w:val="0"/>
      <w:marRight w:val="0"/>
      <w:marTop w:val="0"/>
      <w:marBottom w:val="0"/>
      <w:divBdr>
        <w:top w:val="none" w:sz="0" w:space="0" w:color="auto"/>
        <w:left w:val="none" w:sz="0" w:space="0" w:color="auto"/>
        <w:bottom w:val="none" w:sz="0" w:space="0" w:color="auto"/>
        <w:right w:val="none" w:sz="0" w:space="0" w:color="auto"/>
      </w:divBdr>
      <w:divsChild>
        <w:div w:id="1585411640">
          <w:marLeft w:val="0"/>
          <w:marRight w:val="0"/>
          <w:marTop w:val="0"/>
          <w:marBottom w:val="0"/>
          <w:divBdr>
            <w:top w:val="none" w:sz="0" w:space="0" w:color="auto"/>
            <w:left w:val="none" w:sz="0" w:space="0" w:color="auto"/>
            <w:bottom w:val="none" w:sz="0" w:space="0" w:color="auto"/>
            <w:right w:val="none" w:sz="0" w:space="0" w:color="auto"/>
          </w:divBdr>
          <w:divsChild>
            <w:div w:id="1711148512">
              <w:marLeft w:val="0"/>
              <w:marRight w:val="0"/>
              <w:marTop w:val="0"/>
              <w:marBottom w:val="0"/>
              <w:divBdr>
                <w:top w:val="none" w:sz="0" w:space="0" w:color="auto"/>
                <w:left w:val="none" w:sz="0" w:space="0" w:color="auto"/>
                <w:bottom w:val="none" w:sz="0" w:space="0" w:color="auto"/>
                <w:right w:val="none" w:sz="0" w:space="0" w:color="auto"/>
              </w:divBdr>
              <w:divsChild>
                <w:div w:id="496269143">
                  <w:marLeft w:val="3870"/>
                  <w:marRight w:val="0"/>
                  <w:marTop w:val="0"/>
                  <w:marBottom w:val="0"/>
                  <w:divBdr>
                    <w:top w:val="none" w:sz="0" w:space="0" w:color="auto"/>
                    <w:left w:val="none" w:sz="0" w:space="0" w:color="auto"/>
                    <w:bottom w:val="none" w:sz="0" w:space="0" w:color="auto"/>
                    <w:right w:val="none" w:sz="0" w:space="0" w:color="auto"/>
                  </w:divBdr>
                  <w:divsChild>
                    <w:div w:id="1242715069">
                      <w:marLeft w:val="0"/>
                      <w:marRight w:val="0"/>
                      <w:marTop w:val="0"/>
                      <w:marBottom w:val="300"/>
                      <w:divBdr>
                        <w:top w:val="none" w:sz="0" w:space="0" w:color="auto"/>
                        <w:left w:val="none" w:sz="0" w:space="0" w:color="auto"/>
                        <w:bottom w:val="none" w:sz="0" w:space="0" w:color="auto"/>
                        <w:right w:val="none" w:sz="0" w:space="0" w:color="auto"/>
                      </w:divBdr>
                      <w:divsChild>
                        <w:div w:id="205095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griculture.gov.au/about/contactus/phone/approved-premises?wasRedirectedByModule=true"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griculture.gov.au/about/contactus/phone/approved-premises?wasRedirectedByModule=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agriculture.gov.au/about/privacy" TargetMode="External"/><Relationship Id="rId10" Type="http://schemas.openxmlformats.org/officeDocument/2006/relationships/hyperlink" Target="http://mylink.agdaff.gov.au/StaffServices/Comms/CreateContent/Branding/Logos/Departmental%20Logos/Dept%20of%20Agriculture/AG_Inline_black.jp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a.canberra@agricultur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4D1DB-6976-4A8A-9F50-1E8302DC5A8D}">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6C632A23-DE52-461E-A271-965EFAC28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0F304D-8B86-4ACC-8598-0EDF5C4E0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Decommission checklist for classes 5.3, 7.3, 5.4 and 7.4 AA sites</vt:lpstr>
    </vt:vector>
  </TitlesOfParts>
  <Company>Department of Agriculture Fisheries &amp; Forestry</Company>
  <LinksUpToDate>false</LinksUpToDate>
  <CharactersWithSpaces>10357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Decommission checklist for classes 5.3, 7.3, 5.4 and 7.4 AA sites</dc:title>
  <dc:creator>Australian Government Department of Agriculture and Water Resources</dc:creator>
  <cp:lastModifiedBy>Aimie Wilkinson</cp:lastModifiedBy>
  <cp:revision>2</cp:revision>
  <dcterms:created xsi:type="dcterms:W3CDTF">2019-06-24T02:21:00Z</dcterms:created>
  <dcterms:modified xsi:type="dcterms:W3CDTF">2019-06-24T02:21:00Z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