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23F" w:rsidRDefault="000E68B0">
      <w:pPr>
        <w:pStyle w:val="Heading1"/>
      </w:pPr>
      <w:r>
        <w:t>Imported food inspection data: January to December 2018</w:t>
      </w:r>
    </w:p>
    <w:p w:rsidR="001F723F" w:rsidRDefault="000E68B0">
      <w:pPr>
        <w:pStyle w:val="Author"/>
        <w:rPr>
          <w:lang w:val="es-ES"/>
        </w:rPr>
      </w:pPr>
      <w:r>
        <w:rPr>
          <w:lang w:val="es-ES"/>
        </w:rPr>
        <w:t xml:space="preserve">Imported Food </w:t>
      </w:r>
      <w:proofErr w:type="spellStart"/>
      <w:r>
        <w:rPr>
          <w:lang w:val="es-ES"/>
        </w:rPr>
        <w:t>Inspection</w:t>
      </w:r>
      <w:proofErr w:type="spellEnd"/>
      <w:r>
        <w:rPr>
          <w:lang w:val="es-ES"/>
        </w:rPr>
        <w:t xml:space="preserve"> </w:t>
      </w:r>
      <w:proofErr w:type="spellStart"/>
      <w:r>
        <w:rPr>
          <w:lang w:val="es-ES"/>
        </w:rPr>
        <w:t>Scheme</w:t>
      </w:r>
      <w:proofErr w:type="spellEnd"/>
    </w:p>
    <w:p w:rsidR="001F723F" w:rsidRDefault="000E68B0">
      <w:pPr>
        <w:pStyle w:val="Picture"/>
      </w:pPr>
      <w:r>
        <w:drawing>
          <wp:inline distT="0" distB="0" distL="0" distR="0" wp14:anchorId="28A5D99A" wp14:editId="7D99AEED">
            <wp:extent cx="5765165" cy="5516245"/>
            <wp:effectExtent l="19050" t="0" r="698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5165" cy="5516245"/>
                    </a:xfrm>
                    <a:prstGeom prst="rect">
                      <a:avLst/>
                    </a:prstGeom>
                    <a:noFill/>
                    <a:ln w="9525">
                      <a:noFill/>
                      <a:miter lim="800000"/>
                      <a:headEnd/>
                      <a:tailEnd/>
                    </a:ln>
                  </pic:spPr>
                </pic:pic>
              </a:graphicData>
            </a:graphic>
          </wp:inline>
        </w:drawing>
      </w:r>
    </w:p>
    <w:p w:rsidR="001F723F" w:rsidRDefault="000E68B0">
      <w:pPr>
        <w:pStyle w:val="Normalsmall"/>
      </w:pPr>
      <w:r>
        <w:br w:type="page"/>
      </w:r>
      <w:r>
        <w:lastRenderedPageBreak/>
        <w:t>© Commonwealth of Australia 2019</w:t>
      </w:r>
    </w:p>
    <w:p w:rsidR="001F723F" w:rsidRDefault="000E68B0">
      <w:pPr>
        <w:pStyle w:val="Normalsmall"/>
        <w:rPr>
          <w:rStyle w:val="Strong"/>
        </w:rPr>
      </w:pPr>
      <w:r>
        <w:rPr>
          <w:rStyle w:val="Strong"/>
        </w:rPr>
        <w:t>Ownership of intellectual property rights</w:t>
      </w:r>
    </w:p>
    <w:p w:rsidR="001F723F" w:rsidRDefault="000E68B0">
      <w:pPr>
        <w:pStyle w:val="Normalsmall"/>
      </w:pPr>
      <w:r>
        <w:t>Unless otherwise noted, copyright (and any other intellectual property rights, if any) in this publication is owned by the Commonwealth of Australia (referred to as the Commonwealth).</w:t>
      </w:r>
    </w:p>
    <w:p w:rsidR="001F723F" w:rsidRDefault="000E68B0">
      <w:pPr>
        <w:pStyle w:val="Normalsmall"/>
        <w:rPr>
          <w:rStyle w:val="Strong"/>
        </w:rPr>
      </w:pPr>
      <w:proofErr w:type="gramStart"/>
      <w:r>
        <w:rPr>
          <w:rStyle w:val="Strong"/>
        </w:rPr>
        <w:t>Creative Commons</w:t>
      </w:r>
      <w:proofErr w:type="gramEnd"/>
      <w:r>
        <w:rPr>
          <w:rStyle w:val="Strong"/>
        </w:rPr>
        <w:t xml:space="preserve"> licence</w:t>
      </w:r>
    </w:p>
    <w:p w:rsidR="001F723F" w:rsidRDefault="000E68B0">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rsidR="001F723F" w:rsidRDefault="000E68B0">
      <w:pPr>
        <w:pStyle w:val="Normalsmall"/>
      </w:pPr>
      <w:r>
        <w:t xml:space="preserve">Inquiries about the licence and any use of this document should be emailed to </w:t>
      </w:r>
      <w:hyperlink r:id="rId13" w:history="1">
        <w:r>
          <w:rPr>
            <w:rStyle w:val="Hyperlink"/>
          </w:rPr>
          <w:t>copyright@agriculture.gov.au</w:t>
        </w:r>
      </w:hyperlink>
      <w:r>
        <w:t>.</w:t>
      </w:r>
    </w:p>
    <w:p w:rsidR="001F723F" w:rsidRDefault="000E68B0">
      <w:pPr>
        <w:pStyle w:val="Normalsmall"/>
      </w:pPr>
      <w:r>
        <w:rPr>
          <w:noProof/>
          <w:lang w:eastAsia="en-AU"/>
        </w:rPr>
        <w:drawing>
          <wp:inline distT="0" distB="0" distL="0" distR="0" wp14:anchorId="0BD8ACF7" wp14:editId="127044BE">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1F723F" w:rsidRDefault="000E68B0">
      <w:pPr>
        <w:pStyle w:val="Normalsmall"/>
        <w:rPr>
          <w:rStyle w:val="Strong"/>
        </w:rPr>
      </w:pPr>
      <w:r>
        <w:rPr>
          <w:rStyle w:val="Strong"/>
        </w:rPr>
        <w:t>Cataloguing data</w:t>
      </w:r>
    </w:p>
    <w:p w:rsidR="001F723F" w:rsidRDefault="000E68B0">
      <w:pPr>
        <w:pStyle w:val="Normalsmall"/>
      </w:pPr>
      <w:r>
        <w:t xml:space="preserve">This publication (and any material sourced from it) should be attributed as: Department of Agriculture 2019, </w:t>
      </w:r>
      <w:r>
        <w:rPr>
          <w:i/>
        </w:rPr>
        <w:t>Imported food inspection data: January to December 2018</w:t>
      </w:r>
      <w:r>
        <w:t>, Canberra, August. CC BY 4.0.</w:t>
      </w:r>
    </w:p>
    <w:p w:rsidR="001F723F" w:rsidRPr="00566416" w:rsidRDefault="00566416">
      <w:pPr>
        <w:pStyle w:val="Normalsmall"/>
      </w:pPr>
      <w:r>
        <w:t>ISBN 978-1</w:t>
      </w:r>
      <w:r w:rsidR="000E68B0" w:rsidRPr="00566416">
        <w:t>-</w:t>
      </w:r>
      <w:r>
        <w:t>76003-221-0</w:t>
      </w:r>
    </w:p>
    <w:p w:rsidR="001F723F" w:rsidRDefault="000E68B0">
      <w:pPr>
        <w:pStyle w:val="Normalsmall"/>
      </w:pPr>
      <w:r>
        <w:t xml:space="preserve">This publication is available at </w:t>
      </w:r>
      <w:hyperlink r:id="rId15" w:history="1">
        <w:r>
          <w:rPr>
            <w:rStyle w:val="Hyperlink"/>
          </w:rPr>
          <w:t>agriculture.gov.au/import/goods/food/inspection-compliance/inspection-data</w:t>
        </w:r>
      </w:hyperlink>
      <w:r>
        <w:t>.</w:t>
      </w:r>
    </w:p>
    <w:p w:rsidR="001F723F" w:rsidRDefault="000E68B0">
      <w:pPr>
        <w:pStyle w:val="Normalsmall"/>
        <w:spacing w:after="0"/>
      </w:pPr>
      <w:r>
        <w:t>Department of Agriculture</w:t>
      </w:r>
    </w:p>
    <w:p w:rsidR="001F723F" w:rsidRDefault="000E68B0">
      <w:pPr>
        <w:pStyle w:val="Normalsmall"/>
        <w:spacing w:after="0"/>
      </w:pPr>
      <w:r>
        <w:t>GPO Box 858 Canberra ACT 2601</w:t>
      </w:r>
    </w:p>
    <w:p w:rsidR="001F723F" w:rsidRDefault="000E68B0">
      <w:pPr>
        <w:pStyle w:val="Normalsmall"/>
        <w:spacing w:after="0"/>
      </w:pPr>
      <w:r>
        <w:t>Telephone 1800 900 090</w:t>
      </w:r>
    </w:p>
    <w:p w:rsidR="001F723F" w:rsidRDefault="000E68B0">
      <w:pPr>
        <w:pStyle w:val="Normalsmall"/>
      </w:pPr>
      <w:r>
        <w:t xml:space="preserve">Web </w:t>
      </w:r>
      <w:hyperlink r:id="rId16" w:history="1">
        <w:r>
          <w:rPr>
            <w:rStyle w:val="Hyperlink"/>
          </w:rPr>
          <w:t>agriculture.gov.au</w:t>
        </w:r>
      </w:hyperlink>
    </w:p>
    <w:p w:rsidR="001F723F" w:rsidRDefault="000E68B0">
      <w:pPr>
        <w:pStyle w:val="Normalsmall"/>
      </w:pPr>
      <w:r>
        <w:t>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rsidR="001F723F" w:rsidRDefault="000E68B0">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rsidR="001F723F" w:rsidRDefault="000E68B0">
          <w:pPr>
            <w:pStyle w:val="TOCHeading"/>
          </w:pPr>
          <w:r>
            <w:t>Contents</w:t>
          </w:r>
        </w:p>
        <w:p w:rsidR="001F723F" w:rsidRDefault="000E68B0">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6519501" w:history="1">
            <w:r>
              <w:rPr>
                <w:rStyle w:val="Hyperlink"/>
              </w:rPr>
              <w:t>Introduction</w:t>
            </w:r>
            <w:r>
              <w:rPr>
                <w:webHidden/>
              </w:rPr>
              <w:tab/>
            </w:r>
            <w:r>
              <w:rPr>
                <w:webHidden/>
              </w:rPr>
              <w:fldChar w:fldCharType="begin"/>
            </w:r>
            <w:r>
              <w:rPr>
                <w:webHidden/>
              </w:rPr>
              <w:instrText xml:space="preserve"> PAGEREF _Toc16519501 \h </w:instrText>
            </w:r>
            <w:r>
              <w:rPr>
                <w:webHidden/>
              </w:rPr>
            </w:r>
            <w:r>
              <w:rPr>
                <w:webHidden/>
              </w:rPr>
              <w:fldChar w:fldCharType="separate"/>
            </w:r>
            <w:r>
              <w:rPr>
                <w:webHidden/>
              </w:rPr>
              <w:t>1</w:t>
            </w:r>
            <w:r>
              <w:rPr>
                <w:webHidden/>
              </w:rPr>
              <w:fldChar w:fldCharType="end"/>
            </w:r>
          </w:hyperlink>
        </w:p>
        <w:p w:rsidR="001F723F" w:rsidRDefault="000E73FE">
          <w:pPr>
            <w:pStyle w:val="TOC1"/>
            <w:rPr>
              <w:rFonts w:asciiTheme="minorHAnsi" w:eastAsiaTheme="minorEastAsia" w:hAnsiTheme="minorHAnsi"/>
              <w:b w:val="0"/>
              <w:lang w:eastAsia="en-AU"/>
            </w:rPr>
          </w:pPr>
          <w:hyperlink w:anchor="_Toc16519502" w:history="1">
            <w:r w:rsidR="000E68B0">
              <w:rPr>
                <w:rStyle w:val="Hyperlink"/>
              </w:rPr>
              <w:t>1</w:t>
            </w:r>
            <w:r w:rsidR="000E68B0">
              <w:rPr>
                <w:rFonts w:asciiTheme="minorHAnsi" w:eastAsiaTheme="minorEastAsia" w:hAnsiTheme="minorHAnsi"/>
                <w:b w:val="0"/>
                <w:lang w:eastAsia="en-AU"/>
              </w:rPr>
              <w:tab/>
            </w:r>
            <w:r w:rsidR="000E68B0">
              <w:rPr>
                <w:rStyle w:val="Hyperlink"/>
              </w:rPr>
              <w:t>Imported Food Inspection Scheme</w:t>
            </w:r>
            <w:r w:rsidR="000E68B0">
              <w:rPr>
                <w:webHidden/>
              </w:rPr>
              <w:tab/>
            </w:r>
            <w:r w:rsidR="000E68B0">
              <w:rPr>
                <w:webHidden/>
              </w:rPr>
              <w:fldChar w:fldCharType="begin"/>
            </w:r>
            <w:r w:rsidR="000E68B0">
              <w:rPr>
                <w:webHidden/>
              </w:rPr>
              <w:instrText xml:space="preserve"> PAGEREF _Toc16519502 \h </w:instrText>
            </w:r>
            <w:r w:rsidR="000E68B0">
              <w:rPr>
                <w:webHidden/>
              </w:rPr>
            </w:r>
            <w:r w:rsidR="000E68B0">
              <w:rPr>
                <w:webHidden/>
              </w:rPr>
              <w:fldChar w:fldCharType="separate"/>
            </w:r>
            <w:r w:rsidR="000E68B0">
              <w:rPr>
                <w:webHidden/>
              </w:rPr>
              <w:t>2</w:t>
            </w:r>
            <w:r w:rsidR="000E68B0">
              <w:rPr>
                <w:webHidden/>
              </w:rPr>
              <w:fldChar w:fldCharType="end"/>
            </w:r>
          </w:hyperlink>
        </w:p>
        <w:p w:rsidR="001F723F" w:rsidRDefault="000E73FE">
          <w:pPr>
            <w:pStyle w:val="TOC2"/>
            <w:tabs>
              <w:tab w:val="left" w:pos="1100"/>
            </w:tabs>
            <w:rPr>
              <w:rFonts w:asciiTheme="minorHAnsi" w:eastAsiaTheme="minorEastAsia" w:hAnsiTheme="minorHAnsi"/>
              <w:lang w:eastAsia="en-AU"/>
            </w:rPr>
          </w:pPr>
          <w:hyperlink w:anchor="_Toc16519503" w:history="1">
            <w:r w:rsidR="000E68B0">
              <w:rPr>
                <w:rStyle w:val="Hyperlink"/>
              </w:rPr>
              <w:t>1.1</w:t>
            </w:r>
            <w:r w:rsidR="000E68B0">
              <w:rPr>
                <w:rFonts w:asciiTheme="minorHAnsi" w:eastAsiaTheme="minorEastAsia" w:hAnsiTheme="minorHAnsi"/>
                <w:lang w:eastAsia="en-AU"/>
              </w:rPr>
              <w:tab/>
            </w:r>
            <w:r w:rsidR="000E68B0">
              <w:rPr>
                <w:rStyle w:val="Hyperlink"/>
              </w:rPr>
              <w:t>Australian food trade</w:t>
            </w:r>
            <w:r w:rsidR="000E68B0">
              <w:rPr>
                <w:webHidden/>
              </w:rPr>
              <w:tab/>
            </w:r>
            <w:r w:rsidR="000E68B0">
              <w:rPr>
                <w:webHidden/>
              </w:rPr>
              <w:fldChar w:fldCharType="begin"/>
            </w:r>
            <w:r w:rsidR="000E68B0">
              <w:rPr>
                <w:webHidden/>
              </w:rPr>
              <w:instrText xml:space="preserve"> PAGEREF _Toc16519503 \h </w:instrText>
            </w:r>
            <w:r w:rsidR="000E68B0">
              <w:rPr>
                <w:webHidden/>
              </w:rPr>
            </w:r>
            <w:r w:rsidR="000E68B0">
              <w:rPr>
                <w:webHidden/>
              </w:rPr>
              <w:fldChar w:fldCharType="separate"/>
            </w:r>
            <w:r w:rsidR="000E68B0">
              <w:rPr>
                <w:webHidden/>
              </w:rPr>
              <w:t>3</w:t>
            </w:r>
            <w:r w:rsidR="000E68B0">
              <w:rPr>
                <w:webHidden/>
              </w:rPr>
              <w:fldChar w:fldCharType="end"/>
            </w:r>
          </w:hyperlink>
        </w:p>
        <w:p w:rsidR="001F723F" w:rsidRDefault="000E73FE">
          <w:pPr>
            <w:pStyle w:val="TOC2"/>
            <w:tabs>
              <w:tab w:val="left" w:pos="1100"/>
            </w:tabs>
            <w:rPr>
              <w:rFonts w:asciiTheme="minorHAnsi" w:eastAsiaTheme="minorEastAsia" w:hAnsiTheme="minorHAnsi"/>
              <w:lang w:eastAsia="en-AU"/>
            </w:rPr>
          </w:pPr>
          <w:hyperlink w:anchor="_Toc16519504" w:history="1">
            <w:r w:rsidR="000E68B0">
              <w:rPr>
                <w:rStyle w:val="Hyperlink"/>
                <w:lang w:eastAsia="ja-JP"/>
              </w:rPr>
              <w:t>1.2</w:t>
            </w:r>
            <w:r w:rsidR="000E68B0">
              <w:rPr>
                <w:rFonts w:asciiTheme="minorHAnsi" w:eastAsiaTheme="minorEastAsia" w:hAnsiTheme="minorHAnsi"/>
                <w:lang w:eastAsia="en-AU"/>
              </w:rPr>
              <w:tab/>
            </w:r>
            <w:r w:rsidR="000E68B0">
              <w:rPr>
                <w:rStyle w:val="Hyperlink"/>
              </w:rPr>
              <w:t>Australian food imports</w:t>
            </w:r>
            <w:r w:rsidR="000E68B0">
              <w:rPr>
                <w:webHidden/>
              </w:rPr>
              <w:tab/>
            </w:r>
            <w:r w:rsidR="000E68B0">
              <w:rPr>
                <w:webHidden/>
              </w:rPr>
              <w:fldChar w:fldCharType="begin"/>
            </w:r>
            <w:r w:rsidR="000E68B0">
              <w:rPr>
                <w:webHidden/>
              </w:rPr>
              <w:instrText xml:space="preserve"> PAGEREF _Toc16519504 \h </w:instrText>
            </w:r>
            <w:r w:rsidR="000E68B0">
              <w:rPr>
                <w:webHidden/>
              </w:rPr>
            </w:r>
            <w:r w:rsidR="000E68B0">
              <w:rPr>
                <w:webHidden/>
              </w:rPr>
              <w:fldChar w:fldCharType="separate"/>
            </w:r>
            <w:r w:rsidR="000E68B0">
              <w:rPr>
                <w:webHidden/>
              </w:rPr>
              <w:t>3</w:t>
            </w:r>
            <w:r w:rsidR="000E68B0">
              <w:rPr>
                <w:webHidden/>
              </w:rPr>
              <w:fldChar w:fldCharType="end"/>
            </w:r>
          </w:hyperlink>
        </w:p>
        <w:p w:rsidR="001F723F" w:rsidRDefault="000E73FE">
          <w:pPr>
            <w:pStyle w:val="TOC2"/>
            <w:tabs>
              <w:tab w:val="left" w:pos="1100"/>
            </w:tabs>
            <w:rPr>
              <w:rFonts w:asciiTheme="minorHAnsi" w:eastAsiaTheme="minorEastAsia" w:hAnsiTheme="minorHAnsi"/>
              <w:lang w:eastAsia="en-AU"/>
            </w:rPr>
          </w:pPr>
          <w:hyperlink w:anchor="_Toc16519505" w:history="1">
            <w:r w:rsidR="000E68B0">
              <w:rPr>
                <w:rStyle w:val="Hyperlink"/>
                <w:lang w:eastAsia="ja-JP"/>
              </w:rPr>
              <w:t>1.3</w:t>
            </w:r>
            <w:r w:rsidR="000E68B0">
              <w:rPr>
                <w:rFonts w:asciiTheme="minorHAnsi" w:eastAsiaTheme="minorEastAsia" w:hAnsiTheme="minorHAnsi"/>
                <w:lang w:eastAsia="en-AU"/>
              </w:rPr>
              <w:tab/>
            </w:r>
            <w:r w:rsidR="000E68B0">
              <w:rPr>
                <w:rStyle w:val="Hyperlink"/>
              </w:rPr>
              <w:t>Source of Australian food imports</w:t>
            </w:r>
            <w:r w:rsidR="000E68B0">
              <w:rPr>
                <w:webHidden/>
              </w:rPr>
              <w:tab/>
            </w:r>
            <w:r w:rsidR="000E68B0">
              <w:rPr>
                <w:webHidden/>
              </w:rPr>
              <w:fldChar w:fldCharType="begin"/>
            </w:r>
            <w:r w:rsidR="000E68B0">
              <w:rPr>
                <w:webHidden/>
              </w:rPr>
              <w:instrText xml:space="preserve"> PAGEREF _Toc16519505 \h </w:instrText>
            </w:r>
            <w:r w:rsidR="000E68B0">
              <w:rPr>
                <w:webHidden/>
              </w:rPr>
            </w:r>
            <w:r w:rsidR="000E68B0">
              <w:rPr>
                <w:webHidden/>
              </w:rPr>
              <w:fldChar w:fldCharType="separate"/>
            </w:r>
            <w:r w:rsidR="000E68B0">
              <w:rPr>
                <w:webHidden/>
              </w:rPr>
              <w:t>4</w:t>
            </w:r>
            <w:r w:rsidR="000E68B0">
              <w:rPr>
                <w:webHidden/>
              </w:rPr>
              <w:fldChar w:fldCharType="end"/>
            </w:r>
          </w:hyperlink>
        </w:p>
        <w:p w:rsidR="001F723F" w:rsidRDefault="000E73FE">
          <w:pPr>
            <w:pStyle w:val="TOC1"/>
            <w:rPr>
              <w:rFonts w:asciiTheme="minorHAnsi" w:eastAsiaTheme="minorEastAsia" w:hAnsiTheme="minorHAnsi"/>
              <w:b w:val="0"/>
              <w:lang w:eastAsia="en-AU"/>
            </w:rPr>
          </w:pPr>
          <w:hyperlink w:anchor="_Toc16519506" w:history="1">
            <w:r w:rsidR="000E68B0">
              <w:rPr>
                <w:rStyle w:val="Hyperlink"/>
              </w:rPr>
              <w:t>2</w:t>
            </w:r>
            <w:r w:rsidR="000E68B0">
              <w:rPr>
                <w:rFonts w:asciiTheme="minorHAnsi" w:eastAsiaTheme="minorEastAsia" w:hAnsiTheme="minorHAnsi"/>
                <w:b w:val="0"/>
                <w:lang w:eastAsia="en-AU"/>
              </w:rPr>
              <w:tab/>
            </w:r>
            <w:r w:rsidR="000E68B0">
              <w:rPr>
                <w:rStyle w:val="Hyperlink"/>
              </w:rPr>
              <w:t>Imported Food Inspection Scheme inspection and testing summary</w:t>
            </w:r>
            <w:r w:rsidR="000E68B0">
              <w:rPr>
                <w:webHidden/>
              </w:rPr>
              <w:tab/>
            </w:r>
            <w:r w:rsidR="000E68B0">
              <w:rPr>
                <w:webHidden/>
              </w:rPr>
              <w:fldChar w:fldCharType="begin"/>
            </w:r>
            <w:r w:rsidR="000E68B0">
              <w:rPr>
                <w:webHidden/>
              </w:rPr>
              <w:instrText xml:space="preserve"> PAGEREF _Toc16519506 \h </w:instrText>
            </w:r>
            <w:r w:rsidR="000E68B0">
              <w:rPr>
                <w:webHidden/>
              </w:rPr>
            </w:r>
            <w:r w:rsidR="000E68B0">
              <w:rPr>
                <w:webHidden/>
              </w:rPr>
              <w:fldChar w:fldCharType="separate"/>
            </w:r>
            <w:r w:rsidR="000E68B0">
              <w:rPr>
                <w:webHidden/>
              </w:rPr>
              <w:t>6</w:t>
            </w:r>
            <w:r w:rsidR="000E68B0">
              <w:rPr>
                <w:webHidden/>
              </w:rPr>
              <w:fldChar w:fldCharType="end"/>
            </w:r>
          </w:hyperlink>
        </w:p>
        <w:p w:rsidR="001F723F" w:rsidRDefault="000E73FE">
          <w:pPr>
            <w:pStyle w:val="TOC1"/>
            <w:rPr>
              <w:rFonts w:asciiTheme="minorHAnsi" w:eastAsiaTheme="minorEastAsia" w:hAnsiTheme="minorHAnsi"/>
              <w:b w:val="0"/>
              <w:lang w:eastAsia="en-AU"/>
            </w:rPr>
          </w:pPr>
          <w:hyperlink w:anchor="_Toc16519507" w:history="1">
            <w:r w:rsidR="000E68B0">
              <w:rPr>
                <w:rStyle w:val="Hyperlink"/>
              </w:rPr>
              <w:t>3</w:t>
            </w:r>
            <w:r w:rsidR="000E68B0">
              <w:rPr>
                <w:rFonts w:asciiTheme="minorHAnsi" w:eastAsiaTheme="minorEastAsia" w:hAnsiTheme="minorHAnsi"/>
                <w:b w:val="0"/>
                <w:lang w:eastAsia="en-AU"/>
              </w:rPr>
              <w:tab/>
            </w:r>
            <w:r w:rsidR="000E68B0">
              <w:rPr>
                <w:rStyle w:val="Hyperlink"/>
              </w:rPr>
              <w:t>Results of inspection and testing</w:t>
            </w:r>
            <w:r w:rsidR="000E68B0">
              <w:rPr>
                <w:webHidden/>
              </w:rPr>
              <w:tab/>
            </w:r>
            <w:r w:rsidR="000E68B0">
              <w:rPr>
                <w:webHidden/>
              </w:rPr>
              <w:fldChar w:fldCharType="begin"/>
            </w:r>
            <w:r w:rsidR="000E68B0">
              <w:rPr>
                <w:webHidden/>
              </w:rPr>
              <w:instrText xml:space="preserve"> PAGEREF _Toc16519507 \h </w:instrText>
            </w:r>
            <w:r w:rsidR="000E68B0">
              <w:rPr>
                <w:webHidden/>
              </w:rPr>
            </w:r>
            <w:r w:rsidR="000E68B0">
              <w:rPr>
                <w:webHidden/>
              </w:rPr>
              <w:fldChar w:fldCharType="separate"/>
            </w:r>
            <w:r w:rsidR="000E68B0">
              <w:rPr>
                <w:webHidden/>
              </w:rPr>
              <w:t>7</w:t>
            </w:r>
            <w:r w:rsidR="000E68B0">
              <w:rPr>
                <w:webHidden/>
              </w:rPr>
              <w:fldChar w:fldCharType="end"/>
            </w:r>
          </w:hyperlink>
        </w:p>
        <w:p w:rsidR="001F723F" w:rsidRDefault="000E73FE">
          <w:pPr>
            <w:pStyle w:val="TOC2"/>
            <w:tabs>
              <w:tab w:val="left" w:pos="1100"/>
            </w:tabs>
            <w:rPr>
              <w:rFonts w:asciiTheme="minorHAnsi" w:eastAsiaTheme="minorEastAsia" w:hAnsiTheme="minorHAnsi"/>
              <w:lang w:eastAsia="en-AU"/>
            </w:rPr>
          </w:pPr>
          <w:hyperlink w:anchor="_Toc16519508" w:history="1">
            <w:r w:rsidR="000E68B0">
              <w:rPr>
                <w:rStyle w:val="Hyperlink"/>
              </w:rPr>
              <w:t>3.1</w:t>
            </w:r>
            <w:r w:rsidR="000E68B0">
              <w:rPr>
                <w:rFonts w:asciiTheme="minorHAnsi" w:eastAsiaTheme="minorEastAsia" w:hAnsiTheme="minorHAnsi"/>
                <w:lang w:eastAsia="en-AU"/>
              </w:rPr>
              <w:tab/>
            </w:r>
            <w:r w:rsidR="000E68B0">
              <w:rPr>
                <w:rStyle w:val="Hyperlink"/>
              </w:rPr>
              <w:t>Compliance rates against all tests conducted</w:t>
            </w:r>
            <w:r w:rsidR="000E68B0">
              <w:rPr>
                <w:webHidden/>
              </w:rPr>
              <w:tab/>
            </w:r>
            <w:r w:rsidR="000E68B0">
              <w:rPr>
                <w:webHidden/>
              </w:rPr>
              <w:fldChar w:fldCharType="begin"/>
            </w:r>
            <w:r w:rsidR="000E68B0">
              <w:rPr>
                <w:webHidden/>
              </w:rPr>
              <w:instrText xml:space="preserve"> PAGEREF _Toc16519508 \h </w:instrText>
            </w:r>
            <w:r w:rsidR="000E68B0">
              <w:rPr>
                <w:webHidden/>
              </w:rPr>
            </w:r>
            <w:r w:rsidR="000E68B0">
              <w:rPr>
                <w:webHidden/>
              </w:rPr>
              <w:fldChar w:fldCharType="separate"/>
            </w:r>
            <w:r w:rsidR="000E68B0">
              <w:rPr>
                <w:webHidden/>
              </w:rPr>
              <w:t>7</w:t>
            </w:r>
            <w:r w:rsidR="000E68B0">
              <w:rPr>
                <w:webHidden/>
              </w:rPr>
              <w:fldChar w:fldCharType="end"/>
            </w:r>
          </w:hyperlink>
        </w:p>
        <w:p w:rsidR="001F723F" w:rsidRDefault="000E73FE">
          <w:pPr>
            <w:pStyle w:val="TOC2"/>
            <w:tabs>
              <w:tab w:val="left" w:pos="1100"/>
            </w:tabs>
            <w:rPr>
              <w:rFonts w:asciiTheme="minorHAnsi" w:eastAsiaTheme="minorEastAsia" w:hAnsiTheme="minorHAnsi"/>
              <w:lang w:eastAsia="en-AU"/>
            </w:rPr>
          </w:pPr>
          <w:hyperlink w:anchor="_Toc16519509" w:history="1">
            <w:r w:rsidR="000E68B0">
              <w:rPr>
                <w:rStyle w:val="Hyperlink"/>
              </w:rPr>
              <w:t>3.2</w:t>
            </w:r>
            <w:r w:rsidR="000E68B0">
              <w:rPr>
                <w:rFonts w:asciiTheme="minorHAnsi" w:eastAsiaTheme="minorEastAsia" w:hAnsiTheme="minorHAnsi"/>
                <w:lang w:eastAsia="en-AU"/>
              </w:rPr>
              <w:tab/>
            </w:r>
            <w:r w:rsidR="000E68B0">
              <w:rPr>
                <w:rStyle w:val="Hyperlink"/>
              </w:rPr>
              <w:t>Labelling compliance</w:t>
            </w:r>
            <w:r w:rsidR="000E68B0">
              <w:rPr>
                <w:webHidden/>
              </w:rPr>
              <w:tab/>
            </w:r>
            <w:r w:rsidR="000E68B0">
              <w:rPr>
                <w:webHidden/>
              </w:rPr>
              <w:fldChar w:fldCharType="begin"/>
            </w:r>
            <w:r w:rsidR="000E68B0">
              <w:rPr>
                <w:webHidden/>
              </w:rPr>
              <w:instrText xml:space="preserve"> PAGEREF _Toc16519509 \h </w:instrText>
            </w:r>
            <w:r w:rsidR="000E68B0">
              <w:rPr>
                <w:webHidden/>
              </w:rPr>
            </w:r>
            <w:r w:rsidR="000E68B0">
              <w:rPr>
                <w:webHidden/>
              </w:rPr>
              <w:fldChar w:fldCharType="separate"/>
            </w:r>
            <w:r w:rsidR="000E68B0">
              <w:rPr>
                <w:webHidden/>
              </w:rPr>
              <w:t>8</w:t>
            </w:r>
            <w:r w:rsidR="000E68B0">
              <w:rPr>
                <w:webHidden/>
              </w:rPr>
              <w:fldChar w:fldCharType="end"/>
            </w:r>
          </w:hyperlink>
        </w:p>
        <w:p w:rsidR="001F723F" w:rsidRDefault="000E73FE">
          <w:pPr>
            <w:pStyle w:val="TOC2"/>
            <w:tabs>
              <w:tab w:val="left" w:pos="1100"/>
            </w:tabs>
            <w:rPr>
              <w:rFonts w:asciiTheme="minorHAnsi" w:eastAsiaTheme="minorEastAsia" w:hAnsiTheme="minorHAnsi"/>
              <w:lang w:eastAsia="en-AU"/>
            </w:rPr>
          </w:pPr>
          <w:hyperlink w:anchor="_Toc16519510" w:history="1">
            <w:r w:rsidR="000E68B0">
              <w:rPr>
                <w:rStyle w:val="Hyperlink"/>
              </w:rPr>
              <w:t>3.3</w:t>
            </w:r>
            <w:r w:rsidR="000E68B0">
              <w:rPr>
                <w:rFonts w:asciiTheme="minorHAnsi" w:eastAsiaTheme="minorEastAsia" w:hAnsiTheme="minorHAnsi"/>
                <w:lang w:eastAsia="en-AU"/>
              </w:rPr>
              <w:tab/>
            </w:r>
            <w:r w:rsidR="000E68B0">
              <w:rPr>
                <w:rStyle w:val="Hyperlink"/>
              </w:rPr>
              <w:t>Analytical testing data</w:t>
            </w:r>
            <w:r w:rsidR="000E68B0">
              <w:rPr>
                <w:webHidden/>
              </w:rPr>
              <w:tab/>
            </w:r>
            <w:r w:rsidR="000E68B0">
              <w:rPr>
                <w:webHidden/>
              </w:rPr>
              <w:fldChar w:fldCharType="begin"/>
            </w:r>
            <w:r w:rsidR="000E68B0">
              <w:rPr>
                <w:webHidden/>
              </w:rPr>
              <w:instrText xml:space="preserve"> PAGEREF _Toc16519510 \h </w:instrText>
            </w:r>
            <w:r w:rsidR="000E68B0">
              <w:rPr>
                <w:webHidden/>
              </w:rPr>
            </w:r>
            <w:r w:rsidR="000E68B0">
              <w:rPr>
                <w:webHidden/>
              </w:rPr>
              <w:fldChar w:fldCharType="separate"/>
            </w:r>
            <w:r w:rsidR="000E68B0">
              <w:rPr>
                <w:webHidden/>
              </w:rPr>
              <w:t>8</w:t>
            </w:r>
            <w:r w:rsidR="000E68B0">
              <w:rPr>
                <w:webHidden/>
              </w:rPr>
              <w:fldChar w:fldCharType="end"/>
            </w:r>
          </w:hyperlink>
        </w:p>
        <w:p w:rsidR="001F723F" w:rsidRDefault="000E73FE">
          <w:pPr>
            <w:pStyle w:val="TOC2"/>
            <w:tabs>
              <w:tab w:val="left" w:pos="1100"/>
            </w:tabs>
            <w:rPr>
              <w:rFonts w:asciiTheme="minorHAnsi" w:eastAsiaTheme="minorEastAsia" w:hAnsiTheme="minorHAnsi"/>
              <w:lang w:eastAsia="en-AU"/>
            </w:rPr>
          </w:pPr>
          <w:hyperlink w:anchor="_Toc16519511" w:history="1">
            <w:r w:rsidR="000E68B0">
              <w:rPr>
                <w:rStyle w:val="Hyperlink"/>
              </w:rPr>
              <w:t>3.4</w:t>
            </w:r>
            <w:r w:rsidR="000E68B0">
              <w:rPr>
                <w:rFonts w:asciiTheme="minorHAnsi" w:eastAsiaTheme="minorEastAsia" w:hAnsiTheme="minorHAnsi"/>
                <w:lang w:eastAsia="en-AU"/>
              </w:rPr>
              <w:tab/>
            </w:r>
            <w:r w:rsidR="000E68B0">
              <w:rPr>
                <w:rStyle w:val="Hyperlink"/>
              </w:rPr>
              <w:t>Results, by commodity groups</w:t>
            </w:r>
            <w:r w:rsidR="000E68B0">
              <w:rPr>
                <w:webHidden/>
              </w:rPr>
              <w:tab/>
            </w:r>
            <w:r w:rsidR="000E68B0">
              <w:rPr>
                <w:webHidden/>
              </w:rPr>
              <w:fldChar w:fldCharType="begin"/>
            </w:r>
            <w:r w:rsidR="000E68B0">
              <w:rPr>
                <w:webHidden/>
              </w:rPr>
              <w:instrText xml:space="preserve"> PAGEREF _Toc16519511 \h </w:instrText>
            </w:r>
            <w:r w:rsidR="000E68B0">
              <w:rPr>
                <w:webHidden/>
              </w:rPr>
            </w:r>
            <w:r w:rsidR="000E68B0">
              <w:rPr>
                <w:webHidden/>
              </w:rPr>
              <w:fldChar w:fldCharType="separate"/>
            </w:r>
            <w:r w:rsidR="000E68B0">
              <w:rPr>
                <w:webHidden/>
              </w:rPr>
              <w:t>11</w:t>
            </w:r>
            <w:r w:rsidR="000E68B0">
              <w:rPr>
                <w:webHidden/>
              </w:rPr>
              <w:fldChar w:fldCharType="end"/>
            </w:r>
          </w:hyperlink>
        </w:p>
        <w:p w:rsidR="001F723F" w:rsidRDefault="000E73FE">
          <w:pPr>
            <w:pStyle w:val="TOC2"/>
            <w:tabs>
              <w:tab w:val="left" w:pos="1100"/>
            </w:tabs>
            <w:rPr>
              <w:rFonts w:asciiTheme="minorHAnsi" w:eastAsiaTheme="minorEastAsia" w:hAnsiTheme="minorHAnsi"/>
              <w:lang w:eastAsia="en-AU"/>
            </w:rPr>
          </w:pPr>
          <w:hyperlink w:anchor="_Toc16519512" w:history="1">
            <w:r w:rsidR="000E68B0">
              <w:rPr>
                <w:rStyle w:val="Hyperlink"/>
              </w:rPr>
              <w:t>3.5</w:t>
            </w:r>
            <w:r w:rsidR="000E68B0">
              <w:rPr>
                <w:rFonts w:asciiTheme="minorHAnsi" w:eastAsiaTheme="minorEastAsia" w:hAnsiTheme="minorHAnsi"/>
                <w:lang w:eastAsia="en-AU"/>
              </w:rPr>
              <w:tab/>
            </w:r>
            <w:r w:rsidR="000E68B0">
              <w:rPr>
                <w:rStyle w:val="Hyperlink"/>
              </w:rPr>
              <w:t>Other test data</w:t>
            </w:r>
            <w:r w:rsidR="000E68B0">
              <w:rPr>
                <w:webHidden/>
              </w:rPr>
              <w:tab/>
            </w:r>
            <w:r w:rsidR="000E68B0">
              <w:rPr>
                <w:webHidden/>
              </w:rPr>
              <w:fldChar w:fldCharType="begin"/>
            </w:r>
            <w:r w:rsidR="000E68B0">
              <w:rPr>
                <w:webHidden/>
              </w:rPr>
              <w:instrText xml:space="preserve"> PAGEREF _Toc16519512 \h </w:instrText>
            </w:r>
            <w:r w:rsidR="000E68B0">
              <w:rPr>
                <w:webHidden/>
              </w:rPr>
            </w:r>
            <w:r w:rsidR="000E68B0">
              <w:rPr>
                <w:webHidden/>
              </w:rPr>
              <w:fldChar w:fldCharType="separate"/>
            </w:r>
            <w:r w:rsidR="000E68B0">
              <w:rPr>
                <w:webHidden/>
              </w:rPr>
              <w:t>12</w:t>
            </w:r>
            <w:r w:rsidR="000E68B0">
              <w:rPr>
                <w:webHidden/>
              </w:rPr>
              <w:fldChar w:fldCharType="end"/>
            </w:r>
          </w:hyperlink>
        </w:p>
        <w:p w:rsidR="001F723F" w:rsidRDefault="000E73FE">
          <w:pPr>
            <w:pStyle w:val="TOC2"/>
            <w:tabs>
              <w:tab w:val="left" w:pos="1100"/>
            </w:tabs>
            <w:rPr>
              <w:rFonts w:asciiTheme="minorHAnsi" w:eastAsiaTheme="minorEastAsia" w:hAnsiTheme="minorHAnsi"/>
              <w:lang w:eastAsia="en-AU"/>
            </w:rPr>
          </w:pPr>
          <w:hyperlink w:anchor="_Toc16519513" w:history="1">
            <w:r w:rsidR="000E68B0">
              <w:rPr>
                <w:rStyle w:val="Hyperlink"/>
              </w:rPr>
              <w:t>3.6</w:t>
            </w:r>
            <w:r w:rsidR="000E68B0">
              <w:rPr>
                <w:rFonts w:asciiTheme="minorHAnsi" w:eastAsiaTheme="minorEastAsia" w:hAnsiTheme="minorHAnsi"/>
                <w:lang w:eastAsia="en-AU"/>
              </w:rPr>
              <w:tab/>
            </w:r>
            <w:r w:rsidR="000E68B0">
              <w:rPr>
                <w:rStyle w:val="Hyperlink"/>
              </w:rPr>
              <w:t>Comparing inspection data reports since 2010</w:t>
            </w:r>
            <w:r w:rsidR="000E68B0">
              <w:rPr>
                <w:webHidden/>
              </w:rPr>
              <w:tab/>
            </w:r>
            <w:r w:rsidR="000E68B0">
              <w:rPr>
                <w:webHidden/>
              </w:rPr>
              <w:fldChar w:fldCharType="begin"/>
            </w:r>
            <w:r w:rsidR="000E68B0">
              <w:rPr>
                <w:webHidden/>
              </w:rPr>
              <w:instrText xml:space="preserve"> PAGEREF _Toc16519513 \h </w:instrText>
            </w:r>
            <w:r w:rsidR="000E68B0">
              <w:rPr>
                <w:webHidden/>
              </w:rPr>
            </w:r>
            <w:r w:rsidR="000E68B0">
              <w:rPr>
                <w:webHidden/>
              </w:rPr>
              <w:fldChar w:fldCharType="separate"/>
            </w:r>
            <w:r w:rsidR="000E68B0">
              <w:rPr>
                <w:webHidden/>
              </w:rPr>
              <w:t>14</w:t>
            </w:r>
            <w:r w:rsidR="000E68B0">
              <w:rPr>
                <w:webHidden/>
              </w:rPr>
              <w:fldChar w:fldCharType="end"/>
            </w:r>
          </w:hyperlink>
        </w:p>
        <w:p w:rsidR="001F723F" w:rsidRDefault="000E73FE">
          <w:pPr>
            <w:pStyle w:val="TOC1"/>
            <w:rPr>
              <w:rFonts w:asciiTheme="minorHAnsi" w:eastAsiaTheme="minorEastAsia" w:hAnsiTheme="minorHAnsi"/>
              <w:b w:val="0"/>
              <w:lang w:eastAsia="en-AU"/>
            </w:rPr>
          </w:pPr>
          <w:hyperlink w:anchor="_Toc16519514" w:history="1">
            <w:r w:rsidR="000E68B0">
              <w:rPr>
                <w:rStyle w:val="Hyperlink"/>
              </w:rPr>
              <w:t>Appendix A: Analytical tests applied to food</w:t>
            </w:r>
            <w:r w:rsidR="000E68B0">
              <w:rPr>
                <w:webHidden/>
              </w:rPr>
              <w:tab/>
            </w:r>
            <w:r w:rsidR="000E68B0">
              <w:rPr>
                <w:webHidden/>
              </w:rPr>
              <w:fldChar w:fldCharType="begin"/>
            </w:r>
            <w:r w:rsidR="000E68B0">
              <w:rPr>
                <w:webHidden/>
              </w:rPr>
              <w:instrText xml:space="preserve"> PAGEREF _Toc16519514 \h </w:instrText>
            </w:r>
            <w:r w:rsidR="000E68B0">
              <w:rPr>
                <w:webHidden/>
              </w:rPr>
            </w:r>
            <w:r w:rsidR="000E68B0">
              <w:rPr>
                <w:webHidden/>
              </w:rPr>
              <w:fldChar w:fldCharType="separate"/>
            </w:r>
            <w:r w:rsidR="000E68B0">
              <w:rPr>
                <w:webHidden/>
              </w:rPr>
              <w:t>16</w:t>
            </w:r>
            <w:r w:rsidR="000E68B0">
              <w:rPr>
                <w:webHidden/>
              </w:rPr>
              <w:fldChar w:fldCharType="end"/>
            </w:r>
          </w:hyperlink>
        </w:p>
        <w:p w:rsidR="001F723F" w:rsidRDefault="000E73FE">
          <w:pPr>
            <w:pStyle w:val="TOC1"/>
            <w:rPr>
              <w:rFonts w:asciiTheme="minorHAnsi" w:eastAsiaTheme="minorEastAsia" w:hAnsiTheme="minorHAnsi"/>
              <w:b w:val="0"/>
              <w:lang w:eastAsia="en-AU"/>
            </w:rPr>
          </w:pPr>
          <w:hyperlink w:anchor="_Toc16519515" w:history="1">
            <w:r w:rsidR="000E68B0">
              <w:rPr>
                <w:rStyle w:val="Hyperlink"/>
              </w:rPr>
              <w:t>Appendix B: Tariff codes applied to food commodity groups</w:t>
            </w:r>
            <w:r w:rsidR="000E68B0">
              <w:rPr>
                <w:webHidden/>
              </w:rPr>
              <w:tab/>
            </w:r>
            <w:r w:rsidR="000E68B0">
              <w:rPr>
                <w:webHidden/>
              </w:rPr>
              <w:fldChar w:fldCharType="begin"/>
            </w:r>
            <w:r w:rsidR="000E68B0">
              <w:rPr>
                <w:webHidden/>
              </w:rPr>
              <w:instrText xml:space="preserve"> PAGEREF _Toc16519515 \h </w:instrText>
            </w:r>
            <w:r w:rsidR="000E68B0">
              <w:rPr>
                <w:webHidden/>
              </w:rPr>
            </w:r>
            <w:r w:rsidR="000E68B0">
              <w:rPr>
                <w:webHidden/>
              </w:rPr>
              <w:fldChar w:fldCharType="separate"/>
            </w:r>
            <w:r w:rsidR="000E68B0">
              <w:rPr>
                <w:webHidden/>
              </w:rPr>
              <w:t>18</w:t>
            </w:r>
            <w:r w:rsidR="000E68B0">
              <w:rPr>
                <w:webHidden/>
              </w:rPr>
              <w:fldChar w:fldCharType="end"/>
            </w:r>
          </w:hyperlink>
        </w:p>
        <w:p w:rsidR="001F723F" w:rsidRDefault="000E73FE">
          <w:pPr>
            <w:pStyle w:val="TOC1"/>
            <w:rPr>
              <w:rFonts w:asciiTheme="minorHAnsi" w:eastAsiaTheme="minorEastAsia" w:hAnsiTheme="minorHAnsi"/>
              <w:b w:val="0"/>
              <w:lang w:eastAsia="en-AU"/>
            </w:rPr>
          </w:pPr>
          <w:hyperlink w:anchor="_Toc16519516" w:history="1">
            <w:r w:rsidR="000E68B0">
              <w:rPr>
                <w:rStyle w:val="Hyperlink"/>
              </w:rPr>
              <w:t>Glossary</w:t>
            </w:r>
            <w:r w:rsidR="000E68B0">
              <w:rPr>
                <w:webHidden/>
              </w:rPr>
              <w:tab/>
            </w:r>
            <w:r w:rsidR="000E68B0">
              <w:rPr>
                <w:webHidden/>
              </w:rPr>
              <w:fldChar w:fldCharType="begin"/>
            </w:r>
            <w:r w:rsidR="000E68B0">
              <w:rPr>
                <w:webHidden/>
              </w:rPr>
              <w:instrText xml:space="preserve"> PAGEREF _Toc16519516 \h </w:instrText>
            </w:r>
            <w:r w:rsidR="000E68B0">
              <w:rPr>
                <w:webHidden/>
              </w:rPr>
            </w:r>
            <w:r w:rsidR="000E68B0">
              <w:rPr>
                <w:webHidden/>
              </w:rPr>
              <w:fldChar w:fldCharType="separate"/>
            </w:r>
            <w:r w:rsidR="000E68B0">
              <w:rPr>
                <w:webHidden/>
              </w:rPr>
              <w:t>19</w:t>
            </w:r>
            <w:r w:rsidR="000E68B0">
              <w:rPr>
                <w:webHidden/>
              </w:rPr>
              <w:fldChar w:fldCharType="end"/>
            </w:r>
          </w:hyperlink>
        </w:p>
        <w:p w:rsidR="001F723F" w:rsidRDefault="000E68B0">
          <w:r>
            <w:rPr>
              <w:b/>
              <w:noProof/>
            </w:rPr>
            <w:fldChar w:fldCharType="end"/>
          </w:r>
        </w:p>
      </w:sdtContent>
    </w:sdt>
    <w:p w:rsidR="001F723F" w:rsidRDefault="000E68B0">
      <w:pPr>
        <w:pStyle w:val="TOCHeading2"/>
        <w:rPr>
          <w:rStyle w:val="Strong"/>
        </w:rPr>
      </w:pPr>
      <w:r>
        <w:rPr>
          <w:rStyle w:val="Strong"/>
        </w:rPr>
        <w:t>Tables</w:t>
      </w:r>
    </w:p>
    <w:p w:rsidR="001F723F" w:rsidRDefault="000E68B0">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6519517" w:history="1">
        <w:r>
          <w:rPr>
            <w:rStyle w:val="Hyperlink"/>
            <w:noProof/>
          </w:rPr>
          <w:t>Table 1 All tests, product compliance rates, 2018</w:t>
        </w:r>
        <w:r>
          <w:rPr>
            <w:noProof/>
            <w:webHidden/>
          </w:rPr>
          <w:tab/>
        </w:r>
        <w:r>
          <w:rPr>
            <w:noProof/>
            <w:webHidden/>
          </w:rPr>
          <w:fldChar w:fldCharType="begin"/>
        </w:r>
        <w:r>
          <w:rPr>
            <w:noProof/>
            <w:webHidden/>
          </w:rPr>
          <w:instrText xml:space="preserve"> PAGEREF _Toc16519517 \h </w:instrText>
        </w:r>
        <w:r>
          <w:rPr>
            <w:noProof/>
            <w:webHidden/>
          </w:rPr>
        </w:r>
        <w:r>
          <w:rPr>
            <w:noProof/>
            <w:webHidden/>
          </w:rPr>
          <w:fldChar w:fldCharType="separate"/>
        </w:r>
        <w:r>
          <w:rPr>
            <w:noProof/>
            <w:webHidden/>
          </w:rPr>
          <w:t>7</w:t>
        </w:r>
        <w:r>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18" w:history="1">
        <w:r w:rsidR="000E68B0">
          <w:rPr>
            <w:rStyle w:val="Hyperlink"/>
            <w:noProof/>
          </w:rPr>
          <w:t>Table 2 Analytical test, compliance rates, 2018</w:t>
        </w:r>
        <w:r w:rsidR="000E68B0">
          <w:rPr>
            <w:noProof/>
            <w:webHidden/>
          </w:rPr>
          <w:tab/>
        </w:r>
        <w:r w:rsidR="000E68B0">
          <w:rPr>
            <w:noProof/>
            <w:webHidden/>
          </w:rPr>
          <w:fldChar w:fldCharType="begin"/>
        </w:r>
        <w:r w:rsidR="000E68B0">
          <w:rPr>
            <w:noProof/>
            <w:webHidden/>
          </w:rPr>
          <w:instrText xml:space="preserve"> PAGEREF _Toc16519518 \h </w:instrText>
        </w:r>
        <w:r w:rsidR="000E68B0">
          <w:rPr>
            <w:noProof/>
            <w:webHidden/>
          </w:rPr>
        </w:r>
        <w:r w:rsidR="000E68B0">
          <w:rPr>
            <w:noProof/>
            <w:webHidden/>
          </w:rPr>
          <w:fldChar w:fldCharType="separate"/>
        </w:r>
        <w:r w:rsidR="000E68B0">
          <w:rPr>
            <w:noProof/>
            <w:webHidden/>
          </w:rPr>
          <w:t>9</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19" w:history="1">
        <w:r w:rsidR="000E68B0">
          <w:rPr>
            <w:rStyle w:val="Hyperlink"/>
            <w:noProof/>
          </w:rPr>
          <w:t>Table 3 Chemical test, product compliance rates, 2018</w:t>
        </w:r>
        <w:r w:rsidR="000E68B0">
          <w:rPr>
            <w:noProof/>
            <w:webHidden/>
          </w:rPr>
          <w:tab/>
        </w:r>
        <w:r w:rsidR="000E68B0">
          <w:rPr>
            <w:noProof/>
            <w:webHidden/>
          </w:rPr>
          <w:fldChar w:fldCharType="begin"/>
        </w:r>
        <w:r w:rsidR="000E68B0">
          <w:rPr>
            <w:noProof/>
            <w:webHidden/>
          </w:rPr>
          <w:instrText xml:space="preserve"> PAGEREF _Toc16519519 \h </w:instrText>
        </w:r>
        <w:r w:rsidR="000E68B0">
          <w:rPr>
            <w:noProof/>
            <w:webHidden/>
          </w:rPr>
        </w:r>
        <w:r w:rsidR="000E68B0">
          <w:rPr>
            <w:noProof/>
            <w:webHidden/>
          </w:rPr>
          <w:fldChar w:fldCharType="separate"/>
        </w:r>
        <w:r w:rsidR="000E68B0">
          <w:rPr>
            <w:noProof/>
            <w:webHidden/>
          </w:rPr>
          <w:t>9</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20" w:history="1">
        <w:r w:rsidR="000E68B0">
          <w:rPr>
            <w:rStyle w:val="Hyperlink"/>
            <w:noProof/>
          </w:rPr>
          <w:t>Table 4 Composition analytical test, product compliance rates, 2018</w:t>
        </w:r>
        <w:r w:rsidR="000E68B0">
          <w:rPr>
            <w:noProof/>
            <w:webHidden/>
          </w:rPr>
          <w:tab/>
        </w:r>
        <w:r w:rsidR="000E68B0">
          <w:rPr>
            <w:noProof/>
            <w:webHidden/>
          </w:rPr>
          <w:fldChar w:fldCharType="begin"/>
        </w:r>
        <w:r w:rsidR="000E68B0">
          <w:rPr>
            <w:noProof/>
            <w:webHidden/>
          </w:rPr>
          <w:instrText xml:space="preserve"> PAGEREF _Toc16519520 \h </w:instrText>
        </w:r>
        <w:r w:rsidR="000E68B0">
          <w:rPr>
            <w:noProof/>
            <w:webHidden/>
          </w:rPr>
        </w:r>
        <w:r w:rsidR="000E68B0">
          <w:rPr>
            <w:noProof/>
            <w:webHidden/>
          </w:rPr>
          <w:fldChar w:fldCharType="separate"/>
        </w:r>
        <w:r w:rsidR="000E68B0">
          <w:rPr>
            <w:noProof/>
            <w:webHidden/>
          </w:rPr>
          <w:t>9</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21" w:history="1">
        <w:r w:rsidR="000E68B0">
          <w:rPr>
            <w:rStyle w:val="Hyperlink"/>
            <w:noProof/>
          </w:rPr>
          <w:t>Table 5 Contaminant test, product compliance rates, 2018</w:t>
        </w:r>
        <w:r w:rsidR="000E68B0">
          <w:rPr>
            <w:noProof/>
            <w:webHidden/>
          </w:rPr>
          <w:tab/>
        </w:r>
        <w:r w:rsidR="000E68B0">
          <w:rPr>
            <w:noProof/>
            <w:webHidden/>
          </w:rPr>
          <w:fldChar w:fldCharType="begin"/>
        </w:r>
        <w:r w:rsidR="000E68B0">
          <w:rPr>
            <w:noProof/>
            <w:webHidden/>
          </w:rPr>
          <w:instrText xml:space="preserve"> PAGEREF _Toc16519521 \h </w:instrText>
        </w:r>
        <w:r w:rsidR="000E68B0">
          <w:rPr>
            <w:noProof/>
            <w:webHidden/>
          </w:rPr>
        </w:r>
        <w:r w:rsidR="000E68B0">
          <w:rPr>
            <w:noProof/>
            <w:webHidden/>
          </w:rPr>
          <w:fldChar w:fldCharType="separate"/>
        </w:r>
        <w:r w:rsidR="000E68B0">
          <w:rPr>
            <w:noProof/>
            <w:webHidden/>
          </w:rPr>
          <w:t>10</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22" w:history="1">
        <w:r w:rsidR="000E68B0">
          <w:rPr>
            <w:rStyle w:val="Hyperlink"/>
            <w:noProof/>
          </w:rPr>
          <w:t>Table 6 Microbiological test, product compliance rates, 2018</w:t>
        </w:r>
        <w:r w:rsidR="000E68B0">
          <w:rPr>
            <w:noProof/>
            <w:webHidden/>
          </w:rPr>
          <w:tab/>
        </w:r>
        <w:r w:rsidR="000E68B0">
          <w:rPr>
            <w:noProof/>
            <w:webHidden/>
          </w:rPr>
          <w:fldChar w:fldCharType="begin"/>
        </w:r>
        <w:r w:rsidR="000E68B0">
          <w:rPr>
            <w:noProof/>
            <w:webHidden/>
          </w:rPr>
          <w:instrText xml:space="preserve"> PAGEREF _Toc16519522 \h </w:instrText>
        </w:r>
        <w:r w:rsidR="000E68B0">
          <w:rPr>
            <w:noProof/>
            <w:webHidden/>
          </w:rPr>
        </w:r>
        <w:r w:rsidR="000E68B0">
          <w:rPr>
            <w:noProof/>
            <w:webHidden/>
          </w:rPr>
          <w:fldChar w:fldCharType="separate"/>
        </w:r>
        <w:r w:rsidR="000E68B0">
          <w:rPr>
            <w:noProof/>
            <w:webHidden/>
          </w:rPr>
          <w:t>11</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23" w:history="1">
        <w:r w:rsidR="000E68B0">
          <w:rPr>
            <w:rStyle w:val="Hyperlink"/>
            <w:noProof/>
          </w:rPr>
          <w:t>Table 7 Inspection and test data, by commodity group, 2018</w:t>
        </w:r>
        <w:r w:rsidR="000E68B0">
          <w:rPr>
            <w:noProof/>
            <w:webHidden/>
          </w:rPr>
          <w:tab/>
        </w:r>
        <w:r w:rsidR="000E68B0">
          <w:rPr>
            <w:noProof/>
            <w:webHidden/>
          </w:rPr>
          <w:fldChar w:fldCharType="begin"/>
        </w:r>
        <w:r w:rsidR="000E68B0">
          <w:rPr>
            <w:noProof/>
            <w:webHidden/>
          </w:rPr>
          <w:instrText xml:space="preserve"> PAGEREF _Toc16519523 \h </w:instrText>
        </w:r>
        <w:r w:rsidR="000E68B0">
          <w:rPr>
            <w:noProof/>
            <w:webHidden/>
          </w:rPr>
        </w:r>
        <w:r w:rsidR="000E68B0">
          <w:rPr>
            <w:noProof/>
            <w:webHidden/>
          </w:rPr>
          <w:fldChar w:fldCharType="separate"/>
        </w:r>
        <w:r w:rsidR="000E68B0">
          <w:rPr>
            <w:noProof/>
            <w:webHidden/>
          </w:rPr>
          <w:t>12</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24" w:history="1">
        <w:r w:rsidR="000E68B0">
          <w:rPr>
            <w:rStyle w:val="Hyperlink"/>
            <w:noProof/>
          </w:rPr>
          <w:t>Table 8 Bovine spongiform encephalopathy certificate check, compliance rates, 2018</w:t>
        </w:r>
        <w:r w:rsidR="000E68B0">
          <w:rPr>
            <w:noProof/>
            <w:webHidden/>
          </w:rPr>
          <w:tab/>
        </w:r>
        <w:r w:rsidR="000E68B0">
          <w:rPr>
            <w:noProof/>
            <w:webHidden/>
          </w:rPr>
          <w:fldChar w:fldCharType="begin"/>
        </w:r>
        <w:r w:rsidR="000E68B0">
          <w:rPr>
            <w:noProof/>
            <w:webHidden/>
          </w:rPr>
          <w:instrText xml:space="preserve"> PAGEREF _Toc16519524 \h </w:instrText>
        </w:r>
        <w:r w:rsidR="000E68B0">
          <w:rPr>
            <w:noProof/>
            <w:webHidden/>
          </w:rPr>
        </w:r>
        <w:r w:rsidR="000E68B0">
          <w:rPr>
            <w:noProof/>
            <w:webHidden/>
          </w:rPr>
          <w:fldChar w:fldCharType="separate"/>
        </w:r>
        <w:r w:rsidR="000E68B0">
          <w:rPr>
            <w:noProof/>
            <w:webHidden/>
          </w:rPr>
          <w:t>13</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25" w:history="1">
        <w:r w:rsidR="000E68B0">
          <w:rPr>
            <w:rStyle w:val="Hyperlink"/>
            <w:noProof/>
          </w:rPr>
          <w:t>Table 9 Visual assessment, compliance rates, 2018</w:t>
        </w:r>
        <w:r w:rsidR="000E68B0">
          <w:rPr>
            <w:noProof/>
            <w:webHidden/>
          </w:rPr>
          <w:tab/>
        </w:r>
        <w:r w:rsidR="000E68B0">
          <w:rPr>
            <w:noProof/>
            <w:webHidden/>
          </w:rPr>
          <w:fldChar w:fldCharType="begin"/>
        </w:r>
        <w:r w:rsidR="000E68B0">
          <w:rPr>
            <w:noProof/>
            <w:webHidden/>
          </w:rPr>
          <w:instrText xml:space="preserve"> PAGEREF _Toc16519525 \h </w:instrText>
        </w:r>
        <w:r w:rsidR="000E68B0">
          <w:rPr>
            <w:noProof/>
            <w:webHidden/>
          </w:rPr>
        </w:r>
        <w:r w:rsidR="000E68B0">
          <w:rPr>
            <w:noProof/>
            <w:webHidden/>
          </w:rPr>
          <w:fldChar w:fldCharType="separate"/>
        </w:r>
        <w:r w:rsidR="000E68B0">
          <w:rPr>
            <w:noProof/>
            <w:webHidden/>
          </w:rPr>
          <w:t>13</w:t>
        </w:r>
        <w:r w:rsidR="000E68B0">
          <w:rPr>
            <w:noProof/>
            <w:webHidden/>
          </w:rPr>
          <w:fldChar w:fldCharType="end"/>
        </w:r>
      </w:hyperlink>
    </w:p>
    <w:p w:rsidR="001F723F" w:rsidRDefault="000E73FE">
      <w:pPr>
        <w:pStyle w:val="TableofFigures"/>
        <w:tabs>
          <w:tab w:val="right" w:leader="dot" w:pos="9060"/>
        </w:tabs>
        <w:rPr>
          <w:noProof/>
        </w:rPr>
      </w:pPr>
      <w:hyperlink w:anchor="_Toc16519526" w:history="1">
        <w:r w:rsidR="000E68B0">
          <w:rPr>
            <w:rStyle w:val="Hyperlink"/>
            <w:noProof/>
          </w:rPr>
          <w:t>Table 10 Number of inspections, by country of origin, 2018</w:t>
        </w:r>
        <w:r w:rsidR="000E68B0">
          <w:rPr>
            <w:noProof/>
            <w:webHidden/>
          </w:rPr>
          <w:tab/>
        </w:r>
        <w:r w:rsidR="000E68B0">
          <w:rPr>
            <w:noProof/>
            <w:webHidden/>
          </w:rPr>
          <w:fldChar w:fldCharType="begin"/>
        </w:r>
        <w:r w:rsidR="000E68B0">
          <w:rPr>
            <w:noProof/>
            <w:webHidden/>
          </w:rPr>
          <w:instrText xml:space="preserve"> PAGEREF _Toc16519526 \h </w:instrText>
        </w:r>
        <w:r w:rsidR="000E68B0">
          <w:rPr>
            <w:noProof/>
            <w:webHidden/>
          </w:rPr>
        </w:r>
        <w:r w:rsidR="000E68B0">
          <w:rPr>
            <w:noProof/>
            <w:webHidden/>
          </w:rPr>
          <w:fldChar w:fldCharType="separate"/>
        </w:r>
        <w:r w:rsidR="000E68B0">
          <w:rPr>
            <w:noProof/>
            <w:webHidden/>
          </w:rPr>
          <w:t>13</w:t>
        </w:r>
        <w:r w:rsidR="000E68B0">
          <w:rPr>
            <w:noProof/>
            <w:webHidden/>
          </w:rPr>
          <w:fldChar w:fldCharType="end"/>
        </w:r>
      </w:hyperlink>
      <w:r w:rsidR="000E68B0">
        <w:rPr>
          <w:noProof/>
        </w:rPr>
        <w:fldChar w:fldCharType="end"/>
      </w:r>
      <w:r w:rsidR="000E68B0">
        <w:rPr>
          <w:noProof/>
        </w:rPr>
        <w:fldChar w:fldCharType="begin"/>
      </w:r>
      <w:r w:rsidR="000E68B0">
        <w:rPr>
          <w:noProof/>
        </w:rPr>
        <w:instrText xml:space="preserve"> TOC \h \z \c "Table A" </w:instrText>
      </w:r>
      <w:r w:rsidR="000E68B0">
        <w:rPr>
          <w:noProof/>
        </w:rPr>
        <w:fldChar w:fldCharType="separate"/>
      </w:r>
    </w:p>
    <w:p w:rsidR="001F723F" w:rsidRDefault="000E73FE">
      <w:pPr>
        <w:pStyle w:val="TableofFigures"/>
        <w:tabs>
          <w:tab w:val="right" w:leader="dot" w:pos="9060"/>
        </w:tabs>
        <w:rPr>
          <w:noProof/>
        </w:rPr>
      </w:pPr>
      <w:hyperlink w:anchor="_Toc16519527" w:history="1">
        <w:r w:rsidR="000E68B0">
          <w:rPr>
            <w:rStyle w:val="Hyperlink"/>
            <w:noProof/>
          </w:rPr>
          <w:t>Table A1 Analytical tests applied to food, 2018</w:t>
        </w:r>
        <w:r w:rsidR="000E68B0">
          <w:rPr>
            <w:noProof/>
            <w:webHidden/>
          </w:rPr>
          <w:tab/>
        </w:r>
        <w:r w:rsidR="000E68B0">
          <w:rPr>
            <w:noProof/>
            <w:webHidden/>
          </w:rPr>
          <w:fldChar w:fldCharType="begin"/>
        </w:r>
        <w:r w:rsidR="000E68B0">
          <w:rPr>
            <w:noProof/>
            <w:webHidden/>
          </w:rPr>
          <w:instrText xml:space="preserve"> PAGEREF _Toc16519527 \h </w:instrText>
        </w:r>
        <w:r w:rsidR="000E68B0">
          <w:rPr>
            <w:noProof/>
            <w:webHidden/>
          </w:rPr>
        </w:r>
        <w:r w:rsidR="000E68B0">
          <w:rPr>
            <w:noProof/>
            <w:webHidden/>
          </w:rPr>
          <w:fldChar w:fldCharType="separate"/>
        </w:r>
        <w:r w:rsidR="000E68B0">
          <w:rPr>
            <w:noProof/>
            <w:webHidden/>
          </w:rPr>
          <w:t>16</w:t>
        </w:r>
        <w:r w:rsidR="000E68B0">
          <w:rPr>
            <w:noProof/>
            <w:webHidden/>
          </w:rPr>
          <w:fldChar w:fldCharType="end"/>
        </w:r>
      </w:hyperlink>
      <w:r w:rsidR="000E68B0">
        <w:rPr>
          <w:noProof/>
        </w:rPr>
        <w:fldChar w:fldCharType="end"/>
      </w:r>
      <w:r w:rsidR="000E68B0">
        <w:rPr>
          <w:noProof/>
        </w:rPr>
        <w:fldChar w:fldCharType="begin"/>
      </w:r>
      <w:r w:rsidR="000E68B0">
        <w:rPr>
          <w:noProof/>
        </w:rPr>
        <w:instrText xml:space="preserve"> TOC \h \z \c "Table B" </w:instrText>
      </w:r>
      <w:r w:rsidR="000E68B0">
        <w:rPr>
          <w:noProof/>
        </w:rPr>
        <w:fldChar w:fldCharType="separate"/>
      </w:r>
    </w:p>
    <w:p w:rsidR="001F723F" w:rsidRDefault="000E73FE">
      <w:pPr>
        <w:pStyle w:val="TableofFigures"/>
        <w:tabs>
          <w:tab w:val="right" w:leader="dot" w:pos="9060"/>
        </w:tabs>
        <w:rPr>
          <w:rFonts w:asciiTheme="minorHAnsi" w:eastAsiaTheme="minorEastAsia" w:hAnsiTheme="minorHAnsi"/>
          <w:noProof/>
          <w:lang w:eastAsia="en-AU"/>
        </w:rPr>
      </w:pPr>
      <w:hyperlink w:anchor="_Toc16519528" w:history="1">
        <w:r w:rsidR="000E68B0">
          <w:rPr>
            <w:rStyle w:val="Hyperlink"/>
            <w:noProof/>
          </w:rPr>
          <w:t>Table B1 Tariff codes applied to food commodity groups</w:t>
        </w:r>
        <w:r w:rsidR="000E68B0">
          <w:rPr>
            <w:noProof/>
            <w:webHidden/>
          </w:rPr>
          <w:tab/>
        </w:r>
        <w:r w:rsidR="000E68B0">
          <w:rPr>
            <w:noProof/>
            <w:webHidden/>
          </w:rPr>
          <w:fldChar w:fldCharType="begin"/>
        </w:r>
        <w:r w:rsidR="000E68B0">
          <w:rPr>
            <w:noProof/>
            <w:webHidden/>
          </w:rPr>
          <w:instrText xml:space="preserve"> PAGEREF _Toc16519528 \h </w:instrText>
        </w:r>
        <w:r w:rsidR="000E68B0">
          <w:rPr>
            <w:noProof/>
            <w:webHidden/>
          </w:rPr>
        </w:r>
        <w:r w:rsidR="000E68B0">
          <w:rPr>
            <w:noProof/>
            <w:webHidden/>
          </w:rPr>
          <w:fldChar w:fldCharType="separate"/>
        </w:r>
        <w:r w:rsidR="000E68B0">
          <w:rPr>
            <w:noProof/>
            <w:webHidden/>
          </w:rPr>
          <w:t>18</w:t>
        </w:r>
        <w:r w:rsidR="000E68B0">
          <w:rPr>
            <w:noProof/>
            <w:webHidden/>
          </w:rPr>
          <w:fldChar w:fldCharType="end"/>
        </w:r>
      </w:hyperlink>
    </w:p>
    <w:p w:rsidR="001F723F" w:rsidRDefault="000E68B0">
      <w:pPr>
        <w:pStyle w:val="TableofFigures"/>
        <w:tabs>
          <w:tab w:val="right" w:leader="dot" w:pos="9060"/>
        </w:tabs>
        <w:rPr>
          <w:noProof/>
        </w:rPr>
      </w:pPr>
      <w:r>
        <w:rPr>
          <w:noProof/>
        </w:rPr>
        <w:fldChar w:fldCharType="end"/>
      </w:r>
    </w:p>
    <w:p w:rsidR="001F723F" w:rsidRDefault="000E68B0">
      <w:pPr>
        <w:pStyle w:val="TOCHeading2"/>
        <w:pageBreakBefore/>
        <w:rPr>
          <w:rStyle w:val="Strong"/>
        </w:rPr>
      </w:pPr>
      <w:r>
        <w:rPr>
          <w:rStyle w:val="Strong"/>
        </w:rPr>
        <w:lastRenderedPageBreak/>
        <w:t>Figures</w:t>
      </w:r>
    </w:p>
    <w:p w:rsidR="001F723F" w:rsidRDefault="000E68B0">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6519539" w:history="1">
        <w:r>
          <w:rPr>
            <w:rStyle w:val="Hyperlink"/>
            <w:noProof/>
          </w:rPr>
          <w:t>Figure 1 Australian food trade, by value, 1992–93 to 2017–18</w:t>
        </w:r>
        <w:r>
          <w:rPr>
            <w:noProof/>
            <w:webHidden/>
          </w:rPr>
          <w:tab/>
        </w:r>
        <w:r>
          <w:rPr>
            <w:noProof/>
            <w:webHidden/>
          </w:rPr>
          <w:fldChar w:fldCharType="begin"/>
        </w:r>
        <w:r>
          <w:rPr>
            <w:noProof/>
            <w:webHidden/>
          </w:rPr>
          <w:instrText xml:space="preserve"> PAGEREF _Toc16519539 \h </w:instrText>
        </w:r>
        <w:r>
          <w:rPr>
            <w:noProof/>
            <w:webHidden/>
          </w:rPr>
        </w:r>
        <w:r>
          <w:rPr>
            <w:noProof/>
            <w:webHidden/>
          </w:rPr>
          <w:fldChar w:fldCharType="separate"/>
        </w:r>
        <w:r>
          <w:rPr>
            <w:noProof/>
            <w:webHidden/>
          </w:rPr>
          <w:t>3</w:t>
        </w:r>
        <w:r>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40" w:history="1">
        <w:r w:rsidR="000E68B0">
          <w:rPr>
            <w:rStyle w:val="Hyperlink"/>
            <w:noProof/>
          </w:rPr>
          <w:t>Figure 2 Australian food imports, by commodity, 2017–18, 2016–17 and 3-year average to 2006–07</w:t>
        </w:r>
        <w:r w:rsidR="000E68B0">
          <w:rPr>
            <w:noProof/>
            <w:webHidden/>
          </w:rPr>
          <w:tab/>
        </w:r>
        <w:r w:rsidR="000E68B0">
          <w:rPr>
            <w:noProof/>
            <w:webHidden/>
          </w:rPr>
          <w:fldChar w:fldCharType="begin"/>
        </w:r>
        <w:r w:rsidR="000E68B0">
          <w:rPr>
            <w:noProof/>
            <w:webHidden/>
          </w:rPr>
          <w:instrText xml:space="preserve"> PAGEREF _Toc16519540 \h </w:instrText>
        </w:r>
        <w:r w:rsidR="000E68B0">
          <w:rPr>
            <w:noProof/>
            <w:webHidden/>
          </w:rPr>
        </w:r>
        <w:r w:rsidR="000E68B0">
          <w:rPr>
            <w:noProof/>
            <w:webHidden/>
          </w:rPr>
          <w:fldChar w:fldCharType="separate"/>
        </w:r>
        <w:r w:rsidR="000E68B0">
          <w:rPr>
            <w:noProof/>
            <w:webHidden/>
          </w:rPr>
          <w:t>4</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41" w:history="1">
        <w:r w:rsidR="000E68B0">
          <w:rPr>
            <w:rStyle w:val="Hyperlink"/>
            <w:noProof/>
          </w:rPr>
          <w:t>Figure 3 Share of imported food, by country of origin, 2017–18, 2016–17 and 3-year average to 2006–07</w:t>
        </w:r>
        <w:r w:rsidR="000E68B0">
          <w:rPr>
            <w:noProof/>
            <w:webHidden/>
          </w:rPr>
          <w:tab/>
        </w:r>
        <w:r w:rsidR="000E68B0">
          <w:rPr>
            <w:noProof/>
            <w:webHidden/>
          </w:rPr>
          <w:fldChar w:fldCharType="begin"/>
        </w:r>
        <w:r w:rsidR="000E68B0">
          <w:rPr>
            <w:noProof/>
            <w:webHidden/>
          </w:rPr>
          <w:instrText xml:space="preserve"> PAGEREF _Toc16519541 \h </w:instrText>
        </w:r>
        <w:r w:rsidR="000E68B0">
          <w:rPr>
            <w:noProof/>
            <w:webHidden/>
          </w:rPr>
        </w:r>
        <w:r w:rsidR="000E68B0">
          <w:rPr>
            <w:noProof/>
            <w:webHidden/>
          </w:rPr>
          <w:fldChar w:fldCharType="separate"/>
        </w:r>
        <w:r w:rsidR="000E68B0">
          <w:rPr>
            <w:noProof/>
            <w:webHidden/>
          </w:rPr>
          <w:t>5</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42" w:history="1">
        <w:r w:rsidR="000E68B0">
          <w:rPr>
            <w:rStyle w:val="Hyperlink"/>
            <w:noProof/>
          </w:rPr>
          <w:t>Figure 4 Non-compliant test results, by test type, 2018</w:t>
        </w:r>
        <w:r w:rsidR="000E68B0">
          <w:rPr>
            <w:noProof/>
            <w:webHidden/>
          </w:rPr>
          <w:tab/>
        </w:r>
        <w:r w:rsidR="000E68B0">
          <w:rPr>
            <w:noProof/>
            <w:webHidden/>
          </w:rPr>
          <w:fldChar w:fldCharType="begin"/>
        </w:r>
        <w:r w:rsidR="000E68B0">
          <w:rPr>
            <w:noProof/>
            <w:webHidden/>
          </w:rPr>
          <w:instrText xml:space="preserve"> PAGEREF _Toc16519542 \h </w:instrText>
        </w:r>
        <w:r w:rsidR="000E68B0">
          <w:rPr>
            <w:noProof/>
            <w:webHidden/>
          </w:rPr>
        </w:r>
        <w:r w:rsidR="000E68B0">
          <w:rPr>
            <w:noProof/>
            <w:webHidden/>
          </w:rPr>
          <w:fldChar w:fldCharType="separate"/>
        </w:r>
        <w:r w:rsidR="000E68B0">
          <w:rPr>
            <w:noProof/>
            <w:webHidden/>
          </w:rPr>
          <w:t>7</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43" w:history="1">
        <w:r w:rsidR="000E68B0">
          <w:rPr>
            <w:rStyle w:val="Hyperlink"/>
            <w:noProof/>
          </w:rPr>
          <w:t>Figure 5 Non-compliant labelling, by information type, 2018</w:t>
        </w:r>
        <w:r w:rsidR="000E68B0">
          <w:rPr>
            <w:noProof/>
            <w:webHidden/>
          </w:rPr>
          <w:tab/>
        </w:r>
        <w:r w:rsidR="000E68B0">
          <w:rPr>
            <w:noProof/>
            <w:webHidden/>
          </w:rPr>
          <w:fldChar w:fldCharType="begin"/>
        </w:r>
        <w:r w:rsidR="000E68B0">
          <w:rPr>
            <w:noProof/>
            <w:webHidden/>
          </w:rPr>
          <w:instrText xml:space="preserve"> PAGEREF _Toc16519543 \h </w:instrText>
        </w:r>
        <w:r w:rsidR="000E68B0">
          <w:rPr>
            <w:noProof/>
            <w:webHidden/>
          </w:rPr>
        </w:r>
        <w:r w:rsidR="000E68B0">
          <w:rPr>
            <w:noProof/>
            <w:webHidden/>
          </w:rPr>
          <w:fldChar w:fldCharType="separate"/>
        </w:r>
        <w:r w:rsidR="000E68B0">
          <w:rPr>
            <w:noProof/>
            <w:webHidden/>
          </w:rPr>
          <w:t>8</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44" w:history="1">
        <w:r w:rsidR="000E68B0">
          <w:rPr>
            <w:rStyle w:val="Hyperlink"/>
            <w:noProof/>
          </w:rPr>
          <w:t>Figure 6 Percentage of tests applied, by commodity group, 2018</w:t>
        </w:r>
        <w:r w:rsidR="000E68B0">
          <w:rPr>
            <w:noProof/>
            <w:webHidden/>
          </w:rPr>
          <w:tab/>
        </w:r>
        <w:r w:rsidR="000E68B0">
          <w:rPr>
            <w:noProof/>
            <w:webHidden/>
          </w:rPr>
          <w:fldChar w:fldCharType="begin"/>
        </w:r>
        <w:r w:rsidR="000E68B0">
          <w:rPr>
            <w:noProof/>
            <w:webHidden/>
          </w:rPr>
          <w:instrText xml:space="preserve"> PAGEREF _Toc16519544 \h </w:instrText>
        </w:r>
        <w:r w:rsidR="000E68B0">
          <w:rPr>
            <w:noProof/>
            <w:webHidden/>
          </w:rPr>
        </w:r>
        <w:r w:rsidR="000E68B0">
          <w:rPr>
            <w:noProof/>
            <w:webHidden/>
          </w:rPr>
          <w:fldChar w:fldCharType="separate"/>
        </w:r>
        <w:r w:rsidR="000E68B0">
          <w:rPr>
            <w:noProof/>
            <w:webHidden/>
          </w:rPr>
          <w:t>12</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45" w:history="1">
        <w:r w:rsidR="000E68B0">
          <w:rPr>
            <w:rStyle w:val="Hyperlink"/>
            <w:noProof/>
          </w:rPr>
          <w:t>Figure 7 Inspection activity, January 2011 to December 2018</w:t>
        </w:r>
        <w:r w:rsidR="000E68B0">
          <w:rPr>
            <w:noProof/>
            <w:webHidden/>
          </w:rPr>
          <w:tab/>
        </w:r>
        <w:r w:rsidR="000E68B0">
          <w:rPr>
            <w:noProof/>
            <w:webHidden/>
          </w:rPr>
          <w:fldChar w:fldCharType="begin"/>
        </w:r>
        <w:r w:rsidR="000E68B0">
          <w:rPr>
            <w:noProof/>
            <w:webHidden/>
          </w:rPr>
          <w:instrText xml:space="preserve"> PAGEREF _Toc16519545 \h </w:instrText>
        </w:r>
        <w:r w:rsidR="000E68B0">
          <w:rPr>
            <w:noProof/>
            <w:webHidden/>
          </w:rPr>
        </w:r>
        <w:r w:rsidR="000E68B0">
          <w:rPr>
            <w:noProof/>
            <w:webHidden/>
          </w:rPr>
          <w:fldChar w:fldCharType="separate"/>
        </w:r>
        <w:r w:rsidR="000E68B0">
          <w:rPr>
            <w:noProof/>
            <w:webHidden/>
          </w:rPr>
          <w:t>14</w:t>
        </w:r>
        <w:r w:rsidR="000E68B0">
          <w:rPr>
            <w:noProof/>
            <w:webHidden/>
          </w:rPr>
          <w:fldChar w:fldCharType="end"/>
        </w:r>
      </w:hyperlink>
    </w:p>
    <w:p w:rsidR="001F723F" w:rsidRDefault="000E73FE">
      <w:pPr>
        <w:pStyle w:val="TableofFigures"/>
        <w:tabs>
          <w:tab w:val="right" w:leader="dot" w:pos="9060"/>
        </w:tabs>
        <w:rPr>
          <w:rFonts w:asciiTheme="minorHAnsi" w:eastAsiaTheme="minorEastAsia" w:hAnsiTheme="minorHAnsi"/>
          <w:noProof/>
          <w:lang w:eastAsia="en-AU"/>
        </w:rPr>
      </w:pPr>
      <w:hyperlink w:anchor="_Toc16519546" w:history="1">
        <w:r w:rsidR="000E68B0">
          <w:rPr>
            <w:rStyle w:val="Hyperlink"/>
            <w:noProof/>
          </w:rPr>
          <w:t>Figure 8 Tests conducted, January 2011 to December 2018</w:t>
        </w:r>
        <w:r w:rsidR="000E68B0">
          <w:rPr>
            <w:noProof/>
            <w:webHidden/>
          </w:rPr>
          <w:tab/>
        </w:r>
        <w:r w:rsidR="000E68B0">
          <w:rPr>
            <w:noProof/>
            <w:webHidden/>
          </w:rPr>
          <w:fldChar w:fldCharType="begin"/>
        </w:r>
        <w:r w:rsidR="000E68B0">
          <w:rPr>
            <w:noProof/>
            <w:webHidden/>
          </w:rPr>
          <w:instrText xml:space="preserve"> PAGEREF _Toc16519546 \h </w:instrText>
        </w:r>
        <w:r w:rsidR="000E68B0">
          <w:rPr>
            <w:noProof/>
            <w:webHidden/>
          </w:rPr>
        </w:r>
        <w:r w:rsidR="000E68B0">
          <w:rPr>
            <w:noProof/>
            <w:webHidden/>
          </w:rPr>
          <w:fldChar w:fldCharType="separate"/>
        </w:r>
        <w:r w:rsidR="000E68B0">
          <w:rPr>
            <w:noProof/>
            <w:webHidden/>
          </w:rPr>
          <w:t>15</w:t>
        </w:r>
        <w:r w:rsidR="000E68B0">
          <w:rPr>
            <w:noProof/>
            <w:webHidden/>
          </w:rPr>
          <w:fldChar w:fldCharType="end"/>
        </w:r>
      </w:hyperlink>
    </w:p>
    <w:p w:rsidR="001F723F" w:rsidRDefault="000E68B0">
      <w:pPr>
        <w:sectPr w:rsidR="001F723F">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fldChar w:fldCharType="end"/>
      </w:r>
    </w:p>
    <w:p w:rsidR="001F723F" w:rsidRDefault="000E68B0">
      <w:pPr>
        <w:pStyle w:val="Heading2"/>
        <w:numPr>
          <w:ilvl w:val="0"/>
          <w:numId w:val="0"/>
        </w:numPr>
        <w:ind w:left="709" w:hanging="709"/>
      </w:pPr>
      <w:bookmarkStart w:id="0" w:name="_Toc430782150"/>
      <w:bookmarkStart w:id="1" w:name="_Toc16519501"/>
      <w:r>
        <w:lastRenderedPageBreak/>
        <w:t>Introduction</w:t>
      </w:r>
      <w:bookmarkEnd w:id="0"/>
      <w:bookmarkEnd w:id="1"/>
    </w:p>
    <w:p w:rsidR="001F723F" w:rsidRDefault="000E68B0">
      <w:bookmarkStart w:id="2" w:name="_Ref445985033"/>
      <w:bookmarkStart w:id="3" w:name="_Toc409769171"/>
      <w:r>
        <w:t>The Department of Agriculture is responsible for managing Australia's biosecurity system. Every year, we help millions of people, goods, vessels and aircraft move into and out of Australia while minimising harm to environmental, animal, plant and human health.</w:t>
      </w:r>
    </w:p>
    <w:p w:rsidR="001F723F" w:rsidRDefault="000E68B0">
      <w:pPr>
        <w:rPr>
          <w:lang w:val="en"/>
        </w:rPr>
      </w:pPr>
      <w:r>
        <w:t xml:space="preserve">We are also responsible for monitoring the safety of imported food at the border. </w:t>
      </w:r>
      <w:r>
        <w:rPr>
          <w:lang w:val="en"/>
        </w:rPr>
        <w:t xml:space="preserve">Food entering Australia is subject to the </w:t>
      </w:r>
      <w:r>
        <w:rPr>
          <w:i/>
          <w:iCs/>
          <w:lang w:val="en"/>
        </w:rPr>
        <w:t>Imported Food Control Act 1992</w:t>
      </w:r>
      <w:r>
        <w:rPr>
          <w:lang w:val="en"/>
        </w:rPr>
        <w:t xml:space="preserve">. The Act provides for the inspection and control of imported food through the </w:t>
      </w:r>
      <w:hyperlink r:id="rId20" w:history="1">
        <w:r>
          <w:rPr>
            <w:rStyle w:val="Hyperlink"/>
            <w:lang w:val="en"/>
          </w:rPr>
          <w:t>Imported Food Inspection Scheme</w:t>
        </w:r>
      </w:hyperlink>
      <w:r>
        <w:rPr>
          <w:rStyle w:val="Hyperlink"/>
          <w:lang w:val="en"/>
        </w:rPr>
        <w:t xml:space="preserve"> (IFIS)</w:t>
      </w:r>
      <w:r>
        <w:rPr>
          <w:lang w:val="en"/>
        </w:rPr>
        <w:t>, a risk-based border inspection program.</w:t>
      </w:r>
    </w:p>
    <w:p w:rsidR="001F723F" w:rsidRDefault="000E68B0">
      <w:pPr>
        <w:rPr>
          <w:lang w:val="en"/>
        </w:rPr>
      </w:pPr>
      <w:r>
        <w:rPr>
          <w:lang w:val="en"/>
        </w:rPr>
        <w:t>Food Standards Australia New Zealand (FSANZ) advises us on food that poses a medium or high risk to human health and safety. We classify this food as ‘risk food’ for inspection under the IFIS.</w:t>
      </w:r>
    </w:p>
    <w:p w:rsidR="001F723F" w:rsidRDefault="000E68B0">
      <w:pPr>
        <w:rPr>
          <w:lang w:val="en"/>
        </w:rPr>
      </w:pPr>
      <w:r>
        <w:rPr>
          <w:lang w:val="en"/>
        </w:rPr>
        <w:t>State and territory authorities are responsible for monitoring all food, including imported food that is available for sale.</w:t>
      </w:r>
    </w:p>
    <w:p w:rsidR="001F723F" w:rsidRDefault="000E68B0">
      <w:pPr>
        <w:rPr>
          <w:lang w:val="en"/>
        </w:rPr>
      </w:pPr>
      <w:r>
        <w:rPr>
          <w:lang w:val="en"/>
        </w:rPr>
        <w:t xml:space="preserve">This report provides summary data from imported food inspections conducted under the IFIS from 1 January to 31 December 2018. We publish these reports annually on our </w:t>
      </w:r>
      <w:hyperlink r:id="rId21" w:history="1">
        <w:proofErr w:type="gramStart"/>
        <w:r>
          <w:rPr>
            <w:rStyle w:val="Hyperlink"/>
            <w:lang w:val="en"/>
          </w:rPr>
          <w:t>Imported</w:t>
        </w:r>
        <w:proofErr w:type="gramEnd"/>
        <w:r>
          <w:rPr>
            <w:rStyle w:val="Hyperlink"/>
            <w:lang w:val="en"/>
          </w:rPr>
          <w:t xml:space="preserve"> food inspection data</w:t>
        </w:r>
      </w:hyperlink>
      <w:r>
        <w:rPr>
          <w:lang w:val="en"/>
        </w:rPr>
        <w:t xml:space="preserve"> web page. We also publish monthly </w:t>
      </w:r>
      <w:hyperlink r:id="rId22" w:history="1">
        <w:r>
          <w:rPr>
            <w:rStyle w:val="Hyperlink"/>
          </w:rPr>
          <w:t>failing food reports</w:t>
        </w:r>
      </w:hyperlink>
      <w:r>
        <w:rPr>
          <w:lang w:val="en"/>
        </w:rPr>
        <w:t xml:space="preserve"> on products that have failed inspection or analysis.</w:t>
      </w:r>
    </w:p>
    <w:p w:rsidR="001F723F" w:rsidRDefault="000E68B0">
      <w:pPr>
        <w:pStyle w:val="Heading2"/>
      </w:pPr>
      <w:bookmarkStart w:id="4" w:name="_Toc16519502"/>
      <w:bookmarkEnd w:id="2"/>
      <w:bookmarkEnd w:id="3"/>
      <w:r>
        <w:lastRenderedPageBreak/>
        <w:t>Imported Food Inspection Scheme</w:t>
      </w:r>
      <w:bookmarkEnd w:id="4"/>
    </w:p>
    <w:p w:rsidR="001F723F" w:rsidRDefault="000E68B0">
      <w:r>
        <w:t xml:space="preserve">The department administers legislative requirements that imported food must meet. These requirements are identified in the </w:t>
      </w:r>
      <w:r>
        <w:rPr>
          <w:i/>
        </w:rPr>
        <w:t>Biosecurity Act 2015</w:t>
      </w:r>
      <w:r>
        <w:t xml:space="preserve"> and the </w:t>
      </w:r>
      <w:r>
        <w:rPr>
          <w:i/>
        </w:rPr>
        <w:t>Imported Food Control Act 1992</w:t>
      </w:r>
      <w:r>
        <w:t>.</w:t>
      </w:r>
    </w:p>
    <w:p w:rsidR="001F723F" w:rsidRDefault="000E68B0">
      <w:r>
        <w:t xml:space="preserve">Under the </w:t>
      </w:r>
      <w:r>
        <w:rPr>
          <w:i/>
        </w:rPr>
        <w:t xml:space="preserve">Biosecurity Act 2015, </w:t>
      </w:r>
      <w:r>
        <w:t>food imported into Australia must meet biosecurity requirements to be allowed into the country. The Act explains how biosecurity threats to plant, animal and human health in Australia and its external territories is managed.</w:t>
      </w:r>
    </w:p>
    <w:p w:rsidR="001F723F" w:rsidRDefault="000E68B0">
      <w:r>
        <w:t xml:space="preserve">Under the </w:t>
      </w:r>
      <w:r>
        <w:rPr>
          <w:i/>
        </w:rPr>
        <w:t>Imported Food Control Act 1992</w:t>
      </w:r>
      <w:r>
        <w:t>, imported food must meet requirements for food safety and compliance with Australia's food standards. This Act provides for the operation of the Imported Food Inspection Scheme (IFIS), a risk-based border inspection scheme. Under this scheme, we monitor importers' compliance with sourcing food that meets Australia's food standards and does not pose a risk to human health. Importers are responsible for ensuring that imported food complies with the Act and Australian food safety requirements.</w:t>
      </w:r>
    </w:p>
    <w:p w:rsidR="001F723F" w:rsidRDefault="000E68B0">
      <w:r>
        <w:t>Food Standards Australia New Zealand (FSANZ) is an independent statutory authority that develops and maintains the Australia New Zealand Food Standards Code. FSANZ also advises us on food that could pose a medium or high risk to public health. The Minister for Agriculture may then classify this food as 'risk food', as defined in the Imported Food Control Order 2001. Food not classified as risk food is 'surveillance food'.</w:t>
      </w:r>
    </w:p>
    <w:p w:rsidR="001F723F" w:rsidRDefault="000E68B0">
      <w:pPr>
        <w:rPr>
          <w:lang w:val="en"/>
        </w:rPr>
      </w:pPr>
      <w:r>
        <w:rPr>
          <w:lang w:val="en"/>
        </w:rPr>
        <w:t>Risk food is initially referred for inspection and analysis at a rate of 100% of consignments. This inspection rate is reduced to 25% following 5 consecutive passes and may be reduced to 5% of consignments after a further 20 consecutive passes. Surveillance food is referred for inspection and analysis at a rate of 5% of consignments.</w:t>
      </w:r>
    </w:p>
    <w:p w:rsidR="001F723F" w:rsidRDefault="000E68B0">
      <w:pPr>
        <w:rPr>
          <w:lang w:val="en"/>
        </w:rPr>
      </w:pPr>
      <w:r>
        <w:rPr>
          <w:lang w:val="en"/>
        </w:rPr>
        <w:t>For more information see our list of tests applied to:</w:t>
      </w:r>
    </w:p>
    <w:p w:rsidR="001F723F" w:rsidRDefault="000E73FE">
      <w:pPr>
        <w:pStyle w:val="ListBullet"/>
        <w:rPr>
          <w:lang w:val="en"/>
        </w:rPr>
      </w:pPr>
      <w:hyperlink r:id="rId23" w:history="1">
        <w:r w:rsidR="000E68B0">
          <w:rPr>
            <w:rStyle w:val="Hyperlink"/>
            <w:lang w:val="en"/>
          </w:rPr>
          <w:t>risk food</w:t>
        </w:r>
      </w:hyperlink>
    </w:p>
    <w:p w:rsidR="001F723F" w:rsidRDefault="000E73FE">
      <w:pPr>
        <w:pStyle w:val="ListBullet"/>
      </w:pPr>
      <w:hyperlink r:id="rId24" w:history="1">
        <w:r w:rsidR="000E68B0">
          <w:rPr>
            <w:rStyle w:val="Hyperlink"/>
            <w:lang w:val="en"/>
          </w:rPr>
          <w:t>surveillance food</w:t>
        </w:r>
      </w:hyperlink>
    </w:p>
    <w:p w:rsidR="001F723F" w:rsidRDefault="000E68B0">
      <w:r>
        <w:t>We use electronic profiles in the Department of Home Affairs' Integrated Cargo System (ICS) to identify foods of interest and appropriate rates of referral. Once food is referred, our systems apply relevant tests and inspection rates based on the risk the food may pose and, for some food, the compliance history of the food producer.</w:t>
      </w:r>
    </w:p>
    <w:p w:rsidR="001F723F" w:rsidRDefault="000E68B0">
      <w:r>
        <w:t>When imported food fails inspection we undertake follow-up action such as treatment of the food to bring it into compliance, destruction or export. Subsequent imports of the same food are subject to inspection at the rate of 100% of consignments until a history of compliance is demonstrated.</w:t>
      </w:r>
    </w:p>
    <w:p w:rsidR="001F723F" w:rsidRDefault="000E68B0">
      <w:r>
        <w:lastRenderedPageBreak/>
        <w:t xml:space="preserve">State, territory and local governments have responsibility for ensuring that all food, including imported food, meets the requirements of food legislation (including </w:t>
      </w:r>
      <w:bookmarkStart w:id="5" w:name="_Toc516131643"/>
      <w:bookmarkStart w:id="6" w:name="_Toc516132091"/>
      <w:bookmarkStart w:id="7" w:name="_Toc518540201"/>
      <w:bookmarkStart w:id="8" w:name="_Toc520880938"/>
      <w:r>
        <w:t>the Australia New Zealand Food Standards Code) at the point of sale.</w:t>
      </w:r>
    </w:p>
    <w:p w:rsidR="001F723F" w:rsidRDefault="000E68B0">
      <w:pPr>
        <w:pStyle w:val="Heading3"/>
        <w:keepNext w:val="0"/>
        <w:keepLines w:val="0"/>
        <w:pageBreakBefore/>
      </w:pPr>
      <w:bookmarkStart w:id="9" w:name="_Toc16519503"/>
      <w:r>
        <w:lastRenderedPageBreak/>
        <w:t>Australian food trade</w:t>
      </w:r>
      <w:bookmarkEnd w:id="5"/>
      <w:bookmarkEnd w:id="6"/>
      <w:bookmarkEnd w:id="7"/>
      <w:bookmarkEnd w:id="8"/>
      <w:bookmarkEnd w:id="9"/>
    </w:p>
    <w:p w:rsidR="001F723F" w:rsidRDefault="000E68B0">
      <w:r>
        <w:t>To help contextualise the inspection data, this report includes information on food trade, such as the composition of Australian food imports and countries of origin.</w:t>
      </w:r>
    </w:p>
    <w:p w:rsidR="001F723F" w:rsidRDefault="000E68B0">
      <w:pPr>
        <w:spacing w:before="120" w:after="0" w:line="240" w:lineRule="auto"/>
        <w:rPr>
          <w:rFonts w:eastAsia="Calibri" w:cs="Times New Roman"/>
        </w:rPr>
      </w:pPr>
      <w:r>
        <w:rPr>
          <w:rFonts w:eastAsia="Calibri" w:cs="Times New Roman"/>
        </w:rPr>
        <w:t xml:space="preserve">Data on food imports and food exports is presented in value terms, for each financial year. </w:t>
      </w:r>
      <w:r>
        <w:rPr>
          <w:rFonts w:eastAsia="Calibri" w:cs="Times New Roman"/>
        </w:rPr>
        <w:fldChar w:fldCharType="begin"/>
      </w:r>
      <w:r>
        <w:rPr>
          <w:rFonts w:eastAsia="Calibri" w:cs="Times New Roman"/>
        </w:rPr>
        <w:instrText xml:space="preserve"> REF _Ref520879679 \h </w:instrText>
      </w:r>
      <w:r>
        <w:rPr>
          <w:rFonts w:eastAsia="Calibri" w:cs="Times New Roman"/>
        </w:rPr>
      </w:r>
      <w:r>
        <w:rPr>
          <w:rFonts w:eastAsia="Calibri" w:cs="Times New Roman"/>
        </w:rPr>
        <w:fldChar w:fldCharType="separate"/>
      </w:r>
      <w:r>
        <w:t xml:space="preserve">Figure </w:t>
      </w:r>
      <w:r>
        <w:rPr>
          <w:noProof/>
        </w:rPr>
        <w:t>1</w:t>
      </w:r>
      <w:r>
        <w:rPr>
          <w:rFonts w:eastAsia="Calibri" w:cs="Times New Roman"/>
        </w:rPr>
        <w:fldChar w:fldCharType="end"/>
      </w:r>
      <w:r>
        <w:rPr>
          <w:rFonts w:eastAsia="Calibri" w:cs="Times New Roman"/>
        </w:rPr>
        <w:t xml:space="preserve"> shows the trend for the last 25 years, including the net value for exports (difference between the value of food exports and food imports).</w:t>
      </w:r>
    </w:p>
    <w:p w:rsidR="001F723F" w:rsidRDefault="000E68B0">
      <w:pPr>
        <w:spacing w:before="120" w:after="0" w:line="240" w:lineRule="auto"/>
        <w:rPr>
          <w:rFonts w:eastAsia="Calibri" w:cs="Times New Roman"/>
        </w:rPr>
      </w:pPr>
      <w:r>
        <w:rPr>
          <w:rFonts w:eastAsia="Calibri" w:cs="Times New Roman"/>
        </w:rPr>
        <w:t>The value of Australian food exports in 2017–18 decreased by 4.3% (in real terms) to $42.5 billion compared with the previous year. The value of food imported by Australian food businesses in 2017–18 increased by 1.6% ($17.2 billion) on the previous year. As a result, Australia's net exports of food decreased by 7.9% to $25.3 billion in 2017–18 (compared with $26.9 billion in 2016–17).</w:t>
      </w:r>
    </w:p>
    <w:p w:rsidR="001F723F" w:rsidRDefault="000E68B0">
      <w:pPr>
        <w:spacing w:before="120" w:after="0" w:line="240" w:lineRule="auto"/>
        <w:rPr>
          <w:rFonts w:eastAsia="Calibri" w:cs="Times New Roman"/>
        </w:rPr>
      </w:pPr>
      <w:r>
        <w:rPr>
          <w:rFonts w:eastAsia="Calibri" w:cs="Times New Roman"/>
        </w:rPr>
        <w:t>In value terms, the proportion of imports compared with exports increased to 40.4% in 2017–18, up from 38.1% in 2016–17.</w:t>
      </w:r>
    </w:p>
    <w:p w:rsidR="001F723F" w:rsidRDefault="000E68B0">
      <w:pPr>
        <w:pStyle w:val="Caption"/>
        <w:spacing w:before="120"/>
      </w:pPr>
      <w:bookmarkStart w:id="10" w:name="_Ref520879679"/>
      <w:bookmarkStart w:id="11" w:name="_Toc516140809"/>
      <w:bookmarkStart w:id="12" w:name="_Toc518543530"/>
      <w:bookmarkStart w:id="13" w:name="_Toc520880967"/>
      <w:bookmarkStart w:id="14" w:name="_Ref14430510"/>
      <w:bookmarkStart w:id="15" w:name="_Toc16519539"/>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0"/>
      <w:r>
        <w:t xml:space="preserve"> Australian food trade</w:t>
      </w:r>
      <w:bookmarkEnd w:id="11"/>
      <w:bookmarkEnd w:id="12"/>
      <w:r>
        <w:t>, by value, 1992–93 to 2017–1</w:t>
      </w:r>
      <w:bookmarkEnd w:id="13"/>
      <w:r>
        <w:t>8</w:t>
      </w:r>
      <w:bookmarkEnd w:id="14"/>
      <w:bookmarkEnd w:id="15"/>
    </w:p>
    <w:p w:rsidR="001F723F" w:rsidRDefault="000E68B0">
      <w:pPr>
        <w:pStyle w:val="FigureTableNoteSource"/>
      </w:pPr>
      <w:r>
        <w:rPr>
          <w:noProof/>
          <w:lang w:eastAsia="en-AU"/>
        </w:rPr>
        <w:drawing>
          <wp:inline distT="0" distB="0" distL="0" distR="0" wp14:anchorId="7809EBA9" wp14:editId="2FA2ACE7">
            <wp:extent cx="5759450" cy="314896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t>Source: Australian Bureau of Statistics</w:t>
      </w:r>
    </w:p>
    <w:p w:rsidR="001F723F" w:rsidRDefault="000E68B0">
      <w:pPr>
        <w:pStyle w:val="Heading3"/>
        <w:rPr>
          <w:rFonts w:eastAsiaTheme="minorEastAsia"/>
          <w:sz w:val="28"/>
          <w:lang w:eastAsia="ja-JP"/>
        </w:rPr>
      </w:pPr>
      <w:bookmarkStart w:id="16" w:name="_Toc16519504"/>
      <w:r>
        <w:t>Australian food imports</w:t>
      </w:r>
      <w:bookmarkEnd w:id="16"/>
    </w:p>
    <w:p w:rsidR="001F723F" w:rsidRDefault="000E68B0">
      <w:pPr>
        <w:spacing w:before="120" w:after="0" w:line="240" w:lineRule="auto"/>
        <w:rPr>
          <w:rFonts w:eastAsia="Calibri" w:cs="Times New Roman"/>
          <w:lang w:eastAsia="ja-JP"/>
        </w:rPr>
      </w:pPr>
      <w:r>
        <w:rPr>
          <w:rFonts w:eastAsia="Calibri" w:cs="Times New Roman"/>
          <w:lang w:eastAsia="ja-JP"/>
        </w:rPr>
        <w:t>Over the past 20 years, the value of food imported by Australian food businesses has increased. Most foods imported by Australian food businesses are processed products, followed by seafood, fruit and vegetables and dairy products.</w:t>
      </w:r>
    </w:p>
    <w:p w:rsidR="001F723F" w:rsidRDefault="000E68B0">
      <w:pPr>
        <w:spacing w:before="120" w:after="0" w:line="240" w:lineRule="auto"/>
        <w:rPr>
          <w:rFonts w:eastAsia="Calibri" w:cs="Times New Roman"/>
          <w:lang w:eastAsia="ja-JP"/>
        </w:rPr>
      </w:pPr>
      <w:r>
        <w:rPr>
          <w:rFonts w:eastAsia="Calibri" w:cs="Times New Roman"/>
          <w:lang w:eastAsia="ja-JP"/>
        </w:rPr>
        <w:t>The value of food imported by Australian food businesses increased, mainly as a result of increased imports of dairy products, milled flour and cereal foods, and processed foods (</w:t>
      </w:r>
      <w:r>
        <w:rPr>
          <w:rFonts w:eastAsia="Calibri" w:cs="Times New Roman"/>
          <w:lang w:eastAsia="ja-JP"/>
        </w:rPr>
        <w:fldChar w:fldCharType="begin"/>
      </w:r>
      <w:r>
        <w:rPr>
          <w:rFonts w:eastAsia="Calibri" w:cs="Times New Roman"/>
          <w:lang w:eastAsia="ja-JP"/>
        </w:rPr>
        <w:instrText xml:space="preserve"> REF _Ref520879695 \h </w:instrText>
      </w:r>
      <w:r>
        <w:rPr>
          <w:rFonts w:eastAsia="Calibri" w:cs="Times New Roman"/>
          <w:lang w:eastAsia="ja-JP"/>
        </w:rPr>
      </w:r>
      <w:r>
        <w:rPr>
          <w:rFonts w:eastAsia="Calibri" w:cs="Times New Roman"/>
          <w:lang w:eastAsia="ja-JP"/>
        </w:rPr>
        <w:fldChar w:fldCharType="separate"/>
      </w:r>
      <w:r>
        <w:t xml:space="preserve">Figure </w:t>
      </w:r>
      <w:r>
        <w:rPr>
          <w:noProof/>
        </w:rPr>
        <w:t>2</w:t>
      </w:r>
      <w:r>
        <w:rPr>
          <w:rFonts w:eastAsia="Calibri" w:cs="Times New Roman"/>
          <w:lang w:eastAsia="ja-JP"/>
        </w:rPr>
        <w:fldChar w:fldCharType="end"/>
      </w:r>
      <w:r>
        <w:rPr>
          <w:rFonts w:eastAsia="Calibri" w:cs="Times New Roman"/>
          <w:lang w:eastAsia="ja-JP"/>
        </w:rPr>
        <w:t>). The increase was partially offset by fewer imports of soft drinks and cordials.</w:t>
      </w:r>
    </w:p>
    <w:p w:rsidR="001F723F" w:rsidRDefault="000E68B0">
      <w:pPr>
        <w:pStyle w:val="Caption"/>
      </w:pPr>
      <w:bookmarkStart w:id="17" w:name="_Ref520879695"/>
      <w:bookmarkStart w:id="18" w:name="_Toc516140810"/>
      <w:bookmarkStart w:id="19" w:name="_Toc518543531"/>
      <w:bookmarkStart w:id="20" w:name="_Toc520880968"/>
      <w:bookmarkStart w:id="21" w:name="_Toc16519540"/>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7"/>
      <w:r>
        <w:t xml:space="preserve"> Australian food imports, by commodity, </w:t>
      </w:r>
      <w:bookmarkEnd w:id="18"/>
      <w:bookmarkEnd w:id="19"/>
      <w:r>
        <w:t>2017–18, 2016–17</w:t>
      </w:r>
      <w:bookmarkEnd w:id="20"/>
      <w:r>
        <w:t xml:space="preserve"> and 3-year average to 2006–07</w:t>
      </w:r>
      <w:bookmarkEnd w:id="21"/>
    </w:p>
    <w:p w:rsidR="001F723F" w:rsidRDefault="000E68B0">
      <w:pPr>
        <w:contextualSpacing/>
        <w:rPr>
          <w:rFonts w:ascii="Calibri" w:eastAsia="Times New Roman" w:hAnsi="Calibri" w:cs="Times New Roman"/>
          <w:sz w:val="18"/>
          <w:szCs w:val="24"/>
        </w:rPr>
      </w:pPr>
      <w:r>
        <w:rPr>
          <w:noProof/>
          <w:lang w:eastAsia="en-AU"/>
        </w:rPr>
        <w:drawing>
          <wp:inline distT="0" distB="0" distL="0" distR="0" wp14:anchorId="0ECFF329" wp14:editId="3B8E5C97">
            <wp:extent cx="5759450" cy="3303905"/>
            <wp:effectExtent l="0" t="0" r="12700" b="10795"/>
            <wp:docPr id="5" name="Chart 5" descr="The majority of food imported to Australia is processed food that has been substantially transformed. This includes spirits, wine, beer and malt, soft drink, cordial, seafood, confectionery, bakery products, cereal food, oil and fat, fruit and vegetables, dairy and meat products and processed food not elsewhere classified. &#10;In 2017-18 processed food not elsewhere classified was the most imported commodity (15.6%), followed by processed fruit and vegetables (14.3%) and processed seafood (11.5%). &#10;The value of food imported by Australian food businesses has increased since 2016-17, mainly as a result of increased imports of dairy products (up 1.1%), milled flour and cereal foods (up 1.1%), and processed foods (up 0.3%). The increase was partially offset by fewer imports of soft drinks and cordials (dow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723F" w:rsidRDefault="000E68B0">
      <w:pPr>
        <w:pStyle w:val="FigureTableNoteSource"/>
      </w:pPr>
      <w:r>
        <w:rPr>
          <w:b/>
        </w:rPr>
        <w:t>Proc.</w:t>
      </w:r>
      <w:r>
        <w:t xml:space="preserve"> Processed. </w:t>
      </w:r>
      <w:proofErr w:type="spellStart"/>
      <w:r>
        <w:rPr>
          <w:b/>
        </w:rPr>
        <w:t>n.e.c</w:t>
      </w:r>
      <w:proofErr w:type="spellEnd"/>
      <w:r>
        <w:rPr>
          <w:b/>
        </w:rPr>
        <w:t>.</w:t>
      </w:r>
      <w:r>
        <w:t xml:space="preserve"> Not elsewhere classified. </w:t>
      </w:r>
      <w:proofErr w:type="spellStart"/>
      <w:r>
        <w:rPr>
          <w:b/>
        </w:rPr>
        <w:t>Unproc</w:t>
      </w:r>
      <w:proofErr w:type="spellEnd"/>
      <w:r>
        <w:rPr>
          <w:b/>
        </w:rPr>
        <w:t>.</w:t>
      </w:r>
      <w:r>
        <w:t xml:space="preserve"> Unprocessed.</w:t>
      </w:r>
    </w:p>
    <w:p w:rsidR="001F723F" w:rsidRDefault="000E68B0">
      <w:pPr>
        <w:pStyle w:val="FigureTableNoteSource"/>
      </w:pPr>
      <w:r>
        <w:t>Source: Australian Bureau of Statistics</w:t>
      </w:r>
    </w:p>
    <w:p w:rsidR="001F723F" w:rsidRDefault="000E68B0">
      <w:pPr>
        <w:pStyle w:val="Heading3"/>
        <w:rPr>
          <w:rFonts w:eastAsiaTheme="minorEastAsia"/>
          <w:sz w:val="28"/>
          <w:lang w:eastAsia="ja-JP"/>
        </w:rPr>
      </w:pPr>
      <w:bookmarkStart w:id="22" w:name="_Toc16519505"/>
      <w:r>
        <w:t>Source of Australian food imports</w:t>
      </w:r>
      <w:bookmarkEnd w:id="22"/>
    </w:p>
    <w:p w:rsidR="001F723F" w:rsidRDefault="000E68B0">
      <w:pPr>
        <w:spacing w:before="120" w:after="0" w:line="240" w:lineRule="auto"/>
        <w:rPr>
          <w:rFonts w:eastAsia="Calibri" w:cs="Times New Roman"/>
        </w:rPr>
      </w:pPr>
      <w:r>
        <w:rPr>
          <w:rFonts w:eastAsia="Calibri" w:cs="Times New Roman"/>
        </w:rPr>
        <w:t>The composition of Australian food imports has been stable over the 11 years to 2018 (</w:t>
      </w:r>
      <w:r>
        <w:rPr>
          <w:rFonts w:eastAsia="Calibri" w:cs="Times New Roman"/>
          <w:highlight w:val="yellow"/>
        </w:rPr>
        <w:fldChar w:fldCharType="begin"/>
      </w:r>
      <w:r>
        <w:rPr>
          <w:rFonts w:eastAsia="Calibri" w:cs="Times New Roman"/>
        </w:rPr>
        <w:instrText xml:space="preserve"> REF _Ref520879728 \h </w:instrText>
      </w:r>
      <w:r>
        <w:rPr>
          <w:rFonts w:eastAsia="Calibri" w:cs="Times New Roman"/>
          <w:highlight w:val="yellow"/>
        </w:rPr>
      </w:r>
      <w:r>
        <w:rPr>
          <w:rFonts w:eastAsia="Calibri" w:cs="Times New Roman"/>
          <w:highlight w:val="yellow"/>
        </w:rPr>
        <w:fldChar w:fldCharType="separate"/>
      </w:r>
      <w:r>
        <w:t xml:space="preserve">Figure </w:t>
      </w:r>
      <w:r>
        <w:rPr>
          <w:noProof/>
        </w:rPr>
        <w:t>3</w:t>
      </w:r>
      <w:r>
        <w:rPr>
          <w:rFonts w:eastAsia="Calibri" w:cs="Times New Roman"/>
          <w:highlight w:val="yellow"/>
        </w:rPr>
        <w:fldChar w:fldCharType="end"/>
      </w:r>
      <w:r>
        <w:rPr>
          <w:rFonts w:eastAsia="Calibri" w:cs="Times New Roman"/>
        </w:rPr>
        <w:t>). By value, New Zealand remains the major source of imports by Australian food businesses, accounting for $3.3 billion or 19.5% of the total value of food imported in 2017–18 (</w:t>
      </w:r>
      <w:r>
        <w:rPr>
          <w:rFonts w:eastAsia="Calibri" w:cs="Times New Roman"/>
        </w:rPr>
        <w:fldChar w:fldCharType="begin"/>
      </w:r>
      <w:r>
        <w:rPr>
          <w:rFonts w:eastAsia="Calibri" w:cs="Times New Roman"/>
        </w:rPr>
        <w:instrText xml:space="preserve"> REF _Ref520879728 \h </w:instrText>
      </w:r>
      <w:r>
        <w:rPr>
          <w:rFonts w:eastAsia="Calibri" w:cs="Times New Roman"/>
        </w:rPr>
      </w:r>
      <w:r>
        <w:rPr>
          <w:rFonts w:eastAsia="Calibri" w:cs="Times New Roman"/>
        </w:rPr>
        <w:fldChar w:fldCharType="separate"/>
      </w:r>
      <w:r>
        <w:t xml:space="preserve">Figure </w:t>
      </w:r>
      <w:r>
        <w:rPr>
          <w:noProof/>
        </w:rPr>
        <w:t>3</w:t>
      </w:r>
      <w:r>
        <w:rPr>
          <w:rFonts w:eastAsia="Calibri" w:cs="Times New Roman"/>
        </w:rPr>
        <w:fldChar w:fldCharType="end"/>
      </w:r>
      <w:r>
        <w:rPr>
          <w:rFonts w:eastAsia="Calibri" w:cs="Times New Roman"/>
        </w:rPr>
        <w:t>). Other major sources of food imports in 2017–18 were the United States (10.4%), China (7.1%) and Thailand (6.0%).</w:t>
      </w:r>
    </w:p>
    <w:p w:rsidR="001F723F" w:rsidRDefault="000E68B0">
      <w:pPr>
        <w:pStyle w:val="Caption"/>
      </w:pPr>
      <w:bookmarkStart w:id="23" w:name="_Ref520879728"/>
      <w:bookmarkStart w:id="24" w:name="_Toc516140811"/>
      <w:bookmarkStart w:id="25" w:name="_Toc518543532"/>
      <w:bookmarkStart w:id="26" w:name="_Toc520880969"/>
      <w:bookmarkStart w:id="27" w:name="_Toc16519541"/>
      <w:r>
        <w:lastRenderedPageBreak/>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3"/>
      <w:r>
        <w:t xml:space="preserve"> Share of imported food, by country of origin</w:t>
      </w:r>
      <w:bookmarkEnd w:id="24"/>
      <w:bookmarkEnd w:id="25"/>
      <w:r>
        <w:t>, 2017–18, 2016–17 and 3-year average to 2006–07</w:t>
      </w:r>
      <w:bookmarkEnd w:id="26"/>
      <w:bookmarkEnd w:id="27"/>
    </w:p>
    <w:p w:rsidR="001F723F" w:rsidRDefault="000E68B0">
      <w:r>
        <w:rPr>
          <w:noProof/>
          <w:lang w:eastAsia="en-AU"/>
        </w:rPr>
        <w:drawing>
          <wp:inline distT="0" distB="0" distL="0" distR="0" wp14:anchorId="339BDB12" wp14:editId="7D300CC3">
            <wp:extent cx="5759450" cy="3764280"/>
            <wp:effectExtent l="0" t="0" r="0"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F723F" w:rsidRDefault="000E68B0">
      <w:pPr>
        <w:pStyle w:val="FigureTableNoteSource"/>
      </w:pPr>
      <w:r>
        <w:t>Source: Australian Bureau of Statistics</w:t>
      </w:r>
    </w:p>
    <w:p w:rsidR="001F723F" w:rsidRDefault="000E68B0">
      <w:pPr>
        <w:pStyle w:val="Heading2"/>
      </w:pPr>
      <w:bookmarkStart w:id="28" w:name="_Toc430782157"/>
      <w:bookmarkStart w:id="29" w:name="_Toc16519506"/>
      <w:r>
        <w:lastRenderedPageBreak/>
        <w:t>I</w:t>
      </w:r>
      <w:bookmarkEnd w:id="28"/>
      <w:r>
        <w:t>mported Food Inspection Scheme inspection and testing summary</w:t>
      </w:r>
      <w:bookmarkEnd w:id="29"/>
    </w:p>
    <w:p w:rsidR="001F723F" w:rsidRDefault="000E68B0">
      <w:r>
        <w:t>From 1 January to 31 December 2018, the compliance rate for all food inspected was 98.6%.</w:t>
      </w:r>
    </w:p>
    <w:p w:rsidR="001F723F" w:rsidRDefault="000E68B0">
      <w:r>
        <w:t>During this period:</w:t>
      </w:r>
    </w:p>
    <w:p w:rsidR="001F723F" w:rsidRDefault="000E68B0">
      <w:pPr>
        <w:pStyle w:val="ListBullet"/>
        <w:spacing w:before="0" w:after="200"/>
        <w:ind w:left="426" w:hanging="426"/>
      </w:pPr>
      <w:r>
        <w:t>21,296 entries of imported food were referred for inspection or analysis</w:t>
      </w:r>
    </w:p>
    <w:p w:rsidR="001F723F" w:rsidRDefault="000E68B0">
      <w:pPr>
        <w:pStyle w:val="ListBullet"/>
        <w:spacing w:before="0" w:after="200"/>
        <w:ind w:left="426" w:hanging="426"/>
      </w:pPr>
      <w:r>
        <w:t>38,748 lines of imported food were inspected. Of these lines</w:t>
      </w:r>
    </w:p>
    <w:p w:rsidR="001F723F" w:rsidRDefault="000E68B0">
      <w:pPr>
        <w:pStyle w:val="ListBullet2"/>
        <w:numPr>
          <w:ilvl w:val="0"/>
          <w:numId w:val="35"/>
        </w:numPr>
        <w:spacing w:before="0" w:after="200"/>
        <w:contextualSpacing w:val="0"/>
        <w:rPr>
          <w:rFonts w:eastAsiaTheme="minorEastAsia"/>
          <w:szCs w:val="24"/>
        </w:rPr>
      </w:pPr>
      <w:r>
        <w:rPr>
          <w:rFonts w:eastAsiaTheme="minorEastAsia"/>
          <w:szCs w:val="24"/>
        </w:rPr>
        <w:t>26.3% were risk food</w:t>
      </w:r>
    </w:p>
    <w:p w:rsidR="001F723F" w:rsidRDefault="000E68B0">
      <w:pPr>
        <w:pStyle w:val="ListBullet2"/>
        <w:numPr>
          <w:ilvl w:val="0"/>
          <w:numId w:val="35"/>
        </w:numPr>
        <w:spacing w:before="0" w:after="200"/>
        <w:contextualSpacing w:val="0"/>
        <w:rPr>
          <w:rFonts w:eastAsiaTheme="minorEastAsia"/>
          <w:szCs w:val="24"/>
        </w:rPr>
      </w:pPr>
      <w:r>
        <w:rPr>
          <w:rFonts w:eastAsiaTheme="minorEastAsia"/>
          <w:szCs w:val="24"/>
        </w:rPr>
        <w:t>69.4% were surveillance food</w:t>
      </w:r>
    </w:p>
    <w:p w:rsidR="001F723F" w:rsidRDefault="000E68B0">
      <w:pPr>
        <w:pStyle w:val="ListBullet2"/>
        <w:numPr>
          <w:ilvl w:val="0"/>
          <w:numId w:val="35"/>
        </w:numPr>
        <w:spacing w:before="0" w:after="200"/>
        <w:contextualSpacing w:val="0"/>
        <w:rPr>
          <w:rFonts w:eastAsiaTheme="minorEastAsia"/>
          <w:szCs w:val="24"/>
        </w:rPr>
      </w:pPr>
      <w:r>
        <w:rPr>
          <w:rFonts w:eastAsiaTheme="minorEastAsia"/>
          <w:szCs w:val="24"/>
        </w:rPr>
        <w:t>4.3% were surveillance food subject to a Holding Order</w:t>
      </w:r>
    </w:p>
    <w:p w:rsidR="001F723F" w:rsidRDefault="000E68B0">
      <w:pPr>
        <w:pStyle w:val="ListBullet"/>
        <w:spacing w:before="0" w:after="200"/>
        <w:ind w:left="426" w:hanging="426"/>
      </w:pPr>
      <w:r>
        <w:t>62.6% of food inspections were on food from 10 countries; food from China, Italy and India were subject to the most inspections</w:t>
      </w:r>
    </w:p>
    <w:p w:rsidR="001F723F" w:rsidRDefault="000E68B0">
      <w:pPr>
        <w:pStyle w:val="ListBullet"/>
        <w:spacing w:before="0" w:after="200"/>
        <w:ind w:left="426" w:hanging="426"/>
      </w:pPr>
      <w:r>
        <w:t>119,499 tests (including label and visual checks) were conducted, comprising</w:t>
      </w:r>
    </w:p>
    <w:p w:rsidR="001F723F" w:rsidRDefault="000E68B0">
      <w:pPr>
        <w:pStyle w:val="ListBullet2"/>
        <w:numPr>
          <w:ilvl w:val="0"/>
          <w:numId w:val="35"/>
        </w:numPr>
        <w:spacing w:before="0" w:after="200"/>
        <w:contextualSpacing w:val="0"/>
        <w:rPr>
          <w:rFonts w:eastAsiaTheme="minorEastAsia"/>
          <w:szCs w:val="24"/>
        </w:rPr>
      </w:pPr>
      <w:r>
        <w:rPr>
          <w:rFonts w:eastAsiaTheme="minorEastAsia"/>
          <w:szCs w:val="24"/>
        </w:rPr>
        <w:t>48,828 label and composition assessments</w:t>
      </w:r>
    </w:p>
    <w:p w:rsidR="001F723F" w:rsidRDefault="000E68B0">
      <w:pPr>
        <w:pStyle w:val="ListBullet2"/>
        <w:numPr>
          <w:ilvl w:val="0"/>
          <w:numId w:val="35"/>
        </w:numPr>
        <w:spacing w:before="0" w:after="200"/>
        <w:contextualSpacing w:val="0"/>
        <w:rPr>
          <w:rFonts w:eastAsiaTheme="minorEastAsia"/>
          <w:szCs w:val="24"/>
        </w:rPr>
      </w:pPr>
      <w:r>
        <w:rPr>
          <w:rFonts w:eastAsiaTheme="minorEastAsia"/>
          <w:szCs w:val="24"/>
        </w:rPr>
        <w:t>23,375 analytical tests</w:t>
      </w:r>
    </w:p>
    <w:p w:rsidR="001F723F" w:rsidRDefault="000E68B0">
      <w:pPr>
        <w:pStyle w:val="ListBullet2"/>
        <w:numPr>
          <w:ilvl w:val="0"/>
          <w:numId w:val="35"/>
        </w:numPr>
        <w:spacing w:before="0" w:after="200"/>
        <w:contextualSpacing w:val="0"/>
        <w:rPr>
          <w:rFonts w:eastAsiaTheme="minorEastAsia"/>
          <w:szCs w:val="24"/>
        </w:rPr>
      </w:pPr>
      <w:r>
        <w:rPr>
          <w:rFonts w:eastAsiaTheme="minorEastAsia"/>
          <w:szCs w:val="24"/>
        </w:rPr>
        <w:t>47,296 other tests</w:t>
      </w:r>
    </w:p>
    <w:p w:rsidR="001F723F" w:rsidRDefault="000E68B0">
      <w:r>
        <w:t xml:space="preserve">For detailed analysis of data see </w:t>
      </w:r>
      <w:hyperlink w:anchor="_Results_of_inspection" w:history="1">
        <w:r>
          <w:rPr>
            <w:rStyle w:val="Hyperlink"/>
          </w:rPr>
          <w:t>Results of inspection and testing</w:t>
        </w:r>
      </w:hyperlink>
      <w:r>
        <w:t>.</w:t>
      </w:r>
    </w:p>
    <w:p w:rsidR="001F723F" w:rsidRDefault="000E68B0">
      <w:r>
        <w:t xml:space="preserve">See the </w:t>
      </w:r>
      <w:hyperlink w:anchor="_Glossary" w:history="1">
        <w:r>
          <w:rPr>
            <w:rStyle w:val="Hyperlink"/>
          </w:rPr>
          <w:t>Glossary</w:t>
        </w:r>
      </w:hyperlink>
      <w:r>
        <w:t xml:space="preserve"> for terms used in this document.</w:t>
      </w:r>
    </w:p>
    <w:p w:rsidR="001F723F" w:rsidRDefault="000E68B0">
      <w:pPr>
        <w:pStyle w:val="Heading2"/>
        <w:keepNext/>
        <w:keepLines/>
        <w:widowControl w:val="0"/>
      </w:pPr>
      <w:bookmarkStart w:id="30" w:name="_Results_of_inspection"/>
      <w:bookmarkStart w:id="31" w:name="_Toc516132093"/>
      <w:bookmarkStart w:id="32" w:name="_Toc518540205"/>
      <w:bookmarkStart w:id="33" w:name="_Toc520880942"/>
      <w:bookmarkStart w:id="34" w:name="_Toc16519507"/>
      <w:bookmarkEnd w:id="30"/>
      <w:r>
        <w:lastRenderedPageBreak/>
        <w:t>Results of inspection and testing</w:t>
      </w:r>
      <w:bookmarkEnd w:id="31"/>
      <w:bookmarkEnd w:id="32"/>
      <w:bookmarkEnd w:id="33"/>
      <w:bookmarkEnd w:id="34"/>
    </w:p>
    <w:p w:rsidR="001F723F" w:rsidRDefault="000E68B0">
      <w:r>
        <w:t>The results of inspection and testing from January to December 2018 include:</w:t>
      </w:r>
    </w:p>
    <w:p w:rsidR="001F723F" w:rsidRDefault="000E68B0">
      <w:pPr>
        <w:pStyle w:val="ListBullet"/>
      </w:pPr>
      <w:r>
        <w:t>compliance rates against all tests conducted</w:t>
      </w:r>
    </w:p>
    <w:p w:rsidR="001F723F" w:rsidRDefault="000E68B0">
      <w:pPr>
        <w:pStyle w:val="ListBullet"/>
      </w:pPr>
      <w:r>
        <w:t>labelling compliance</w:t>
      </w:r>
    </w:p>
    <w:p w:rsidR="001F723F" w:rsidRDefault="000E68B0">
      <w:pPr>
        <w:pStyle w:val="ListBullet"/>
      </w:pPr>
      <w:r>
        <w:t>analytical testing data</w:t>
      </w:r>
    </w:p>
    <w:p w:rsidR="001F723F" w:rsidRDefault="000E68B0">
      <w:pPr>
        <w:pStyle w:val="ListBullet"/>
      </w:pPr>
      <w:proofErr w:type="gramStart"/>
      <w:r>
        <w:t>results</w:t>
      </w:r>
      <w:proofErr w:type="gramEnd"/>
      <w:r>
        <w:t xml:space="preserve"> by commodity group.</w:t>
      </w:r>
    </w:p>
    <w:p w:rsidR="001F723F" w:rsidRDefault="000E68B0">
      <w:pPr>
        <w:pStyle w:val="Heading3"/>
      </w:pPr>
      <w:bookmarkStart w:id="35" w:name="_Toc516131644"/>
      <w:bookmarkStart w:id="36" w:name="_Toc516132094"/>
      <w:bookmarkStart w:id="37" w:name="_Toc518540206"/>
      <w:bookmarkStart w:id="38" w:name="_Toc520880943"/>
      <w:bookmarkStart w:id="39" w:name="_Toc16519508"/>
      <w:r>
        <w:t>Compliance rates against all tests conducted</w:t>
      </w:r>
      <w:bookmarkEnd w:id="35"/>
      <w:bookmarkEnd w:id="36"/>
      <w:bookmarkEnd w:id="37"/>
      <w:bookmarkEnd w:id="38"/>
      <w:bookmarkEnd w:id="39"/>
    </w:p>
    <w:p w:rsidR="001F723F" w:rsidRDefault="000E68B0">
      <w:pPr>
        <w:spacing w:before="120"/>
      </w:pPr>
      <w:r>
        <w:t>In 2018, 98.4% of all tests applied to imported food under the IFIS complied with Australian food standards (</w:t>
      </w:r>
      <w:r>
        <w:fldChar w:fldCharType="begin"/>
      </w:r>
      <w:r>
        <w:instrText xml:space="preserve"> REF _Ref13759287 \h </w:instrText>
      </w:r>
      <w:r>
        <w:fldChar w:fldCharType="separate"/>
      </w:r>
      <w:r>
        <w:t xml:space="preserve">Table </w:t>
      </w:r>
      <w:r>
        <w:rPr>
          <w:noProof/>
        </w:rPr>
        <w:t>1</w:t>
      </w:r>
      <w:r>
        <w:fldChar w:fldCharType="end"/>
      </w:r>
      <w:r>
        <w:t>). Non-compliant labelling accounted for most non-compliance.</w:t>
      </w:r>
    </w:p>
    <w:p w:rsidR="001F723F" w:rsidRDefault="000E68B0">
      <w:pPr>
        <w:pStyle w:val="Caption"/>
      </w:pPr>
      <w:bookmarkStart w:id="40" w:name="_Ref13759287"/>
      <w:bookmarkStart w:id="41" w:name="_Toc369867482"/>
      <w:bookmarkStart w:id="42" w:name="_Toc520814502"/>
      <w:bookmarkStart w:id="43" w:name="_Toc520880957"/>
      <w:bookmarkStart w:id="44" w:name="_Ref520987475"/>
      <w:bookmarkStart w:id="45" w:name="_Toc16519517"/>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40"/>
      <w:r>
        <w:t xml:space="preserve"> </w:t>
      </w:r>
      <w:proofErr w:type="gramStart"/>
      <w:r>
        <w:t>All</w:t>
      </w:r>
      <w:proofErr w:type="gramEnd"/>
      <w:r>
        <w:t xml:space="preserve"> tests, product</w:t>
      </w:r>
      <w:bookmarkEnd w:id="41"/>
      <w:bookmarkEnd w:id="42"/>
      <w:r>
        <w:t xml:space="preserve"> compliance rates, 201</w:t>
      </w:r>
      <w:bookmarkEnd w:id="43"/>
      <w:bookmarkEnd w:id="44"/>
      <w:r>
        <w:t>8</w:t>
      </w:r>
      <w:bookmarkEnd w:id="45"/>
    </w:p>
    <w:tbl>
      <w:tblPr>
        <w:tblW w:w="5000" w:type="pct"/>
        <w:tblBorders>
          <w:top w:val="single" w:sz="4" w:space="0" w:color="auto"/>
          <w:bottom w:val="single" w:sz="4" w:space="0" w:color="auto"/>
        </w:tblBorders>
        <w:tblLook w:val="04A0" w:firstRow="1" w:lastRow="0" w:firstColumn="1" w:lastColumn="0" w:noHBand="0" w:noVBand="1"/>
      </w:tblPr>
      <w:tblGrid>
        <w:gridCol w:w="1813"/>
        <w:gridCol w:w="1448"/>
        <w:gridCol w:w="1696"/>
        <w:gridCol w:w="2168"/>
        <w:gridCol w:w="1945"/>
      </w:tblGrid>
      <w:tr w:rsidR="001F723F">
        <w:trPr>
          <w:cantSplit/>
          <w:tblHeader/>
        </w:trPr>
        <w:tc>
          <w:tcPr>
            <w:tcW w:w="999" w:type="pct"/>
            <w:shd w:val="clear" w:color="auto" w:fill="auto"/>
          </w:tcPr>
          <w:p w:rsidR="001F723F" w:rsidRDefault="000E68B0">
            <w:pPr>
              <w:pStyle w:val="Tableheading0"/>
            </w:pPr>
            <w:r>
              <w:t>Test group</w:t>
            </w:r>
          </w:p>
        </w:tc>
        <w:tc>
          <w:tcPr>
            <w:tcW w:w="798" w:type="pct"/>
          </w:tcPr>
          <w:p w:rsidR="001F723F" w:rsidRDefault="000E68B0">
            <w:pPr>
              <w:pStyle w:val="Tableheading0"/>
              <w:jc w:val="right"/>
            </w:pPr>
            <w:r>
              <w:t>Tests applied (no.)</w:t>
            </w:r>
          </w:p>
        </w:tc>
        <w:tc>
          <w:tcPr>
            <w:tcW w:w="935" w:type="pct"/>
            <w:shd w:val="clear" w:color="auto" w:fill="auto"/>
          </w:tcPr>
          <w:p w:rsidR="001F723F" w:rsidRDefault="000E68B0">
            <w:pPr>
              <w:pStyle w:val="Tableheading0"/>
              <w:jc w:val="right"/>
            </w:pPr>
            <w:r>
              <w:t>Compliant (no.)</w:t>
            </w:r>
          </w:p>
        </w:tc>
        <w:tc>
          <w:tcPr>
            <w:tcW w:w="1195" w:type="pct"/>
          </w:tcPr>
          <w:p w:rsidR="001F723F" w:rsidRDefault="000E68B0">
            <w:pPr>
              <w:pStyle w:val="Tableheading0"/>
              <w:jc w:val="right"/>
            </w:pPr>
            <w:r>
              <w:t>Non-compliant (no.)</w:t>
            </w:r>
          </w:p>
        </w:tc>
        <w:tc>
          <w:tcPr>
            <w:tcW w:w="1072" w:type="pct"/>
          </w:tcPr>
          <w:p w:rsidR="001F723F" w:rsidRDefault="000E68B0">
            <w:pPr>
              <w:pStyle w:val="Tableheading0"/>
              <w:jc w:val="right"/>
            </w:pPr>
            <w:r>
              <w:t>Compliant (%)</w:t>
            </w:r>
          </w:p>
        </w:tc>
      </w:tr>
      <w:tr w:rsidR="001F723F">
        <w:trPr>
          <w:cantSplit/>
        </w:trPr>
        <w:tc>
          <w:tcPr>
            <w:tcW w:w="999" w:type="pct"/>
            <w:shd w:val="clear" w:color="auto" w:fill="auto"/>
          </w:tcPr>
          <w:p w:rsidR="001F723F" w:rsidRDefault="000E68B0">
            <w:pPr>
              <w:pStyle w:val="Tabletext0"/>
            </w:pPr>
            <w:r>
              <w:t>Analytical</w:t>
            </w:r>
          </w:p>
        </w:tc>
        <w:tc>
          <w:tcPr>
            <w:tcW w:w="798" w:type="pct"/>
          </w:tcPr>
          <w:p w:rsidR="001F723F" w:rsidRDefault="000E68B0">
            <w:pPr>
              <w:pStyle w:val="Tabletext0"/>
              <w:jc w:val="right"/>
            </w:pPr>
            <w:r>
              <w:t>23,375</w:t>
            </w:r>
          </w:p>
        </w:tc>
        <w:tc>
          <w:tcPr>
            <w:tcW w:w="935" w:type="pct"/>
            <w:shd w:val="clear" w:color="auto" w:fill="auto"/>
          </w:tcPr>
          <w:p w:rsidR="001F723F" w:rsidRDefault="000E68B0">
            <w:pPr>
              <w:pStyle w:val="Tabletext0"/>
              <w:jc w:val="right"/>
            </w:pPr>
            <w:r>
              <w:t>23,052</w:t>
            </w:r>
          </w:p>
        </w:tc>
        <w:tc>
          <w:tcPr>
            <w:tcW w:w="1195" w:type="pct"/>
          </w:tcPr>
          <w:p w:rsidR="001F723F" w:rsidRDefault="000E68B0">
            <w:pPr>
              <w:pStyle w:val="Tabletext0"/>
              <w:jc w:val="right"/>
            </w:pPr>
            <w:r>
              <w:t>323</w:t>
            </w:r>
          </w:p>
        </w:tc>
        <w:tc>
          <w:tcPr>
            <w:tcW w:w="1072" w:type="pct"/>
          </w:tcPr>
          <w:p w:rsidR="001F723F" w:rsidRDefault="000E68B0">
            <w:pPr>
              <w:pStyle w:val="Tabletext0"/>
              <w:jc w:val="right"/>
            </w:pPr>
            <w:r>
              <w:t>98.6</w:t>
            </w:r>
          </w:p>
        </w:tc>
      </w:tr>
      <w:tr w:rsidR="001F723F">
        <w:trPr>
          <w:cantSplit/>
        </w:trPr>
        <w:tc>
          <w:tcPr>
            <w:tcW w:w="999" w:type="pct"/>
            <w:shd w:val="clear" w:color="auto" w:fill="auto"/>
            <w:vAlign w:val="center"/>
          </w:tcPr>
          <w:p w:rsidR="001F723F" w:rsidRDefault="000E68B0">
            <w:pPr>
              <w:pStyle w:val="Tabletext0"/>
            </w:pPr>
            <w:r>
              <w:t>Labelling</w:t>
            </w:r>
          </w:p>
        </w:tc>
        <w:tc>
          <w:tcPr>
            <w:tcW w:w="798" w:type="pct"/>
          </w:tcPr>
          <w:p w:rsidR="001F723F" w:rsidRDefault="000E68B0">
            <w:pPr>
              <w:pStyle w:val="Tabletext0"/>
              <w:jc w:val="right"/>
            </w:pPr>
            <w:r>
              <w:t>48,828</w:t>
            </w:r>
          </w:p>
        </w:tc>
        <w:tc>
          <w:tcPr>
            <w:tcW w:w="935" w:type="pct"/>
            <w:shd w:val="clear" w:color="auto" w:fill="auto"/>
          </w:tcPr>
          <w:p w:rsidR="001F723F" w:rsidRDefault="000E68B0">
            <w:pPr>
              <w:pStyle w:val="Tabletext0"/>
              <w:jc w:val="right"/>
            </w:pPr>
            <w:r>
              <w:t>47,351</w:t>
            </w:r>
          </w:p>
        </w:tc>
        <w:tc>
          <w:tcPr>
            <w:tcW w:w="1195" w:type="pct"/>
          </w:tcPr>
          <w:p w:rsidR="001F723F" w:rsidRDefault="000E68B0">
            <w:pPr>
              <w:pStyle w:val="Tabletext0"/>
              <w:jc w:val="right"/>
            </w:pPr>
            <w:r>
              <w:t>1,477</w:t>
            </w:r>
          </w:p>
        </w:tc>
        <w:tc>
          <w:tcPr>
            <w:tcW w:w="1072" w:type="pct"/>
          </w:tcPr>
          <w:p w:rsidR="001F723F" w:rsidRDefault="000E68B0">
            <w:pPr>
              <w:pStyle w:val="Tabletext0"/>
              <w:jc w:val="right"/>
            </w:pPr>
            <w:r>
              <w:t>97.0</w:t>
            </w:r>
          </w:p>
        </w:tc>
      </w:tr>
      <w:tr w:rsidR="001F723F">
        <w:trPr>
          <w:cantSplit/>
        </w:trPr>
        <w:tc>
          <w:tcPr>
            <w:tcW w:w="999" w:type="pct"/>
            <w:shd w:val="clear" w:color="auto" w:fill="auto"/>
            <w:vAlign w:val="center"/>
          </w:tcPr>
          <w:p w:rsidR="001F723F" w:rsidRDefault="000E68B0">
            <w:pPr>
              <w:pStyle w:val="Tabletext0"/>
            </w:pPr>
            <w:r>
              <w:t>Other</w:t>
            </w:r>
          </w:p>
        </w:tc>
        <w:tc>
          <w:tcPr>
            <w:tcW w:w="798" w:type="pct"/>
          </w:tcPr>
          <w:p w:rsidR="001F723F" w:rsidRDefault="000E68B0">
            <w:pPr>
              <w:pStyle w:val="Tabletext0"/>
              <w:jc w:val="right"/>
            </w:pPr>
            <w:r>
              <w:t>47,296</w:t>
            </w:r>
          </w:p>
        </w:tc>
        <w:tc>
          <w:tcPr>
            <w:tcW w:w="935" w:type="pct"/>
            <w:shd w:val="clear" w:color="auto" w:fill="auto"/>
            <w:vAlign w:val="bottom"/>
          </w:tcPr>
          <w:p w:rsidR="001F723F" w:rsidRDefault="000E68B0">
            <w:pPr>
              <w:pStyle w:val="Tabletext0"/>
              <w:jc w:val="right"/>
            </w:pPr>
            <w:r>
              <w:t>47,178</w:t>
            </w:r>
          </w:p>
        </w:tc>
        <w:tc>
          <w:tcPr>
            <w:tcW w:w="1195" w:type="pct"/>
            <w:vAlign w:val="bottom"/>
          </w:tcPr>
          <w:p w:rsidR="001F723F" w:rsidRDefault="000E68B0">
            <w:pPr>
              <w:pStyle w:val="Tabletext0"/>
              <w:jc w:val="right"/>
            </w:pPr>
            <w:r>
              <w:t>118</w:t>
            </w:r>
          </w:p>
        </w:tc>
        <w:tc>
          <w:tcPr>
            <w:tcW w:w="1072" w:type="pct"/>
          </w:tcPr>
          <w:p w:rsidR="001F723F" w:rsidRDefault="000E68B0">
            <w:pPr>
              <w:pStyle w:val="Tabletext0"/>
              <w:jc w:val="right"/>
            </w:pPr>
            <w:r>
              <w:t>99.8</w:t>
            </w:r>
          </w:p>
        </w:tc>
      </w:tr>
      <w:tr w:rsidR="001F723F">
        <w:trPr>
          <w:cantSplit/>
        </w:trPr>
        <w:tc>
          <w:tcPr>
            <w:tcW w:w="999" w:type="pct"/>
            <w:shd w:val="clear" w:color="auto" w:fill="auto"/>
            <w:vAlign w:val="center"/>
          </w:tcPr>
          <w:p w:rsidR="001F723F" w:rsidRDefault="000E68B0">
            <w:pPr>
              <w:pStyle w:val="Tabletext0"/>
              <w:rPr>
                <w:rStyle w:val="Strong"/>
              </w:rPr>
            </w:pPr>
            <w:r>
              <w:rPr>
                <w:rStyle w:val="Strong"/>
              </w:rPr>
              <w:t>Total</w:t>
            </w:r>
          </w:p>
        </w:tc>
        <w:tc>
          <w:tcPr>
            <w:tcW w:w="798" w:type="pct"/>
          </w:tcPr>
          <w:p w:rsidR="001F723F" w:rsidRDefault="000E68B0">
            <w:pPr>
              <w:pStyle w:val="Tabletext0"/>
              <w:jc w:val="right"/>
              <w:rPr>
                <w:b/>
                <w:bCs/>
              </w:rPr>
            </w:pPr>
            <w:r>
              <w:rPr>
                <w:b/>
                <w:bCs/>
              </w:rPr>
              <w:t>119,499</w:t>
            </w:r>
          </w:p>
        </w:tc>
        <w:tc>
          <w:tcPr>
            <w:tcW w:w="935" w:type="pct"/>
            <w:shd w:val="clear" w:color="auto" w:fill="auto"/>
            <w:vAlign w:val="bottom"/>
          </w:tcPr>
          <w:p w:rsidR="001F723F" w:rsidRDefault="000E68B0">
            <w:pPr>
              <w:pStyle w:val="Tabletext0"/>
              <w:jc w:val="right"/>
              <w:rPr>
                <w:b/>
                <w:bCs/>
              </w:rPr>
            </w:pPr>
            <w:r>
              <w:rPr>
                <w:b/>
              </w:rPr>
              <w:t>117,581</w:t>
            </w:r>
          </w:p>
        </w:tc>
        <w:tc>
          <w:tcPr>
            <w:tcW w:w="1195" w:type="pct"/>
            <w:vAlign w:val="bottom"/>
          </w:tcPr>
          <w:p w:rsidR="001F723F" w:rsidRDefault="000E68B0">
            <w:pPr>
              <w:pStyle w:val="Tabletext0"/>
              <w:jc w:val="right"/>
              <w:rPr>
                <w:b/>
                <w:bCs/>
              </w:rPr>
            </w:pPr>
            <w:r>
              <w:rPr>
                <w:b/>
              </w:rPr>
              <w:t>1,918</w:t>
            </w:r>
          </w:p>
        </w:tc>
        <w:tc>
          <w:tcPr>
            <w:tcW w:w="1072" w:type="pct"/>
          </w:tcPr>
          <w:p w:rsidR="001F723F" w:rsidRDefault="000E68B0">
            <w:pPr>
              <w:pStyle w:val="Tabletext0"/>
              <w:jc w:val="right"/>
              <w:rPr>
                <w:rStyle w:val="Strong"/>
              </w:rPr>
            </w:pPr>
            <w:r>
              <w:rPr>
                <w:rStyle w:val="Strong"/>
              </w:rPr>
              <w:t>98.4</w:t>
            </w:r>
          </w:p>
        </w:tc>
      </w:tr>
    </w:tbl>
    <w:p w:rsidR="001F723F" w:rsidRDefault="000E68B0">
      <w:pPr>
        <w:pStyle w:val="FigureTableNoteSource"/>
      </w:pPr>
      <w:r>
        <w:t>Source: AIMS database</w:t>
      </w:r>
    </w:p>
    <w:p w:rsidR="001F723F" w:rsidRDefault="000E68B0">
      <w:r>
        <w:rPr>
          <w:b/>
        </w:rPr>
        <w:fldChar w:fldCharType="begin"/>
      </w:r>
      <w:r>
        <w:rPr>
          <w:b/>
        </w:rPr>
        <w:instrText xml:space="preserve"> REF _Ref520879752 \h </w:instrText>
      </w:r>
      <w:r>
        <w:rPr>
          <w:b/>
        </w:rPr>
      </w:r>
      <w:r>
        <w:rPr>
          <w:b/>
        </w:rPr>
        <w:fldChar w:fldCharType="separate"/>
      </w:r>
      <w:r>
        <w:t xml:space="preserve">Figure </w:t>
      </w:r>
      <w:r>
        <w:rPr>
          <w:noProof/>
        </w:rPr>
        <w:t>4</w:t>
      </w:r>
      <w:r>
        <w:rPr>
          <w:b/>
        </w:rPr>
        <w:fldChar w:fldCharType="end"/>
      </w:r>
      <w:r>
        <w:rPr>
          <w:b/>
        </w:rPr>
        <w:t xml:space="preserve"> </w:t>
      </w:r>
      <w:r>
        <w:t>summarises the types of tests that returned 1,918 non-compliant results out of a total 119,499 tests applied.</w:t>
      </w:r>
    </w:p>
    <w:p w:rsidR="001F723F" w:rsidRDefault="000E68B0">
      <w:pPr>
        <w:pStyle w:val="Caption"/>
      </w:pPr>
      <w:bookmarkStart w:id="46" w:name="_Ref520879752"/>
      <w:bookmarkStart w:id="47" w:name="_Toc518543533"/>
      <w:bookmarkStart w:id="48" w:name="_Toc520880970"/>
      <w:bookmarkStart w:id="49" w:name="_Toc16519542"/>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6"/>
      <w:r>
        <w:t xml:space="preserve"> Non-compliant test results</w:t>
      </w:r>
      <w:bookmarkEnd w:id="47"/>
      <w:r>
        <w:t xml:space="preserve">, </w:t>
      </w:r>
      <w:bookmarkEnd w:id="48"/>
      <w:r>
        <w:t>by test type, 2018</w:t>
      </w:r>
      <w:bookmarkEnd w:id="49"/>
    </w:p>
    <w:p w:rsidR="001F723F" w:rsidRDefault="000E68B0">
      <w:r>
        <w:rPr>
          <w:noProof/>
          <w:lang w:eastAsia="en-AU"/>
        </w:rPr>
        <w:drawing>
          <wp:inline distT="0" distB="0" distL="0" distR="0" wp14:anchorId="3766A321" wp14:editId="778D006D">
            <wp:extent cx="4889500" cy="2701791"/>
            <wp:effectExtent l="0" t="0" r="6350" b="3810"/>
            <wp:docPr id="4" name="Chart 4" descr="Microbiological 5.3%, composition analytical 0.0%, contaminants 5.6, chemicals 6, other 6.2% and labelling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F723F" w:rsidRDefault="000E68B0">
      <w:pPr>
        <w:pStyle w:val="FigureTableNoteSource"/>
      </w:pPr>
      <w:r>
        <w:lastRenderedPageBreak/>
        <w:t>Source: AIMS database</w:t>
      </w:r>
    </w:p>
    <w:p w:rsidR="001F723F" w:rsidRDefault="000E68B0">
      <w:pPr>
        <w:pStyle w:val="Heading3"/>
      </w:pPr>
      <w:bookmarkStart w:id="50" w:name="_Toc516131645"/>
      <w:bookmarkStart w:id="51" w:name="_Toc516132095"/>
      <w:bookmarkStart w:id="52" w:name="_Toc518540207"/>
      <w:bookmarkStart w:id="53" w:name="_Toc520880944"/>
      <w:bookmarkStart w:id="54" w:name="_Toc16519509"/>
      <w:r>
        <w:t>Labelling compliance</w:t>
      </w:r>
      <w:bookmarkEnd w:id="50"/>
      <w:bookmarkEnd w:id="51"/>
      <w:bookmarkEnd w:id="52"/>
      <w:bookmarkEnd w:id="53"/>
      <w:bookmarkEnd w:id="54"/>
    </w:p>
    <w:p w:rsidR="001F723F" w:rsidRDefault="000E68B0">
      <w:r>
        <w:t>In 2018, a high proportion of labels inspected did not comply with Australian food standards (</w:t>
      </w:r>
      <w:r>
        <w:fldChar w:fldCharType="begin"/>
      </w:r>
      <w:r>
        <w:instrText xml:space="preserve"> REF _Ref15563539 \h </w:instrText>
      </w:r>
      <w:r>
        <w:fldChar w:fldCharType="separate"/>
      </w:r>
      <w:r>
        <w:t xml:space="preserve">Figure </w:t>
      </w:r>
      <w:r>
        <w:rPr>
          <w:noProof/>
        </w:rPr>
        <w:t>5</w:t>
      </w:r>
      <w:r>
        <w:fldChar w:fldCharType="end"/>
      </w:r>
      <w:r>
        <w:t>):</w:t>
      </w:r>
    </w:p>
    <w:p w:rsidR="001F723F" w:rsidRDefault="000E68B0">
      <w:pPr>
        <w:pStyle w:val="ListBullet"/>
      </w:pPr>
      <w:r>
        <w:t>45.4% of labels lacked or listed incomplete importer, country of origin or ingredient details</w:t>
      </w:r>
    </w:p>
    <w:p w:rsidR="001F723F" w:rsidRDefault="000E68B0">
      <w:pPr>
        <w:pStyle w:val="ListBullet"/>
      </w:pPr>
      <w:r>
        <w:t>37.2% of labels lacked or listed either incomplete or incorrect nutritional details.</w:t>
      </w:r>
    </w:p>
    <w:p w:rsidR="001F723F" w:rsidRDefault="000E68B0">
      <w:pPr>
        <w:pStyle w:val="Caption"/>
      </w:pPr>
      <w:bookmarkStart w:id="55" w:name="_Ref15563539"/>
      <w:bookmarkStart w:id="56" w:name="_Toc16519543"/>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55"/>
      <w:r>
        <w:t xml:space="preserve"> Non-compliant labelling, by information type, 2018</w:t>
      </w:r>
      <w:bookmarkEnd w:id="56"/>
    </w:p>
    <w:p w:rsidR="001F723F" w:rsidRDefault="000E68B0">
      <w:r>
        <w:rPr>
          <w:noProof/>
          <w:lang w:eastAsia="en-AU"/>
        </w:rPr>
        <w:drawing>
          <wp:inline distT="0" distB="0" distL="0" distR="0" wp14:anchorId="775654D3" wp14:editId="46010CFA">
            <wp:extent cx="5101390" cy="2810576"/>
            <wp:effectExtent l="0" t="0" r="4445" b="8890"/>
            <wp:docPr id="13" name="Chart 13" descr="Importer details 17.2%, product description 3.4%, lot code 2.9%, mandatory warning statement 4.4%, ingredients list 9.6%, directions for storage and use 0.8%, nutrition information 37.2%, not in English/not legible 4.4%, country of origin 18.7%, alcohol labelling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F723F" w:rsidRDefault="000E68B0">
      <w:pPr>
        <w:pStyle w:val="FigureTableNoteSource"/>
      </w:pPr>
      <w:r>
        <w:t>Source: AIMS database</w:t>
      </w:r>
    </w:p>
    <w:p w:rsidR="001F723F" w:rsidRDefault="000E68B0">
      <w:pPr>
        <w:pStyle w:val="Heading3"/>
      </w:pPr>
      <w:bookmarkStart w:id="57" w:name="_Toc518540208"/>
      <w:bookmarkStart w:id="58" w:name="_Toc520880945"/>
      <w:bookmarkStart w:id="59" w:name="_Toc16519510"/>
      <w:r>
        <w:t>Analytical testing data</w:t>
      </w:r>
      <w:bookmarkEnd w:id="57"/>
      <w:bookmarkEnd w:id="58"/>
      <w:bookmarkEnd w:id="59"/>
    </w:p>
    <w:p w:rsidR="001F723F" w:rsidRDefault="000E68B0">
      <w:pPr>
        <w:spacing w:before="120"/>
      </w:pPr>
      <w:r>
        <w:t>Analytical tests are grouped into 4 main types: chemical, composition (analytical assessment), contaminant and microbiological (</w:t>
      </w:r>
      <w:r>
        <w:fldChar w:fldCharType="begin"/>
      </w:r>
      <w:r>
        <w:instrText xml:space="preserve"> REF _Ref520880140 \h </w:instrText>
      </w:r>
      <w:r>
        <w:fldChar w:fldCharType="separate"/>
      </w:r>
      <w:r>
        <w:t xml:space="preserve">Table </w:t>
      </w:r>
      <w:r>
        <w:rPr>
          <w:noProof/>
        </w:rPr>
        <w:t>2</w:t>
      </w:r>
      <w:r>
        <w:fldChar w:fldCharType="end"/>
      </w:r>
      <w:r>
        <w:t xml:space="preserve">). Each category consists of several tests, reported in detail in </w:t>
      </w:r>
      <w:r>
        <w:fldChar w:fldCharType="begin"/>
      </w:r>
      <w:r>
        <w:instrText xml:space="preserve"> REF _Ref520880163 \h </w:instrText>
      </w:r>
      <w:r>
        <w:fldChar w:fldCharType="separate"/>
      </w:r>
      <w:r>
        <w:t xml:space="preserve">Table </w:t>
      </w:r>
      <w:r>
        <w:rPr>
          <w:noProof/>
        </w:rPr>
        <w:t>3</w:t>
      </w:r>
      <w:r>
        <w:fldChar w:fldCharType="end"/>
      </w:r>
      <w:r>
        <w:t xml:space="preserve">, </w:t>
      </w:r>
      <w:r>
        <w:fldChar w:fldCharType="begin"/>
      </w:r>
      <w:r>
        <w:instrText xml:space="preserve"> REF _Ref15561926 \h </w:instrText>
      </w:r>
      <w:r>
        <w:fldChar w:fldCharType="separate"/>
      </w:r>
      <w:r>
        <w:t xml:space="preserve">Table </w:t>
      </w:r>
      <w:r>
        <w:rPr>
          <w:noProof/>
        </w:rPr>
        <w:t>4</w:t>
      </w:r>
      <w:r>
        <w:fldChar w:fldCharType="end"/>
      </w:r>
      <w:r>
        <w:t xml:space="preserve">, </w:t>
      </w:r>
      <w:r>
        <w:fldChar w:fldCharType="begin"/>
      </w:r>
      <w:r>
        <w:instrText xml:space="preserve"> REF _Ref15561941 \h </w:instrText>
      </w:r>
      <w:r>
        <w:fldChar w:fldCharType="separate"/>
      </w:r>
      <w:r>
        <w:t xml:space="preserve">Table </w:t>
      </w:r>
      <w:r>
        <w:rPr>
          <w:noProof/>
        </w:rPr>
        <w:t>5</w:t>
      </w:r>
      <w:r>
        <w:fldChar w:fldCharType="end"/>
      </w:r>
      <w:r>
        <w:t xml:space="preserve"> and </w:t>
      </w:r>
      <w:r>
        <w:fldChar w:fldCharType="begin"/>
      </w:r>
      <w:r>
        <w:instrText xml:space="preserve"> REF _Ref15561949 \h </w:instrText>
      </w:r>
      <w:r>
        <w:fldChar w:fldCharType="separate"/>
      </w:r>
      <w:r>
        <w:t xml:space="preserve">Table </w:t>
      </w:r>
      <w:r>
        <w:rPr>
          <w:noProof/>
        </w:rPr>
        <w:t>6</w:t>
      </w:r>
      <w:r>
        <w:fldChar w:fldCharType="end"/>
      </w:r>
      <w:r>
        <w:t>.</w:t>
      </w:r>
    </w:p>
    <w:p w:rsidR="001F723F" w:rsidRDefault="000E68B0">
      <w:r>
        <w:t>In 2018, analytical test results returned a 98.6% compliance rate. Of the 23,375 analytical tests applied, 323 (1.4%) of the products tested failed against the standards.</w:t>
      </w:r>
    </w:p>
    <w:p w:rsidR="001F723F" w:rsidRDefault="000E68B0">
      <w:r>
        <w:t>The number of lines of food referred for inspection under IFIS and the number of tests applied to food may differ. This is because food subject to inspection is sampled and analysed based on the number of:</w:t>
      </w:r>
    </w:p>
    <w:p w:rsidR="001F723F" w:rsidRDefault="000E68B0">
      <w:pPr>
        <w:pStyle w:val="ListBullet"/>
        <w:spacing w:before="0" w:after="200"/>
        <w:ind w:left="426" w:hanging="426"/>
      </w:pPr>
      <w:r>
        <w:t>batches and lots within each batch of food on the line referred for inspection</w:t>
      </w:r>
    </w:p>
    <w:p w:rsidR="001F723F" w:rsidRDefault="000E68B0">
      <w:pPr>
        <w:pStyle w:val="ListBullet"/>
        <w:spacing w:before="0" w:after="200"/>
        <w:ind w:left="426" w:hanging="426"/>
      </w:pPr>
      <w:proofErr w:type="gramStart"/>
      <w:r>
        <w:t>tests</w:t>
      </w:r>
      <w:proofErr w:type="gramEnd"/>
      <w:r>
        <w:t xml:space="preserve"> applied to each sample of that food taken during inspection.</w:t>
      </w:r>
    </w:p>
    <w:p w:rsidR="001F723F" w:rsidRDefault="000E68B0">
      <w:r>
        <w:lastRenderedPageBreak/>
        <w:t xml:space="preserve">For example, 1 line of a cooked and processed meat product may be referred for inspection under the IFIS. The line contains 2 batches of the product, each with 1 lot. An officer will take 1 sample from each batch and apply the test relevant to this food. The tests applied to cooked and processed meat products are for </w:t>
      </w:r>
      <w:r>
        <w:rPr>
          <w:i/>
        </w:rPr>
        <w:t xml:space="preserve">Listeria monocytogenes </w:t>
      </w:r>
      <w:r>
        <w:t xml:space="preserve">and </w:t>
      </w:r>
      <w:r>
        <w:rPr>
          <w:i/>
        </w:rPr>
        <w:t>Salmonella</w:t>
      </w:r>
      <w:r>
        <w:t>. As a result, 2 samples have been taken from this 1 line of imported food with 2 microbiological tests applied to each sample. This would be reported as 1 line, with 4 separate test results.</w:t>
      </w:r>
    </w:p>
    <w:p w:rsidR="001F723F" w:rsidRDefault="000E68B0">
      <w:pPr>
        <w:pStyle w:val="Caption"/>
      </w:pPr>
      <w:bookmarkStart w:id="60" w:name="_Ref520880140"/>
      <w:bookmarkStart w:id="61" w:name="_Toc520814503"/>
      <w:bookmarkStart w:id="62" w:name="_Toc520880958"/>
      <w:bookmarkStart w:id="63" w:name="_Toc16519518"/>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60"/>
      <w:r>
        <w:t xml:space="preserve"> Analytical test</w:t>
      </w:r>
      <w:bookmarkEnd w:id="61"/>
      <w:r>
        <w:t xml:space="preserve">, compliance rates, </w:t>
      </w:r>
      <w:bookmarkEnd w:id="62"/>
      <w:r>
        <w:t>2018</w:t>
      </w:r>
      <w:bookmarkEnd w:id="63"/>
    </w:p>
    <w:tbl>
      <w:tblPr>
        <w:tblW w:w="5000" w:type="pct"/>
        <w:tblBorders>
          <w:top w:val="single" w:sz="4" w:space="0" w:color="auto"/>
          <w:bottom w:val="single" w:sz="4" w:space="0" w:color="auto"/>
        </w:tblBorders>
        <w:tblLook w:val="04A0" w:firstRow="1" w:lastRow="0" w:firstColumn="1" w:lastColumn="0" w:noHBand="0" w:noVBand="1"/>
      </w:tblPr>
      <w:tblGrid>
        <w:gridCol w:w="1814"/>
        <w:gridCol w:w="1814"/>
        <w:gridCol w:w="1814"/>
        <w:gridCol w:w="1814"/>
        <w:gridCol w:w="1814"/>
      </w:tblGrid>
      <w:tr w:rsidR="001F723F">
        <w:trPr>
          <w:cantSplit/>
          <w:tblHeader/>
        </w:trPr>
        <w:tc>
          <w:tcPr>
            <w:tcW w:w="1000" w:type="pct"/>
            <w:shd w:val="clear" w:color="auto" w:fill="auto"/>
          </w:tcPr>
          <w:p w:rsidR="001F723F" w:rsidRDefault="000E68B0">
            <w:pPr>
              <w:pStyle w:val="Tableheading0"/>
            </w:pPr>
            <w:r>
              <w:t>Test type</w:t>
            </w:r>
          </w:p>
        </w:tc>
        <w:tc>
          <w:tcPr>
            <w:tcW w:w="1000" w:type="pct"/>
          </w:tcPr>
          <w:p w:rsidR="001F723F" w:rsidRDefault="000E68B0">
            <w:pPr>
              <w:pStyle w:val="Tableheading0"/>
              <w:jc w:val="right"/>
            </w:pPr>
            <w:r>
              <w:t>Tests applied (no.)</w:t>
            </w:r>
          </w:p>
        </w:tc>
        <w:tc>
          <w:tcPr>
            <w:tcW w:w="1000" w:type="pct"/>
            <w:shd w:val="clear" w:color="auto" w:fill="auto"/>
          </w:tcPr>
          <w:p w:rsidR="001F723F" w:rsidRDefault="000E68B0">
            <w:pPr>
              <w:pStyle w:val="Tableheading0"/>
              <w:jc w:val="right"/>
            </w:pPr>
            <w:r>
              <w:t>Compliant (no.)</w:t>
            </w:r>
          </w:p>
        </w:tc>
        <w:tc>
          <w:tcPr>
            <w:tcW w:w="1000" w:type="pct"/>
          </w:tcPr>
          <w:p w:rsidR="001F723F" w:rsidRDefault="000E68B0">
            <w:pPr>
              <w:pStyle w:val="Tableheading0"/>
              <w:jc w:val="right"/>
            </w:pPr>
            <w:r>
              <w:t>Non-compliant (no.)</w:t>
            </w:r>
          </w:p>
        </w:tc>
        <w:tc>
          <w:tcPr>
            <w:tcW w:w="1000" w:type="pct"/>
          </w:tcPr>
          <w:p w:rsidR="001F723F" w:rsidRDefault="000E68B0">
            <w:pPr>
              <w:pStyle w:val="Tableheading0"/>
              <w:jc w:val="right"/>
            </w:pPr>
            <w:r>
              <w:t>Compliant (%)</w:t>
            </w:r>
          </w:p>
        </w:tc>
      </w:tr>
      <w:tr w:rsidR="001F723F">
        <w:trPr>
          <w:cantSplit/>
        </w:trPr>
        <w:tc>
          <w:tcPr>
            <w:tcW w:w="1000" w:type="pct"/>
            <w:shd w:val="clear" w:color="auto" w:fill="auto"/>
            <w:vAlign w:val="center"/>
          </w:tcPr>
          <w:p w:rsidR="001F723F" w:rsidRDefault="000E68B0">
            <w:pPr>
              <w:pStyle w:val="Tabletext0"/>
            </w:pPr>
            <w:r>
              <w:t>Chemical</w:t>
            </w:r>
          </w:p>
        </w:tc>
        <w:tc>
          <w:tcPr>
            <w:tcW w:w="1000" w:type="pct"/>
            <w:vAlign w:val="bottom"/>
          </w:tcPr>
          <w:p w:rsidR="001F723F" w:rsidRDefault="000E68B0">
            <w:pPr>
              <w:pStyle w:val="Tabletext0"/>
              <w:jc w:val="right"/>
            </w:pPr>
            <w:r>
              <w:t>4,650</w:t>
            </w:r>
          </w:p>
        </w:tc>
        <w:tc>
          <w:tcPr>
            <w:tcW w:w="1000" w:type="pct"/>
            <w:shd w:val="clear" w:color="auto" w:fill="auto"/>
            <w:vAlign w:val="center"/>
          </w:tcPr>
          <w:p w:rsidR="001F723F" w:rsidRDefault="000E68B0">
            <w:pPr>
              <w:pStyle w:val="Tabletext0"/>
              <w:jc w:val="right"/>
            </w:pPr>
            <w:r>
              <w:t>4,536</w:t>
            </w:r>
          </w:p>
        </w:tc>
        <w:tc>
          <w:tcPr>
            <w:tcW w:w="1000" w:type="pct"/>
            <w:vAlign w:val="center"/>
          </w:tcPr>
          <w:p w:rsidR="001F723F" w:rsidRDefault="000E68B0">
            <w:pPr>
              <w:pStyle w:val="Tabletext0"/>
              <w:jc w:val="right"/>
            </w:pPr>
            <w:r>
              <w:t>114</w:t>
            </w:r>
          </w:p>
        </w:tc>
        <w:tc>
          <w:tcPr>
            <w:tcW w:w="1000" w:type="pct"/>
            <w:vAlign w:val="bottom"/>
          </w:tcPr>
          <w:p w:rsidR="001F723F" w:rsidRDefault="000E68B0">
            <w:pPr>
              <w:pStyle w:val="Tabletext0"/>
              <w:jc w:val="right"/>
            </w:pPr>
            <w:r>
              <w:t>97.5</w:t>
            </w:r>
          </w:p>
        </w:tc>
      </w:tr>
      <w:tr w:rsidR="001F723F">
        <w:trPr>
          <w:cantSplit/>
        </w:trPr>
        <w:tc>
          <w:tcPr>
            <w:tcW w:w="1000" w:type="pct"/>
            <w:shd w:val="clear" w:color="auto" w:fill="auto"/>
            <w:vAlign w:val="center"/>
          </w:tcPr>
          <w:p w:rsidR="001F723F" w:rsidRDefault="000E68B0">
            <w:pPr>
              <w:pStyle w:val="Tabletext0"/>
            </w:pPr>
            <w:r>
              <w:t>Composition</w:t>
            </w:r>
          </w:p>
        </w:tc>
        <w:tc>
          <w:tcPr>
            <w:tcW w:w="1000" w:type="pct"/>
            <w:vAlign w:val="bottom"/>
          </w:tcPr>
          <w:p w:rsidR="001F723F" w:rsidRDefault="000E68B0">
            <w:pPr>
              <w:pStyle w:val="Tabletext0"/>
              <w:jc w:val="right"/>
            </w:pPr>
            <w:r>
              <w:t>94</w:t>
            </w:r>
          </w:p>
        </w:tc>
        <w:tc>
          <w:tcPr>
            <w:tcW w:w="1000" w:type="pct"/>
            <w:shd w:val="clear" w:color="auto" w:fill="auto"/>
            <w:vAlign w:val="center"/>
          </w:tcPr>
          <w:p w:rsidR="001F723F" w:rsidRDefault="000E68B0">
            <w:pPr>
              <w:pStyle w:val="Tabletext0"/>
              <w:jc w:val="right"/>
            </w:pPr>
            <w:r>
              <w:t>94</w:t>
            </w:r>
          </w:p>
        </w:tc>
        <w:tc>
          <w:tcPr>
            <w:tcW w:w="1000" w:type="pct"/>
            <w:vAlign w:val="center"/>
          </w:tcPr>
          <w:p w:rsidR="001F723F" w:rsidRDefault="000E68B0">
            <w:pPr>
              <w:pStyle w:val="Tabletext0"/>
              <w:jc w:val="right"/>
            </w:pPr>
            <w:r>
              <w:t>0</w:t>
            </w:r>
          </w:p>
        </w:tc>
        <w:tc>
          <w:tcPr>
            <w:tcW w:w="1000" w:type="pct"/>
            <w:vAlign w:val="bottom"/>
          </w:tcPr>
          <w:p w:rsidR="001F723F" w:rsidRDefault="000E68B0">
            <w:pPr>
              <w:pStyle w:val="Tabletext0"/>
              <w:jc w:val="right"/>
            </w:pPr>
            <w:r>
              <w:t>100</w:t>
            </w:r>
          </w:p>
        </w:tc>
      </w:tr>
      <w:tr w:rsidR="001F723F">
        <w:trPr>
          <w:cantSplit/>
        </w:trPr>
        <w:tc>
          <w:tcPr>
            <w:tcW w:w="1000" w:type="pct"/>
            <w:shd w:val="clear" w:color="auto" w:fill="auto"/>
            <w:vAlign w:val="center"/>
          </w:tcPr>
          <w:p w:rsidR="001F723F" w:rsidRDefault="000E68B0">
            <w:pPr>
              <w:pStyle w:val="Tabletext0"/>
            </w:pPr>
            <w:r>
              <w:t>Contaminant</w:t>
            </w:r>
          </w:p>
        </w:tc>
        <w:tc>
          <w:tcPr>
            <w:tcW w:w="1000" w:type="pct"/>
            <w:vAlign w:val="bottom"/>
          </w:tcPr>
          <w:p w:rsidR="001F723F" w:rsidRDefault="000E68B0">
            <w:pPr>
              <w:pStyle w:val="Tabletext0"/>
              <w:jc w:val="right"/>
            </w:pPr>
            <w:r>
              <w:t>7,987</w:t>
            </w:r>
          </w:p>
        </w:tc>
        <w:tc>
          <w:tcPr>
            <w:tcW w:w="1000" w:type="pct"/>
            <w:shd w:val="clear" w:color="auto" w:fill="auto"/>
            <w:vAlign w:val="center"/>
          </w:tcPr>
          <w:p w:rsidR="001F723F" w:rsidRDefault="000E68B0">
            <w:pPr>
              <w:pStyle w:val="Tabletext0"/>
              <w:jc w:val="right"/>
            </w:pPr>
            <w:r>
              <w:t>7,879</w:t>
            </w:r>
          </w:p>
        </w:tc>
        <w:tc>
          <w:tcPr>
            <w:tcW w:w="1000" w:type="pct"/>
            <w:vAlign w:val="center"/>
          </w:tcPr>
          <w:p w:rsidR="001F723F" w:rsidRDefault="000E68B0">
            <w:pPr>
              <w:pStyle w:val="Tabletext0"/>
              <w:jc w:val="right"/>
            </w:pPr>
            <w:r>
              <w:t>108</w:t>
            </w:r>
          </w:p>
        </w:tc>
        <w:tc>
          <w:tcPr>
            <w:tcW w:w="1000" w:type="pct"/>
            <w:vAlign w:val="bottom"/>
          </w:tcPr>
          <w:p w:rsidR="001F723F" w:rsidRDefault="000E68B0">
            <w:pPr>
              <w:pStyle w:val="Tabletext0"/>
              <w:jc w:val="right"/>
            </w:pPr>
            <w:r>
              <w:t>98.7</w:t>
            </w:r>
          </w:p>
        </w:tc>
      </w:tr>
      <w:tr w:rsidR="001F723F">
        <w:trPr>
          <w:cantSplit/>
        </w:trPr>
        <w:tc>
          <w:tcPr>
            <w:tcW w:w="1000" w:type="pct"/>
            <w:shd w:val="clear" w:color="auto" w:fill="auto"/>
            <w:vAlign w:val="center"/>
          </w:tcPr>
          <w:p w:rsidR="001F723F" w:rsidRDefault="000E68B0">
            <w:pPr>
              <w:pStyle w:val="Tabletext0"/>
            </w:pPr>
            <w:r>
              <w:t>Microbiological</w:t>
            </w:r>
          </w:p>
        </w:tc>
        <w:tc>
          <w:tcPr>
            <w:tcW w:w="1000" w:type="pct"/>
            <w:vAlign w:val="bottom"/>
          </w:tcPr>
          <w:p w:rsidR="001F723F" w:rsidRDefault="000E68B0">
            <w:pPr>
              <w:pStyle w:val="Tabletext0"/>
              <w:jc w:val="right"/>
            </w:pPr>
            <w:r>
              <w:t>10,644</w:t>
            </w:r>
          </w:p>
        </w:tc>
        <w:tc>
          <w:tcPr>
            <w:tcW w:w="1000" w:type="pct"/>
            <w:shd w:val="clear" w:color="auto" w:fill="auto"/>
            <w:vAlign w:val="center"/>
          </w:tcPr>
          <w:p w:rsidR="001F723F" w:rsidRDefault="000E68B0">
            <w:pPr>
              <w:pStyle w:val="Tabletext0"/>
              <w:jc w:val="right"/>
            </w:pPr>
            <w:r>
              <w:t>10,543</w:t>
            </w:r>
          </w:p>
        </w:tc>
        <w:tc>
          <w:tcPr>
            <w:tcW w:w="1000" w:type="pct"/>
            <w:vAlign w:val="center"/>
          </w:tcPr>
          <w:p w:rsidR="001F723F" w:rsidRDefault="000E68B0">
            <w:pPr>
              <w:pStyle w:val="Tabletext0"/>
              <w:jc w:val="right"/>
            </w:pPr>
            <w:r>
              <w:t>101</w:t>
            </w:r>
          </w:p>
        </w:tc>
        <w:tc>
          <w:tcPr>
            <w:tcW w:w="1000" w:type="pct"/>
            <w:vAlign w:val="bottom"/>
          </w:tcPr>
          <w:p w:rsidR="001F723F" w:rsidRDefault="000E68B0">
            <w:pPr>
              <w:pStyle w:val="Tabletext0"/>
              <w:jc w:val="right"/>
            </w:pPr>
            <w:r>
              <w:t>99.1</w:t>
            </w:r>
          </w:p>
        </w:tc>
      </w:tr>
      <w:tr w:rsidR="001F723F">
        <w:trPr>
          <w:cantSplit/>
        </w:trPr>
        <w:tc>
          <w:tcPr>
            <w:tcW w:w="1000" w:type="pct"/>
            <w:shd w:val="clear" w:color="auto" w:fill="auto"/>
            <w:vAlign w:val="center"/>
          </w:tcPr>
          <w:p w:rsidR="001F723F" w:rsidRDefault="000E68B0">
            <w:pPr>
              <w:pStyle w:val="Tabletext0"/>
              <w:rPr>
                <w:rStyle w:val="Strong"/>
              </w:rPr>
            </w:pPr>
            <w:r>
              <w:rPr>
                <w:rStyle w:val="Strong"/>
              </w:rPr>
              <w:t>Total</w:t>
            </w:r>
          </w:p>
        </w:tc>
        <w:tc>
          <w:tcPr>
            <w:tcW w:w="1000" w:type="pct"/>
          </w:tcPr>
          <w:p w:rsidR="001F723F" w:rsidRDefault="000E68B0">
            <w:pPr>
              <w:pStyle w:val="Tabletext0"/>
              <w:jc w:val="right"/>
              <w:rPr>
                <w:rStyle w:val="Strong"/>
              </w:rPr>
            </w:pPr>
            <w:r>
              <w:rPr>
                <w:rStyle w:val="Strong"/>
              </w:rPr>
              <w:t>23,375</w:t>
            </w:r>
          </w:p>
        </w:tc>
        <w:tc>
          <w:tcPr>
            <w:tcW w:w="1000" w:type="pct"/>
            <w:shd w:val="clear" w:color="auto" w:fill="auto"/>
          </w:tcPr>
          <w:p w:rsidR="001F723F" w:rsidRDefault="000E68B0">
            <w:pPr>
              <w:pStyle w:val="Tabletext0"/>
              <w:jc w:val="right"/>
              <w:rPr>
                <w:rStyle w:val="Strong"/>
              </w:rPr>
            </w:pPr>
            <w:r>
              <w:rPr>
                <w:rStyle w:val="Strong"/>
              </w:rPr>
              <w:t>23,052</w:t>
            </w:r>
          </w:p>
        </w:tc>
        <w:tc>
          <w:tcPr>
            <w:tcW w:w="1000" w:type="pct"/>
          </w:tcPr>
          <w:p w:rsidR="001F723F" w:rsidRDefault="000E68B0">
            <w:pPr>
              <w:pStyle w:val="Tabletext0"/>
              <w:jc w:val="right"/>
              <w:rPr>
                <w:rStyle w:val="Strong"/>
              </w:rPr>
            </w:pPr>
            <w:r>
              <w:rPr>
                <w:rStyle w:val="Strong"/>
              </w:rPr>
              <w:t>323</w:t>
            </w:r>
          </w:p>
        </w:tc>
        <w:tc>
          <w:tcPr>
            <w:tcW w:w="1000" w:type="pct"/>
          </w:tcPr>
          <w:p w:rsidR="001F723F" w:rsidRDefault="000E68B0">
            <w:pPr>
              <w:pStyle w:val="Tabletext0"/>
              <w:jc w:val="right"/>
              <w:rPr>
                <w:rStyle w:val="Strong"/>
              </w:rPr>
            </w:pPr>
            <w:r>
              <w:rPr>
                <w:rStyle w:val="Strong"/>
              </w:rPr>
              <w:t>98.6</w:t>
            </w:r>
          </w:p>
        </w:tc>
      </w:tr>
    </w:tbl>
    <w:p w:rsidR="001F723F" w:rsidRDefault="000E68B0">
      <w:pPr>
        <w:pStyle w:val="FigureTableNoteSource"/>
      </w:pPr>
      <w:r>
        <w:t>Source: AIMS database</w:t>
      </w:r>
    </w:p>
    <w:p w:rsidR="001F723F" w:rsidRDefault="000E68B0">
      <w:pPr>
        <w:pStyle w:val="Caption"/>
      </w:pPr>
      <w:bookmarkStart w:id="64" w:name="_Ref520880163"/>
      <w:bookmarkStart w:id="65" w:name="_Toc520814504"/>
      <w:bookmarkStart w:id="66" w:name="_Toc520880959"/>
      <w:bookmarkStart w:id="67" w:name="_Toc16519519"/>
      <w: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64"/>
      <w:r>
        <w:t xml:space="preserve"> Chemical test, product compliance</w:t>
      </w:r>
      <w:bookmarkEnd w:id="65"/>
      <w:r>
        <w:t xml:space="preserve"> rates, </w:t>
      </w:r>
      <w:bookmarkEnd w:id="66"/>
      <w:r>
        <w:t>2018</w:t>
      </w:r>
      <w:bookmarkEnd w:id="67"/>
    </w:p>
    <w:tbl>
      <w:tblPr>
        <w:tblW w:w="5000" w:type="pct"/>
        <w:jc w:val="center"/>
        <w:tblBorders>
          <w:top w:val="single" w:sz="4" w:space="0" w:color="auto"/>
          <w:bottom w:val="single" w:sz="4" w:space="0" w:color="auto"/>
        </w:tblBorders>
        <w:tblLook w:val="04A0" w:firstRow="1" w:lastRow="0" w:firstColumn="1" w:lastColumn="0" w:noHBand="0" w:noVBand="1"/>
      </w:tblPr>
      <w:tblGrid>
        <w:gridCol w:w="1754"/>
        <w:gridCol w:w="1932"/>
        <w:gridCol w:w="1417"/>
        <w:gridCol w:w="1277"/>
        <w:gridCol w:w="1558"/>
        <w:gridCol w:w="1132"/>
      </w:tblGrid>
      <w:tr w:rsidR="001F723F">
        <w:trPr>
          <w:cantSplit/>
          <w:tblHeader/>
          <w:jc w:val="center"/>
        </w:trPr>
        <w:tc>
          <w:tcPr>
            <w:tcW w:w="967" w:type="pct"/>
            <w:shd w:val="clear" w:color="auto" w:fill="auto"/>
          </w:tcPr>
          <w:p w:rsidR="001F723F" w:rsidRDefault="000E68B0">
            <w:pPr>
              <w:pStyle w:val="Tableheading0"/>
            </w:pPr>
            <w:r>
              <w:t>Chemical</w:t>
            </w:r>
          </w:p>
        </w:tc>
        <w:tc>
          <w:tcPr>
            <w:tcW w:w="1065" w:type="pct"/>
          </w:tcPr>
          <w:p w:rsidR="001F723F" w:rsidRDefault="000E68B0">
            <w:pPr>
              <w:pStyle w:val="Tableheading0"/>
            </w:pPr>
            <w:r>
              <w:t>Food type</w:t>
            </w:r>
          </w:p>
        </w:tc>
        <w:tc>
          <w:tcPr>
            <w:tcW w:w="781" w:type="pct"/>
          </w:tcPr>
          <w:p w:rsidR="001F723F" w:rsidRDefault="000E68B0">
            <w:pPr>
              <w:pStyle w:val="Tableheading0"/>
              <w:jc w:val="right"/>
            </w:pPr>
            <w:r>
              <w:t>Tests applied (no.)</w:t>
            </w:r>
          </w:p>
        </w:tc>
        <w:tc>
          <w:tcPr>
            <w:tcW w:w="704" w:type="pct"/>
            <w:shd w:val="clear" w:color="auto" w:fill="auto"/>
          </w:tcPr>
          <w:p w:rsidR="001F723F" w:rsidRDefault="000E68B0">
            <w:pPr>
              <w:pStyle w:val="Tableheading0"/>
              <w:jc w:val="right"/>
            </w:pPr>
            <w:r>
              <w:t>Compliant (no.)</w:t>
            </w:r>
          </w:p>
        </w:tc>
        <w:tc>
          <w:tcPr>
            <w:tcW w:w="859" w:type="pct"/>
          </w:tcPr>
          <w:p w:rsidR="001F723F" w:rsidRDefault="000E68B0">
            <w:pPr>
              <w:pStyle w:val="Tableheading0"/>
              <w:jc w:val="right"/>
            </w:pPr>
            <w:r>
              <w:t>Non-compliant (no.)</w:t>
            </w:r>
          </w:p>
        </w:tc>
        <w:tc>
          <w:tcPr>
            <w:tcW w:w="624" w:type="pct"/>
          </w:tcPr>
          <w:p w:rsidR="001F723F" w:rsidRDefault="000E68B0">
            <w:pPr>
              <w:pStyle w:val="Tableheading0"/>
              <w:jc w:val="right"/>
            </w:pPr>
            <w:r>
              <w:t>Compliant (%)</w:t>
            </w:r>
          </w:p>
        </w:tc>
      </w:tr>
      <w:tr w:rsidR="001F723F">
        <w:trPr>
          <w:cantSplit/>
          <w:jc w:val="center"/>
        </w:trPr>
        <w:tc>
          <w:tcPr>
            <w:tcW w:w="967" w:type="pct"/>
            <w:shd w:val="clear" w:color="auto" w:fill="auto"/>
          </w:tcPr>
          <w:p w:rsidR="001F723F" w:rsidRDefault="000E68B0">
            <w:pPr>
              <w:pStyle w:val="Tabletext0"/>
              <w:keepNext/>
            </w:pPr>
            <w:proofErr w:type="spellStart"/>
            <w:r>
              <w:t>Cannabidiol</w:t>
            </w:r>
            <w:proofErr w:type="spellEnd"/>
          </w:p>
        </w:tc>
        <w:tc>
          <w:tcPr>
            <w:tcW w:w="1065" w:type="pct"/>
          </w:tcPr>
          <w:p w:rsidR="001F723F" w:rsidRDefault="000E68B0">
            <w:pPr>
              <w:pStyle w:val="Tabletext0"/>
              <w:keepNext/>
            </w:pPr>
            <w:r>
              <w:t>Hemp seed and hemp seed products</w:t>
            </w:r>
          </w:p>
        </w:tc>
        <w:tc>
          <w:tcPr>
            <w:tcW w:w="781" w:type="pct"/>
          </w:tcPr>
          <w:p w:rsidR="001F723F" w:rsidRDefault="000E68B0">
            <w:pPr>
              <w:pStyle w:val="Tabletext0"/>
              <w:keepNext/>
              <w:jc w:val="right"/>
            </w:pPr>
            <w:r>
              <w:t>4</w:t>
            </w:r>
          </w:p>
        </w:tc>
        <w:tc>
          <w:tcPr>
            <w:tcW w:w="704" w:type="pct"/>
            <w:shd w:val="clear" w:color="auto" w:fill="auto"/>
          </w:tcPr>
          <w:p w:rsidR="001F723F" w:rsidRDefault="000E68B0">
            <w:pPr>
              <w:pStyle w:val="Tabletext0"/>
              <w:keepNext/>
              <w:jc w:val="right"/>
            </w:pPr>
            <w:r>
              <w:t>4</w:t>
            </w:r>
          </w:p>
        </w:tc>
        <w:tc>
          <w:tcPr>
            <w:tcW w:w="859" w:type="pct"/>
          </w:tcPr>
          <w:p w:rsidR="001F723F" w:rsidRDefault="000E68B0">
            <w:pPr>
              <w:pStyle w:val="Tabletext0"/>
              <w:keepNext/>
              <w:jc w:val="right"/>
            </w:pPr>
            <w:r>
              <w:t>0</w:t>
            </w:r>
          </w:p>
        </w:tc>
        <w:tc>
          <w:tcPr>
            <w:tcW w:w="624" w:type="pct"/>
          </w:tcPr>
          <w:p w:rsidR="001F723F" w:rsidRDefault="000E68B0">
            <w:pPr>
              <w:pStyle w:val="Tabletext0"/>
              <w:keepNext/>
              <w:jc w:val="right"/>
            </w:pPr>
            <w:r>
              <w:t>100</w:t>
            </w:r>
          </w:p>
        </w:tc>
      </w:tr>
      <w:tr w:rsidR="001F723F">
        <w:trPr>
          <w:cantSplit/>
          <w:jc w:val="center"/>
        </w:trPr>
        <w:tc>
          <w:tcPr>
            <w:tcW w:w="967" w:type="pct"/>
            <w:shd w:val="clear" w:color="auto" w:fill="auto"/>
          </w:tcPr>
          <w:p w:rsidR="001F723F" w:rsidRDefault="000E68B0">
            <w:pPr>
              <w:pStyle w:val="Tabletext0"/>
              <w:keepNext/>
            </w:pPr>
            <w:proofErr w:type="spellStart"/>
            <w:r>
              <w:t>Cephalosporins</w:t>
            </w:r>
            <w:proofErr w:type="spellEnd"/>
          </w:p>
        </w:tc>
        <w:tc>
          <w:tcPr>
            <w:tcW w:w="1065" w:type="pct"/>
          </w:tcPr>
          <w:p w:rsidR="001F723F" w:rsidRDefault="000E68B0">
            <w:pPr>
              <w:pStyle w:val="Tabletext0"/>
              <w:keepNext/>
            </w:pPr>
            <w:r>
              <w:t>Meat</w:t>
            </w:r>
          </w:p>
        </w:tc>
        <w:tc>
          <w:tcPr>
            <w:tcW w:w="781" w:type="pct"/>
          </w:tcPr>
          <w:p w:rsidR="001F723F" w:rsidRDefault="000E68B0">
            <w:pPr>
              <w:pStyle w:val="Tabletext0"/>
              <w:keepNext/>
              <w:jc w:val="right"/>
            </w:pPr>
            <w:r>
              <w:t>501</w:t>
            </w:r>
          </w:p>
        </w:tc>
        <w:tc>
          <w:tcPr>
            <w:tcW w:w="704" w:type="pct"/>
            <w:shd w:val="clear" w:color="auto" w:fill="auto"/>
          </w:tcPr>
          <w:p w:rsidR="001F723F" w:rsidRDefault="000E68B0">
            <w:pPr>
              <w:pStyle w:val="Tabletext0"/>
              <w:keepNext/>
              <w:jc w:val="right"/>
            </w:pPr>
            <w:r>
              <w:t>501</w:t>
            </w:r>
          </w:p>
        </w:tc>
        <w:tc>
          <w:tcPr>
            <w:tcW w:w="859" w:type="pct"/>
          </w:tcPr>
          <w:p w:rsidR="001F723F" w:rsidRDefault="000E68B0">
            <w:pPr>
              <w:pStyle w:val="Tabletext0"/>
              <w:keepNext/>
              <w:jc w:val="right"/>
            </w:pPr>
            <w:r>
              <w:t>0</w:t>
            </w:r>
          </w:p>
        </w:tc>
        <w:tc>
          <w:tcPr>
            <w:tcW w:w="624" w:type="pct"/>
          </w:tcPr>
          <w:p w:rsidR="001F723F" w:rsidRDefault="000E68B0">
            <w:pPr>
              <w:pStyle w:val="Tabletext0"/>
              <w:keepNext/>
              <w:jc w:val="right"/>
            </w:pPr>
            <w:r>
              <w:t>100</w:t>
            </w:r>
          </w:p>
        </w:tc>
      </w:tr>
      <w:tr w:rsidR="001F723F">
        <w:trPr>
          <w:cantSplit/>
          <w:jc w:val="center"/>
        </w:trPr>
        <w:tc>
          <w:tcPr>
            <w:tcW w:w="967" w:type="pct"/>
            <w:shd w:val="clear" w:color="auto" w:fill="auto"/>
          </w:tcPr>
          <w:p w:rsidR="001F723F" w:rsidRDefault="000E68B0">
            <w:pPr>
              <w:pStyle w:val="Tabletext0"/>
              <w:keepNext/>
            </w:pPr>
            <w:r>
              <w:t>Fluoroquinolones</w:t>
            </w:r>
          </w:p>
        </w:tc>
        <w:tc>
          <w:tcPr>
            <w:tcW w:w="1065" w:type="pct"/>
          </w:tcPr>
          <w:p w:rsidR="001F723F" w:rsidRDefault="000E68B0">
            <w:pPr>
              <w:pStyle w:val="Tabletext0"/>
              <w:keepNext/>
            </w:pPr>
            <w:r>
              <w:t>Farmed fish and prawns</w:t>
            </w:r>
          </w:p>
        </w:tc>
        <w:tc>
          <w:tcPr>
            <w:tcW w:w="781" w:type="pct"/>
          </w:tcPr>
          <w:p w:rsidR="001F723F" w:rsidRDefault="000E68B0">
            <w:pPr>
              <w:pStyle w:val="Tabletext0"/>
              <w:keepNext/>
              <w:jc w:val="right"/>
            </w:pPr>
            <w:r>
              <w:t>864</w:t>
            </w:r>
          </w:p>
        </w:tc>
        <w:tc>
          <w:tcPr>
            <w:tcW w:w="704" w:type="pct"/>
            <w:shd w:val="clear" w:color="auto" w:fill="auto"/>
          </w:tcPr>
          <w:p w:rsidR="001F723F" w:rsidRDefault="000E68B0">
            <w:pPr>
              <w:pStyle w:val="Tabletext0"/>
              <w:keepNext/>
              <w:jc w:val="right"/>
            </w:pPr>
            <w:r>
              <w:t>861</w:t>
            </w:r>
          </w:p>
        </w:tc>
        <w:tc>
          <w:tcPr>
            <w:tcW w:w="859" w:type="pct"/>
          </w:tcPr>
          <w:p w:rsidR="001F723F" w:rsidRDefault="000E68B0">
            <w:pPr>
              <w:pStyle w:val="Tabletext0"/>
              <w:keepNext/>
              <w:jc w:val="right"/>
            </w:pPr>
            <w:r>
              <w:t>3</w:t>
            </w:r>
          </w:p>
        </w:tc>
        <w:tc>
          <w:tcPr>
            <w:tcW w:w="624" w:type="pct"/>
          </w:tcPr>
          <w:p w:rsidR="001F723F" w:rsidRDefault="000E68B0">
            <w:pPr>
              <w:pStyle w:val="Tabletext0"/>
              <w:keepNext/>
              <w:jc w:val="right"/>
            </w:pPr>
            <w:r>
              <w:t>99.7</w:t>
            </w:r>
          </w:p>
        </w:tc>
      </w:tr>
      <w:tr w:rsidR="001F723F">
        <w:trPr>
          <w:cantSplit/>
          <w:jc w:val="center"/>
        </w:trPr>
        <w:tc>
          <w:tcPr>
            <w:tcW w:w="967" w:type="pct"/>
            <w:shd w:val="clear" w:color="auto" w:fill="auto"/>
          </w:tcPr>
          <w:p w:rsidR="001F723F" w:rsidRDefault="000E68B0">
            <w:pPr>
              <w:pStyle w:val="Tabletext0"/>
              <w:keepNext/>
            </w:pPr>
            <w:r>
              <w:t>Fruit and vegetable residue screen</w:t>
            </w:r>
          </w:p>
        </w:tc>
        <w:tc>
          <w:tcPr>
            <w:tcW w:w="1065" w:type="pct"/>
          </w:tcPr>
          <w:p w:rsidR="001F723F" w:rsidRDefault="000E68B0">
            <w:pPr>
              <w:pStyle w:val="Tabletext0"/>
              <w:keepNext/>
            </w:pPr>
            <w:r>
              <w:t>Fruit and vegetables</w:t>
            </w:r>
          </w:p>
        </w:tc>
        <w:tc>
          <w:tcPr>
            <w:tcW w:w="781" w:type="pct"/>
          </w:tcPr>
          <w:p w:rsidR="001F723F" w:rsidRDefault="000E68B0">
            <w:pPr>
              <w:pStyle w:val="Tabletext0"/>
              <w:keepNext/>
              <w:jc w:val="right"/>
            </w:pPr>
            <w:r>
              <w:t>1,905</w:t>
            </w:r>
          </w:p>
        </w:tc>
        <w:tc>
          <w:tcPr>
            <w:tcW w:w="704" w:type="pct"/>
            <w:shd w:val="clear" w:color="auto" w:fill="auto"/>
          </w:tcPr>
          <w:p w:rsidR="001F723F" w:rsidRDefault="000E68B0">
            <w:pPr>
              <w:pStyle w:val="Tabletext0"/>
              <w:keepNext/>
              <w:jc w:val="right"/>
            </w:pPr>
            <w:r>
              <w:t>1,799</w:t>
            </w:r>
          </w:p>
        </w:tc>
        <w:tc>
          <w:tcPr>
            <w:tcW w:w="859" w:type="pct"/>
          </w:tcPr>
          <w:p w:rsidR="001F723F" w:rsidRDefault="000E68B0">
            <w:pPr>
              <w:pStyle w:val="Tabletext0"/>
              <w:keepNext/>
              <w:jc w:val="right"/>
            </w:pPr>
            <w:r>
              <w:t>106</w:t>
            </w:r>
          </w:p>
        </w:tc>
        <w:tc>
          <w:tcPr>
            <w:tcW w:w="624" w:type="pct"/>
          </w:tcPr>
          <w:p w:rsidR="001F723F" w:rsidRDefault="000E68B0">
            <w:pPr>
              <w:pStyle w:val="Tabletext0"/>
              <w:keepNext/>
              <w:jc w:val="right"/>
            </w:pPr>
            <w:r>
              <w:t>94.4</w:t>
            </w:r>
          </w:p>
        </w:tc>
      </w:tr>
      <w:tr w:rsidR="001F723F">
        <w:trPr>
          <w:cantSplit/>
          <w:jc w:val="center"/>
        </w:trPr>
        <w:tc>
          <w:tcPr>
            <w:tcW w:w="967" w:type="pct"/>
            <w:shd w:val="clear" w:color="auto" w:fill="auto"/>
          </w:tcPr>
          <w:p w:rsidR="001F723F" w:rsidRDefault="000E68B0">
            <w:pPr>
              <w:pStyle w:val="Tabletext0"/>
              <w:keepNext/>
            </w:pPr>
            <w:r>
              <w:t>Malachite green</w:t>
            </w:r>
          </w:p>
        </w:tc>
        <w:tc>
          <w:tcPr>
            <w:tcW w:w="1065" w:type="pct"/>
          </w:tcPr>
          <w:p w:rsidR="001F723F" w:rsidRDefault="000E68B0">
            <w:pPr>
              <w:pStyle w:val="Tabletext0"/>
              <w:keepNext/>
            </w:pPr>
            <w:r>
              <w:t>Farmed fish</w:t>
            </w:r>
          </w:p>
        </w:tc>
        <w:tc>
          <w:tcPr>
            <w:tcW w:w="781" w:type="pct"/>
          </w:tcPr>
          <w:p w:rsidR="001F723F" w:rsidRDefault="000E68B0">
            <w:pPr>
              <w:pStyle w:val="Tabletext0"/>
              <w:keepNext/>
              <w:jc w:val="right"/>
            </w:pPr>
            <w:r>
              <w:t>286</w:t>
            </w:r>
          </w:p>
        </w:tc>
        <w:tc>
          <w:tcPr>
            <w:tcW w:w="704" w:type="pct"/>
            <w:shd w:val="clear" w:color="auto" w:fill="auto"/>
          </w:tcPr>
          <w:p w:rsidR="001F723F" w:rsidRDefault="000E68B0">
            <w:pPr>
              <w:pStyle w:val="Tabletext0"/>
              <w:keepNext/>
              <w:jc w:val="right"/>
            </w:pPr>
            <w:r>
              <w:t>286</w:t>
            </w:r>
          </w:p>
        </w:tc>
        <w:tc>
          <w:tcPr>
            <w:tcW w:w="859" w:type="pct"/>
          </w:tcPr>
          <w:p w:rsidR="001F723F" w:rsidRDefault="000E68B0">
            <w:pPr>
              <w:pStyle w:val="Tabletext0"/>
              <w:keepNext/>
              <w:jc w:val="right"/>
            </w:pPr>
            <w:r>
              <w:t>0</w:t>
            </w:r>
          </w:p>
        </w:tc>
        <w:tc>
          <w:tcPr>
            <w:tcW w:w="624" w:type="pct"/>
          </w:tcPr>
          <w:p w:rsidR="001F723F" w:rsidRDefault="000E68B0">
            <w:pPr>
              <w:pStyle w:val="Tabletext0"/>
              <w:keepNext/>
              <w:jc w:val="right"/>
            </w:pPr>
            <w:r>
              <w:t>100</w:t>
            </w:r>
          </w:p>
        </w:tc>
      </w:tr>
      <w:tr w:rsidR="001F723F">
        <w:trPr>
          <w:cantSplit/>
          <w:jc w:val="center"/>
        </w:trPr>
        <w:tc>
          <w:tcPr>
            <w:tcW w:w="967" w:type="pct"/>
            <w:shd w:val="clear" w:color="auto" w:fill="auto"/>
          </w:tcPr>
          <w:p w:rsidR="001F723F" w:rsidRDefault="000E68B0">
            <w:pPr>
              <w:pStyle w:val="Tabletext0"/>
              <w:keepNext/>
            </w:pPr>
            <w:proofErr w:type="spellStart"/>
            <w:r>
              <w:t>Nitrofurans</w:t>
            </w:r>
            <w:proofErr w:type="spellEnd"/>
          </w:p>
        </w:tc>
        <w:tc>
          <w:tcPr>
            <w:tcW w:w="1065" w:type="pct"/>
          </w:tcPr>
          <w:p w:rsidR="001F723F" w:rsidRDefault="000E68B0">
            <w:pPr>
              <w:pStyle w:val="Tabletext0"/>
              <w:keepNext/>
            </w:pPr>
            <w:r>
              <w:t>Farmed prawns, honey</w:t>
            </w:r>
          </w:p>
        </w:tc>
        <w:tc>
          <w:tcPr>
            <w:tcW w:w="781" w:type="pct"/>
          </w:tcPr>
          <w:p w:rsidR="001F723F" w:rsidRDefault="000E68B0">
            <w:pPr>
              <w:pStyle w:val="Tabletext0"/>
              <w:keepNext/>
              <w:jc w:val="right"/>
            </w:pPr>
            <w:r>
              <w:t>62</w:t>
            </w:r>
          </w:p>
        </w:tc>
        <w:tc>
          <w:tcPr>
            <w:tcW w:w="704" w:type="pct"/>
            <w:shd w:val="clear" w:color="auto" w:fill="auto"/>
          </w:tcPr>
          <w:p w:rsidR="001F723F" w:rsidRDefault="000E68B0">
            <w:pPr>
              <w:pStyle w:val="Tabletext0"/>
              <w:keepNext/>
              <w:jc w:val="right"/>
            </w:pPr>
            <w:r>
              <w:t>60</w:t>
            </w:r>
          </w:p>
        </w:tc>
        <w:tc>
          <w:tcPr>
            <w:tcW w:w="859" w:type="pct"/>
          </w:tcPr>
          <w:p w:rsidR="001F723F" w:rsidRDefault="000E68B0">
            <w:pPr>
              <w:pStyle w:val="Tabletext0"/>
              <w:keepNext/>
              <w:jc w:val="right"/>
            </w:pPr>
            <w:r>
              <w:t>2</w:t>
            </w:r>
          </w:p>
        </w:tc>
        <w:tc>
          <w:tcPr>
            <w:tcW w:w="624" w:type="pct"/>
          </w:tcPr>
          <w:p w:rsidR="001F723F" w:rsidRDefault="000E68B0">
            <w:pPr>
              <w:pStyle w:val="Tabletext0"/>
              <w:keepNext/>
              <w:jc w:val="right"/>
            </w:pPr>
            <w:r>
              <w:t>96.6</w:t>
            </w:r>
          </w:p>
        </w:tc>
      </w:tr>
      <w:tr w:rsidR="001F723F">
        <w:trPr>
          <w:cantSplit/>
          <w:jc w:val="center"/>
        </w:trPr>
        <w:tc>
          <w:tcPr>
            <w:tcW w:w="967" w:type="pct"/>
            <w:shd w:val="clear" w:color="auto" w:fill="auto"/>
          </w:tcPr>
          <w:p w:rsidR="001F723F" w:rsidRDefault="000E68B0">
            <w:pPr>
              <w:pStyle w:val="Tabletext0"/>
              <w:keepNext/>
            </w:pPr>
            <w:r>
              <w:t>Pesticides</w:t>
            </w:r>
          </w:p>
        </w:tc>
        <w:tc>
          <w:tcPr>
            <w:tcW w:w="1065" w:type="pct"/>
          </w:tcPr>
          <w:p w:rsidR="001F723F" w:rsidRDefault="000E68B0">
            <w:pPr>
              <w:pStyle w:val="Tabletext0"/>
              <w:keepNext/>
            </w:pPr>
            <w:r>
              <w:t>Meat</w:t>
            </w:r>
          </w:p>
        </w:tc>
        <w:tc>
          <w:tcPr>
            <w:tcW w:w="781" w:type="pct"/>
          </w:tcPr>
          <w:p w:rsidR="001F723F" w:rsidRDefault="000E68B0">
            <w:pPr>
              <w:pStyle w:val="Tabletext0"/>
              <w:keepNext/>
              <w:jc w:val="right"/>
            </w:pPr>
            <w:r>
              <w:t>229</w:t>
            </w:r>
          </w:p>
        </w:tc>
        <w:tc>
          <w:tcPr>
            <w:tcW w:w="704" w:type="pct"/>
            <w:shd w:val="clear" w:color="auto" w:fill="auto"/>
          </w:tcPr>
          <w:p w:rsidR="001F723F" w:rsidRDefault="000E68B0">
            <w:pPr>
              <w:pStyle w:val="Tabletext0"/>
              <w:keepNext/>
              <w:jc w:val="right"/>
            </w:pPr>
            <w:r>
              <w:t>229</w:t>
            </w:r>
          </w:p>
        </w:tc>
        <w:tc>
          <w:tcPr>
            <w:tcW w:w="859" w:type="pct"/>
          </w:tcPr>
          <w:p w:rsidR="001F723F" w:rsidRDefault="000E68B0">
            <w:pPr>
              <w:pStyle w:val="Tabletext0"/>
              <w:keepNext/>
              <w:jc w:val="right"/>
            </w:pPr>
            <w:r>
              <w:t>0</w:t>
            </w:r>
          </w:p>
        </w:tc>
        <w:tc>
          <w:tcPr>
            <w:tcW w:w="624" w:type="pct"/>
          </w:tcPr>
          <w:p w:rsidR="001F723F" w:rsidRDefault="000E68B0">
            <w:pPr>
              <w:pStyle w:val="Tabletext0"/>
              <w:keepNext/>
              <w:jc w:val="right"/>
            </w:pPr>
            <w:r>
              <w:t>100</w:t>
            </w:r>
          </w:p>
        </w:tc>
      </w:tr>
      <w:tr w:rsidR="001F723F">
        <w:trPr>
          <w:cantSplit/>
          <w:jc w:val="center"/>
        </w:trPr>
        <w:tc>
          <w:tcPr>
            <w:tcW w:w="967" w:type="pct"/>
            <w:shd w:val="clear" w:color="auto" w:fill="auto"/>
          </w:tcPr>
          <w:p w:rsidR="001F723F" w:rsidRDefault="000E68B0">
            <w:pPr>
              <w:pStyle w:val="Tabletext0"/>
              <w:keepNext/>
            </w:pPr>
            <w:r>
              <w:t>Quinolones</w:t>
            </w:r>
          </w:p>
        </w:tc>
        <w:tc>
          <w:tcPr>
            <w:tcW w:w="1065" w:type="pct"/>
          </w:tcPr>
          <w:p w:rsidR="001F723F" w:rsidRDefault="000E68B0">
            <w:pPr>
              <w:pStyle w:val="Tabletext0"/>
              <w:keepNext/>
            </w:pPr>
            <w:r>
              <w:t>Farmed fish</w:t>
            </w:r>
          </w:p>
        </w:tc>
        <w:tc>
          <w:tcPr>
            <w:tcW w:w="781" w:type="pct"/>
          </w:tcPr>
          <w:p w:rsidR="001F723F" w:rsidRDefault="000E68B0">
            <w:pPr>
              <w:pStyle w:val="Tabletext0"/>
              <w:keepNext/>
              <w:jc w:val="right"/>
            </w:pPr>
            <w:r>
              <w:t>294</w:t>
            </w:r>
          </w:p>
        </w:tc>
        <w:tc>
          <w:tcPr>
            <w:tcW w:w="704" w:type="pct"/>
            <w:shd w:val="clear" w:color="auto" w:fill="auto"/>
          </w:tcPr>
          <w:p w:rsidR="001F723F" w:rsidRDefault="000E68B0">
            <w:pPr>
              <w:pStyle w:val="Tabletext0"/>
              <w:keepNext/>
              <w:jc w:val="right"/>
            </w:pPr>
            <w:r>
              <w:t>291</w:t>
            </w:r>
          </w:p>
        </w:tc>
        <w:tc>
          <w:tcPr>
            <w:tcW w:w="859" w:type="pct"/>
          </w:tcPr>
          <w:p w:rsidR="001F723F" w:rsidRDefault="000E68B0">
            <w:pPr>
              <w:pStyle w:val="Tabletext0"/>
              <w:keepNext/>
              <w:jc w:val="right"/>
            </w:pPr>
            <w:r>
              <w:t>3</w:t>
            </w:r>
          </w:p>
        </w:tc>
        <w:tc>
          <w:tcPr>
            <w:tcW w:w="624" w:type="pct"/>
          </w:tcPr>
          <w:p w:rsidR="001F723F" w:rsidRDefault="000E68B0">
            <w:pPr>
              <w:pStyle w:val="Tabletext0"/>
              <w:keepNext/>
              <w:jc w:val="right"/>
            </w:pPr>
            <w:r>
              <w:t>99.0</w:t>
            </w:r>
          </w:p>
        </w:tc>
      </w:tr>
      <w:tr w:rsidR="001F723F">
        <w:trPr>
          <w:cantSplit/>
          <w:jc w:val="center"/>
        </w:trPr>
        <w:tc>
          <w:tcPr>
            <w:tcW w:w="967" w:type="pct"/>
            <w:shd w:val="clear" w:color="auto" w:fill="auto"/>
          </w:tcPr>
          <w:p w:rsidR="001F723F" w:rsidRDefault="000E68B0">
            <w:pPr>
              <w:pStyle w:val="Tabletext0"/>
              <w:keepNext/>
            </w:pPr>
            <w:r>
              <w:t>Total THC</w:t>
            </w:r>
          </w:p>
        </w:tc>
        <w:tc>
          <w:tcPr>
            <w:tcW w:w="1065" w:type="pct"/>
          </w:tcPr>
          <w:p w:rsidR="001F723F" w:rsidRDefault="000E68B0">
            <w:pPr>
              <w:pStyle w:val="Tabletext0"/>
              <w:keepNext/>
            </w:pPr>
            <w:r>
              <w:t>Hemp seed and hemp seed products</w:t>
            </w:r>
          </w:p>
        </w:tc>
        <w:tc>
          <w:tcPr>
            <w:tcW w:w="781" w:type="pct"/>
          </w:tcPr>
          <w:p w:rsidR="001F723F" w:rsidRDefault="000E68B0">
            <w:pPr>
              <w:pStyle w:val="Tabletext0"/>
              <w:keepNext/>
              <w:jc w:val="right"/>
            </w:pPr>
            <w:r>
              <w:t>4</w:t>
            </w:r>
          </w:p>
        </w:tc>
        <w:tc>
          <w:tcPr>
            <w:tcW w:w="704" w:type="pct"/>
            <w:shd w:val="clear" w:color="auto" w:fill="auto"/>
          </w:tcPr>
          <w:p w:rsidR="001F723F" w:rsidRDefault="000E68B0">
            <w:pPr>
              <w:pStyle w:val="Tabletext0"/>
              <w:keepNext/>
              <w:jc w:val="right"/>
            </w:pPr>
            <w:r>
              <w:t>4</w:t>
            </w:r>
          </w:p>
        </w:tc>
        <w:tc>
          <w:tcPr>
            <w:tcW w:w="859" w:type="pct"/>
          </w:tcPr>
          <w:p w:rsidR="001F723F" w:rsidRDefault="000E68B0">
            <w:pPr>
              <w:pStyle w:val="Tabletext0"/>
              <w:keepNext/>
              <w:jc w:val="right"/>
            </w:pPr>
            <w:r>
              <w:t>0</w:t>
            </w:r>
          </w:p>
        </w:tc>
        <w:tc>
          <w:tcPr>
            <w:tcW w:w="624" w:type="pct"/>
          </w:tcPr>
          <w:p w:rsidR="001F723F" w:rsidRDefault="000E68B0">
            <w:pPr>
              <w:pStyle w:val="Tabletext0"/>
              <w:keepNext/>
              <w:jc w:val="right"/>
            </w:pPr>
            <w:r>
              <w:t>100</w:t>
            </w:r>
          </w:p>
        </w:tc>
      </w:tr>
      <w:tr w:rsidR="001F723F">
        <w:trPr>
          <w:cantSplit/>
          <w:jc w:val="center"/>
        </w:trPr>
        <w:tc>
          <w:tcPr>
            <w:tcW w:w="967" w:type="pct"/>
            <w:shd w:val="clear" w:color="auto" w:fill="auto"/>
          </w:tcPr>
          <w:p w:rsidR="001F723F" w:rsidRDefault="000E68B0">
            <w:pPr>
              <w:pStyle w:val="Tabletext0"/>
              <w:keepNext/>
            </w:pPr>
            <w:proofErr w:type="spellStart"/>
            <w:r>
              <w:t>Virginamycin</w:t>
            </w:r>
            <w:proofErr w:type="spellEnd"/>
          </w:p>
        </w:tc>
        <w:tc>
          <w:tcPr>
            <w:tcW w:w="1065" w:type="pct"/>
          </w:tcPr>
          <w:p w:rsidR="001F723F" w:rsidRDefault="000E68B0">
            <w:pPr>
              <w:pStyle w:val="Tabletext0"/>
              <w:keepNext/>
            </w:pPr>
            <w:r>
              <w:t>Meat</w:t>
            </w:r>
          </w:p>
        </w:tc>
        <w:tc>
          <w:tcPr>
            <w:tcW w:w="781" w:type="pct"/>
          </w:tcPr>
          <w:p w:rsidR="001F723F" w:rsidRDefault="000E68B0">
            <w:pPr>
              <w:pStyle w:val="Tabletext0"/>
              <w:keepNext/>
              <w:jc w:val="right"/>
            </w:pPr>
            <w:r>
              <w:t>501</w:t>
            </w:r>
          </w:p>
        </w:tc>
        <w:tc>
          <w:tcPr>
            <w:tcW w:w="704" w:type="pct"/>
            <w:shd w:val="clear" w:color="auto" w:fill="auto"/>
          </w:tcPr>
          <w:p w:rsidR="001F723F" w:rsidRDefault="000E68B0">
            <w:pPr>
              <w:pStyle w:val="Tabletext0"/>
              <w:keepNext/>
              <w:jc w:val="right"/>
            </w:pPr>
            <w:r>
              <w:t>501</w:t>
            </w:r>
          </w:p>
        </w:tc>
        <w:tc>
          <w:tcPr>
            <w:tcW w:w="859" w:type="pct"/>
          </w:tcPr>
          <w:p w:rsidR="001F723F" w:rsidRDefault="000E68B0">
            <w:pPr>
              <w:pStyle w:val="Tabletext0"/>
              <w:keepNext/>
              <w:jc w:val="right"/>
            </w:pPr>
            <w:r>
              <w:t>0</w:t>
            </w:r>
          </w:p>
        </w:tc>
        <w:tc>
          <w:tcPr>
            <w:tcW w:w="624" w:type="pct"/>
          </w:tcPr>
          <w:p w:rsidR="001F723F" w:rsidRDefault="000E68B0">
            <w:pPr>
              <w:pStyle w:val="Tabletext0"/>
              <w:keepNext/>
              <w:jc w:val="right"/>
            </w:pPr>
            <w:r>
              <w:t>100</w:t>
            </w:r>
          </w:p>
        </w:tc>
      </w:tr>
      <w:tr w:rsidR="001F723F">
        <w:trPr>
          <w:cantSplit/>
          <w:jc w:val="center"/>
        </w:trPr>
        <w:tc>
          <w:tcPr>
            <w:tcW w:w="967" w:type="pct"/>
            <w:shd w:val="clear" w:color="auto" w:fill="auto"/>
          </w:tcPr>
          <w:p w:rsidR="001F723F" w:rsidRDefault="000E68B0">
            <w:pPr>
              <w:pStyle w:val="Tabletext0"/>
              <w:keepNext/>
              <w:rPr>
                <w:rStyle w:val="Strong"/>
              </w:rPr>
            </w:pPr>
            <w:r>
              <w:rPr>
                <w:rStyle w:val="Strong"/>
              </w:rPr>
              <w:t>Total</w:t>
            </w:r>
          </w:p>
        </w:tc>
        <w:tc>
          <w:tcPr>
            <w:tcW w:w="1065" w:type="pct"/>
          </w:tcPr>
          <w:p w:rsidR="001F723F" w:rsidRDefault="000E68B0">
            <w:pPr>
              <w:pStyle w:val="Tabletext0"/>
              <w:keepNext/>
              <w:rPr>
                <w:rStyle w:val="Strong"/>
              </w:rPr>
            </w:pPr>
            <w:r>
              <w:rPr>
                <w:rStyle w:val="Strong"/>
              </w:rPr>
              <w:t>–</w:t>
            </w:r>
          </w:p>
        </w:tc>
        <w:tc>
          <w:tcPr>
            <w:tcW w:w="781" w:type="pct"/>
          </w:tcPr>
          <w:p w:rsidR="001F723F" w:rsidRDefault="000E68B0">
            <w:pPr>
              <w:pStyle w:val="Tabletext0"/>
              <w:keepNext/>
              <w:jc w:val="right"/>
              <w:rPr>
                <w:rStyle w:val="Strong"/>
              </w:rPr>
            </w:pPr>
            <w:r>
              <w:rPr>
                <w:rStyle w:val="Strong"/>
              </w:rPr>
              <w:t>4,650</w:t>
            </w:r>
          </w:p>
        </w:tc>
        <w:tc>
          <w:tcPr>
            <w:tcW w:w="704" w:type="pct"/>
            <w:shd w:val="clear" w:color="auto" w:fill="auto"/>
          </w:tcPr>
          <w:p w:rsidR="001F723F" w:rsidRDefault="000E68B0">
            <w:pPr>
              <w:pStyle w:val="Tabletext0"/>
              <w:keepNext/>
              <w:jc w:val="right"/>
              <w:rPr>
                <w:rStyle w:val="Strong"/>
              </w:rPr>
            </w:pPr>
            <w:r>
              <w:rPr>
                <w:rStyle w:val="Strong"/>
              </w:rPr>
              <w:t>4,536</w:t>
            </w:r>
          </w:p>
        </w:tc>
        <w:tc>
          <w:tcPr>
            <w:tcW w:w="859" w:type="pct"/>
          </w:tcPr>
          <w:p w:rsidR="001F723F" w:rsidRDefault="000E68B0">
            <w:pPr>
              <w:pStyle w:val="Tabletext0"/>
              <w:keepNext/>
              <w:jc w:val="right"/>
              <w:rPr>
                <w:rStyle w:val="Strong"/>
              </w:rPr>
            </w:pPr>
            <w:r>
              <w:rPr>
                <w:rStyle w:val="Strong"/>
              </w:rPr>
              <w:t>114</w:t>
            </w:r>
          </w:p>
        </w:tc>
        <w:tc>
          <w:tcPr>
            <w:tcW w:w="624" w:type="pct"/>
          </w:tcPr>
          <w:p w:rsidR="001F723F" w:rsidRDefault="000E68B0">
            <w:pPr>
              <w:pStyle w:val="Tabletext0"/>
              <w:keepNext/>
              <w:jc w:val="right"/>
              <w:rPr>
                <w:rStyle w:val="Strong"/>
              </w:rPr>
            </w:pPr>
            <w:r>
              <w:rPr>
                <w:rStyle w:val="Strong"/>
              </w:rPr>
              <w:t>97.5</w:t>
            </w:r>
          </w:p>
        </w:tc>
      </w:tr>
    </w:tbl>
    <w:p w:rsidR="001F723F" w:rsidRDefault="000E68B0">
      <w:pPr>
        <w:pStyle w:val="FigureTableNoteSource"/>
      </w:pPr>
      <w:bookmarkStart w:id="68" w:name="_Toc369867484"/>
      <w:r>
        <w:t>Source: AIMS database</w:t>
      </w:r>
    </w:p>
    <w:p w:rsidR="001F723F" w:rsidRDefault="000E68B0">
      <w:pPr>
        <w:pStyle w:val="Caption"/>
      </w:pPr>
      <w:bookmarkStart w:id="69" w:name="_Ref15561926"/>
      <w:bookmarkStart w:id="70" w:name="_Toc16519520"/>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69"/>
      <w:r>
        <w:t xml:space="preserve"> Composition analytical test, product compliance rates, 2018</w:t>
      </w:r>
      <w:bookmarkEnd w:id="70"/>
    </w:p>
    <w:tbl>
      <w:tblPr>
        <w:tblW w:w="5000" w:type="pct"/>
        <w:jc w:val="center"/>
        <w:tblBorders>
          <w:top w:val="single" w:sz="4" w:space="0" w:color="auto"/>
          <w:bottom w:val="single" w:sz="4" w:space="0" w:color="auto"/>
        </w:tblBorders>
        <w:tblLook w:val="04A0" w:firstRow="1" w:lastRow="0" w:firstColumn="1" w:lastColumn="0" w:noHBand="0" w:noVBand="1"/>
      </w:tblPr>
      <w:tblGrid>
        <w:gridCol w:w="1663"/>
        <w:gridCol w:w="2023"/>
        <w:gridCol w:w="1417"/>
        <w:gridCol w:w="1277"/>
        <w:gridCol w:w="1558"/>
        <w:gridCol w:w="1132"/>
      </w:tblGrid>
      <w:tr w:rsidR="001F723F">
        <w:trPr>
          <w:cantSplit/>
          <w:tblHeader/>
          <w:jc w:val="center"/>
        </w:trPr>
        <w:tc>
          <w:tcPr>
            <w:tcW w:w="917" w:type="pct"/>
            <w:shd w:val="clear" w:color="auto" w:fill="auto"/>
          </w:tcPr>
          <w:p w:rsidR="001F723F" w:rsidRDefault="000E68B0">
            <w:pPr>
              <w:pStyle w:val="Tableheading0"/>
            </w:pPr>
            <w:r>
              <w:t>Microbial agent</w:t>
            </w:r>
          </w:p>
        </w:tc>
        <w:tc>
          <w:tcPr>
            <w:tcW w:w="1115" w:type="pct"/>
          </w:tcPr>
          <w:p w:rsidR="001F723F" w:rsidRDefault="000E68B0">
            <w:pPr>
              <w:pStyle w:val="Tableheading0"/>
              <w:jc w:val="both"/>
            </w:pPr>
            <w:r>
              <w:t>Food type</w:t>
            </w:r>
          </w:p>
        </w:tc>
        <w:tc>
          <w:tcPr>
            <w:tcW w:w="781" w:type="pct"/>
          </w:tcPr>
          <w:p w:rsidR="001F723F" w:rsidRDefault="000E68B0">
            <w:pPr>
              <w:pStyle w:val="Tableheading0"/>
              <w:jc w:val="right"/>
            </w:pPr>
            <w:r>
              <w:t>Tests applied (no.)</w:t>
            </w:r>
          </w:p>
        </w:tc>
        <w:tc>
          <w:tcPr>
            <w:tcW w:w="704" w:type="pct"/>
            <w:shd w:val="clear" w:color="auto" w:fill="auto"/>
          </w:tcPr>
          <w:p w:rsidR="001F723F" w:rsidRDefault="000E68B0">
            <w:pPr>
              <w:pStyle w:val="Tableheading0"/>
              <w:jc w:val="right"/>
            </w:pPr>
            <w:r>
              <w:t>Compliant (no.)</w:t>
            </w:r>
          </w:p>
        </w:tc>
        <w:tc>
          <w:tcPr>
            <w:tcW w:w="859" w:type="pct"/>
          </w:tcPr>
          <w:p w:rsidR="001F723F" w:rsidRDefault="000E68B0">
            <w:pPr>
              <w:pStyle w:val="Tableheading0"/>
              <w:jc w:val="right"/>
            </w:pPr>
            <w:r>
              <w:t>Non-compliant (no.)</w:t>
            </w:r>
          </w:p>
        </w:tc>
        <w:tc>
          <w:tcPr>
            <w:tcW w:w="624" w:type="pct"/>
          </w:tcPr>
          <w:p w:rsidR="001F723F" w:rsidRDefault="000E68B0">
            <w:pPr>
              <w:pStyle w:val="Tableheading0"/>
              <w:jc w:val="right"/>
            </w:pPr>
            <w:r>
              <w:t>Compliant (%)</w:t>
            </w:r>
          </w:p>
        </w:tc>
      </w:tr>
      <w:tr w:rsidR="001F723F">
        <w:trPr>
          <w:cantSplit/>
          <w:tblHeader/>
          <w:jc w:val="center"/>
        </w:trPr>
        <w:tc>
          <w:tcPr>
            <w:tcW w:w="917" w:type="pct"/>
            <w:shd w:val="clear" w:color="auto" w:fill="auto"/>
            <w:vAlign w:val="center"/>
          </w:tcPr>
          <w:p w:rsidR="001F723F" w:rsidRDefault="000E68B0">
            <w:pPr>
              <w:pStyle w:val="Tabletext0"/>
            </w:pPr>
            <w:r>
              <w:t>Allergen – Dairy</w:t>
            </w:r>
          </w:p>
        </w:tc>
        <w:tc>
          <w:tcPr>
            <w:tcW w:w="1115" w:type="pct"/>
          </w:tcPr>
          <w:p w:rsidR="001F723F" w:rsidRDefault="000E68B0">
            <w:pPr>
              <w:pStyle w:val="Tabletext0"/>
            </w:pPr>
            <w:r>
              <w:t>Coconut drinks and coconut powders</w:t>
            </w:r>
          </w:p>
        </w:tc>
        <w:tc>
          <w:tcPr>
            <w:tcW w:w="781" w:type="pct"/>
            <w:vAlign w:val="center"/>
          </w:tcPr>
          <w:p w:rsidR="001F723F" w:rsidRDefault="000E68B0">
            <w:pPr>
              <w:pStyle w:val="Tabletext0"/>
              <w:jc w:val="right"/>
            </w:pPr>
            <w:r>
              <w:t>19</w:t>
            </w:r>
          </w:p>
        </w:tc>
        <w:tc>
          <w:tcPr>
            <w:tcW w:w="704" w:type="pct"/>
            <w:shd w:val="clear" w:color="auto" w:fill="auto"/>
            <w:vAlign w:val="center"/>
          </w:tcPr>
          <w:p w:rsidR="001F723F" w:rsidRDefault="000E68B0">
            <w:pPr>
              <w:pStyle w:val="Tabletext0"/>
              <w:jc w:val="right"/>
            </w:pPr>
            <w:r>
              <w:t>19</w:t>
            </w:r>
          </w:p>
        </w:tc>
        <w:tc>
          <w:tcPr>
            <w:tcW w:w="859" w:type="pct"/>
            <w:vAlign w:val="center"/>
          </w:tcPr>
          <w:p w:rsidR="001F723F" w:rsidRDefault="000E68B0">
            <w:pPr>
              <w:pStyle w:val="Tabletext0"/>
              <w:jc w:val="right"/>
            </w:pPr>
            <w:r>
              <w:t>0</w:t>
            </w:r>
          </w:p>
        </w:tc>
        <w:tc>
          <w:tcPr>
            <w:tcW w:w="624" w:type="pct"/>
            <w:vAlign w:val="center"/>
          </w:tcPr>
          <w:p w:rsidR="001F723F" w:rsidRDefault="000E68B0">
            <w:pPr>
              <w:pStyle w:val="Tabletext0"/>
              <w:jc w:val="right"/>
            </w:pPr>
            <w:r>
              <w:t>100</w:t>
            </w:r>
          </w:p>
        </w:tc>
      </w:tr>
      <w:tr w:rsidR="001F723F">
        <w:trPr>
          <w:cantSplit/>
          <w:tblHeader/>
          <w:jc w:val="center"/>
        </w:trPr>
        <w:tc>
          <w:tcPr>
            <w:tcW w:w="917" w:type="pct"/>
            <w:shd w:val="clear" w:color="auto" w:fill="auto"/>
            <w:vAlign w:val="center"/>
          </w:tcPr>
          <w:p w:rsidR="001F723F" w:rsidRDefault="000E68B0">
            <w:pPr>
              <w:pStyle w:val="Tabletext0"/>
            </w:pPr>
            <w:r>
              <w:t>C4 adulteration</w:t>
            </w:r>
          </w:p>
        </w:tc>
        <w:tc>
          <w:tcPr>
            <w:tcW w:w="1115" w:type="pct"/>
          </w:tcPr>
          <w:p w:rsidR="001F723F" w:rsidRDefault="000E68B0">
            <w:pPr>
              <w:pStyle w:val="Tabletext0"/>
            </w:pPr>
            <w:r>
              <w:t>Honey</w:t>
            </w:r>
          </w:p>
        </w:tc>
        <w:tc>
          <w:tcPr>
            <w:tcW w:w="781" w:type="pct"/>
            <w:vAlign w:val="center"/>
          </w:tcPr>
          <w:p w:rsidR="001F723F" w:rsidRDefault="000E68B0">
            <w:pPr>
              <w:pStyle w:val="Tabletext0"/>
              <w:jc w:val="right"/>
            </w:pPr>
            <w:r>
              <w:t>25</w:t>
            </w:r>
          </w:p>
        </w:tc>
        <w:tc>
          <w:tcPr>
            <w:tcW w:w="704" w:type="pct"/>
            <w:shd w:val="clear" w:color="auto" w:fill="auto"/>
            <w:vAlign w:val="center"/>
          </w:tcPr>
          <w:p w:rsidR="001F723F" w:rsidRDefault="000E68B0">
            <w:pPr>
              <w:pStyle w:val="Tabletext0"/>
              <w:jc w:val="right"/>
            </w:pPr>
            <w:r>
              <w:t>25</w:t>
            </w:r>
          </w:p>
        </w:tc>
        <w:tc>
          <w:tcPr>
            <w:tcW w:w="859" w:type="pct"/>
            <w:vAlign w:val="center"/>
          </w:tcPr>
          <w:p w:rsidR="001F723F" w:rsidRDefault="000E68B0">
            <w:pPr>
              <w:pStyle w:val="Tabletext0"/>
              <w:jc w:val="right"/>
            </w:pPr>
            <w:r>
              <w:t>0</w:t>
            </w:r>
          </w:p>
        </w:tc>
        <w:tc>
          <w:tcPr>
            <w:tcW w:w="624" w:type="pct"/>
            <w:vAlign w:val="center"/>
          </w:tcPr>
          <w:p w:rsidR="001F723F" w:rsidRDefault="000E68B0">
            <w:pPr>
              <w:pStyle w:val="Tabletext0"/>
              <w:jc w:val="right"/>
            </w:pPr>
            <w:r>
              <w:t>100</w:t>
            </w:r>
          </w:p>
        </w:tc>
      </w:tr>
      <w:tr w:rsidR="001F723F">
        <w:trPr>
          <w:cantSplit/>
          <w:tblHeader/>
          <w:jc w:val="center"/>
        </w:trPr>
        <w:tc>
          <w:tcPr>
            <w:tcW w:w="917" w:type="pct"/>
            <w:shd w:val="clear" w:color="auto" w:fill="auto"/>
            <w:vAlign w:val="center"/>
          </w:tcPr>
          <w:p w:rsidR="001F723F" w:rsidRDefault="000E68B0">
            <w:pPr>
              <w:pStyle w:val="Tabletext0"/>
            </w:pPr>
            <w:r>
              <w:t>Moisture content</w:t>
            </w:r>
          </w:p>
        </w:tc>
        <w:tc>
          <w:tcPr>
            <w:tcW w:w="1115" w:type="pct"/>
          </w:tcPr>
          <w:p w:rsidR="001F723F" w:rsidRDefault="000E68B0">
            <w:pPr>
              <w:pStyle w:val="Tabletext0"/>
            </w:pPr>
            <w:r>
              <w:t>Honey</w:t>
            </w:r>
          </w:p>
        </w:tc>
        <w:tc>
          <w:tcPr>
            <w:tcW w:w="781" w:type="pct"/>
            <w:vAlign w:val="center"/>
          </w:tcPr>
          <w:p w:rsidR="001F723F" w:rsidRDefault="000E68B0">
            <w:pPr>
              <w:pStyle w:val="Tabletext0"/>
              <w:jc w:val="right"/>
            </w:pPr>
            <w:r>
              <w:t>25</w:t>
            </w:r>
          </w:p>
        </w:tc>
        <w:tc>
          <w:tcPr>
            <w:tcW w:w="704" w:type="pct"/>
            <w:shd w:val="clear" w:color="auto" w:fill="auto"/>
            <w:vAlign w:val="center"/>
          </w:tcPr>
          <w:p w:rsidR="001F723F" w:rsidRDefault="000E68B0">
            <w:pPr>
              <w:pStyle w:val="Tabletext0"/>
              <w:jc w:val="right"/>
            </w:pPr>
            <w:r>
              <w:t>25</w:t>
            </w:r>
          </w:p>
        </w:tc>
        <w:tc>
          <w:tcPr>
            <w:tcW w:w="859" w:type="pct"/>
            <w:vAlign w:val="center"/>
          </w:tcPr>
          <w:p w:rsidR="001F723F" w:rsidRDefault="000E68B0">
            <w:pPr>
              <w:pStyle w:val="Tabletext0"/>
              <w:jc w:val="right"/>
            </w:pPr>
            <w:r>
              <w:t>0</w:t>
            </w:r>
          </w:p>
        </w:tc>
        <w:tc>
          <w:tcPr>
            <w:tcW w:w="624" w:type="pct"/>
            <w:vAlign w:val="center"/>
          </w:tcPr>
          <w:p w:rsidR="001F723F" w:rsidRDefault="000E68B0">
            <w:pPr>
              <w:pStyle w:val="Tabletext0"/>
              <w:jc w:val="right"/>
            </w:pPr>
            <w:r>
              <w:t>100</w:t>
            </w:r>
          </w:p>
        </w:tc>
      </w:tr>
      <w:tr w:rsidR="001F723F">
        <w:trPr>
          <w:cantSplit/>
          <w:tblHeader/>
          <w:jc w:val="center"/>
        </w:trPr>
        <w:tc>
          <w:tcPr>
            <w:tcW w:w="917" w:type="pct"/>
            <w:shd w:val="clear" w:color="auto" w:fill="auto"/>
            <w:vAlign w:val="center"/>
          </w:tcPr>
          <w:p w:rsidR="001F723F" w:rsidRDefault="000E68B0">
            <w:pPr>
              <w:pStyle w:val="Tabletext0"/>
            </w:pPr>
            <w:r>
              <w:t>Reducing sugar content</w:t>
            </w:r>
          </w:p>
        </w:tc>
        <w:tc>
          <w:tcPr>
            <w:tcW w:w="1115" w:type="pct"/>
          </w:tcPr>
          <w:p w:rsidR="001F723F" w:rsidRDefault="000E68B0">
            <w:pPr>
              <w:pStyle w:val="Tabletext0"/>
            </w:pPr>
            <w:r>
              <w:t>Honey</w:t>
            </w:r>
          </w:p>
        </w:tc>
        <w:tc>
          <w:tcPr>
            <w:tcW w:w="781" w:type="pct"/>
            <w:vAlign w:val="center"/>
          </w:tcPr>
          <w:p w:rsidR="001F723F" w:rsidRDefault="000E68B0">
            <w:pPr>
              <w:pStyle w:val="Tabletext0"/>
              <w:jc w:val="right"/>
            </w:pPr>
            <w:r>
              <w:t>25</w:t>
            </w:r>
          </w:p>
        </w:tc>
        <w:tc>
          <w:tcPr>
            <w:tcW w:w="704" w:type="pct"/>
            <w:shd w:val="clear" w:color="auto" w:fill="auto"/>
            <w:vAlign w:val="center"/>
          </w:tcPr>
          <w:p w:rsidR="001F723F" w:rsidRDefault="000E68B0">
            <w:pPr>
              <w:pStyle w:val="Tabletext0"/>
              <w:jc w:val="right"/>
            </w:pPr>
            <w:r>
              <w:t>25</w:t>
            </w:r>
          </w:p>
        </w:tc>
        <w:tc>
          <w:tcPr>
            <w:tcW w:w="859" w:type="pct"/>
            <w:vAlign w:val="center"/>
          </w:tcPr>
          <w:p w:rsidR="001F723F" w:rsidRDefault="000E68B0">
            <w:pPr>
              <w:pStyle w:val="Tabletext0"/>
              <w:jc w:val="right"/>
            </w:pPr>
            <w:r>
              <w:t>0</w:t>
            </w:r>
          </w:p>
        </w:tc>
        <w:tc>
          <w:tcPr>
            <w:tcW w:w="624" w:type="pct"/>
            <w:vAlign w:val="center"/>
          </w:tcPr>
          <w:p w:rsidR="001F723F" w:rsidRDefault="000E68B0">
            <w:pPr>
              <w:pStyle w:val="Tabletext0"/>
              <w:jc w:val="right"/>
            </w:pPr>
            <w:r>
              <w:t>100</w:t>
            </w:r>
          </w:p>
        </w:tc>
      </w:tr>
      <w:tr w:rsidR="001F723F">
        <w:trPr>
          <w:cantSplit/>
          <w:tblHeader/>
          <w:jc w:val="center"/>
        </w:trPr>
        <w:tc>
          <w:tcPr>
            <w:tcW w:w="917" w:type="pct"/>
            <w:shd w:val="clear" w:color="auto" w:fill="auto"/>
            <w:vAlign w:val="center"/>
          </w:tcPr>
          <w:p w:rsidR="001F723F" w:rsidRDefault="000E68B0">
            <w:pPr>
              <w:pStyle w:val="Tabletext0"/>
              <w:rPr>
                <w:rStyle w:val="Strong"/>
              </w:rPr>
            </w:pPr>
            <w:r>
              <w:rPr>
                <w:rStyle w:val="Strong"/>
              </w:rPr>
              <w:t>Total</w:t>
            </w:r>
          </w:p>
        </w:tc>
        <w:tc>
          <w:tcPr>
            <w:tcW w:w="1115" w:type="pct"/>
          </w:tcPr>
          <w:p w:rsidR="001F723F" w:rsidRDefault="000E68B0">
            <w:pPr>
              <w:pStyle w:val="Tabletext0"/>
              <w:rPr>
                <w:rStyle w:val="Strong"/>
              </w:rPr>
            </w:pPr>
            <w:r>
              <w:rPr>
                <w:rStyle w:val="Strong"/>
              </w:rPr>
              <w:t>–</w:t>
            </w:r>
          </w:p>
        </w:tc>
        <w:tc>
          <w:tcPr>
            <w:tcW w:w="781" w:type="pct"/>
          </w:tcPr>
          <w:p w:rsidR="001F723F" w:rsidRDefault="000E68B0">
            <w:pPr>
              <w:pStyle w:val="Tabletext0"/>
              <w:jc w:val="right"/>
              <w:rPr>
                <w:rStyle w:val="Strong"/>
              </w:rPr>
            </w:pPr>
            <w:r>
              <w:rPr>
                <w:rStyle w:val="Strong"/>
              </w:rPr>
              <w:t>94</w:t>
            </w:r>
          </w:p>
        </w:tc>
        <w:tc>
          <w:tcPr>
            <w:tcW w:w="704" w:type="pct"/>
            <w:shd w:val="clear" w:color="auto" w:fill="auto"/>
          </w:tcPr>
          <w:p w:rsidR="001F723F" w:rsidRDefault="000E68B0">
            <w:pPr>
              <w:pStyle w:val="Tabletext0"/>
              <w:jc w:val="right"/>
              <w:rPr>
                <w:rStyle w:val="Strong"/>
              </w:rPr>
            </w:pPr>
            <w:r>
              <w:rPr>
                <w:rStyle w:val="Strong"/>
              </w:rPr>
              <w:t>94</w:t>
            </w:r>
          </w:p>
        </w:tc>
        <w:tc>
          <w:tcPr>
            <w:tcW w:w="859" w:type="pct"/>
          </w:tcPr>
          <w:p w:rsidR="001F723F" w:rsidRDefault="000E68B0">
            <w:pPr>
              <w:pStyle w:val="Tabletext0"/>
              <w:jc w:val="right"/>
              <w:rPr>
                <w:rStyle w:val="Strong"/>
              </w:rPr>
            </w:pPr>
            <w:r>
              <w:rPr>
                <w:rStyle w:val="Strong"/>
              </w:rPr>
              <w:t>0</w:t>
            </w:r>
          </w:p>
        </w:tc>
        <w:tc>
          <w:tcPr>
            <w:tcW w:w="624" w:type="pct"/>
          </w:tcPr>
          <w:p w:rsidR="001F723F" w:rsidRDefault="000E68B0">
            <w:pPr>
              <w:pStyle w:val="Tabletext0"/>
              <w:jc w:val="right"/>
              <w:rPr>
                <w:rStyle w:val="Strong"/>
              </w:rPr>
            </w:pPr>
            <w:r>
              <w:rPr>
                <w:rStyle w:val="Strong"/>
              </w:rPr>
              <w:t>100</w:t>
            </w:r>
          </w:p>
        </w:tc>
      </w:tr>
    </w:tbl>
    <w:p w:rsidR="001F723F" w:rsidRDefault="000E68B0">
      <w:pPr>
        <w:pStyle w:val="FigureTableNoteSource"/>
      </w:pPr>
      <w:r>
        <w:lastRenderedPageBreak/>
        <w:t>Source: AIMS database</w:t>
      </w:r>
    </w:p>
    <w:p w:rsidR="001F723F" w:rsidRDefault="000E68B0">
      <w:pPr>
        <w:pStyle w:val="Caption"/>
      </w:pPr>
      <w:bookmarkStart w:id="71" w:name="_Ref15561941"/>
      <w:bookmarkStart w:id="72" w:name="_Toc520880960"/>
      <w:bookmarkStart w:id="73" w:name="_Toc520814505"/>
      <w:bookmarkStart w:id="74" w:name="_Toc16519521"/>
      <w: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71"/>
      <w:r>
        <w:t xml:space="preserve"> Contaminant test, product compliance rates, </w:t>
      </w:r>
      <w:bookmarkEnd w:id="72"/>
      <w:r>
        <w:t>201</w:t>
      </w:r>
      <w:bookmarkEnd w:id="68"/>
      <w:bookmarkEnd w:id="73"/>
      <w:r>
        <w:t>8</w:t>
      </w:r>
      <w:bookmarkEnd w:id="74"/>
    </w:p>
    <w:tbl>
      <w:tblPr>
        <w:tblW w:w="5000" w:type="pct"/>
        <w:jc w:val="center"/>
        <w:tblBorders>
          <w:top w:val="single" w:sz="4" w:space="0" w:color="auto"/>
          <w:bottom w:val="single" w:sz="4" w:space="0" w:color="auto"/>
        </w:tblBorders>
        <w:tblLook w:val="04A0" w:firstRow="1" w:lastRow="0" w:firstColumn="1" w:lastColumn="0" w:noHBand="0" w:noVBand="1"/>
      </w:tblPr>
      <w:tblGrid>
        <w:gridCol w:w="1507"/>
        <w:gridCol w:w="2179"/>
        <w:gridCol w:w="1417"/>
        <w:gridCol w:w="1277"/>
        <w:gridCol w:w="1558"/>
        <w:gridCol w:w="1132"/>
      </w:tblGrid>
      <w:tr w:rsidR="001F723F">
        <w:trPr>
          <w:cantSplit/>
          <w:tblHeader/>
          <w:jc w:val="center"/>
        </w:trPr>
        <w:tc>
          <w:tcPr>
            <w:tcW w:w="831" w:type="pct"/>
            <w:shd w:val="clear" w:color="auto" w:fill="auto"/>
          </w:tcPr>
          <w:p w:rsidR="001F723F" w:rsidRDefault="000E68B0">
            <w:pPr>
              <w:pStyle w:val="Tableheading0"/>
            </w:pPr>
            <w:r>
              <w:t>Contaminant</w:t>
            </w:r>
          </w:p>
        </w:tc>
        <w:tc>
          <w:tcPr>
            <w:tcW w:w="1201" w:type="pct"/>
          </w:tcPr>
          <w:p w:rsidR="001F723F" w:rsidRDefault="000E68B0">
            <w:pPr>
              <w:pStyle w:val="Tableheading0"/>
            </w:pPr>
            <w:r>
              <w:t>Food type</w:t>
            </w:r>
          </w:p>
        </w:tc>
        <w:tc>
          <w:tcPr>
            <w:tcW w:w="781" w:type="pct"/>
          </w:tcPr>
          <w:p w:rsidR="001F723F" w:rsidRDefault="000E68B0">
            <w:pPr>
              <w:pStyle w:val="Tableheading0"/>
              <w:jc w:val="right"/>
            </w:pPr>
            <w:r>
              <w:t>Tests applied (no.)</w:t>
            </w:r>
          </w:p>
        </w:tc>
        <w:tc>
          <w:tcPr>
            <w:tcW w:w="704" w:type="pct"/>
            <w:shd w:val="clear" w:color="auto" w:fill="auto"/>
          </w:tcPr>
          <w:p w:rsidR="001F723F" w:rsidRDefault="000E68B0">
            <w:pPr>
              <w:pStyle w:val="Tableheading0"/>
              <w:jc w:val="right"/>
            </w:pPr>
            <w:r>
              <w:t>Compliant (no.)</w:t>
            </w:r>
          </w:p>
        </w:tc>
        <w:tc>
          <w:tcPr>
            <w:tcW w:w="859" w:type="pct"/>
          </w:tcPr>
          <w:p w:rsidR="001F723F" w:rsidRDefault="000E68B0">
            <w:pPr>
              <w:pStyle w:val="Tableheading0"/>
              <w:jc w:val="right"/>
            </w:pPr>
            <w:r>
              <w:t>Non-compliant (no.)</w:t>
            </w:r>
          </w:p>
        </w:tc>
        <w:tc>
          <w:tcPr>
            <w:tcW w:w="624" w:type="pct"/>
          </w:tcPr>
          <w:p w:rsidR="001F723F" w:rsidRDefault="000E68B0">
            <w:pPr>
              <w:pStyle w:val="Tableheading0"/>
              <w:jc w:val="right"/>
            </w:pPr>
            <w:r>
              <w:t>Compliant (%)</w:t>
            </w:r>
          </w:p>
        </w:tc>
      </w:tr>
      <w:tr w:rsidR="001F723F">
        <w:trPr>
          <w:cantSplit/>
          <w:jc w:val="center"/>
        </w:trPr>
        <w:tc>
          <w:tcPr>
            <w:tcW w:w="831" w:type="pct"/>
            <w:shd w:val="clear" w:color="auto" w:fill="auto"/>
            <w:vAlign w:val="center"/>
          </w:tcPr>
          <w:p w:rsidR="001F723F" w:rsidRDefault="000E68B0">
            <w:pPr>
              <w:pStyle w:val="Tabletext0"/>
            </w:pPr>
            <w:r>
              <w:t>Aflatoxins</w:t>
            </w:r>
          </w:p>
        </w:tc>
        <w:tc>
          <w:tcPr>
            <w:tcW w:w="1201" w:type="pct"/>
          </w:tcPr>
          <w:p w:rsidR="001F723F" w:rsidRDefault="000E68B0">
            <w:pPr>
              <w:pStyle w:val="Tabletext0"/>
            </w:pPr>
            <w:r>
              <w:t>Nuts</w:t>
            </w:r>
          </w:p>
        </w:tc>
        <w:tc>
          <w:tcPr>
            <w:tcW w:w="781" w:type="pct"/>
            <w:vAlign w:val="bottom"/>
          </w:tcPr>
          <w:p w:rsidR="001F723F" w:rsidRDefault="000E68B0">
            <w:pPr>
              <w:pStyle w:val="Tabletext0"/>
              <w:jc w:val="right"/>
            </w:pPr>
            <w:r>
              <w:t>952</w:t>
            </w:r>
          </w:p>
        </w:tc>
        <w:tc>
          <w:tcPr>
            <w:tcW w:w="704" w:type="pct"/>
            <w:shd w:val="clear" w:color="auto" w:fill="auto"/>
            <w:vAlign w:val="bottom"/>
          </w:tcPr>
          <w:p w:rsidR="001F723F" w:rsidRDefault="000E68B0">
            <w:pPr>
              <w:pStyle w:val="Tabletext0"/>
              <w:jc w:val="right"/>
            </w:pPr>
            <w:r>
              <w:t>916</w:t>
            </w:r>
          </w:p>
        </w:tc>
        <w:tc>
          <w:tcPr>
            <w:tcW w:w="859" w:type="pct"/>
            <w:vAlign w:val="bottom"/>
          </w:tcPr>
          <w:p w:rsidR="001F723F" w:rsidRDefault="000E68B0">
            <w:pPr>
              <w:pStyle w:val="Tabletext0"/>
              <w:jc w:val="right"/>
            </w:pPr>
            <w:r>
              <w:t>36</w:t>
            </w:r>
          </w:p>
        </w:tc>
        <w:tc>
          <w:tcPr>
            <w:tcW w:w="624" w:type="pct"/>
            <w:vAlign w:val="center"/>
          </w:tcPr>
          <w:p w:rsidR="001F723F" w:rsidRDefault="000E68B0">
            <w:pPr>
              <w:pStyle w:val="Tabletext0"/>
              <w:jc w:val="right"/>
            </w:pPr>
            <w:r>
              <w:t>96.2</w:t>
            </w:r>
          </w:p>
        </w:tc>
      </w:tr>
      <w:tr w:rsidR="001F723F">
        <w:trPr>
          <w:cantSplit/>
          <w:jc w:val="center"/>
        </w:trPr>
        <w:tc>
          <w:tcPr>
            <w:tcW w:w="831" w:type="pct"/>
            <w:shd w:val="clear" w:color="auto" w:fill="auto"/>
            <w:vAlign w:val="center"/>
          </w:tcPr>
          <w:p w:rsidR="001F723F" w:rsidRDefault="000E68B0">
            <w:pPr>
              <w:pStyle w:val="Tabletext0"/>
            </w:pPr>
            <w:r>
              <w:t>Arsenic total</w:t>
            </w:r>
          </w:p>
        </w:tc>
        <w:tc>
          <w:tcPr>
            <w:tcW w:w="1201" w:type="pct"/>
          </w:tcPr>
          <w:p w:rsidR="001F723F" w:rsidRDefault="000E68B0">
            <w:pPr>
              <w:pStyle w:val="Tabletext0"/>
            </w:pPr>
            <w:r>
              <w:t>Cereal grains, cereal flours and processed cereals</w:t>
            </w:r>
          </w:p>
        </w:tc>
        <w:tc>
          <w:tcPr>
            <w:tcW w:w="781" w:type="pct"/>
            <w:vAlign w:val="center"/>
          </w:tcPr>
          <w:p w:rsidR="001F723F" w:rsidRDefault="000E68B0">
            <w:pPr>
              <w:pStyle w:val="Tabletext0"/>
              <w:jc w:val="right"/>
            </w:pPr>
            <w:r>
              <w:t>962</w:t>
            </w:r>
          </w:p>
        </w:tc>
        <w:tc>
          <w:tcPr>
            <w:tcW w:w="704" w:type="pct"/>
            <w:shd w:val="clear" w:color="auto" w:fill="auto"/>
            <w:vAlign w:val="center"/>
          </w:tcPr>
          <w:p w:rsidR="001F723F" w:rsidRDefault="000E68B0">
            <w:pPr>
              <w:pStyle w:val="Tabletext0"/>
              <w:jc w:val="right"/>
            </w:pPr>
            <w:r>
              <w:t>962</w:t>
            </w:r>
          </w:p>
        </w:tc>
        <w:tc>
          <w:tcPr>
            <w:tcW w:w="859" w:type="pct"/>
            <w:vAlign w:val="center"/>
          </w:tcPr>
          <w:p w:rsidR="001F723F" w:rsidRDefault="000E68B0">
            <w:pPr>
              <w:pStyle w:val="Tabletext0"/>
              <w:jc w:val="right"/>
            </w:pPr>
            <w:r>
              <w:t>0</w:t>
            </w:r>
          </w:p>
        </w:tc>
        <w:tc>
          <w:tcPr>
            <w:tcW w:w="624" w:type="pct"/>
            <w:vAlign w:val="center"/>
          </w:tcPr>
          <w:p w:rsidR="001F723F" w:rsidRDefault="000E68B0">
            <w:pPr>
              <w:pStyle w:val="Tabletext0"/>
              <w:jc w:val="right"/>
            </w:pPr>
            <w:r>
              <w:t>100</w:t>
            </w:r>
          </w:p>
        </w:tc>
      </w:tr>
      <w:tr w:rsidR="001F723F">
        <w:trPr>
          <w:cantSplit/>
          <w:jc w:val="center"/>
        </w:trPr>
        <w:tc>
          <w:tcPr>
            <w:tcW w:w="831" w:type="pct"/>
            <w:shd w:val="clear" w:color="auto" w:fill="auto"/>
            <w:vAlign w:val="center"/>
          </w:tcPr>
          <w:p w:rsidR="001F723F" w:rsidRDefault="000E68B0">
            <w:pPr>
              <w:pStyle w:val="Tabletext0"/>
            </w:pPr>
            <w:proofErr w:type="spellStart"/>
            <w:r>
              <w:t>Buprofezin</w:t>
            </w:r>
            <w:proofErr w:type="spellEnd"/>
            <w:r>
              <w:t xml:space="preserve"> </w:t>
            </w:r>
            <w:r>
              <w:rPr>
                <w:rStyle w:val="Strong"/>
              </w:rPr>
              <w:t>a</w:t>
            </w:r>
          </w:p>
        </w:tc>
        <w:tc>
          <w:tcPr>
            <w:tcW w:w="1201" w:type="pct"/>
          </w:tcPr>
          <w:p w:rsidR="001F723F" w:rsidRDefault="000E68B0">
            <w:pPr>
              <w:pStyle w:val="Tabletext0"/>
            </w:pPr>
            <w:r>
              <w:t>Rice</w:t>
            </w:r>
          </w:p>
        </w:tc>
        <w:tc>
          <w:tcPr>
            <w:tcW w:w="781" w:type="pct"/>
            <w:vAlign w:val="bottom"/>
          </w:tcPr>
          <w:p w:rsidR="001F723F" w:rsidRDefault="000E68B0">
            <w:pPr>
              <w:pStyle w:val="Tabletext0"/>
              <w:jc w:val="right"/>
            </w:pPr>
            <w:r>
              <w:t>1</w:t>
            </w:r>
          </w:p>
        </w:tc>
        <w:tc>
          <w:tcPr>
            <w:tcW w:w="704" w:type="pct"/>
            <w:shd w:val="clear" w:color="auto" w:fill="auto"/>
            <w:vAlign w:val="bottom"/>
          </w:tcPr>
          <w:p w:rsidR="001F723F" w:rsidRDefault="000E68B0">
            <w:pPr>
              <w:pStyle w:val="Tabletext0"/>
              <w:jc w:val="right"/>
            </w:pPr>
            <w:r>
              <w:t>0</w:t>
            </w:r>
          </w:p>
        </w:tc>
        <w:tc>
          <w:tcPr>
            <w:tcW w:w="859" w:type="pct"/>
            <w:vAlign w:val="bottom"/>
          </w:tcPr>
          <w:p w:rsidR="001F723F" w:rsidRDefault="000E68B0">
            <w:pPr>
              <w:pStyle w:val="Tabletext0"/>
              <w:jc w:val="right"/>
            </w:pPr>
            <w:r>
              <w:t>1</w:t>
            </w:r>
          </w:p>
        </w:tc>
        <w:tc>
          <w:tcPr>
            <w:tcW w:w="624" w:type="pct"/>
            <w:vAlign w:val="bottom"/>
          </w:tcPr>
          <w:p w:rsidR="001F723F" w:rsidRDefault="000E68B0">
            <w:pPr>
              <w:pStyle w:val="Tabletext0"/>
              <w:jc w:val="right"/>
            </w:pPr>
            <w:r>
              <w:t>0</w:t>
            </w:r>
          </w:p>
        </w:tc>
      </w:tr>
      <w:tr w:rsidR="001F723F">
        <w:trPr>
          <w:cantSplit/>
          <w:jc w:val="center"/>
        </w:trPr>
        <w:tc>
          <w:tcPr>
            <w:tcW w:w="831" w:type="pct"/>
            <w:shd w:val="clear" w:color="auto" w:fill="auto"/>
            <w:vAlign w:val="center"/>
          </w:tcPr>
          <w:p w:rsidR="001F723F" w:rsidRDefault="000E68B0">
            <w:pPr>
              <w:pStyle w:val="Tabletext0"/>
            </w:pPr>
            <w:r>
              <w:t>Carbon monoxide</w:t>
            </w:r>
          </w:p>
        </w:tc>
        <w:tc>
          <w:tcPr>
            <w:tcW w:w="1201" w:type="pct"/>
          </w:tcPr>
          <w:p w:rsidR="001F723F" w:rsidRDefault="000E68B0">
            <w:pPr>
              <w:pStyle w:val="Tabletext0"/>
            </w:pPr>
            <w:r>
              <w:t>Tuna and barramundi fillets</w:t>
            </w:r>
          </w:p>
        </w:tc>
        <w:tc>
          <w:tcPr>
            <w:tcW w:w="781" w:type="pct"/>
            <w:vAlign w:val="center"/>
          </w:tcPr>
          <w:p w:rsidR="001F723F" w:rsidRDefault="000E68B0">
            <w:pPr>
              <w:pStyle w:val="Tabletext0"/>
              <w:jc w:val="right"/>
            </w:pPr>
            <w:r>
              <w:t>18</w:t>
            </w:r>
          </w:p>
        </w:tc>
        <w:tc>
          <w:tcPr>
            <w:tcW w:w="704" w:type="pct"/>
            <w:shd w:val="clear" w:color="auto" w:fill="auto"/>
            <w:vAlign w:val="center"/>
          </w:tcPr>
          <w:p w:rsidR="001F723F" w:rsidRDefault="000E68B0">
            <w:pPr>
              <w:pStyle w:val="Tabletext0"/>
              <w:jc w:val="right"/>
            </w:pPr>
            <w:r>
              <w:t>13</w:t>
            </w:r>
          </w:p>
        </w:tc>
        <w:tc>
          <w:tcPr>
            <w:tcW w:w="859" w:type="pct"/>
            <w:vAlign w:val="center"/>
          </w:tcPr>
          <w:p w:rsidR="001F723F" w:rsidRDefault="000E68B0">
            <w:pPr>
              <w:pStyle w:val="Tabletext0"/>
              <w:jc w:val="right"/>
            </w:pPr>
            <w:r>
              <w:t>5</w:t>
            </w:r>
          </w:p>
        </w:tc>
        <w:tc>
          <w:tcPr>
            <w:tcW w:w="624" w:type="pct"/>
            <w:vAlign w:val="center"/>
          </w:tcPr>
          <w:p w:rsidR="001F723F" w:rsidRDefault="000E68B0">
            <w:pPr>
              <w:pStyle w:val="Tabletext0"/>
              <w:jc w:val="right"/>
            </w:pPr>
            <w:r>
              <w:t>72.2</w:t>
            </w:r>
          </w:p>
        </w:tc>
      </w:tr>
      <w:tr w:rsidR="001F723F">
        <w:trPr>
          <w:cantSplit/>
          <w:jc w:val="center"/>
        </w:trPr>
        <w:tc>
          <w:tcPr>
            <w:tcW w:w="831" w:type="pct"/>
            <w:shd w:val="clear" w:color="auto" w:fill="auto"/>
            <w:vAlign w:val="center"/>
          </w:tcPr>
          <w:p w:rsidR="001F723F" w:rsidRDefault="000E68B0">
            <w:pPr>
              <w:pStyle w:val="Tabletext0"/>
            </w:pPr>
            <w:proofErr w:type="spellStart"/>
            <w:r>
              <w:t>Domoic</w:t>
            </w:r>
            <w:proofErr w:type="spellEnd"/>
            <w:r>
              <w:t xml:space="preserve"> acid</w:t>
            </w:r>
          </w:p>
        </w:tc>
        <w:tc>
          <w:tcPr>
            <w:tcW w:w="1201" w:type="pct"/>
          </w:tcPr>
          <w:p w:rsidR="001F723F" w:rsidRDefault="000E68B0">
            <w:pPr>
              <w:pStyle w:val="Tabletext0"/>
            </w:pPr>
            <w:r>
              <w:t>Bivalve molluscs</w:t>
            </w:r>
          </w:p>
        </w:tc>
        <w:tc>
          <w:tcPr>
            <w:tcW w:w="781" w:type="pct"/>
            <w:vAlign w:val="bottom"/>
          </w:tcPr>
          <w:p w:rsidR="001F723F" w:rsidRDefault="000E68B0">
            <w:pPr>
              <w:pStyle w:val="Tabletext0"/>
              <w:jc w:val="right"/>
            </w:pPr>
            <w:r>
              <w:t>546</w:t>
            </w:r>
          </w:p>
        </w:tc>
        <w:tc>
          <w:tcPr>
            <w:tcW w:w="704" w:type="pct"/>
            <w:shd w:val="clear" w:color="auto" w:fill="auto"/>
            <w:vAlign w:val="bottom"/>
          </w:tcPr>
          <w:p w:rsidR="001F723F" w:rsidRDefault="000E68B0">
            <w:pPr>
              <w:pStyle w:val="Tabletext0"/>
              <w:jc w:val="right"/>
            </w:pPr>
            <w:r>
              <w:t>546</w:t>
            </w:r>
          </w:p>
        </w:tc>
        <w:tc>
          <w:tcPr>
            <w:tcW w:w="859" w:type="pct"/>
            <w:vAlign w:val="bottom"/>
          </w:tcPr>
          <w:p w:rsidR="001F723F" w:rsidRDefault="000E68B0">
            <w:pPr>
              <w:pStyle w:val="Tabletext0"/>
              <w:jc w:val="right"/>
            </w:pPr>
            <w:r>
              <w:t>0</w:t>
            </w:r>
          </w:p>
        </w:tc>
        <w:tc>
          <w:tcPr>
            <w:tcW w:w="624" w:type="pct"/>
            <w:vAlign w:val="bottom"/>
          </w:tcPr>
          <w:p w:rsidR="001F723F" w:rsidRDefault="000E68B0">
            <w:pPr>
              <w:pStyle w:val="Tabletext0"/>
              <w:jc w:val="right"/>
            </w:pPr>
            <w:r>
              <w:t>100</w:t>
            </w:r>
          </w:p>
        </w:tc>
      </w:tr>
      <w:tr w:rsidR="001F723F">
        <w:trPr>
          <w:cantSplit/>
          <w:jc w:val="center"/>
        </w:trPr>
        <w:tc>
          <w:tcPr>
            <w:tcW w:w="831" w:type="pct"/>
            <w:shd w:val="clear" w:color="auto" w:fill="auto"/>
            <w:vAlign w:val="center"/>
          </w:tcPr>
          <w:p w:rsidR="001F723F" w:rsidRDefault="000E68B0">
            <w:pPr>
              <w:pStyle w:val="Tabletext0"/>
            </w:pPr>
            <w:proofErr w:type="spellStart"/>
            <w:r>
              <w:t>Erucic</w:t>
            </w:r>
            <w:proofErr w:type="spellEnd"/>
            <w:r>
              <w:t xml:space="preserve"> acid</w:t>
            </w:r>
          </w:p>
        </w:tc>
        <w:tc>
          <w:tcPr>
            <w:tcW w:w="1201" w:type="pct"/>
          </w:tcPr>
          <w:p w:rsidR="001F723F" w:rsidRDefault="000E68B0">
            <w:pPr>
              <w:pStyle w:val="Tabletext0"/>
            </w:pPr>
            <w:r>
              <w:t>Edible plant oils</w:t>
            </w:r>
          </w:p>
        </w:tc>
        <w:tc>
          <w:tcPr>
            <w:tcW w:w="781" w:type="pct"/>
            <w:vAlign w:val="bottom"/>
          </w:tcPr>
          <w:p w:rsidR="001F723F" w:rsidRDefault="000E68B0">
            <w:pPr>
              <w:pStyle w:val="Tabletext0"/>
              <w:jc w:val="right"/>
            </w:pPr>
            <w:r>
              <w:t>445</w:t>
            </w:r>
          </w:p>
        </w:tc>
        <w:tc>
          <w:tcPr>
            <w:tcW w:w="704" w:type="pct"/>
            <w:shd w:val="clear" w:color="auto" w:fill="auto"/>
            <w:vAlign w:val="bottom"/>
          </w:tcPr>
          <w:p w:rsidR="001F723F" w:rsidRDefault="000E68B0">
            <w:pPr>
              <w:pStyle w:val="Tabletext0"/>
              <w:jc w:val="right"/>
            </w:pPr>
            <w:r>
              <w:t>445</w:t>
            </w:r>
          </w:p>
        </w:tc>
        <w:tc>
          <w:tcPr>
            <w:tcW w:w="859" w:type="pct"/>
            <w:vAlign w:val="bottom"/>
          </w:tcPr>
          <w:p w:rsidR="001F723F" w:rsidRDefault="000E68B0">
            <w:pPr>
              <w:pStyle w:val="Tabletext0"/>
              <w:jc w:val="right"/>
            </w:pPr>
            <w:r>
              <w:t>0</w:t>
            </w:r>
          </w:p>
        </w:tc>
        <w:tc>
          <w:tcPr>
            <w:tcW w:w="624" w:type="pct"/>
            <w:vAlign w:val="bottom"/>
          </w:tcPr>
          <w:p w:rsidR="001F723F" w:rsidRDefault="000E68B0">
            <w:pPr>
              <w:pStyle w:val="Tabletext0"/>
              <w:jc w:val="right"/>
            </w:pPr>
            <w:r>
              <w:t>100</w:t>
            </w:r>
          </w:p>
        </w:tc>
      </w:tr>
      <w:tr w:rsidR="001F723F">
        <w:trPr>
          <w:cantSplit/>
          <w:jc w:val="center"/>
        </w:trPr>
        <w:tc>
          <w:tcPr>
            <w:tcW w:w="831" w:type="pct"/>
            <w:shd w:val="clear" w:color="auto" w:fill="auto"/>
            <w:vAlign w:val="center"/>
          </w:tcPr>
          <w:p w:rsidR="001F723F" w:rsidRDefault="000E68B0">
            <w:pPr>
              <w:pStyle w:val="Tabletext0"/>
            </w:pPr>
            <w:r>
              <w:t>Histamine</w:t>
            </w:r>
          </w:p>
        </w:tc>
        <w:tc>
          <w:tcPr>
            <w:tcW w:w="1201" w:type="pct"/>
          </w:tcPr>
          <w:p w:rsidR="001F723F" w:rsidRDefault="000E68B0">
            <w:pPr>
              <w:pStyle w:val="Tabletext0"/>
            </w:pPr>
            <w:r>
              <w:t>Fish</w:t>
            </w:r>
          </w:p>
        </w:tc>
        <w:tc>
          <w:tcPr>
            <w:tcW w:w="781" w:type="pct"/>
            <w:vAlign w:val="bottom"/>
          </w:tcPr>
          <w:p w:rsidR="001F723F" w:rsidRDefault="000E68B0">
            <w:pPr>
              <w:pStyle w:val="Tabletext0"/>
              <w:jc w:val="right"/>
            </w:pPr>
            <w:r>
              <w:t>2,872</w:t>
            </w:r>
          </w:p>
        </w:tc>
        <w:tc>
          <w:tcPr>
            <w:tcW w:w="704" w:type="pct"/>
            <w:shd w:val="clear" w:color="auto" w:fill="auto"/>
            <w:vAlign w:val="bottom"/>
          </w:tcPr>
          <w:p w:rsidR="001F723F" w:rsidRDefault="000E68B0">
            <w:pPr>
              <w:pStyle w:val="Tabletext0"/>
              <w:jc w:val="right"/>
            </w:pPr>
            <w:r>
              <w:t>2,822</w:t>
            </w:r>
          </w:p>
        </w:tc>
        <w:tc>
          <w:tcPr>
            <w:tcW w:w="859" w:type="pct"/>
            <w:vAlign w:val="bottom"/>
          </w:tcPr>
          <w:p w:rsidR="001F723F" w:rsidRDefault="000E68B0">
            <w:pPr>
              <w:pStyle w:val="Tabletext0"/>
              <w:jc w:val="right"/>
            </w:pPr>
            <w:r>
              <w:t>50</w:t>
            </w:r>
          </w:p>
        </w:tc>
        <w:tc>
          <w:tcPr>
            <w:tcW w:w="624" w:type="pct"/>
            <w:vAlign w:val="bottom"/>
          </w:tcPr>
          <w:p w:rsidR="001F723F" w:rsidRDefault="000E68B0">
            <w:pPr>
              <w:pStyle w:val="Tabletext0"/>
              <w:jc w:val="right"/>
            </w:pPr>
            <w:r>
              <w:t>98.3</w:t>
            </w:r>
          </w:p>
        </w:tc>
      </w:tr>
      <w:tr w:rsidR="001F723F">
        <w:trPr>
          <w:cantSplit/>
          <w:jc w:val="center"/>
        </w:trPr>
        <w:tc>
          <w:tcPr>
            <w:tcW w:w="831" w:type="pct"/>
            <w:shd w:val="clear" w:color="auto" w:fill="auto"/>
            <w:vAlign w:val="center"/>
          </w:tcPr>
          <w:p w:rsidR="001F723F" w:rsidRDefault="000E68B0">
            <w:pPr>
              <w:pStyle w:val="Tabletext0"/>
            </w:pPr>
            <w:r>
              <w:t>Hydrocyanic acid</w:t>
            </w:r>
          </w:p>
        </w:tc>
        <w:tc>
          <w:tcPr>
            <w:tcW w:w="1201" w:type="pct"/>
          </w:tcPr>
          <w:p w:rsidR="001F723F" w:rsidRDefault="000E68B0">
            <w:pPr>
              <w:pStyle w:val="Tabletext0"/>
            </w:pPr>
            <w:r>
              <w:t>Cassava chips</w:t>
            </w:r>
          </w:p>
        </w:tc>
        <w:tc>
          <w:tcPr>
            <w:tcW w:w="781" w:type="pct"/>
            <w:vAlign w:val="bottom"/>
          </w:tcPr>
          <w:p w:rsidR="001F723F" w:rsidRDefault="000E68B0">
            <w:pPr>
              <w:pStyle w:val="Tabletext0"/>
              <w:jc w:val="right"/>
            </w:pPr>
            <w:r>
              <w:t>74</w:t>
            </w:r>
          </w:p>
        </w:tc>
        <w:tc>
          <w:tcPr>
            <w:tcW w:w="704" w:type="pct"/>
            <w:shd w:val="clear" w:color="auto" w:fill="auto"/>
            <w:vAlign w:val="bottom"/>
          </w:tcPr>
          <w:p w:rsidR="001F723F" w:rsidRDefault="000E68B0">
            <w:pPr>
              <w:pStyle w:val="Tabletext0"/>
              <w:jc w:val="right"/>
            </w:pPr>
            <w:r>
              <w:t>69</w:t>
            </w:r>
          </w:p>
        </w:tc>
        <w:tc>
          <w:tcPr>
            <w:tcW w:w="859" w:type="pct"/>
            <w:vAlign w:val="bottom"/>
          </w:tcPr>
          <w:p w:rsidR="001F723F" w:rsidRDefault="000E68B0">
            <w:pPr>
              <w:pStyle w:val="Tabletext0"/>
              <w:jc w:val="right"/>
            </w:pPr>
            <w:r>
              <w:t>5</w:t>
            </w:r>
          </w:p>
        </w:tc>
        <w:tc>
          <w:tcPr>
            <w:tcW w:w="624" w:type="pct"/>
            <w:vAlign w:val="bottom"/>
          </w:tcPr>
          <w:p w:rsidR="001F723F" w:rsidRDefault="000E68B0">
            <w:pPr>
              <w:pStyle w:val="Tabletext0"/>
              <w:jc w:val="right"/>
            </w:pPr>
            <w:r>
              <w:t>93.2</w:t>
            </w:r>
          </w:p>
        </w:tc>
      </w:tr>
      <w:tr w:rsidR="001F723F">
        <w:trPr>
          <w:cantSplit/>
          <w:jc w:val="center"/>
        </w:trPr>
        <w:tc>
          <w:tcPr>
            <w:tcW w:w="831" w:type="pct"/>
            <w:shd w:val="clear" w:color="auto" w:fill="auto"/>
            <w:vAlign w:val="center"/>
          </w:tcPr>
          <w:p w:rsidR="001F723F" w:rsidRDefault="000E68B0">
            <w:pPr>
              <w:pStyle w:val="Tabletext0"/>
            </w:pPr>
            <w:r>
              <w:t>Inorganic arsenic</w:t>
            </w:r>
          </w:p>
        </w:tc>
        <w:tc>
          <w:tcPr>
            <w:tcW w:w="1201" w:type="pct"/>
          </w:tcPr>
          <w:p w:rsidR="001F723F" w:rsidRDefault="000E68B0">
            <w:pPr>
              <w:pStyle w:val="Tabletext0"/>
            </w:pPr>
            <w:r>
              <w:t>Seaweed (</w:t>
            </w:r>
            <w:proofErr w:type="spellStart"/>
            <w:r>
              <w:t>Hijiki</w:t>
            </w:r>
            <w:proofErr w:type="spellEnd"/>
            <w:r>
              <w:t>)</w:t>
            </w:r>
          </w:p>
        </w:tc>
        <w:tc>
          <w:tcPr>
            <w:tcW w:w="781" w:type="pct"/>
            <w:vAlign w:val="bottom"/>
          </w:tcPr>
          <w:p w:rsidR="001F723F" w:rsidRDefault="000E68B0">
            <w:pPr>
              <w:pStyle w:val="Tabletext0"/>
              <w:jc w:val="right"/>
            </w:pPr>
            <w:r>
              <w:t>6</w:t>
            </w:r>
          </w:p>
        </w:tc>
        <w:tc>
          <w:tcPr>
            <w:tcW w:w="704" w:type="pct"/>
            <w:shd w:val="clear" w:color="auto" w:fill="auto"/>
            <w:vAlign w:val="bottom"/>
          </w:tcPr>
          <w:p w:rsidR="001F723F" w:rsidRDefault="000E68B0">
            <w:pPr>
              <w:pStyle w:val="Tabletext0"/>
              <w:jc w:val="right"/>
            </w:pPr>
            <w:r>
              <w:t>6</w:t>
            </w:r>
          </w:p>
        </w:tc>
        <w:tc>
          <w:tcPr>
            <w:tcW w:w="859" w:type="pct"/>
            <w:vAlign w:val="bottom"/>
          </w:tcPr>
          <w:p w:rsidR="001F723F" w:rsidRDefault="000E68B0">
            <w:pPr>
              <w:pStyle w:val="Tabletext0"/>
              <w:jc w:val="right"/>
            </w:pPr>
            <w:r>
              <w:t>0</w:t>
            </w:r>
          </w:p>
        </w:tc>
        <w:tc>
          <w:tcPr>
            <w:tcW w:w="624" w:type="pct"/>
            <w:vAlign w:val="bottom"/>
          </w:tcPr>
          <w:p w:rsidR="001F723F" w:rsidRDefault="000E68B0">
            <w:pPr>
              <w:pStyle w:val="Tabletext0"/>
              <w:jc w:val="right"/>
            </w:pPr>
            <w:r>
              <w:t>100</w:t>
            </w:r>
          </w:p>
        </w:tc>
      </w:tr>
      <w:tr w:rsidR="001F723F">
        <w:trPr>
          <w:cantSplit/>
          <w:jc w:val="center"/>
        </w:trPr>
        <w:tc>
          <w:tcPr>
            <w:tcW w:w="831" w:type="pct"/>
            <w:shd w:val="clear" w:color="auto" w:fill="auto"/>
            <w:vAlign w:val="center"/>
          </w:tcPr>
          <w:p w:rsidR="001F723F" w:rsidRDefault="000E68B0">
            <w:pPr>
              <w:pStyle w:val="Tabletext0"/>
            </w:pPr>
            <w:r>
              <w:t>Iodine</w:t>
            </w:r>
          </w:p>
        </w:tc>
        <w:tc>
          <w:tcPr>
            <w:tcW w:w="1201" w:type="pct"/>
          </w:tcPr>
          <w:p w:rsidR="001F723F" w:rsidRDefault="000E68B0">
            <w:pPr>
              <w:pStyle w:val="Tabletext0"/>
            </w:pPr>
            <w:r>
              <w:t>Seaweed (brown algae)</w:t>
            </w:r>
          </w:p>
        </w:tc>
        <w:tc>
          <w:tcPr>
            <w:tcW w:w="781" w:type="pct"/>
            <w:vAlign w:val="bottom"/>
          </w:tcPr>
          <w:p w:rsidR="001F723F" w:rsidRDefault="000E68B0">
            <w:pPr>
              <w:pStyle w:val="Tabletext0"/>
              <w:jc w:val="right"/>
            </w:pPr>
            <w:r>
              <w:t>103</w:t>
            </w:r>
          </w:p>
        </w:tc>
        <w:tc>
          <w:tcPr>
            <w:tcW w:w="704" w:type="pct"/>
            <w:shd w:val="clear" w:color="auto" w:fill="auto"/>
            <w:vAlign w:val="bottom"/>
          </w:tcPr>
          <w:p w:rsidR="001F723F" w:rsidRDefault="000E68B0">
            <w:pPr>
              <w:pStyle w:val="Tabletext0"/>
              <w:jc w:val="right"/>
            </w:pPr>
            <w:r>
              <w:t>101</w:t>
            </w:r>
          </w:p>
        </w:tc>
        <w:tc>
          <w:tcPr>
            <w:tcW w:w="859" w:type="pct"/>
            <w:vAlign w:val="bottom"/>
          </w:tcPr>
          <w:p w:rsidR="001F723F" w:rsidRDefault="000E68B0">
            <w:pPr>
              <w:pStyle w:val="Tabletext0"/>
              <w:jc w:val="right"/>
            </w:pPr>
            <w:r>
              <w:t>2</w:t>
            </w:r>
          </w:p>
        </w:tc>
        <w:tc>
          <w:tcPr>
            <w:tcW w:w="624" w:type="pct"/>
            <w:vAlign w:val="bottom"/>
          </w:tcPr>
          <w:p w:rsidR="001F723F" w:rsidRDefault="000E68B0">
            <w:pPr>
              <w:pStyle w:val="Tabletext0"/>
              <w:jc w:val="right"/>
            </w:pPr>
            <w:r>
              <w:t>98.1</w:t>
            </w:r>
          </w:p>
        </w:tc>
      </w:tr>
      <w:tr w:rsidR="001F723F">
        <w:trPr>
          <w:cantSplit/>
          <w:jc w:val="center"/>
        </w:trPr>
        <w:tc>
          <w:tcPr>
            <w:tcW w:w="831" w:type="pct"/>
            <w:shd w:val="clear" w:color="auto" w:fill="auto"/>
            <w:vAlign w:val="center"/>
          </w:tcPr>
          <w:p w:rsidR="001F723F" w:rsidRDefault="000E68B0">
            <w:pPr>
              <w:pStyle w:val="Tabletext0"/>
            </w:pPr>
            <w:r>
              <w:t>Lead</w:t>
            </w:r>
          </w:p>
        </w:tc>
        <w:tc>
          <w:tcPr>
            <w:tcW w:w="1201" w:type="pct"/>
          </w:tcPr>
          <w:p w:rsidR="001F723F" w:rsidRDefault="000E68B0">
            <w:pPr>
              <w:pStyle w:val="Tabletext0"/>
            </w:pPr>
            <w:r>
              <w:t>Cereal grains, cereal flours, processed cereals, canned and preserved fruit</w:t>
            </w:r>
          </w:p>
        </w:tc>
        <w:tc>
          <w:tcPr>
            <w:tcW w:w="781" w:type="pct"/>
            <w:vAlign w:val="center"/>
          </w:tcPr>
          <w:p w:rsidR="001F723F" w:rsidRDefault="000E68B0">
            <w:pPr>
              <w:pStyle w:val="Tabletext0"/>
              <w:jc w:val="right"/>
            </w:pPr>
            <w:r>
              <w:t>1,352</w:t>
            </w:r>
          </w:p>
        </w:tc>
        <w:tc>
          <w:tcPr>
            <w:tcW w:w="704" w:type="pct"/>
            <w:shd w:val="clear" w:color="auto" w:fill="auto"/>
            <w:vAlign w:val="center"/>
          </w:tcPr>
          <w:p w:rsidR="001F723F" w:rsidRDefault="000E68B0">
            <w:pPr>
              <w:pStyle w:val="Tabletext0"/>
              <w:jc w:val="right"/>
            </w:pPr>
            <w:r>
              <w:t>1,344</w:t>
            </w:r>
          </w:p>
        </w:tc>
        <w:tc>
          <w:tcPr>
            <w:tcW w:w="859" w:type="pct"/>
            <w:vAlign w:val="center"/>
          </w:tcPr>
          <w:p w:rsidR="001F723F" w:rsidRDefault="000E68B0">
            <w:pPr>
              <w:pStyle w:val="Tabletext0"/>
              <w:jc w:val="right"/>
            </w:pPr>
            <w:r>
              <w:t>8</w:t>
            </w:r>
          </w:p>
        </w:tc>
        <w:tc>
          <w:tcPr>
            <w:tcW w:w="624" w:type="pct"/>
            <w:vAlign w:val="center"/>
          </w:tcPr>
          <w:p w:rsidR="001F723F" w:rsidRDefault="000E68B0">
            <w:pPr>
              <w:pStyle w:val="Tabletext0"/>
              <w:jc w:val="right"/>
            </w:pPr>
            <w:r>
              <w:t>99.4</w:t>
            </w:r>
          </w:p>
        </w:tc>
      </w:tr>
      <w:tr w:rsidR="001F723F">
        <w:trPr>
          <w:cantSplit/>
          <w:jc w:val="center"/>
        </w:trPr>
        <w:tc>
          <w:tcPr>
            <w:tcW w:w="831" w:type="pct"/>
            <w:shd w:val="clear" w:color="auto" w:fill="auto"/>
          </w:tcPr>
          <w:p w:rsidR="001F723F" w:rsidRDefault="000E68B0">
            <w:pPr>
              <w:pStyle w:val="Tabletext0"/>
            </w:pPr>
            <w:r>
              <w:t>PSP toxin</w:t>
            </w:r>
          </w:p>
        </w:tc>
        <w:tc>
          <w:tcPr>
            <w:tcW w:w="1201" w:type="pct"/>
          </w:tcPr>
          <w:p w:rsidR="001F723F" w:rsidRDefault="000E68B0">
            <w:pPr>
              <w:pStyle w:val="Tabletext0"/>
            </w:pPr>
            <w:r>
              <w:t>Bivalve molluscs</w:t>
            </w:r>
          </w:p>
        </w:tc>
        <w:tc>
          <w:tcPr>
            <w:tcW w:w="781" w:type="pct"/>
            <w:vAlign w:val="bottom"/>
          </w:tcPr>
          <w:p w:rsidR="001F723F" w:rsidRDefault="000E68B0">
            <w:pPr>
              <w:pStyle w:val="Tabletext0"/>
              <w:jc w:val="right"/>
            </w:pPr>
            <w:r>
              <w:t>444</w:t>
            </w:r>
          </w:p>
        </w:tc>
        <w:tc>
          <w:tcPr>
            <w:tcW w:w="704" w:type="pct"/>
            <w:shd w:val="clear" w:color="auto" w:fill="auto"/>
            <w:vAlign w:val="bottom"/>
          </w:tcPr>
          <w:p w:rsidR="001F723F" w:rsidRDefault="000E68B0">
            <w:pPr>
              <w:pStyle w:val="Tabletext0"/>
              <w:jc w:val="right"/>
            </w:pPr>
            <w:r>
              <w:t>444</w:t>
            </w:r>
          </w:p>
        </w:tc>
        <w:tc>
          <w:tcPr>
            <w:tcW w:w="859" w:type="pct"/>
            <w:vAlign w:val="bottom"/>
          </w:tcPr>
          <w:p w:rsidR="001F723F" w:rsidRDefault="000E68B0">
            <w:pPr>
              <w:pStyle w:val="Tabletext0"/>
              <w:jc w:val="right"/>
            </w:pPr>
            <w:r>
              <w:t>0</w:t>
            </w:r>
          </w:p>
        </w:tc>
        <w:tc>
          <w:tcPr>
            <w:tcW w:w="624" w:type="pct"/>
            <w:vAlign w:val="bottom"/>
          </w:tcPr>
          <w:p w:rsidR="001F723F" w:rsidRDefault="000E68B0">
            <w:pPr>
              <w:pStyle w:val="Tabletext0"/>
              <w:jc w:val="right"/>
            </w:pPr>
            <w:r>
              <w:t>100</w:t>
            </w:r>
          </w:p>
        </w:tc>
      </w:tr>
      <w:tr w:rsidR="001F723F">
        <w:trPr>
          <w:cantSplit/>
          <w:jc w:val="center"/>
        </w:trPr>
        <w:tc>
          <w:tcPr>
            <w:tcW w:w="831" w:type="pct"/>
            <w:shd w:val="clear" w:color="auto" w:fill="auto"/>
          </w:tcPr>
          <w:p w:rsidR="001F723F" w:rsidRDefault="000E68B0">
            <w:pPr>
              <w:pStyle w:val="Tabletext0"/>
            </w:pPr>
            <w:r>
              <w:t>Tin</w:t>
            </w:r>
          </w:p>
        </w:tc>
        <w:tc>
          <w:tcPr>
            <w:tcW w:w="1201" w:type="pct"/>
          </w:tcPr>
          <w:p w:rsidR="001F723F" w:rsidRDefault="000E68B0">
            <w:pPr>
              <w:pStyle w:val="Tabletext0"/>
            </w:pPr>
            <w:r>
              <w:t>Canned fruit</w:t>
            </w:r>
          </w:p>
        </w:tc>
        <w:tc>
          <w:tcPr>
            <w:tcW w:w="781" w:type="pct"/>
            <w:vAlign w:val="bottom"/>
          </w:tcPr>
          <w:p w:rsidR="001F723F" w:rsidRDefault="000E68B0">
            <w:pPr>
              <w:pStyle w:val="Tabletext0"/>
              <w:jc w:val="right"/>
            </w:pPr>
            <w:r>
              <w:t>212</w:t>
            </w:r>
          </w:p>
        </w:tc>
        <w:tc>
          <w:tcPr>
            <w:tcW w:w="704" w:type="pct"/>
            <w:shd w:val="clear" w:color="auto" w:fill="auto"/>
            <w:vAlign w:val="bottom"/>
          </w:tcPr>
          <w:p w:rsidR="001F723F" w:rsidRDefault="000E68B0">
            <w:pPr>
              <w:pStyle w:val="Tabletext0"/>
              <w:jc w:val="right"/>
            </w:pPr>
            <w:r>
              <w:t>211</w:t>
            </w:r>
          </w:p>
        </w:tc>
        <w:tc>
          <w:tcPr>
            <w:tcW w:w="859" w:type="pct"/>
            <w:vAlign w:val="bottom"/>
          </w:tcPr>
          <w:p w:rsidR="001F723F" w:rsidRDefault="000E68B0">
            <w:pPr>
              <w:pStyle w:val="Tabletext0"/>
              <w:jc w:val="right"/>
            </w:pPr>
            <w:r>
              <w:t>1</w:t>
            </w:r>
          </w:p>
        </w:tc>
        <w:tc>
          <w:tcPr>
            <w:tcW w:w="624" w:type="pct"/>
            <w:vAlign w:val="bottom"/>
          </w:tcPr>
          <w:p w:rsidR="001F723F" w:rsidRDefault="000E68B0">
            <w:pPr>
              <w:pStyle w:val="Tabletext0"/>
              <w:jc w:val="right"/>
            </w:pPr>
            <w:r>
              <w:t>99.5</w:t>
            </w:r>
          </w:p>
        </w:tc>
      </w:tr>
      <w:tr w:rsidR="001F723F">
        <w:trPr>
          <w:cantSplit/>
          <w:jc w:val="center"/>
        </w:trPr>
        <w:tc>
          <w:tcPr>
            <w:tcW w:w="831" w:type="pct"/>
            <w:shd w:val="clear" w:color="auto" w:fill="auto"/>
          </w:tcPr>
          <w:p w:rsidR="001F723F" w:rsidRDefault="000E68B0">
            <w:pPr>
              <w:pStyle w:val="Tabletext0"/>
              <w:rPr>
                <w:rStyle w:val="Strong"/>
              </w:rPr>
            </w:pPr>
            <w:r>
              <w:rPr>
                <w:rStyle w:val="Strong"/>
              </w:rPr>
              <w:t>Total</w:t>
            </w:r>
          </w:p>
        </w:tc>
        <w:tc>
          <w:tcPr>
            <w:tcW w:w="1201" w:type="pct"/>
          </w:tcPr>
          <w:p w:rsidR="001F723F" w:rsidRDefault="000E68B0">
            <w:pPr>
              <w:pStyle w:val="Tabletext0"/>
              <w:rPr>
                <w:rStyle w:val="Strong"/>
              </w:rPr>
            </w:pPr>
            <w:r>
              <w:rPr>
                <w:rStyle w:val="Strong"/>
              </w:rPr>
              <w:t>–</w:t>
            </w:r>
          </w:p>
        </w:tc>
        <w:tc>
          <w:tcPr>
            <w:tcW w:w="781" w:type="pct"/>
          </w:tcPr>
          <w:p w:rsidR="001F723F" w:rsidRDefault="000E68B0">
            <w:pPr>
              <w:pStyle w:val="Tabletext0"/>
              <w:jc w:val="right"/>
              <w:rPr>
                <w:rStyle w:val="Strong"/>
              </w:rPr>
            </w:pPr>
            <w:r>
              <w:rPr>
                <w:rStyle w:val="Strong"/>
              </w:rPr>
              <w:t>7987</w:t>
            </w:r>
          </w:p>
        </w:tc>
        <w:tc>
          <w:tcPr>
            <w:tcW w:w="704" w:type="pct"/>
            <w:shd w:val="clear" w:color="auto" w:fill="auto"/>
          </w:tcPr>
          <w:p w:rsidR="001F723F" w:rsidRDefault="000E68B0">
            <w:pPr>
              <w:pStyle w:val="Tabletext0"/>
              <w:jc w:val="right"/>
              <w:rPr>
                <w:rStyle w:val="Strong"/>
              </w:rPr>
            </w:pPr>
            <w:r>
              <w:rPr>
                <w:rStyle w:val="Strong"/>
              </w:rPr>
              <w:t>7,879</w:t>
            </w:r>
          </w:p>
        </w:tc>
        <w:tc>
          <w:tcPr>
            <w:tcW w:w="859" w:type="pct"/>
          </w:tcPr>
          <w:p w:rsidR="001F723F" w:rsidRDefault="000E68B0">
            <w:pPr>
              <w:pStyle w:val="Tabletext0"/>
              <w:jc w:val="right"/>
              <w:rPr>
                <w:rStyle w:val="Strong"/>
              </w:rPr>
            </w:pPr>
            <w:r>
              <w:rPr>
                <w:rStyle w:val="Strong"/>
              </w:rPr>
              <w:t>108</w:t>
            </w:r>
          </w:p>
        </w:tc>
        <w:tc>
          <w:tcPr>
            <w:tcW w:w="624" w:type="pct"/>
          </w:tcPr>
          <w:p w:rsidR="001F723F" w:rsidRDefault="000E68B0">
            <w:pPr>
              <w:pStyle w:val="Tabletext0"/>
              <w:jc w:val="right"/>
              <w:rPr>
                <w:rStyle w:val="Strong"/>
              </w:rPr>
            </w:pPr>
            <w:r>
              <w:rPr>
                <w:rStyle w:val="Strong"/>
              </w:rPr>
              <w:t>98.7</w:t>
            </w:r>
          </w:p>
        </w:tc>
      </w:tr>
    </w:tbl>
    <w:p w:rsidR="001F723F" w:rsidRDefault="000E68B0">
      <w:pPr>
        <w:pStyle w:val="FigureTableNoteSource"/>
      </w:pPr>
      <w:bookmarkStart w:id="75" w:name="_Toc369867486"/>
      <w:proofErr w:type="gramStart"/>
      <w:r>
        <w:rPr>
          <w:rStyle w:val="Strong"/>
        </w:rPr>
        <w:t>a</w:t>
      </w:r>
      <w:proofErr w:type="gramEnd"/>
      <w:r>
        <w:t xml:space="preserve"> </w:t>
      </w:r>
      <w:proofErr w:type="spellStart"/>
      <w:r>
        <w:t>Buprofezin</w:t>
      </w:r>
      <w:proofErr w:type="spellEnd"/>
      <w:r>
        <w:t xml:space="preserve"> testing commenced in response to evidence of non-compliance in a specific pathway.</w:t>
      </w:r>
    </w:p>
    <w:p w:rsidR="001F723F" w:rsidRDefault="000E68B0">
      <w:pPr>
        <w:pStyle w:val="FigureTableNoteSource"/>
        <w:rPr>
          <w:b/>
          <w:bCs/>
        </w:rPr>
      </w:pPr>
      <w:r>
        <w:t>Source: AIMS database</w:t>
      </w:r>
    </w:p>
    <w:p w:rsidR="001F723F" w:rsidRDefault="000E68B0">
      <w:pPr>
        <w:pStyle w:val="Caption"/>
      </w:pPr>
      <w:bookmarkStart w:id="76" w:name="_Ref15561949"/>
      <w:bookmarkStart w:id="77" w:name="_Toc520814506"/>
      <w:bookmarkStart w:id="78" w:name="_Toc520880961"/>
      <w:bookmarkStart w:id="79" w:name="_Toc16519522"/>
      <w: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76"/>
      <w:r>
        <w:t xml:space="preserve"> Microbiological test, product compliance</w:t>
      </w:r>
      <w:bookmarkEnd w:id="75"/>
      <w:bookmarkEnd w:id="77"/>
      <w:r>
        <w:t xml:space="preserve"> rates, </w:t>
      </w:r>
      <w:bookmarkEnd w:id="78"/>
      <w:r>
        <w:t>2018</w:t>
      </w:r>
      <w:bookmarkEnd w:id="79"/>
    </w:p>
    <w:tbl>
      <w:tblPr>
        <w:tblW w:w="5000" w:type="pct"/>
        <w:jc w:val="center"/>
        <w:tblBorders>
          <w:top w:val="single" w:sz="4" w:space="0" w:color="auto"/>
          <w:bottom w:val="single" w:sz="4" w:space="0" w:color="auto"/>
        </w:tblBorders>
        <w:tblLook w:val="04A0" w:firstRow="1" w:lastRow="0" w:firstColumn="1" w:lastColumn="0" w:noHBand="0" w:noVBand="1"/>
      </w:tblPr>
      <w:tblGrid>
        <w:gridCol w:w="1799"/>
        <w:gridCol w:w="2030"/>
        <w:gridCol w:w="1417"/>
        <w:gridCol w:w="1136"/>
        <w:gridCol w:w="1558"/>
        <w:gridCol w:w="1130"/>
      </w:tblGrid>
      <w:tr w:rsidR="001F723F">
        <w:trPr>
          <w:cantSplit/>
          <w:tblHeader/>
          <w:jc w:val="center"/>
        </w:trPr>
        <w:tc>
          <w:tcPr>
            <w:tcW w:w="992" w:type="pct"/>
            <w:shd w:val="clear" w:color="auto" w:fill="auto"/>
          </w:tcPr>
          <w:p w:rsidR="001F723F" w:rsidRDefault="000E68B0">
            <w:pPr>
              <w:pStyle w:val="Tableheading0"/>
            </w:pPr>
            <w:r>
              <w:t>Microbial agent</w:t>
            </w:r>
          </w:p>
        </w:tc>
        <w:tc>
          <w:tcPr>
            <w:tcW w:w="1119" w:type="pct"/>
          </w:tcPr>
          <w:p w:rsidR="001F723F" w:rsidRDefault="000E68B0">
            <w:pPr>
              <w:pStyle w:val="Tableheading0"/>
            </w:pPr>
            <w:r>
              <w:t>Food type</w:t>
            </w:r>
          </w:p>
        </w:tc>
        <w:tc>
          <w:tcPr>
            <w:tcW w:w="781" w:type="pct"/>
          </w:tcPr>
          <w:p w:rsidR="001F723F" w:rsidRDefault="000E68B0">
            <w:pPr>
              <w:pStyle w:val="Tableheading0"/>
              <w:jc w:val="right"/>
            </w:pPr>
            <w:r>
              <w:t>Tests applied (no.)</w:t>
            </w:r>
          </w:p>
        </w:tc>
        <w:tc>
          <w:tcPr>
            <w:tcW w:w="626" w:type="pct"/>
            <w:shd w:val="clear" w:color="auto" w:fill="auto"/>
          </w:tcPr>
          <w:p w:rsidR="001F723F" w:rsidRDefault="000E68B0">
            <w:pPr>
              <w:pStyle w:val="Tableheading0"/>
              <w:jc w:val="right"/>
            </w:pPr>
            <w:r>
              <w:t>Compliant (no.)</w:t>
            </w:r>
          </w:p>
        </w:tc>
        <w:tc>
          <w:tcPr>
            <w:tcW w:w="859" w:type="pct"/>
          </w:tcPr>
          <w:p w:rsidR="001F723F" w:rsidRDefault="000E68B0">
            <w:pPr>
              <w:pStyle w:val="Tableheading0"/>
              <w:jc w:val="right"/>
            </w:pPr>
            <w:r>
              <w:t>Non-compliant (no.)</w:t>
            </w:r>
          </w:p>
        </w:tc>
        <w:tc>
          <w:tcPr>
            <w:tcW w:w="624" w:type="pct"/>
          </w:tcPr>
          <w:p w:rsidR="001F723F" w:rsidRDefault="000E68B0">
            <w:pPr>
              <w:pStyle w:val="Tableheading0"/>
              <w:jc w:val="right"/>
            </w:pPr>
            <w:r>
              <w:t>Compliant (%)</w:t>
            </w:r>
          </w:p>
        </w:tc>
      </w:tr>
      <w:tr w:rsidR="001F723F">
        <w:trPr>
          <w:cantSplit/>
          <w:tblHeader/>
          <w:jc w:val="center"/>
        </w:trPr>
        <w:tc>
          <w:tcPr>
            <w:tcW w:w="992" w:type="pct"/>
            <w:shd w:val="clear" w:color="auto" w:fill="auto"/>
            <w:vAlign w:val="center"/>
          </w:tcPr>
          <w:p w:rsidR="001F723F" w:rsidRDefault="000E68B0">
            <w:pPr>
              <w:pStyle w:val="Tabletext0"/>
              <w:rPr>
                <w:i/>
              </w:rPr>
            </w:pPr>
            <w:r>
              <w:rPr>
                <w:i/>
              </w:rPr>
              <w:t>Bacillus cereus</w:t>
            </w:r>
          </w:p>
        </w:tc>
        <w:tc>
          <w:tcPr>
            <w:tcW w:w="1119" w:type="pct"/>
          </w:tcPr>
          <w:p w:rsidR="001F723F" w:rsidRDefault="000E68B0">
            <w:pPr>
              <w:pStyle w:val="Tabletext0"/>
            </w:pPr>
            <w:r>
              <w:t>Bean curd, tofu</w:t>
            </w:r>
          </w:p>
        </w:tc>
        <w:tc>
          <w:tcPr>
            <w:tcW w:w="781" w:type="pct"/>
            <w:vAlign w:val="center"/>
          </w:tcPr>
          <w:p w:rsidR="001F723F" w:rsidRDefault="000E68B0">
            <w:pPr>
              <w:pStyle w:val="Tabletext0"/>
              <w:jc w:val="right"/>
            </w:pPr>
            <w:r>
              <w:t>91</w:t>
            </w:r>
          </w:p>
        </w:tc>
        <w:tc>
          <w:tcPr>
            <w:tcW w:w="626" w:type="pct"/>
            <w:shd w:val="clear" w:color="auto" w:fill="auto"/>
            <w:vAlign w:val="center"/>
          </w:tcPr>
          <w:p w:rsidR="001F723F" w:rsidRDefault="000E68B0">
            <w:pPr>
              <w:pStyle w:val="Tabletext0"/>
              <w:jc w:val="right"/>
            </w:pPr>
            <w:r>
              <w:t>84</w:t>
            </w:r>
          </w:p>
        </w:tc>
        <w:tc>
          <w:tcPr>
            <w:tcW w:w="859" w:type="pct"/>
            <w:vAlign w:val="center"/>
          </w:tcPr>
          <w:p w:rsidR="001F723F" w:rsidRDefault="000E68B0">
            <w:pPr>
              <w:pStyle w:val="Tabletext0"/>
              <w:jc w:val="right"/>
            </w:pPr>
            <w:r>
              <w:t>7</w:t>
            </w:r>
          </w:p>
        </w:tc>
        <w:tc>
          <w:tcPr>
            <w:tcW w:w="624" w:type="pct"/>
            <w:vAlign w:val="center"/>
          </w:tcPr>
          <w:p w:rsidR="001F723F" w:rsidRDefault="000E68B0">
            <w:pPr>
              <w:pStyle w:val="Tabletext0"/>
              <w:jc w:val="right"/>
            </w:pPr>
            <w:r>
              <w:t>92.3</w:t>
            </w:r>
          </w:p>
        </w:tc>
      </w:tr>
      <w:tr w:rsidR="001F723F">
        <w:trPr>
          <w:cantSplit/>
          <w:tblHeader/>
          <w:jc w:val="center"/>
        </w:trPr>
        <w:tc>
          <w:tcPr>
            <w:tcW w:w="992" w:type="pct"/>
            <w:shd w:val="clear" w:color="auto" w:fill="auto"/>
          </w:tcPr>
          <w:p w:rsidR="001F723F" w:rsidRDefault="000E68B0">
            <w:pPr>
              <w:pStyle w:val="Tabletext0"/>
              <w:rPr>
                <w:i/>
              </w:rPr>
            </w:pPr>
            <w:r>
              <w:t>Coagulase-positive staphylococci</w:t>
            </w:r>
          </w:p>
        </w:tc>
        <w:tc>
          <w:tcPr>
            <w:tcW w:w="1119" w:type="pct"/>
          </w:tcPr>
          <w:p w:rsidR="001F723F" w:rsidRDefault="000E68B0">
            <w:pPr>
              <w:pStyle w:val="Tabletext0"/>
            </w:pPr>
            <w:r>
              <w:t>Processed meats and cooked crustaceans</w:t>
            </w:r>
          </w:p>
        </w:tc>
        <w:tc>
          <w:tcPr>
            <w:tcW w:w="781" w:type="pct"/>
            <w:vAlign w:val="center"/>
          </w:tcPr>
          <w:p w:rsidR="001F723F" w:rsidRDefault="000E68B0">
            <w:pPr>
              <w:pStyle w:val="Tabletext0"/>
              <w:jc w:val="right"/>
            </w:pPr>
            <w:r>
              <w:t>943</w:t>
            </w:r>
          </w:p>
        </w:tc>
        <w:tc>
          <w:tcPr>
            <w:tcW w:w="626" w:type="pct"/>
            <w:shd w:val="clear" w:color="auto" w:fill="auto"/>
            <w:vAlign w:val="center"/>
          </w:tcPr>
          <w:p w:rsidR="001F723F" w:rsidRDefault="000E68B0">
            <w:pPr>
              <w:pStyle w:val="Tabletext0"/>
              <w:jc w:val="right"/>
            </w:pPr>
            <w:r>
              <w:t>942</w:t>
            </w:r>
          </w:p>
        </w:tc>
        <w:tc>
          <w:tcPr>
            <w:tcW w:w="859" w:type="pct"/>
            <w:vAlign w:val="center"/>
          </w:tcPr>
          <w:p w:rsidR="001F723F" w:rsidRDefault="000E68B0">
            <w:pPr>
              <w:pStyle w:val="Tabletext0"/>
              <w:jc w:val="right"/>
            </w:pPr>
            <w:r>
              <w:t>1</w:t>
            </w:r>
          </w:p>
        </w:tc>
        <w:tc>
          <w:tcPr>
            <w:tcW w:w="624" w:type="pct"/>
            <w:vAlign w:val="center"/>
          </w:tcPr>
          <w:p w:rsidR="001F723F" w:rsidRDefault="000E68B0">
            <w:pPr>
              <w:pStyle w:val="Tabletext0"/>
              <w:jc w:val="right"/>
            </w:pPr>
            <w:r>
              <w:t>99.9</w:t>
            </w:r>
          </w:p>
        </w:tc>
      </w:tr>
      <w:tr w:rsidR="001F723F">
        <w:trPr>
          <w:cantSplit/>
          <w:tblHeader/>
          <w:jc w:val="center"/>
        </w:trPr>
        <w:tc>
          <w:tcPr>
            <w:tcW w:w="992" w:type="pct"/>
            <w:shd w:val="clear" w:color="auto" w:fill="auto"/>
            <w:vAlign w:val="center"/>
          </w:tcPr>
          <w:p w:rsidR="001F723F" w:rsidRDefault="000E68B0">
            <w:pPr>
              <w:pStyle w:val="Tabletext0"/>
            </w:pPr>
            <w:r>
              <w:rPr>
                <w:i/>
              </w:rPr>
              <w:t>Escherichia coli</w:t>
            </w:r>
          </w:p>
        </w:tc>
        <w:tc>
          <w:tcPr>
            <w:tcW w:w="1119" w:type="pct"/>
          </w:tcPr>
          <w:p w:rsidR="001F723F" w:rsidRDefault="000E68B0">
            <w:pPr>
              <w:pStyle w:val="Tabletext0"/>
            </w:pPr>
            <w:r>
              <w:t>Processed meats, water, seafood, and cheese</w:t>
            </w:r>
          </w:p>
        </w:tc>
        <w:tc>
          <w:tcPr>
            <w:tcW w:w="781" w:type="pct"/>
            <w:vAlign w:val="center"/>
          </w:tcPr>
          <w:p w:rsidR="001F723F" w:rsidRDefault="000E68B0">
            <w:pPr>
              <w:pStyle w:val="Tabletext0"/>
              <w:jc w:val="right"/>
            </w:pPr>
            <w:r>
              <w:t>512</w:t>
            </w:r>
          </w:p>
        </w:tc>
        <w:tc>
          <w:tcPr>
            <w:tcW w:w="626" w:type="pct"/>
            <w:shd w:val="clear" w:color="auto" w:fill="auto"/>
            <w:vAlign w:val="center"/>
          </w:tcPr>
          <w:p w:rsidR="001F723F" w:rsidRDefault="000E68B0">
            <w:pPr>
              <w:pStyle w:val="Tabletext0"/>
              <w:jc w:val="right"/>
            </w:pPr>
            <w:r>
              <w:t>501</w:t>
            </w:r>
          </w:p>
        </w:tc>
        <w:tc>
          <w:tcPr>
            <w:tcW w:w="859" w:type="pct"/>
            <w:vAlign w:val="center"/>
          </w:tcPr>
          <w:p w:rsidR="001F723F" w:rsidRDefault="000E68B0">
            <w:pPr>
              <w:pStyle w:val="Tabletext0"/>
              <w:jc w:val="right"/>
            </w:pPr>
            <w:r>
              <w:t>11</w:t>
            </w:r>
          </w:p>
        </w:tc>
        <w:tc>
          <w:tcPr>
            <w:tcW w:w="624" w:type="pct"/>
            <w:vAlign w:val="center"/>
          </w:tcPr>
          <w:p w:rsidR="001F723F" w:rsidRDefault="000E68B0">
            <w:pPr>
              <w:pStyle w:val="Tabletext0"/>
              <w:jc w:val="right"/>
            </w:pPr>
            <w:r>
              <w:t>97.9</w:t>
            </w:r>
          </w:p>
        </w:tc>
      </w:tr>
      <w:tr w:rsidR="001F723F">
        <w:trPr>
          <w:cantSplit/>
          <w:tblHeader/>
          <w:jc w:val="center"/>
        </w:trPr>
        <w:tc>
          <w:tcPr>
            <w:tcW w:w="992" w:type="pct"/>
            <w:shd w:val="clear" w:color="auto" w:fill="auto"/>
            <w:vAlign w:val="center"/>
          </w:tcPr>
          <w:p w:rsidR="001F723F" w:rsidRDefault="000E68B0">
            <w:pPr>
              <w:pStyle w:val="Tabletext0"/>
            </w:pPr>
            <w:r>
              <w:rPr>
                <w:i/>
              </w:rPr>
              <w:t>Listeria</w:t>
            </w:r>
            <w:r>
              <w:t xml:space="preserve"> </w:t>
            </w:r>
            <w:r>
              <w:rPr>
                <w:i/>
              </w:rPr>
              <w:t>monocytogenes</w:t>
            </w:r>
          </w:p>
        </w:tc>
        <w:tc>
          <w:tcPr>
            <w:tcW w:w="1119" w:type="pct"/>
          </w:tcPr>
          <w:p w:rsidR="001F723F" w:rsidRDefault="000E68B0">
            <w:pPr>
              <w:pStyle w:val="Tabletext0"/>
            </w:pPr>
            <w:r>
              <w:t>Cheese, ready-to-eat seafood, processed meats</w:t>
            </w:r>
          </w:p>
        </w:tc>
        <w:tc>
          <w:tcPr>
            <w:tcW w:w="781" w:type="pct"/>
            <w:vAlign w:val="center"/>
          </w:tcPr>
          <w:p w:rsidR="001F723F" w:rsidRDefault="000E68B0">
            <w:pPr>
              <w:pStyle w:val="Tabletext0"/>
              <w:jc w:val="right"/>
            </w:pPr>
            <w:r>
              <w:t>2,421</w:t>
            </w:r>
          </w:p>
        </w:tc>
        <w:tc>
          <w:tcPr>
            <w:tcW w:w="626" w:type="pct"/>
            <w:shd w:val="clear" w:color="auto" w:fill="auto"/>
            <w:vAlign w:val="center"/>
          </w:tcPr>
          <w:p w:rsidR="001F723F" w:rsidRDefault="000E68B0">
            <w:pPr>
              <w:pStyle w:val="Tabletext0"/>
              <w:jc w:val="right"/>
            </w:pPr>
            <w:r>
              <w:t>2,407</w:t>
            </w:r>
          </w:p>
        </w:tc>
        <w:tc>
          <w:tcPr>
            <w:tcW w:w="859" w:type="pct"/>
            <w:vAlign w:val="center"/>
          </w:tcPr>
          <w:p w:rsidR="001F723F" w:rsidRDefault="000E68B0">
            <w:pPr>
              <w:pStyle w:val="Tabletext0"/>
              <w:jc w:val="right"/>
            </w:pPr>
            <w:r>
              <w:t>14</w:t>
            </w:r>
          </w:p>
        </w:tc>
        <w:tc>
          <w:tcPr>
            <w:tcW w:w="624" w:type="pct"/>
            <w:vAlign w:val="center"/>
          </w:tcPr>
          <w:p w:rsidR="001F723F" w:rsidRDefault="000E68B0">
            <w:pPr>
              <w:pStyle w:val="Tabletext0"/>
              <w:jc w:val="right"/>
            </w:pPr>
            <w:r>
              <w:t>99.4</w:t>
            </w:r>
          </w:p>
        </w:tc>
      </w:tr>
      <w:tr w:rsidR="001F723F">
        <w:trPr>
          <w:cantSplit/>
          <w:tblHeader/>
          <w:jc w:val="center"/>
        </w:trPr>
        <w:tc>
          <w:tcPr>
            <w:tcW w:w="992" w:type="pct"/>
            <w:shd w:val="clear" w:color="auto" w:fill="auto"/>
            <w:vAlign w:val="center"/>
          </w:tcPr>
          <w:p w:rsidR="001F723F" w:rsidRDefault="000E68B0">
            <w:pPr>
              <w:pStyle w:val="Tabletext0"/>
              <w:rPr>
                <w:i/>
              </w:rPr>
            </w:pPr>
            <w:r>
              <w:rPr>
                <w:i/>
              </w:rPr>
              <w:t>Listeria monocytogenes-</w:t>
            </w:r>
            <w:r>
              <w:t>enumerated</w:t>
            </w:r>
          </w:p>
        </w:tc>
        <w:tc>
          <w:tcPr>
            <w:tcW w:w="1119" w:type="pct"/>
          </w:tcPr>
          <w:p w:rsidR="001F723F" w:rsidRDefault="000E68B0">
            <w:pPr>
              <w:pStyle w:val="Tabletext0"/>
            </w:pPr>
            <w:r>
              <w:t>Cheese, RTE finfish, slow-cured ham</w:t>
            </w:r>
          </w:p>
        </w:tc>
        <w:tc>
          <w:tcPr>
            <w:tcW w:w="781" w:type="pct"/>
            <w:vAlign w:val="center"/>
          </w:tcPr>
          <w:p w:rsidR="001F723F" w:rsidRDefault="000E68B0">
            <w:pPr>
              <w:pStyle w:val="Tabletext0"/>
              <w:jc w:val="right"/>
            </w:pPr>
            <w:r>
              <w:t>1,164</w:t>
            </w:r>
          </w:p>
        </w:tc>
        <w:tc>
          <w:tcPr>
            <w:tcW w:w="626" w:type="pct"/>
            <w:shd w:val="clear" w:color="auto" w:fill="auto"/>
            <w:vAlign w:val="center"/>
          </w:tcPr>
          <w:p w:rsidR="001F723F" w:rsidRDefault="000E68B0">
            <w:pPr>
              <w:pStyle w:val="Tabletext0"/>
              <w:jc w:val="right"/>
            </w:pPr>
            <w:r>
              <w:t>1,164</w:t>
            </w:r>
          </w:p>
        </w:tc>
        <w:tc>
          <w:tcPr>
            <w:tcW w:w="859" w:type="pct"/>
            <w:vAlign w:val="center"/>
          </w:tcPr>
          <w:p w:rsidR="001F723F" w:rsidRDefault="000E68B0">
            <w:pPr>
              <w:pStyle w:val="Tabletext0"/>
              <w:jc w:val="right"/>
            </w:pPr>
            <w:r>
              <w:t>0</w:t>
            </w:r>
          </w:p>
        </w:tc>
        <w:tc>
          <w:tcPr>
            <w:tcW w:w="624" w:type="pct"/>
            <w:vAlign w:val="center"/>
          </w:tcPr>
          <w:p w:rsidR="001F723F" w:rsidRDefault="000E68B0">
            <w:pPr>
              <w:pStyle w:val="Tabletext0"/>
              <w:jc w:val="right"/>
            </w:pPr>
            <w:r>
              <w:t>100</w:t>
            </w:r>
          </w:p>
        </w:tc>
      </w:tr>
      <w:tr w:rsidR="001F723F">
        <w:trPr>
          <w:cantSplit/>
          <w:tblHeader/>
          <w:jc w:val="center"/>
        </w:trPr>
        <w:tc>
          <w:tcPr>
            <w:tcW w:w="992" w:type="pct"/>
            <w:shd w:val="clear" w:color="auto" w:fill="auto"/>
            <w:vAlign w:val="center"/>
          </w:tcPr>
          <w:p w:rsidR="001F723F" w:rsidRDefault="000E68B0">
            <w:pPr>
              <w:pStyle w:val="Tabletext0"/>
            </w:pPr>
            <w:r>
              <w:rPr>
                <w:i/>
              </w:rPr>
              <w:t>Salmonella</w:t>
            </w:r>
          </w:p>
        </w:tc>
        <w:tc>
          <w:tcPr>
            <w:tcW w:w="1119" w:type="pct"/>
            <w:vAlign w:val="center"/>
          </w:tcPr>
          <w:p w:rsidR="001F723F" w:rsidRDefault="000E68B0">
            <w:pPr>
              <w:pStyle w:val="Tabletext0"/>
            </w:pPr>
            <w:r>
              <w:t>Processed meats, seafood, dried coconut, dried chilli and pepper, sesame seeds, cheese</w:t>
            </w:r>
          </w:p>
        </w:tc>
        <w:tc>
          <w:tcPr>
            <w:tcW w:w="781" w:type="pct"/>
            <w:vAlign w:val="center"/>
          </w:tcPr>
          <w:p w:rsidR="001F723F" w:rsidRDefault="000E68B0">
            <w:pPr>
              <w:pStyle w:val="Tabletext0"/>
              <w:jc w:val="right"/>
            </w:pPr>
            <w:r>
              <w:t>3,817</w:t>
            </w:r>
          </w:p>
        </w:tc>
        <w:tc>
          <w:tcPr>
            <w:tcW w:w="626" w:type="pct"/>
            <w:shd w:val="clear" w:color="auto" w:fill="auto"/>
            <w:vAlign w:val="center"/>
          </w:tcPr>
          <w:p w:rsidR="001F723F" w:rsidRDefault="000E68B0">
            <w:pPr>
              <w:pStyle w:val="Tabletext0"/>
              <w:jc w:val="right"/>
            </w:pPr>
            <w:r>
              <w:t>3,775</w:t>
            </w:r>
          </w:p>
        </w:tc>
        <w:tc>
          <w:tcPr>
            <w:tcW w:w="859" w:type="pct"/>
            <w:vAlign w:val="center"/>
          </w:tcPr>
          <w:p w:rsidR="001F723F" w:rsidRDefault="000E68B0">
            <w:pPr>
              <w:pStyle w:val="Tabletext0"/>
              <w:jc w:val="right"/>
            </w:pPr>
            <w:r>
              <w:t>42</w:t>
            </w:r>
          </w:p>
        </w:tc>
        <w:tc>
          <w:tcPr>
            <w:tcW w:w="624" w:type="pct"/>
            <w:vAlign w:val="center"/>
          </w:tcPr>
          <w:p w:rsidR="001F723F" w:rsidRDefault="000E68B0">
            <w:pPr>
              <w:pStyle w:val="Tabletext0"/>
              <w:jc w:val="right"/>
            </w:pPr>
            <w:r>
              <w:t>98.9</w:t>
            </w:r>
          </w:p>
        </w:tc>
      </w:tr>
      <w:tr w:rsidR="001F723F">
        <w:trPr>
          <w:cantSplit/>
          <w:tblHeader/>
          <w:jc w:val="center"/>
        </w:trPr>
        <w:tc>
          <w:tcPr>
            <w:tcW w:w="992" w:type="pct"/>
            <w:shd w:val="clear" w:color="auto" w:fill="auto"/>
            <w:vAlign w:val="center"/>
          </w:tcPr>
          <w:p w:rsidR="001F723F" w:rsidRDefault="000E68B0">
            <w:pPr>
              <w:pStyle w:val="Tabletext0"/>
            </w:pPr>
            <w:r>
              <w:t>Standard plate count</w:t>
            </w:r>
          </w:p>
        </w:tc>
        <w:tc>
          <w:tcPr>
            <w:tcW w:w="1119" w:type="pct"/>
          </w:tcPr>
          <w:p w:rsidR="001F723F" w:rsidRDefault="000E68B0">
            <w:pPr>
              <w:pStyle w:val="Tabletext0"/>
            </w:pPr>
            <w:r>
              <w:t>Cooked crustaceans</w:t>
            </w:r>
          </w:p>
        </w:tc>
        <w:tc>
          <w:tcPr>
            <w:tcW w:w="781" w:type="pct"/>
            <w:vAlign w:val="center"/>
          </w:tcPr>
          <w:p w:rsidR="001F723F" w:rsidRDefault="000E68B0">
            <w:pPr>
              <w:pStyle w:val="Tabletext0"/>
              <w:jc w:val="right"/>
            </w:pPr>
            <w:r>
              <w:t>1,095</w:t>
            </w:r>
          </w:p>
        </w:tc>
        <w:tc>
          <w:tcPr>
            <w:tcW w:w="626" w:type="pct"/>
            <w:shd w:val="clear" w:color="auto" w:fill="auto"/>
            <w:vAlign w:val="center"/>
          </w:tcPr>
          <w:p w:rsidR="001F723F" w:rsidRDefault="000E68B0">
            <w:pPr>
              <w:pStyle w:val="Tabletext0"/>
              <w:jc w:val="right"/>
            </w:pPr>
            <w:r>
              <w:t>1,073</w:t>
            </w:r>
          </w:p>
        </w:tc>
        <w:tc>
          <w:tcPr>
            <w:tcW w:w="859" w:type="pct"/>
            <w:vAlign w:val="center"/>
          </w:tcPr>
          <w:p w:rsidR="001F723F" w:rsidRDefault="000E68B0">
            <w:pPr>
              <w:pStyle w:val="Tabletext0"/>
              <w:jc w:val="right"/>
            </w:pPr>
            <w:r>
              <w:t>22</w:t>
            </w:r>
          </w:p>
        </w:tc>
        <w:tc>
          <w:tcPr>
            <w:tcW w:w="624" w:type="pct"/>
            <w:vAlign w:val="center"/>
          </w:tcPr>
          <w:p w:rsidR="001F723F" w:rsidRDefault="000E68B0">
            <w:pPr>
              <w:pStyle w:val="Tabletext0"/>
              <w:jc w:val="right"/>
            </w:pPr>
            <w:r>
              <w:t>98.0</w:t>
            </w:r>
          </w:p>
        </w:tc>
      </w:tr>
      <w:tr w:rsidR="001F723F">
        <w:trPr>
          <w:cantSplit/>
          <w:tblHeader/>
          <w:jc w:val="center"/>
        </w:trPr>
        <w:tc>
          <w:tcPr>
            <w:tcW w:w="992" w:type="pct"/>
            <w:shd w:val="clear" w:color="auto" w:fill="auto"/>
            <w:vAlign w:val="center"/>
          </w:tcPr>
          <w:p w:rsidR="001F723F" w:rsidRDefault="000E68B0">
            <w:pPr>
              <w:pStyle w:val="Tabletext0"/>
              <w:rPr>
                <w:i/>
              </w:rPr>
            </w:pPr>
            <w:r>
              <w:rPr>
                <w:i/>
              </w:rPr>
              <w:t xml:space="preserve">Vibrio </w:t>
            </w:r>
            <w:proofErr w:type="spellStart"/>
            <w:r>
              <w:rPr>
                <w:i/>
              </w:rPr>
              <w:t>cholerae</w:t>
            </w:r>
            <w:proofErr w:type="spellEnd"/>
          </w:p>
        </w:tc>
        <w:tc>
          <w:tcPr>
            <w:tcW w:w="1119" w:type="pct"/>
          </w:tcPr>
          <w:p w:rsidR="001F723F" w:rsidRDefault="000E68B0">
            <w:pPr>
              <w:pStyle w:val="Tabletext0"/>
            </w:pPr>
            <w:r>
              <w:t>Cooked prawns</w:t>
            </w:r>
          </w:p>
        </w:tc>
        <w:tc>
          <w:tcPr>
            <w:tcW w:w="781" w:type="pct"/>
            <w:vAlign w:val="center"/>
          </w:tcPr>
          <w:p w:rsidR="001F723F" w:rsidRDefault="000E68B0">
            <w:pPr>
              <w:pStyle w:val="Tabletext0"/>
              <w:jc w:val="right"/>
            </w:pPr>
            <w:r>
              <w:t>601</w:t>
            </w:r>
          </w:p>
        </w:tc>
        <w:tc>
          <w:tcPr>
            <w:tcW w:w="626" w:type="pct"/>
            <w:shd w:val="clear" w:color="auto" w:fill="auto"/>
            <w:vAlign w:val="center"/>
          </w:tcPr>
          <w:p w:rsidR="001F723F" w:rsidRDefault="000E68B0">
            <w:pPr>
              <w:pStyle w:val="Tabletext0"/>
              <w:jc w:val="right"/>
            </w:pPr>
            <w:r>
              <w:t>597</w:t>
            </w:r>
          </w:p>
        </w:tc>
        <w:tc>
          <w:tcPr>
            <w:tcW w:w="859" w:type="pct"/>
            <w:vAlign w:val="center"/>
          </w:tcPr>
          <w:p w:rsidR="001F723F" w:rsidRDefault="000E68B0">
            <w:pPr>
              <w:pStyle w:val="Tabletext0"/>
              <w:jc w:val="right"/>
            </w:pPr>
            <w:r>
              <w:t>4</w:t>
            </w:r>
          </w:p>
        </w:tc>
        <w:tc>
          <w:tcPr>
            <w:tcW w:w="624" w:type="pct"/>
            <w:vAlign w:val="center"/>
          </w:tcPr>
          <w:p w:rsidR="001F723F" w:rsidRDefault="000E68B0">
            <w:pPr>
              <w:pStyle w:val="Tabletext0"/>
              <w:jc w:val="right"/>
            </w:pPr>
            <w:r>
              <w:t>99.3</w:t>
            </w:r>
          </w:p>
        </w:tc>
      </w:tr>
      <w:tr w:rsidR="001F723F">
        <w:trPr>
          <w:cantSplit/>
          <w:tblHeader/>
          <w:jc w:val="center"/>
        </w:trPr>
        <w:tc>
          <w:tcPr>
            <w:tcW w:w="992" w:type="pct"/>
            <w:shd w:val="clear" w:color="auto" w:fill="auto"/>
            <w:vAlign w:val="center"/>
          </w:tcPr>
          <w:p w:rsidR="001F723F" w:rsidRDefault="000E68B0">
            <w:pPr>
              <w:pStyle w:val="Tabletext0"/>
              <w:rPr>
                <w:rStyle w:val="Strong"/>
              </w:rPr>
            </w:pPr>
            <w:r>
              <w:rPr>
                <w:rStyle w:val="Strong"/>
              </w:rPr>
              <w:t>Total</w:t>
            </w:r>
          </w:p>
        </w:tc>
        <w:tc>
          <w:tcPr>
            <w:tcW w:w="1119" w:type="pct"/>
          </w:tcPr>
          <w:p w:rsidR="001F723F" w:rsidRDefault="000E68B0">
            <w:pPr>
              <w:pStyle w:val="Tabletext0"/>
              <w:rPr>
                <w:rStyle w:val="Strong"/>
              </w:rPr>
            </w:pPr>
            <w:r>
              <w:rPr>
                <w:rStyle w:val="Strong"/>
              </w:rPr>
              <w:t>–</w:t>
            </w:r>
          </w:p>
        </w:tc>
        <w:tc>
          <w:tcPr>
            <w:tcW w:w="781" w:type="pct"/>
          </w:tcPr>
          <w:p w:rsidR="001F723F" w:rsidRDefault="000E68B0">
            <w:pPr>
              <w:pStyle w:val="Tabletext0"/>
              <w:jc w:val="right"/>
              <w:rPr>
                <w:rStyle w:val="Strong"/>
              </w:rPr>
            </w:pPr>
            <w:r>
              <w:rPr>
                <w:rStyle w:val="Strong"/>
              </w:rPr>
              <w:t>10,644</w:t>
            </w:r>
          </w:p>
        </w:tc>
        <w:tc>
          <w:tcPr>
            <w:tcW w:w="626" w:type="pct"/>
            <w:shd w:val="clear" w:color="auto" w:fill="auto"/>
          </w:tcPr>
          <w:p w:rsidR="001F723F" w:rsidRDefault="000E68B0">
            <w:pPr>
              <w:pStyle w:val="Tabletext0"/>
              <w:jc w:val="right"/>
              <w:rPr>
                <w:rStyle w:val="Strong"/>
              </w:rPr>
            </w:pPr>
            <w:r>
              <w:rPr>
                <w:rStyle w:val="Strong"/>
              </w:rPr>
              <w:t>10,543</w:t>
            </w:r>
          </w:p>
        </w:tc>
        <w:tc>
          <w:tcPr>
            <w:tcW w:w="859" w:type="pct"/>
          </w:tcPr>
          <w:p w:rsidR="001F723F" w:rsidRDefault="000E68B0">
            <w:pPr>
              <w:pStyle w:val="Tabletext0"/>
              <w:jc w:val="right"/>
              <w:rPr>
                <w:rStyle w:val="Strong"/>
              </w:rPr>
            </w:pPr>
            <w:r>
              <w:rPr>
                <w:rStyle w:val="Strong"/>
              </w:rPr>
              <w:t>101</w:t>
            </w:r>
          </w:p>
        </w:tc>
        <w:tc>
          <w:tcPr>
            <w:tcW w:w="624" w:type="pct"/>
          </w:tcPr>
          <w:p w:rsidR="001F723F" w:rsidRDefault="000E68B0">
            <w:pPr>
              <w:pStyle w:val="Tabletext0"/>
              <w:jc w:val="right"/>
              <w:rPr>
                <w:rStyle w:val="Strong"/>
              </w:rPr>
            </w:pPr>
            <w:r>
              <w:rPr>
                <w:rStyle w:val="Strong"/>
              </w:rPr>
              <w:t>99.1</w:t>
            </w:r>
          </w:p>
        </w:tc>
      </w:tr>
    </w:tbl>
    <w:p w:rsidR="001F723F" w:rsidRDefault="000E68B0">
      <w:pPr>
        <w:pStyle w:val="FigureTableNoteSource"/>
      </w:pPr>
      <w:r>
        <w:t>Source: AIMS database</w:t>
      </w:r>
    </w:p>
    <w:p w:rsidR="001F723F" w:rsidRDefault="000E68B0">
      <w:pPr>
        <w:pStyle w:val="Heading3"/>
      </w:pPr>
      <w:bookmarkStart w:id="80" w:name="_Toc516131648"/>
      <w:bookmarkStart w:id="81" w:name="_Toc516132098"/>
      <w:bookmarkStart w:id="82" w:name="_Toc520880946"/>
      <w:bookmarkStart w:id="83" w:name="_Toc16519511"/>
      <w:r>
        <w:lastRenderedPageBreak/>
        <w:t>Results, by commodity groups</w:t>
      </w:r>
      <w:bookmarkEnd w:id="80"/>
      <w:bookmarkEnd w:id="81"/>
      <w:bookmarkEnd w:id="82"/>
      <w:bookmarkEnd w:id="83"/>
    </w:p>
    <w:p w:rsidR="001F723F" w:rsidRDefault="000E68B0">
      <w:pPr>
        <w:spacing w:after="0" w:line="240" w:lineRule="auto"/>
        <w:rPr>
          <w:rFonts w:ascii="Calibri" w:hAnsi="Calibri"/>
          <w:b/>
          <w:bCs/>
          <w:sz w:val="24"/>
          <w:szCs w:val="18"/>
        </w:rPr>
      </w:pPr>
      <w:r>
        <w:fldChar w:fldCharType="begin"/>
      </w:r>
      <w:r>
        <w:instrText xml:space="preserve"> REF _Ref15563592 \h </w:instrText>
      </w:r>
      <w:r>
        <w:fldChar w:fldCharType="separate"/>
      </w:r>
      <w:r>
        <w:t xml:space="preserve">Figure </w:t>
      </w:r>
      <w:r>
        <w:rPr>
          <w:noProof/>
        </w:rPr>
        <w:t>6</w:t>
      </w:r>
      <w:r>
        <w:fldChar w:fldCharType="end"/>
      </w:r>
      <w:r>
        <w:t xml:space="preserve"> and </w:t>
      </w:r>
      <w:r>
        <w:fldChar w:fldCharType="begin"/>
      </w:r>
      <w:r>
        <w:instrText xml:space="preserve"> REF _Ref520880238 \h </w:instrText>
      </w:r>
      <w:r>
        <w:fldChar w:fldCharType="separate"/>
      </w:r>
      <w:r>
        <w:t xml:space="preserve">Table </w:t>
      </w:r>
      <w:r>
        <w:rPr>
          <w:noProof/>
        </w:rPr>
        <w:t>7</w:t>
      </w:r>
      <w:r>
        <w:fldChar w:fldCharType="end"/>
      </w:r>
      <w:r>
        <w:t xml:space="preserve"> provide an overview of tests applied to food commodity groups. The results indicate the commodities most often tested and not the volume of trade in particular commodities. Several factors determine the frequency of inspections:</w:t>
      </w:r>
    </w:p>
    <w:p w:rsidR="001F723F" w:rsidRDefault="000E68B0">
      <w:pPr>
        <w:pStyle w:val="ListBullet"/>
        <w:spacing w:after="200"/>
        <w:ind w:left="426" w:hanging="426"/>
      </w:pPr>
      <w:r>
        <w:t>commodity groups that contain more risk food or are imported more frequently will have a higher representation under the inspection activity</w:t>
      </w:r>
    </w:p>
    <w:p w:rsidR="001F723F" w:rsidRDefault="000E68B0">
      <w:pPr>
        <w:pStyle w:val="ListBullet"/>
        <w:spacing w:before="0" w:after="200"/>
        <w:ind w:left="426" w:hanging="426"/>
      </w:pPr>
      <w:proofErr w:type="gramStart"/>
      <w:r>
        <w:t>the</w:t>
      </w:r>
      <w:proofErr w:type="gramEnd"/>
      <w:r>
        <w:t xml:space="preserve"> rate of inspection and analysis of food identified as 'failing food' is increased to 100% until compliance has been demonstrated.</w:t>
      </w:r>
    </w:p>
    <w:p w:rsidR="001F723F" w:rsidRDefault="000E68B0">
      <w:pPr>
        <w:pStyle w:val="Heading4"/>
      </w:pPr>
      <w:r>
        <w:t>Test data, by commodity groups</w:t>
      </w:r>
    </w:p>
    <w:p w:rsidR="001F723F" w:rsidRDefault="000E68B0">
      <w:r>
        <w:fldChar w:fldCharType="begin"/>
      </w:r>
      <w:r>
        <w:instrText xml:space="preserve"> REF _Ref15563592 \h </w:instrText>
      </w:r>
      <w:r>
        <w:fldChar w:fldCharType="separate"/>
      </w:r>
      <w:r>
        <w:t xml:space="preserve">Figure </w:t>
      </w:r>
      <w:r>
        <w:rPr>
          <w:noProof/>
        </w:rPr>
        <w:t>6</w:t>
      </w:r>
      <w:r>
        <w:fldChar w:fldCharType="end"/>
      </w:r>
      <w:r>
        <w:t xml:space="preserve"> shows that seafood was the commodity subject to the most testing (18.4%) in 2018. This commodity includes fresh, chilled, frozen and processed seafood products. This was followed by horticulture (including fresh and processed fruit and vegetables) (13.4%).</w:t>
      </w:r>
    </w:p>
    <w:p w:rsidR="001F723F" w:rsidRDefault="000E68B0">
      <w:pPr>
        <w:pStyle w:val="Caption"/>
      </w:pPr>
      <w:bookmarkStart w:id="84" w:name="_Ref15563592"/>
      <w:bookmarkStart w:id="85" w:name="_Toc518543535"/>
      <w:bookmarkStart w:id="86" w:name="_Toc520880972"/>
      <w:bookmarkStart w:id="87" w:name="_Toc16519544"/>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84"/>
      <w:r>
        <w:t xml:space="preserve"> Percentage of tests applied, by commodity group</w:t>
      </w:r>
      <w:bookmarkEnd w:id="85"/>
      <w:r>
        <w:t xml:space="preserve">, </w:t>
      </w:r>
      <w:bookmarkEnd w:id="86"/>
      <w:r>
        <w:t>2018</w:t>
      </w:r>
      <w:bookmarkEnd w:id="87"/>
    </w:p>
    <w:p w:rsidR="001F723F" w:rsidRDefault="000E68B0">
      <w:r>
        <w:rPr>
          <w:noProof/>
          <w:lang w:eastAsia="en-AU"/>
        </w:rPr>
        <w:drawing>
          <wp:inline distT="0" distB="0" distL="0" distR="0" wp14:anchorId="315BA312" wp14:editId="238BB19F">
            <wp:extent cx="5305425" cy="2971800"/>
            <wp:effectExtent l="0" t="0" r="0" b="0"/>
            <wp:docPr id="6" name="Chart 6" descr="Beverages 9.7%, cereals 4.0%, dairy 6.9%, eggs less than 0.1%,&#10;honey less than 0.1%, horticulture 13.4%, meat 3.5%, other 44.0%, seafood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F723F" w:rsidRDefault="000E73FE">
      <w:hyperlink w:anchor="_Appendix_A:_Analytical" w:history="1">
        <w:r w:rsidR="000E68B0">
          <w:rPr>
            <w:rStyle w:val="Hyperlink"/>
          </w:rPr>
          <w:t>Appendix A</w:t>
        </w:r>
      </w:hyperlink>
      <w:r w:rsidR="000E68B0">
        <w:t xml:space="preserve"> provides an overview of the analytical tests applied to the commodity groups and </w:t>
      </w:r>
      <w:hyperlink w:anchor="_Appendix_B:_Tariff" w:history="1">
        <w:r w:rsidR="000E68B0">
          <w:rPr>
            <w:rStyle w:val="Hyperlink"/>
          </w:rPr>
          <w:t>Appendix B</w:t>
        </w:r>
      </w:hyperlink>
      <w:r w:rsidR="000E68B0">
        <w:t xml:space="preserve"> lists the tariff codes associated with each commodity grouping.</w:t>
      </w:r>
    </w:p>
    <w:p w:rsidR="001F723F" w:rsidRDefault="000E68B0">
      <w:pPr>
        <w:pStyle w:val="Caption"/>
      </w:pPr>
      <w:bookmarkStart w:id="88" w:name="_Ref520880238"/>
      <w:bookmarkStart w:id="89" w:name="_Toc520814508"/>
      <w:bookmarkStart w:id="90" w:name="_Toc520880963"/>
      <w:bookmarkStart w:id="91" w:name="_Toc16519523"/>
      <w: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88"/>
      <w:r>
        <w:t xml:space="preserve"> Inspection and test data, by commodity group</w:t>
      </w:r>
      <w:bookmarkEnd w:id="89"/>
      <w:r>
        <w:t xml:space="preserve">, </w:t>
      </w:r>
      <w:bookmarkEnd w:id="90"/>
      <w:r>
        <w:t>2018</w:t>
      </w:r>
      <w:bookmarkEnd w:id="91"/>
    </w:p>
    <w:tbl>
      <w:tblPr>
        <w:tblW w:w="5000" w:type="pct"/>
        <w:tblBorders>
          <w:top w:val="single" w:sz="4" w:space="0" w:color="auto"/>
          <w:bottom w:val="single" w:sz="4" w:space="0" w:color="auto"/>
        </w:tblBorders>
        <w:tblLook w:val="04A0" w:firstRow="1" w:lastRow="0" w:firstColumn="1" w:lastColumn="0" w:noHBand="0" w:noVBand="1"/>
      </w:tblPr>
      <w:tblGrid>
        <w:gridCol w:w="2976"/>
        <w:gridCol w:w="1702"/>
        <w:gridCol w:w="1419"/>
        <w:gridCol w:w="1558"/>
        <w:gridCol w:w="1415"/>
      </w:tblGrid>
      <w:tr w:rsidR="001F723F">
        <w:trPr>
          <w:cantSplit/>
          <w:tblHeader/>
        </w:trPr>
        <w:tc>
          <w:tcPr>
            <w:tcW w:w="1641" w:type="pct"/>
            <w:shd w:val="clear" w:color="auto" w:fill="auto"/>
          </w:tcPr>
          <w:p w:rsidR="001F723F" w:rsidRDefault="000E68B0">
            <w:pPr>
              <w:pStyle w:val="Tableheading0"/>
            </w:pPr>
            <w:r>
              <w:t>Commodity group</w:t>
            </w:r>
          </w:p>
        </w:tc>
        <w:tc>
          <w:tcPr>
            <w:tcW w:w="938" w:type="pct"/>
          </w:tcPr>
          <w:p w:rsidR="001F723F" w:rsidRDefault="000E68B0">
            <w:pPr>
              <w:pStyle w:val="Tableheading0"/>
              <w:jc w:val="right"/>
            </w:pPr>
            <w:r>
              <w:t>Tests applied (no.)</w:t>
            </w:r>
          </w:p>
        </w:tc>
        <w:tc>
          <w:tcPr>
            <w:tcW w:w="782" w:type="pct"/>
            <w:shd w:val="clear" w:color="auto" w:fill="auto"/>
          </w:tcPr>
          <w:p w:rsidR="001F723F" w:rsidRDefault="000E68B0">
            <w:pPr>
              <w:pStyle w:val="Tableheading0"/>
              <w:jc w:val="right"/>
            </w:pPr>
            <w:r>
              <w:t>Compliant (no.)</w:t>
            </w:r>
          </w:p>
        </w:tc>
        <w:tc>
          <w:tcPr>
            <w:tcW w:w="859" w:type="pct"/>
          </w:tcPr>
          <w:p w:rsidR="001F723F" w:rsidRDefault="000E68B0">
            <w:pPr>
              <w:pStyle w:val="Tableheading0"/>
              <w:jc w:val="right"/>
            </w:pPr>
            <w:r>
              <w:t>Non-compliant (no.)</w:t>
            </w:r>
          </w:p>
        </w:tc>
        <w:tc>
          <w:tcPr>
            <w:tcW w:w="780" w:type="pct"/>
          </w:tcPr>
          <w:p w:rsidR="001F723F" w:rsidRDefault="000E68B0">
            <w:pPr>
              <w:pStyle w:val="Tableheading0"/>
              <w:jc w:val="right"/>
            </w:pPr>
            <w:r>
              <w:t>Compliant (%)</w:t>
            </w:r>
          </w:p>
        </w:tc>
      </w:tr>
      <w:tr w:rsidR="001F723F">
        <w:trPr>
          <w:cantSplit/>
        </w:trPr>
        <w:tc>
          <w:tcPr>
            <w:tcW w:w="1641" w:type="pct"/>
            <w:shd w:val="clear" w:color="auto" w:fill="auto"/>
          </w:tcPr>
          <w:p w:rsidR="001F723F" w:rsidRDefault="000E68B0">
            <w:pPr>
              <w:pStyle w:val="Tabletext0"/>
            </w:pPr>
            <w:r>
              <w:t>Beverages</w:t>
            </w:r>
          </w:p>
        </w:tc>
        <w:tc>
          <w:tcPr>
            <w:tcW w:w="938" w:type="pct"/>
            <w:vAlign w:val="bottom"/>
          </w:tcPr>
          <w:p w:rsidR="001F723F" w:rsidRDefault="000E68B0">
            <w:pPr>
              <w:pStyle w:val="Tabletext0"/>
              <w:jc w:val="right"/>
            </w:pPr>
            <w:r>
              <w:t>11,560</w:t>
            </w:r>
          </w:p>
        </w:tc>
        <w:tc>
          <w:tcPr>
            <w:tcW w:w="782" w:type="pct"/>
            <w:shd w:val="clear" w:color="auto" w:fill="auto"/>
            <w:vAlign w:val="bottom"/>
          </w:tcPr>
          <w:p w:rsidR="001F723F" w:rsidRDefault="000E68B0">
            <w:pPr>
              <w:pStyle w:val="Tabletext0"/>
              <w:jc w:val="right"/>
            </w:pPr>
            <w:r>
              <w:t>11,310</w:t>
            </w:r>
          </w:p>
        </w:tc>
        <w:tc>
          <w:tcPr>
            <w:tcW w:w="859" w:type="pct"/>
            <w:vAlign w:val="bottom"/>
          </w:tcPr>
          <w:p w:rsidR="001F723F" w:rsidRDefault="000E68B0">
            <w:pPr>
              <w:pStyle w:val="Tabletext0"/>
              <w:jc w:val="right"/>
            </w:pPr>
            <w:r>
              <w:t>250</w:t>
            </w:r>
          </w:p>
        </w:tc>
        <w:tc>
          <w:tcPr>
            <w:tcW w:w="780" w:type="pct"/>
            <w:vAlign w:val="bottom"/>
          </w:tcPr>
          <w:p w:rsidR="001F723F" w:rsidRDefault="000E68B0">
            <w:pPr>
              <w:pStyle w:val="Tabletext0"/>
              <w:jc w:val="right"/>
            </w:pPr>
            <w:r>
              <w:t>97.8</w:t>
            </w:r>
          </w:p>
        </w:tc>
      </w:tr>
      <w:tr w:rsidR="001F723F">
        <w:trPr>
          <w:cantSplit/>
        </w:trPr>
        <w:tc>
          <w:tcPr>
            <w:tcW w:w="1641" w:type="pct"/>
            <w:shd w:val="clear" w:color="auto" w:fill="auto"/>
          </w:tcPr>
          <w:p w:rsidR="001F723F" w:rsidRDefault="000E68B0">
            <w:pPr>
              <w:pStyle w:val="Tabletext0"/>
            </w:pPr>
            <w:r>
              <w:t>Cereals, flours and milled products</w:t>
            </w:r>
          </w:p>
        </w:tc>
        <w:tc>
          <w:tcPr>
            <w:tcW w:w="938" w:type="pct"/>
            <w:vAlign w:val="center"/>
          </w:tcPr>
          <w:p w:rsidR="001F723F" w:rsidRDefault="000E68B0">
            <w:pPr>
              <w:pStyle w:val="Tabletext0"/>
              <w:jc w:val="right"/>
            </w:pPr>
            <w:r>
              <w:t>4,740</w:t>
            </w:r>
          </w:p>
        </w:tc>
        <w:tc>
          <w:tcPr>
            <w:tcW w:w="782" w:type="pct"/>
            <w:shd w:val="clear" w:color="auto" w:fill="auto"/>
            <w:vAlign w:val="center"/>
          </w:tcPr>
          <w:p w:rsidR="001F723F" w:rsidRDefault="000E68B0">
            <w:pPr>
              <w:pStyle w:val="Tabletext0"/>
              <w:jc w:val="right"/>
            </w:pPr>
            <w:r>
              <w:t>4,686</w:t>
            </w:r>
          </w:p>
        </w:tc>
        <w:tc>
          <w:tcPr>
            <w:tcW w:w="859" w:type="pct"/>
            <w:vAlign w:val="center"/>
          </w:tcPr>
          <w:p w:rsidR="001F723F" w:rsidRDefault="000E68B0">
            <w:pPr>
              <w:pStyle w:val="Tabletext0"/>
              <w:jc w:val="right"/>
            </w:pPr>
            <w:r>
              <w:t>54</w:t>
            </w:r>
          </w:p>
        </w:tc>
        <w:tc>
          <w:tcPr>
            <w:tcW w:w="780" w:type="pct"/>
            <w:vAlign w:val="center"/>
          </w:tcPr>
          <w:p w:rsidR="001F723F" w:rsidRDefault="000E68B0">
            <w:pPr>
              <w:pStyle w:val="Tabletext0"/>
              <w:jc w:val="right"/>
            </w:pPr>
            <w:r>
              <w:t>98.9</w:t>
            </w:r>
          </w:p>
        </w:tc>
      </w:tr>
      <w:tr w:rsidR="001F723F">
        <w:trPr>
          <w:cantSplit/>
        </w:trPr>
        <w:tc>
          <w:tcPr>
            <w:tcW w:w="1641" w:type="pct"/>
            <w:shd w:val="clear" w:color="auto" w:fill="auto"/>
          </w:tcPr>
          <w:p w:rsidR="001F723F" w:rsidRDefault="000E68B0">
            <w:pPr>
              <w:pStyle w:val="Tabletext0"/>
            </w:pPr>
            <w:r>
              <w:t>Dairy</w:t>
            </w:r>
          </w:p>
        </w:tc>
        <w:tc>
          <w:tcPr>
            <w:tcW w:w="938" w:type="pct"/>
            <w:vAlign w:val="bottom"/>
          </w:tcPr>
          <w:p w:rsidR="001F723F" w:rsidRDefault="000E68B0">
            <w:pPr>
              <w:pStyle w:val="Tabletext0"/>
              <w:jc w:val="right"/>
            </w:pPr>
            <w:r>
              <w:t>8,234</w:t>
            </w:r>
          </w:p>
        </w:tc>
        <w:tc>
          <w:tcPr>
            <w:tcW w:w="782" w:type="pct"/>
            <w:shd w:val="clear" w:color="auto" w:fill="auto"/>
            <w:vAlign w:val="bottom"/>
          </w:tcPr>
          <w:p w:rsidR="001F723F" w:rsidRDefault="000E68B0">
            <w:pPr>
              <w:pStyle w:val="Tabletext0"/>
              <w:jc w:val="right"/>
            </w:pPr>
            <w:r>
              <w:t>8,176</w:t>
            </w:r>
          </w:p>
        </w:tc>
        <w:tc>
          <w:tcPr>
            <w:tcW w:w="859" w:type="pct"/>
            <w:vAlign w:val="bottom"/>
          </w:tcPr>
          <w:p w:rsidR="001F723F" w:rsidRDefault="000E68B0">
            <w:pPr>
              <w:pStyle w:val="Tabletext0"/>
              <w:jc w:val="right"/>
            </w:pPr>
            <w:r>
              <w:t>58</w:t>
            </w:r>
          </w:p>
        </w:tc>
        <w:tc>
          <w:tcPr>
            <w:tcW w:w="780" w:type="pct"/>
            <w:vAlign w:val="bottom"/>
          </w:tcPr>
          <w:p w:rsidR="001F723F" w:rsidRDefault="000E68B0">
            <w:pPr>
              <w:pStyle w:val="Tabletext0"/>
              <w:jc w:val="right"/>
            </w:pPr>
            <w:r>
              <w:t>99.3</w:t>
            </w:r>
          </w:p>
        </w:tc>
      </w:tr>
      <w:tr w:rsidR="001F723F">
        <w:trPr>
          <w:cantSplit/>
          <w:trHeight w:val="53"/>
        </w:trPr>
        <w:tc>
          <w:tcPr>
            <w:tcW w:w="1641" w:type="pct"/>
            <w:shd w:val="clear" w:color="auto" w:fill="auto"/>
          </w:tcPr>
          <w:p w:rsidR="001F723F" w:rsidRDefault="000E68B0">
            <w:pPr>
              <w:pStyle w:val="Tabletext0"/>
              <w:rPr>
                <w:highlight w:val="yellow"/>
              </w:rPr>
            </w:pPr>
            <w:r>
              <w:t>Eggs</w:t>
            </w:r>
          </w:p>
        </w:tc>
        <w:tc>
          <w:tcPr>
            <w:tcW w:w="938" w:type="pct"/>
            <w:vAlign w:val="bottom"/>
          </w:tcPr>
          <w:p w:rsidR="001F723F" w:rsidRDefault="000E68B0">
            <w:pPr>
              <w:pStyle w:val="Tabletext0"/>
              <w:jc w:val="right"/>
            </w:pPr>
            <w:r>
              <w:t>34</w:t>
            </w:r>
          </w:p>
        </w:tc>
        <w:tc>
          <w:tcPr>
            <w:tcW w:w="782" w:type="pct"/>
            <w:shd w:val="clear" w:color="auto" w:fill="auto"/>
            <w:vAlign w:val="bottom"/>
          </w:tcPr>
          <w:p w:rsidR="001F723F" w:rsidRDefault="000E68B0">
            <w:pPr>
              <w:pStyle w:val="Tabletext0"/>
              <w:jc w:val="right"/>
            </w:pPr>
            <w:r>
              <w:t>32</w:t>
            </w:r>
          </w:p>
        </w:tc>
        <w:tc>
          <w:tcPr>
            <w:tcW w:w="859" w:type="pct"/>
            <w:vAlign w:val="bottom"/>
          </w:tcPr>
          <w:p w:rsidR="001F723F" w:rsidRDefault="000E68B0">
            <w:pPr>
              <w:pStyle w:val="Tabletext0"/>
              <w:jc w:val="right"/>
            </w:pPr>
            <w:r>
              <w:t>2</w:t>
            </w:r>
          </w:p>
        </w:tc>
        <w:tc>
          <w:tcPr>
            <w:tcW w:w="780" w:type="pct"/>
            <w:vAlign w:val="bottom"/>
          </w:tcPr>
          <w:p w:rsidR="001F723F" w:rsidRDefault="000E68B0">
            <w:pPr>
              <w:pStyle w:val="Tabletext0"/>
              <w:jc w:val="right"/>
            </w:pPr>
            <w:r>
              <w:t>94.1</w:t>
            </w:r>
          </w:p>
        </w:tc>
      </w:tr>
      <w:tr w:rsidR="001F723F">
        <w:trPr>
          <w:cantSplit/>
        </w:trPr>
        <w:tc>
          <w:tcPr>
            <w:tcW w:w="1641" w:type="pct"/>
            <w:shd w:val="clear" w:color="auto" w:fill="auto"/>
          </w:tcPr>
          <w:p w:rsidR="001F723F" w:rsidRDefault="000E68B0">
            <w:pPr>
              <w:pStyle w:val="Tabletext0"/>
            </w:pPr>
            <w:r>
              <w:lastRenderedPageBreak/>
              <w:t>Honey</w:t>
            </w:r>
          </w:p>
        </w:tc>
        <w:tc>
          <w:tcPr>
            <w:tcW w:w="938" w:type="pct"/>
            <w:vAlign w:val="bottom"/>
          </w:tcPr>
          <w:p w:rsidR="001F723F" w:rsidRDefault="000E68B0">
            <w:pPr>
              <w:pStyle w:val="Tabletext0"/>
              <w:jc w:val="right"/>
            </w:pPr>
            <w:r>
              <w:t>136</w:t>
            </w:r>
          </w:p>
        </w:tc>
        <w:tc>
          <w:tcPr>
            <w:tcW w:w="782" w:type="pct"/>
            <w:shd w:val="clear" w:color="auto" w:fill="auto"/>
            <w:vAlign w:val="bottom"/>
          </w:tcPr>
          <w:p w:rsidR="001F723F" w:rsidRDefault="000E68B0">
            <w:pPr>
              <w:pStyle w:val="Tabletext0"/>
              <w:jc w:val="right"/>
            </w:pPr>
            <w:r>
              <w:t>134</w:t>
            </w:r>
          </w:p>
        </w:tc>
        <w:tc>
          <w:tcPr>
            <w:tcW w:w="859" w:type="pct"/>
            <w:vAlign w:val="bottom"/>
          </w:tcPr>
          <w:p w:rsidR="001F723F" w:rsidRDefault="000E68B0">
            <w:pPr>
              <w:pStyle w:val="Tabletext0"/>
              <w:jc w:val="right"/>
            </w:pPr>
            <w:r>
              <w:t>2</w:t>
            </w:r>
          </w:p>
        </w:tc>
        <w:tc>
          <w:tcPr>
            <w:tcW w:w="780" w:type="pct"/>
            <w:vAlign w:val="bottom"/>
          </w:tcPr>
          <w:p w:rsidR="001F723F" w:rsidRDefault="000E68B0">
            <w:pPr>
              <w:pStyle w:val="Tabletext0"/>
              <w:jc w:val="right"/>
            </w:pPr>
            <w:r>
              <w:t>98.5</w:t>
            </w:r>
          </w:p>
        </w:tc>
      </w:tr>
      <w:tr w:rsidR="001F723F">
        <w:trPr>
          <w:cantSplit/>
        </w:trPr>
        <w:tc>
          <w:tcPr>
            <w:tcW w:w="1641" w:type="pct"/>
            <w:shd w:val="clear" w:color="auto" w:fill="auto"/>
          </w:tcPr>
          <w:p w:rsidR="001F723F" w:rsidRDefault="000E68B0">
            <w:pPr>
              <w:pStyle w:val="Tabletext0"/>
            </w:pPr>
            <w:r>
              <w:t>Horticulture</w:t>
            </w:r>
          </w:p>
        </w:tc>
        <w:tc>
          <w:tcPr>
            <w:tcW w:w="938" w:type="pct"/>
            <w:vAlign w:val="bottom"/>
          </w:tcPr>
          <w:p w:rsidR="001F723F" w:rsidRDefault="000E68B0">
            <w:pPr>
              <w:pStyle w:val="Tabletext0"/>
              <w:jc w:val="right"/>
            </w:pPr>
            <w:r>
              <w:t>16,059</w:t>
            </w:r>
          </w:p>
        </w:tc>
        <w:tc>
          <w:tcPr>
            <w:tcW w:w="782" w:type="pct"/>
            <w:shd w:val="clear" w:color="auto" w:fill="auto"/>
            <w:vAlign w:val="bottom"/>
          </w:tcPr>
          <w:p w:rsidR="001F723F" w:rsidRDefault="000E68B0">
            <w:pPr>
              <w:pStyle w:val="Tabletext0"/>
              <w:jc w:val="right"/>
            </w:pPr>
            <w:r>
              <w:t>15,802</w:t>
            </w:r>
          </w:p>
        </w:tc>
        <w:tc>
          <w:tcPr>
            <w:tcW w:w="859" w:type="pct"/>
            <w:vAlign w:val="bottom"/>
          </w:tcPr>
          <w:p w:rsidR="001F723F" w:rsidRDefault="000E68B0">
            <w:pPr>
              <w:pStyle w:val="Tabletext0"/>
              <w:jc w:val="right"/>
            </w:pPr>
            <w:r>
              <w:t>257</w:t>
            </w:r>
          </w:p>
        </w:tc>
        <w:tc>
          <w:tcPr>
            <w:tcW w:w="780" w:type="pct"/>
            <w:vAlign w:val="bottom"/>
          </w:tcPr>
          <w:p w:rsidR="001F723F" w:rsidRDefault="000E68B0">
            <w:pPr>
              <w:pStyle w:val="Tabletext0"/>
              <w:jc w:val="right"/>
            </w:pPr>
            <w:r>
              <w:t>98.4</w:t>
            </w:r>
          </w:p>
        </w:tc>
      </w:tr>
      <w:tr w:rsidR="001F723F">
        <w:trPr>
          <w:cantSplit/>
        </w:trPr>
        <w:tc>
          <w:tcPr>
            <w:tcW w:w="1641" w:type="pct"/>
            <w:shd w:val="clear" w:color="auto" w:fill="auto"/>
          </w:tcPr>
          <w:p w:rsidR="001F723F" w:rsidRDefault="000E68B0">
            <w:pPr>
              <w:pStyle w:val="Tabletext0"/>
            </w:pPr>
            <w:r>
              <w:t>Meat</w:t>
            </w:r>
          </w:p>
        </w:tc>
        <w:tc>
          <w:tcPr>
            <w:tcW w:w="938" w:type="pct"/>
            <w:vAlign w:val="bottom"/>
          </w:tcPr>
          <w:p w:rsidR="001F723F" w:rsidRDefault="000E68B0">
            <w:pPr>
              <w:pStyle w:val="Tabletext0"/>
              <w:jc w:val="right"/>
            </w:pPr>
            <w:r>
              <w:t>4,185</w:t>
            </w:r>
          </w:p>
        </w:tc>
        <w:tc>
          <w:tcPr>
            <w:tcW w:w="782" w:type="pct"/>
            <w:shd w:val="clear" w:color="auto" w:fill="auto"/>
            <w:vAlign w:val="bottom"/>
          </w:tcPr>
          <w:p w:rsidR="001F723F" w:rsidRDefault="000E68B0">
            <w:pPr>
              <w:pStyle w:val="Tabletext0"/>
              <w:jc w:val="right"/>
            </w:pPr>
            <w:r>
              <w:t>4,181</w:t>
            </w:r>
          </w:p>
        </w:tc>
        <w:tc>
          <w:tcPr>
            <w:tcW w:w="859" w:type="pct"/>
            <w:vAlign w:val="bottom"/>
          </w:tcPr>
          <w:p w:rsidR="001F723F" w:rsidRDefault="000E68B0">
            <w:pPr>
              <w:pStyle w:val="Tabletext0"/>
              <w:jc w:val="right"/>
            </w:pPr>
            <w:r>
              <w:t>4</w:t>
            </w:r>
          </w:p>
        </w:tc>
        <w:tc>
          <w:tcPr>
            <w:tcW w:w="780" w:type="pct"/>
            <w:vAlign w:val="bottom"/>
          </w:tcPr>
          <w:p w:rsidR="001F723F" w:rsidRDefault="000E68B0">
            <w:pPr>
              <w:pStyle w:val="Tabletext0"/>
              <w:jc w:val="right"/>
            </w:pPr>
            <w:r>
              <w:t>99.9</w:t>
            </w:r>
          </w:p>
        </w:tc>
      </w:tr>
      <w:tr w:rsidR="001F723F">
        <w:trPr>
          <w:cantSplit/>
        </w:trPr>
        <w:tc>
          <w:tcPr>
            <w:tcW w:w="1641" w:type="pct"/>
            <w:shd w:val="clear" w:color="auto" w:fill="auto"/>
          </w:tcPr>
          <w:p w:rsidR="001F723F" w:rsidRDefault="000E68B0">
            <w:pPr>
              <w:pStyle w:val="Tabletext0"/>
            </w:pPr>
            <w:r>
              <w:t>Other (incl. processed food)</w:t>
            </w:r>
          </w:p>
        </w:tc>
        <w:tc>
          <w:tcPr>
            <w:tcW w:w="938" w:type="pct"/>
            <w:vAlign w:val="bottom"/>
          </w:tcPr>
          <w:p w:rsidR="001F723F" w:rsidRDefault="000E68B0">
            <w:pPr>
              <w:pStyle w:val="Tabletext0"/>
              <w:jc w:val="right"/>
            </w:pPr>
            <w:r>
              <w:t>52,571</w:t>
            </w:r>
          </w:p>
        </w:tc>
        <w:tc>
          <w:tcPr>
            <w:tcW w:w="782" w:type="pct"/>
            <w:shd w:val="clear" w:color="auto" w:fill="auto"/>
            <w:vAlign w:val="bottom"/>
          </w:tcPr>
          <w:p w:rsidR="001F723F" w:rsidRDefault="000E68B0">
            <w:pPr>
              <w:pStyle w:val="Tabletext0"/>
              <w:jc w:val="right"/>
            </w:pPr>
            <w:r>
              <w:t>51,509</w:t>
            </w:r>
          </w:p>
        </w:tc>
        <w:tc>
          <w:tcPr>
            <w:tcW w:w="859" w:type="pct"/>
            <w:vAlign w:val="bottom"/>
          </w:tcPr>
          <w:p w:rsidR="001F723F" w:rsidRDefault="000E68B0">
            <w:pPr>
              <w:pStyle w:val="Tabletext0"/>
              <w:jc w:val="right"/>
            </w:pPr>
            <w:r>
              <w:t>1,062</w:t>
            </w:r>
          </w:p>
        </w:tc>
        <w:tc>
          <w:tcPr>
            <w:tcW w:w="780" w:type="pct"/>
            <w:vAlign w:val="bottom"/>
          </w:tcPr>
          <w:p w:rsidR="001F723F" w:rsidRDefault="000E68B0">
            <w:pPr>
              <w:pStyle w:val="Tabletext0"/>
              <w:jc w:val="right"/>
            </w:pPr>
            <w:r>
              <w:t>98.0</w:t>
            </w:r>
          </w:p>
        </w:tc>
      </w:tr>
      <w:tr w:rsidR="001F723F">
        <w:trPr>
          <w:cantSplit/>
        </w:trPr>
        <w:tc>
          <w:tcPr>
            <w:tcW w:w="1641" w:type="pct"/>
            <w:shd w:val="clear" w:color="auto" w:fill="auto"/>
          </w:tcPr>
          <w:p w:rsidR="001F723F" w:rsidRDefault="000E68B0">
            <w:pPr>
              <w:pStyle w:val="Tabletext0"/>
            </w:pPr>
            <w:r>
              <w:t>Seafood</w:t>
            </w:r>
          </w:p>
        </w:tc>
        <w:tc>
          <w:tcPr>
            <w:tcW w:w="938" w:type="pct"/>
            <w:vAlign w:val="bottom"/>
          </w:tcPr>
          <w:p w:rsidR="001F723F" w:rsidRDefault="000E68B0">
            <w:pPr>
              <w:pStyle w:val="Tabletext0"/>
              <w:jc w:val="right"/>
            </w:pPr>
            <w:r>
              <w:t>21,980</w:t>
            </w:r>
          </w:p>
        </w:tc>
        <w:tc>
          <w:tcPr>
            <w:tcW w:w="782" w:type="pct"/>
            <w:shd w:val="clear" w:color="auto" w:fill="auto"/>
            <w:vAlign w:val="bottom"/>
          </w:tcPr>
          <w:p w:rsidR="001F723F" w:rsidRDefault="000E68B0">
            <w:pPr>
              <w:pStyle w:val="Tabletext0"/>
              <w:jc w:val="right"/>
            </w:pPr>
            <w:r>
              <w:t>21,751</w:t>
            </w:r>
          </w:p>
        </w:tc>
        <w:tc>
          <w:tcPr>
            <w:tcW w:w="859" w:type="pct"/>
            <w:vAlign w:val="bottom"/>
          </w:tcPr>
          <w:p w:rsidR="001F723F" w:rsidRDefault="000E68B0">
            <w:pPr>
              <w:pStyle w:val="Tabletext0"/>
              <w:jc w:val="right"/>
            </w:pPr>
            <w:r>
              <w:t>229</w:t>
            </w:r>
          </w:p>
        </w:tc>
        <w:tc>
          <w:tcPr>
            <w:tcW w:w="780" w:type="pct"/>
            <w:vAlign w:val="bottom"/>
          </w:tcPr>
          <w:p w:rsidR="001F723F" w:rsidRDefault="000E68B0">
            <w:pPr>
              <w:pStyle w:val="Tabletext0"/>
              <w:jc w:val="right"/>
            </w:pPr>
            <w:r>
              <w:t>99.0</w:t>
            </w:r>
          </w:p>
        </w:tc>
      </w:tr>
      <w:tr w:rsidR="001F723F">
        <w:trPr>
          <w:cantSplit/>
        </w:trPr>
        <w:tc>
          <w:tcPr>
            <w:tcW w:w="1641" w:type="pct"/>
            <w:shd w:val="clear" w:color="auto" w:fill="auto"/>
          </w:tcPr>
          <w:p w:rsidR="001F723F" w:rsidRDefault="000E68B0">
            <w:pPr>
              <w:pStyle w:val="Tabletext0"/>
              <w:rPr>
                <w:rStyle w:val="Strong"/>
              </w:rPr>
            </w:pPr>
            <w:r>
              <w:rPr>
                <w:rStyle w:val="Strong"/>
              </w:rPr>
              <w:t>Total</w:t>
            </w:r>
          </w:p>
        </w:tc>
        <w:tc>
          <w:tcPr>
            <w:tcW w:w="938" w:type="pct"/>
            <w:vAlign w:val="bottom"/>
          </w:tcPr>
          <w:p w:rsidR="001F723F" w:rsidRDefault="000E68B0">
            <w:pPr>
              <w:pStyle w:val="Tabletext0"/>
              <w:jc w:val="right"/>
              <w:rPr>
                <w:b/>
                <w:bCs/>
              </w:rPr>
            </w:pPr>
            <w:r>
              <w:t>119,499</w:t>
            </w:r>
          </w:p>
        </w:tc>
        <w:tc>
          <w:tcPr>
            <w:tcW w:w="782" w:type="pct"/>
            <w:shd w:val="clear" w:color="auto" w:fill="auto"/>
            <w:vAlign w:val="bottom"/>
          </w:tcPr>
          <w:p w:rsidR="001F723F" w:rsidRDefault="000E68B0">
            <w:pPr>
              <w:pStyle w:val="Tabletext0"/>
              <w:jc w:val="right"/>
              <w:rPr>
                <w:b/>
                <w:bCs/>
              </w:rPr>
            </w:pPr>
            <w:r>
              <w:t>117,581</w:t>
            </w:r>
          </w:p>
        </w:tc>
        <w:tc>
          <w:tcPr>
            <w:tcW w:w="859" w:type="pct"/>
            <w:vAlign w:val="bottom"/>
          </w:tcPr>
          <w:p w:rsidR="001F723F" w:rsidRDefault="000E68B0">
            <w:pPr>
              <w:pStyle w:val="Tabletext0"/>
              <w:jc w:val="right"/>
              <w:rPr>
                <w:b/>
                <w:bCs/>
              </w:rPr>
            </w:pPr>
            <w:r>
              <w:t>1,918</w:t>
            </w:r>
          </w:p>
        </w:tc>
        <w:tc>
          <w:tcPr>
            <w:tcW w:w="780" w:type="pct"/>
            <w:vAlign w:val="bottom"/>
          </w:tcPr>
          <w:p w:rsidR="001F723F" w:rsidRDefault="000E68B0">
            <w:pPr>
              <w:pStyle w:val="Tabletext0"/>
              <w:jc w:val="right"/>
              <w:rPr>
                <w:b/>
                <w:bCs/>
              </w:rPr>
            </w:pPr>
            <w:r>
              <w:t>98.4</w:t>
            </w:r>
          </w:p>
        </w:tc>
      </w:tr>
    </w:tbl>
    <w:p w:rsidR="001F723F" w:rsidRDefault="000E68B0">
      <w:pPr>
        <w:pStyle w:val="FigureTableNoteSource"/>
      </w:pPr>
      <w:r>
        <w:t>Source: AIMS database</w:t>
      </w:r>
    </w:p>
    <w:p w:rsidR="001F723F" w:rsidRDefault="000E68B0">
      <w:pPr>
        <w:pStyle w:val="Heading3"/>
      </w:pPr>
      <w:bookmarkStart w:id="92" w:name="_Toc520880947"/>
      <w:bookmarkStart w:id="93" w:name="_Toc16519512"/>
      <w:r>
        <w:t>Other test data</w:t>
      </w:r>
      <w:bookmarkEnd w:id="92"/>
      <w:bookmarkEnd w:id="93"/>
    </w:p>
    <w:p w:rsidR="001F723F" w:rsidRDefault="000E68B0">
      <w:pPr>
        <w:spacing w:before="120"/>
      </w:pPr>
      <w:r>
        <w:t>In addition to labelling and analytical testing, other testing applied from January to December 2018 included composition assessments, bovine spongiform encephalopathy (BSE) government certification checks and visual assessments.</w:t>
      </w:r>
    </w:p>
    <w:p w:rsidR="001F723F" w:rsidRDefault="000E68B0">
      <w:pPr>
        <w:pStyle w:val="Heading4"/>
      </w:pPr>
      <w:r>
        <w:t>Composition assessments</w:t>
      </w:r>
    </w:p>
    <w:p w:rsidR="001F723F" w:rsidRDefault="000E68B0">
      <w:pPr>
        <w:spacing w:before="120"/>
      </w:pPr>
      <w:r>
        <w:t>These assessments check the labels for additives or ingredients that are not permitted or are in excess of permitted levels. Of the 48,828 assessments conducted in 2018, 101 labels were found to be non-compliant with Australian food requirements.</w:t>
      </w:r>
    </w:p>
    <w:p w:rsidR="001F723F" w:rsidRDefault="000E68B0">
      <w:pPr>
        <w:pStyle w:val="Heading4"/>
      </w:pPr>
      <w:r>
        <w:t>Bovine spongiform encephalopathy certificate checks</w:t>
      </w:r>
    </w:p>
    <w:p w:rsidR="001F723F" w:rsidRDefault="000E68B0">
      <w:r>
        <w:t>Food containing beef is inspected to ensure it is covered by the appropriate government certification, consistent with Australia's BSE policy. A fail is recorded when the food containing beef is not covered by the appropriate government certification. In 2018, of the 708 certificate checks conducted, 697 (98.4%) were covered by the appropriate government certification, 11 (1.6%) of certificate checks conducted were non-compliant (</w:t>
      </w:r>
      <w:r>
        <w:fldChar w:fldCharType="begin"/>
      </w:r>
      <w:r>
        <w:instrText xml:space="preserve"> REF _Ref14086687 \h </w:instrText>
      </w:r>
      <w:r>
        <w:fldChar w:fldCharType="separate"/>
      </w:r>
      <w:r>
        <w:t xml:space="preserve">Table </w:t>
      </w:r>
      <w:r>
        <w:rPr>
          <w:noProof/>
        </w:rPr>
        <w:t>8</w:t>
      </w:r>
      <w:r>
        <w:fldChar w:fldCharType="end"/>
      </w:r>
      <w:r>
        <w:t>).</w:t>
      </w:r>
    </w:p>
    <w:p w:rsidR="001F723F" w:rsidRDefault="000E68B0">
      <w:pPr>
        <w:pStyle w:val="Caption"/>
      </w:pPr>
      <w:bookmarkStart w:id="94" w:name="_Ref14086687"/>
      <w:bookmarkStart w:id="95" w:name="_Toc520880964"/>
      <w:bookmarkStart w:id="96" w:name="_Ref520987660"/>
      <w:bookmarkStart w:id="97" w:name="_Ref520987697"/>
      <w:bookmarkStart w:id="98" w:name="_Toc520814509"/>
      <w:bookmarkStart w:id="99" w:name="_Toc16519524"/>
      <w: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94"/>
      <w:r>
        <w:t xml:space="preserve"> Bovine spongiform encephalopathy certificate check, compliance rates, </w:t>
      </w:r>
      <w:bookmarkEnd w:id="95"/>
      <w:bookmarkEnd w:id="96"/>
      <w:r>
        <w:t>20</w:t>
      </w:r>
      <w:bookmarkEnd w:id="97"/>
      <w:bookmarkEnd w:id="98"/>
      <w:r>
        <w:t>18</w:t>
      </w:r>
      <w:bookmarkEnd w:id="99"/>
    </w:p>
    <w:tbl>
      <w:tblPr>
        <w:tblW w:w="5000" w:type="pct"/>
        <w:tblBorders>
          <w:top w:val="single" w:sz="4" w:space="0" w:color="auto"/>
          <w:bottom w:val="single" w:sz="4" w:space="0" w:color="auto"/>
        </w:tblBorders>
        <w:tblLook w:val="04A0" w:firstRow="1" w:lastRow="0" w:firstColumn="1" w:lastColumn="0" w:noHBand="0" w:noVBand="1"/>
      </w:tblPr>
      <w:tblGrid>
        <w:gridCol w:w="2976"/>
        <w:gridCol w:w="1702"/>
        <w:gridCol w:w="1419"/>
        <w:gridCol w:w="1558"/>
        <w:gridCol w:w="1415"/>
      </w:tblGrid>
      <w:tr w:rsidR="001F723F">
        <w:trPr>
          <w:cantSplit/>
          <w:tblHeader/>
        </w:trPr>
        <w:tc>
          <w:tcPr>
            <w:tcW w:w="1641" w:type="pct"/>
            <w:shd w:val="clear" w:color="auto" w:fill="auto"/>
          </w:tcPr>
          <w:p w:rsidR="001F723F" w:rsidRDefault="000E68B0">
            <w:pPr>
              <w:pStyle w:val="Tableheading0"/>
            </w:pPr>
            <w:r>
              <w:t>Test type</w:t>
            </w:r>
          </w:p>
        </w:tc>
        <w:tc>
          <w:tcPr>
            <w:tcW w:w="938" w:type="pct"/>
          </w:tcPr>
          <w:p w:rsidR="001F723F" w:rsidRDefault="000E68B0">
            <w:pPr>
              <w:pStyle w:val="Tableheading0"/>
              <w:jc w:val="right"/>
            </w:pPr>
            <w:r>
              <w:t>Tests applied (no.)</w:t>
            </w:r>
          </w:p>
        </w:tc>
        <w:tc>
          <w:tcPr>
            <w:tcW w:w="782" w:type="pct"/>
            <w:shd w:val="clear" w:color="auto" w:fill="auto"/>
          </w:tcPr>
          <w:p w:rsidR="001F723F" w:rsidRDefault="000E68B0">
            <w:pPr>
              <w:pStyle w:val="Tableheading0"/>
              <w:jc w:val="right"/>
            </w:pPr>
            <w:r>
              <w:t>Compliant (no.)</w:t>
            </w:r>
          </w:p>
        </w:tc>
        <w:tc>
          <w:tcPr>
            <w:tcW w:w="859" w:type="pct"/>
          </w:tcPr>
          <w:p w:rsidR="001F723F" w:rsidRDefault="000E68B0">
            <w:pPr>
              <w:pStyle w:val="Tableheading0"/>
              <w:jc w:val="right"/>
            </w:pPr>
            <w:r>
              <w:t>Non-compliant (no.)</w:t>
            </w:r>
          </w:p>
        </w:tc>
        <w:tc>
          <w:tcPr>
            <w:tcW w:w="780" w:type="pct"/>
          </w:tcPr>
          <w:p w:rsidR="001F723F" w:rsidRDefault="000E68B0">
            <w:pPr>
              <w:pStyle w:val="Tableheading0"/>
              <w:jc w:val="right"/>
            </w:pPr>
            <w:r>
              <w:t>Compliant (%)</w:t>
            </w:r>
          </w:p>
        </w:tc>
      </w:tr>
      <w:tr w:rsidR="001F723F">
        <w:tc>
          <w:tcPr>
            <w:tcW w:w="1641" w:type="pct"/>
            <w:shd w:val="clear" w:color="auto" w:fill="auto"/>
            <w:vAlign w:val="center"/>
          </w:tcPr>
          <w:p w:rsidR="001F723F" w:rsidRDefault="000E68B0">
            <w:pPr>
              <w:pStyle w:val="Tabletext0"/>
            </w:pPr>
            <w:r>
              <w:t>BSE government certificate</w:t>
            </w:r>
          </w:p>
        </w:tc>
        <w:tc>
          <w:tcPr>
            <w:tcW w:w="938" w:type="pct"/>
          </w:tcPr>
          <w:p w:rsidR="001F723F" w:rsidRDefault="000E68B0">
            <w:pPr>
              <w:pStyle w:val="Tabletext0"/>
              <w:jc w:val="right"/>
            </w:pPr>
            <w:r>
              <w:t>708</w:t>
            </w:r>
          </w:p>
        </w:tc>
        <w:tc>
          <w:tcPr>
            <w:tcW w:w="782" w:type="pct"/>
            <w:shd w:val="clear" w:color="auto" w:fill="auto"/>
          </w:tcPr>
          <w:p w:rsidR="001F723F" w:rsidRDefault="000E68B0">
            <w:pPr>
              <w:pStyle w:val="Tabletext0"/>
              <w:jc w:val="right"/>
            </w:pPr>
            <w:r>
              <w:t>697</w:t>
            </w:r>
          </w:p>
        </w:tc>
        <w:tc>
          <w:tcPr>
            <w:tcW w:w="859" w:type="pct"/>
          </w:tcPr>
          <w:p w:rsidR="001F723F" w:rsidRDefault="000E68B0">
            <w:pPr>
              <w:pStyle w:val="Tabletext0"/>
              <w:jc w:val="right"/>
            </w:pPr>
            <w:r>
              <w:t>11</w:t>
            </w:r>
          </w:p>
        </w:tc>
        <w:tc>
          <w:tcPr>
            <w:tcW w:w="780" w:type="pct"/>
          </w:tcPr>
          <w:p w:rsidR="001F723F" w:rsidRDefault="000E68B0">
            <w:pPr>
              <w:pStyle w:val="Tabletext0"/>
              <w:jc w:val="right"/>
            </w:pPr>
            <w:r>
              <w:t>98.4</w:t>
            </w:r>
          </w:p>
        </w:tc>
      </w:tr>
      <w:tr w:rsidR="001F723F">
        <w:tc>
          <w:tcPr>
            <w:tcW w:w="1641" w:type="pct"/>
            <w:shd w:val="clear" w:color="auto" w:fill="auto"/>
            <w:vAlign w:val="center"/>
          </w:tcPr>
          <w:p w:rsidR="001F723F" w:rsidRDefault="000E68B0">
            <w:pPr>
              <w:pStyle w:val="Tabletext0"/>
              <w:rPr>
                <w:rStyle w:val="Strong"/>
              </w:rPr>
            </w:pPr>
            <w:r>
              <w:rPr>
                <w:rStyle w:val="Strong"/>
              </w:rPr>
              <w:t>Total</w:t>
            </w:r>
          </w:p>
        </w:tc>
        <w:tc>
          <w:tcPr>
            <w:tcW w:w="938" w:type="pct"/>
          </w:tcPr>
          <w:p w:rsidR="001F723F" w:rsidRDefault="000E68B0">
            <w:pPr>
              <w:pStyle w:val="Tabletext0"/>
              <w:jc w:val="right"/>
              <w:rPr>
                <w:rStyle w:val="Strong"/>
              </w:rPr>
            </w:pPr>
            <w:r>
              <w:t>708</w:t>
            </w:r>
          </w:p>
        </w:tc>
        <w:tc>
          <w:tcPr>
            <w:tcW w:w="782" w:type="pct"/>
            <w:shd w:val="clear" w:color="auto" w:fill="auto"/>
          </w:tcPr>
          <w:p w:rsidR="001F723F" w:rsidRDefault="000E68B0">
            <w:pPr>
              <w:pStyle w:val="Tabletext0"/>
              <w:jc w:val="right"/>
              <w:rPr>
                <w:rStyle w:val="Strong"/>
              </w:rPr>
            </w:pPr>
            <w:r>
              <w:t>697</w:t>
            </w:r>
          </w:p>
        </w:tc>
        <w:tc>
          <w:tcPr>
            <w:tcW w:w="859" w:type="pct"/>
          </w:tcPr>
          <w:p w:rsidR="001F723F" w:rsidRDefault="000E68B0">
            <w:pPr>
              <w:pStyle w:val="Tabletext0"/>
              <w:jc w:val="right"/>
              <w:rPr>
                <w:rStyle w:val="Strong"/>
              </w:rPr>
            </w:pPr>
            <w:r>
              <w:t>11</w:t>
            </w:r>
          </w:p>
        </w:tc>
        <w:tc>
          <w:tcPr>
            <w:tcW w:w="780" w:type="pct"/>
          </w:tcPr>
          <w:p w:rsidR="001F723F" w:rsidRDefault="000E68B0">
            <w:pPr>
              <w:pStyle w:val="Tabletext0"/>
              <w:jc w:val="right"/>
              <w:rPr>
                <w:rStyle w:val="Strong"/>
              </w:rPr>
            </w:pPr>
            <w:r>
              <w:t>98.4</w:t>
            </w:r>
          </w:p>
        </w:tc>
      </w:tr>
    </w:tbl>
    <w:p w:rsidR="001F723F" w:rsidRDefault="000E68B0">
      <w:pPr>
        <w:pStyle w:val="FigureTableNoteSource"/>
      </w:pPr>
      <w:r>
        <w:t>Source: AIMS database</w:t>
      </w:r>
    </w:p>
    <w:p w:rsidR="001F723F" w:rsidRDefault="000E68B0">
      <w:pPr>
        <w:pStyle w:val="Heading4"/>
      </w:pPr>
      <w:r>
        <w:lastRenderedPageBreak/>
        <w:t>Visual assessments</w:t>
      </w:r>
    </w:p>
    <w:p w:rsidR="001F723F" w:rsidRDefault="000E68B0">
      <w:pPr>
        <w:keepNext/>
        <w:spacing w:before="120"/>
      </w:pPr>
      <w:r>
        <w:t xml:space="preserve">At each inspection, food is visually assessed to determine whether it is unsafe or unsuitable (for example, it contains foreign objects or shows signs of deterioration) </w:t>
      </w:r>
      <w:proofErr w:type="gramStart"/>
      <w:r>
        <w:t>In</w:t>
      </w:r>
      <w:proofErr w:type="gramEnd"/>
      <w:r>
        <w:t xml:space="preserve"> 2018, of the 46,412 visual assessments conducted, only 5 were non-compliant (</w:t>
      </w:r>
      <w:r>
        <w:fldChar w:fldCharType="begin"/>
      </w:r>
      <w:r>
        <w:instrText xml:space="preserve"> REF _Ref13755088 \h  \* MERGEFORMAT </w:instrText>
      </w:r>
      <w:r>
        <w:fldChar w:fldCharType="separate"/>
      </w:r>
      <w:r>
        <w:t xml:space="preserve">Table </w:t>
      </w:r>
      <w:r>
        <w:rPr>
          <w:noProof/>
        </w:rPr>
        <w:t>9</w:t>
      </w:r>
      <w:r>
        <w:fldChar w:fldCharType="end"/>
      </w:r>
      <w:r>
        <w:t>).</w:t>
      </w:r>
    </w:p>
    <w:p w:rsidR="001F723F" w:rsidRDefault="000E68B0">
      <w:pPr>
        <w:pStyle w:val="Caption"/>
      </w:pPr>
      <w:bookmarkStart w:id="100" w:name="_Ref13755088"/>
      <w:bookmarkStart w:id="101" w:name="_Toc520880965"/>
      <w:bookmarkStart w:id="102" w:name="_Ref520990258"/>
      <w:bookmarkStart w:id="103" w:name="_Toc520814510"/>
      <w:bookmarkStart w:id="104" w:name="_Toc16519525"/>
      <w: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100"/>
      <w:r>
        <w:t xml:space="preserve"> Visual assessment, compliance rates, </w:t>
      </w:r>
      <w:bookmarkEnd w:id="101"/>
      <w:r>
        <w:t>201</w:t>
      </w:r>
      <w:bookmarkEnd w:id="102"/>
      <w:bookmarkEnd w:id="103"/>
      <w:r>
        <w:t>8</w:t>
      </w:r>
      <w:bookmarkEnd w:id="104"/>
    </w:p>
    <w:tbl>
      <w:tblPr>
        <w:tblW w:w="5000" w:type="pct"/>
        <w:tblBorders>
          <w:top w:val="single" w:sz="4" w:space="0" w:color="auto"/>
          <w:bottom w:val="single" w:sz="4" w:space="0" w:color="auto"/>
        </w:tblBorders>
        <w:tblLook w:val="04A0" w:firstRow="1" w:lastRow="0" w:firstColumn="1" w:lastColumn="0" w:noHBand="0" w:noVBand="1"/>
      </w:tblPr>
      <w:tblGrid>
        <w:gridCol w:w="2976"/>
        <w:gridCol w:w="1702"/>
        <w:gridCol w:w="1419"/>
        <w:gridCol w:w="1558"/>
        <w:gridCol w:w="1415"/>
      </w:tblGrid>
      <w:tr w:rsidR="001F723F">
        <w:trPr>
          <w:cantSplit/>
          <w:tblHeader/>
        </w:trPr>
        <w:tc>
          <w:tcPr>
            <w:tcW w:w="1641" w:type="pct"/>
            <w:shd w:val="clear" w:color="auto" w:fill="auto"/>
          </w:tcPr>
          <w:p w:rsidR="001F723F" w:rsidRDefault="000E68B0">
            <w:pPr>
              <w:pStyle w:val="Tableheading0"/>
            </w:pPr>
            <w:r>
              <w:t>Type of test</w:t>
            </w:r>
          </w:p>
        </w:tc>
        <w:tc>
          <w:tcPr>
            <w:tcW w:w="938" w:type="pct"/>
          </w:tcPr>
          <w:p w:rsidR="001F723F" w:rsidRDefault="000E68B0">
            <w:pPr>
              <w:pStyle w:val="Tableheading0"/>
              <w:jc w:val="right"/>
            </w:pPr>
            <w:r>
              <w:t>Tests applied (no.)</w:t>
            </w:r>
          </w:p>
        </w:tc>
        <w:tc>
          <w:tcPr>
            <w:tcW w:w="782" w:type="pct"/>
            <w:shd w:val="clear" w:color="auto" w:fill="auto"/>
          </w:tcPr>
          <w:p w:rsidR="001F723F" w:rsidRDefault="000E68B0">
            <w:pPr>
              <w:pStyle w:val="Tableheading0"/>
              <w:jc w:val="right"/>
            </w:pPr>
            <w:r>
              <w:t>Compliant (no.)</w:t>
            </w:r>
          </w:p>
        </w:tc>
        <w:tc>
          <w:tcPr>
            <w:tcW w:w="859" w:type="pct"/>
          </w:tcPr>
          <w:p w:rsidR="001F723F" w:rsidRDefault="000E68B0">
            <w:pPr>
              <w:pStyle w:val="Tableheading0"/>
              <w:jc w:val="right"/>
            </w:pPr>
            <w:r>
              <w:t>Non-compliant (no.)</w:t>
            </w:r>
          </w:p>
        </w:tc>
        <w:tc>
          <w:tcPr>
            <w:tcW w:w="780" w:type="pct"/>
          </w:tcPr>
          <w:p w:rsidR="001F723F" w:rsidRDefault="000E68B0">
            <w:pPr>
              <w:pStyle w:val="Tableheading0"/>
              <w:jc w:val="right"/>
            </w:pPr>
            <w:r>
              <w:t>Compliant (%)</w:t>
            </w:r>
          </w:p>
        </w:tc>
      </w:tr>
      <w:tr w:rsidR="001F723F">
        <w:tc>
          <w:tcPr>
            <w:tcW w:w="1641" w:type="pct"/>
            <w:shd w:val="clear" w:color="auto" w:fill="auto"/>
            <w:vAlign w:val="center"/>
          </w:tcPr>
          <w:p w:rsidR="001F723F" w:rsidRDefault="000E68B0">
            <w:pPr>
              <w:pStyle w:val="Tabletext0"/>
            </w:pPr>
            <w:r>
              <w:t>Visual</w:t>
            </w:r>
          </w:p>
        </w:tc>
        <w:tc>
          <w:tcPr>
            <w:tcW w:w="938" w:type="pct"/>
          </w:tcPr>
          <w:p w:rsidR="001F723F" w:rsidRDefault="000E68B0">
            <w:pPr>
              <w:pStyle w:val="Tabletext0"/>
              <w:jc w:val="right"/>
              <w:rPr>
                <w:szCs w:val="18"/>
              </w:rPr>
            </w:pPr>
            <w:r>
              <w:rPr>
                <w:szCs w:val="18"/>
              </w:rPr>
              <w:t>46,412</w:t>
            </w:r>
          </w:p>
        </w:tc>
        <w:tc>
          <w:tcPr>
            <w:tcW w:w="782" w:type="pct"/>
            <w:shd w:val="clear" w:color="auto" w:fill="auto"/>
          </w:tcPr>
          <w:p w:rsidR="001F723F" w:rsidRDefault="000E68B0">
            <w:pPr>
              <w:pStyle w:val="Tabletext0"/>
              <w:jc w:val="right"/>
              <w:rPr>
                <w:szCs w:val="18"/>
              </w:rPr>
            </w:pPr>
            <w:r>
              <w:rPr>
                <w:szCs w:val="18"/>
              </w:rPr>
              <w:t>46,407</w:t>
            </w:r>
          </w:p>
        </w:tc>
        <w:tc>
          <w:tcPr>
            <w:tcW w:w="859" w:type="pct"/>
          </w:tcPr>
          <w:p w:rsidR="001F723F" w:rsidRDefault="000E68B0">
            <w:pPr>
              <w:pStyle w:val="Tabletext0"/>
              <w:jc w:val="right"/>
              <w:rPr>
                <w:szCs w:val="18"/>
              </w:rPr>
            </w:pPr>
            <w:r>
              <w:rPr>
                <w:szCs w:val="18"/>
              </w:rPr>
              <w:t>5</w:t>
            </w:r>
          </w:p>
        </w:tc>
        <w:tc>
          <w:tcPr>
            <w:tcW w:w="780" w:type="pct"/>
          </w:tcPr>
          <w:p w:rsidR="001F723F" w:rsidRDefault="000E68B0">
            <w:pPr>
              <w:pStyle w:val="Tabletext0"/>
              <w:jc w:val="right"/>
              <w:rPr>
                <w:szCs w:val="18"/>
              </w:rPr>
            </w:pPr>
            <w:r>
              <w:rPr>
                <w:szCs w:val="18"/>
              </w:rPr>
              <w:t>99.9</w:t>
            </w:r>
          </w:p>
        </w:tc>
      </w:tr>
      <w:tr w:rsidR="001F723F">
        <w:tc>
          <w:tcPr>
            <w:tcW w:w="1641" w:type="pct"/>
            <w:shd w:val="clear" w:color="auto" w:fill="auto"/>
            <w:vAlign w:val="center"/>
          </w:tcPr>
          <w:p w:rsidR="001F723F" w:rsidRDefault="000E68B0">
            <w:pPr>
              <w:pStyle w:val="Tabletext0"/>
              <w:rPr>
                <w:rStyle w:val="Strong"/>
              </w:rPr>
            </w:pPr>
            <w:r>
              <w:rPr>
                <w:rStyle w:val="Strong"/>
              </w:rPr>
              <w:t>Total</w:t>
            </w:r>
          </w:p>
        </w:tc>
        <w:tc>
          <w:tcPr>
            <w:tcW w:w="938" w:type="pct"/>
          </w:tcPr>
          <w:p w:rsidR="001F723F" w:rsidRDefault="000E68B0">
            <w:pPr>
              <w:pStyle w:val="Tabletext0"/>
              <w:jc w:val="right"/>
              <w:rPr>
                <w:rStyle w:val="Strong"/>
              </w:rPr>
            </w:pPr>
            <w:r>
              <w:rPr>
                <w:szCs w:val="18"/>
              </w:rPr>
              <w:t>46,412</w:t>
            </w:r>
          </w:p>
        </w:tc>
        <w:tc>
          <w:tcPr>
            <w:tcW w:w="782" w:type="pct"/>
            <w:shd w:val="clear" w:color="auto" w:fill="auto"/>
          </w:tcPr>
          <w:p w:rsidR="001F723F" w:rsidRDefault="000E68B0">
            <w:pPr>
              <w:pStyle w:val="Tabletext0"/>
              <w:jc w:val="right"/>
              <w:rPr>
                <w:rStyle w:val="Strong"/>
              </w:rPr>
            </w:pPr>
            <w:r>
              <w:rPr>
                <w:szCs w:val="18"/>
              </w:rPr>
              <w:t>46,407</w:t>
            </w:r>
          </w:p>
        </w:tc>
        <w:tc>
          <w:tcPr>
            <w:tcW w:w="859" w:type="pct"/>
          </w:tcPr>
          <w:p w:rsidR="001F723F" w:rsidRDefault="000E68B0">
            <w:pPr>
              <w:pStyle w:val="Tabletext0"/>
              <w:jc w:val="right"/>
              <w:rPr>
                <w:rStyle w:val="Strong"/>
              </w:rPr>
            </w:pPr>
            <w:r>
              <w:rPr>
                <w:szCs w:val="18"/>
              </w:rPr>
              <w:t>5</w:t>
            </w:r>
          </w:p>
        </w:tc>
        <w:tc>
          <w:tcPr>
            <w:tcW w:w="780" w:type="pct"/>
          </w:tcPr>
          <w:p w:rsidR="001F723F" w:rsidRDefault="000E68B0">
            <w:pPr>
              <w:pStyle w:val="Tabletext0"/>
              <w:jc w:val="right"/>
              <w:rPr>
                <w:rStyle w:val="Strong"/>
              </w:rPr>
            </w:pPr>
            <w:r>
              <w:rPr>
                <w:szCs w:val="18"/>
              </w:rPr>
              <w:t>99.9</w:t>
            </w:r>
          </w:p>
        </w:tc>
      </w:tr>
    </w:tbl>
    <w:p w:rsidR="001F723F" w:rsidRDefault="000E68B0">
      <w:pPr>
        <w:pStyle w:val="FigureTableNoteSource"/>
      </w:pPr>
      <w:r>
        <w:t>Source: AIMS database</w:t>
      </w:r>
    </w:p>
    <w:p w:rsidR="001F723F" w:rsidRDefault="000E68B0">
      <w:pPr>
        <w:pStyle w:val="Heading4"/>
      </w:pPr>
      <w:bookmarkStart w:id="105" w:name="_Toc516131647"/>
      <w:bookmarkStart w:id="106" w:name="_Toc516132097"/>
      <w:r>
        <w:t>Results, by country of origin</w:t>
      </w:r>
      <w:bookmarkEnd w:id="105"/>
      <w:bookmarkEnd w:id="106"/>
    </w:p>
    <w:p w:rsidR="001F723F" w:rsidRDefault="000E68B0">
      <w:pPr>
        <w:keepNext/>
        <w:spacing w:before="120"/>
      </w:pPr>
      <w:r>
        <w:t xml:space="preserve">Under the IFIS, food is inspected if it is classified as risk food, irrespective of the country of export. The exception is where a food has previously failed inspection. Future consignments of that food from the producer in the particular country are inspected and analysed at a 100% rate of inspection and analysis </w:t>
      </w:r>
      <w:r>
        <w:rPr>
          <w:lang w:val="en"/>
        </w:rPr>
        <w:t>until a history of compliance is re-established for the producer of the food.</w:t>
      </w:r>
    </w:p>
    <w:p w:rsidR="001F723F" w:rsidRDefault="000E68B0">
      <w:r>
        <w:t>The countries where importers frequently source food will always have a higher representation in inspection data (</w:t>
      </w:r>
      <w:r>
        <w:fldChar w:fldCharType="begin"/>
      </w:r>
      <w:r>
        <w:instrText xml:space="preserve"> REF _Ref13755160 \h </w:instrText>
      </w:r>
      <w:r>
        <w:fldChar w:fldCharType="separate"/>
      </w:r>
      <w:r>
        <w:t xml:space="preserve">Table </w:t>
      </w:r>
      <w:r>
        <w:rPr>
          <w:noProof/>
        </w:rPr>
        <w:t>10</w:t>
      </w:r>
      <w:r>
        <w:fldChar w:fldCharType="end"/>
      </w:r>
      <w:r>
        <w:t>).</w:t>
      </w:r>
    </w:p>
    <w:p w:rsidR="001F723F" w:rsidRDefault="000E68B0">
      <w:pPr>
        <w:pStyle w:val="Caption"/>
      </w:pPr>
      <w:bookmarkStart w:id="107" w:name="_Ref13755160"/>
      <w:bookmarkStart w:id="108" w:name="_Toc520814511"/>
      <w:bookmarkStart w:id="109" w:name="_Toc520880966"/>
      <w:bookmarkStart w:id="110" w:name="_Ref520990934"/>
      <w:bookmarkStart w:id="111" w:name="_Toc16519526"/>
      <w: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107"/>
      <w:r>
        <w:t xml:space="preserve"> Number of inspections, by country of origin</w:t>
      </w:r>
      <w:bookmarkEnd w:id="108"/>
      <w:r>
        <w:t>, 201</w:t>
      </w:r>
      <w:bookmarkEnd w:id="109"/>
      <w:bookmarkEnd w:id="110"/>
      <w:r>
        <w:t>8</w:t>
      </w:r>
      <w:bookmarkEnd w:id="111"/>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3619"/>
        <w:gridCol w:w="2712"/>
        <w:gridCol w:w="2739"/>
      </w:tblGrid>
      <w:tr w:rsidR="001F723F">
        <w:trPr>
          <w:cantSplit/>
          <w:tblHeader/>
        </w:trPr>
        <w:tc>
          <w:tcPr>
            <w:tcW w:w="1995" w:type="pct"/>
            <w:shd w:val="clear" w:color="auto" w:fill="auto"/>
          </w:tcPr>
          <w:p w:rsidR="001F723F" w:rsidRDefault="000E68B0">
            <w:pPr>
              <w:pStyle w:val="Tableheading0"/>
            </w:pPr>
            <w:r>
              <w:t>Country of origin</w:t>
            </w:r>
          </w:p>
        </w:tc>
        <w:tc>
          <w:tcPr>
            <w:tcW w:w="1495" w:type="pct"/>
          </w:tcPr>
          <w:p w:rsidR="001F723F" w:rsidRDefault="000E68B0">
            <w:pPr>
              <w:pStyle w:val="Tableheading0"/>
              <w:jc w:val="right"/>
            </w:pPr>
            <w:r>
              <w:t>Lines inspected (no.)</w:t>
            </w:r>
          </w:p>
        </w:tc>
        <w:tc>
          <w:tcPr>
            <w:tcW w:w="1510" w:type="pct"/>
          </w:tcPr>
          <w:p w:rsidR="001F723F" w:rsidRDefault="000E68B0">
            <w:pPr>
              <w:pStyle w:val="Tableheading0"/>
              <w:jc w:val="right"/>
            </w:pPr>
            <w:r>
              <w:t>Lines inspected (%)</w:t>
            </w:r>
          </w:p>
        </w:tc>
      </w:tr>
      <w:tr w:rsidR="001F723F">
        <w:trPr>
          <w:cantSplit/>
        </w:trPr>
        <w:tc>
          <w:tcPr>
            <w:tcW w:w="1995" w:type="pct"/>
            <w:shd w:val="clear" w:color="auto" w:fill="auto"/>
            <w:vAlign w:val="bottom"/>
          </w:tcPr>
          <w:p w:rsidR="001F723F" w:rsidRDefault="000E68B0">
            <w:pPr>
              <w:pStyle w:val="Tabletext0"/>
              <w:rPr>
                <w:rFonts w:asciiTheme="majorHAnsi" w:hAnsiTheme="majorHAnsi"/>
                <w:szCs w:val="18"/>
              </w:rPr>
            </w:pPr>
            <w:r>
              <w:rPr>
                <w:rFonts w:asciiTheme="majorHAnsi" w:hAnsiTheme="majorHAnsi" w:cs="Arial"/>
                <w:color w:val="000000"/>
                <w:szCs w:val="18"/>
              </w:rPr>
              <w:t>China</w:t>
            </w:r>
          </w:p>
        </w:tc>
        <w:tc>
          <w:tcPr>
            <w:tcW w:w="1495"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4,501</w:t>
            </w:r>
          </w:p>
        </w:tc>
        <w:tc>
          <w:tcPr>
            <w:tcW w:w="1510"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11.6</w:t>
            </w:r>
          </w:p>
        </w:tc>
      </w:tr>
      <w:tr w:rsidR="001F723F">
        <w:trPr>
          <w:cantSplit/>
        </w:trPr>
        <w:tc>
          <w:tcPr>
            <w:tcW w:w="1995" w:type="pct"/>
            <w:shd w:val="clear" w:color="auto" w:fill="auto"/>
            <w:vAlign w:val="bottom"/>
          </w:tcPr>
          <w:p w:rsidR="001F723F" w:rsidRDefault="000E68B0">
            <w:pPr>
              <w:pStyle w:val="Tabletext0"/>
              <w:rPr>
                <w:rFonts w:asciiTheme="majorHAnsi" w:hAnsiTheme="majorHAnsi"/>
                <w:szCs w:val="18"/>
              </w:rPr>
            </w:pPr>
            <w:r>
              <w:rPr>
                <w:rFonts w:asciiTheme="majorHAnsi" w:hAnsiTheme="majorHAnsi" w:cs="Arial"/>
                <w:color w:val="000000"/>
                <w:szCs w:val="18"/>
              </w:rPr>
              <w:t>Italy</w:t>
            </w:r>
          </w:p>
        </w:tc>
        <w:tc>
          <w:tcPr>
            <w:tcW w:w="1495"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2,992</w:t>
            </w:r>
          </w:p>
        </w:tc>
        <w:tc>
          <w:tcPr>
            <w:tcW w:w="1510"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7.7</w:t>
            </w:r>
          </w:p>
        </w:tc>
      </w:tr>
      <w:tr w:rsidR="001F723F">
        <w:trPr>
          <w:cantSplit/>
        </w:trPr>
        <w:tc>
          <w:tcPr>
            <w:tcW w:w="1995" w:type="pct"/>
            <w:shd w:val="clear" w:color="auto" w:fill="auto"/>
            <w:vAlign w:val="bottom"/>
          </w:tcPr>
          <w:p w:rsidR="001F723F" w:rsidRDefault="000E68B0">
            <w:pPr>
              <w:pStyle w:val="Tabletext0"/>
              <w:rPr>
                <w:rFonts w:asciiTheme="majorHAnsi" w:hAnsiTheme="majorHAnsi"/>
                <w:szCs w:val="18"/>
              </w:rPr>
            </w:pPr>
            <w:r>
              <w:rPr>
                <w:rFonts w:asciiTheme="majorHAnsi" w:hAnsiTheme="majorHAnsi" w:cs="Arial"/>
                <w:color w:val="000000"/>
                <w:szCs w:val="18"/>
              </w:rPr>
              <w:t>India</w:t>
            </w:r>
          </w:p>
        </w:tc>
        <w:tc>
          <w:tcPr>
            <w:tcW w:w="1495"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2,929</w:t>
            </w:r>
          </w:p>
        </w:tc>
        <w:tc>
          <w:tcPr>
            <w:tcW w:w="1510"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7.6</w:t>
            </w:r>
          </w:p>
        </w:tc>
      </w:tr>
      <w:tr w:rsidR="001F723F">
        <w:trPr>
          <w:cantSplit/>
        </w:trPr>
        <w:tc>
          <w:tcPr>
            <w:tcW w:w="1995" w:type="pct"/>
            <w:shd w:val="clear" w:color="auto" w:fill="auto"/>
            <w:vAlign w:val="bottom"/>
          </w:tcPr>
          <w:p w:rsidR="001F723F" w:rsidRDefault="000E68B0">
            <w:pPr>
              <w:pStyle w:val="Tabletext0"/>
              <w:rPr>
                <w:rFonts w:asciiTheme="majorHAnsi" w:hAnsiTheme="majorHAnsi"/>
                <w:szCs w:val="18"/>
              </w:rPr>
            </w:pPr>
            <w:r>
              <w:rPr>
                <w:rFonts w:asciiTheme="majorHAnsi" w:hAnsiTheme="majorHAnsi" w:cs="Arial"/>
                <w:color w:val="000000"/>
                <w:szCs w:val="18"/>
              </w:rPr>
              <w:t>Thailand</w:t>
            </w:r>
          </w:p>
        </w:tc>
        <w:tc>
          <w:tcPr>
            <w:tcW w:w="1495"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2,871</w:t>
            </w:r>
          </w:p>
        </w:tc>
        <w:tc>
          <w:tcPr>
            <w:tcW w:w="1510"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7.4</w:t>
            </w:r>
          </w:p>
        </w:tc>
      </w:tr>
      <w:tr w:rsidR="001F723F">
        <w:trPr>
          <w:cantSplit/>
        </w:trPr>
        <w:tc>
          <w:tcPr>
            <w:tcW w:w="1995" w:type="pct"/>
            <w:shd w:val="clear" w:color="auto" w:fill="auto"/>
            <w:vAlign w:val="bottom"/>
          </w:tcPr>
          <w:p w:rsidR="001F723F" w:rsidRDefault="000E68B0">
            <w:pPr>
              <w:pStyle w:val="Tabletext0"/>
              <w:rPr>
                <w:rFonts w:asciiTheme="majorHAnsi" w:hAnsiTheme="majorHAnsi"/>
                <w:szCs w:val="18"/>
              </w:rPr>
            </w:pPr>
            <w:r>
              <w:rPr>
                <w:rFonts w:asciiTheme="majorHAnsi" w:hAnsiTheme="majorHAnsi" w:cs="Arial"/>
                <w:color w:val="000000"/>
                <w:szCs w:val="18"/>
              </w:rPr>
              <w:t>Japan</w:t>
            </w:r>
          </w:p>
        </w:tc>
        <w:tc>
          <w:tcPr>
            <w:tcW w:w="1495"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2,658</w:t>
            </w:r>
          </w:p>
        </w:tc>
        <w:tc>
          <w:tcPr>
            <w:tcW w:w="1510"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6.9</w:t>
            </w:r>
          </w:p>
        </w:tc>
      </w:tr>
      <w:tr w:rsidR="001F723F">
        <w:trPr>
          <w:cantSplit/>
        </w:trPr>
        <w:tc>
          <w:tcPr>
            <w:tcW w:w="1995" w:type="pct"/>
            <w:shd w:val="clear" w:color="auto" w:fill="auto"/>
            <w:vAlign w:val="bottom"/>
          </w:tcPr>
          <w:p w:rsidR="001F723F" w:rsidRDefault="000E68B0">
            <w:pPr>
              <w:pStyle w:val="Tabletext0"/>
              <w:rPr>
                <w:rFonts w:asciiTheme="majorHAnsi" w:hAnsiTheme="majorHAnsi"/>
                <w:szCs w:val="18"/>
              </w:rPr>
            </w:pPr>
            <w:r>
              <w:rPr>
                <w:rFonts w:asciiTheme="majorHAnsi" w:hAnsiTheme="majorHAnsi" w:cs="Arial"/>
                <w:color w:val="000000"/>
                <w:szCs w:val="18"/>
              </w:rPr>
              <w:t>United States</w:t>
            </w:r>
          </w:p>
        </w:tc>
        <w:tc>
          <w:tcPr>
            <w:tcW w:w="1495"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2,195</w:t>
            </w:r>
          </w:p>
        </w:tc>
        <w:tc>
          <w:tcPr>
            <w:tcW w:w="1510"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5.7</w:t>
            </w:r>
          </w:p>
        </w:tc>
      </w:tr>
      <w:tr w:rsidR="001F723F">
        <w:trPr>
          <w:cantSplit/>
        </w:trPr>
        <w:tc>
          <w:tcPr>
            <w:tcW w:w="1995" w:type="pct"/>
            <w:shd w:val="clear" w:color="auto" w:fill="auto"/>
            <w:vAlign w:val="bottom"/>
          </w:tcPr>
          <w:p w:rsidR="001F723F" w:rsidRDefault="000E68B0">
            <w:pPr>
              <w:pStyle w:val="Tabletext0"/>
              <w:rPr>
                <w:rFonts w:asciiTheme="majorHAnsi" w:hAnsiTheme="majorHAnsi"/>
                <w:szCs w:val="18"/>
              </w:rPr>
            </w:pPr>
            <w:r>
              <w:rPr>
                <w:rFonts w:asciiTheme="majorHAnsi" w:hAnsiTheme="majorHAnsi" w:cs="Arial"/>
                <w:color w:val="000000"/>
                <w:szCs w:val="18"/>
              </w:rPr>
              <w:t>Korea, Republic of</w:t>
            </w:r>
          </w:p>
        </w:tc>
        <w:tc>
          <w:tcPr>
            <w:tcW w:w="1495"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2,009</w:t>
            </w:r>
          </w:p>
        </w:tc>
        <w:tc>
          <w:tcPr>
            <w:tcW w:w="1510"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5.2</w:t>
            </w:r>
          </w:p>
        </w:tc>
      </w:tr>
      <w:tr w:rsidR="001F723F">
        <w:trPr>
          <w:cantSplit/>
        </w:trPr>
        <w:tc>
          <w:tcPr>
            <w:tcW w:w="1995" w:type="pct"/>
            <w:shd w:val="clear" w:color="auto" w:fill="auto"/>
            <w:vAlign w:val="bottom"/>
          </w:tcPr>
          <w:p w:rsidR="001F723F" w:rsidRDefault="000E68B0">
            <w:pPr>
              <w:pStyle w:val="Tabletext0"/>
              <w:rPr>
                <w:rFonts w:asciiTheme="majorHAnsi" w:hAnsiTheme="majorHAnsi"/>
                <w:szCs w:val="18"/>
              </w:rPr>
            </w:pPr>
            <w:r>
              <w:rPr>
                <w:rFonts w:asciiTheme="majorHAnsi" w:hAnsiTheme="majorHAnsi" w:cs="Arial"/>
                <w:color w:val="000000"/>
                <w:szCs w:val="18"/>
              </w:rPr>
              <w:t>France</w:t>
            </w:r>
          </w:p>
        </w:tc>
        <w:tc>
          <w:tcPr>
            <w:tcW w:w="1495"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1,410</w:t>
            </w:r>
          </w:p>
        </w:tc>
        <w:tc>
          <w:tcPr>
            <w:tcW w:w="1510"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3.6</w:t>
            </w:r>
          </w:p>
        </w:tc>
      </w:tr>
      <w:tr w:rsidR="001F723F">
        <w:trPr>
          <w:cantSplit/>
          <w:tblHeader/>
        </w:trPr>
        <w:tc>
          <w:tcPr>
            <w:tcW w:w="1995" w:type="pct"/>
            <w:shd w:val="clear" w:color="auto" w:fill="auto"/>
            <w:vAlign w:val="bottom"/>
          </w:tcPr>
          <w:p w:rsidR="001F723F" w:rsidRDefault="000E68B0">
            <w:pPr>
              <w:pStyle w:val="Tabletext0"/>
              <w:rPr>
                <w:rFonts w:asciiTheme="majorHAnsi" w:hAnsiTheme="majorHAnsi"/>
                <w:szCs w:val="18"/>
              </w:rPr>
            </w:pPr>
            <w:r>
              <w:rPr>
                <w:rFonts w:asciiTheme="majorHAnsi" w:hAnsiTheme="majorHAnsi" w:cs="Arial"/>
                <w:color w:val="000000"/>
                <w:szCs w:val="18"/>
              </w:rPr>
              <w:t>Vietnam</w:t>
            </w:r>
          </w:p>
        </w:tc>
        <w:tc>
          <w:tcPr>
            <w:tcW w:w="1495"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1,366</w:t>
            </w:r>
          </w:p>
        </w:tc>
        <w:tc>
          <w:tcPr>
            <w:tcW w:w="1510"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3.5</w:t>
            </w:r>
          </w:p>
        </w:tc>
      </w:tr>
      <w:tr w:rsidR="001F723F">
        <w:trPr>
          <w:cantSplit/>
        </w:trPr>
        <w:tc>
          <w:tcPr>
            <w:tcW w:w="1995" w:type="pct"/>
            <w:shd w:val="clear" w:color="auto" w:fill="auto"/>
            <w:vAlign w:val="bottom"/>
          </w:tcPr>
          <w:p w:rsidR="001F723F" w:rsidRDefault="000E68B0">
            <w:pPr>
              <w:pStyle w:val="Tabletext0"/>
              <w:rPr>
                <w:rFonts w:asciiTheme="majorHAnsi" w:hAnsiTheme="majorHAnsi"/>
                <w:szCs w:val="18"/>
              </w:rPr>
            </w:pPr>
            <w:r>
              <w:rPr>
                <w:rFonts w:asciiTheme="majorHAnsi" w:hAnsiTheme="majorHAnsi" w:cs="Arial"/>
                <w:color w:val="000000"/>
                <w:szCs w:val="18"/>
              </w:rPr>
              <w:t>Malaysia</w:t>
            </w:r>
          </w:p>
        </w:tc>
        <w:tc>
          <w:tcPr>
            <w:tcW w:w="1495"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1,315</w:t>
            </w:r>
          </w:p>
        </w:tc>
        <w:tc>
          <w:tcPr>
            <w:tcW w:w="1510"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3.4</w:t>
            </w:r>
          </w:p>
        </w:tc>
      </w:tr>
      <w:tr w:rsidR="001F723F">
        <w:trPr>
          <w:cantSplit/>
        </w:trPr>
        <w:tc>
          <w:tcPr>
            <w:tcW w:w="1995" w:type="pct"/>
            <w:shd w:val="clear" w:color="auto" w:fill="auto"/>
            <w:vAlign w:val="bottom"/>
          </w:tcPr>
          <w:p w:rsidR="001F723F" w:rsidRDefault="000E68B0">
            <w:pPr>
              <w:pStyle w:val="Tabletext0"/>
              <w:rPr>
                <w:rFonts w:asciiTheme="majorHAnsi" w:hAnsiTheme="majorHAnsi"/>
                <w:szCs w:val="18"/>
              </w:rPr>
            </w:pPr>
            <w:r>
              <w:rPr>
                <w:rFonts w:asciiTheme="majorHAnsi" w:hAnsiTheme="majorHAnsi" w:cs="Arial"/>
                <w:color w:val="000000"/>
                <w:szCs w:val="18"/>
              </w:rPr>
              <w:t>Other</w:t>
            </w:r>
          </w:p>
        </w:tc>
        <w:tc>
          <w:tcPr>
            <w:tcW w:w="1495" w:type="pct"/>
            <w:vAlign w:val="bottom"/>
          </w:tcPr>
          <w:p w:rsidR="001F723F" w:rsidRDefault="000E68B0">
            <w:pPr>
              <w:pStyle w:val="Tabletext0"/>
              <w:jc w:val="right"/>
              <w:rPr>
                <w:rFonts w:asciiTheme="majorHAnsi" w:hAnsiTheme="majorHAnsi"/>
                <w:szCs w:val="18"/>
              </w:rPr>
            </w:pPr>
            <w:r>
              <w:rPr>
                <w:rFonts w:asciiTheme="majorHAnsi" w:hAnsiTheme="majorHAnsi" w:cs="Arial"/>
                <w:b/>
                <w:bCs/>
                <w:szCs w:val="18"/>
              </w:rPr>
              <w:t>14,502</w:t>
            </w:r>
          </w:p>
        </w:tc>
        <w:tc>
          <w:tcPr>
            <w:tcW w:w="1510" w:type="pct"/>
            <w:vAlign w:val="bottom"/>
          </w:tcPr>
          <w:p w:rsidR="001F723F" w:rsidRDefault="000E68B0">
            <w:pPr>
              <w:pStyle w:val="Tabletext0"/>
              <w:jc w:val="right"/>
              <w:rPr>
                <w:rFonts w:asciiTheme="majorHAnsi" w:hAnsiTheme="majorHAnsi"/>
                <w:szCs w:val="18"/>
              </w:rPr>
            </w:pPr>
            <w:r>
              <w:rPr>
                <w:rFonts w:asciiTheme="majorHAnsi" w:hAnsiTheme="majorHAnsi" w:cs="Arial"/>
                <w:szCs w:val="18"/>
              </w:rPr>
              <w:t>37.4</w:t>
            </w:r>
          </w:p>
        </w:tc>
      </w:tr>
      <w:tr w:rsidR="001F723F">
        <w:trPr>
          <w:cantSplit/>
        </w:trPr>
        <w:tc>
          <w:tcPr>
            <w:tcW w:w="1995" w:type="pct"/>
            <w:shd w:val="clear" w:color="auto" w:fill="auto"/>
          </w:tcPr>
          <w:p w:rsidR="001F723F" w:rsidRDefault="000E68B0">
            <w:pPr>
              <w:pStyle w:val="Tabletext0"/>
              <w:rPr>
                <w:b/>
              </w:rPr>
            </w:pPr>
            <w:r>
              <w:rPr>
                <w:b/>
              </w:rPr>
              <w:t>Total</w:t>
            </w:r>
          </w:p>
        </w:tc>
        <w:tc>
          <w:tcPr>
            <w:tcW w:w="1495" w:type="pct"/>
            <w:vAlign w:val="bottom"/>
          </w:tcPr>
          <w:p w:rsidR="001F723F" w:rsidRDefault="000E68B0">
            <w:pPr>
              <w:pStyle w:val="Tabletext0"/>
              <w:jc w:val="right"/>
              <w:rPr>
                <w:b/>
              </w:rPr>
            </w:pPr>
            <w:r>
              <w:rPr>
                <w:b/>
              </w:rPr>
              <w:t>38,748</w:t>
            </w:r>
          </w:p>
        </w:tc>
        <w:tc>
          <w:tcPr>
            <w:tcW w:w="1510" w:type="pct"/>
            <w:vAlign w:val="bottom"/>
          </w:tcPr>
          <w:p w:rsidR="001F723F" w:rsidRDefault="000E68B0">
            <w:pPr>
              <w:pStyle w:val="Tabletext0"/>
              <w:jc w:val="right"/>
              <w:rPr>
                <w:b/>
              </w:rPr>
            </w:pPr>
            <w:r>
              <w:rPr>
                <w:b/>
              </w:rPr>
              <w:t>100</w:t>
            </w:r>
          </w:p>
        </w:tc>
      </w:tr>
    </w:tbl>
    <w:p w:rsidR="001F723F" w:rsidRDefault="000E68B0">
      <w:pPr>
        <w:pStyle w:val="FigureTableNoteSource"/>
      </w:pPr>
      <w:r>
        <w:t>Source: AIMS database</w:t>
      </w:r>
    </w:p>
    <w:p w:rsidR="001F723F" w:rsidRDefault="000E68B0">
      <w:bookmarkStart w:id="112" w:name="_Ref520879990"/>
      <w:bookmarkStart w:id="113" w:name="_Toc518540782"/>
      <w:bookmarkStart w:id="114" w:name="_Toc518543539"/>
      <w:bookmarkStart w:id="115" w:name="_Toc520880976"/>
      <w:r>
        <w:t>From 1 January to 31 December 2018:</w:t>
      </w:r>
    </w:p>
    <w:p w:rsidR="001F723F" w:rsidRDefault="000E68B0">
      <w:pPr>
        <w:pStyle w:val="ListBullet"/>
        <w:spacing w:before="0" w:after="200"/>
        <w:ind w:left="426" w:hanging="426"/>
      </w:pPr>
      <w:r>
        <w:t>Food from China, Italy and India was subject to the most inspections</w:t>
      </w:r>
    </w:p>
    <w:p w:rsidR="001F723F" w:rsidRDefault="000E68B0">
      <w:pPr>
        <w:pStyle w:val="ListBullet"/>
        <w:spacing w:before="0" w:after="200"/>
        <w:ind w:left="426" w:hanging="426"/>
      </w:pPr>
      <w:r>
        <w:lastRenderedPageBreak/>
        <w:t>62.6% of food inspections were conducted on food from 10 countries; the remaining 37.4% concerned food from 129 countries.</w:t>
      </w:r>
    </w:p>
    <w:p w:rsidR="001F723F" w:rsidRDefault="000E68B0">
      <w:r>
        <w:t xml:space="preserve">A significant proportion of food imports are from New Zealand. However, most food from New Zealand is not subject to the </w:t>
      </w:r>
      <w:r>
        <w:rPr>
          <w:i/>
        </w:rPr>
        <w:t>Imported Food Control Act 1992</w:t>
      </w:r>
      <w:r>
        <w:t xml:space="preserve"> because it is covered by the Trans-Tasman Mutual Recognition Arrangement between Australia and New Zealand. Under the arrangement, food produced by or imported into either country that meets one country's food standards may be legally sold in the other country.</w:t>
      </w:r>
      <w:bookmarkEnd w:id="112"/>
      <w:bookmarkEnd w:id="113"/>
      <w:bookmarkEnd w:id="114"/>
      <w:bookmarkEnd w:id="115"/>
    </w:p>
    <w:p w:rsidR="001F723F" w:rsidRDefault="000E68B0">
      <w:pPr>
        <w:pStyle w:val="Heading3"/>
      </w:pPr>
      <w:bookmarkStart w:id="116" w:name="_Toc518540211"/>
      <w:bookmarkStart w:id="117" w:name="_Toc520880949"/>
      <w:bookmarkStart w:id="118" w:name="_Toc16519513"/>
      <w:r>
        <w:t>Comparing inspection data reports</w:t>
      </w:r>
      <w:bookmarkEnd w:id="116"/>
      <w:bookmarkEnd w:id="117"/>
      <w:r>
        <w:t xml:space="preserve"> since 2010</w:t>
      </w:r>
      <w:bookmarkEnd w:id="118"/>
    </w:p>
    <w:p w:rsidR="001F723F" w:rsidRDefault="000E68B0">
      <w:pPr>
        <w:spacing w:before="120"/>
      </w:pPr>
      <w:r>
        <w:t>We have published IFIS data reports since 2006. Initially, reports were published every 6 months. Since 2017 we have published the reports annually.</w:t>
      </w:r>
    </w:p>
    <w:p w:rsidR="001F723F" w:rsidRDefault="000E68B0">
      <w:pPr>
        <w:spacing w:before="120"/>
      </w:pPr>
      <w:r>
        <w:fldChar w:fldCharType="begin"/>
      </w:r>
      <w:r>
        <w:instrText xml:space="preserve"> REF _Ref14865937 \h </w:instrText>
      </w:r>
      <w:r>
        <w:fldChar w:fldCharType="separate"/>
      </w:r>
      <w:r>
        <w:t xml:space="preserve">Figure </w:t>
      </w:r>
      <w:r>
        <w:rPr>
          <w:noProof/>
        </w:rPr>
        <w:t>7</w:t>
      </w:r>
      <w:r>
        <w:fldChar w:fldCharType="end"/>
      </w:r>
      <w:r>
        <w:t xml:space="preserve"> summarises the number of food entries and lines inspected for each calendar year since 2011. The number of entries referred and lines </w:t>
      </w:r>
      <w:r w:rsidRPr="000E73FE">
        <w:t>inspect</w:t>
      </w:r>
      <w:r w:rsidR="000E73FE" w:rsidRPr="000E73FE">
        <w:t>ed</w:t>
      </w:r>
      <w:r>
        <w:t xml:space="preserve"> have increased since 2015, largely as a result of an increase in the volume of food imported.</w:t>
      </w:r>
      <w:bookmarkStart w:id="119" w:name="_GoBack"/>
      <w:bookmarkEnd w:id="119"/>
    </w:p>
    <w:p w:rsidR="001F723F" w:rsidRDefault="000E68B0">
      <w:pPr>
        <w:pStyle w:val="Caption"/>
      </w:pPr>
      <w:bookmarkStart w:id="120" w:name="_Ref14865937"/>
      <w:bookmarkStart w:id="121" w:name="_Toc1651954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20"/>
      <w:r>
        <w:t xml:space="preserve"> Inspection activity, January 2011 to December 2018</w:t>
      </w:r>
      <w:bookmarkEnd w:id="121"/>
    </w:p>
    <w:p w:rsidR="001F723F" w:rsidRDefault="000E68B0">
      <w:r>
        <w:rPr>
          <w:noProof/>
          <w:lang w:eastAsia="en-AU"/>
        </w:rPr>
        <w:drawing>
          <wp:inline distT="0" distB="0" distL="0" distR="0" wp14:anchorId="4129F090" wp14:editId="00FE88F3">
            <wp:extent cx="5286375"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F723F" w:rsidRDefault="000E68B0">
      <w:pPr>
        <w:pStyle w:val="FigureTableNoteSource"/>
      </w:pPr>
      <w:r>
        <w:t>Source: AIMS database</w:t>
      </w:r>
    </w:p>
    <w:p w:rsidR="001F723F" w:rsidRDefault="000E68B0">
      <w:r>
        <w:fldChar w:fldCharType="begin"/>
      </w:r>
      <w:r>
        <w:instrText xml:space="preserve"> REF _Ref14866169 \h </w:instrText>
      </w:r>
      <w:r>
        <w:fldChar w:fldCharType="separate"/>
      </w:r>
      <w:r>
        <w:t xml:space="preserve">Figure </w:t>
      </w:r>
      <w:r>
        <w:rPr>
          <w:noProof/>
        </w:rPr>
        <w:t>8</w:t>
      </w:r>
      <w:r>
        <w:fldChar w:fldCharType="end"/>
      </w:r>
      <w:r>
        <w:t xml:space="preserve"> summarises the number of tests applied at inspection in each calendar year. A reduction in analytical testing in 2013 reflects changes that were made after a review of surveillance testing. The increase in the proportion of labelling tests applied reflects an increase in the volume of food imported (we check the labelling of all food referred to IFIS).</w:t>
      </w:r>
    </w:p>
    <w:p w:rsidR="001F723F" w:rsidRDefault="000E68B0">
      <w:pPr>
        <w:pStyle w:val="Caption"/>
      </w:pPr>
      <w:bookmarkStart w:id="122" w:name="_Ref14866169"/>
      <w:bookmarkStart w:id="123" w:name="_Toc518540784"/>
      <w:bookmarkStart w:id="124" w:name="_Toc518543541"/>
      <w:bookmarkStart w:id="125" w:name="_Toc520880978"/>
      <w:bookmarkStart w:id="126" w:name="_Toc16519546"/>
      <w:r>
        <w:lastRenderedPageBreak/>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122"/>
      <w:r>
        <w:t xml:space="preserve"> Tests conducted, January 2011 to December </w:t>
      </w:r>
      <w:bookmarkEnd w:id="123"/>
      <w:bookmarkEnd w:id="124"/>
      <w:bookmarkEnd w:id="125"/>
      <w:r>
        <w:t>2018</w:t>
      </w:r>
      <w:bookmarkEnd w:id="126"/>
    </w:p>
    <w:p w:rsidR="001F723F" w:rsidRDefault="000E68B0">
      <w:r>
        <w:rPr>
          <w:noProof/>
          <w:lang w:eastAsia="en-AU"/>
        </w:rPr>
        <w:drawing>
          <wp:inline distT="0" distB="0" distL="0" distR="0" wp14:anchorId="3FD89470" wp14:editId="72C37570">
            <wp:extent cx="5295900" cy="30575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F723F" w:rsidRDefault="000E68B0">
      <w:pPr>
        <w:pStyle w:val="FigureTableNoteSource"/>
      </w:pPr>
      <w:r>
        <w:t>Source: AIMS database</w:t>
      </w:r>
    </w:p>
    <w:p w:rsidR="001F723F" w:rsidRDefault="000E68B0">
      <w:pPr>
        <w:pStyle w:val="Heading2"/>
        <w:numPr>
          <w:ilvl w:val="0"/>
          <w:numId w:val="0"/>
        </w:numPr>
      </w:pPr>
      <w:bookmarkStart w:id="127" w:name="_Appendix_A:_Analytical"/>
      <w:bookmarkStart w:id="128" w:name="_Toc430782160"/>
      <w:bookmarkStart w:id="129" w:name="_Toc16519514"/>
      <w:bookmarkEnd w:id="127"/>
      <w:r>
        <w:lastRenderedPageBreak/>
        <w:t xml:space="preserve">Appendix A: </w:t>
      </w:r>
      <w:bookmarkEnd w:id="128"/>
      <w:r>
        <w:t>Analytical tests applied to food</w:t>
      </w:r>
      <w:bookmarkEnd w:id="129"/>
    </w:p>
    <w:p w:rsidR="001F723F" w:rsidRDefault="000E68B0">
      <w:pPr>
        <w:pStyle w:val="Caption"/>
      </w:pPr>
      <w:bookmarkStart w:id="130" w:name="_Toc16519527"/>
      <w:r>
        <w:t xml:space="preserve">Table </w:t>
      </w:r>
      <w:proofErr w:type="gramStart"/>
      <w:r>
        <w:t>A</w:t>
      </w:r>
      <w:proofErr w:type="gramEnd"/>
      <w:r>
        <w:rPr>
          <w:noProof/>
        </w:rPr>
        <w:fldChar w:fldCharType="begin"/>
      </w:r>
      <w:r>
        <w:rPr>
          <w:noProof/>
        </w:rPr>
        <w:instrText xml:space="preserve"> SEQ Table_A \* ARABIC </w:instrText>
      </w:r>
      <w:r>
        <w:rPr>
          <w:noProof/>
        </w:rPr>
        <w:fldChar w:fldCharType="separate"/>
      </w:r>
      <w:r>
        <w:rPr>
          <w:noProof/>
        </w:rPr>
        <w:t>1</w:t>
      </w:r>
      <w:r>
        <w:rPr>
          <w:noProof/>
        </w:rPr>
        <w:fldChar w:fldCharType="end"/>
      </w:r>
      <w:r>
        <w:t xml:space="preserve"> Analytical tests applied to food, 2018</w:t>
      </w:r>
      <w:bookmarkEnd w:id="130"/>
    </w:p>
    <w:tbl>
      <w:tblPr>
        <w:tblW w:w="5000" w:type="pct"/>
        <w:tblBorders>
          <w:top w:val="single" w:sz="4" w:space="0" w:color="auto"/>
          <w:bottom w:val="single" w:sz="4" w:space="0" w:color="auto"/>
        </w:tblBorders>
        <w:tblLook w:val="01E0" w:firstRow="1" w:lastRow="1" w:firstColumn="1" w:lastColumn="1" w:noHBand="0" w:noVBand="0"/>
      </w:tblPr>
      <w:tblGrid>
        <w:gridCol w:w="2231"/>
        <w:gridCol w:w="2416"/>
        <w:gridCol w:w="4423"/>
      </w:tblGrid>
      <w:tr w:rsidR="001F723F">
        <w:trPr>
          <w:cantSplit/>
          <w:tblHeader/>
        </w:trPr>
        <w:tc>
          <w:tcPr>
            <w:tcW w:w="1230" w:type="pct"/>
            <w:shd w:val="clear" w:color="auto" w:fill="FFFFFF" w:themeFill="background1"/>
          </w:tcPr>
          <w:p w:rsidR="001F723F" w:rsidRDefault="000E68B0">
            <w:pPr>
              <w:pStyle w:val="Tableheading0"/>
            </w:pPr>
            <w:r>
              <w:t>Food group</w:t>
            </w:r>
          </w:p>
        </w:tc>
        <w:tc>
          <w:tcPr>
            <w:tcW w:w="1332" w:type="pct"/>
            <w:shd w:val="clear" w:color="auto" w:fill="FFFFFF" w:themeFill="background1"/>
          </w:tcPr>
          <w:p w:rsidR="001F723F" w:rsidRDefault="000E68B0">
            <w:pPr>
              <w:pStyle w:val="Tableheading0"/>
            </w:pPr>
            <w:r>
              <w:t>Risk or surveillance test</w:t>
            </w:r>
          </w:p>
        </w:tc>
        <w:tc>
          <w:tcPr>
            <w:tcW w:w="2438" w:type="pct"/>
            <w:shd w:val="clear" w:color="auto" w:fill="FFFFFF" w:themeFill="background1"/>
          </w:tcPr>
          <w:p w:rsidR="001F723F" w:rsidRDefault="000E68B0">
            <w:pPr>
              <w:pStyle w:val="Tableheading0"/>
            </w:pPr>
            <w:r>
              <w:t>Analytical test</w:t>
            </w:r>
          </w:p>
        </w:tc>
      </w:tr>
      <w:tr w:rsidR="001F723F">
        <w:tc>
          <w:tcPr>
            <w:tcW w:w="1230" w:type="pct"/>
          </w:tcPr>
          <w:p w:rsidR="001F723F" w:rsidRDefault="000E68B0">
            <w:pPr>
              <w:pStyle w:val="Tabletext0"/>
            </w:pPr>
            <w:r>
              <w:t>Coconut milk drinks</w:t>
            </w:r>
          </w:p>
        </w:tc>
        <w:tc>
          <w:tcPr>
            <w:tcW w:w="1332" w:type="pct"/>
          </w:tcPr>
          <w:p w:rsidR="001F723F" w:rsidRDefault="000E68B0">
            <w:pPr>
              <w:pStyle w:val="Tabletext0"/>
            </w:pPr>
            <w:r>
              <w:t>Surveillance</w:t>
            </w:r>
          </w:p>
        </w:tc>
        <w:tc>
          <w:tcPr>
            <w:tcW w:w="2438" w:type="pct"/>
          </w:tcPr>
          <w:p w:rsidR="001F723F" w:rsidRDefault="000E68B0">
            <w:pPr>
              <w:pStyle w:val="Tabletext0"/>
            </w:pPr>
            <w:r>
              <w:t>Beta-</w:t>
            </w:r>
            <w:proofErr w:type="spellStart"/>
            <w:r>
              <w:t>lactoglobulin</w:t>
            </w:r>
            <w:proofErr w:type="spellEnd"/>
          </w:p>
          <w:p w:rsidR="001F723F" w:rsidRDefault="000E68B0">
            <w:pPr>
              <w:pStyle w:val="Tabletext0"/>
            </w:pPr>
            <w:r>
              <w:t>Casein</w:t>
            </w:r>
          </w:p>
          <w:p w:rsidR="001F723F" w:rsidRDefault="000E68B0">
            <w:pPr>
              <w:pStyle w:val="Tabletext0"/>
            </w:pPr>
            <w:r>
              <w:t>Total milk</w:t>
            </w:r>
          </w:p>
        </w:tc>
      </w:tr>
      <w:tr w:rsidR="001F723F">
        <w:tc>
          <w:tcPr>
            <w:tcW w:w="1230" w:type="pct"/>
            <w:vMerge w:val="restart"/>
          </w:tcPr>
          <w:p w:rsidR="001F723F" w:rsidRDefault="000E68B0">
            <w:pPr>
              <w:pStyle w:val="Tabletext0"/>
            </w:pPr>
            <w:r>
              <w:t>Dairy products</w:t>
            </w:r>
          </w:p>
        </w:tc>
        <w:tc>
          <w:tcPr>
            <w:tcW w:w="1332" w:type="pct"/>
          </w:tcPr>
          <w:p w:rsidR="001F723F" w:rsidRDefault="000E68B0">
            <w:pPr>
              <w:pStyle w:val="Tabletext0"/>
            </w:pPr>
            <w:r>
              <w:t>Risk</w:t>
            </w:r>
          </w:p>
        </w:tc>
        <w:tc>
          <w:tcPr>
            <w:tcW w:w="2438" w:type="pct"/>
          </w:tcPr>
          <w:p w:rsidR="001F723F" w:rsidRDefault="000E68B0">
            <w:pPr>
              <w:pStyle w:val="Tabletext0"/>
            </w:pPr>
            <w:r>
              <w:rPr>
                <w:i/>
              </w:rPr>
              <w:t>Listeria</w:t>
            </w:r>
            <w:r>
              <w:t xml:space="preserve"> </w:t>
            </w:r>
            <w:r>
              <w:rPr>
                <w:i/>
              </w:rPr>
              <w:t>monocytogenes</w:t>
            </w:r>
          </w:p>
        </w:tc>
      </w:tr>
      <w:tr w:rsidR="001F723F">
        <w:tc>
          <w:tcPr>
            <w:tcW w:w="1230" w:type="pct"/>
            <w:vMerge/>
          </w:tcPr>
          <w:p w:rsidR="001F723F" w:rsidRDefault="001F723F">
            <w:pPr>
              <w:pStyle w:val="Tabletext0"/>
            </w:pPr>
          </w:p>
        </w:tc>
        <w:tc>
          <w:tcPr>
            <w:tcW w:w="1332" w:type="pct"/>
          </w:tcPr>
          <w:p w:rsidR="001F723F" w:rsidRDefault="000E68B0">
            <w:pPr>
              <w:pStyle w:val="Tabletext0"/>
            </w:pPr>
            <w:r>
              <w:t>Surveillance</w:t>
            </w:r>
          </w:p>
        </w:tc>
        <w:tc>
          <w:tcPr>
            <w:tcW w:w="2438" w:type="pct"/>
          </w:tcPr>
          <w:p w:rsidR="001F723F" w:rsidRDefault="000E68B0">
            <w:pPr>
              <w:pStyle w:val="Tabletext0"/>
              <w:rPr>
                <w:i/>
              </w:rPr>
            </w:pPr>
            <w:r>
              <w:rPr>
                <w:i/>
              </w:rPr>
              <w:t>Listeria</w:t>
            </w:r>
            <w:r>
              <w:t xml:space="preserve"> </w:t>
            </w:r>
            <w:r>
              <w:rPr>
                <w:i/>
              </w:rPr>
              <w:t xml:space="preserve">monocytogenes </w:t>
            </w:r>
            <w:r>
              <w:t>(enumerated)</w:t>
            </w:r>
          </w:p>
          <w:p w:rsidR="001F723F" w:rsidRDefault="000E68B0">
            <w:pPr>
              <w:pStyle w:val="Tabletext0"/>
            </w:pPr>
            <w:r>
              <w:rPr>
                <w:i/>
              </w:rPr>
              <w:t>Salmonella</w:t>
            </w:r>
          </w:p>
        </w:tc>
      </w:tr>
      <w:tr w:rsidR="001F723F">
        <w:tc>
          <w:tcPr>
            <w:tcW w:w="1230" w:type="pct"/>
          </w:tcPr>
          <w:p w:rsidR="001F723F" w:rsidRDefault="000E68B0">
            <w:pPr>
              <w:pStyle w:val="Tabletext0"/>
            </w:pPr>
            <w:r>
              <w:t>Edible plant oils</w:t>
            </w:r>
          </w:p>
        </w:tc>
        <w:tc>
          <w:tcPr>
            <w:tcW w:w="1332" w:type="pct"/>
          </w:tcPr>
          <w:p w:rsidR="001F723F" w:rsidRDefault="000E68B0">
            <w:pPr>
              <w:pStyle w:val="Tabletext0"/>
            </w:pPr>
            <w:r>
              <w:t>Surveillance</w:t>
            </w:r>
          </w:p>
        </w:tc>
        <w:tc>
          <w:tcPr>
            <w:tcW w:w="2438" w:type="pct"/>
          </w:tcPr>
          <w:p w:rsidR="001F723F" w:rsidRDefault="000E68B0">
            <w:pPr>
              <w:pStyle w:val="Tabletext0"/>
            </w:pPr>
            <w:proofErr w:type="spellStart"/>
            <w:r>
              <w:t>Erucic</w:t>
            </w:r>
            <w:proofErr w:type="spellEnd"/>
            <w:r>
              <w:t xml:space="preserve"> acid</w:t>
            </w:r>
          </w:p>
        </w:tc>
      </w:tr>
      <w:tr w:rsidR="001F723F">
        <w:tc>
          <w:tcPr>
            <w:tcW w:w="1230" w:type="pct"/>
          </w:tcPr>
          <w:p w:rsidR="001F723F" w:rsidRDefault="000E68B0">
            <w:pPr>
              <w:pStyle w:val="Tabletext0"/>
            </w:pPr>
            <w:r>
              <w:t>Fruit and vegetables</w:t>
            </w:r>
          </w:p>
        </w:tc>
        <w:tc>
          <w:tcPr>
            <w:tcW w:w="1332" w:type="pct"/>
          </w:tcPr>
          <w:p w:rsidR="001F723F" w:rsidRDefault="000E68B0">
            <w:pPr>
              <w:pStyle w:val="Tabletext0"/>
            </w:pPr>
            <w:r>
              <w:t>Surveillance</w:t>
            </w:r>
          </w:p>
        </w:tc>
        <w:tc>
          <w:tcPr>
            <w:tcW w:w="2438" w:type="pct"/>
          </w:tcPr>
          <w:p w:rsidR="001F723F" w:rsidRDefault="000E68B0">
            <w:pPr>
              <w:pStyle w:val="Tabletext0"/>
            </w:pPr>
            <w:r>
              <w:t>Fruit and vegetable residue screen</w:t>
            </w:r>
          </w:p>
          <w:p w:rsidR="001F723F" w:rsidRDefault="000E68B0">
            <w:pPr>
              <w:pStyle w:val="Tabletext0"/>
            </w:pPr>
            <w:r>
              <w:rPr>
                <w:i/>
              </w:rPr>
              <w:t>E. coli</w:t>
            </w:r>
            <w:r>
              <w:t xml:space="preserve"> (ready-to-eat frozen berries only)</w:t>
            </w:r>
          </w:p>
          <w:p w:rsidR="001F723F" w:rsidRDefault="000E68B0">
            <w:pPr>
              <w:pStyle w:val="Tabletext0"/>
            </w:pPr>
            <w:r>
              <w:t>Hepatitis A (ready-to-eat frozen berries only)</w:t>
            </w:r>
          </w:p>
          <w:p w:rsidR="001F723F" w:rsidRDefault="000E68B0">
            <w:pPr>
              <w:pStyle w:val="Tabletext0"/>
            </w:pPr>
            <w:r>
              <w:rPr>
                <w:i/>
              </w:rPr>
              <w:t xml:space="preserve">E. coli </w:t>
            </w:r>
            <w:r>
              <w:t>(sweet/sugar snap peas, fresh baby corn, fresh chillies, sun-dried and semi-dried tomatoes)</w:t>
            </w:r>
          </w:p>
        </w:tc>
      </w:tr>
      <w:tr w:rsidR="001F723F">
        <w:tc>
          <w:tcPr>
            <w:tcW w:w="1230" w:type="pct"/>
          </w:tcPr>
          <w:p w:rsidR="001F723F" w:rsidRDefault="000E68B0">
            <w:pPr>
              <w:pStyle w:val="Tabletext0"/>
            </w:pPr>
            <w:r>
              <w:t>Fruit – canned and preserved</w:t>
            </w:r>
          </w:p>
        </w:tc>
        <w:tc>
          <w:tcPr>
            <w:tcW w:w="1332" w:type="pct"/>
          </w:tcPr>
          <w:p w:rsidR="001F723F" w:rsidRDefault="000E68B0">
            <w:pPr>
              <w:pStyle w:val="Tabletext0"/>
              <w:tabs>
                <w:tab w:val="left" w:pos="1404"/>
              </w:tabs>
            </w:pPr>
            <w:r>
              <w:t>Surveillance</w:t>
            </w:r>
          </w:p>
        </w:tc>
        <w:tc>
          <w:tcPr>
            <w:tcW w:w="2438" w:type="pct"/>
          </w:tcPr>
          <w:p w:rsidR="001F723F" w:rsidRDefault="000E68B0">
            <w:pPr>
              <w:pStyle w:val="Tabletext0"/>
            </w:pPr>
            <w:r>
              <w:t>Lead</w:t>
            </w:r>
          </w:p>
          <w:p w:rsidR="001F723F" w:rsidRDefault="000E68B0">
            <w:pPr>
              <w:pStyle w:val="Tabletext0"/>
            </w:pPr>
            <w:r>
              <w:t>Tin (canned only)</w:t>
            </w:r>
          </w:p>
        </w:tc>
      </w:tr>
      <w:tr w:rsidR="001F723F">
        <w:tc>
          <w:tcPr>
            <w:tcW w:w="1230" w:type="pct"/>
          </w:tcPr>
          <w:p w:rsidR="001F723F" w:rsidRDefault="000E68B0">
            <w:pPr>
              <w:pStyle w:val="Tabletext0"/>
            </w:pPr>
            <w:r>
              <w:t>Fruit juices</w:t>
            </w:r>
          </w:p>
        </w:tc>
        <w:tc>
          <w:tcPr>
            <w:tcW w:w="1332" w:type="pct"/>
          </w:tcPr>
          <w:p w:rsidR="001F723F" w:rsidRDefault="000E68B0">
            <w:pPr>
              <w:pStyle w:val="Tabletext0"/>
            </w:pPr>
            <w:r>
              <w:t>Surveillance</w:t>
            </w:r>
          </w:p>
        </w:tc>
        <w:tc>
          <w:tcPr>
            <w:tcW w:w="2438" w:type="pct"/>
          </w:tcPr>
          <w:p w:rsidR="001F723F" w:rsidRDefault="000E68B0">
            <w:pPr>
              <w:pStyle w:val="Tabletext0"/>
            </w:pPr>
            <w:r>
              <w:t>Fruit and vegetable residue screen</w:t>
            </w:r>
          </w:p>
        </w:tc>
      </w:tr>
      <w:tr w:rsidR="001F723F">
        <w:tc>
          <w:tcPr>
            <w:tcW w:w="1230" w:type="pct"/>
            <w:vMerge w:val="restart"/>
          </w:tcPr>
          <w:p w:rsidR="001F723F" w:rsidRDefault="000E68B0">
            <w:pPr>
              <w:pStyle w:val="Tabletext0"/>
            </w:pPr>
            <w:r>
              <w:t>Herbs and spices</w:t>
            </w:r>
          </w:p>
        </w:tc>
        <w:tc>
          <w:tcPr>
            <w:tcW w:w="1332" w:type="pct"/>
          </w:tcPr>
          <w:p w:rsidR="001F723F" w:rsidRDefault="000E68B0">
            <w:pPr>
              <w:pStyle w:val="Tabletext0"/>
            </w:pPr>
            <w:r>
              <w:t>Risk</w:t>
            </w:r>
          </w:p>
        </w:tc>
        <w:tc>
          <w:tcPr>
            <w:tcW w:w="2438" w:type="pct"/>
          </w:tcPr>
          <w:p w:rsidR="001F723F" w:rsidRDefault="000E68B0">
            <w:pPr>
              <w:pStyle w:val="Tabletext0"/>
            </w:pPr>
            <w:r>
              <w:rPr>
                <w:i/>
              </w:rPr>
              <w:t>Salmonella</w:t>
            </w:r>
          </w:p>
        </w:tc>
      </w:tr>
      <w:tr w:rsidR="001F723F">
        <w:tc>
          <w:tcPr>
            <w:tcW w:w="1230" w:type="pct"/>
            <w:vMerge/>
          </w:tcPr>
          <w:p w:rsidR="001F723F" w:rsidRDefault="001F723F">
            <w:pPr>
              <w:pStyle w:val="Tabletext0"/>
            </w:pPr>
          </w:p>
        </w:tc>
        <w:tc>
          <w:tcPr>
            <w:tcW w:w="1332" w:type="pct"/>
          </w:tcPr>
          <w:p w:rsidR="001F723F" w:rsidRDefault="000E68B0">
            <w:pPr>
              <w:pStyle w:val="Tabletext0"/>
            </w:pPr>
            <w:r>
              <w:t>Surveillance</w:t>
            </w:r>
          </w:p>
        </w:tc>
        <w:tc>
          <w:tcPr>
            <w:tcW w:w="2438" w:type="pct"/>
          </w:tcPr>
          <w:p w:rsidR="001F723F" w:rsidRDefault="000E68B0">
            <w:pPr>
              <w:pStyle w:val="Tabletext0"/>
            </w:pPr>
            <w:r>
              <w:rPr>
                <w:i/>
              </w:rPr>
              <w:t xml:space="preserve">Salmonella </w:t>
            </w:r>
            <w:r>
              <w:t>(dried and powdered herbs)</w:t>
            </w:r>
          </w:p>
        </w:tc>
      </w:tr>
      <w:tr w:rsidR="001F723F">
        <w:tc>
          <w:tcPr>
            <w:tcW w:w="1230" w:type="pct"/>
          </w:tcPr>
          <w:p w:rsidR="001F723F" w:rsidRDefault="000E68B0">
            <w:pPr>
              <w:pStyle w:val="Tabletext0"/>
            </w:pPr>
            <w:r>
              <w:t>Honey</w:t>
            </w:r>
          </w:p>
        </w:tc>
        <w:tc>
          <w:tcPr>
            <w:tcW w:w="1332" w:type="pct"/>
          </w:tcPr>
          <w:p w:rsidR="001F723F" w:rsidRDefault="000E68B0">
            <w:pPr>
              <w:pStyle w:val="Tabletext0"/>
            </w:pPr>
            <w:r>
              <w:t>Surveillance</w:t>
            </w:r>
          </w:p>
        </w:tc>
        <w:tc>
          <w:tcPr>
            <w:tcW w:w="2438" w:type="pct"/>
          </w:tcPr>
          <w:p w:rsidR="001F723F" w:rsidRDefault="000E68B0">
            <w:pPr>
              <w:pStyle w:val="Tabletext0"/>
            </w:pPr>
            <w:r>
              <w:t>C4 Adulteration</w:t>
            </w:r>
          </w:p>
          <w:p w:rsidR="001F723F" w:rsidRDefault="000E68B0">
            <w:pPr>
              <w:pStyle w:val="Tabletext0"/>
            </w:pPr>
            <w:r>
              <w:t>Moisture content</w:t>
            </w:r>
          </w:p>
          <w:p w:rsidR="001F723F" w:rsidRDefault="000E68B0">
            <w:pPr>
              <w:pStyle w:val="Tabletext0"/>
            </w:pPr>
            <w:r>
              <w:t>Reducing sugar content</w:t>
            </w:r>
          </w:p>
        </w:tc>
      </w:tr>
      <w:tr w:rsidR="001F723F">
        <w:tc>
          <w:tcPr>
            <w:tcW w:w="1230" w:type="pct"/>
            <w:vMerge w:val="restart"/>
          </w:tcPr>
          <w:p w:rsidR="001F723F" w:rsidRDefault="000E68B0">
            <w:pPr>
              <w:pStyle w:val="Tabletext0"/>
            </w:pPr>
            <w:r>
              <w:t>Meat</w:t>
            </w:r>
          </w:p>
        </w:tc>
        <w:tc>
          <w:tcPr>
            <w:tcW w:w="1332" w:type="pct"/>
          </w:tcPr>
          <w:p w:rsidR="001F723F" w:rsidRDefault="000E68B0">
            <w:pPr>
              <w:pStyle w:val="Tabletext0"/>
            </w:pPr>
            <w:r>
              <w:t>Risk</w:t>
            </w:r>
          </w:p>
        </w:tc>
        <w:tc>
          <w:tcPr>
            <w:tcW w:w="2438" w:type="pct"/>
          </w:tcPr>
          <w:p w:rsidR="001F723F" w:rsidRDefault="000E68B0">
            <w:pPr>
              <w:pStyle w:val="Tabletext0"/>
            </w:pPr>
            <w:r>
              <w:t>Government certification for bovine spongiform encephalopathy</w:t>
            </w:r>
          </w:p>
          <w:p w:rsidR="001F723F" w:rsidRDefault="000E68B0">
            <w:pPr>
              <w:pStyle w:val="Tabletext0"/>
            </w:pPr>
            <w:r>
              <w:t>Coagulase-positive staphylococci</w:t>
            </w:r>
          </w:p>
          <w:p w:rsidR="001F723F" w:rsidRDefault="000E68B0">
            <w:pPr>
              <w:pStyle w:val="Tabletext0"/>
              <w:rPr>
                <w:i/>
              </w:rPr>
            </w:pPr>
            <w:r>
              <w:rPr>
                <w:i/>
              </w:rPr>
              <w:t>E. coli</w:t>
            </w:r>
          </w:p>
          <w:p w:rsidR="001F723F" w:rsidRDefault="000E68B0">
            <w:pPr>
              <w:pStyle w:val="Tabletext0"/>
            </w:pPr>
            <w:r>
              <w:rPr>
                <w:i/>
              </w:rPr>
              <w:t>Listeria</w:t>
            </w:r>
            <w:r>
              <w:t xml:space="preserve"> </w:t>
            </w:r>
            <w:r>
              <w:rPr>
                <w:i/>
              </w:rPr>
              <w:t>monocytogenes</w:t>
            </w:r>
          </w:p>
          <w:p w:rsidR="001F723F" w:rsidRDefault="000E68B0">
            <w:pPr>
              <w:pStyle w:val="Tabletext0"/>
            </w:pPr>
            <w:r>
              <w:rPr>
                <w:i/>
              </w:rPr>
              <w:t>Salmonella</w:t>
            </w:r>
          </w:p>
        </w:tc>
      </w:tr>
      <w:tr w:rsidR="001F723F">
        <w:tc>
          <w:tcPr>
            <w:tcW w:w="1230" w:type="pct"/>
            <w:vMerge/>
          </w:tcPr>
          <w:p w:rsidR="001F723F" w:rsidRDefault="001F723F">
            <w:pPr>
              <w:pStyle w:val="Tabletext0"/>
            </w:pPr>
          </w:p>
        </w:tc>
        <w:tc>
          <w:tcPr>
            <w:tcW w:w="1332" w:type="pct"/>
          </w:tcPr>
          <w:p w:rsidR="001F723F" w:rsidRDefault="000E68B0">
            <w:pPr>
              <w:pStyle w:val="Tabletext0"/>
            </w:pPr>
            <w:r>
              <w:t>Surveillance</w:t>
            </w:r>
          </w:p>
        </w:tc>
        <w:tc>
          <w:tcPr>
            <w:tcW w:w="2438" w:type="pct"/>
          </w:tcPr>
          <w:p w:rsidR="001F723F" w:rsidRDefault="000E68B0">
            <w:pPr>
              <w:pStyle w:val="Tabletext0"/>
            </w:pPr>
            <w:r>
              <w:t>Pesticide screen</w:t>
            </w:r>
          </w:p>
          <w:p w:rsidR="001F723F" w:rsidRDefault="000E68B0">
            <w:pPr>
              <w:pStyle w:val="Tabletext0"/>
              <w:rPr>
                <w:i/>
              </w:rPr>
            </w:pPr>
            <w:r>
              <w:rPr>
                <w:i/>
              </w:rPr>
              <w:t>Listeria</w:t>
            </w:r>
            <w:r>
              <w:t xml:space="preserve"> </w:t>
            </w:r>
            <w:r>
              <w:rPr>
                <w:i/>
              </w:rPr>
              <w:t xml:space="preserve">monocytogenes (enumerated) </w:t>
            </w:r>
          </w:p>
          <w:p w:rsidR="001F723F" w:rsidRDefault="000E68B0">
            <w:pPr>
              <w:pStyle w:val="Tabletext0"/>
              <w:rPr>
                <w:i/>
              </w:rPr>
            </w:pPr>
            <w:r>
              <w:rPr>
                <w:i/>
              </w:rPr>
              <w:t>E. coli</w:t>
            </w:r>
          </w:p>
          <w:p w:rsidR="001F723F" w:rsidRDefault="000E68B0">
            <w:pPr>
              <w:pStyle w:val="Tabletext0"/>
              <w:rPr>
                <w:i/>
              </w:rPr>
            </w:pPr>
            <w:r>
              <w:rPr>
                <w:i/>
              </w:rPr>
              <w:t>Salmonella</w:t>
            </w:r>
          </w:p>
          <w:p w:rsidR="001F723F" w:rsidRDefault="000E68B0">
            <w:pPr>
              <w:pStyle w:val="Tabletext0"/>
            </w:pPr>
            <w:proofErr w:type="spellStart"/>
            <w:r>
              <w:t>Cephalosporins</w:t>
            </w:r>
            <w:proofErr w:type="spellEnd"/>
          </w:p>
          <w:p w:rsidR="001F723F" w:rsidRDefault="000E68B0">
            <w:pPr>
              <w:pStyle w:val="Tabletext0"/>
            </w:pPr>
            <w:proofErr w:type="spellStart"/>
            <w:r>
              <w:t>Virginamycin</w:t>
            </w:r>
            <w:proofErr w:type="spellEnd"/>
          </w:p>
        </w:tc>
      </w:tr>
      <w:tr w:rsidR="001F723F">
        <w:tc>
          <w:tcPr>
            <w:tcW w:w="1230" w:type="pct"/>
            <w:vMerge w:val="restart"/>
          </w:tcPr>
          <w:p w:rsidR="001F723F" w:rsidRDefault="000E68B0">
            <w:pPr>
              <w:pStyle w:val="Tabletext0"/>
            </w:pPr>
            <w:r>
              <w:t>Nuts and nut products</w:t>
            </w:r>
          </w:p>
        </w:tc>
        <w:tc>
          <w:tcPr>
            <w:tcW w:w="1332" w:type="pct"/>
          </w:tcPr>
          <w:p w:rsidR="001F723F" w:rsidRDefault="000E68B0">
            <w:pPr>
              <w:pStyle w:val="Tabletext0"/>
            </w:pPr>
            <w:r>
              <w:t>Risk</w:t>
            </w:r>
          </w:p>
        </w:tc>
        <w:tc>
          <w:tcPr>
            <w:tcW w:w="2438" w:type="pct"/>
          </w:tcPr>
          <w:p w:rsidR="001F723F" w:rsidRDefault="000E68B0">
            <w:pPr>
              <w:pStyle w:val="Tabletext0"/>
            </w:pPr>
            <w:r>
              <w:rPr>
                <w:i/>
              </w:rPr>
              <w:t xml:space="preserve">Salmonella </w:t>
            </w:r>
            <w:r>
              <w:t>(coconut)</w:t>
            </w:r>
          </w:p>
          <w:p w:rsidR="001F723F" w:rsidRDefault="000E68B0">
            <w:pPr>
              <w:pStyle w:val="Tabletext0"/>
            </w:pPr>
            <w:r>
              <w:t>Aflatoxin</w:t>
            </w:r>
          </w:p>
        </w:tc>
      </w:tr>
      <w:tr w:rsidR="001F723F">
        <w:tc>
          <w:tcPr>
            <w:tcW w:w="1230" w:type="pct"/>
            <w:vMerge/>
          </w:tcPr>
          <w:p w:rsidR="001F723F" w:rsidRDefault="001F723F">
            <w:pPr>
              <w:pStyle w:val="Tabletext0"/>
              <w:rPr>
                <w:highlight w:val="yellow"/>
              </w:rPr>
            </w:pPr>
          </w:p>
        </w:tc>
        <w:tc>
          <w:tcPr>
            <w:tcW w:w="1332" w:type="pct"/>
          </w:tcPr>
          <w:p w:rsidR="001F723F" w:rsidRDefault="000E68B0">
            <w:pPr>
              <w:pStyle w:val="Tabletext0"/>
              <w:rPr>
                <w:highlight w:val="yellow"/>
              </w:rPr>
            </w:pPr>
            <w:r>
              <w:t>Surveillance</w:t>
            </w:r>
          </w:p>
        </w:tc>
        <w:tc>
          <w:tcPr>
            <w:tcW w:w="2438" w:type="pct"/>
          </w:tcPr>
          <w:p w:rsidR="001F723F" w:rsidRDefault="000E68B0">
            <w:pPr>
              <w:pStyle w:val="Tabletext0"/>
            </w:pPr>
            <w:r>
              <w:rPr>
                <w:i/>
              </w:rPr>
              <w:t xml:space="preserve">Salmonella </w:t>
            </w:r>
            <w:r>
              <w:t>(chilled or frozen shredded coconut)</w:t>
            </w:r>
          </w:p>
        </w:tc>
      </w:tr>
      <w:tr w:rsidR="001F723F">
        <w:tc>
          <w:tcPr>
            <w:tcW w:w="1230" w:type="pct"/>
            <w:vMerge w:val="restart"/>
          </w:tcPr>
          <w:p w:rsidR="001F723F" w:rsidRDefault="000E68B0">
            <w:pPr>
              <w:pStyle w:val="Tabletext0"/>
            </w:pPr>
            <w:r>
              <w:t>Seafood</w:t>
            </w:r>
          </w:p>
        </w:tc>
        <w:tc>
          <w:tcPr>
            <w:tcW w:w="1332" w:type="pct"/>
          </w:tcPr>
          <w:p w:rsidR="001F723F" w:rsidRDefault="000E68B0">
            <w:pPr>
              <w:pStyle w:val="Tabletext0"/>
            </w:pPr>
            <w:r>
              <w:t>Risk</w:t>
            </w:r>
          </w:p>
        </w:tc>
        <w:tc>
          <w:tcPr>
            <w:tcW w:w="2438" w:type="pct"/>
          </w:tcPr>
          <w:p w:rsidR="001F723F" w:rsidRDefault="000E68B0">
            <w:pPr>
              <w:pStyle w:val="Tabletext0"/>
            </w:pPr>
            <w:r>
              <w:t>Histamine</w:t>
            </w:r>
          </w:p>
          <w:p w:rsidR="001F723F" w:rsidRDefault="000E68B0">
            <w:pPr>
              <w:pStyle w:val="Tabletext0"/>
              <w:rPr>
                <w:i/>
              </w:rPr>
            </w:pPr>
            <w:r>
              <w:rPr>
                <w:i/>
              </w:rPr>
              <w:t>Listeria</w:t>
            </w:r>
            <w:r>
              <w:t xml:space="preserve"> </w:t>
            </w:r>
            <w:r>
              <w:rPr>
                <w:i/>
              </w:rPr>
              <w:t>monocytogenes</w:t>
            </w:r>
          </w:p>
          <w:p w:rsidR="001F723F" w:rsidRDefault="000E68B0">
            <w:pPr>
              <w:pStyle w:val="Tabletext0"/>
            </w:pPr>
            <w:r>
              <w:t>Coagulase-positive staphylococci</w:t>
            </w:r>
          </w:p>
          <w:p w:rsidR="001F723F" w:rsidRDefault="000E68B0">
            <w:pPr>
              <w:pStyle w:val="Tabletext0"/>
            </w:pPr>
            <w:r>
              <w:rPr>
                <w:i/>
              </w:rPr>
              <w:t>E. coli</w:t>
            </w:r>
          </w:p>
          <w:p w:rsidR="001F723F" w:rsidRDefault="000E68B0">
            <w:pPr>
              <w:pStyle w:val="Tabletext0"/>
            </w:pPr>
            <w:r>
              <w:rPr>
                <w:i/>
              </w:rPr>
              <w:t>Salmonella</w:t>
            </w:r>
          </w:p>
          <w:p w:rsidR="001F723F" w:rsidRDefault="000E68B0">
            <w:pPr>
              <w:pStyle w:val="Tabletext0"/>
            </w:pPr>
            <w:r>
              <w:lastRenderedPageBreak/>
              <w:t>Standard plate count</w:t>
            </w:r>
          </w:p>
          <w:p w:rsidR="001F723F" w:rsidRDefault="000E68B0">
            <w:pPr>
              <w:pStyle w:val="Tabletext0"/>
            </w:pPr>
            <w:r>
              <w:t>Paralytic shellfish poison (PSP)</w:t>
            </w:r>
          </w:p>
          <w:p w:rsidR="001F723F" w:rsidRDefault="000E68B0">
            <w:pPr>
              <w:pStyle w:val="Tabletext0"/>
            </w:pPr>
            <w:proofErr w:type="spellStart"/>
            <w:r>
              <w:t>Domoic</w:t>
            </w:r>
            <w:proofErr w:type="spellEnd"/>
            <w:r>
              <w:t xml:space="preserve"> acid</w:t>
            </w:r>
          </w:p>
          <w:p w:rsidR="001F723F" w:rsidRDefault="000E68B0">
            <w:pPr>
              <w:pStyle w:val="Tabletext0"/>
            </w:pPr>
            <w:r>
              <w:rPr>
                <w:i/>
              </w:rPr>
              <w:t xml:space="preserve">Vibrio </w:t>
            </w:r>
            <w:proofErr w:type="spellStart"/>
            <w:r>
              <w:rPr>
                <w:i/>
              </w:rPr>
              <w:t>cholerae</w:t>
            </w:r>
            <w:proofErr w:type="spellEnd"/>
          </w:p>
        </w:tc>
      </w:tr>
      <w:tr w:rsidR="001F723F">
        <w:tc>
          <w:tcPr>
            <w:tcW w:w="1230" w:type="pct"/>
            <w:vMerge/>
          </w:tcPr>
          <w:p w:rsidR="001F723F" w:rsidRDefault="001F723F">
            <w:pPr>
              <w:pStyle w:val="Tabletext0"/>
            </w:pPr>
          </w:p>
        </w:tc>
        <w:tc>
          <w:tcPr>
            <w:tcW w:w="1332" w:type="pct"/>
          </w:tcPr>
          <w:p w:rsidR="001F723F" w:rsidRDefault="000E68B0">
            <w:pPr>
              <w:pStyle w:val="Tabletext0"/>
            </w:pPr>
            <w:r>
              <w:t>Surveillance</w:t>
            </w:r>
          </w:p>
        </w:tc>
        <w:tc>
          <w:tcPr>
            <w:tcW w:w="2438" w:type="pct"/>
          </w:tcPr>
          <w:p w:rsidR="001F723F" w:rsidRDefault="000E68B0">
            <w:pPr>
              <w:pStyle w:val="Tabletext0"/>
            </w:pPr>
            <w:r>
              <w:t>Fluoroquinolones</w:t>
            </w:r>
          </w:p>
          <w:p w:rsidR="001F723F" w:rsidRDefault="000E68B0">
            <w:pPr>
              <w:pStyle w:val="Tabletext0"/>
            </w:pPr>
            <w:r>
              <w:t>Malachite green</w:t>
            </w:r>
          </w:p>
          <w:p w:rsidR="001F723F" w:rsidRDefault="000E68B0">
            <w:pPr>
              <w:pStyle w:val="Tabletext0"/>
            </w:pPr>
            <w:proofErr w:type="spellStart"/>
            <w:r>
              <w:t>Nitrofurans</w:t>
            </w:r>
            <w:proofErr w:type="spellEnd"/>
          </w:p>
          <w:p w:rsidR="001F723F" w:rsidRDefault="000E68B0">
            <w:pPr>
              <w:pStyle w:val="Tabletext0"/>
            </w:pPr>
            <w:r>
              <w:t>Quinolones</w:t>
            </w:r>
          </w:p>
          <w:p w:rsidR="001F723F" w:rsidRDefault="000E68B0">
            <w:pPr>
              <w:pStyle w:val="Tabletext0"/>
            </w:pPr>
            <w:r>
              <w:t>Carbon monoxide (tuna and barramundi fillets)</w:t>
            </w:r>
          </w:p>
        </w:tc>
      </w:tr>
      <w:tr w:rsidR="001F723F">
        <w:tc>
          <w:tcPr>
            <w:tcW w:w="1230" w:type="pct"/>
            <w:vMerge w:val="restart"/>
          </w:tcPr>
          <w:p w:rsidR="001F723F" w:rsidRDefault="000E68B0">
            <w:pPr>
              <w:pStyle w:val="Tabletext0"/>
            </w:pPr>
            <w:r>
              <w:t>Plant-based products</w:t>
            </w:r>
          </w:p>
        </w:tc>
        <w:tc>
          <w:tcPr>
            <w:tcW w:w="1332" w:type="pct"/>
          </w:tcPr>
          <w:p w:rsidR="001F723F" w:rsidRDefault="000E68B0">
            <w:pPr>
              <w:pStyle w:val="Tabletext0"/>
            </w:pPr>
            <w:r>
              <w:t>Risk</w:t>
            </w:r>
          </w:p>
        </w:tc>
        <w:tc>
          <w:tcPr>
            <w:tcW w:w="2438" w:type="pct"/>
          </w:tcPr>
          <w:p w:rsidR="001F723F" w:rsidRDefault="000E68B0">
            <w:pPr>
              <w:pStyle w:val="Tabletext0"/>
            </w:pPr>
            <w:r>
              <w:rPr>
                <w:i/>
              </w:rPr>
              <w:t>Salmonella</w:t>
            </w:r>
            <w:r>
              <w:t xml:space="preserve"> (sesame seed and dried coconut)</w:t>
            </w:r>
          </w:p>
          <w:p w:rsidR="001F723F" w:rsidRDefault="000E68B0">
            <w:pPr>
              <w:pStyle w:val="Tabletext0"/>
            </w:pPr>
            <w:r>
              <w:t>Inorganic arsenic (</w:t>
            </w:r>
            <w:proofErr w:type="spellStart"/>
            <w:r>
              <w:t>hijiki</w:t>
            </w:r>
            <w:proofErr w:type="spellEnd"/>
            <w:r>
              <w:t xml:space="preserve"> seaweed)</w:t>
            </w:r>
          </w:p>
          <w:p w:rsidR="001F723F" w:rsidRDefault="000E68B0">
            <w:pPr>
              <w:pStyle w:val="Tabletext0"/>
            </w:pPr>
            <w:r>
              <w:t>Iodine (seaweed (brown algae))</w:t>
            </w:r>
          </w:p>
          <w:p w:rsidR="001F723F" w:rsidRDefault="000E68B0">
            <w:pPr>
              <w:pStyle w:val="Tabletext0"/>
            </w:pPr>
            <w:r>
              <w:t>Hydrocyanic acid (cassava chips)</w:t>
            </w:r>
          </w:p>
        </w:tc>
      </w:tr>
      <w:tr w:rsidR="001F723F">
        <w:tc>
          <w:tcPr>
            <w:tcW w:w="1230" w:type="pct"/>
            <w:vMerge/>
          </w:tcPr>
          <w:p w:rsidR="001F723F" w:rsidRDefault="001F723F">
            <w:pPr>
              <w:pStyle w:val="Tabletext0"/>
            </w:pPr>
          </w:p>
        </w:tc>
        <w:tc>
          <w:tcPr>
            <w:tcW w:w="1332" w:type="pct"/>
          </w:tcPr>
          <w:p w:rsidR="001F723F" w:rsidRDefault="000E68B0">
            <w:pPr>
              <w:pStyle w:val="Tabletext0"/>
            </w:pPr>
            <w:r>
              <w:t>Surveillance</w:t>
            </w:r>
          </w:p>
        </w:tc>
        <w:tc>
          <w:tcPr>
            <w:tcW w:w="2438" w:type="pct"/>
          </w:tcPr>
          <w:p w:rsidR="001F723F" w:rsidRDefault="000E68B0">
            <w:pPr>
              <w:pStyle w:val="Tabletext0"/>
            </w:pPr>
            <w:r>
              <w:t>Fruit and vegetable residue screen</w:t>
            </w:r>
          </w:p>
          <w:p w:rsidR="001F723F" w:rsidRDefault="000E68B0">
            <w:pPr>
              <w:pStyle w:val="Tabletext0"/>
            </w:pPr>
            <w:r>
              <w:rPr>
                <w:i/>
              </w:rPr>
              <w:t>Bacillus cereus</w:t>
            </w:r>
            <w:r>
              <w:t xml:space="preserve"> (tofu, soy bean or milk curd)</w:t>
            </w:r>
          </w:p>
          <w:p w:rsidR="001F723F" w:rsidRDefault="000E68B0">
            <w:pPr>
              <w:pStyle w:val="Tabletext0"/>
            </w:pPr>
            <w:r>
              <w:t>Arsenic total (cereal grains, ready-to-eat cereal flours and processed cereals)</w:t>
            </w:r>
          </w:p>
          <w:p w:rsidR="001F723F" w:rsidRDefault="000E68B0">
            <w:pPr>
              <w:pStyle w:val="Tabletext0"/>
            </w:pPr>
            <w:proofErr w:type="spellStart"/>
            <w:r>
              <w:t>Cannabidiol</w:t>
            </w:r>
            <w:proofErr w:type="spellEnd"/>
            <w:r>
              <w:t>, total THC (hemp seed and hemp seed products)</w:t>
            </w:r>
          </w:p>
        </w:tc>
      </w:tr>
    </w:tbl>
    <w:p w:rsidR="001F723F" w:rsidRDefault="001F723F"/>
    <w:p w:rsidR="001F723F" w:rsidRDefault="000E68B0">
      <w:pPr>
        <w:pStyle w:val="Heading2"/>
        <w:numPr>
          <w:ilvl w:val="0"/>
          <w:numId w:val="0"/>
        </w:numPr>
      </w:pPr>
      <w:bookmarkStart w:id="131" w:name="_Appendix_B:_Tariff"/>
      <w:bookmarkStart w:id="132" w:name="_Toc520880951"/>
      <w:bookmarkStart w:id="133" w:name="_Toc16519515"/>
      <w:bookmarkEnd w:id="131"/>
      <w:r>
        <w:lastRenderedPageBreak/>
        <w:t>Appendix B: Tariff codes applied to food commodity group</w:t>
      </w:r>
      <w:bookmarkEnd w:id="132"/>
      <w:r>
        <w:t>s</w:t>
      </w:r>
      <w:bookmarkEnd w:id="133"/>
    </w:p>
    <w:p w:rsidR="001F723F" w:rsidRDefault="000E68B0">
      <w:pPr>
        <w:pStyle w:val="Caption"/>
      </w:pPr>
      <w:bookmarkStart w:id="134" w:name="_Toc16519528"/>
      <w:r>
        <w:t>Table B</w:t>
      </w:r>
      <w:r>
        <w:rPr>
          <w:noProof/>
        </w:rPr>
        <w:fldChar w:fldCharType="begin"/>
      </w:r>
      <w:r>
        <w:rPr>
          <w:noProof/>
        </w:rPr>
        <w:instrText xml:space="preserve"> SEQ Table_B \* ARABIC </w:instrText>
      </w:r>
      <w:r>
        <w:rPr>
          <w:noProof/>
        </w:rPr>
        <w:fldChar w:fldCharType="separate"/>
      </w:r>
      <w:r>
        <w:rPr>
          <w:noProof/>
        </w:rPr>
        <w:t>1</w:t>
      </w:r>
      <w:r>
        <w:rPr>
          <w:noProof/>
        </w:rPr>
        <w:fldChar w:fldCharType="end"/>
      </w:r>
      <w:r>
        <w:t xml:space="preserve"> Tariff codes applied to food commodity groups</w:t>
      </w:r>
      <w:bookmarkEnd w:id="134"/>
    </w:p>
    <w:tbl>
      <w:tblPr>
        <w:tblW w:w="5000" w:type="pct"/>
        <w:jc w:val="center"/>
        <w:tblBorders>
          <w:top w:val="single" w:sz="4" w:space="0" w:color="auto"/>
          <w:bottom w:val="single" w:sz="4" w:space="0" w:color="auto"/>
        </w:tblBorders>
        <w:shd w:val="clear" w:color="auto" w:fill="FFFFFF" w:themeFill="background1"/>
        <w:tblLayout w:type="fixed"/>
        <w:tblLook w:val="01E0" w:firstRow="1" w:lastRow="1" w:firstColumn="1" w:lastColumn="1" w:noHBand="0" w:noVBand="0"/>
      </w:tblPr>
      <w:tblGrid>
        <w:gridCol w:w="4535"/>
        <w:gridCol w:w="4535"/>
      </w:tblGrid>
      <w:tr w:rsidR="001F723F">
        <w:trPr>
          <w:cantSplit/>
          <w:tblHeader/>
          <w:jc w:val="center"/>
        </w:trPr>
        <w:tc>
          <w:tcPr>
            <w:tcW w:w="2500" w:type="pct"/>
            <w:shd w:val="clear" w:color="auto" w:fill="FFFFFF" w:themeFill="background1"/>
          </w:tcPr>
          <w:p w:rsidR="001F723F" w:rsidRDefault="000E68B0">
            <w:pPr>
              <w:pStyle w:val="Tableheading0"/>
            </w:pPr>
            <w:r>
              <w:t>Commodity group</w:t>
            </w:r>
          </w:p>
        </w:tc>
        <w:tc>
          <w:tcPr>
            <w:tcW w:w="2500" w:type="pct"/>
            <w:shd w:val="clear" w:color="auto" w:fill="FFFFFF" w:themeFill="background1"/>
          </w:tcPr>
          <w:p w:rsidR="001F723F" w:rsidRDefault="000E68B0">
            <w:pPr>
              <w:pStyle w:val="Tableheading0"/>
            </w:pPr>
            <w:r>
              <w:t>Tariff code</w:t>
            </w:r>
          </w:p>
        </w:tc>
      </w:tr>
      <w:tr w:rsidR="001F723F">
        <w:trPr>
          <w:jc w:val="center"/>
        </w:trPr>
        <w:tc>
          <w:tcPr>
            <w:tcW w:w="2500" w:type="pct"/>
            <w:shd w:val="clear" w:color="auto" w:fill="FFFFFF" w:themeFill="background1"/>
          </w:tcPr>
          <w:p w:rsidR="001F723F" w:rsidRDefault="000E68B0">
            <w:pPr>
              <w:pStyle w:val="Tabletext0"/>
            </w:pPr>
            <w:r>
              <w:t>Beverages</w:t>
            </w:r>
          </w:p>
        </w:tc>
        <w:tc>
          <w:tcPr>
            <w:tcW w:w="2500" w:type="pct"/>
            <w:shd w:val="clear" w:color="auto" w:fill="FFFFFF" w:themeFill="background1"/>
          </w:tcPr>
          <w:p w:rsidR="001F723F" w:rsidRDefault="000E68B0">
            <w:pPr>
              <w:pStyle w:val="Tabletext0"/>
            </w:pPr>
            <w:r>
              <w:t>2009</w:t>
            </w:r>
          </w:p>
          <w:p w:rsidR="001F723F" w:rsidRDefault="000E68B0">
            <w:pPr>
              <w:pStyle w:val="Tabletext0"/>
            </w:pPr>
            <w:r>
              <w:t>2201 to 2208</w:t>
            </w:r>
          </w:p>
        </w:tc>
      </w:tr>
      <w:tr w:rsidR="001F723F">
        <w:trPr>
          <w:jc w:val="center"/>
        </w:trPr>
        <w:tc>
          <w:tcPr>
            <w:tcW w:w="2500" w:type="pct"/>
            <w:shd w:val="clear" w:color="auto" w:fill="FFFFFF" w:themeFill="background1"/>
          </w:tcPr>
          <w:p w:rsidR="001F723F" w:rsidRDefault="000E68B0">
            <w:pPr>
              <w:pStyle w:val="Tabletext0"/>
            </w:pPr>
            <w:r>
              <w:t>Cereals</w:t>
            </w:r>
          </w:p>
        </w:tc>
        <w:tc>
          <w:tcPr>
            <w:tcW w:w="2500" w:type="pct"/>
            <w:shd w:val="clear" w:color="auto" w:fill="FFFFFF" w:themeFill="background1"/>
          </w:tcPr>
          <w:p w:rsidR="001F723F" w:rsidRDefault="000E68B0">
            <w:pPr>
              <w:pStyle w:val="Tabletext0"/>
            </w:pPr>
            <w:r>
              <w:t>1001 to 1008</w:t>
            </w:r>
          </w:p>
          <w:p w:rsidR="001F723F" w:rsidRDefault="000E68B0">
            <w:pPr>
              <w:pStyle w:val="Tabletext0"/>
            </w:pPr>
            <w:r>
              <w:t>1101 to 1109</w:t>
            </w:r>
          </w:p>
        </w:tc>
      </w:tr>
      <w:tr w:rsidR="001F723F">
        <w:trPr>
          <w:jc w:val="center"/>
        </w:trPr>
        <w:tc>
          <w:tcPr>
            <w:tcW w:w="2500" w:type="pct"/>
            <w:shd w:val="clear" w:color="auto" w:fill="FFFFFF" w:themeFill="background1"/>
          </w:tcPr>
          <w:p w:rsidR="001F723F" w:rsidRDefault="000E68B0">
            <w:pPr>
              <w:pStyle w:val="Tabletext0"/>
            </w:pPr>
            <w:r>
              <w:t>Dairy</w:t>
            </w:r>
          </w:p>
        </w:tc>
        <w:tc>
          <w:tcPr>
            <w:tcW w:w="2500" w:type="pct"/>
            <w:shd w:val="clear" w:color="auto" w:fill="FFFFFF" w:themeFill="background1"/>
          </w:tcPr>
          <w:p w:rsidR="001F723F" w:rsidRDefault="000E68B0">
            <w:pPr>
              <w:pStyle w:val="Tabletext0"/>
            </w:pPr>
            <w:r>
              <w:t>0401 to 0406</w:t>
            </w:r>
          </w:p>
        </w:tc>
      </w:tr>
      <w:tr w:rsidR="001F723F">
        <w:trPr>
          <w:jc w:val="center"/>
        </w:trPr>
        <w:tc>
          <w:tcPr>
            <w:tcW w:w="2500" w:type="pct"/>
            <w:shd w:val="clear" w:color="auto" w:fill="FFFFFF" w:themeFill="background1"/>
          </w:tcPr>
          <w:p w:rsidR="001F723F" w:rsidRDefault="000E68B0">
            <w:pPr>
              <w:pStyle w:val="Tabletext0"/>
            </w:pPr>
            <w:r>
              <w:t>Eggs</w:t>
            </w:r>
          </w:p>
        </w:tc>
        <w:tc>
          <w:tcPr>
            <w:tcW w:w="2500" w:type="pct"/>
            <w:shd w:val="clear" w:color="auto" w:fill="FFFFFF" w:themeFill="background1"/>
          </w:tcPr>
          <w:p w:rsidR="001F723F" w:rsidRDefault="000E68B0">
            <w:pPr>
              <w:pStyle w:val="Tabletext0"/>
            </w:pPr>
            <w:r>
              <w:t>0407 to 0408</w:t>
            </w:r>
          </w:p>
        </w:tc>
      </w:tr>
      <w:tr w:rsidR="001F723F">
        <w:trPr>
          <w:jc w:val="center"/>
        </w:trPr>
        <w:tc>
          <w:tcPr>
            <w:tcW w:w="2500" w:type="pct"/>
            <w:shd w:val="clear" w:color="auto" w:fill="FFFFFF" w:themeFill="background1"/>
          </w:tcPr>
          <w:p w:rsidR="001F723F" w:rsidRDefault="000E68B0">
            <w:pPr>
              <w:pStyle w:val="Tabletext0"/>
            </w:pPr>
            <w:r>
              <w:t>Honey</w:t>
            </w:r>
          </w:p>
        </w:tc>
        <w:tc>
          <w:tcPr>
            <w:tcW w:w="2500" w:type="pct"/>
            <w:shd w:val="clear" w:color="auto" w:fill="FFFFFF" w:themeFill="background1"/>
          </w:tcPr>
          <w:p w:rsidR="001F723F" w:rsidRDefault="000E68B0">
            <w:pPr>
              <w:pStyle w:val="Tabletext0"/>
            </w:pPr>
            <w:r>
              <w:t>0409</w:t>
            </w:r>
          </w:p>
        </w:tc>
      </w:tr>
      <w:tr w:rsidR="001F723F">
        <w:trPr>
          <w:jc w:val="center"/>
        </w:trPr>
        <w:tc>
          <w:tcPr>
            <w:tcW w:w="2500" w:type="pct"/>
            <w:shd w:val="clear" w:color="auto" w:fill="FFFFFF" w:themeFill="background1"/>
          </w:tcPr>
          <w:p w:rsidR="001F723F" w:rsidRDefault="000E68B0">
            <w:pPr>
              <w:pStyle w:val="Tabletext0"/>
            </w:pPr>
            <w:r>
              <w:t>Horticulture</w:t>
            </w:r>
          </w:p>
        </w:tc>
        <w:tc>
          <w:tcPr>
            <w:tcW w:w="2500" w:type="pct"/>
            <w:shd w:val="clear" w:color="auto" w:fill="FFFFFF" w:themeFill="background1"/>
          </w:tcPr>
          <w:p w:rsidR="001F723F" w:rsidRDefault="000E68B0">
            <w:pPr>
              <w:pStyle w:val="Tabletext0"/>
            </w:pPr>
            <w:r>
              <w:t>0701 to 0714</w:t>
            </w:r>
          </w:p>
          <w:p w:rsidR="001F723F" w:rsidRDefault="000E68B0">
            <w:pPr>
              <w:pStyle w:val="Tabletext0"/>
            </w:pPr>
            <w:r>
              <w:t>0801 to 0814</w:t>
            </w:r>
          </w:p>
          <w:p w:rsidR="001F723F" w:rsidRDefault="000E68B0">
            <w:pPr>
              <w:pStyle w:val="Tabletext0"/>
            </w:pPr>
            <w:r>
              <w:t>0904 to 0910</w:t>
            </w:r>
          </w:p>
          <w:p w:rsidR="001F723F" w:rsidRDefault="000E68B0">
            <w:pPr>
              <w:pStyle w:val="Tabletext0"/>
            </w:pPr>
            <w:r>
              <w:t>1201 to 1208</w:t>
            </w:r>
          </w:p>
          <w:p w:rsidR="001F723F" w:rsidRDefault="000E68B0">
            <w:pPr>
              <w:pStyle w:val="Tabletext0"/>
            </w:pPr>
            <w:r>
              <w:t>1210 to 1212</w:t>
            </w:r>
          </w:p>
          <w:p w:rsidR="001F723F" w:rsidRDefault="000E68B0">
            <w:pPr>
              <w:pStyle w:val="Tabletext0"/>
            </w:pPr>
            <w:r>
              <w:t>1801 to 1802</w:t>
            </w:r>
          </w:p>
        </w:tc>
      </w:tr>
      <w:tr w:rsidR="001F723F">
        <w:trPr>
          <w:jc w:val="center"/>
        </w:trPr>
        <w:tc>
          <w:tcPr>
            <w:tcW w:w="2500" w:type="pct"/>
            <w:shd w:val="clear" w:color="auto" w:fill="FFFFFF" w:themeFill="background1"/>
          </w:tcPr>
          <w:p w:rsidR="001F723F" w:rsidRDefault="000E68B0">
            <w:pPr>
              <w:pStyle w:val="Tabletext0"/>
            </w:pPr>
            <w:r>
              <w:t>Meat</w:t>
            </w:r>
          </w:p>
        </w:tc>
        <w:tc>
          <w:tcPr>
            <w:tcW w:w="2500" w:type="pct"/>
            <w:shd w:val="clear" w:color="auto" w:fill="FFFFFF" w:themeFill="background1"/>
          </w:tcPr>
          <w:p w:rsidR="001F723F" w:rsidRDefault="000E68B0">
            <w:pPr>
              <w:pStyle w:val="Tabletext0"/>
            </w:pPr>
            <w:r>
              <w:t>0201 to 0212</w:t>
            </w:r>
          </w:p>
          <w:p w:rsidR="001F723F" w:rsidRDefault="000E68B0">
            <w:pPr>
              <w:pStyle w:val="Tabletext0"/>
            </w:pPr>
            <w:r>
              <w:t>0504</w:t>
            </w:r>
          </w:p>
          <w:p w:rsidR="001F723F" w:rsidRDefault="000E68B0">
            <w:pPr>
              <w:pStyle w:val="Tabletext0"/>
            </w:pPr>
            <w:r>
              <w:t>1601 to1602</w:t>
            </w:r>
          </w:p>
        </w:tc>
      </w:tr>
      <w:tr w:rsidR="001F723F">
        <w:trPr>
          <w:jc w:val="center"/>
        </w:trPr>
        <w:tc>
          <w:tcPr>
            <w:tcW w:w="2500" w:type="pct"/>
            <w:shd w:val="clear" w:color="auto" w:fill="FFFFFF" w:themeFill="background1"/>
          </w:tcPr>
          <w:p w:rsidR="001F723F" w:rsidRDefault="000E68B0">
            <w:pPr>
              <w:pStyle w:val="Tabletext0"/>
            </w:pPr>
            <w:r>
              <w:t>Seafood</w:t>
            </w:r>
          </w:p>
        </w:tc>
        <w:tc>
          <w:tcPr>
            <w:tcW w:w="2500" w:type="pct"/>
            <w:shd w:val="clear" w:color="auto" w:fill="FFFFFF" w:themeFill="background1"/>
          </w:tcPr>
          <w:p w:rsidR="001F723F" w:rsidRDefault="000E68B0">
            <w:pPr>
              <w:pStyle w:val="Tabletext0"/>
            </w:pPr>
            <w:r>
              <w:t>0302 to 0307</w:t>
            </w:r>
          </w:p>
          <w:p w:rsidR="001F723F" w:rsidRDefault="000E68B0">
            <w:pPr>
              <w:pStyle w:val="Tabletext0"/>
            </w:pPr>
            <w:r>
              <w:t>1603 to 1605</w:t>
            </w:r>
          </w:p>
        </w:tc>
      </w:tr>
      <w:tr w:rsidR="001F723F">
        <w:trPr>
          <w:jc w:val="center"/>
        </w:trPr>
        <w:tc>
          <w:tcPr>
            <w:tcW w:w="2500" w:type="pct"/>
            <w:shd w:val="clear" w:color="auto" w:fill="FFFFFF" w:themeFill="background1"/>
          </w:tcPr>
          <w:p w:rsidR="001F723F" w:rsidRDefault="000E68B0">
            <w:pPr>
              <w:pStyle w:val="Tabletext0"/>
            </w:pPr>
            <w:r>
              <w:t>Other (including processed food)</w:t>
            </w:r>
          </w:p>
        </w:tc>
        <w:tc>
          <w:tcPr>
            <w:tcW w:w="2500" w:type="pct"/>
            <w:shd w:val="clear" w:color="auto" w:fill="FFFFFF" w:themeFill="background1"/>
          </w:tcPr>
          <w:p w:rsidR="001F723F" w:rsidRDefault="000E68B0">
            <w:pPr>
              <w:pStyle w:val="Tabletext0"/>
            </w:pPr>
            <w:r>
              <w:t>0410</w:t>
            </w:r>
          </w:p>
          <w:p w:rsidR="001F723F" w:rsidRDefault="000E68B0">
            <w:pPr>
              <w:pStyle w:val="Tabletext0"/>
            </w:pPr>
            <w:r>
              <w:t>0901 to 0903</w:t>
            </w:r>
          </w:p>
          <w:p w:rsidR="001F723F" w:rsidRDefault="000E68B0">
            <w:pPr>
              <w:pStyle w:val="Tabletext0"/>
            </w:pPr>
            <w:r>
              <w:t>1301 to 1302</w:t>
            </w:r>
          </w:p>
          <w:p w:rsidR="001F723F" w:rsidRDefault="000E68B0">
            <w:pPr>
              <w:pStyle w:val="Tabletext0"/>
            </w:pPr>
            <w:r>
              <w:t>1501 to 1504</w:t>
            </w:r>
          </w:p>
          <w:p w:rsidR="001F723F" w:rsidRDefault="000E68B0">
            <w:pPr>
              <w:pStyle w:val="Tabletext0"/>
            </w:pPr>
            <w:r>
              <w:t>1506 to 1517</w:t>
            </w:r>
          </w:p>
          <w:p w:rsidR="001F723F" w:rsidRDefault="000E68B0">
            <w:pPr>
              <w:pStyle w:val="Tabletext0"/>
            </w:pPr>
            <w:r>
              <w:t>1520 to 1521</w:t>
            </w:r>
          </w:p>
          <w:p w:rsidR="001F723F" w:rsidRDefault="000E68B0">
            <w:pPr>
              <w:pStyle w:val="Tabletext0"/>
            </w:pPr>
            <w:r>
              <w:t>1701 to 1704</w:t>
            </w:r>
          </w:p>
          <w:p w:rsidR="001F723F" w:rsidRDefault="000E68B0">
            <w:pPr>
              <w:pStyle w:val="Tabletext0"/>
            </w:pPr>
            <w:r>
              <w:t>1803 to 1806</w:t>
            </w:r>
          </w:p>
          <w:p w:rsidR="001F723F" w:rsidRDefault="000E68B0">
            <w:pPr>
              <w:pStyle w:val="Tabletext0"/>
            </w:pPr>
            <w:r>
              <w:t>1901 to 1905</w:t>
            </w:r>
          </w:p>
          <w:p w:rsidR="001F723F" w:rsidRDefault="000E68B0">
            <w:pPr>
              <w:pStyle w:val="Tabletext0"/>
            </w:pPr>
            <w:r>
              <w:t>2001 to 2008</w:t>
            </w:r>
          </w:p>
          <w:p w:rsidR="001F723F" w:rsidRDefault="000E68B0">
            <w:pPr>
              <w:pStyle w:val="Tabletext0"/>
            </w:pPr>
            <w:r>
              <w:t>2101 to 2106</w:t>
            </w:r>
          </w:p>
          <w:p w:rsidR="001F723F" w:rsidRDefault="000E68B0">
            <w:pPr>
              <w:pStyle w:val="Tabletext0"/>
            </w:pPr>
            <w:r>
              <w:t>2209</w:t>
            </w:r>
          </w:p>
          <w:p w:rsidR="001F723F" w:rsidRDefault="000E68B0">
            <w:pPr>
              <w:pStyle w:val="Tabletext0"/>
            </w:pPr>
            <w:r>
              <w:t>2501</w:t>
            </w:r>
          </w:p>
          <w:p w:rsidR="001F723F" w:rsidRDefault="000E68B0">
            <w:pPr>
              <w:pStyle w:val="Tabletext0"/>
            </w:pPr>
            <w:r>
              <w:t>3501 to 3503</w:t>
            </w:r>
          </w:p>
          <w:p w:rsidR="001F723F" w:rsidRDefault="000E68B0">
            <w:pPr>
              <w:pStyle w:val="Tabletext0"/>
            </w:pPr>
            <w:r>
              <w:t>3505</w:t>
            </w:r>
          </w:p>
          <w:p w:rsidR="001F723F" w:rsidRDefault="000E68B0">
            <w:pPr>
              <w:pStyle w:val="Tabletext0"/>
            </w:pPr>
            <w:r>
              <w:t>3507</w:t>
            </w:r>
          </w:p>
        </w:tc>
      </w:tr>
    </w:tbl>
    <w:p w:rsidR="001F723F" w:rsidRDefault="001F723F">
      <w:pPr>
        <w:rPr>
          <w:lang w:eastAsia="ja-JP"/>
        </w:rPr>
      </w:pPr>
    </w:p>
    <w:p w:rsidR="001F723F" w:rsidRDefault="000E68B0">
      <w:pPr>
        <w:pStyle w:val="Heading2"/>
        <w:numPr>
          <w:ilvl w:val="0"/>
          <w:numId w:val="0"/>
        </w:numPr>
        <w:ind w:left="709" w:hanging="709"/>
      </w:pPr>
      <w:bookmarkStart w:id="135" w:name="_Appendix_C:_Number"/>
      <w:bookmarkStart w:id="136" w:name="_Glossary"/>
      <w:bookmarkStart w:id="137" w:name="_Toc430782161"/>
      <w:bookmarkStart w:id="138" w:name="_Toc16519516"/>
      <w:bookmarkEnd w:id="135"/>
      <w:bookmarkEnd w:id="136"/>
      <w:r>
        <w:lastRenderedPageBreak/>
        <w:t>Glossary</w:t>
      </w:r>
      <w:bookmarkEnd w:id="137"/>
      <w:bookmarkEnd w:id="13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1F723F">
        <w:trPr>
          <w:cantSplit/>
          <w:tblHeader/>
        </w:trPr>
        <w:tc>
          <w:tcPr>
            <w:tcW w:w="1249" w:type="pct"/>
          </w:tcPr>
          <w:p w:rsidR="001F723F" w:rsidRDefault="000E68B0">
            <w:pPr>
              <w:pStyle w:val="TableHeading"/>
            </w:pPr>
            <w:r>
              <w:t>Term</w:t>
            </w:r>
          </w:p>
        </w:tc>
        <w:tc>
          <w:tcPr>
            <w:tcW w:w="3751" w:type="pct"/>
          </w:tcPr>
          <w:p w:rsidR="001F723F" w:rsidRDefault="000E68B0">
            <w:pPr>
              <w:pStyle w:val="TableHeading"/>
            </w:pPr>
            <w:r>
              <w:t>Definition</w:t>
            </w:r>
          </w:p>
        </w:tc>
      </w:tr>
      <w:tr w:rsidR="001F723F">
        <w:tc>
          <w:tcPr>
            <w:tcW w:w="1249" w:type="pct"/>
          </w:tcPr>
          <w:p w:rsidR="001F723F" w:rsidRDefault="000E68B0">
            <w:pPr>
              <w:pStyle w:val="TableText"/>
            </w:pPr>
            <w:r>
              <w:t>AIMS</w:t>
            </w:r>
          </w:p>
        </w:tc>
        <w:tc>
          <w:tcPr>
            <w:tcW w:w="3751" w:type="pct"/>
          </w:tcPr>
          <w:p w:rsidR="001F723F" w:rsidRDefault="000E68B0">
            <w:pPr>
              <w:pStyle w:val="TableText"/>
            </w:pPr>
            <w:r>
              <w:t>Computer system that receives data on imported goods from the Integrated Cargo System (ICS) and processes entries for imported food and quarantine purposes.</w:t>
            </w:r>
          </w:p>
        </w:tc>
      </w:tr>
      <w:tr w:rsidR="001F723F">
        <w:tc>
          <w:tcPr>
            <w:tcW w:w="1249" w:type="pct"/>
          </w:tcPr>
          <w:p w:rsidR="001F723F" w:rsidRDefault="000E68B0">
            <w:pPr>
              <w:pStyle w:val="TableText"/>
            </w:pPr>
            <w:r>
              <w:t>Australia New Zealand Food Standards Code</w:t>
            </w:r>
          </w:p>
        </w:tc>
        <w:tc>
          <w:tcPr>
            <w:tcW w:w="3751" w:type="pct"/>
          </w:tcPr>
          <w:p w:rsidR="001F723F" w:rsidRDefault="000E68B0">
            <w:pPr>
              <w:pStyle w:val="TableText"/>
            </w:pPr>
            <w:r>
              <w:t xml:space="preserve">Details food standards applicable to food for human consumption in Australia. See the </w:t>
            </w:r>
            <w:hyperlink r:id="rId33" w:history="1">
              <w:r>
                <w:rPr>
                  <w:rStyle w:val="Hyperlink"/>
                </w:rPr>
                <w:t>Food standards code</w:t>
              </w:r>
            </w:hyperlink>
            <w:r>
              <w:t>.</w:t>
            </w:r>
          </w:p>
        </w:tc>
      </w:tr>
      <w:tr w:rsidR="001F723F">
        <w:tc>
          <w:tcPr>
            <w:tcW w:w="1249" w:type="pct"/>
          </w:tcPr>
          <w:p w:rsidR="001F723F" w:rsidRDefault="000E68B0">
            <w:pPr>
              <w:pStyle w:val="TableText"/>
            </w:pPr>
            <w:r>
              <w:t>batch</w:t>
            </w:r>
          </w:p>
        </w:tc>
        <w:tc>
          <w:tcPr>
            <w:tcW w:w="3751" w:type="pct"/>
          </w:tcPr>
          <w:p w:rsidR="001F723F" w:rsidRDefault="000E68B0">
            <w:pPr>
              <w:pStyle w:val="TableText"/>
            </w:pPr>
            <w:r>
              <w:t>Food of a particular kind made or packed in a distinct manner that may include one or more lots.</w:t>
            </w:r>
          </w:p>
        </w:tc>
      </w:tr>
      <w:tr w:rsidR="001F723F">
        <w:tc>
          <w:tcPr>
            <w:tcW w:w="1249" w:type="pct"/>
          </w:tcPr>
          <w:p w:rsidR="001F723F" w:rsidRDefault="000E68B0">
            <w:pPr>
              <w:pStyle w:val="TableText"/>
            </w:pPr>
            <w:r>
              <w:t>entry</w:t>
            </w:r>
          </w:p>
        </w:tc>
        <w:tc>
          <w:tcPr>
            <w:tcW w:w="3751" w:type="pct"/>
          </w:tcPr>
          <w:p w:rsidR="001F723F" w:rsidRDefault="000E68B0">
            <w:pPr>
              <w:pStyle w:val="TableText"/>
            </w:pPr>
            <w:r>
              <w:t>Department of Home Affairs electronic document generated using the ICS. An entry may contain one or more lines or food.</w:t>
            </w:r>
          </w:p>
        </w:tc>
      </w:tr>
      <w:tr w:rsidR="001F723F">
        <w:tc>
          <w:tcPr>
            <w:tcW w:w="1249" w:type="pct"/>
          </w:tcPr>
          <w:p w:rsidR="001F723F" w:rsidRDefault="000E68B0">
            <w:pPr>
              <w:pStyle w:val="TableText"/>
            </w:pPr>
            <w:r>
              <w:t>food</w:t>
            </w:r>
          </w:p>
        </w:tc>
        <w:tc>
          <w:tcPr>
            <w:tcW w:w="3751" w:type="pct"/>
          </w:tcPr>
          <w:p w:rsidR="001F723F" w:rsidRDefault="000E68B0">
            <w:pPr>
              <w:pStyle w:val="Tabletext0"/>
            </w:pPr>
            <w:r>
              <w:t xml:space="preserve">Under section 3 of the </w:t>
            </w:r>
            <w:hyperlink r:id="rId34" w:history="1">
              <w:r>
                <w:rPr>
                  <w:rStyle w:val="Hyperlink"/>
                </w:rPr>
                <w:t>Imported Food Control Act 1992</w:t>
              </w:r>
            </w:hyperlink>
            <w:r>
              <w:rPr>
                <w:rStyle w:val="Emphasis"/>
              </w:rPr>
              <w:t>,</w:t>
            </w:r>
          </w:p>
          <w:p w:rsidR="001F723F" w:rsidRDefault="000E68B0">
            <w:pPr>
              <w:pStyle w:val="Tabletext0"/>
            </w:pPr>
            <w:r>
              <w:t>(1) Food includes</w:t>
            </w:r>
          </w:p>
          <w:p w:rsidR="001F723F" w:rsidRDefault="000E68B0">
            <w:pPr>
              <w:pStyle w:val="Tabletext0"/>
            </w:pPr>
            <w:r>
              <w:t>(a) any substance or thing of a kind used, capable of being used, or represented as being for use, for human consumption (whether it is live, raw, prepared or partly prepared); and</w:t>
            </w:r>
          </w:p>
          <w:p w:rsidR="001F723F" w:rsidRDefault="000E68B0">
            <w:pPr>
              <w:pStyle w:val="Tabletext0"/>
            </w:pPr>
            <w:r>
              <w:t>(b) any substance or thing of a kind used, capable of being used, or represented as being for use, as an ingredient or additive in a substance or thing referred to in paragraph (a); and</w:t>
            </w:r>
          </w:p>
          <w:p w:rsidR="001F723F" w:rsidRDefault="000E68B0">
            <w:pPr>
              <w:pStyle w:val="Tabletext0"/>
            </w:pPr>
            <w:r>
              <w:t>(c) any substance used in preparing a substance or think referred to in paragraph (a); and</w:t>
            </w:r>
          </w:p>
          <w:p w:rsidR="001F723F" w:rsidRDefault="000E68B0">
            <w:pPr>
              <w:pStyle w:val="Tabletext0"/>
            </w:pPr>
            <w:r>
              <w:t>(d) chewing gum or an ingredient or additive in chewing gum, or any substance used in preparing chewing gum; and</w:t>
            </w:r>
          </w:p>
          <w:p w:rsidR="001F723F" w:rsidRDefault="000E68B0">
            <w:pPr>
              <w:pStyle w:val="Tabletext0"/>
            </w:pPr>
            <w:r>
              <w:t xml:space="preserve">(e) </w:t>
            </w:r>
            <w:proofErr w:type="gramStart"/>
            <w:r>
              <w:t>any</w:t>
            </w:r>
            <w:proofErr w:type="gramEnd"/>
            <w:r>
              <w:t xml:space="preserve"> substance or thing declared to be a food under a declaration in force under section 6 of the </w:t>
            </w:r>
            <w:r>
              <w:rPr>
                <w:rStyle w:val="Emphasis"/>
              </w:rPr>
              <w:t>Food Standards Australia New Zealand Act 1991</w:t>
            </w:r>
            <w:r>
              <w:t>.</w:t>
            </w:r>
          </w:p>
          <w:p w:rsidR="001F723F" w:rsidRDefault="000E68B0">
            <w:pPr>
              <w:pStyle w:val="TableText"/>
            </w:pPr>
            <w:r>
              <w:t>(It does not matter whether the substance, thing or chewing gum is in a condition fit for human consumption.)</w:t>
            </w:r>
          </w:p>
          <w:p w:rsidR="001F723F" w:rsidRDefault="000E68B0">
            <w:pPr>
              <w:pStyle w:val="Tabletext0"/>
            </w:pPr>
            <w:r>
              <w:t xml:space="preserve">(2) However, food does not include a therapeutic good within the meaning of the </w:t>
            </w:r>
            <w:r>
              <w:rPr>
                <w:rStyle w:val="Emphasis"/>
              </w:rPr>
              <w:t>Therapeutic Goods Act 1989</w:t>
            </w:r>
          </w:p>
          <w:p w:rsidR="001F723F" w:rsidRDefault="000E68B0">
            <w:pPr>
              <w:pStyle w:val="Tabletext0"/>
            </w:pPr>
            <w:r>
              <w:t>(3) To avoid doubt, food may include live animals and plants.</w:t>
            </w:r>
          </w:p>
        </w:tc>
      </w:tr>
      <w:tr w:rsidR="001F723F">
        <w:tc>
          <w:tcPr>
            <w:tcW w:w="1249" w:type="pct"/>
          </w:tcPr>
          <w:p w:rsidR="001F723F" w:rsidRDefault="000E68B0">
            <w:pPr>
              <w:pStyle w:val="TableText"/>
            </w:pPr>
            <w:r>
              <w:t>FSANZ</w:t>
            </w:r>
          </w:p>
        </w:tc>
        <w:tc>
          <w:tcPr>
            <w:tcW w:w="3751" w:type="pct"/>
          </w:tcPr>
          <w:p w:rsidR="001F723F" w:rsidRDefault="000E68B0">
            <w:pPr>
              <w:pStyle w:val="TableText"/>
            </w:pPr>
            <w:r>
              <w:t>Food Standards Australia New Zealand is a bi-national government agency responsible for developing food standards and administering the Australia New Zealand Food Standards Code. FSANZ conducts the food risk assessment and advises the Department of Agriculture on food that poses a medium or high risk to public health.</w:t>
            </w:r>
          </w:p>
        </w:tc>
      </w:tr>
      <w:tr w:rsidR="001F723F">
        <w:tc>
          <w:tcPr>
            <w:tcW w:w="1249" w:type="pct"/>
          </w:tcPr>
          <w:p w:rsidR="001F723F" w:rsidRDefault="000E68B0">
            <w:pPr>
              <w:pStyle w:val="TableText"/>
            </w:pPr>
            <w:r>
              <w:t>holding order</w:t>
            </w:r>
          </w:p>
        </w:tc>
        <w:tc>
          <w:tcPr>
            <w:tcW w:w="3751" w:type="pct"/>
          </w:tcPr>
          <w:p w:rsidR="001F723F" w:rsidRDefault="000E68B0">
            <w:pPr>
              <w:pStyle w:val="TableText"/>
            </w:pPr>
            <w:r>
              <w:t xml:space="preserve">An order made under section 15 of the </w:t>
            </w:r>
            <w:r>
              <w:rPr>
                <w:rStyle w:val="Emphasis"/>
              </w:rPr>
              <w:t>Imported Food Control Act 1992</w:t>
            </w:r>
            <w:r>
              <w:t xml:space="preserve"> that increases the rate of inspection of a surveillance food that has failed an imported food inspection. This targets the specific food from the specific producer in a specific country at a rate of 100% of consignments.</w:t>
            </w:r>
          </w:p>
        </w:tc>
      </w:tr>
      <w:tr w:rsidR="001F723F">
        <w:tc>
          <w:tcPr>
            <w:tcW w:w="1249" w:type="pct"/>
          </w:tcPr>
          <w:p w:rsidR="001F723F" w:rsidRDefault="000E68B0">
            <w:pPr>
              <w:pStyle w:val="TableText"/>
            </w:pPr>
            <w:r>
              <w:t>ICS</w:t>
            </w:r>
          </w:p>
        </w:tc>
        <w:tc>
          <w:tcPr>
            <w:tcW w:w="3751" w:type="pct"/>
          </w:tcPr>
          <w:p w:rsidR="001F723F" w:rsidRDefault="000E68B0">
            <w:pPr>
              <w:pStyle w:val="TableText"/>
            </w:pPr>
            <w:r>
              <w:t>Integrated Cargo System, a computer system managed by the Department of Home Affairs</w:t>
            </w:r>
          </w:p>
        </w:tc>
      </w:tr>
      <w:tr w:rsidR="001F723F">
        <w:tc>
          <w:tcPr>
            <w:tcW w:w="1249" w:type="pct"/>
          </w:tcPr>
          <w:p w:rsidR="001F723F" w:rsidRDefault="000E68B0">
            <w:pPr>
              <w:pStyle w:val="TableText"/>
            </w:pPr>
            <w:r>
              <w:t>Imported Food Inspection Scheme</w:t>
            </w:r>
          </w:p>
        </w:tc>
        <w:tc>
          <w:tcPr>
            <w:tcW w:w="3751" w:type="pct"/>
          </w:tcPr>
          <w:p w:rsidR="001F723F" w:rsidRDefault="000E68B0">
            <w:pPr>
              <w:pStyle w:val="TableText"/>
            </w:pPr>
            <w:r>
              <w:t>IFIS was established under the Imported Food Control Regulations 1993. It provides for inspection of food at the border to assess importer compliance with sourcing food that does not pose a risk to human health and meets Australian food standards.</w:t>
            </w:r>
          </w:p>
        </w:tc>
      </w:tr>
      <w:tr w:rsidR="001F723F">
        <w:tc>
          <w:tcPr>
            <w:tcW w:w="1249" w:type="pct"/>
          </w:tcPr>
          <w:p w:rsidR="001F723F" w:rsidRDefault="000E68B0">
            <w:pPr>
              <w:pStyle w:val="TableText"/>
            </w:pPr>
            <w:r>
              <w:t>inspection</w:t>
            </w:r>
          </w:p>
        </w:tc>
        <w:tc>
          <w:tcPr>
            <w:tcW w:w="3751" w:type="pct"/>
          </w:tcPr>
          <w:p w:rsidR="001F723F" w:rsidRDefault="000E68B0">
            <w:pPr>
              <w:pStyle w:val="TableText"/>
            </w:pPr>
            <w:r>
              <w:t>Includes inspection (visual and label assessment) or inspection and analysis (samples taken and sent for analysis) as required.</w:t>
            </w:r>
          </w:p>
        </w:tc>
      </w:tr>
      <w:tr w:rsidR="001F723F">
        <w:tc>
          <w:tcPr>
            <w:tcW w:w="1249" w:type="pct"/>
          </w:tcPr>
          <w:p w:rsidR="001F723F" w:rsidRDefault="000E68B0">
            <w:pPr>
              <w:pStyle w:val="TableText"/>
            </w:pPr>
            <w:r>
              <w:t>line</w:t>
            </w:r>
          </w:p>
        </w:tc>
        <w:tc>
          <w:tcPr>
            <w:tcW w:w="3751" w:type="pct"/>
          </w:tcPr>
          <w:p w:rsidR="001F723F" w:rsidRDefault="000E68B0">
            <w:pPr>
              <w:pStyle w:val="TableText"/>
            </w:pPr>
            <w:r>
              <w:t>Items of food being imported are recorded in the ICS as lines within the import entry. An import entry may consist of one line or many lines of products.</w:t>
            </w:r>
          </w:p>
        </w:tc>
      </w:tr>
      <w:tr w:rsidR="001F723F">
        <w:tc>
          <w:tcPr>
            <w:tcW w:w="1249" w:type="pct"/>
          </w:tcPr>
          <w:p w:rsidR="001F723F" w:rsidRDefault="000E68B0">
            <w:pPr>
              <w:pStyle w:val="TableText"/>
            </w:pPr>
            <w:r>
              <w:t>lot</w:t>
            </w:r>
          </w:p>
        </w:tc>
        <w:tc>
          <w:tcPr>
            <w:tcW w:w="3751" w:type="pct"/>
          </w:tcPr>
          <w:p w:rsidR="001F723F" w:rsidRDefault="000E68B0">
            <w:pPr>
              <w:pStyle w:val="TableText"/>
            </w:pPr>
            <w:r>
              <w:t>A quantity of a food prepared or packed under the same conditions (ordinarily from a particular preparation or packing unit and during a particular time, ordinarily not exceeding 24 hours).</w:t>
            </w:r>
          </w:p>
        </w:tc>
      </w:tr>
      <w:tr w:rsidR="001F723F">
        <w:tc>
          <w:tcPr>
            <w:tcW w:w="1249" w:type="pct"/>
          </w:tcPr>
          <w:p w:rsidR="001F723F" w:rsidRDefault="000E68B0">
            <w:pPr>
              <w:pStyle w:val="TableText"/>
            </w:pPr>
            <w:r>
              <w:t>lot code</w:t>
            </w:r>
          </w:p>
        </w:tc>
        <w:tc>
          <w:tcPr>
            <w:tcW w:w="3751" w:type="pct"/>
          </w:tcPr>
          <w:p w:rsidR="001F723F" w:rsidRDefault="000E68B0">
            <w:pPr>
              <w:pStyle w:val="TableText"/>
            </w:pPr>
            <w:r>
              <w:t>A unique code that identifies a lot (quantity of food) and can be used for recall purposes if necessary.</w:t>
            </w:r>
          </w:p>
        </w:tc>
      </w:tr>
      <w:tr w:rsidR="001F723F">
        <w:tc>
          <w:tcPr>
            <w:tcW w:w="1249" w:type="pct"/>
          </w:tcPr>
          <w:p w:rsidR="001F723F" w:rsidRDefault="000E68B0">
            <w:pPr>
              <w:pStyle w:val="TableText"/>
            </w:pPr>
            <w:r>
              <w:t>risk food</w:t>
            </w:r>
          </w:p>
        </w:tc>
        <w:tc>
          <w:tcPr>
            <w:tcW w:w="3751" w:type="pct"/>
          </w:tcPr>
          <w:p w:rsidR="001F723F" w:rsidRDefault="000E68B0">
            <w:pPr>
              <w:pStyle w:val="TableText"/>
            </w:pPr>
            <w:r>
              <w:t>Food that is classified as risk food in the Imported Food Control Order 2001. This kind of food is referred to AIMS by the ICS for inspection at the rate of 100% of imports. The rate is reduced in accordance with a history of compliance.</w:t>
            </w:r>
          </w:p>
        </w:tc>
      </w:tr>
      <w:tr w:rsidR="001F723F">
        <w:tc>
          <w:tcPr>
            <w:tcW w:w="1249" w:type="pct"/>
          </w:tcPr>
          <w:p w:rsidR="001F723F" w:rsidRDefault="000E68B0">
            <w:pPr>
              <w:pStyle w:val="TableText"/>
            </w:pPr>
            <w:r>
              <w:t>surveillance food</w:t>
            </w:r>
          </w:p>
        </w:tc>
        <w:tc>
          <w:tcPr>
            <w:tcW w:w="3751" w:type="pct"/>
          </w:tcPr>
          <w:p w:rsidR="001F723F" w:rsidRDefault="000E68B0">
            <w:pPr>
              <w:pStyle w:val="TableText"/>
            </w:pPr>
            <w:r>
              <w:t>All other food not classified as risk. Referred to AIMS by the ICS for inspection at the rate of 5% of consignments.</w:t>
            </w:r>
          </w:p>
        </w:tc>
      </w:tr>
    </w:tbl>
    <w:p w:rsidR="001F723F" w:rsidRDefault="001F723F"/>
    <w:sectPr w:rsidR="001F723F">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21A" w:rsidRDefault="005A521A">
      <w:r>
        <w:separator/>
      </w:r>
    </w:p>
    <w:p w:rsidR="005A521A" w:rsidRDefault="005A521A"/>
    <w:p w:rsidR="005A521A" w:rsidRDefault="005A521A"/>
  </w:endnote>
  <w:endnote w:type="continuationSeparator" w:id="0">
    <w:p w:rsidR="005A521A" w:rsidRDefault="005A521A">
      <w:r>
        <w:continuationSeparator/>
      </w:r>
    </w:p>
    <w:p w:rsidR="005A521A" w:rsidRDefault="005A521A"/>
    <w:p w:rsidR="005A521A" w:rsidRDefault="005A521A"/>
  </w:endnote>
  <w:endnote w:type="continuationNotice" w:id="1">
    <w:p w:rsidR="005A521A" w:rsidRDefault="005A521A">
      <w:pPr>
        <w:pStyle w:val="Footer"/>
      </w:pPr>
    </w:p>
    <w:p w:rsidR="005A521A" w:rsidRDefault="005A521A"/>
    <w:p w:rsidR="005A521A" w:rsidRDefault="005A5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8B0" w:rsidRDefault="000E68B0">
    <w:pPr>
      <w:pStyle w:val="Footer"/>
    </w:pPr>
    <w:r>
      <w:t>Department of Agriculture</w:t>
    </w:r>
  </w:p>
  <w:p w:rsidR="000E68B0" w:rsidRDefault="000E68B0">
    <w:pPr>
      <w:pStyle w:val="Footer"/>
    </w:pPr>
    <w:r>
      <w:fldChar w:fldCharType="begin"/>
    </w:r>
    <w:r>
      <w:instrText xml:space="preserve"> PAGE   \* MERGEFORMAT </w:instrText>
    </w:r>
    <w:r>
      <w:fldChar w:fldCharType="separate"/>
    </w:r>
    <w:r w:rsidR="000E73FE">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21A" w:rsidRDefault="005A521A">
      <w:r>
        <w:separator/>
      </w:r>
    </w:p>
    <w:p w:rsidR="005A521A" w:rsidRDefault="005A521A"/>
    <w:p w:rsidR="005A521A" w:rsidRDefault="005A521A"/>
  </w:footnote>
  <w:footnote w:type="continuationSeparator" w:id="0">
    <w:p w:rsidR="005A521A" w:rsidRDefault="005A521A">
      <w:r>
        <w:continuationSeparator/>
      </w:r>
    </w:p>
    <w:p w:rsidR="005A521A" w:rsidRDefault="005A521A"/>
    <w:p w:rsidR="005A521A" w:rsidRDefault="005A521A"/>
  </w:footnote>
  <w:footnote w:type="continuationNotice" w:id="1">
    <w:p w:rsidR="005A521A" w:rsidRDefault="005A521A">
      <w:pPr>
        <w:pStyle w:val="Footer"/>
      </w:pPr>
    </w:p>
    <w:p w:rsidR="005A521A" w:rsidRDefault="005A521A"/>
    <w:p w:rsidR="005A521A" w:rsidRDefault="005A52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8B0" w:rsidRDefault="000E68B0">
    <w:pPr>
      <w:pStyle w:val="Header"/>
    </w:pPr>
    <w:r>
      <w:t>Imported food inspection data: January to December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8B0" w:rsidRDefault="000E68B0">
    <w:pPr>
      <w:pStyle w:val="Header"/>
      <w:jc w:val="left"/>
    </w:pPr>
    <w:r>
      <w:rPr>
        <w:noProof/>
        <w:lang w:eastAsia="en-AU"/>
      </w:rPr>
      <w:drawing>
        <wp:inline distT="0" distB="0" distL="0" distR="0" wp14:anchorId="5A7ADD41" wp14:editId="3686E6E6">
          <wp:extent cx="2316480" cy="637247"/>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6372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F2CADCC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2B242DD0"/>
    <w:multiLevelType w:val="hybridMultilevel"/>
    <w:tmpl w:val="839A15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4A15FE"/>
    <w:multiLevelType w:val="multilevel"/>
    <w:tmpl w:val="F36C17E8"/>
    <w:numStyleLink w:val="Headinglist"/>
  </w:abstractNum>
  <w:abstractNum w:abstractNumId="17" w15:restartNumberingAfterBreak="0">
    <w:nsid w:val="414F4729"/>
    <w:multiLevelType w:val="multilevel"/>
    <w:tmpl w:val="A0241B28"/>
    <w:numStyleLink w:val="List1"/>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6EB84B6C"/>
    <w:multiLevelType w:val="hybridMultilevel"/>
    <w:tmpl w:val="0338B96A"/>
    <w:lvl w:ilvl="0" w:tplc="C72C9DE0">
      <w:start w:val="2"/>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3934B7"/>
    <w:multiLevelType w:val="multilevel"/>
    <w:tmpl w:val="A0241B28"/>
    <w:numStyleLink w:val="List1"/>
  </w:abstractNum>
  <w:num w:numId="1">
    <w:abstractNumId w:val="7"/>
  </w:num>
  <w:num w:numId="2">
    <w:abstractNumId w:val="18"/>
  </w:num>
  <w:num w:numId="3">
    <w:abstractNumId w:val="19"/>
  </w:num>
  <w:num w:numId="4">
    <w:abstractNumId w:val="10"/>
  </w:num>
  <w:num w:numId="5">
    <w:abstractNumId w:val="24"/>
  </w:num>
  <w:num w:numId="6">
    <w:abstractNumId w:val="25"/>
  </w:num>
  <w:num w:numId="7">
    <w:abstractNumId w:val="8"/>
  </w:num>
  <w:num w:numId="8">
    <w:abstractNumId w:val="13"/>
  </w:num>
  <w:num w:numId="9">
    <w:abstractNumId w:val="16"/>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5"/>
  </w:num>
  <w:num w:numId="13">
    <w:abstractNumId w:val="4"/>
  </w:num>
  <w:num w:numId="14">
    <w:abstractNumId w:val="3"/>
  </w:num>
  <w:num w:numId="15">
    <w:abstractNumId w:val="11"/>
  </w:num>
  <w:num w:numId="16">
    <w:abstractNumId w:val="2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4"/>
  </w:num>
  <w:num w:numId="22">
    <w:abstractNumId w:val="20"/>
  </w:num>
  <w:num w:numId="23">
    <w:abstractNumId w:val="28"/>
  </w:num>
  <w:num w:numId="24">
    <w:abstractNumId w:val="12"/>
  </w:num>
  <w:num w:numId="25">
    <w:abstractNumId w:val="1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1"/>
  </w:num>
  <w:num w:numId="29">
    <w:abstractNumId w:val="23"/>
  </w:num>
  <w:num w:numId="30">
    <w:abstractNumId w:val="9"/>
  </w:num>
  <w:num w:numId="31">
    <w:abstractNumId w:val="2"/>
  </w:num>
  <w:num w:numId="32">
    <w:abstractNumId w:val="26"/>
  </w:num>
  <w:num w:numId="33">
    <w:abstractNumId w:val="16"/>
  </w:num>
  <w:num w:numId="34">
    <w:abstractNumId w:val="15"/>
  </w:num>
  <w:num w:numId="35">
    <w:abstractNumId w:val="29"/>
  </w:num>
  <w:num w:numId="36">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23F"/>
    <w:rsid w:val="000E68B0"/>
    <w:rsid w:val="000E73FE"/>
    <w:rsid w:val="00192BE2"/>
    <w:rsid w:val="001F723F"/>
    <w:rsid w:val="002758F8"/>
    <w:rsid w:val="00566416"/>
    <w:rsid w:val="005A521A"/>
    <w:rsid w:val="00603D5D"/>
    <w:rsid w:val="006C0877"/>
    <w:rsid w:val="007E6C07"/>
    <w:rsid w:val="008C6D3C"/>
    <w:rsid w:val="00E07B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BC4859D-CE99-4E2C-B51E-952DC579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68"/>
      <w:szCs w:val="28"/>
      <w:lang w:eastAsia="en-US"/>
    </w:rPr>
  </w:style>
  <w:style w:type="paragraph" w:styleId="Heading2">
    <w:name w:val="heading 2"/>
    <w:basedOn w:val="Normal"/>
    <w:next w:val="Normal"/>
    <w:link w:val="Heading2Char"/>
    <w:uiPriority w:val="3"/>
    <w:qFormat/>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68"/>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qFormat/>
    <w:p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numbering" w:customStyle="1" w:styleId="Headings">
    <w:name w:val="Headings"/>
    <w:uiPriority w:val="99"/>
    <w:pPr>
      <w:numPr>
        <w:numId w:val="32"/>
      </w:numPr>
    </w:pPr>
  </w:style>
  <w:style w:type="paragraph" w:styleId="ListParagraph">
    <w:name w:val="List Paragraph"/>
    <w:basedOn w:val="Normal"/>
    <w:uiPriority w:val="99"/>
    <w:qFormat/>
    <w:pPr>
      <w:ind w:left="720"/>
      <w:contextualSpacing/>
    </w:pPr>
  </w:style>
  <w:style w:type="paragraph" w:customStyle="1" w:styleId="Tabletext0">
    <w:name w:val="Table text"/>
    <w:basedOn w:val="Normal"/>
    <w:qFormat/>
    <w:pPr>
      <w:spacing w:before="40" w:after="40"/>
    </w:pPr>
    <w:rPr>
      <w:rFonts w:eastAsiaTheme="minorEastAsia"/>
      <w:sz w:val="18"/>
      <w:szCs w:val="24"/>
    </w:rPr>
  </w:style>
  <w:style w:type="paragraph" w:customStyle="1" w:styleId="Tableheading0">
    <w:name w:val="Table heading"/>
    <w:basedOn w:val="Tabletext0"/>
    <w:qFormat/>
    <w:pPr>
      <w:keepNext/>
    </w:pPr>
    <w:rPr>
      <w:b/>
    </w:rPr>
  </w:style>
  <w:style w:type="paragraph" w:styleId="Revision">
    <w:name w:val="Revision"/>
    <w:hidden/>
    <w:uiPriority w:val="99"/>
    <w:semiHidden/>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42828">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8669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4321218">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0912633">
      <w:bodyDiv w:val="1"/>
      <w:marLeft w:val="0"/>
      <w:marRight w:val="0"/>
      <w:marTop w:val="0"/>
      <w:marBottom w:val="0"/>
      <w:divBdr>
        <w:top w:val="none" w:sz="0" w:space="0" w:color="auto"/>
        <w:left w:val="none" w:sz="0" w:space="0" w:color="auto"/>
        <w:bottom w:val="none" w:sz="0" w:space="0" w:color="auto"/>
        <w:right w:val="none" w:sz="0" w:space="0" w:color="auto"/>
      </w:divBdr>
    </w:div>
    <w:div w:id="95841522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3635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069347">
      <w:bodyDiv w:val="1"/>
      <w:marLeft w:val="0"/>
      <w:marRight w:val="0"/>
      <w:marTop w:val="0"/>
      <w:marBottom w:val="0"/>
      <w:divBdr>
        <w:top w:val="none" w:sz="0" w:space="0" w:color="auto"/>
        <w:left w:val="none" w:sz="0" w:space="0" w:color="auto"/>
        <w:bottom w:val="none" w:sz="0" w:space="0" w:color="auto"/>
        <w:right w:val="none" w:sz="0" w:space="0" w:color="auto"/>
      </w:divBdr>
    </w:div>
    <w:div w:id="142772512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32479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footer" Target="footer1.xm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hyperlink" Target="http://www.agriculture.gov.au/import/goods/food/inspection-compliance/inspection-data" TargetMode="External"/><Relationship Id="rId34" Type="http://schemas.openxmlformats.org/officeDocument/2006/relationships/hyperlink" Target="https://www.legislation.gov.au/Details/C2018C00425"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chart" Target="charts/chart1.xml"/><Relationship Id="rId33" Type="http://schemas.openxmlformats.org/officeDocument/2006/relationships/hyperlink" Target="http://www.foodstandards.gov.au/code/Pages/default.aspx" TargetMode="Externa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yperlink" Target="http://www.agriculture.gov.au/import/goods/food/inspection-compliance/inspection-scheme"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griculture.gov.au/import/goods/food/inspection-compliance/tests-applied-to-surveillance-category-foods" TargetMode="External"/><Relationship Id="rId32"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hyperlink" Target="http://www.agriculture.gov.au/import/goods/food/inspection-compliance/inspection-data" TargetMode="External"/><Relationship Id="rId23" Type="http://schemas.openxmlformats.org/officeDocument/2006/relationships/hyperlink" Target="http://www.agriculture.gov.au/import/goods/food/inspection-compliance/risk-food" TargetMode="External"/><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agriculture.gov.au/import/goods/food/inspection-compliance/failing-food-reports"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Data%20for%20website\2018%20Inspection%20data%20report\Figure%2025%20Composition%20of%20Australian%20food%20impo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Data%20for%20website\2018%20Inspection%20data%20report\Figure%2026%20Value%20shares%20of%20Australian%20food%20imports%20by%20country%20of%20orig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ACT001CL01FS05\AQISData$\CD\Compliance%20Arrangements%20Branch\IF\Business%20Policies\Data%20for%20website\2018%20Inspection%20data%20report\Summary%20sheet%202018%20IFI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CT001CL01FS05\AQISData$\CD\Compliance%20Arrangements%20Branch\IF\Data%20for%20website\2018%20Inspection%20data%20report\Label%20non-compliances%20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CT001CL01FS05\AQISData$\CD\Compliance%20Arrangements%20Branch\IF\Business%20Policies\Data%20for%20website\2018%20Inspection%20data%20report\Summary%20sheet%202018%20IFID.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Business%20Policies\Data%20for%20website\2018%20Inspection%20data%20report\Inspection%20data%20comparisons_2018.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Business%20Policies\Data%20for%20website\2018%20Inspection%20data%20report\Inspection%20data%20comparisons_2018.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Figure16!$A$15</c:f>
              <c:strCache>
                <c:ptCount val="1"/>
                <c:pt idx="0">
                  <c:v>Exports</c:v>
                </c:pt>
              </c:strCache>
            </c:strRef>
          </c:tx>
          <c:spPr>
            <a:ln w="28575" cap="rnd">
              <a:solidFill>
                <a:schemeClr val="accent1"/>
              </a:solidFill>
              <a:round/>
            </a:ln>
            <a:effectLst/>
          </c:spPr>
          <c:marker>
            <c:symbol val="none"/>
          </c:marker>
          <c:cat>
            <c:strRef>
              <c:f>Figure16!$G$14:$AF$14</c:f>
              <c:strCache>
                <c:ptCount val="26"/>
                <c:pt idx="0">
                  <c:v>1992-93</c:v>
                </c:pt>
                <c:pt idx="1">
                  <c:v>1993-94</c:v>
                </c:pt>
                <c:pt idx="2">
                  <c:v>1994-95</c:v>
                </c:pt>
                <c:pt idx="3">
                  <c:v>1995-96</c:v>
                </c:pt>
                <c:pt idx="4">
                  <c:v>1996-97</c:v>
                </c:pt>
                <c:pt idx="5">
                  <c:v>1997-98</c:v>
                </c:pt>
                <c:pt idx="6">
                  <c:v>1998-99</c:v>
                </c:pt>
                <c:pt idx="7">
                  <c:v>1999-00</c:v>
                </c:pt>
                <c:pt idx="8">
                  <c:v>2000-01</c:v>
                </c:pt>
                <c:pt idx="9">
                  <c:v>2001-02</c:v>
                </c:pt>
                <c:pt idx="10">
                  <c:v>2002-03</c:v>
                </c:pt>
                <c:pt idx="11">
                  <c:v>2003-04</c:v>
                </c:pt>
                <c:pt idx="12">
                  <c:v>2004-05</c:v>
                </c:pt>
                <c:pt idx="13">
                  <c:v>2005-06</c:v>
                </c:pt>
                <c:pt idx="14">
                  <c:v>2006-07</c:v>
                </c:pt>
                <c:pt idx="15">
                  <c:v>2007-08</c:v>
                </c:pt>
                <c:pt idx="16">
                  <c:v>2008-09</c:v>
                </c:pt>
                <c:pt idx="17">
                  <c:v>2009-10</c:v>
                </c:pt>
                <c:pt idx="18">
                  <c:v>2010-11</c:v>
                </c:pt>
                <c:pt idx="19">
                  <c:v>2011-12</c:v>
                </c:pt>
                <c:pt idx="20">
                  <c:v>2012-13</c:v>
                </c:pt>
                <c:pt idx="21">
                  <c:v>2013-14</c:v>
                </c:pt>
                <c:pt idx="22">
                  <c:v>2014-15</c:v>
                </c:pt>
                <c:pt idx="23">
                  <c:v>2015-16</c:v>
                </c:pt>
                <c:pt idx="24">
                  <c:v>2016-17</c:v>
                </c:pt>
                <c:pt idx="25">
                  <c:v>2017-18</c:v>
                </c:pt>
              </c:strCache>
            </c:strRef>
          </c:cat>
          <c:val>
            <c:numRef>
              <c:f>Figure16!$G$15:$AF$15</c:f>
              <c:numCache>
                <c:formatCode>0.0</c:formatCode>
                <c:ptCount val="26"/>
                <c:pt idx="0">
                  <c:v>25.11988033603804</c:v>
                </c:pt>
                <c:pt idx="1">
                  <c:v>27.800481249674096</c:v>
                </c:pt>
                <c:pt idx="2">
                  <c:v>26.869773905974132</c:v>
                </c:pt>
                <c:pt idx="3">
                  <c:v>30.493200663134246</c:v>
                </c:pt>
                <c:pt idx="4">
                  <c:v>32.061417655330807</c:v>
                </c:pt>
                <c:pt idx="5">
                  <c:v>32.869023927679706</c:v>
                </c:pt>
                <c:pt idx="6">
                  <c:v>31.86250952538947</c:v>
                </c:pt>
                <c:pt idx="7">
                  <c:v>33.484807442466291</c:v>
                </c:pt>
                <c:pt idx="8">
                  <c:v>38.129209265826262</c:v>
                </c:pt>
                <c:pt idx="9">
                  <c:v>40.536678534220009</c:v>
                </c:pt>
                <c:pt idx="10">
                  <c:v>33.18514340258956</c:v>
                </c:pt>
                <c:pt idx="11">
                  <c:v>32.133002175690471</c:v>
                </c:pt>
                <c:pt idx="12">
                  <c:v>33.605145055863566</c:v>
                </c:pt>
                <c:pt idx="13">
                  <c:v>32.461700410611172</c:v>
                </c:pt>
                <c:pt idx="14">
                  <c:v>30.78472884591536</c:v>
                </c:pt>
                <c:pt idx="15">
                  <c:v>29.884219527530508</c:v>
                </c:pt>
                <c:pt idx="16">
                  <c:v>34.69755452781024</c:v>
                </c:pt>
                <c:pt idx="17">
                  <c:v>29.60396081116458</c:v>
                </c:pt>
                <c:pt idx="18">
                  <c:v>31.782260248607265</c:v>
                </c:pt>
                <c:pt idx="19">
                  <c:v>34.403699591007332</c:v>
                </c:pt>
                <c:pt idx="20">
                  <c:v>35.599294280295211</c:v>
                </c:pt>
                <c:pt idx="21">
                  <c:v>38.221509283735458</c:v>
                </c:pt>
                <c:pt idx="22">
                  <c:v>41.288080016988275</c:v>
                </c:pt>
                <c:pt idx="23">
                  <c:v>41.596743558899178</c:v>
                </c:pt>
                <c:pt idx="24">
                  <c:v>44.408322575438156</c:v>
                </c:pt>
                <c:pt idx="25">
                  <c:v>42.510295524528495</c:v>
                </c:pt>
              </c:numCache>
            </c:numRef>
          </c:val>
          <c:smooth val="0"/>
        </c:ser>
        <c:ser>
          <c:idx val="1"/>
          <c:order val="1"/>
          <c:tx>
            <c:strRef>
              <c:f>Figure16!$A$16</c:f>
              <c:strCache>
                <c:ptCount val="1"/>
                <c:pt idx="0">
                  <c:v>Imports</c:v>
                </c:pt>
              </c:strCache>
            </c:strRef>
          </c:tx>
          <c:spPr>
            <a:ln w="28575" cap="rnd">
              <a:solidFill>
                <a:schemeClr val="accent2"/>
              </a:solidFill>
              <a:round/>
            </a:ln>
            <a:effectLst/>
          </c:spPr>
          <c:marker>
            <c:symbol val="none"/>
          </c:marker>
          <c:cat>
            <c:strRef>
              <c:f>Figure16!$G$14:$AF$14</c:f>
              <c:strCache>
                <c:ptCount val="26"/>
                <c:pt idx="0">
                  <c:v>1992-93</c:v>
                </c:pt>
                <c:pt idx="1">
                  <c:v>1993-94</c:v>
                </c:pt>
                <c:pt idx="2">
                  <c:v>1994-95</c:v>
                </c:pt>
                <c:pt idx="3">
                  <c:v>1995-96</c:v>
                </c:pt>
                <c:pt idx="4">
                  <c:v>1996-97</c:v>
                </c:pt>
                <c:pt idx="5">
                  <c:v>1997-98</c:v>
                </c:pt>
                <c:pt idx="6">
                  <c:v>1998-99</c:v>
                </c:pt>
                <c:pt idx="7">
                  <c:v>1999-00</c:v>
                </c:pt>
                <c:pt idx="8">
                  <c:v>2000-01</c:v>
                </c:pt>
                <c:pt idx="9">
                  <c:v>2001-02</c:v>
                </c:pt>
                <c:pt idx="10">
                  <c:v>2002-03</c:v>
                </c:pt>
                <c:pt idx="11">
                  <c:v>2003-04</c:v>
                </c:pt>
                <c:pt idx="12">
                  <c:v>2004-05</c:v>
                </c:pt>
                <c:pt idx="13">
                  <c:v>2005-06</c:v>
                </c:pt>
                <c:pt idx="14">
                  <c:v>2006-07</c:v>
                </c:pt>
                <c:pt idx="15">
                  <c:v>2007-08</c:v>
                </c:pt>
                <c:pt idx="16">
                  <c:v>2008-09</c:v>
                </c:pt>
                <c:pt idx="17">
                  <c:v>2009-10</c:v>
                </c:pt>
                <c:pt idx="18">
                  <c:v>2010-11</c:v>
                </c:pt>
                <c:pt idx="19">
                  <c:v>2011-12</c:v>
                </c:pt>
                <c:pt idx="20">
                  <c:v>2012-13</c:v>
                </c:pt>
                <c:pt idx="21">
                  <c:v>2013-14</c:v>
                </c:pt>
                <c:pt idx="22">
                  <c:v>2014-15</c:v>
                </c:pt>
                <c:pt idx="23">
                  <c:v>2015-16</c:v>
                </c:pt>
                <c:pt idx="24">
                  <c:v>2016-17</c:v>
                </c:pt>
                <c:pt idx="25">
                  <c:v>2017-18</c:v>
                </c:pt>
              </c:strCache>
            </c:strRef>
          </c:cat>
          <c:val>
            <c:numRef>
              <c:f>Figure16!$G$16:$AF$16</c:f>
              <c:numCache>
                <c:formatCode>0.0</c:formatCode>
                <c:ptCount val="26"/>
                <c:pt idx="0">
                  <c:v>5.1380307266303671</c:v>
                </c:pt>
                <c:pt idx="1">
                  <c:v>5.5304156333267684</c:v>
                </c:pt>
                <c:pt idx="2">
                  <c:v>6.1072175970450848</c:v>
                </c:pt>
                <c:pt idx="3">
                  <c:v>6.016723889639092</c:v>
                </c:pt>
                <c:pt idx="4">
                  <c:v>6.0562089370786589</c:v>
                </c:pt>
                <c:pt idx="5">
                  <c:v>6.8651946644435817</c:v>
                </c:pt>
                <c:pt idx="6">
                  <c:v>7.381148565913902</c:v>
                </c:pt>
                <c:pt idx="7">
                  <c:v>7.6001052787578436</c:v>
                </c:pt>
                <c:pt idx="8">
                  <c:v>7.8519166409614929</c:v>
                </c:pt>
                <c:pt idx="9">
                  <c:v>8.061678818484733</c:v>
                </c:pt>
                <c:pt idx="10">
                  <c:v>8.6640871341982209</c:v>
                </c:pt>
                <c:pt idx="11">
                  <c:v>8.5718878373864626</c:v>
                </c:pt>
                <c:pt idx="12">
                  <c:v>9.2738442619022283</c:v>
                </c:pt>
                <c:pt idx="13">
                  <c:v>9.5100820083232556</c:v>
                </c:pt>
                <c:pt idx="14">
                  <c:v>10.755680880095916</c:v>
                </c:pt>
                <c:pt idx="15">
                  <c:v>11.456733668694948</c:v>
                </c:pt>
                <c:pt idx="16">
                  <c:v>12.748178919206818</c:v>
                </c:pt>
                <c:pt idx="17">
                  <c:v>12.010723799661333</c:v>
                </c:pt>
                <c:pt idx="18">
                  <c:v>12.188072794929337</c:v>
                </c:pt>
                <c:pt idx="19">
                  <c:v>12.935063945412557</c:v>
                </c:pt>
                <c:pt idx="20">
                  <c:v>12.960352705596861</c:v>
                </c:pt>
                <c:pt idx="21">
                  <c:v>14.769968674363811</c:v>
                </c:pt>
                <c:pt idx="22">
                  <c:v>15.799393832460073</c:v>
                </c:pt>
                <c:pt idx="23">
                  <c:v>17.290286082834815</c:v>
                </c:pt>
                <c:pt idx="24">
                  <c:v>16.910493579131401</c:v>
                </c:pt>
                <c:pt idx="25">
                  <c:v>17.184451446331483</c:v>
                </c:pt>
              </c:numCache>
            </c:numRef>
          </c:val>
          <c:smooth val="0"/>
        </c:ser>
        <c:ser>
          <c:idx val="2"/>
          <c:order val="2"/>
          <c:tx>
            <c:strRef>
              <c:f>Figure16!$A$17</c:f>
              <c:strCache>
                <c:ptCount val="1"/>
                <c:pt idx="0">
                  <c:v>Net exports</c:v>
                </c:pt>
              </c:strCache>
            </c:strRef>
          </c:tx>
          <c:spPr>
            <a:ln w="28575" cap="rnd">
              <a:solidFill>
                <a:schemeClr val="accent3"/>
              </a:solidFill>
              <a:round/>
            </a:ln>
            <a:effectLst/>
          </c:spPr>
          <c:marker>
            <c:symbol val="none"/>
          </c:marker>
          <c:cat>
            <c:strRef>
              <c:f>Figure16!$G$14:$AF$14</c:f>
              <c:strCache>
                <c:ptCount val="26"/>
                <c:pt idx="0">
                  <c:v>1992-93</c:v>
                </c:pt>
                <c:pt idx="1">
                  <c:v>1993-94</c:v>
                </c:pt>
                <c:pt idx="2">
                  <c:v>1994-95</c:v>
                </c:pt>
                <c:pt idx="3">
                  <c:v>1995-96</c:v>
                </c:pt>
                <c:pt idx="4">
                  <c:v>1996-97</c:v>
                </c:pt>
                <c:pt idx="5">
                  <c:v>1997-98</c:v>
                </c:pt>
                <c:pt idx="6">
                  <c:v>1998-99</c:v>
                </c:pt>
                <c:pt idx="7">
                  <c:v>1999-00</c:v>
                </c:pt>
                <c:pt idx="8">
                  <c:v>2000-01</c:v>
                </c:pt>
                <c:pt idx="9">
                  <c:v>2001-02</c:v>
                </c:pt>
                <c:pt idx="10">
                  <c:v>2002-03</c:v>
                </c:pt>
                <c:pt idx="11">
                  <c:v>2003-04</c:v>
                </c:pt>
                <c:pt idx="12">
                  <c:v>2004-05</c:v>
                </c:pt>
                <c:pt idx="13">
                  <c:v>2005-06</c:v>
                </c:pt>
                <c:pt idx="14">
                  <c:v>2006-07</c:v>
                </c:pt>
                <c:pt idx="15">
                  <c:v>2007-08</c:v>
                </c:pt>
                <c:pt idx="16">
                  <c:v>2008-09</c:v>
                </c:pt>
                <c:pt idx="17">
                  <c:v>2009-10</c:v>
                </c:pt>
                <c:pt idx="18">
                  <c:v>2010-11</c:v>
                </c:pt>
                <c:pt idx="19">
                  <c:v>2011-12</c:v>
                </c:pt>
                <c:pt idx="20">
                  <c:v>2012-13</c:v>
                </c:pt>
                <c:pt idx="21">
                  <c:v>2013-14</c:v>
                </c:pt>
                <c:pt idx="22">
                  <c:v>2014-15</c:v>
                </c:pt>
                <c:pt idx="23">
                  <c:v>2015-16</c:v>
                </c:pt>
                <c:pt idx="24">
                  <c:v>2016-17</c:v>
                </c:pt>
                <c:pt idx="25">
                  <c:v>2017-18</c:v>
                </c:pt>
              </c:strCache>
            </c:strRef>
          </c:cat>
          <c:val>
            <c:numRef>
              <c:f>Figure16!$G$17:$AF$17</c:f>
              <c:numCache>
                <c:formatCode>0.0</c:formatCode>
                <c:ptCount val="26"/>
                <c:pt idx="0">
                  <c:v>19.981849609407675</c:v>
                </c:pt>
                <c:pt idx="1">
                  <c:v>22.270065616347328</c:v>
                </c:pt>
                <c:pt idx="2">
                  <c:v>20.762556308929046</c:v>
                </c:pt>
                <c:pt idx="3">
                  <c:v>24.476476773495154</c:v>
                </c:pt>
                <c:pt idx="4">
                  <c:v>26.005208718252149</c:v>
                </c:pt>
                <c:pt idx="5">
                  <c:v>26.003829263236124</c:v>
                </c:pt>
                <c:pt idx="6">
                  <c:v>24.481360959475566</c:v>
                </c:pt>
                <c:pt idx="7">
                  <c:v>25.884702163708447</c:v>
                </c:pt>
                <c:pt idx="8">
                  <c:v>30.277292624864771</c:v>
                </c:pt>
                <c:pt idx="9">
                  <c:v>32.474999715735279</c:v>
                </c:pt>
                <c:pt idx="10">
                  <c:v>24.521056268391341</c:v>
                </c:pt>
                <c:pt idx="11">
                  <c:v>23.561114338304009</c:v>
                </c:pt>
                <c:pt idx="12">
                  <c:v>24.33130079396134</c:v>
                </c:pt>
                <c:pt idx="13">
                  <c:v>22.951618402287917</c:v>
                </c:pt>
                <c:pt idx="14">
                  <c:v>20.029047965819444</c:v>
                </c:pt>
                <c:pt idx="15">
                  <c:v>18.42748585883556</c:v>
                </c:pt>
                <c:pt idx="16">
                  <c:v>21.949375608603422</c:v>
                </c:pt>
                <c:pt idx="17">
                  <c:v>17.593237011503248</c:v>
                </c:pt>
                <c:pt idx="18">
                  <c:v>19.594187453677929</c:v>
                </c:pt>
                <c:pt idx="19" formatCode="0.00">
                  <c:v>21.468635645594773</c:v>
                </c:pt>
                <c:pt idx="20" formatCode="0.00">
                  <c:v>22.63894157469835</c:v>
                </c:pt>
                <c:pt idx="21" formatCode="0.00">
                  <c:v>23.451540609371648</c:v>
                </c:pt>
                <c:pt idx="22" formatCode="0.00">
                  <c:v>25.488686184528202</c:v>
                </c:pt>
                <c:pt idx="23" formatCode="0.00">
                  <c:v>24.306457476064363</c:v>
                </c:pt>
                <c:pt idx="24" formatCode="0.00">
                  <c:v>27.497828996306755</c:v>
                </c:pt>
                <c:pt idx="25" formatCode="0.00">
                  <c:v>25.325844078197012</c:v>
                </c:pt>
              </c:numCache>
            </c:numRef>
          </c:val>
          <c:smooth val="0"/>
        </c:ser>
        <c:dLbls>
          <c:showLegendKey val="0"/>
          <c:showVal val="0"/>
          <c:showCatName val="0"/>
          <c:showSerName val="0"/>
          <c:showPercent val="0"/>
          <c:showBubbleSize val="0"/>
        </c:dLbls>
        <c:smooth val="0"/>
        <c:axId val="175653384"/>
        <c:axId val="175651032"/>
      </c:lineChart>
      <c:catAx>
        <c:axId val="175653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51032"/>
        <c:crosses val="autoZero"/>
        <c:auto val="1"/>
        <c:lblAlgn val="ctr"/>
        <c:lblOffset val="100"/>
        <c:noMultiLvlLbl val="0"/>
      </c:catAx>
      <c:valAx>
        <c:axId val="175651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a:t>2015-16 $b</a:t>
                </a:r>
              </a:p>
            </c:rich>
          </c:tx>
          <c:layout>
            <c:manualLayout>
              <c:xMode val="edge"/>
              <c:yMode val="edge"/>
              <c:x val="1.7897091722595078E-2"/>
              <c:y val="0.42517947209828416"/>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5338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82953233381659"/>
          <c:y val="5.2194297354191468E-2"/>
          <c:w val="0.64278407691029882"/>
          <c:h val="0.84612451023864188"/>
        </c:manualLayout>
      </c:layout>
      <c:barChart>
        <c:barDir val="bar"/>
        <c:grouping val="clustered"/>
        <c:varyColors val="0"/>
        <c:ser>
          <c:idx val="0"/>
          <c:order val="0"/>
          <c:tx>
            <c:strRef>
              <c:f>Figure25!$D$33</c:f>
              <c:strCache>
                <c:ptCount val="1"/>
                <c:pt idx="0">
                  <c:v>Average, 
3 years 
to 2006-07</c:v>
                </c:pt>
              </c:strCache>
            </c:strRef>
          </c:tx>
          <c:spPr>
            <a:solidFill>
              <a:schemeClr val="accent1"/>
            </a:solidFill>
            <a:ln>
              <a:noFill/>
            </a:ln>
            <a:effectLst/>
          </c:spPr>
          <c:invertIfNegative val="0"/>
          <c:cat>
            <c:multiLvlStrRef>
              <c:f>Figure25!$B$34:$C$54</c:f>
              <c:multiLvlStrCache>
                <c:ptCount val="21"/>
                <c:lvl>
                  <c:pt idx="0">
                    <c:v>Live animals</c:v>
                  </c:pt>
                  <c:pt idx="1">
                    <c:v>Fish or shell fish</c:v>
                  </c:pt>
                  <c:pt idx="2">
                    <c:v>Vegetables</c:v>
                  </c:pt>
                  <c:pt idx="3">
                    <c:v>Fruit and nuts</c:v>
                  </c:pt>
                  <c:pt idx="4">
                    <c:v>Grains</c:v>
                  </c:pt>
                  <c:pt idx="5">
                    <c:v>Oilseeds</c:v>
                  </c:pt>
                  <c:pt idx="6">
                    <c:v>Unproc. food nec</c:v>
                  </c:pt>
                  <c:pt idx="7">
                    <c:v>Meat</c:v>
                  </c:pt>
                  <c:pt idx="8">
                    <c:v>Dairy</c:v>
                  </c:pt>
                  <c:pt idx="9">
                    <c:v>Fruit and vegetables</c:v>
                  </c:pt>
                  <c:pt idx="10">
                    <c:v>Oil and fat</c:v>
                  </c:pt>
                  <c:pt idx="11">
                    <c:v>Flour mill, cereal food</c:v>
                  </c:pt>
                  <c:pt idx="12">
                    <c:v>Bakery products</c:v>
                  </c:pt>
                  <c:pt idx="13">
                    <c:v>Sugar</c:v>
                  </c:pt>
                  <c:pt idx="14">
                    <c:v>Confectionery</c:v>
                  </c:pt>
                  <c:pt idx="15">
                    <c:v>Seafood</c:v>
                  </c:pt>
                  <c:pt idx="16">
                    <c:v>Proc. food n.e.c.</c:v>
                  </c:pt>
                  <c:pt idx="17">
                    <c:v>Soft drink, cordial</c:v>
                  </c:pt>
                  <c:pt idx="18">
                    <c:v>Beer and malt</c:v>
                  </c:pt>
                  <c:pt idx="19">
                    <c:v>Wine</c:v>
                  </c:pt>
                  <c:pt idx="20">
                    <c:v>Spirits</c:v>
                  </c:pt>
                </c:lvl>
                <c:lvl>
                  <c:pt idx="0">
                    <c:v>Minimally transformed</c:v>
                  </c:pt>
                  <c:pt idx="7">
                    <c:v>Substantially and elaborately transformed</c:v>
                  </c:pt>
                </c:lvl>
              </c:multiLvlStrCache>
            </c:multiLvlStrRef>
          </c:cat>
          <c:val>
            <c:numRef>
              <c:f>Figure25!$D$34:$D$54</c:f>
              <c:numCache>
                <c:formatCode>0.0</c:formatCode>
                <c:ptCount val="21"/>
                <c:pt idx="0">
                  <c:v>8.4647513325421409E-3</c:v>
                </c:pt>
                <c:pt idx="1">
                  <c:v>0.69163832758640109</c:v>
                </c:pt>
                <c:pt idx="2">
                  <c:v>0.54115445502451953</c:v>
                </c:pt>
                <c:pt idx="3">
                  <c:v>2.440569948164717</c:v>
                </c:pt>
                <c:pt idx="4">
                  <c:v>1.5045127531836244E-2</c:v>
                </c:pt>
                <c:pt idx="5">
                  <c:v>0.56330470685771195</c:v>
                </c:pt>
                <c:pt idx="6">
                  <c:v>1.9756849315572631</c:v>
                </c:pt>
                <c:pt idx="7">
                  <c:v>5.5509972299092567</c:v>
                </c:pt>
                <c:pt idx="8">
                  <c:v>5.9536897648879394</c:v>
                </c:pt>
                <c:pt idx="9">
                  <c:v>15.12620261784568</c:v>
                </c:pt>
                <c:pt idx="10">
                  <c:v>5.8476522086023852</c:v>
                </c:pt>
                <c:pt idx="11">
                  <c:v>4.9517464765640282</c:v>
                </c:pt>
                <c:pt idx="12">
                  <c:v>3.5848903578520543</c:v>
                </c:pt>
                <c:pt idx="13">
                  <c:v>0.26185043742511843</c:v>
                </c:pt>
                <c:pt idx="14">
                  <c:v>4.6452492018170259</c:v>
                </c:pt>
                <c:pt idx="15">
                  <c:v>14.136741607293937</c:v>
                </c:pt>
                <c:pt idx="16">
                  <c:v>14.632967497911082</c:v>
                </c:pt>
                <c:pt idx="17">
                  <c:v>8.0999897575896611</c:v>
                </c:pt>
                <c:pt idx="18">
                  <c:v>1.5485728539014687</c:v>
                </c:pt>
                <c:pt idx="19">
                  <c:v>3.5959552641171317</c:v>
                </c:pt>
                <c:pt idx="20">
                  <c:v>5.8276324762282385</c:v>
                </c:pt>
              </c:numCache>
            </c:numRef>
          </c:val>
        </c:ser>
        <c:ser>
          <c:idx val="1"/>
          <c:order val="1"/>
          <c:tx>
            <c:strRef>
              <c:f>Figure25!$G$33</c:f>
              <c:strCache>
                <c:ptCount val="1"/>
                <c:pt idx="0">
                  <c:v>2016-17</c:v>
                </c:pt>
              </c:strCache>
            </c:strRef>
          </c:tx>
          <c:spPr>
            <a:solidFill>
              <a:schemeClr val="accent2"/>
            </a:solidFill>
            <a:ln>
              <a:noFill/>
            </a:ln>
            <a:effectLst/>
          </c:spPr>
          <c:invertIfNegative val="0"/>
          <c:cat>
            <c:multiLvlStrRef>
              <c:f>Figure25!$B$34:$C$54</c:f>
              <c:multiLvlStrCache>
                <c:ptCount val="21"/>
                <c:lvl>
                  <c:pt idx="0">
                    <c:v>Live animals</c:v>
                  </c:pt>
                  <c:pt idx="1">
                    <c:v>Fish or shell fish</c:v>
                  </c:pt>
                  <c:pt idx="2">
                    <c:v>Vegetables</c:v>
                  </c:pt>
                  <c:pt idx="3">
                    <c:v>Fruit and nuts</c:v>
                  </c:pt>
                  <c:pt idx="4">
                    <c:v>Grains</c:v>
                  </c:pt>
                  <c:pt idx="5">
                    <c:v>Oilseeds</c:v>
                  </c:pt>
                  <c:pt idx="6">
                    <c:v>Unproc. food nec</c:v>
                  </c:pt>
                  <c:pt idx="7">
                    <c:v>Meat</c:v>
                  </c:pt>
                  <c:pt idx="8">
                    <c:v>Dairy</c:v>
                  </c:pt>
                  <c:pt idx="9">
                    <c:v>Fruit and vegetables</c:v>
                  </c:pt>
                  <c:pt idx="10">
                    <c:v>Oil and fat</c:v>
                  </c:pt>
                  <c:pt idx="11">
                    <c:v>Flour mill, cereal food</c:v>
                  </c:pt>
                  <c:pt idx="12">
                    <c:v>Bakery products</c:v>
                  </c:pt>
                  <c:pt idx="13">
                    <c:v>Sugar</c:v>
                  </c:pt>
                  <c:pt idx="14">
                    <c:v>Confectionery</c:v>
                  </c:pt>
                  <c:pt idx="15">
                    <c:v>Seafood</c:v>
                  </c:pt>
                  <c:pt idx="16">
                    <c:v>Proc. food n.e.c.</c:v>
                  </c:pt>
                  <c:pt idx="17">
                    <c:v>Soft drink, cordial</c:v>
                  </c:pt>
                  <c:pt idx="18">
                    <c:v>Beer and malt</c:v>
                  </c:pt>
                  <c:pt idx="19">
                    <c:v>Wine</c:v>
                  </c:pt>
                  <c:pt idx="20">
                    <c:v>Spirits</c:v>
                  </c:pt>
                </c:lvl>
                <c:lvl>
                  <c:pt idx="0">
                    <c:v>Minimally transformed</c:v>
                  </c:pt>
                  <c:pt idx="7">
                    <c:v>Substantially and elaborately transformed</c:v>
                  </c:pt>
                </c:lvl>
              </c:multiLvlStrCache>
            </c:multiLvlStrRef>
          </c:cat>
          <c:val>
            <c:numRef>
              <c:f>Figure25!$G$34:$G$54</c:f>
              <c:numCache>
                <c:formatCode>0.0</c:formatCode>
                <c:ptCount val="21"/>
                <c:pt idx="0">
                  <c:v>4.7894159322409407E-3</c:v>
                </c:pt>
                <c:pt idx="1">
                  <c:v>0.45210558614925189</c:v>
                </c:pt>
                <c:pt idx="2">
                  <c:v>0.61765596233428399</c:v>
                </c:pt>
                <c:pt idx="3">
                  <c:v>3.0203363086483379</c:v>
                </c:pt>
                <c:pt idx="4">
                  <c:v>9.4580465983186257E-2</c:v>
                </c:pt>
                <c:pt idx="5">
                  <c:v>0.42498305007421816</c:v>
                </c:pt>
                <c:pt idx="6">
                  <c:v>2.9231340653895583</c:v>
                </c:pt>
                <c:pt idx="7">
                  <c:v>5.201962343680381</c:v>
                </c:pt>
                <c:pt idx="8">
                  <c:v>7.7303644766694104</c:v>
                </c:pt>
                <c:pt idx="9">
                  <c:v>14.270814053293741</c:v>
                </c:pt>
                <c:pt idx="10">
                  <c:v>4.1695379670492434</c:v>
                </c:pt>
                <c:pt idx="11">
                  <c:v>6.8007080337383607</c:v>
                </c:pt>
                <c:pt idx="12">
                  <c:v>4.4728666437628251</c:v>
                </c:pt>
                <c:pt idx="13">
                  <c:v>0.60903274407087082</c:v>
                </c:pt>
                <c:pt idx="14">
                  <c:v>5.2173980535442057</c:v>
                </c:pt>
                <c:pt idx="15">
                  <c:v>11.575290514719509</c:v>
                </c:pt>
                <c:pt idx="16">
                  <c:v>15.254510671831445</c:v>
                </c:pt>
                <c:pt idx="17">
                  <c:v>5.9090862047698822</c:v>
                </c:pt>
                <c:pt idx="18">
                  <c:v>2.6192313398858795</c:v>
                </c:pt>
                <c:pt idx="19">
                  <c:v>4.6002236580881855</c:v>
                </c:pt>
                <c:pt idx="20">
                  <c:v>4.0313884403849851</c:v>
                </c:pt>
              </c:numCache>
            </c:numRef>
          </c:val>
        </c:ser>
        <c:ser>
          <c:idx val="2"/>
          <c:order val="2"/>
          <c:tx>
            <c:strRef>
              <c:f>Figure25!$H$33</c:f>
              <c:strCache>
                <c:ptCount val="1"/>
                <c:pt idx="0">
                  <c:v>2017-18</c:v>
                </c:pt>
              </c:strCache>
            </c:strRef>
          </c:tx>
          <c:spPr>
            <a:solidFill>
              <a:schemeClr val="accent3"/>
            </a:solidFill>
            <a:ln>
              <a:noFill/>
            </a:ln>
            <a:effectLst/>
          </c:spPr>
          <c:invertIfNegative val="0"/>
          <c:cat>
            <c:multiLvlStrRef>
              <c:f>Figure25!$B$34:$C$54</c:f>
              <c:multiLvlStrCache>
                <c:ptCount val="21"/>
                <c:lvl>
                  <c:pt idx="0">
                    <c:v>Live animals</c:v>
                  </c:pt>
                  <c:pt idx="1">
                    <c:v>Fish or shell fish</c:v>
                  </c:pt>
                  <c:pt idx="2">
                    <c:v>Vegetables</c:v>
                  </c:pt>
                  <c:pt idx="3">
                    <c:v>Fruit and nuts</c:v>
                  </c:pt>
                  <c:pt idx="4">
                    <c:v>Grains</c:v>
                  </c:pt>
                  <c:pt idx="5">
                    <c:v>Oilseeds</c:v>
                  </c:pt>
                  <c:pt idx="6">
                    <c:v>Unproc. food nec</c:v>
                  </c:pt>
                  <c:pt idx="7">
                    <c:v>Meat</c:v>
                  </c:pt>
                  <c:pt idx="8">
                    <c:v>Dairy</c:v>
                  </c:pt>
                  <c:pt idx="9">
                    <c:v>Fruit and vegetables</c:v>
                  </c:pt>
                  <c:pt idx="10">
                    <c:v>Oil and fat</c:v>
                  </c:pt>
                  <c:pt idx="11">
                    <c:v>Flour mill, cereal food</c:v>
                  </c:pt>
                  <c:pt idx="12">
                    <c:v>Bakery products</c:v>
                  </c:pt>
                  <c:pt idx="13">
                    <c:v>Sugar</c:v>
                  </c:pt>
                  <c:pt idx="14">
                    <c:v>Confectionery</c:v>
                  </c:pt>
                  <c:pt idx="15">
                    <c:v>Seafood</c:v>
                  </c:pt>
                  <c:pt idx="16">
                    <c:v>Proc. food n.e.c.</c:v>
                  </c:pt>
                  <c:pt idx="17">
                    <c:v>Soft drink, cordial</c:v>
                  </c:pt>
                  <c:pt idx="18">
                    <c:v>Beer and malt</c:v>
                  </c:pt>
                  <c:pt idx="19">
                    <c:v>Wine</c:v>
                  </c:pt>
                  <c:pt idx="20">
                    <c:v>Spirits</c:v>
                  </c:pt>
                </c:lvl>
                <c:lvl>
                  <c:pt idx="0">
                    <c:v>Minimally transformed</c:v>
                  </c:pt>
                  <c:pt idx="7">
                    <c:v>Substantially and elaborately transformed</c:v>
                  </c:pt>
                </c:lvl>
              </c:multiLvlStrCache>
            </c:multiLvlStrRef>
          </c:cat>
          <c:val>
            <c:numRef>
              <c:f>Figure25!$H$34:$H$54</c:f>
              <c:numCache>
                <c:formatCode>0.0</c:formatCode>
                <c:ptCount val="21"/>
                <c:pt idx="0">
                  <c:v>4.3355067021140893E-3</c:v>
                </c:pt>
                <c:pt idx="1">
                  <c:v>0.40753304929672873</c:v>
                </c:pt>
                <c:pt idx="2">
                  <c:v>0.45592209986748528</c:v>
                </c:pt>
                <c:pt idx="3">
                  <c:v>2.5980150415880474</c:v>
                </c:pt>
                <c:pt idx="4">
                  <c:v>8.786400158663063E-2</c:v>
                </c:pt>
                <c:pt idx="5">
                  <c:v>0.50915923234655303</c:v>
                </c:pt>
                <c:pt idx="6">
                  <c:v>2.9600638351515589</c:v>
                </c:pt>
                <c:pt idx="7">
                  <c:v>5.1060334231887161</c:v>
                </c:pt>
                <c:pt idx="8">
                  <c:v>8.7515611038342609</c:v>
                </c:pt>
                <c:pt idx="9">
                  <c:v>14.276955673704855</c:v>
                </c:pt>
                <c:pt idx="10">
                  <c:v>4.2410525140788282</c:v>
                </c:pt>
                <c:pt idx="11">
                  <c:v>7.9427803937986656</c:v>
                </c:pt>
                <c:pt idx="12">
                  <c:v>4.8463339397593401</c:v>
                </c:pt>
                <c:pt idx="13">
                  <c:v>0.34445603421857918</c:v>
                </c:pt>
                <c:pt idx="14">
                  <c:v>5.2463473122246587</c:v>
                </c:pt>
                <c:pt idx="15">
                  <c:v>11.516177976203156</c:v>
                </c:pt>
                <c:pt idx="16">
                  <c:v>15.614096148361204</c:v>
                </c:pt>
                <c:pt idx="17">
                  <c:v>3.496690346916361</c:v>
                </c:pt>
                <c:pt idx="18">
                  <c:v>2.4145735046113677</c:v>
                </c:pt>
                <c:pt idx="19">
                  <c:v>4.9109659219569775</c:v>
                </c:pt>
                <c:pt idx="20">
                  <c:v>4.2690829406039059</c:v>
                </c:pt>
              </c:numCache>
            </c:numRef>
          </c:val>
        </c:ser>
        <c:dLbls>
          <c:showLegendKey val="0"/>
          <c:showVal val="0"/>
          <c:showCatName val="0"/>
          <c:showSerName val="0"/>
          <c:showPercent val="0"/>
          <c:showBubbleSize val="0"/>
        </c:dLbls>
        <c:gapWidth val="182"/>
        <c:axId val="175651424"/>
        <c:axId val="175653776"/>
      </c:barChart>
      <c:catAx>
        <c:axId val="175651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5653776"/>
        <c:crosses val="autoZero"/>
        <c:auto val="1"/>
        <c:lblAlgn val="ctr"/>
        <c:lblOffset val="100"/>
        <c:noMultiLvlLbl val="0"/>
      </c:catAx>
      <c:valAx>
        <c:axId val="175653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51424"/>
        <c:crosses val="autoZero"/>
        <c:crossBetween val="between"/>
      </c:valAx>
      <c:spPr>
        <a:noFill/>
        <a:ln>
          <a:noFill/>
        </a:ln>
        <a:effectLst/>
      </c:spPr>
    </c:plotArea>
    <c:legend>
      <c:legendPos val="r"/>
      <c:layout>
        <c:manualLayout>
          <c:xMode val="edge"/>
          <c:yMode val="edge"/>
          <c:x val="0.87696429346552185"/>
          <c:y val="0.27728975258065836"/>
          <c:w val="0.12303570653447812"/>
          <c:h val="0.445420192166542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'Fig26'!$C$34</c:f>
              <c:strCache>
                <c:ptCount val="1"/>
                <c:pt idx="0">
                  <c:v>Average, 
3 years 
to 2006-07</c:v>
                </c:pt>
              </c:strCache>
            </c:strRef>
          </c:tx>
          <c:spPr>
            <a:solidFill>
              <a:schemeClr val="accent1"/>
            </a:solidFill>
            <a:ln>
              <a:noFill/>
            </a:ln>
            <a:effectLst/>
          </c:spPr>
          <c:invertIfNegative val="0"/>
          <c:cat>
            <c:strRef>
              <c:f>'Fig26'!$B$35:$B$53</c:f>
              <c:strCache>
                <c:ptCount val="19"/>
                <c:pt idx="0">
                  <c:v>Brazil</c:v>
                </c:pt>
                <c:pt idx="1">
                  <c:v>Canada</c:v>
                </c:pt>
                <c:pt idx="2">
                  <c:v>China</c:v>
                </c:pt>
                <c:pt idx="3">
                  <c:v>France</c:v>
                </c:pt>
                <c:pt idx="4">
                  <c:v>India</c:v>
                </c:pt>
                <c:pt idx="5">
                  <c:v>Indonesia</c:v>
                </c:pt>
                <c:pt idx="6">
                  <c:v>Ireland</c:v>
                </c:pt>
                <c:pt idx="7">
                  <c:v>Italy</c:v>
                </c:pt>
                <c:pt idx="8">
                  <c:v>Malaysia</c:v>
                </c:pt>
                <c:pt idx="9">
                  <c:v>Netherlands</c:v>
                </c:pt>
                <c:pt idx="10">
                  <c:v>New Zealand</c:v>
                </c:pt>
                <c:pt idx="11">
                  <c:v>Other countries</c:v>
                </c:pt>
                <c:pt idx="12">
                  <c:v>Papua New Guinea</c:v>
                </c:pt>
                <c:pt idx="13">
                  <c:v>Singapore</c:v>
                </c:pt>
                <c:pt idx="14">
                  <c:v>Spain</c:v>
                </c:pt>
                <c:pt idx="15">
                  <c:v>Thailand</c:v>
                </c:pt>
                <c:pt idx="16">
                  <c:v>United Kingdom</c:v>
                </c:pt>
                <c:pt idx="17">
                  <c:v>United States</c:v>
                </c:pt>
                <c:pt idx="18">
                  <c:v>Vietnam</c:v>
                </c:pt>
              </c:strCache>
            </c:strRef>
          </c:cat>
          <c:val>
            <c:numRef>
              <c:f>'Fig26'!$C$35:$C$53</c:f>
              <c:numCache>
                <c:formatCode>0.0</c:formatCode>
                <c:ptCount val="19"/>
                <c:pt idx="0">
                  <c:v>1.326285907270661</c:v>
                </c:pt>
                <c:pt idx="1">
                  <c:v>2.908157839833502</c:v>
                </c:pt>
                <c:pt idx="2">
                  <c:v>5.9943892078416736</c:v>
                </c:pt>
                <c:pt idx="3">
                  <c:v>2.6626969538044265</c:v>
                </c:pt>
                <c:pt idx="4">
                  <c:v>1.733211421908502</c:v>
                </c:pt>
                <c:pt idx="5">
                  <c:v>1.6754069095662398</c:v>
                </c:pt>
                <c:pt idx="6">
                  <c:v>6.3352588726870387</c:v>
                </c:pt>
                <c:pt idx="7">
                  <c:v>5.0956270211968899</c:v>
                </c:pt>
                <c:pt idx="8">
                  <c:v>3.393051615894886</c:v>
                </c:pt>
                <c:pt idx="9">
                  <c:v>1.8741633956434756</c:v>
                </c:pt>
                <c:pt idx="10">
                  <c:v>18.010029796115116</c:v>
                </c:pt>
                <c:pt idx="11">
                  <c:v>22.178056606728305</c:v>
                </c:pt>
                <c:pt idx="12">
                  <c:v>0.47294688401505813</c:v>
                </c:pt>
                <c:pt idx="13">
                  <c:v>2.1019951990782499</c:v>
                </c:pt>
                <c:pt idx="14">
                  <c:v>2.1160576232924289</c:v>
                </c:pt>
                <c:pt idx="15">
                  <c:v>6.0176956031098303</c:v>
                </c:pt>
                <c:pt idx="16">
                  <c:v>3.8907182201625043</c:v>
                </c:pt>
                <c:pt idx="17">
                  <c:v>8.8182518620031107</c:v>
                </c:pt>
                <c:pt idx="18">
                  <c:v>3.395999059848096</c:v>
                </c:pt>
              </c:numCache>
            </c:numRef>
          </c:val>
        </c:ser>
        <c:ser>
          <c:idx val="2"/>
          <c:order val="1"/>
          <c:tx>
            <c:strRef>
              <c:f>'Fig26'!$F$34</c:f>
              <c:strCache>
                <c:ptCount val="1"/>
                <c:pt idx="0">
                  <c:v>2016-17</c:v>
                </c:pt>
              </c:strCache>
            </c:strRef>
          </c:tx>
          <c:spPr>
            <a:solidFill>
              <a:schemeClr val="accent3"/>
            </a:solidFill>
            <a:ln>
              <a:noFill/>
            </a:ln>
            <a:effectLst/>
          </c:spPr>
          <c:invertIfNegative val="0"/>
          <c:cat>
            <c:strRef>
              <c:f>'Fig26'!$B$35:$B$53</c:f>
              <c:strCache>
                <c:ptCount val="19"/>
                <c:pt idx="0">
                  <c:v>Brazil</c:v>
                </c:pt>
                <c:pt idx="1">
                  <c:v>Canada</c:v>
                </c:pt>
                <c:pt idx="2">
                  <c:v>China</c:v>
                </c:pt>
                <c:pt idx="3">
                  <c:v>France</c:v>
                </c:pt>
                <c:pt idx="4">
                  <c:v>India</c:v>
                </c:pt>
                <c:pt idx="5">
                  <c:v>Indonesia</c:v>
                </c:pt>
                <c:pt idx="6">
                  <c:v>Ireland</c:v>
                </c:pt>
                <c:pt idx="7">
                  <c:v>Italy</c:v>
                </c:pt>
                <c:pt idx="8">
                  <c:v>Malaysia</c:v>
                </c:pt>
                <c:pt idx="9">
                  <c:v>Netherlands</c:v>
                </c:pt>
                <c:pt idx="10">
                  <c:v>New Zealand</c:v>
                </c:pt>
                <c:pt idx="11">
                  <c:v>Other countries</c:v>
                </c:pt>
                <c:pt idx="12">
                  <c:v>Papua New Guinea</c:v>
                </c:pt>
                <c:pt idx="13">
                  <c:v>Singapore</c:v>
                </c:pt>
                <c:pt idx="14">
                  <c:v>Spain</c:v>
                </c:pt>
                <c:pt idx="15">
                  <c:v>Thailand</c:v>
                </c:pt>
                <c:pt idx="16">
                  <c:v>United Kingdom</c:v>
                </c:pt>
                <c:pt idx="17">
                  <c:v>United States</c:v>
                </c:pt>
                <c:pt idx="18">
                  <c:v>Vietnam</c:v>
                </c:pt>
              </c:strCache>
            </c:strRef>
          </c:cat>
          <c:val>
            <c:numRef>
              <c:f>'Fig26'!$F$35:$F$53</c:f>
              <c:numCache>
                <c:formatCode>0.0</c:formatCode>
                <c:ptCount val="19"/>
                <c:pt idx="0">
                  <c:v>1.2128990798007433</c:v>
                </c:pt>
                <c:pt idx="1">
                  <c:v>1.2552473275522618</c:v>
                </c:pt>
                <c:pt idx="2">
                  <c:v>7.2204706743552425</c:v>
                </c:pt>
                <c:pt idx="3">
                  <c:v>3.1599530287200639</c:v>
                </c:pt>
                <c:pt idx="4">
                  <c:v>1.7095330695399991</c:v>
                </c:pt>
                <c:pt idx="5">
                  <c:v>1.960993535546856</c:v>
                </c:pt>
                <c:pt idx="6">
                  <c:v>0.6651380269838234</c:v>
                </c:pt>
                <c:pt idx="7">
                  <c:v>4.4199310694525726</c:v>
                </c:pt>
                <c:pt idx="8">
                  <c:v>3.815778561652964</c:v>
                </c:pt>
                <c:pt idx="9">
                  <c:v>2.9875777852941701</c:v>
                </c:pt>
                <c:pt idx="10">
                  <c:v>18.595205510781344</c:v>
                </c:pt>
                <c:pt idx="11">
                  <c:v>23.251541005764125</c:v>
                </c:pt>
                <c:pt idx="12">
                  <c:v>0.25983300831894268</c:v>
                </c:pt>
                <c:pt idx="13">
                  <c:v>4.6667518087754845</c:v>
                </c:pt>
                <c:pt idx="14">
                  <c:v>1.5860397535484512</c:v>
                </c:pt>
                <c:pt idx="15">
                  <c:v>6.0996493441849164</c:v>
                </c:pt>
                <c:pt idx="16">
                  <c:v>3.2291238494225527</c:v>
                </c:pt>
                <c:pt idx="17">
                  <c:v>10.381707618847814</c:v>
                </c:pt>
                <c:pt idx="18">
                  <c:v>3.5226259414576777</c:v>
                </c:pt>
              </c:numCache>
            </c:numRef>
          </c:val>
        </c:ser>
        <c:ser>
          <c:idx val="1"/>
          <c:order val="2"/>
          <c:tx>
            <c:strRef>
              <c:f>'Fig26'!$G$34</c:f>
              <c:strCache>
                <c:ptCount val="1"/>
                <c:pt idx="0">
                  <c:v>2017-18</c:v>
                </c:pt>
              </c:strCache>
            </c:strRef>
          </c:tx>
          <c:spPr>
            <a:solidFill>
              <a:schemeClr val="accent2"/>
            </a:solidFill>
            <a:ln>
              <a:noFill/>
            </a:ln>
            <a:effectLst/>
          </c:spPr>
          <c:invertIfNegative val="0"/>
          <c:val>
            <c:numRef>
              <c:f>'Fig26'!$G$35:$G$53</c:f>
              <c:numCache>
                <c:formatCode>0.0</c:formatCode>
                <c:ptCount val="19"/>
                <c:pt idx="0">
                  <c:v>1.0851430584222808</c:v>
                </c:pt>
                <c:pt idx="1">
                  <c:v>1.1057348586174087</c:v>
                </c:pt>
                <c:pt idx="2">
                  <c:v>7.0715388057802047</c:v>
                </c:pt>
                <c:pt idx="3">
                  <c:v>3.6480673620454143</c:v>
                </c:pt>
                <c:pt idx="4">
                  <c:v>1.9373728735480049</c:v>
                </c:pt>
                <c:pt idx="5">
                  <c:v>1.8622802315415268</c:v>
                </c:pt>
                <c:pt idx="6">
                  <c:v>0.71771636030211639</c:v>
                </c:pt>
                <c:pt idx="7">
                  <c:v>4.736850920010979</c:v>
                </c:pt>
                <c:pt idx="8">
                  <c:v>3.5882378507973058</c:v>
                </c:pt>
                <c:pt idx="9">
                  <c:v>3.3142521678554213</c:v>
                </c:pt>
                <c:pt idx="10">
                  <c:v>19.459956677856997</c:v>
                </c:pt>
                <c:pt idx="11">
                  <c:v>23.560089265925718</c:v>
                </c:pt>
                <c:pt idx="12">
                  <c:v>0.26887168860916077</c:v>
                </c:pt>
                <c:pt idx="13">
                  <c:v>2.5773432009035724</c:v>
                </c:pt>
                <c:pt idx="14">
                  <c:v>1.7221475446199384</c:v>
                </c:pt>
                <c:pt idx="15">
                  <c:v>5.9977022210165893</c:v>
                </c:pt>
                <c:pt idx="16">
                  <c:v>3.4458446438826882</c:v>
                </c:pt>
                <c:pt idx="17">
                  <c:v>10.417102632454077</c:v>
                </c:pt>
                <c:pt idx="18">
                  <c:v>3.4837476358105817</c:v>
                </c:pt>
              </c:numCache>
            </c:numRef>
          </c:val>
        </c:ser>
        <c:dLbls>
          <c:showLegendKey val="0"/>
          <c:showVal val="0"/>
          <c:showCatName val="0"/>
          <c:showSerName val="0"/>
          <c:showPercent val="0"/>
          <c:showBubbleSize val="0"/>
        </c:dLbls>
        <c:gapWidth val="182"/>
        <c:axId val="175646720"/>
        <c:axId val="175647112"/>
      </c:barChart>
      <c:catAx>
        <c:axId val="175646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Country of orgin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47112"/>
        <c:crosses val="autoZero"/>
        <c:auto val="1"/>
        <c:lblAlgn val="ctr"/>
        <c:lblOffset val="100"/>
        <c:noMultiLvlLbl val="0"/>
      </c:catAx>
      <c:valAx>
        <c:axId val="175647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467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16593512594555"/>
          <c:y val="0.15968308507812418"/>
          <c:w val="0.44743372703412077"/>
          <c:h val="0.74542261155374756"/>
        </c:manualLayout>
      </c:layout>
      <c:pieChart>
        <c:varyColors val="1"/>
        <c:ser>
          <c:idx val="0"/>
          <c:order val="0"/>
          <c:spPr>
            <a:scene3d>
              <a:camera prst="orthographicFront"/>
              <a:lightRig rig="threePt" dir="t"/>
            </a:scene3d>
            <a:sp3d>
              <a:bevelT/>
              <a:bevelB/>
            </a:sp3d>
          </c:spPr>
          <c:dPt>
            <c:idx val="0"/>
            <c:bubble3D val="0"/>
            <c:spPr>
              <a:solidFill>
                <a:srgbClr val="FFFF99"/>
              </a:solidFill>
              <a:scene3d>
                <a:camera prst="orthographicFront"/>
                <a:lightRig rig="threePt" dir="t"/>
              </a:scene3d>
              <a:sp3d>
                <a:bevelT/>
                <a:bevelB/>
              </a:sp3d>
            </c:spPr>
          </c:dPt>
          <c:dPt>
            <c:idx val="1"/>
            <c:bubble3D val="0"/>
            <c:spPr>
              <a:solidFill>
                <a:schemeClr val="accent3">
                  <a:lumMod val="75000"/>
                </a:schemeClr>
              </a:solidFill>
              <a:scene3d>
                <a:camera prst="orthographicFront"/>
                <a:lightRig rig="threePt" dir="t"/>
              </a:scene3d>
              <a:sp3d>
                <a:bevelT/>
                <a:bevelB/>
              </a:sp3d>
            </c:spPr>
          </c:dPt>
          <c:dPt>
            <c:idx val="2"/>
            <c:bubble3D val="0"/>
            <c:spPr>
              <a:solidFill>
                <a:schemeClr val="accent2">
                  <a:lumMod val="75000"/>
                </a:schemeClr>
              </a:solidFill>
              <a:scene3d>
                <a:camera prst="orthographicFront"/>
                <a:lightRig rig="threePt" dir="t"/>
              </a:scene3d>
              <a:sp3d>
                <a:bevelT/>
                <a:bevelB/>
              </a:sp3d>
            </c:spPr>
          </c:dPt>
          <c:dPt>
            <c:idx val="6"/>
            <c:bubble3D val="0"/>
            <c:spPr>
              <a:solidFill>
                <a:schemeClr val="accent2">
                  <a:lumMod val="60000"/>
                  <a:lumOff val="40000"/>
                </a:schemeClr>
              </a:solidFill>
              <a:scene3d>
                <a:camera prst="orthographicFront"/>
                <a:lightRig rig="threePt" dir="t"/>
              </a:scene3d>
              <a:sp3d>
                <a:bevelT/>
                <a:bevelB/>
              </a:sp3d>
            </c:spPr>
          </c:dPt>
          <c:dLbls>
            <c:dLbl>
              <c:idx val="0"/>
              <c:layout>
                <c:manualLayout>
                  <c:x val="0.10548261740105153"/>
                  <c:y val="-0.1135987141689665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7.47049548017895E-2"/>
                  <c:y val="9.8609976062812923E-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1686135084272752"/>
                  <c:y val="0.11819751712840729"/>
                </c:manualLayout>
              </c:layout>
              <c:spPr>
                <a:noFill/>
                <a:ln>
                  <a:noFill/>
                </a:ln>
                <a:effectLst/>
              </c:spPr>
              <c:txPr>
                <a:bodyPr wrap="square" lIns="38100" tIns="19050" rIns="38100" bIns="19050" anchor="ctr">
                  <a:noAutofit/>
                </a:bodyPr>
                <a:lstStyle/>
                <a:p>
                  <a:pPr>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3887720231457699"/>
                      <c:h val="0.22654706163110991"/>
                    </c:manualLayout>
                  </c15:layout>
                </c:ext>
              </c:extLst>
            </c:dLbl>
            <c:dLbl>
              <c:idx val="3"/>
              <c:layout>
                <c:manualLayout>
                  <c:x val="-6.7110163977908602E-2"/>
                  <c:y val="8.0545463440975171E-2"/>
                </c:manualLayout>
              </c:layout>
              <c:spPr>
                <a:noFill/>
                <a:ln>
                  <a:noFill/>
                </a:ln>
                <a:effectLst/>
              </c:spPr>
              <c:txPr>
                <a:bodyPr wrap="square" lIns="38100" tIns="19050" rIns="38100" bIns="19050" anchor="ctr">
                  <a:noAutofit/>
                </a:bodyPr>
                <a:lstStyle/>
                <a:p>
                  <a:pPr>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1863714085541552"/>
                      <c:h val="0.14889256533801082"/>
                    </c:manualLayout>
                  </c15:layout>
                </c:ext>
              </c:extLst>
            </c:dLbl>
            <c:dLbl>
              <c:idx val="4"/>
              <c:layout>
                <c:manualLayout>
                  <c:x val="-8.4127630789229899E-2"/>
                  <c:y val="-9.2052165309742806E-3"/>
                </c:manualLayout>
              </c:layout>
              <c:tx>
                <c:rich>
                  <a:bodyPr wrap="square" lIns="38100" tIns="19050" rIns="38100" bIns="19050" anchor="ctr">
                    <a:noAutofit/>
                  </a:bodyPr>
                  <a:lstStyle/>
                  <a:p>
                    <a:pPr>
                      <a:defRPr/>
                    </a:pPr>
                    <a:fld id="{DA7AEF55-9716-416E-B183-B44C5C17D1DF}" type="CATEGORYNAME">
                      <a:rPr lang="en-US"/>
                      <a:pPr>
                        <a:defRPr/>
                      </a:pPr>
                      <a:t>[CATEGORY NAME]</a:t>
                    </a:fld>
                    <a:r>
                      <a:rPr lang="en-US" baseline="0"/>
                      <a:t> </a:t>
                    </a:r>
                    <a:fld id="{144AA602-AB8B-451A-BE2A-E02C92C86E28}" type="VALUE">
                      <a:rPr lang="en-US" baseline="0"/>
                      <a:pPr>
                        <a:defRPr/>
                      </a:pPr>
                      <a:t>[VALUE]</a:t>
                    </a:fld>
                    <a:endParaRPr lang="en-US"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1138364847827709"/>
                      <c:h val="0.18233250764232298"/>
                    </c:manualLayout>
                  </c15:layout>
                  <c15:dlblFieldTable/>
                  <c15:showDataLabelsRange val="0"/>
                </c:ext>
              </c:extLst>
            </c:dLbl>
            <c:dLbl>
              <c:idx val="5"/>
              <c:layout>
                <c:manualLayout>
                  <c:x val="2.160645852757791E-2"/>
                  <c:y val="-5.9833907451332852E-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1124859879283536"/>
                  <c:y val="-1.5128530098156614E-2"/>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'All Tests'!$L$24:$L$29</c:f>
              <c:strCache>
                <c:ptCount val="6"/>
                <c:pt idx="0">
                  <c:v>Labelling</c:v>
                </c:pt>
                <c:pt idx="1">
                  <c:v>Other</c:v>
                </c:pt>
                <c:pt idx="2">
                  <c:v>Chemicals</c:v>
                </c:pt>
                <c:pt idx="3">
                  <c:v>Contaminants</c:v>
                </c:pt>
                <c:pt idx="4">
                  <c:v>Composition-analytical</c:v>
                </c:pt>
                <c:pt idx="5">
                  <c:v>Microbiological</c:v>
                </c:pt>
              </c:strCache>
            </c:strRef>
          </c:cat>
          <c:val>
            <c:numRef>
              <c:f>'All Tests'!$N$24:$N$29</c:f>
              <c:numCache>
                <c:formatCode>0.0%</c:formatCode>
                <c:ptCount val="6"/>
                <c:pt idx="0">
                  <c:v>0.77007299270072993</c:v>
                </c:pt>
                <c:pt idx="1">
                  <c:v>6.1522419186652764E-2</c:v>
                </c:pt>
                <c:pt idx="2">
                  <c:v>5.9958289885297188E-2</c:v>
                </c:pt>
                <c:pt idx="3">
                  <c:v>5.5787278415015643E-2</c:v>
                </c:pt>
                <c:pt idx="4">
                  <c:v>0</c:v>
                </c:pt>
                <c:pt idx="5">
                  <c:v>5.2659019812304482E-2</c:v>
                </c:pt>
              </c:numCache>
            </c:numRef>
          </c:val>
        </c:ser>
        <c:dLbls>
          <c:showLegendKey val="0"/>
          <c:showVal val="0"/>
          <c:showCatName val="0"/>
          <c:showSerName val="0"/>
          <c:showPercent val="0"/>
          <c:showBubbleSize val="0"/>
          <c:showLeaderLines val="1"/>
        </c:dLbls>
        <c:firstSliceAng val="32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cene3d>
              <a:camera prst="orthographicFront"/>
              <a:lightRig rig="threePt" dir="t"/>
            </a:scene3d>
            <a:sp3d>
              <a:bevelT/>
              <a:bevelB/>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bevelB/>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a:bevelB/>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a:bevelB/>
              </a:sp3d>
            </c:spPr>
          </c:dPt>
          <c:dPt>
            <c:idx val="3"/>
            <c:bubble3D val="0"/>
            <c:spPr>
              <a:solidFill>
                <a:srgbClr val="00B0F0"/>
              </a:solidFill>
              <a:ln>
                <a:noFill/>
              </a:ln>
              <a:effectLst/>
              <a:scene3d>
                <a:camera prst="orthographicFront"/>
                <a:lightRig rig="threePt" dir="t"/>
              </a:scene3d>
              <a:sp3d>
                <a:bevelT/>
                <a:bevelB/>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a:bevelB/>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a:bevelB/>
              </a:sp3d>
            </c:spPr>
          </c:dPt>
          <c:dPt>
            <c:idx val="6"/>
            <c:bubble3D val="0"/>
            <c:spPr>
              <a:solidFill>
                <a:srgbClr val="ED7D31">
                  <a:lumMod val="75000"/>
                </a:srgbClr>
              </a:solidFill>
              <a:ln>
                <a:noFill/>
              </a:ln>
              <a:effectLst/>
              <a:scene3d>
                <a:camera prst="orthographicFront"/>
                <a:lightRig rig="threePt" dir="t"/>
              </a:scene3d>
              <a:sp3d>
                <a:bevelT/>
                <a:bevelB/>
              </a:sp3d>
            </c:spPr>
          </c:dPt>
          <c:dPt>
            <c:idx val="7"/>
            <c:bubble3D val="0"/>
            <c:spPr>
              <a:solidFill>
                <a:srgbClr val="70AD47">
                  <a:lumMod val="60000"/>
                  <a:lumOff val="40000"/>
                </a:srgbClr>
              </a:solidFill>
              <a:ln>
                <a:noFill/>
              </a:ln>
              <a:effectLst/>
              <a:scene3d>
                <a:camera prst="orthographicFront"/>
                <a:lightRig rig="threePt" dir="t"/>
              </a:scene3d>
              <a:sp3d>
                <a:bevelT/>
                <a:bevelB/>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cene3d>
                <a:camera prst="orthographicFront"/>
                <a:lightRig rig="threePt" dir="t"/>
              </a:scene3d>
              <a:sp3d>
                <a:bevelT/>
                <a:bevelB/>
              </a:sp3d>
            </c:spPr>
          </c:dPt>
          <c:dPt>
            <c:idx val="9"/>
            <c:bubble3D val="0"/>
            <c:spPr>
              <a:solidFill>
                <a:srgbClr val="FFFF00"/>
              </a:solidFill>
              <a:ln>
                <a:noFill/>
              </a:ln>
              <a:effectLst/>
              <a:scene3d>
                <a:camera prst="orthographicFront"/>
                <a:lightRig rig="threePt" dir="t"/>
              </a:scene3d>
              <a:sp3d>
                <a:bevelT/>
                <a:bevelB/>
              </a:sp3d>
            </c:spPr>
          </c:dPt>
          <c:dLbls>
            <c:dLbl>
              <c:idx val="0"/>
              <c:layout>
                <c:manualLayout>
                  <c:x val="6.2096243445452622E-2"/>
                  <c:y val="4.3801958497073683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1.4590457134953083E-2"/>
                  <c:y val="-5.049197209584802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742552377030983"/>
                      <c:h val="0.12740435720792784"/>
                    </c:manualLayout>
                  </c15:layout>
                </c:ext>
              </c:extLst>
            </c:dLbl>
            <c:dLbl>
              <c:idx val="2"/>
              <c:layout>
                <c:manualLayout>
                  <c:x val="4.197751516029883E-2"/>
                  <c:y val="-2.3726523079405527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1.37969493087853E-2"/>
                  <c:y val="-1.668264864178317E-3"/>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7.2657766500115323E-2"/>
                  <c:y val="-2.8484265798912844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1.7325054903342896E-2"/>
                  <c:y val="-3.5682312797779114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16986880213642011"/>
                  <c:y val="-0.14503064143636565"/>
                </c:manualLayout>
              </c:layou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3.4297414131814898E-2"/>
                  <c:y val="-1.4620340506792368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8"/>
              <c:layout>
                <c:manualLayout>
                  <c:x val="-7.8968386906190277E-2"/>
                  <c:y val="8.0807333774829959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Summary!$A$3:$A$12</c:f>
              <c:strCache>
                <c:ptCount val="10"/>
                <c:pt idx="0">
                  <c:v>Importer details</c:v>
                </c:pt>
                <c:pt idx="1">
                  <c:v>Product description</c:v>
                </c:pt>
                <c:pt idx="2">
                  <c:v>Lot code</c:v>
                </c:pt>
                <c:pt idx="3">
                  <c:v>Mandatory warning statement</c:v>
                </c:pt>
                <c:pt idx="4">
                  <c:v>Ingredients list</c:v>
                </c:pt>
                <c:pt idx="5">
                  <c:v>Directions for storage and use</c:v>
                </c:pt>
                <c:pt idx="6">
                  <c:v>Nutrition information</c:v>
                </c:pt>
                <c:pt idx="7">
                  <c:v>Not in English/not legible</c:v>
                </c:pt>
                <c:pt idx="8">
                  <c:v>Country of origin</c:v>
                </c:pt>
                <c:pt idx="9">
                  <c:v>Alcohol labelling</c:v>
                </c:pt>
              </c:strCache>
            </c:strRef>
          </c:cat>
          <c:val>
            <c:numRef>
              <c:f>Summary!$C$3:$C$12</c:f>
              <c:numCache>
                <c:formatCode>0.0%</c:formatCode>
                <c:ptCount val="10"/>
                <c:pt idx="0">
                  <c:v>0.17151607963246554</c:v>
                </c:pt>
                <c:pt idx="1">
                  <c:v>3.3690658499234305E-2</c:v>
                </c:pt>
                <c:pt idx="2">
                  <c:v>2.9096477794793262E-2</c:v>
                </c:pt>
                <c:pt idx="3">
                  <c:v>4.44104134762634E-2</c:v>
                </c:pt>
                <c:pt idx="4">
                  <c:v>9.5712098009188368E-2</c:v>
                </c:pt>
                <c:pt idx="5">
                  <c:v>8.4226646248085763E-3</c:v>
                </c:pt>
                <c:pt idx="6">
                  <c:v>0.37212863705972438</c:v>
                </c:pt>
                <c:pt idx="7">
                  <c:v>4.3644716692189896E-2</c:v>
                </c:pt>
                <c:pt idx="8">
                  <c:v>0.18683001531393567</c:v>
                </c:pt>
                <c:pt idx="9">
                  <c:v>1.4548238897396631E-2</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97249021696414"/>
          <c:y val="0.15925115664189851"/>
          <c:w val="0.43540804004648126"/>
          <c:h val="0.6026134575052714"/>
        </c:manualLayout>
      </c:layout>
      <c:pieChart>
        <c:varyColors val="1"/>
        <c:ser>
          <c:idx val="0"/>
          <c:order val="0"/>
          <c:spPr>
            <a:scene3d>
              <a:camera prst="orthographicFront"/>
              <a:lightRig rig="balanced" dir="t">
                <a:rot lat="0" lon="0" rev="1800000"/>
              </a:lightRig>
            </a:scene3d>
            <a:sp3d>
              <a:bevelT/>
            </a:sp3d>
          </c:spPr>
          <c:dPt>
            <c:idx val="0"/>
            <c:bubble3D val="0"/>
            <c:spPr>
              <a:solidFill>
                <a:schemeClr val="accent4">
                  <a:lumMod val="75000"/>
                </a:schemeClr>
              </a:solidFill>
              <a:scene3d>
                <a:camera prst="orthographicFront"/>
                <a:lightRig rig="balanced" dir="t">
                  <a:rot lat="0" lon="0" rev="1800000"/>
                </a:lightRig>
              </a:scene3d>
              <a:sp3d>
                <a:bevelT/>
              </a:sp3d>
            </c:spPr>
          </c:dPt>
          <c:dLbls>
            <c:dLbl>
              <c:idx val="0"/>
              <c:layout>
                <c:manualLayout>
                  <c:x val="-1.287600102345157E-2"/>
                  <c:y val="-2.2438327910501879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1642053356603145"/>
                  <c:y val="-3.1091034924972723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8561327271615929"/>
                  <c:y val="-3.480057805600388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5817724092277521"/>
                  <c:y val="2.5937528012578662E-2"/>
                </c:manualLayout>
              </c:layout>
              <c:tx>
                <c:rich>
                  <a:bodyPr/>
                  <a:lstStyle/>
                  <a:p>
                    <a:r>
                      <a:rPr lang="en-US"/>
                      <a:t>Eggs
&lt;0.1%</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0.13303265796616134"/>
                  <c:y val="0.17399899699826291"/>
                </c:manualLayout>
              </c:layout>
              <c:tx>
                <c:rich>
                  <a:bodyPr/>
                  <a:lstStyle/>
                  <a:p>
                    <a:r>
                      <a:rPr lang="en-US"/>
                      <a:t>Honey
&lt;0.1%</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8.6158692759430236E-2"/>
                  <c:y val="0.1729216988362111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7.1695291510107326E-2"/>
                  <c:y val="0.1318888735450619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9.4872656031346217E-2"/>
                      <c:h val="0.12997218070088026"/>
                    </c:manualLayout>
                  </c15:layout>
                </c:ext>
              </c:extLst>
            </c:dLbl>
            <c:dLbl>
              <c:idx val="7"/>
              <c:layout>
                <c:manualLayout>
                  <c:x val="-8.4304924317432958E-2"/>
                  <c:y val="1.050411041099191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8.0109583421375419E-2"/>
                  <c:y val="1.612523781692870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vertOverflow="overflow" horzOverflow="overflow" anchor="t" anchorCtr="0">
                <a:spAutoFit/>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Commodity!$F$3:$F$11</c:f>
              <c:strCache>
                <c:ptCount val="9"/>
                <c:pt idx="0">
                  <c:v>Beverages</c:v>
                </c:pt>
                <c:pt idx="1">
                  <c:v>Cereals</c:v>
                </c:pt>
                <c:pt idx="2">
                  <c:v>Dairy</c:v>
                </c:pt>
                <c:pt idx="3">
                  <c:v>Eggs</c:v>
                </c:pt>
                <c:pt idx="4">
                  <c:v>Honey</c:v>
                </c:pt>
                <c:pt idx="5">
                  <c:v>Horticulture</c:v>
                </c:pt>
                <c:pt idx="6">
                  <c:v>Meat</c:v>
                </c:pt>
                <c:pt idx="7">
                  <c:v>Other</c:v>
                </c:pt>
                <c:pt idx="8">
                  <c:v>Seafood</c:v>
                </c:pt>
              </c:strCache>
            </c:strRef>
          </c:cat>
          <c:val>
            <c:numRef>
              <c:f>Commodity!$G$3:$G$11</c:f>
              <c:numCache>
                <c:formatCode>0.0%</c:formatCode>
                <c:ptCount val="9"/>
                <c:pt idx="0">
                  <c:v>9.6737211190051797E-2</c:v>
                </c:pt>
                <c:pt idx="1">
                  <c:v>3.9665603896266916E-2</c:v>
                </c:pt>
                <c:pt idx="2">
                  <c:v>6.8904342295751431E-2</c:v>
                </c:pt>
                <c:pt idx="3">
                  <c:v>2.8452120938250529E-4</c:v>
                </c:pt>
                <c:pt idx="4">
                  <c:v>1.1380848375300212E-3</c:v>
                </c:pt>
                <c:pt idx="5">
                  <c:v>0.1343860618080486</c:v>
                </c:pt>
                <c:pt idx="6">
                  <c:v>3.5021213566640723E-2</c:v>
                </c:pt>
                <c:pt idx="7">
                  <c:v>0.43992836760140253</c:v>
                </c:pt>
                <c:pt idx="8">
                  <c:v>0.18393459359492548</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'Inspection data summary'!$A$11</c:f>
              <c:strCache>
                <c:ptCount val="1"/>
                <c:pt idx="0">
                  <c:v>No. of entries referred</c:v>
                </c:pt>
              </c:strCache>
            </c:strRef>
          </c:tx>
          <c:spPr>
            <a:solidFill>
              <a:schemeClr val="tx2">
                <a:lumMod val="60000"/>
                <a:lumOff val="40000"/>
              </a:schemeClr>
            </a:solidFill>
            <a:ln>
              <a:noFill/>
            </a:ln>
            <a:effectLst/>
          </c:spPr>
          <c:invertIfNegative val="0"/>
          <c:cat>
            <c:numRef>
              <c:f>'Inspection data summary'!$B$4:$I$4</c:f>
              <c:numCache>
                <c:formatCode>General</c:formatCode>
                <c:ptCount val="8"/>
                <c:pt idx="0">
                  <c:v>2011</c:v>
                </c:pt>
                <c:pt idx="1">
                  <c:v>2012</c:v>
                </c:pt>
                <c:pt idx="2">
                  <c:v>2013</c:v>
                </c:pt>
                <c:pt idx="3">
                  <c:v>2014</c:v>
                </c:pt>
                <c:pt idx="4">
                  <c:v>2015</c:v>
                </c:pt>
                <c:pt idx="5">
                  <c:v>2016</c:v>
                </c:pt>
                <c:pt idx="6">
                  <c:v>2017</c:v>
                </c:pt>
                <c:pt idx="7">
                  <c:v>2018</c:v>
                </c:pt>
              </c:numCache>
            </c:numRef>
          </c:cat>
          <c:val>
            <c:numRef>
              <c:f>'Inspection data summary'!$B$11:$I$11</c:f>
              <c:numCache>
                <c:formatCode>General</c:formatCode>
                <c:ptCount val="8"/>
                <c:pt idx="0">
                  <c:v>16827</c:v>
                </c:pt>
                <c:pt idx="1">
                  <c:v>18334</c:v>
                </c:pt>
                <c:pt idx="2">
                  <c:v>17923</c:v>
                </c:pt>
                <c:pt idx="3">
                  <c:v>18713</c:v>
                </c:pt>
                <c:pt idx="4">
                  <c:v>18615</c:v>
                </c:pt>
                <c:pt idx="5">
                  <c:v>19234</c:v>
                </c:pt>
                <c:pt idx="6">
                  <c:v>20846</c:v>
                </c:pt>
                <c:pt idx="7">
                  <c:v>21296</c:v>
                </c:pt>
              </c:numCache>
            </c:numRef>
          </c:val>
        </c:ser>
        <c:ser>
          <c:idx val="1"/>
          <c:order val="1"/>
          <c:tx>
            <c:strRef>
              <c:f>'Inspection data summary'!$A$12</c:f>
              <c:strCache>
                <c:ptCount val="1"/>
                <c:pt idx="0">
                  <c:v>No. of lines inspected</c:v>
                </c:pt>
              </c:strCache>
            </c:strRef>
          </c:tx>
          <c:spPr>
            <a:solidFill>
              <a:schemeClr val="accent2">
                <a:lumMod val="75000"/>
              </a:schemeClr>
            </a:solidFill>
            <a:ln>
              <a:noFill/>
            </a:ln>
            <a:effectLst/>
          </c:spPr>
          <c:invertIfNegative val="0"/>
          <c:cat>
            <c:numRef>
              <c:f>'Inspection data summary'!$B$4:$I$4</c:f>
              <c:numCache>
                <c:formatCode>General</c:formatCode>
                <c:ptCount val="8"/>
                <c:pt idx="0">
                  <c:v>2011</c:v>
                </c:pt>
                <c:pt idx="1">
                  <c:v>2012</c:v>
                </c:pt>
                <c:pt idx="2">
                  <c:v>2013</c:v>
                </c:pt>
                <c:pt idx="3">
                  <c:v>2014</c:v>
                </c:pt>
                <c:pt idx="4">
                  <c:v>2015</c:v>
                </c:pt>
                <c:pt idx="5">
                  <c:v>2016</c:v>
                </c:pt>
                <c:pt idx="6">
                  <c:v>2017</c:v>
                </c:pt>
                <c:pt idx="7">
                  <c:v>2018</c:v>
                </c:pt>
              </c:numCache>
            </c:numRef>
          </c:cat>
          <c:val>
            <c:numRef>
              <c:f>'Inspection data summary'!$B$12:$I$12</c:f>
              <c:numCache>
                <c:formatCode>General</c:formatCode>
                <c:ptCount val="8"/>
                <c:pt idx="0">
                  <c:v>28008</c:v>
                </c:pt>
                <c:pt idx="1">
                  <c:v>30095</c:v>
                </c:pt>
                <c:pt idx="2">
                  <c:v>28453</c:v>
                </c:pt>
                <c:pt idx="3">
                  <c:v>30012</c:v>
                </c:pt>
                <c:pt idx="4">
                  <c:v>29715</c:v>
                </c:pt>
                <c:pt idx="5">
                  <c:v>31226</c:v>
                </c:pt>
                <c:pt idx="6">
                  <c:v>34765</c:v>
                </c:pt>
                <c:pt idx="7">
                  <c:v>38748</c:v>
                </c:pt>
              </c:numCache>
            </c:numRef>
          </c:val>
        </c:ser>
        <c:dLbls>
          <c:showLegendKey val="0"/>
          <c:showVal val="0"/>
          <c:showCatName val="0"/>
          <c:showSerName val="0"/>
          <c:showPercent val="0"/>
          <c:showBubbleSize val="0"/>
        </c:dLbls>
        <c:gapWidth val="75"/>
        <c:overlap val="-25"/>
        <c:axId val="176458600"/>
        <c:axId val="176459776"/>
      </c:barChart>
      <c:catAx>
        <c:axId val="17645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59776"/>
        <c:crosses val="autoZero"/>
        <c:auto val="1"/>
        <c:lblAlgn val="ctr"/>
        <c:lblOffset val="100"/>
        <c:noMultiLvlLbl val="0"/>
      </c:catAx>
      <c:valAx>
        <c:axId val="17645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58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'Inspection data summary'!$A$22</c:f>
              <c:strCache>
                <c:ptCount val="1"/>
                <c:pt idx="0">
                  <c:v>No. of analytical tests applied</c:v>
                </c:pt>
              </c:strCache>
            </c:strRef>
          </c:tx>
          <c:spPr>
            <a:solidFill>
              <a:schemeClr val="accent1"/>
            </a:solidFill>
            <a:ln>
              <a:noFill/>
            </a:ln>
            <a:effectLst/>
          </c:spPr>
          <c:invertIfNegative val="0"/>
          <c:cat>
            <c:numRef>
              <c:f>'Inspection data summary'!$B$15:$I$15</c:f>
              <c:numCache>
                <c:formatCode>General</c:formatCode>
                <c:ptCount val="8"/>
                <c:pt idx="0">
                  <c:v>2011</c:v>
                </c:pt>
                <c:pt idx="1">
                  <c:v>2012</c:v>
                </c:pt>
                <c:pt idx="2">
                  <c:v>2013</c:v>
                </c:pt>
                <c:pt idx="3">
                  <c:v>2014</c:v>
                </c:pt>
                <c:pt idx="4">
                  <c:v>2015</c:v>
                </c:pt>
                <c:pt idx="5">
                  <c:v>2016</c:v>
                </c:pt>
                <c:pt idx="6">
                  <c:v>2017</c:v>
                </c:pt>
                <c:pt idx="7">
                  <c:v>2018</c:v>
                </c:pt>
              </c:numCache>
            </c:numRef>
          </c:cat>
          <c:val>
            <c:numRef>
              <c:f>'Inspection data summary'!$B$22:$I$22</c:f>
              <c:numCache>
                <c:formatCode>General</c:formatCode>
                <c:ptCount val="8"/>
                <c:pt idx="0">
                  <c:v>31539</c:v>
                </c:pt>
                <c:pt idx="1">
                  <c:v>33955</c:v>
                </c:pt>
                <c:pt idx="2">
                  <c:v>23230</c:v>
                </c:pt>
                <c:pt idx="3">
                  <c:v>21514</c:v>
                </c:pt>
                <c:pt idx="4">
                  <c:v>20933</c:v>
                </c:pt>
                <c:pt idx="5">
                  <c:v>19604</c:v>
                </c:pt>
                <c:pt idx="6">
                  <c:v>23037</c:v>
                </c:pt>
                <c:pt idx="7">
                  <c:v>23375</c:v>
                </c:pt>
              </c:numCache>
            </c:numRef>
          </c:val>
        </c:ser>
        <c:ser>
          <c:idx val="1"/>
          <c:order val="1"/>
          <c:tx>
            <c:strRef>
              <c:f>'Inspection data summary'!$A$23</c:f>
              <c:strCache>
                <c:ptCount val="1"/>
                <c:pt idx="0">
                  <c:v>No. of labelling tests applied</c:v>
                </c:pt>
              </c:strCache>
            </c:strRef>
          </c:tx>
          <c:spPr>
            <a:solidFill>
              <a:schemeClr val="accent2"/>
            </a:solidFill>
            <a:ln>
              <a:noFill/>
            </a:ln>
            <a:effectLst/>
          </c:spPr>
          <c:invertIfNegative val="0"/>
          <c:cat>
            <c:numRef>
              <c:f>'Inspection data summary'!$B$15:$I$15</c:f>
              <c:numCache>
                <c:formatCode>General</c:formatCode>
                <c:ptCount val="8"/>
                <c:pt idx="0">
                  <c:v>2011</c:v>
                </c:pt>
                <c:pt idx="1">
                  <c:v>2012</c:v>
                </c:pt>
                <c:pt idx="2">
                  <c:v>2013</c:v>
                </c:pt>
                <c:pt idx="3">
                  <c:v>2014</c:v>
                </c:pt>
                <c:pt idx="4">
                  <c:v>2015</c:v>
                </c:pt>
                <c:pt idx="5">
                  <c:v>2016</c:v>
                </c:pt>
                <c:pt idx="6">
                  <c:v>2017</c:v>
                </c:pt>
                <c:pt idx="7">
                  <c:v>2018</c:v>
                </c:pt>
              </c:numCache>
            </c:numRef>
          </c:cat>
          <c:val>
            <c:numRef>
              <c:f>'Inspection data summary'!$B$23:$I$23</c:f>
              <c:numCache>
                <c:formatCode>General</c:formatCode>
                <c:ptCount val="8"/>
                <c:pt idx="0">
                  <c:v>36689</c:v>
                </c:pt>
                <c:pt idx="1">
                  <c:v>38722</c:v>
                </c:pt>
                <c:pt idx="2">
                  <c:v>36285</c:v>
                </c:pt>
                <c:pt idx="3">
                  <c:v>37820</c:v>
                </c:pt>
                <c:pt idx="4">
                  <c:v>36816</c:v>
                </c:pt>
                <c:pt idx="5">
                  <c:v>37892</c:v>
                </c:pt>
                <c:pt idx="6">
                  <c:v>43394</c:v>
                </c:pt>
                <c:pt idx="7">
                  <c:v>48828</c:v>
                </c:pt>
              </c:numCache>
            </c:numRef>
          </c:val>
        </c:ser>
        <c:dLbls>
          <c:showLegendKey val="0"/>
          <c:showVal val="0"/>
          <c:showCatName val="0"/>
          <c:showSerName val="0"/>
          <c:showPercent val="0"/>
          <c:showBubbleSize val="0"/>
        </c:dLbls>
        <c:gapWidth val="150"/>
        <c:axId val="176460560"/>
        <c:axId val="176458992"/>
      </c:barChart>
      <c:catAx>
        <c:axId val="17646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58992"/>
        <c:crosses val="autoZero"/>
        <c:auto val="1"/>
        <c:lblAlgn val="ctr"/>
        <c:lblOffset val="100"/>
        <c:noMultiLvlLbl val="0"/>
      </c:catAx>
      <c:valAx>
        <c:axId val="176458992"/>
        <c:scaling>
          <c:orientation val="minMax"/>
          <c:max val="4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60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BCFBD955-BE76-47E1-BD7C-78E710B12266}"/>
</file>

<file path=customXml/itemProps3.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9BBA71B7-C25A-45F4-A10B-118F78800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TotalTime>
  <Pages>24</Pages>
  <Words>4940</Words>
  <Characters>28163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Imported food inspection data: January to December 2018</vt:lpstr>
    </vt:vector>
  </TitlesOfParts>
  <Company>Department of Agriculture Fisheries &amp; Forestry</Company>
  <LinksUpToDate>false</LinksUpToDate>
  <CharactersWithSpaces>33037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Imported food inspection data: January to December 2018</dc:title>
  <dc:subject/>
  <dc:creator>Department of Agriculture</dc:creator>
  <cp:keywords/>
  <dc:description/>
  <cp:lastModifiedBy>Spire, Pat</cp:lastModifiedBy>
  <cp:revision>3</cp:revision>
  <cp:lastPrinted>2019-08-01T04:41:00Z</cp:lastPrinted>
  <dcterms:created xsi:type="dcterms:W3CDTF">2019-08-18T21:54:00Z</dcterms:created>
  <dcterms:modified xsi:type="dcterms:W3CDTF">2019-08-18T21:55:00Z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