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charts/chart6.xml" ContentType="application/vnd.openxmlformats-officedocument.drawingml.chart+xml"/>
  <Override PartName="/word/charts/style4.xml" ContentType="application/vnd.ms-office.chartstyle+xml"/>
  <Override PartName="/word/charts/chart5.xml" ContentType="application/vnd.openxmlformats-officedocument.drawingml.chart+xml"/>
  <Override PartName="/word/charts/colors3.xml" ContentType="application/vnd.ms-office.chartcolorstyle+xml"/>
  <Override PartName="/word/theme/theme1.xml" ContentType="application/vnd.openxmlformats-officedocument.theme+xml"/>
  <Override PartName="/word/charts/style3.xml" ContentType="application/vnd.ms-office.chart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hart1.xml" ContentType="application/vnd.openxmlformats-officedocument.drawingml.chart+xml"/>
  <Override PartName="/word/charts/colors2.xml" ContentType="application/vnd.ms-office.chartcolorstyle+xml"/>
  <Override PartName="/word/charts/colors1.xml" ContentType="application/vnd.ms-office.chartcolorstyle+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6BF0D" w14:textId="538596E4" w:rsidR="00A072D0" w:rsidRDefault="009576A5" w:rsidP="001A3E99">
      <w:pPr>
        <w:pStyle w:val="Heading1"/>
      </w:pPr>
      <w:r>
        <w:t>Imported foo</w:t>
      </w:r>
      <w:bookmarkStart w:id="0" w:name="_GoBack"/>
      <w:bookmarkEnd w:id="0"/>
      <w:r>
        <w:t>d inspection data</w:t>
      </w:r>
    </w:p>
    <w:p w14:paraId="553C4357" w14:textId="46FA7FD2" w:rsidR="00A072D0" w:rsidRPr="004F4DD0" w:rsidRDefault="009576A5" w:rsidP="001A3E99">
      <w:pPr>
        <w:pStyle w:val="Subtitle"/>
      </w:pPr>
      <w:r w:rsidRPr="004F4DD0">
        <w:t xml:space="preserve">Report for January </w:t>
      </w:r>
      <w:r w:rsidRPr="001A3E99">
        <w:t xml:space="preserve">to </w:t>
      </w:r>
      <w:r w:rsidRPr="004F4DD0">
        <w:t>June 2016</w:t>
      </w:r>
    </w:p>
    <w:p w14:paraId="03F056D9" w14:textId="77777777" w:rsidR="00A072D0" w:rsidRDefault="009576A5" w:rsidP="004F4DD0">
      <w:pPr>
        <w:pStyle w:val="Author"/>
      </w:pPr>
      <w:r>
        <w:t>Imported Food Inspection Scheme</w:t>
      </w:r>
    </w:p>
    <w:p w14:paraId="36406813" w14:textId="77777777" w:rsidR="00A072D0" w:rsidRDefault="009576A5">
      <w:pPr>
        <w:sectPr w:rsidR="00A072D0">
          <w:headerReference w:type="even" r:id="rId8"/>
          <w:headerReference w:type="default" r:id="rId9"/>
          <w:footerReference w:type="even" r:id="rId10"/>
          <w:footerReference w:type="default" r:id="rId11"/>
          <w:headerReference w:type="first" r:id="rId12"/>
          <w:pgSz w:w="11906" w:h="16838"/>
          <w:pgMar w:top="1985" w:right="1418" w:bottom="1418" w:left="1418" w:header="709" w:footer="709" w:gutter="0"/>
          <w:pgNumType w:start="1"/>
          <w:cols w:space="708"/>
          <w:titlePg/>
          <w:docGrid w:linePitch="360"/>
        </w:sectPr>
      </w:pPr>
      <w:r>
        <w:rPr>
          <w:noProof/>
          <w:lang w:eastAsia="en-AU"/>
        </w:rPr>
        <w:drawing>
          <wp:anchor distT="0" distB="0" distL="114300" distR="114300" simplePos="0" relativeHeight="251659264" behindDoc="1" locked="0" layoutInCell="1" allowOverlap="1" wp14:anchorId="45287393" wp14:editId="3BE6A505">
            <wp:simplePos x="0" y="0"/>
            <wp:positionH relativeFrom="column">
              <wp:posOffset>3175</wp:posOffset>
            </wp:positionH>
            <wp:positionV relativeFrom="paragraph">
              <wp:posOffset>3810</wp:posOffset>
            </wp:positionV>
            <wp:extent cx="6267664" cy="62676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Word templates\BS_Examples_Expression 1.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267664" cy="6267664"/>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5FE55EF1" w14:textId="77777777" w:rsidR="00A072D0" w:rsidRDefault="009576A5">
      <w:pPr>
        <w:rPr>
          <w:sz w:val="18"/>
          <w:szCs w:val="18"/>
        </w:rPr>
      </w:pPr>
      <w:r>
        <w:rPr>
          <w:sz w:val="18"/>
          <w:szCs w:val="18"/>
        </w:rPr>
        <w:lastRenderedPageBreak/>
        <w:t>© Commonwealth of Australia 2016</w:t>
      </w:r>
    </w:p>
    <w:p w14:paraId="7D782CAC" w14:textId="77777777" w:rsidR="00A072D0" w:rsidRDefault="009576A5">
      <w:pPr>
        <w:spacing w:after="0"/>
        <w:rPr>
          <w:rStyle w:val="Strong"/>
          <w:sz w:val="18"/>
          <w:szCs w:val="18"/>
        </w:rPr>
      </w:pPr>
      <w:r>
        <w:rPr>
          <w:rStyle w:val="Strong"/>
          <w:sz w:val="18"/>
          <w:szCs w:val="18"/>
        </w:rPr>
        <w:t>Ownership of intellectual property rights</w:t>
      </w:r>
    </w:p>
    <w:p w14:paraId="0656BC9F" w14:textId="77777777" w:rsidR="00A072D0" w:rsidRDefault="009576A5">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488ED63C" w14:textId="77777777" w:rsidR="00A072D0" w:rsidRDefault="009576A5">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2ABD97A9" w14:textId="77777777" w:rsidR="00A072D0" w:rsidRDefault="009576A5">
      <w:pPr>
        <w:rPr>
          <w:sz w:val="18"/>
          <w:szCs w:val="18"/>
        </w:rPr>
      </w:pPr>
      <w:r>
        <w:rPr>
          <w:sz w:val="18"/>
          <w:szCs w:val="18"/>
        </w:rPr>
        <w:t>All material in this publication is licensed under a Creative Commons Attribution 3.0 Australia Licence, save for content supplied by third parties, logos and the Commonwealth Coat of Arms.</w:t>
      </w:r>
    </w:p>
    <w:p w14:paraId="466FFC65" w14:textId="77777777" w:rsidR="00A072D0" w:rsidRDefault="009576A5">
      <w:pPr>
        <w:rPr>
          <w:sz w:val="18"/>
          <w:szCs w:val="18"/>
        </w:rPr>
      </w:pPr>
      <w:r>
        <w:rPr>
          <w:noProof/>
          <w:sz w:val="18"/>
          <w:szCs w:val="18"/>
          <w:lang w:eastAsia="en-AU"/>
        </w:rPr>
        <w:drawing>
          <wp:inline distT="0" distB="0" distL="0" distR="0" wp14:anchorId="1A5589C2" wp14:editId="5E92A241">
            <wp:extent cx="724535" cy="255270"/>
            <wp:effectExtent l="19050" t="0" r="0" b="0"/>
            <wp:docPr id="9"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1328BE7" w14:textId="77777777" w:rsidR="00A072D0" w:rsidRDefault="009576A5">
      <w:pPr>
        <w:rPr>
          <w:sz w:val="18"/>
          <w:szCs w:val="18"/>
        </w:rPr>
      </w:pPr>
      <w:r>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5" w:history="1">
        <w:r>
          <w:rPr>
            <w:rStyle w:val="Hyperlink"/>
            <w:sz w:val="18"/>
            <w:szCs w:val="18"/>
          </w:rPr>
          <w:t>creativecommons.org/licenses/by/3.0/au/</w:t>
        </w:r>
        <w:proofErr w:type="spellStart"/>
        <w:r>
          <w:rPr>
            <w:rStyle w:val="Hyperlink"/>
            <w:sz w:val="18"/>
            <w:szCs w:val="18"/>
          </w:rPr>
          <w:t>deed.en</w:t>
        </w:r>
        <w:proofErr w:type="spellEnd"/>
      </w:hyperlink>
      <w:r>
        <w:rPr>
          <w:sz w:val="18"/>
          <w:szCs w:val="18"/>
        </w:rPr>
        <w:t xml:space="preserve">. The full licence terms are available from </w:t>
      </w:r>
      <w:hyperlink r:id="rId16" w:history="1">
        <w:r>
          <w:rPr>
            <w:rStyle w:val="Hyperlink"/>
            <w:sz w:val="18"/>
            <w:szCs w:val="18"/>
          </w:rPr>
          <w:t>creativecommons.org/licenses/by/3.0/au/</w:t>
        </w:r>
        <w:proofErr w:type="spellStart"/>
        <w:r>
          <w:rPr>
            <w:rStyle w:val="Hyperlink"/>
            <w:sz w:val="18"/>
            <w:szCs w:val="18"/>
          </w:rPr>
          <w:t>legalcode</w:t>
        </w:r>
        <w:proofErr w:type="spellEnd"/>
      </w:hyperlink>
      <w:r>
        <w:rPr>
          <w:sz w:val="18"/>
          <w:szCs w:val="18"/>
        </w:rPr>
        <w:t>.</w:t>
      </w:r>
    </w:p>
    <w:p w14:paraId="1B2DF543" w14:textId="77777777" w:rsidR="00A072D0" w:rsidRDefault="009576A5">
      <w:pPr>
        <w:rPr>
          <w:sz w:val="18"/>
          <w:szCs w:val="18"/>
        </w:rPr>
      </w:pPr>
      <w:r>
        <w:rPr>
          <w:sz w:val="18"/>
          <w:szCs w:val="18"/>
        </w:rPr>
        <w:t xml:space="preserve">Inquiries about the licence and any use of this document should be sent to </w:t>
      </w:r>
      <w:hyperlink r:id="rId17" w:history="1">
        <w:r>
          <w:rPr>
            <w:rStyle w:val="Hyperlink"/>
            <w:sz w:val="18"/>
            <w:szCs w:val="18"/>
          </w:rPr>
          <w:t>copyright@agriculture.gov.au</w:t>
        </w:r>
      </w:hyperlink>
      <w:r>
        <w:rPr>
          <w:sz w:val="18"/>
          <w:szCs w:val="18"/>
        </w:rPr>
        <w:t>.</w:t>
      </w:r>
    </w:p>
    <w:p w14:paraId="4D26C4BC" w14:textId="77777777" w:rsidR="00A072D0" w:rsidRDefault="009576A5">
      <w:pPr>
        <w:spacing w:after="0"/>
        <w:rPr>
          <w:rStyle w:val="Strong"/>
          <w:sz w:val="18"/>
          <w:szCs w:val="18"/>
        </w:rPr>
      </w:pPr>
      <w:r>
        <w:rPr>
          <w:rStyle w:val="Strong"/>
          <w:sz w:val="18"/>
          <w:szCs w:val="18"/>
        </w:rPr>
        <w:t>Cataloguing data</w:t>
      </w:r>
    </w:p>
    <w:p w14:paraId="33D1FDB4" w14:textId="14CE2B62" w:rsidR="00A072D0" w:rsidRDefault="009576A5">
      <w:pPr>
        <w:rPr>
          <w:rFonts w:eastAsia="Calibri" w:cs="Times New Roman"/>
          <w:sz w:val="18"/>
          <w:szCs w:val="18"/>
        </w:rPr>
      </w:pPr>
      <w:r>
        <w:rPr>
          <w:rFonts w:eastAsia="Calibri" w:cs="Times New Roman"/>
          <w:sz w:val="18"/>
          <w:szCs w:val="18"/>
        </w:rPr>
        <w:t xml:space="preserve">This publication (and any material sourced from it) should be attributed as: Imported Food Inspection Scheme 2016, </w:t>
      </w:r>
      <w:proofErr w:type="gramStart"/>
      <w:r>
        <w:rPr>
          <w:rFonts w:eastAsia="Calibri" w:cs="Times New Roman"/>
          <w:i/>
          <w:sz w:val="18"/>
          <w:szCs w:val="18"/>
        </w:rPr>
        <w:t>Imported</w:t>
      </w:r>
      <w:proofErr w:type="gramEnd"/>
      <w:r>
        <w:rPr>
          <w:rFonts w:eastAsia="Calibri" w:cs="Times New Roman"/>
          <w:i/>
          <w:sz w:val="18"/>
          <w:szCs w:val="18"/>
        </w:rPr>
        <w:t xml:space="preserve"> food inspection data report for January to June 2016</w:t>
      </w:r>
      <w:r>
        <w:rPr>
          <w:rFonts w:eastAsia="Calibri" w:cs="Times New Roman"/>
          <w:sz w:val="18"/>
          <w:szCs w:val="18"/>
        </w:rPr>
        <w:t>, Department of Agriculture and Water Resources, Canberra, December. CC BY 3.0.</w:t>
      </w:r>
    </w:p>
    <w:p w14:paraId="19FEA48E" w14:textId="510F83A1" w:rsidR="00A072D0" w:rsidRDefault="009576A5">
      <w:pPr>
        <w:spacing w:before="0" w:after="200" w:line="276" w:lineRule="auto"/>
        <w:rPr>
          <w:rFonts w:eastAsia="Calibri" w:cs="Times New Roman"/>
          <w:sz w:val="18"/>
          <w:szCs w:val="18"/>
        </w:rPr>
      </w:pPr>
      <w:r>
        <w:rPr>
          <w:rFonts w:eastAsia="Calibri" w:cs="Times New Roman"/>
          <w:sz w:val="18"/>
          <w:szCs w:val="18"/>
        </w:rPr>
        <w:t xml:space="preserve">This publication is available at </w:t>
      </w:r>
      <w:hyperlink r:id="rId18" w:history="1">
        <w:r w:rsidR="00ED0340">
          <w:rPr>
            <w:rFonts w:eastAsia="Calibri" w:cs="Times New Roman"/>
            <w:color w:val="165788"/>
            <w:sz w:val="18"/>
            <w:szCs w:val="18"/>
            <w:u w:val="single"/>
          </w:rPr>
          <w:t>agriculture.gov.au/food/inspection-data</w:t>
        </w:r>
      </w:hyperlink>
      <w:r>
        <w:rPr>
          <w:rFonts w:eastAsia="Calibri" w:cs="Times New Roman"/>
          <w:sz w:val="18"/>
          <w:szCs w:val="18"/>
        </w:rPr>
        <w:t>.</w:t>
      </w:r>
    </w:p>
    <w:p w14:paraId="58FB9DF9" w14:textId="77777777" w:rsidR="00A072D0" w:rsidRDefault="009576A5">
      <w:pPr>
        <w:spacing w:before="0" w:after="0" w:line="276" w:lineRule="auto"/>
        <w:rPr>
          <w:rFonts w:eastAsia="Calibri" w:cs="Times New Roman"/>
          <w:sz w:val="18"/>
          <w:szCs w:val="18"/>
        </w:rPr>
      </w:pPr>
      <w:r>
        <w:rPr>
          <w:rFonts w:eastAsia="Calibri" w:cs="Times New Roman"/>
          <w:sz w:val="18"/>
          <w:szCs w:val="18"/>
        </w:rPr>
        <w:t>Department of Agriculture and Water Resources</w:t>
      </w:r>
    </w:p>
    <w:p w14:paraId="47E830C0" w14:textId="77777777" w:rsidR="00A072D0" w:rsidRDefault="009576A5">
      <w:pPr>
        <w:spacing w:before="0" w:after="0" w:line="276" w:lineRule="auto"/>
        <w:rPr>
          <w:rFonts w:eastAsia="Calibri" w:cs="Times New Roman"/>
          <w:sz w:val="18"/>
          <w:szCs w:val="18"/>
        </w:rPr>
      </w:pPr>
      <w:r>
        <w:rPr>
          <w:rFonts w:eastAsia="Calibri" w:cs="Times New Roman"/>
          <w:sz w:val="18"/>
          <w:szCs w:val="18"/>
        </w:rPr>
        <w:t>Postal address GPO Box 858 Canberra ACT 2601</w:t>
      </w:r>
    </w:p>
    <w:p w14:paraId="31A300AE" w14:textId="77777777" w:rsidR="00A072D0" w:rsidRDefault="009576A5">
      <w:pPr>
        <w:spacing w:before="0" w:after="0" w:line="276" w:lineRule="auto"/>
        <w:rPr>
          <w:rFonts w:eastAsia="Calibri" w:cs="Times New Roman"/>
          <w:sz w:val="18"/>
          <w:szCs w:val="18"/>
        </w:rPr>
      </w:pPr>
      <w:r>
        <w:rPr>
          <w:rFonts w:eastAsia="Calibri" w:cs="Times New Roman"/>
          <w:sz w:val="18"/>
          <w:szCs w:val="18"/>
        </w:rPr>
        <w:t>Telephone 1800 900 090</w:t>
      </w:r>
    </w:p>
    <w:p w14:paraId="555DDF43" w14:textId="77777777" w:rsidR="00A072D0" w:rsidRDefault="009576A5">
      <w:pPr>
        <w:spacing w:before="0" w:line="276" w:lineRule="auto"/>
        <w:rPr>
          <w:rFonts w:eastAsia="Calibri" w:cs="Times New Roman"/>
          <w:sz w:val="18"/>
          <w:szCs w:val="18"/>
        </w:rPr>
      </w:pPr>
      <w:r>
        <w:rPr>
          <w:rFonts w:eastAsia="Calibri" w:cs="Times New Roman"/>
          <w:sz w:val="18"/>
          <w:szCs w:val="18"/>
        </w:rPr>
        <w:t xml:space="preserve">Web </w:t>
      </w:r>
      <w:hyperlink r:id="rId19" w:history="1">
        <w:r>
          <w:rPr>
            <w:rFonts w:eastAsia="Calibri" w:cs="Times New Roman"/>
            <w:color w:val="165788"/>
            <w:sz w:val="18"/>
            <w:szCs w:val="18"/>
            <w:u w:val="single"/>
          </w:rPr>
          <w:t>agriculture.gov.au</w:t>
        </w:r>
      </w:hyperlink>
    </w:p>
    <w:p w14:paraId="0D4AF532" w14:textId="77777777" w:rsidR="00A072D0" w:rsidRDefault="009576A5">
      <w:pPr>
        <w:spacing w:before="0" w:after="200" w:line="276" w:lineRule="auto"/>
        <w:rPr>
          <w:rFonts w:eastAsia="Calibri" w:cs="Times New Roman"/>
          <w:sz w:val="18"/>
          <w:szCs w:val="18"/>
        </w:rPr>
      </w:pPr>
      <w:r>
        <w:rPr>
          <w:rFonts w:eastAsia="Calibri" w:cs="Times New Roman"/>
          <w:sz w:val="18"/>
          <w:szCs w:val="18"/>
        </w:rP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01125F8D" w14:textId="77777777" w:rsidR="00A072D0" w:rsidRDefault="009576A5">
      <w:r>
        <w:br w:type="page"/>
      </w:r>
    </w:p>
    <w:sdt>
      <w:sdtPr>
        <w:rPr>
          <w:rFonts w:ascii="Cambria" w:eastAsiaTheme="minorHAnsi" w:hAnsi="Cambria"/>
          <w:b/>
          <w:bCs w:val="0"/>
          <w:noProof/>
          <w:color w:val="auto"/>
          <w:sz w:val="22"/>
          <w:szCs w:val="24"/>
          <w:lang w:eastAsia="en-US"/>
        </w:rPr>
        <w:id w:val="26211041"/>
        <w:docPartObj>
          <w:docPartGallery w:val="Table of Contents"/>
          <w:docPartUnique/>
        </w:docPartObj>
      </w:sdtPr>
      <w:sdtEndPr>
        <w:rPr>
          <w:szCs w:val="22"/>
        </w:rPr>
      </w:sdtEndPr>
      <w:sdtContent>
        <w:p w14:paraId="38E8456B" w14:textId="77777777" w:rsidR="00A072D0" w:rsidRDefault="009576A5">
          <w:pPr>
            <w:pStyle w:val="TOCHeading"/>
          </w:pPr>
          <w:r>
            <w:t>Contents</w:t>
          </w:r>
        </w:p>
        <w:p w14:paraId="41BBDF42" w14:textId="77777777" w:rsidR="00A072D0" w:rsidRDefault="009576A5">
          <w:pPr>
            <w:pStyle w:val="TOC1"/>
            <w:rPr>
              <w:rFonts w:asciiTheme="minorHAnsi" w:eastAsiaTheme="minorEastAsia" w:hAnsiTheme="minorHAnsi"/>
              <w:b w:val="0"/>
              <w:lang w:eastAsia="en-AU"/>
            </w:rPr>
          </w:pPr>
          <w:r>
            <w:rPr>
              <w:b w:val="0"/>
            </w:rPr>
            <w:fldChar w:fldCharType="begin"/>
          </w:r>
          <w:r>
            <w:rPr>
              <w:b w:val="0"/>
            </w:rPr>
            <w:instrText xml:space="preserve"> TOC \h \z \t "Heading 2,1,Heading 3,2,Heading 4,3,TOA Heading,1" </w:instrText>
          </w:r>
          <w:r>
            <w:rPr>
              <w:b w:val="0"/>
            </w:rPr>
            <w:fldChar w:fldCharType="separate"/>
          </w:r>
          <w:hyperlink w:anchor="_Toc469066601" w:history="1">
            <w:r>
              <w:rPr>
                <w:rStyle w:val="Hyperlink"/>
              </w:rPr>
              <w:t>Summary</w:t>
            </w:r>
            <w:r>
              <w:rPr>
                <w:webHidden/>
              </w:rPr>
              <w:tab/>
            </w:r>
            <w:r>
              <w:rPr>
                <w:webHidden/>
              </w:rPr>
              <w:fldChar w:fldCharType="begin"/>
            </w:r>
            <w:r>
              <w:rPr>
                <w:webHidden/>
              </w:rPr>
              <w:instrText xml:space="preserve"> PAGEREF _Toc469066601 \h </w:instrText>
            </w:r>
            <w:r>
              <w:rPr>
                <w:webHidden/>
              </w:rPr>
            </w:r>
            <w:r>
              <w:rPr>
                <w:webHidden/>
              </w:rPr>
              <w:fldChar w:fldCharType="separate"/>
            </w:r>
            <w:r w:rsidR="00E70443">
              <w:rPr>
                <w:webHidden/>
              </w:rPr>
              <w:t>1</w:t>
            </w:r>
            <w:r>
              <w:rPr>
                <w:webHidden/>
              </w:rPr>
              <w:fldChar w:fldCharType="end"/>
            </w:r>
          </w:hyperlink>
        </w:p>
        <w:p w14:paraId="5F70AD8F" w14:textId="77777777" w:rsidR="00A072D0" w:rsidRDefault="00E70443">
          <w:pPr>
            <w:pStyle w:val="TOC2"/>
            <w:rPr>
              <w:rFonts w:asciiTheme="minorHAnsi" w:eastAsiaTheme="minorEastAsia" w:hAnsiTheme="minorHAnsi"/>
              <w:lang w:eastAsia="en-AU"/>
            </w:rPr>
          </w:pPr>
          <w:hyperlink w:anchor="_Toc469066602" w:history="1">
            <w:r w:rsidR="009576A5">
              <w:rPr>
                <w:rStyle w:val="Hyperlink"/>
              </w:rPr>
              <w:t>Review of risk classified foods</w:t>
            </w:r>
            <w:r w:rsidR="009576A5">
              <w:rPr>
                <w:webHidden/>
              </w:rPr>
              <w:tab/>
            </w:r>
            <w:r w:rsidR="009576A5">
              <w:rPr>
                <w:webHidden/>
              </w:rPr>
              <w:fldChar w:fldCharType="begin"/>
            </w:r>
            <w:r w:rsidR="009576A5">
              <w:rPr>
                <w:webHidden/>
              </w:rPr>
              <w:instrText xml:space="preserve"> PAGEREF _Toc469066602 \h </w:instrText>
            </w:r>
            <w:r w:rsidR="009576A5">
              <w:rPr>
                <w:webHidden/>
              </w:rPr>
            </w:r>
            <w:r w:rsidR="009576A5">
              <w:rPr>
                <w:webHidden/>
              </w:rPr>
              <w:fldChar w:fldCharType="separate"/>
            </w:r>
            <w:r>
              <w:rPr>
                <w:webHidden/>
              </w:rPr>
              <w:t>1</w:t>
            </w:r>
            <w:r w:rsidR="009576A5">
              <w:rPr>
                <w:webHidden/>
              </w:rPr>
              <w:fldChar w:fldCharType="end"/>
            </w:r>
          </w:hyperlink>
        </w:p>
        <w:p w14:paraId="00BF24D7" w14:textId="77777777" w:rsidR="00A072D0" w:rsidRDefault="00E70443">
          <w:pPr>
            <w:pStyle w:val="TOC2"/>
            <w:rPr>
              <w:rFonts w:asciiTheme="minorHAnsi" w:eastAsiaTheme="minorEastAsia" w:hAnsiTheme="minorHAnsi"/>
              <w:lang w:eastAsia="en-AU"/>
            </w:rPr>
          </w:pPr>
          <w:hyperlink w:anchor="_Toc469066603" w:history="1">
            <w:r w:rsidR="009576A5">
              <w:rPr>
                <w:rStyle w:val="Hyperlink"/>
              </w:rPr>
              <w:t>Imported food reforms</w:t>
            </w:r>
            <w:r w:rsidR="009576A5">
              <w:rPr>
                <w:webHidden/>
              </w:rPr>
              <w:tab/>
            </w:r>
            <w:r w:rsidR="009576A5">
              <w:rPr>
                <w:webHidden/>
              </w:rPr>
              <w:fldChar w:fldCharType="begin"/>
            </w:r>
            <w:r w:rsidR="009576A5">
              <w:rPr>
                <w:webHidden/>
              </w:rPr>
              <w:instrText xml:space="preserve"> PAGEREF _Toc469066603 \h </w:instrText>
            </w:r>
            <w:r w:rsidR="009576A5">
              <w:rPr>
                <w:webHidden/>
              </w:rPr>
            </w:r>
            <w:r w:rsidR="009576A5">
              <w:rPr>
                <w:webHidden/>
              </w:rPr>
              <w:fldChar w:fldCharType="separate"/>
            </w:r>
            <w:r>
              <w:rPr>
                <w:webHidden/>
              </w:rPr>
              <w:t>1</w:t>
            </w:r>
            <w:r w:rsidR="009576A5">
              <w:rPr>
                <w:webHidden/>
              </w:rPr>
              <w:fldChar w:fldCharType="end"/>
            </w:r>
          </w:hyperlink>
        </w:p>
        <w:p w14:paraId="3FF4F012" w14:textId="77777777" w:rsidR="00A072D0" w:rsidRDefault="00E70443">
          <w:pPr>
            <w:pStyle w:val="TOC2"/>
            <w:rPr>
              <w:rFonts w:asciiTheme="minorHAnsi" w:eastAsiaTheme="minorEastAsia" w:hAnsiTheme="minorHAnsi"/>
              <w:lang w:eastAsia="en-AU"/>
            </w:rPr>
          </w:pPr>
          <w:hyperlink w:anchor="_Toc469066604" w:history="1">
            <w:r w:rsidR="009576A5">
              <w:rPr>
                <w:rStyle w:val="Hyperlink"/>
              </w:rPr>
              <w:t>Increased border inspection for coconut drinks and powders</w:t>
            </w:r>
            <w:r w:rsidR="009576A5">
              <w:rPr>
                <w:webHidden/>
              </w:rPr>
              <w:tab/>
            </w:r>
            <w:r w:rsidR="009576A5">
              <w:rPr>
                <w:webHidden/>
              </w:rPr>
              <w:fldChar w:fldCharType="begin"/>
            </w:r>
            <w:r w:rsidR="009576A5">
              <w:rPr>
                <w:webHidden/>
              </w:rPr>
              <w:instrText xml:space="preserve"> PAGEREF _Toc469066604 \h </w:instrText>
            </w:r>
            <w:r w:rsidR="009576A5">
              <w:rPr>
                <w:webHidden/>
              </w:rPr>
            </w:r>
            <w:r w:rsidR="009576A5">
              <w:rPr>
                <w:webHidden/>
              </w:rPr>
              <w:fldChar w:fldCharType="separate"/>
            </w:r>
            <w:r>
              <w:rPr>
                <w:webHidden/>
              </w:rPr>
              <w:t>2</w:t>
            </w:r>
            <w:r w:rsidR="009576A5">
              <w:rPr>
                <w:webHidden/>
              </w:rPr>
              <w:fldChar w:fldCharType="end"/>
            </w:r>
          </w:hyperlink>
        </w:p>
        <w:p w14:paraId="32AAC393" w14:textId="77777777" w:rsidR="00A072D0" w:rsidRDefault="00E70443">
          <w:pPr>
            <w:pStyle w:val="TOC2"/>
            <w:rPr>
              <w:rFonts w:asciiTheme="minorHAnsi" w:eastAsiaTheme="minorEastAsia" w:hAnsiTheme="minorHAnsi"/>
              <w:lang w:eastAsia="en-AU"/>
            </w:rPr>
          </w:pPr>
          <w:hyperlink w:anchor="_Toc469066605" w:history="1">
            <w:r w:rsidR="009576A5">
              <w:rPr>
                <w:rStyle w:val="Hyperlink"/>
              </w:rPr>
              <w:t>Comparing five years of inspection data reports</w:t>
            </w:r>
            <w:r w:rsidR="009576A5">
              <w:rPr>
                <w:webHidden/>
              </w:rPr>
              <w:tab/>
            </w:r>
            <w:r w:rsidR="009576A5">
              <w:rPr>
                <w:webHidden/>
              </w:rPr>
              <w:fldChar w:fldCharType="begin"/>
            </w:r>
            <w:r w:rsidR="009576A5">
              <w:rPr>
                <w:webHidden/>
              </w:rPr>
              <w:instrText xml:space="preserve"> PAGEREF _Toc469066605 \h </w:instrText>
            </w:r>
            <w:r w:rsidR="009576A5">
              <w:rPr>
                <w:webHidden/>
              </w:rPr>
            </w:r>
            <w:r w:rsidR="009576A5">
              <w:rPr>
                <w:webHidden/>
              </w:rPr>
              <w:fldChar w:fldCharType="separate"/>
            </w:r>
            <w:r>
              <w:rPr>
                <w:webHidden/>
              </w:rPr>
              <w:t>2</w:t>
            </w:r>
            <w:r w:rsidR="009576A5">
              <w:rPr>
                <w:webHidden/>
              </w:rPr>
              <w:fldChar w:fldCharType="end"/>
            </w:r>
          </w:hyperlink>
        </w:p>
        <w:p w14:paraId="5C1DA5F5" w14:textId="77777777" w:rsidR="00A072D0" w:rsidRDefault="00E70443">
          <w:pPr>
            <w:pStyle w:val="TOC1"/>
            <w:rPr>
              <w:rFonts w:asciiTheme="minorHAnsi" w:eastAsiaTheme="minorEastAsia" w:hAnsiTheme="minorHAnsi"/>
              <w:b w:val="0"/>
              <w:lang w:eastAsia="en-AU"/>
            </w:rPr>
          </w:pPr>
          <w:hyperlink w:anchor="_Toc469066606" w:history="1">
            <w:r w:rsidR="009576A5">
              <w:rPr>
                <w:rStyle w:val="Hyperlink"/>
              </w:rPr>
              <w:t>Imported Food Inspection Scheme</w:t>
            </w:r>
            <w:r w:rsidR="009576A5">
              <w:rPr>
                <w:webHidden/>
              </w:rPr>
              <w:tab/>
            </w:r>
            <w:r w:rsidR="009576A5">
              <w:rPr>
                <w:webHidden/>
              </w:rPr>
              <w:fldChar w:fldCharType="begin"/>
            </w:r>
            <w:r w:rsidR="009576A5">
              <w:rPr>
                <w:webHidden/>
              </w:rPr>
              <w:instrText xml:space="preserve"> PAGEREF _Toc469066606 \h </w:instrText>
            </w:r>
            <w:r w:rsidR="009576A5">
              <w:rPr>
                <w:webHidden/>
              </w:rPr>
            </w:r>
            <w:r w:rsidR="009576A5">
              <w:rPr>
                <w:webHidden/>
              </w:rPr>
              <w:fldChar w:fldCharType="separate"/>
            </w:r>
            <w:r>
              <w:rPr>
                <w:webHidden/>
              </w:rPr>
              <w:t>4</w:t>
            </w:r>
            <w:r w:rsidR="009576A5">
              <w:rPr>
                <w:webHidden/>
              </w:rPr>
              <w:fldChar w:fldCharType="end"/>
            </w:r>
          </w:hyperlink>
        </w:p>
        <w:p w14:paraId="787493BF" w14:textId="77777777" w:rsidR="00A072D0" w:rsidRDefault="00E70443">
          <w:pPr>
            <w:pStyle w:val="TOC2"/>
            <w:rPr>
              <w:rFonts w:asciiTheme="minorHAnsi" w:eastAsiaTheme="minorEastAsia" w:hAnsiTheme="minorHAnsi"/>
              <w:lang w:eastAsia="en-AU"/>
            </w:rPr>
          </w:pPr>
          <w:hyperlink w:anchor="_Toc469066607" w:history="1">
            <w:r w:rsidR="009576A5">
              <w:rPr>
                <w:rStyle w:val="Hyperlink"/>
              </w:rPr>
              <w:t>Food Import Compliance Agreement notifications</w:t>
            </w:r>
            <w:r w:rsidR="009576A5">
              <w:rPr>
                <w:webHidden/>
              </w:rPr>
              <w:tab/>
            </w:r>
            <w:r w:rsidR="009576A5">
              <w:rPr>
                <w:webHidden/>
              </w:rPr>
              <w:fldChar w:fldCharType="begin"/>
            </w:r>
            <w:r w:rsidR="009576A5">
              <w:rPr>
                <w:webHidden/>
              </w:rPr>
              <w:instrText xml:space="preserve"> PAGEREF _Toc469066607 \h </w:instrText>
            </w:r>
            <w:r w:rsidR="009576A5">
              <w:rPr>
                <w:webHidden/>
              </w:rPr>
            </w:r>
            <w:r w:rsidR="009576A5">
              <w:rPr>
                <w:webHidden/>
              </w:rPr>
              <w:fldChar w:fldCharType="separate"/>
            </w:r>
            <w:r>
              <w:rPr>
                <w:webHidden/>
              </w:rPr>
              <w:t>4</w:t>
            </w:r>
            <w:r w:rsidR="009576A5">
              <w:rPr>
                <w:webHidden/>
              </w:rPr>
              <w:fldChar w:fldCharType="end"/>
            </w:r>
          </w:hyperlink>
        </w:p>
        <w:p w14:paraId="2B550E3C" w14:textId="77777777" w:rsidR="00A072D0" w:rsidRDefault="00E70443">
          <w:pPr>
            <w:pStyle w:val="TOC1"/>
            <w:rPr>
              <w:rFonts w:asciiTheme="minorHAnsi" w:eastAsiaTheme="minorEastAsia" w:hAnsiTheme="minorHAnsi"/>
              <w:b w:val="0"/>
              <w:lang w:eastAsia="en-AU"/>
            </w:rPr>
          </w:pPr>
          <w:hyperlink w:anchor="_Toc469066608" w:history="1">
            <w:r w:rsidR="009576A5">
              <w:rPr>
                <w:rStyle w:val="Hyperlink"/>
              </w:rPr>
              <w:t>Summary for January to June 2016</w:t>
            </w:r>
            <w:r w:rsidR="009576A5">
              <w:rPr>
                <w:webHidden/>
              </w:rPr>
              <w:tab/>
            </w:r>
            <w:r w:rsidR="009576A5">
              <w:rPr>
                <w:webHidden/>
              </w:rPr>
              <w:fldChar w:fldCharType="begin"/>
            </w:r>
            <w:r w:rsidR="009576A5">
              <w:rPr>
                <w:webHidden/>
              </w:rPr>
              <w:instrText xml:space="preserve"> PAGEREF _Toc469066608 \h </w:instrText>
            </w:r>
            <w:r w:rsidR="009576A5">
              <w:rPr>
                <w:webHidden/>
              </w:rPr>
            </w:r>
            <w:r w:rsidR="009576A5">
              <w:rPr>
                <w:webHidden/>
              </w:rPr>
              <w:fldChar w:fldCharType="separate"/>
            </w:r>
            <w:r>
              <w:rPr>
                <w:webHidden/>
              </w:rPr>
              <w:t>5</w:t>
            </w:r>
            <w:r w:rsidR="009576A5">
              <w:rPr>
                <w:webHidden/>
              </w:rPr>
              <w:fldChar w:fldCharType="end"/>
            </w:r>
          </w:hyperlink>
        </w:p>
        <w:p w14:paraId="790FD368" w14:textId="77777777" w:rsidR="00A072D0" w:rsidRDefault="00E70443">
          <w:pPr>
            <w:pStyle w:val="TOC2"/>
            <w:rPr>
              <w:rFonts w:asciiTheme="minorHAnsi" w:eastAsiaTheme="minorEastAsia" w:hAnsiTheme="minorHAnsi"/>
              <w:lang w:eastAsia="en-AU"/>
            </w:rPr>
          </w:pPr>
          <w:hyperlink w:anchor="_Toc469066609" w:history="1">
            <w:r w:rsidR="009576A5">
              <w:rPr>
                <w:rStyle w:val="Hyperlink"/>
              </w:rPr>
              <w:t>Application of tests to imported food</w:t>
            </w:r>
            <w:r w:rsidR="009576A5">
              <w:rPr>
                <w:webHidden/>
              </w:rPr>
              <w:tab/>
            </w:r>
            <w:r w:rsidR="009576A5">
              <w:rPr>
                <w:webHidden/>
              </w:rPr>
              <w:fldChar w:fldCharType="begin"/>
            </w:r>
            <w:r w:rsidR="009576A5">
              <w:rPr>
                <w:webHidden/>
              </w:rPr>
              <w:instrText xml:space="preserve"> PAGEREF _Toc469066609 \h </w:instrText>
            </w:r>
            <w:r w:rsidR="009576A5">
              <w:rPr>
                <w:webHidden/>
              </w:rPr>
            </w:r>
            <w:r w:rsidR="009576A5">
              <w:rPr>
                <w:webHidden/>
              </w:rPr>
              <w:fldChar w:fldCharType="separate"/>
            </w:r>
            <w:r>
              <w:rPr>
                <w:webHidden/>
              </w:rPr>
              <w:t>5</w:t>
            </w:r>
            <w:r w:rsidR="009576A5">
              <w:rPr>
                <w:webHidden/>
              </w:rPr>
              <w:fldChar w:fldCharType="end"/>
            </w:r>
          </w:hyperlink>
        </w:p>
        <w:p w14:paraId="6F2E4526" w14:textId="77777777" w:rsidR="00A072D0" w:rsidRDefault="00E70443">
          <w:pPr>
            <w:pStyle w:val="TOC2"/>
            <w:rPr>
              <w:rFonts w:asciiTheme="minorHAnsi" w:eastAsiaTheme="minorEastAsia" w:hAnsiTheme="minorHAnsi"/>
              <w:lang w:eastAsia="en-AU"/>
            </w:rPr>
          </w:pPr>
          <w:hyperlink w:anchor="_Toc469066610" w:history="1">
            <w:r w:rsidR="009576A5">
              <w:rPr>
                <w:rStyle w:val="Hyperlink"/>
              </w:rPr>
              <w:t>Commodity groups</w:t>
            </w:r>
            <w:r w:rsidR="009576A5">
              <w:rPr>
                <w:webHidden/>
              </w:rPr>
              <w:tab/>
            </w:r>
            <w:r w:rsidR="009576A5">
              <w:rPr>
                <w:webHidden/>
              </w:rPr>
              <w:fldChar w:fldCharType="begin"/>
            </w:r>
            <w:r w:rsidR="009576A5">
              <w:rPr>
                <w:webHidden/>
              </w:rPr>
              <w:instrText xml:space="preserve"> PAGEREF _Toc469066610 \h </w:instrText>
            </w:r>
            <w:r w:rsidR="009576A5">
              <w:rPr>
                <w:webHidden/>
              </w:rPr>
            </w:r>
            <w:r w:rsidR="009576A5">
              <w:rPr>
                <w:webHidden/>
              </w:rPr>
              <w:fldChar w:fldCharType="separate"/>
            </w:r>
            <w:r>
              <w:rPr>
                <w:webHidden/>
              </w:rPr>
              <w:t>6</w:t>
            </w:r>
            <w:r w:rsidR="009576A5">
              <w:rPr>
                <w:webHidden/>
              </w:rPr>
              <w:fldChar w:fldCharType="end"/>
            </w:r>
          </w:hyperlink>
        </w:p>
        <w:p w14:paraId="5D1FB31F" w14:textId="77777777" w:rsidR="00A072D0" w:rsidRDefault="00E70443">
          <w:pPr>
            <w:pStyle w:val="TOC3"/>
            <w:rPr>
              <w:rFonts w:asciiTheme="minorHAnsi" w:eastAsiaTheme="minorEastAsia" w:hAnsiTheme="minorHAnsi"/>
              <w:lang w:eastAsia="en-AU"/>
            </w:rPr>
          </w:pPr>
          <w:hyperlink w:anchor="_Toc469066611" w:history="1">
            <w:r w:rsidR="009576A5">
              <w:rPr>
                <w:rStyle w:val="Hyperlink"/>
              </w:rPr>
              <w:t>Test data by commodity groups</w:t>
            </w:r>
            <w:r w:rsidR="009576A5">
              <w:rPr>
                <w:webHidden/>
              </w:rPr>
              <w:tab/>
            </w:r>
            <w:r w:rsidR="009576A5">
              <w:rPr>
                <w:webHidden/>
              </w:rPr>
              <w:fldChar w:fldCharType="begin"/>
            </w:r>
            <w:r w:rsidR="009576A5">
              <w:rPr>
                <w:webHidden/>
              </w:rPr>
              <w:instrText xml:space="preserve"> PAGEREF _Toc469066611 \h </w:instrText>
            </w:r>
            <w:r w:rsidR="009576A5">
              <w:rPr>
                <w:webHidden/>
              </w:rPr>
            </w:r>
            <w:r w:rsidR="009576A5">
              <w:rPr>
                <w:webHidden/>
              </w:rPr>
              <w:fldChar w:fldCharType="separate"/>
            </w:r>
            <w:r>
              <w:rPr>
                <w:webHidden/>
              </w:rPr>
              <w:t>6</w:t>
            </w:r>
            <w:r w:rsidR="009576A5">
              <w:rPr>
                <w:webHidden/>
              </w:rPr>
              <w:fldChar w:fldCharType="end"/>
            </w:r>
          </w:hyperlink>
        </w:p>
        <w:p w14:paraId="242790E4" w14:textId="77777777" w:rsidR="00A072D0" w:rsidRDefault="00E70443">
          <w:pPr>
            <w:pStyle w:val="TOC2"/>
            <w:rPr>
              <w:rFonts w:asciiTheme="minorHAnsi" w:eastAsiaTheme="minorEastAsia" w:hAnsiTheme="minorHAnsi"/>
              <w:lang w:eastAsia="en-AU"/>
            </w:rPr>
          </w:pPr>
          <w:hyperlink w:anchor="_Toc469066612" w:history="1">
            <w:r w:rsidR="009576A5">
              <w:rPr>
                <w:rStyle w:val="Hyperlink"/>
              </w:rPr>
              <w:t>Country of origin</w:t>
            </w:r>
            <w:r w:rsidR="009576A5">
              <w:rPr>
                <w:webHidden/>
              </w:rPr>
              <w:tab/>
            </w:r>
            <w:r w:rsidR="009576A5">
              <w:rPr>
                <w:webHidden/>
              </w:rPr>
              <w:fldChar w:fldCharType="begin"/>
            </w:r>
            <w:r w:rsidR="009576A5">
              <w:rPr>
                <w:webHidden/>
              </w:rPr>
              <w:instrText xml:space="preserve"> PAGEREF _Toc469066612 \h </w:instrText>
            </w:r>
            <w:r w:rsidR="009576A5">
              <w:rPr>
                <w:webHidden/>
              </w:rPr>
            </w:r>
            <w:r w:rsidR="009576A5">
              <w:rPr>
                <w:webHidden/>
              </w:rPr>
              <w:fldChar w:fldCharType="separate"/>
            </w:r>
            <w:r>
              <w:rPr>
                <w:webHidden/>
              </w:rPr>
              <w:t>7</w:t>
            </w:r>
            <w:r w:rsidR="009576A5">
              <w:rPr>
                <w:webHidden/>
              </w:rPr>
              <w:fldChar w:fldCharType="end"/>
            </w:r>
          </w:hyperlink>
        </w:p>
        <w:p w14:paraId="1CEE527F" w14:textId="77777777" w:rsidR="00A072D0" w:rsidRDefault="00E70443">
          <w:pPr>
            <w:pStyle w:val="TOC2"/>
            <w:rPr>
              <w:rFonts w:asciiTheme="minorHAnsi" w:eastAsiaTheme="minorEastAsia" w:hAnsiTheme="minorHAnsi"/>
              <w:lang w:eastAsia="en-AU"/>
            </w:rPr>
          </w:pPr>
          <w:hyperlink w:anchor="_Toc469066613" w:history="1">
            <w:r w:rsidR="009576A5">
              <w:rPr>
                <w:rStyle w:val="Hyperlink"/>
              </w:rPr>
              <w:t>Testing data</w:t>
            </w:r>
            <w:r w:rsidR="009576A5">
              <w:rPr>
                <w:webHidden/>
              </w:rPr>
              <w:tab/>
            </w:r>
            <w:r w:rsidR="009576A5">
              <w:rPr>
                <w:webHidden/>
              </w:rPr>
              <w:fldChar w:fldCharType="begin"/>
            </w:r>
            <w:r w:rsidR="009576A5">
              <w:rPr>
                <w:webHidden/>
              </w:rPr>
              <w:instrText xml:space="preserve"> PAGEREF _Toc469066613 \h </w:instrText>
            </w:r>
            <w:r w:rsidR="009576A5">
              <w:rPr>
                <w:webHidden/>
              </w:rPr>
            </w:r>
            <w:r w:rsidR="009576A5">
              <w:rPr>
                <w:webHidden/>
              </w:rPr>
              <w:fldChar w:fldCharType="separate"/>
            </w:r>
            <w:r>
              <w:rPr>
                <w:webHidden/>
              </w:rPr>
              <w:t>8</w:t>
            </w:r>
            <w:r w:rsidR="009576A5">
              <w:rPr>
                <w:webHidden/>
              </w:rPr>
              <w:fldChar w:fldCharType="end"/>
            </w:r>
          </w:hyperlink>
        </w:p>
        <w:p w14:paraId="7DDF998A" w14:textId="77777777" w:rsidR="00A072D0" w:rsidRDefault="00E70443">
          <w:pPr>
            <w:pStyle w:val="TOC3"/>
            <w:rPr>
              <w:rFonts w:asciiTheme="minorHAnsi" w:eastAsiaTheme="minorEastAsia" w:hAnsiTheme="minorHAnsi"/>
              <w:lang w:eastAsia="en-AU"/>
            </w:rPr>
          </w:pPr>
          <w:hyperlink w:anchor="_Toc469066614" w:history="1">
            <w:r w:rsidR="009576A5">
              <w:rPr>
                <w:rStyle w:val="Hyperlink"/>
              </w:rPr>
              <w:t>Summary for January to June 2016</w:t>
            </w:r>
            <w:r w:rsidR="009576A5">
              <w:rPr>
                <w:webHidden/>
              </w:rPr>
              <w:tab/>
            </w:r>
            <w:r w:rsidR="009576A5">
              <w:rPr>
                <w:webHidden/>
              </w:rPr>
              <w:fldChar w:fldCharType="begin"/>
            </w:r>
            <w:r w:rsidR="009576A5">
              <w:rPr>
                <w:webHidden/>
              </w:rPr>
              <w:instrText xml:space="preserve"> PAGEREF _Toc469066614 \h </w:instrText>
            </w:r>
            <w:r w:rsidR="009576A5">
              <w:rPr>
                <w:webHidden/>
              </w:rPr>
            </w:r>
            <w:r w:rsidR="009576A5">
              <w:rPr>
                <w:webHidden/>
              </w:rPr>
              <w:fldChar w:fldCharType="separate"/>
            </w:r>
            <w:r>
              <w:rPr>
                <w:webHidden/>
              </w:rPr>
              <w:t>8</w:t>
            </w:r>
            <w:r w:rsidR="009576A5">
              <w:rPr>
                <w:webHidden/>
              </w:rPr>
              <w:fldChar w:fldCharType="end"/>
            </w:r>
          </w:hyperlink>
        </w:p>
        <w:p w14:paraId="0612474F" w14:textId="77777777" w:rsidR="00A072D0" w:rsidRDefault="00E70443">
          <w:pPr>
            <w:pStyle w:val="TOC3"/>
            <w:rPr>
              <w:rFonts w:asciiTheme="minorHAnsi" w:eastAsiaTheme="minorEastAsia" w:hAnsiTheme="minorHAnsi"/>
              <w:lang w:eastAsia="en-AU"/>
            </w:rPr>
          </w:pPr>
          <w:hyperlink w:anchor="_Toc469066615" w:history="1">
            <w:r w:rsidR="009576A5">
              <w:rPr>
                <w:rStyle w:val="Hyperlink"/>
              </w:rPr>
              <w:t>Labelling data</w:t>
            </w:r>
            <w:r w:rsidR="009576A5">
              <w:rPr>
                <w:webHidden/>
              </w:rPr>
              <w:tab/>
            </w:r>
            <w:r w:rsidR="009576A5">
              <w:rPr>
                <w:webHidden/>
              </w:rPr>
              <w:fldChar w:fldCharType="begin"/>
            </w:r>
            <w:r w:rsidR="009576A5">
              <w:rPr>
                <w:webHidden/>
              </w:rPr>
              <w:instrText xml:space="preserve"> PAGEREF _Toc469066615 \h </w:instrText>
            </w:r>
            <w:r w:rsidR="009576A5">
              <w:rPr>
                <w:webHidden/>
              </w:rPr>
            </w:r>
            <w:r w:rsidR="009576A5">
              <w:rPr>
                <w:webHidden/>
              </w:rPr>
              <w:fldChar w:fldCharType="separate"/>
            </w:r>
            <w:r>
              <w:rPr>
                <w:webHidden/>
              </w:rPr>
              <w:t>9</w:t>
            </w:r>
            <w:r w:rsidR="009576A5">
              <w:rPr>
                <w:webHidden/>
              </w:rPr>
              <w:fldChar w:fldCharType="end"/>
            </w:r>
          </w:hyperlink>
        </w:p>
        <w:p w14:paraId="06466510" w14:textId="77777777" w:rsidR="00A072D0" w:rsidRDefault="00E70443">
          <w:pPr>
            <w:pStyle w:val="TOC3"/>
            <w:rPr>
              <w:rFonts w:asciiTheme="minorHAnsi" w:eastAsiaTheme="minorEastAsia" w:hAnsiTheme="minorHAnsi"/>
              <w:lang w:eastAsia="en-AU"/>
            </w:rPr>
          </w:pPr>
          <w:hyperlink w:anchor="_Toc469066616" w:history="1">
            <w:r w:rsidR="009576A5">
              <w:rPr>
                <w:rStyle w:val="Hyperlink"/>
              </w:rPr>
              <w:t>Other test data</w:t>
            </w:r>
            <w:r w:rsidR="009576A5">
              <w:rPr>
                <w:webHidden/>
              </w:rPr>
              <w:tab/>
            </w:r>
            <w:r w:rsidR="009576A5">
              <w:rPr>
                <w:webHidden/>
              </w:rPr>
              <w:fldChar w:fldCharType="begin"/>
            </w:r>
            <w:r w:rsidR="009576A5">
              <w:rPr>
                <w:webHidden/>
              </w:rPr>
              <w:instrText xml:space="preserve"> PAGEREF _Toc469066616 \h </w:instrText>
            </w:r>
            <w:r w:rsidR="009576A5">
              <w:rPr>
                <w:webHidden/>
              </w:rPr>
            </w:r>
            <w:r w:rsidR="009576A5">
              <w:rPr>
                <w:webHidden/>
              </w:rPr>
              <w:fldChar w:fldCharType="separate"/>
            </w:r>
            <w:r>
              <w:rPr>
                <w:webHidden/>
              </w:rPr>
              <w:t>10</w:t>
            </w:r>
            <w:r w:rsidR="009576A5">
              <w:rPr>
                <w:webHidden/>
              </w:rPr>
              <w:fldChar w:fldCharType="end"/>
            </w:r>
          </w:hyperlink>
        </w:p>
        <w:p w14:paraId="559FD59A" w14:textId="77777777" w:rsidR="00A072D0" w:rsidRDefault="00E70443">
          <w:pPr>
            <w:pStyle w:val="TOC3"/>
            <w:rPr>
              <w:rFonts w:asciiTheme="minorHAnsi" w:eastAsiaTheme="minorEastAsia" w:hAnsiTheme="minorHAnsi"/>
              <w:lang w:eastAsia="en-AU"/>
            </w:rPr>
          </w:pPr>
          <w:hyperlink w:anchor="_Toc469066617" w:history="1">
            <w:r w:rsidR="009576A5">
              <w:rPr>
                <w:rStyle w:val="Hyperlink"/>
              </w:rPr>
              <w:t>Analytical testing data</w:t>
            </w:r>
            <w:r w:rsidR="009576A5">
              <w:rPr>
                <w:webHidden/>
              </w:rPr>
              <w:tab/>
            </w:r>
            <w:r w:rsidR="009576A5">
              <w:rPr>
                <w:webHidden/>
              </w:rPr>
              <w:fldChar w:fldCharType="begin"/>
            </w:r>
            <w:r w:rsidR="009576A5">
              <w:rPr>
                <w:webHidden/>
              </w:rPr>
              <w:instrText xml:space="preserve"> PAGEREF _Toc469066617 \h </w:instrText>
            </w:r>
            <w:r w:rsidR="009576A5">
              <w:rPr>
                <w:webHidden/>
              </w:rPr>
            </w:r>
            <w:r w:rsidR="009576A5">
              <w:rPr>
                <w:webHidden/>
              </w:rPr>
              <w:fldChar w:fldCharType="separate"/>
            </w:r>
            <w:r>
              <w:rPr>
                <w:webHidden/>
              </w:rPr>
              <w:t>11</w:t>
            </w:r>
            <w:r w:rsidR="009576A5">
              <w:rPr>
                <w:webHidden/>
              </w:rPr>
              <w:fldChar w:fldCharType="end"/>
            </w:r>
          </w:hyperlink>
        </w:p>
        <w:p w14:paraId="6FD25706" w14:textId="77777777" w:rsidR="00A072D0" w:rsidRDefault="00E70443">
          <w:pPr>
            <w:pStyle w:val="TOC2"/>
            <w:rPr>
              <w:rFonts w:asciiTheme="minorHAnsi" w:eastAsiaTheme="minorEastAsia" w:hAnsiTheme="minorHAnsi"/>
              <w:lang w:eastAsia="en-AU"/>
            </w:rPr>
          </w:pPr>
          <w:hyperlink w:anchor="_Toc469066618" w:history="1">
            <w:r w:rsidR="009576A5">
              <w:rPr>
                <w:rStyle w:val="Hyperlink"/>
              </w:rPr>
              <w:t>Analytical testing data, China</w:t>
            </w:r>
            <w:r w:rsidR="009576A5">
              <w:rPr>
                <w:webHidden/>
              </w:rPr>
              <w:tab/>
            </w:r>
            <w:r w:rsidR="009576A5">
              <w:rPr>
                <w:webHidden/>
              </w:rPr>
              <w:fldChar w:fldCharType="begin"/>
            </w:r>
            <w:r w:rsidR="009576A5">
              <w:rPr>
                <w:webHidden/>
              </w:rPr>
              <w:instrText xml:space="preserve"> PAGEREF _Toc469066618 \h </w:instrText>
            </w:r>
            <w:r w:rsidR="009576A5">
              <w:rPr>
                <w:webHidden/>
              </w:rPr>
            </w:r>
            <w:r w:rsidR="009576A5">
              <w:rPr>
                <w:webHidden/>
              </w:rPr>
              <w:fldChar w:fldCharType="separate"/>
            </w:r>
            <w:r>
              <w:rPr>
                <w:webHidden/>
              </w:rPr>
              <w:t>12</w:t>
            </w:r>
            <w:r w:rsidR="009576A5">
              <w:rPr>
                <w:webHidden/>
              </w:rPr>
              <w:fldChar w:fldCharType="end"/>
            </w:r>
          </w:hyperlink>
        </w:p>
        <w:p w14:paraId="73617876" w14:textId="77777777" w:rsidR="00A072D0" w:rsidRDefault="00E70443">
          <w:pPr>
            <w:pStyle w:val="TOC2"/>
            <w:rPr>
              <w:rFonts w:asciiTheme="minorHAnsi" w:eastAsiaTheme="minorEastAsia" w:hAnsiTheme="minorHAnsi"/>
              <w:lang w:eastAsia="en-AU"/>
            </w:rPr>
          </w:pPr>
          <w:hyperlink w:anchor="_Toc469066619" w:history="1">
            <w:r w:rsidR="009576A5">
              <w:rPr>
                <w:rStyle w:val="Hyperlink"/>
              </w:rPr>
              <w:t>Analytical testing data, Thailand</w:t>
            </w:r>
            <w:r w:rsidR="009576A5">
              <w:rPr>
                <w:webHidden/>
              </w:rPr>
              <w:tab/>
            </w:r>
            <w:r w:rsidR="009576A5">
              <w:rPr>
                <w:webHidden/>
              </w:rPr>
              <w:fldChar w:fldCharType="begin"/>
            </w:r>
            <w:r w:rsidR="009576A5">
              <w:rPr>
                <w:webHidden/>
              </w:rPr>
              <w:instrText xml:space="preserve"> PAGEREF _Toc469066619 \h </w:instrText>
            </w:r>
            <w:r w:rsidR="009576A5">
              <w:rPr>
                <w:webHidden/>
              </w:rPr>
            </w:r>
            <w:r w:rsidR="009576A5">
              <w:rPr>
                <w:webHidden/>
              </w:rPr>
              <w:fldChar w:fldCharType="separate"/>
            </w:r>
            <w:r>
              <w:rPr>
                <w:webHidden/>
              </w:rPr>
              <w:t>14</w:t>
            </w:r>
            <w:r w:rsidR="009576A5">
              <w:rPr>
                <w:webHidden/>
              </w:rPr>
              <w:fldChar w:fldCharType="end"/>
            </w:r>
          </w:hyperlink>
        </w:p>
        <w:p w14:paraId="7D574DA9" w14:textId="77777777" w:rsidR="00A072D0" w:rsidRDefault="00E70443">
          <w:pPr>
            <w:pStyle w:val="TOC2"/>
            <w:rPr>
              <w:rFonts w:asciiTheme="minorHAnsi" w:eastAsiaTheme="minorEastAsia" w:hAnsiTheme="minorHAnsi"/>
              <w:lang w:eastAsia="en-AU"/>
            </w:rPr>
          </w:pPr>
          <w:hyperlink w:anchor="_Toc469066620" w:history="1">
            <w:r w:rsidR="009576A5">
              <w:rPr>
                <w:rStyle w:val="Hyperlink"/>
              </w:rPr>
              <w:t>Analytical testing data, Italy</w:t>
            </w:r>
            <w:r w:rsidR="009576A5">
              <w:rPr>
                <w:webHidden/>
              </w:rPr>
              <w:tab/>
            </w:r>
            <w:r w:rsidR="009576A5">
              <w:rPr>
                <w:webHidden/>
              </w:rPr>
              <w:fldChar w:fldCharType="begin"/>
            </w:r>
            <w:r w:rsidR="009576A5">
              <w:rPr>
                <w:webHidden/>
              </w:rPr>
              <w:instrText xml:space="preserve"> PAGEREF _Toc469066620 \h </w:instrText>
            </w:r>
            <w:r w:rsidR="009576A5">
              <w:rPr>
                <w:webHidden/>
              </w:rPr>
            </w:r>
            <w:r w:rsidR="009576A5">
              <w:rPr>
                <w:webHidden/>
              </w:rPr>
              <w:fldChar w:fldCharType="separate"/>
            </w:r>
            <w:r>
              <w:rPr>
                <w:webHidden/>
              </w:rPr>
              <w:t>15</w:t>
            </w:r>
            <w:r w:rsidR="009576A5">
              <w:rPr>
                <w:webHidden/>
              </w:rPr>
              <w:fldChar w:fldCharType="end"/>
            </w:r>
          </w:hyperlink>
        </w:p>
        <w:p w14:paraId="194B43E8" w14:textId="77777777" w:rsidR="00A072D0" w:rsidRDefault="00E70443">
          <w:pPr>
            <w:pStyle w:val="TOC1"/>
            <w:rPr>
              <w:rFonts w:asciiTheme="minorHAnsi" w:eastAsiaTheme="minorEastAsia" w:hAnsiTheme="minorHAnsi"/>
              <w:b w:val="0"/>
              <w:lang w:eastAsia="en-AU"/>
            </w:rPr>
          </w:pPr>
          <w:hyperlink w:anchor="_Toc469066621" w:history="1">
            <w:r w:rsidR="009576A5">
              <w:rPr>
                <w:rStyle w:val="Hyperlink"/>
              </w:rPr>
              <w:t>Appendix 1: Analytical tests applied to food</w:t>
            </w:r>
            <w:r w:rsidR="009576A5">
              <w:rPr>
                <w:webHidden/>
              </w:rPr>
              <w:tab/>
            </w:r>
            <w:r w:rsidR="009576A5">
              <w:rPr>
                <w:webHidden/>
              </w:rPr>
              <w:fldChar w:fldCharType="begin"/>
            </w:r>
            <w:r w:rsidR="009576A5">
              <w:rPr>
                <w:webHidden/>
              </w:rPr>
              <w:instrText xml:space="preserve"> PAGEREF _Toc469066621 \h </w:instrText>
            </w:r>
            <w:r w:rsidR="009576A5">
              <w:rPr>
                <w:webHidden/>
              </w:rPr>
            </w:r>
            <w:r w:rsidR="009576A5">
              <w:rPr>
                <w:webHidden/>
              </w:rPr>
              <w:fldChar w:fldCharType="separate"/>
            </w:r>
            <w:r>
              <w:rPr>
                <w:webHidden/>
              </w:rPr>
              <w:t>16</w:t>
            </w:r>
            <w:r w:rsidR="009576A5">
              <w:rPr>
                <w:webHidden/>
              </w:rPr>
              <w:fldChar w:fldCharType="end"/>
            </w:r>
          </w:hyperlink>
        </w:p>
        <w:p w14:paraId="7778EA54" w14:textId="77777777" w:rsidR="00A072D0" w:rsidRDefault="00E70443">
          <w:pPr>
            <w:pStyle w:val="TOC1"/>
            <w:rPr>
              <w:rFonts w:asciiTheme="minorHAnsi" w:eastAsiaTheme="minorEastAsia" w:hAnsiTheme="minorHAnsi"/>
              <w:b w:val="0"/>
              <w:lang w:eastAsia="en-AU"/>
            </w:rPr>
          </w:pPr>
          <w:hyperlink w:anchor="_Toc469066622" w:history="1">
            <w:r w:rsidR="009576A5">
              <w:rPr>
                <w:rStyle w:val="Hyperlink"/>
              </w:rPr>
              <w:t>Appendix 2: Tariff codes included in each food commodity group</w:t>
            </w:r>
            <w:r w:rsidR="009576A5">
              <w:rPr>
                <w:webHidden/>
              </w:rPr>
              <w:tab/>
            </w:r>
            <w:r w:rsidR="009576A5">
              <w:rPr>
                <w:webHidden/>
              </w:rPr>
              <w:fldChar w:fldCharType="begin"/>
            </w:r>
            <w:r w:rsidR="009576A5">
              <w:rPr>
                <w:webHidden/>
              </w:rPr>
              <w:instrText xml:space="preserve"> PAGEREF _Toc469066622 \h </w:instrText>
            </w:r>
            <w:r w:rsidR="009576A5">
              <w:rPr>
                <w:webHidden/>
              </w:rPr>
            </w:r>
            <w:r w:rsidR="009576A5">
              <w:rPr>
                <w:webHidden/>
              </w:rPr>
              <w:fldChar w:fldCharType="separate"/>
            </w:r>
            <w:r>
              <w:rPr>
                <w:webHidden/>
              </w:rPr>
              <w:t>18</w:t>
            </w:r>
            <w:r w:rsidR="009576A5">
              <w:rPr>
                <w:webHidden/>
              </w:rPr>
              <w:fldChar w:fldCharType="end"/>
            </w:r>
          </w:hyperlink>
        </w:p>
        <w:p w14:paraId="74C28A8E" w14:textId="77777777" w:rsidR="00A072D0" w:rsidRDefault="00E70443">
          <w:pPr>
            <w:pStyle w:val="TOC1"/>
            <w:rPr>
              <w:rFonts w:asciiTheme="minorHAnsi" w:eastAsiaTheme="minorEastAsia" w:hAnsiTheme="minorHAnsi"/>
              <w:b w:val="0"/>
              <w:lang w:eastAsia="en-AU"/>
            </w:rPr>
          </w:pPr>
          <w:hyperlink w:anchor="_Toc469066623" w:history="1">
            <w:r w:rsidR="009576A5">
              <w:rPr>
                <w:rStyle w:val="Hyperlink"/>
              </w:rPr>
              <w:t>Appendix 3: Number of lines inspected per country</w:t>
            </w:r>
            <w:r w:rsidR="009576A5">
              <w:rPr>
                <w:webHidden/>
              </w:rPr>
              <w:tab/>
            </w:r>
            <w:r w:rsidR="009576A5">
              <w:rPr>
                <w:webHidden/>
              </w:rPr>
              <w:fldChar w:fldCharType="begin"/>
            </w:r>
            <w:r w:rsidR="009576A5">
              <w:rPr>
                <w:webHidden/>
              </w:rPr>
              <w:instrText xml:space="preserve"> PAGEREF _Toc469066623 \h </w:instrText>
            </w:r>
            <w:r w:rsidR="009576A5">
              <w:rPr>
                <w:webHidden/>
              </w:rPr>
            </w:r>
            <w:r w:rsidR="009576A5">
              <w:rPr>
                <w:webHidden/>
              </w:rPr>
              <w:fldChar w:fldCharType="separate"/>
            </w:r>
            <w:r>
              <w:rPr>
                <w:webHidden/>
              </w:rPr>
              <w:t>19</w:t>
            </w:r>
            <w:r w:rsidR="009576A5">
              <w:rPr>
                <w:webHidden/>
              </w:rPr>
              <w:fldChar w:fldCharType="end"/>
            </w:r>
          </w:hyperlink>
        </w:p>
        <w:p w14:paraId="664A551B" w14:textId="77777777" w:rsidR="00A072D0" w:rsidRDefault="00E70443">
          <w:pPr>
            <w:pStyle w:val="TOC1"/>
            <w:rPr>
              <w:rFonts w:asciiTheme="minorHAnsi" w:eastAsiaTheme="minorEastAsia" w:hAnsiTheme="minorHAnsi"/>
              <w:b w:val="0"/>
              <w:lang w:eastAsia="en-AU"/>
            </w:rPr>
          </w:pPr>
          <w:hyperlink w:anchor="_Toc469066624" w:history="1">
            <w:r w:rsidR="009576A5">
              <w:rPr>
                <w:rStyle w:val="Hyperlink"/>
              </w:rPr>
              <w:t>Glossary</w:t>
            </w:r>
            <w:r w:rsidR="009576A5">
              <w:rPr>
                <w:webHidden/>
              </w:rPr>
              <w:tab/>
            </w:r>
            <w:r w:rsidR="009576A5">
              <w:rPr>
                <w:webHidden/>
              </w:rPr>
              <w:fldChar w:fldCharType="begin"/>
            </w:r>
            <w:r w:rsidR="009576A5">
              <w:rPr>
                <w:webHidden/>
              </w:rPr>
              <w:instrText xml:space="preserve"> PAGEREF _Toc469066624 \h </w:instrText>
            </w:r>
            <w:r w:rsidR="009576A5">
              <w:rPr>
                <w:webHidden/>
              </w:rPr>
            </w:r>
            <w:r w:rsidR="009576A5">
              <w:rPr>
                <w:webHidden/>
              </w:rPr>
              <w:fldChar w:fldCharType="separate"/>
            </w:r>
            <w:r>
              <w:rPr>
                <w:webHidden/>
              </w:rPr>
              <w:t>22</w:t>
            </w:r>
            <w:r w:rsidR="009576A5">
              <w:rPr>
                <w:webHidden/>
              </w:rPr>
              <w:fldChar w:fldCharType="end"/>
            </w:r>
          </w:hyperlink>
        </w:p>
        <w:p w14:paraId="4CAFDFD3" w14:textId="77777777" w:rsidR="00A072D0" w:rsidRDefault="009576A5">
          <w:pPr>
            <w:pStyle w:val="TOC1"/>
          </w:pPr>
          <w:r>
            <w:rPr>
              <w:b w:val="0"/>
            </w:rPr>
            <w:fldChar w:fldCharType="end"/>
          </w:r>
        </w:p>
      </w:sdtContent>
    </w:sdt>
    <w:p w14:paraId="122A7487" w14:textId="77777777" w:rsidR="00A072D0" w:rsidRPr="00ED0340" w:rsidRDefault="009576A5" w:rsidP="00ED0340">
      <w:pPr>
        <w:pStyle w:val="TOCHeading20"/>
        <w:rPr>
          <w:rStyle w:val="Strong"/>
        </w:rPr>
      </w:pPr>
      <w:r w:rsidRPr="00ED0340">
        <w:rPr>
          <w:rStyle w:val="Strong"/>
        </w:rPr>
        <w:t>Tables</w:t>
      </w:r>
    </w:p>
    <w:p w14:paraId="01C50E7A" w14:textId="77777777" w:rsidR="00A072D0" w:rsidRDefault="009576A5">
      <w:pPr>
        <w:pStyle w:val="TableofFigures"/>
        <w:tabs>
          <w:tab w:val="right" w:leader="dot" w:pos="9060"/>
        </w:tabs>
        <w:rPr>
          <w:rFonts w:asciiTheme="minorHAnsi" w:hAnsiTheme="minorHAnsi"/>
          <w:noProof/>
          <w:szCs w:val="22"/>
          <w:lang w:eastAsia="en-AU"/>
        </w:rPr>
      </w:pPr>
      <w:r>
        <w:fldChar w:fldCharType="begin"/>
      </w:r>
      <w:r>
        <w:instrText xml:space="preserve"> TOC \h \z \c "Table" </w:instrText>
      </w:r>
      <w:r>
        <w:fldChar w:fldCharType="separate"/>
      </w:r>
      <w:hyperlink w:anchor="_Toc469062403" w:history="1">
        <w:r>
          <w:rPr>
            <w:rStyle w:val="Hyperlink"/>
            <w:noProof/>
          </w:rPr>
          <w:t>Table 1 Inspection and test data, by commodity group</w:t>
        </w:r>
        <w:r>
          <w:rPr>
            <w:noProof/>
            <w:webHidden/>
          </w:rPr>
          <w:tab/>
        </w:r>
        <w:r>
          <w:rPr>
            <w:noProof/>
            <w:webHidden/>
          </w:rPr>
          <w:fldChar w:fldCharType="begin"/>
        </w:r>
        <w:r>
          <w:rPr>
            <w:noProof/>
            <w:webHidden/>
          </w:rPr>
          <w:instrText xml:space="preserve"> PAGEREF _Toc469062403 \h </w:instrText>
        </w:r>
        <w:r>
          <w:rPr>
            <w:noProof/>
            <w:webHidden/>
          </w:rPr>
        </w:r>
        <w:r>
          <w:rPr>
            <w:noProof/>
            <w:webHidden/>
          </w:rPr>
          <w:fldChar w:fldCharType="separate"/>
        </w:r>
        <w:r w:rsidR="00E70443">
          <w:rPr>
            <w:noProof/>
            <w:webHidden/>
          </w:rPr>
          <w:t>6</w:t>
        </w:r>
        <w:r>
          <w:rPr>
            <w:noProof/>
            <w:webHidden/>
          </w:rPr>
          <w:fldChar w:fldCharType="end"/>
        </w:r>
      </w:hyperlink>
    </w:p>
    <w:p w14:paraId="7FC910F8" w14:textId="77777777" w:rsidR="00A072D0" w:rsidRDefault="00E70443">
      <w:pPr>
        <w:pStyle w:val="TableofFigures"/>
        <w:tabs>
          <w:tab w:val="right" w:leader="dot" w:pos="9060"/>
        </w:tabs>
        <w:rPr>
          <w:rFonts w:asciiTheme="minorHAnsi" w:hAnsiTheme="minorHAnsi"/>
          <w:noProof/>
          <w:szCs w:val="22"/>
          <w:lang w:eastAsia="en-AU"/>
        </w:rPr>
      </w:pPr>
      <w:hyperlink w:anchor="_Toc469062404" w:history="1">
        <w:r w:rsidR="009576A5">
          <w:rPr>
            <w:rStyle w:val="Hyperlink"/>
            <w:noProof/>
          </w:rPr>
          <w:t>Table 2 Number of inspections, by country of origin</w:t>
        </w:r>
        <w:r w:rsidR="009576A5">
          <w:rPr>
            <w:noProof/>
            <w:webHidden/>
          </w:rPr>
          <w:tab/>
        </w:r>
        <w:r w:rsidR="009576A5">
          <w:rPr>
            <w:noProof/>
            <w:webHidden/>
          </w:rPr>
          <w:fldChar w:fldCharType="begin"/>
        </w:r>
        <w:r w:rsidR="009576A5">
          <w:rPr>
            <w:noProof/>
            <w:webHidden/>
          </w:rPr>
          <w:instrText xml:space="preserve"> PAGEREF _Toc469062404 \h </w:instrText>
        </w:r>
        <w:r w:rsidR="009576A5">
          <w:rPr>
            <w:noProof/>
            <w:webHidden/>
          </w:rPr>
        </w:r>
        <w:r w:rsidR="009576A5">
          <w:rPr>
            <w:noProof/>
            <w:webHidden/>
          </w:rPr>
          <w:fldChar w:fldCharType="separate"/>
        </w:r>
        <w:r>
          <w:rPr>
            <w:noProof/>
            <w:webHidden/>
          </w:rPr>
          <w:t>7</w:t>
        </w:r>
        <w:r w:rsidR="009576A5">
          <w:rPr>
            <w:noProof/>
            <w:webHidden/>
          </w:rPr>
          <w:fldChar w:fldCharType="end"/>
        </w:r>
      </w:hyperlink>
    </w:p>
    <w:p w14:paraId="5F9CF234" w14:textId="77777777" w:rsidR="00A072D0" w:rsidRDefault="00E70443">
      <w:pPr>
        <w:pStyle w:val="TableofFigures"/>
        <w:tabs>
          <w:tab w:val="right" w:leader="dot" w:pos="9060"/>
        </w:tabs>
        <w:rPr>
          <w:rFonts w:asciiTheme="minorHAnsi" w:hAnsiTheme="minorHAnsi"/>
          <w:noProof/>
          <w:szCs w:val="22"/>
          <w:lang w:eastAsia="en-AU"/>
        </w:rPr>
      </w:pPr>
      <w:hyperlink w:anchor="_Toc469062405" w:history="1">
        <w:r w:rsidR="009576A5">
          <w:rPr>
            <w:rStyle w:val="Hyperlink"/>
            <w:noProof/>
          </w:rPr>
          <w:t>Table 3 Compliance for all tests</w:t>
        </w:r>
        <w:r w:rsidR="009576A5">
          <w:rPr>
            <w:noProof/>
            <w:webHidden/>
          </w:rPr>
          <w:tab/>
        </w:r>
        <w:r w:rsidR="009576A5">
          <w:rPr>
            <w:noProof/>
            <w:webHidden/>
          </w:rPr>
          <w:fldChar w:fldCharType="begin"/>
        </w:r>
        <w:r w:rsidR="009576A5">
          <w:rPr>
            <w:noProof/>
            <w:webHidden/>
          </w:rPr>
          <w:instrText xml:space="preserve"> PAGEREF _Toc469062405 \h </w:instrText>
        </w:r>
        <w:r w:rsidR="009576A5">
          <w:rPr>
            <w:noProof/>
            <w:webHidden/>
          </w:rPr>
        </w:r>
        <w:r w:rsidR="009576A5">
          <w:rPr>
            <w:noProof/>
            <w:webHidden/>
          </w:rPr>
          <w:fldChar w:fldCharType="separate"/>
        </w:r>
        <w:r>
          <w:rPr>
            <w:noProof/>
            <w:webHidden/>
          </w:rPr>
          <w:t>8</w:t>
        </w:r>
        <w:r w:rsidR="009576A5">
          <w:rPr>
            <w:noProof/>
            <w:webHidden/>
          </w:rPr>
          <w:fldChar w:fldCharType="end"/>
        </w:r>
      </w:hyperlink>
    </w:p>
    <w:p w14:paraId="2304AC41" w14:textId="77777777" w:rsidR="00A072D0" w:rsidRDefault="00E70443">
      <w:pPr>
        <w:pStyle w:val="TableofFigures"/>
        <w:tabs>
          <w:tab w:val="right" w:leader="dot" w:pos="9060"/>
        </w:tabs>
        <w:rPr>
          <w:rFonts w:asciiTheme="minorHAnsi" w:hAnsiTheme="minorHAnsi"/>
          <w:noProof/>
          <w:szCs w:val="22"/>
          <w:lang w:eastAsia="en-AU"/>
        </w:rPr>
      </w:pPr>
      <w:hyperlink w:anchor="_Toc469062406" w:history="1">
        <w:r w:rsidR="009576A5">
          <w:rPr>
            <w:rStyle w:val="Hyperlink"/>
            <w:noProof/>
          </w:rPr>
          <w:t>Table 4 Compliance for BSE certificate checks</w:t>
        </w:r>
        <w:r w:rsidR="009576A5">
          <w:rPr>
            <w:noProof/>
            <w:webHidden/>
          </w:rPr>
          <w:tab/>
        </w:r>
        <w:r w:rsidR="009576A5">
          <w:rPr>
            <w:noProof/>
            <w:webHidden/>
          </w:rPr>
          <w:fldChar w:fldCharType="begin"/>
        </w:r>
        <w:r w:rsidR="009576A5">
          <w:rPr>
            <w:noProof/>
            <w:webHidden/>
          </w:rPr>
          <w:instrText xml:space="preserve"> PAGEREF _Toc469062406 \h </w:instrText>
        </w:r>
        <w:r w:rsidR="009576A5">
          <w:rPr>
            <w:noProof/>
            <w:webHidden/>
          </w:rPr>
        </w:r>
        <w:r w:rsidR="009576A5">
          <w:rPr>
            <w:noProof/>
            <w:webHidden/>
          </w:rPr>
          <w:fldChar w:fldCharType="separate"/>
        </w:r>
        <w:r>
          <w:rPr>
            <w:noProof/>
            <w:webHidden/>
          </w:rPr>
          <w:t>10</w:t>
        </w:r>
        <w:r w:rsidR="009576A5">
          <w:rPr>
            <w:noProof/>
            <w:webHidden/>
          </w:rPr>
          <w:fldChar w:fldCharType="end"/>
        </w:r>
      </w:hyperlink>
    </w:p>
    <w:p w14:paraId="0550FAA8" w14:textId="77777777" w:rsidR="00A072D0" w:rsidRDefault="00E70443">
      <w:pPr>
        <w:pStyle w:val="TableofFigures"/>
        <w:tabs>
          <w:tab w:val="right" w:leader="dot" w:pos="9060"/>
        </w:tabs>
        <w:rPr>
          <w:rFonts w:asciiTheme="minorHAnsi" w:hAnsiTheme="minorHAnsi"/>
          <w:noProof/>
          <w:szCs w:val="22"/>
          <w:lang w:eastAsia="en-AU"/>
        </w:rPr>
      </w:pPr>
      <w:hyperlink w:anchor="_Toc469062407" w:history="1">
        <w:r w:rsidR="009576A5">
          <w:rPr>
            <w:rStyle w:val="Hyperlink"/>
            <w:noProof/>
          </w:rPr>
          <w:t>Table 5 Compliance for visual assessments</w:t>
        </w:r>
        <w:r w:rsidR="009576A5">
          <w:rPr>
            <w:noProof/>
            <w:webHidden/>
          </w:rPr>
          <w:tab/>
        </w:r>
        <w:r w:rsidR="009576A5">
          <w:rPr>
            <w:noProof/>
            <w:webHidden/>
          </w:rPr>
          <w:fldChar w:fldCharType="begin"/>
        </w:r>
        <w:r w:rsidR="009576A5">
          <w:rPr>
            <w:noProof/>
            <w:webHidden/>
          </w:rPr>
          <w:instrText xml:space="preserve"> PAGEREF _Toc469062407 \h </w:instrText>
        </w:r>
        <w:r w:rsidR="009576A5">
          <w:rPr>
            <w:noProof/>
            <w:webHidden/>
          </w:rPr>
        </w:r>
        <w:r w:rsidR="009576A5">
          <w:rPr>
            <w:noProof/>
            <w:webHidden/>
          </w:rPr>
          <w:fldChar w:fldCharType="separate"/>
        </w:r>
        <w:r>
          <w:rPr>
            <w:noProof/>
            <w:webHidden/>
          </w:rPr>
          <w:t>10</w:t>
        </w:r>
        <w:r w:rsidR="009576A5">
          <w:rPr>
            <w:noProof/>
            <w:webHidden/>
          </w:rPr>
          <w:fldChar w:fldCharType="end"/>
        </w:r>
      </w:hyperlink>
    </w:p>
    <w:p w14:paraId="0EACA59F" w14:textId="77777777" w:rsidR="00A072D0" w:rsidRDefault="00E70443">
      <w:pPr>
        <w:pStyle w:val="TableofFigures"/>
        <w:tabs>
          <w:tab w:val="right" w:leader="dot" w:pos="9060"/>
        </w:tabs>
        <w:rPr>
          <w:rFonts w:asciiTheme="minorHAnsi" w:hAnsiTheme="minorHAnsi"/>
          <w:noProof/>
          <w:szCs w:val="22"/>
          <w:lang w:eastAsia="en-AU"/>
        </w:rPr>
      </w:pPr>
      <w:hyperlink w:anchor="_Toc469062408" w:history="1">
        <w:r w:rsidR="009576A5">
          <w:rPr>
            <w:rStyle w:val="Hyperlink"/>
            <w:noProof/>
          </w:rPr>
          <w:t>Table 6 Compliance for oysters ex Korea/Japan</w:t>
        </w:r>
        <w:r w:rsidR="009576A5">
          <w:rPr>
            <w:noProof/>
            <w:webHidden/>
          </w:rPr>
          <w:tab/>
        </w:r>
        <w:r w:rsidR="009576A5">
          <w:rPr>
            <w:noProof/>
            <w:webHidden/>
          </w:rPr>
          <w:fldChar w:fldCharType="begin"/>
        </w:r>
        <w:r w:rsidR="009576A5">
          <w:rPr>
            <w:noProof/>
            <w:webHidden/>
          </w:rPr>
          <w:instrText xml:space="preserve"> PAGEREF _Toc469062408 \h </w:instrText>
        </w:r>
        <w:r w:rsidR="009576A5">
          <w:rPr>
            <w:noProof/>
            <w:webHidden/>
          </w:rPr>
        </w:r>
        <w:r w:rsidR="009576A5">
          <w:rPr>
            <w:noProof/>
            <w:webHidden/>
          </w:rPr>
          <w:fldChar w:fldCharType="separate"/>
        </w:r>
        <w:r>
          <w:rPr>
            <w:noProof/>
            <w:webHidden/>
          </w:rPr>
          <w:t>10</w:t>
        </w:r>
        <w:r w:rsidR="009576A5">
          <w:rPr>
            <w:noProof/>
            <w:webHidden/>
          </w:rPr>
          <w:fldChar w:fldCharType="end"/>
        </w:r>
      </w:hyperlink>
    </w:p>
    <w:p w14:paraId="105A8D25" w14:textId="77777777" w:rsidR="00A072D0" w:rsidRDefault="00E70443">
      <w:pPr>
        <w:pStyle w:val="TableofFigures"/>
        <w:tabs>
          <w:tab w:val="right" w:leader="dot" w:pos="9060"/>
        </w:tabs>
        <w:rPr>
          <w:rFonts w:asciiTheme="minorHAnsi" w:hAnsiTheme="minorHAnsi"/>
          <w:noProof/>
          <w:szCs w:val="22"/>
          <w:lang w:eastAsia="en-AU"/>
        </w:rPr>
      </w:pPr>
      <w:hyperlink w:anchor="_Toc469062409" w:history="1">
        <w:r w:rsidR="009576A5">
          <w:rPr>
            <w:rStyle w:val="Hyperlink"/>
            <w:noProof/>
          </w:rPr>
          <w:t>Table 7 Compliance for analytical testing</w:t>
        </w:r>
        <w:r w:rsidR="009576A5">
          <w:rPr>
            <w:noProof/>
            <w:webHidden/>
          </w:rPr>
          <w:tab/>
        </w:r>
        <w:r w:rsidR="009576A5">
          <w:rPr>
            <w:noProof/>
            <w:webHidden/>
          </w:rPr>
          <w:fldChar w:fldCharType="begin"/>
        </w:r>
        <w:r w:rsidR="009576A5">
          <w:rPr>
            <w:noProof/>
            <w:webHidden/>
          </w:rPr>
          <w:instrText xml:space="preserve"> PAGEREF _Toc469062409 \h </w:instrText>
        </w:r>
        <w:r w:rsidR="009576A5">
          <w:rPr>
            <w:noProof/>
            <w:webHidden/>
          </w:rPr>
        </w:r>
        <w:r w:rsidR="009576A5">
          <w:rPr>
            <w:noProof/>
            <w:webHidden/>
          </w:rPr>
          <w:fldChar w:fldCharType="separate"/>
        </w:r>
        <w:r>
          <w:rPr>
            <w:noProof/>
            <w:webHidden/>
          </w:rPr>
          <w:t>11</w:t>
        </w:r>
        <w:r w:rsidR="009576A5">
          <w:rPr>
            <w:noProof/>
            <w:webHidden/>
          </w:rPr>
          <w:fldChar w:fldCharType="end"/>
        </w:r>
      </w:hyperlink>
    </w:p>
    <w:p w14:paraId="7CE589BF" w14:textId="77777777" w:rsidR="00A072D0" w:rsidRDefault="00E70443">
      <w:pPr>
        <w:pStyle w:val="TableofFigures"/>
        <w:tabs>
          <w:tab w:val="right" w:leader="dot" w:pos="9060"/>
        </w:tabs>
        <w:rPr>
          <w:rFonts w:asciiTheme="minorHAnsi" w:hAnsiTheme="minorHAnsi"/>
          <w:noProof/>
          <w:szCs w:val="22"/>
          <w:lang w:eastAsia="en-AU"/>
        </w:rPr>
      </w:pPr>
      <w:hyperlink w:anchor="_Toc469062410" w:history="1">
        <w:r w:rsidR="009576A5">
          <w:rPr>
            <w:rStyle w:val="Hyperlink"/>
            <w:noProof/>
          </w:rPr>
          <w:t>Table 8 Compliance for chemical tests</w:t>
        </w:r>
        <w:r w:rsidR="009576A5">
          <w:rPr>
            <w:noProof/>
            <w:webHidden/>
          </w:rPr>
          <w:tab/>
        </w:r>
        <w:r w:rsidR="009576A5">
          <w:rPr>
            <w:noProof/>
            <w:webHidden/>
          </w:rPr>
          <w:fldChar w:fldCharType="begin"/>
        </w:r>
        <w:r w:rsidR="009576A5">
          <w:rPr>
            <w:noProof/>
            <w:webHidden/>
          </w:rPr>
          <w:instrText xml:space="preserve"> PAGEREF _Toc469062410 \h </w:instrText>
        </w:r>
        <w:r w:rsidR="009576A5">
          <w:rPr>
            <w:noProof/>
            <w:webHidden/>
          </w:rPr>
        </w:r>
        <w:r w:rsidR="009576A5">
          <w:rPr>
            <w:noProof/>
            <w:webHidden/>
          </w:rPr>
          <w:fldChar w:fldCharType="separate"/>
        </w:r>
        <w:r>
          <w:rPr>
            <w:noProof/>
            <w:webHidden/>
          </w:rPr>
          <w:t>11</w:t>
        </w:r>
        <w:r w:rsidR="009576A5">
          <w:rPr>
            <w:noProof/>
            <w:webHidden/>
          </w:rPr>
          <w:fldChar w:fldCharType="end"/>
        </w:r>
      </w:hyperlink>
    </w:p>
    <w:p w14:paraId="0CE26544" w14:textId="77777777" w:rsidR="00A072D0" w:rsidRDefault="00E70443">
      <w:pPr>
        <w:pStyle w:val="TableofFigures"/>
        <w:tabs>
          <w:tab w:val="right" w:leader="dot" w:pos="9060"/>
        </w:tabs>
        <w:rPr>
          <w:rFonts w:asciiTheme="minorHAnsi" w:hAnsiTheme="minorHAnsi"/>
          <w:noProof/>
          <w:szCs w:val="22"/>
          <w:lang w:eastAsia="en-AU"/>
        </w:rPr>
      </w:pPr>
      <w:hyperlink w:anchor="_Toc469062411" w:history="1">
        <w:r w:rsidR="009576A5">
          <w:rPr>
            <w:rStyle w:val="Hyperlink"/>
            <w:noProof/>
          </w:rPr>
          <w:t>Table 9 Compliance for contaminant tests</w:t>
        </w:r>
        <w:r w:rsidR="009576A5">
          <w:rPr>
            <w:noProof/>
            <w:webHidden/>
          </w:rPr>
          <w:tab/>
        </w:r>
        <w:r w:rsidR="009576A5">
          <w:rPr>
            <w:noProof/>
            <w:webHidden/>
          </w:rPr>
          <w:fldChar w:fldCharType="begin"/>
        </w:r>
        <w:r w:rsidR="009576A5">
          <w:rPr>
            <w:noProof/>
            <w:webHidden/>
          </w:rPr>
          <w:instrText xml:space="preserve"> PAGEREF _Toc469062411 \h </w:instrText>
        </w:r>
        <w:r w:rsidR="009576A5">
          <w:rPr>
            <w:noProof/>
            <w:webHidden/>
          </w:rPr>
        </w:r>
        <w:r w:rsidR="009576A5">
          <w:rPr>
            <w:noProof/>
            <w:webHidden/>
          </w:rPr>
          <w:fldChar w:fldCharType="separate"/>
        </w:r>
        <w:r>
          <w:rPr>
            <w:noProof/>
            <w:webHidden/>
          </w:rPr>
          <w:t>11</w:t>
        </w:r>
        <w:r w:rsidR="009576A5">
          <w:rPr>
            <w:noProof/>
            <w:webHidden/>
          </w:rPr>
          <w:fldChar w:fldCharType="end"/>
        </w:r>
      </w:hyperlink>
    </w:p>
    <w:p w14:paraId="6453A55D" w14:textId="77777777" w:rsidR="00A072D0" w:rsidRDefault="00E70443">
      <w:pPr>
        <w:pStyle w:val="TableofFigures"/>
        <w:tabs>
          <w:tab w:val="right" w:leader="dot" w:pos="9060"/>
        </w:tabs>
        <w:rPr>
          <w:rFonts w:asciiTheme="minorHAnsi" w:hAnsiTheme="minorHAnsi"/>
          <w:noProof/>
          <w:szCs w:val="22"/>
          <w:lang w:eastAsia="en-AU"/>
        </w:rPr>
      </w:pPr>
      <w:hyperlink w:anchor="_Toc469062412" w:history="1">
        <w:r w:rsidR="009576A5">
          <w:rPr>
            <w:rStyle w:val="Hyperlink"/>
            <w:noProof/>
          </w:rPr>
          <w:t>Table 10 Compliance for microbiological tests</w:t>
        </w:r>
        <w:r w:rsidR="009576A5">
          <w:rPr>
            <w:noProof/>
            <w:webHidden/>
          </w:rPr>
          <w:tab/>
        </w:r>
        <w:r w:rsidR="009576A5">
          <w:rPr>
            <w:noProof/>
            <w:webHidden/>
          </w:rPr>
          <w:fldChar w:fldCharType="begin"/>
        </w:r>
        <w:r w:rsidR="009576A5">
          <w:rPr>
            <w:noProof/>
            <w:webHidden/>
          </w:rPr>
          <w:instrText xml:space="preserve"> PAGEREF _Toc469062412 \h </w:instrText>
        </w:r>
        <w:r w:rsidR="009576A5">
          <w:rPr>
            <w:noProof/>
            <w:webHidden/>
          </w:rPr>
        </w:r>
        <w:r w:rsidR="009576A5">
          <w:rPr>
            <w:noProof/>
            <w:webHidden/>
          </w:rPr>
          <w:fldChar w:fldCharType="separate"/>
        </w:r>
        <w:r>
          <w:rPr>
            <w:noProof/>
            <w:webHidden/>
          </w:rPr>
          <w:t>12</w:t>
        </w:r>
        <w:r w:rsidR="009576A5">
          <w:rPr>
            <w:noProof/>
            <w:webHidden/>
          </w:rPr>
          <w:fldChar w:fldCharType="end"/>
        </w:r>
      </w:hyperlink>
    </w:p>
    <w:p w14:paraId="77FBBB72" w14:textId="77777777" w:rsidR="00A072D0" w:rsidRDefault="00E70443">
      <w:pPr>
        <w:pStyle w:val="TableofFigures"/>
        <w:tabs>
          <w:tab w:val="right" w:leader="dot" w:pos="9060"/>
        </w:tabs>
        <w:rPr>
          <w:rFonts w:asciiTheme="minorHAnsi" w:hAnsiTheme="minorHAnsi"/>
          <w:noProof/>
          <w:szCs w:val="22"/>
          <w:lang w:eastAsia="en-AU"/>
        </w:rPr>
      </w:pPr>
      <w:hyperlink w:anchor="_Toc469062413" w:history="1">
        <w:r w:rsidR="009576A5">
          <w:rPr>
            <w:rStyle w:val="Hyperlink"/>
            <w:noProof/>
          </w:rPr>
          <w:t>Table 11 Compliance for composition analytical tests</w:t>
        </w:r>
        <w:r w:rsidR="009576A5">
          <w:rPr>
            <w:noProof/>
            <w:webHidden/>
          </w:rPr>
          <w:tab/>
        </w:r>
        <w:r w:rsidR="009576A5">
          <w:rPr>
            <w:noProof/>
            <w:webHidden/>
          </w:rPr>
          <w:fldChar w:fldCharType="begin"/>
        </w:r>
        <w:r w:rsidR="009576A5">
          <w:rPr>
            <w:noProof/>
            <w:webHidden/>
          </w:rPr>
          <w:instrText xml:space="preserve"> PAGEREF _Toc469062413 \h </w:instrText>
        </w:r>
        <w:r w:rsidR="009576A5">
          <w:rPr>
            <w:noProof/>
            <w:webHidden/>
          </w:rPr>
        </w:r>
        <w:r w:rsidR="009576A5">
          <w:rPr>
            <w:noProof/>
            <w:webHidden/>
          </w:rPr>
          <w:fldChar w:fldCharType="separate"/>
        </w:r>
        <w:r>
          <w:rPr>
            <w:noProof/>
            <w:webHidden/>
          </w:rPr>
          <w:t>12</w:t>
        </w:r>
        <w:r w:rsidR="009576A5">
          <w:rPr>
            <w:noProof/>
            <w:webHidden/>
          </w:rPr>
          <w:fldChar w:fldCharType="end"/>
        </w:r>
      </w:hyperlink>
    </w:p>
    <w:p w14:paraId="0F52FC61" w14:textId="77777777" w:rsidR="00A072D0" w:rsidRDefault="00E70443">
      <w:pPr>
        <w:pStyle w:val="TableofFigures"/>
        <w:tabs>
          <w:tab w:val="right" w:leader="dot" w:pos="9060"/>
        </w:tabs>
        <w:rPr>
          <w:rFonts w:asciiTheme="minorHAnsi" w:hAnsiTheme="minorHAnsi"/>
          <w:noProof/>
          <w:szCs w:val="22"/>
          <w:lang w:eastAsia="en-AU"/>
        </w:rPr>
      </w:pPr>
      <w:hyperlink w:anchor="_Toc469062414" w:history="1">
        <w:r w:rsidR="009576A5">
          <w:rPr>
            <w:rStyle w:val="Hyperlink"/>
            <w:noProof/>
          </w:rPr>
          <w:t>Table 12 Compliance for chemical tests, China</w:t>
        </w:r>
        <w:r w:rsidR="009576A5">
          <w:rPr>
            <w:noProof/>
            <w:webHidden/>
          </w:rPr>
          <w:tab/>
        </w:r>
        <w:r w:rsidR="009576A5">
          <w:rPr>
            <w:noProof/>
            <w:webHidden/>
          </w:rPr>
          <w:fldChar w:fldCharType="begin"/>
        </w:r>
        <w:r w:rsidR="009576A5">
          <w:rPr>
            <w:noProof/>
            <w:webHidden/>
          </w:rPr>
          <w:instrText xml:space="preserve"> PAGEREF _Toc469062414 \h </w:instrText>
        </w:r>
        <w:r w:rsidR="009576A5">
          <w:rPr>
            <w:noProof/>
            <w:webHidden/>
          </w:rPr>
        </w:r>
        <w:r w:rsidR="009576A5">
          <w:rPr>
            <w:noProof/>
            <w:webHidden/>
          </w:rPr>
          <w:fldChar w:fldCharType="separate"/>
        </w:r>
        <w:r>
          <w:rPr>
            <w:noProof/>
            <w:webHidden/>
          </w:rPr>
          <w:t>13</w:t>
        </w:r>
        <w:r w:rsidR="009576A5">
          <w:rPr>
            <w:noProof/>
            <w:webHidden/>
          </w:rPr>
          <w:fldChar w:fldCharType="end"/>
        </w:r>
      </w:hyperlink>
    </w:p>
    <w:p w14:paraId="7DA8C15E" w14:textId="77777777" w:rsidR="00A072D0" w:rsidRDefault="00E70443">
      <w:pPr>
        <w:pStyle w:val="TableofFigures"/>
        <w:tabs>
          <w:tab w:val="right" w:leader="dot" w:pos="9060"/>
        </w:tabs>
        <w:rPr>
          <w:rFonts w:asciiTheme="minorHAnsi" w:hAnsiTheme="minorHAnsi"/>
          <w:noProof/>
          <w:szCs w:val="22"/>
          <w:lang w:eastAsia="en-AU"/>
        </w:rPr>
      </w:pPr>
      <w:hyperlink w:anchor="_Toc469062415" w:history="1">
        <w:r w:rsidR="009576A5">
          <w:rPr>
            <w:rStyle w:val="Hyperlink"/>
            <w:noProof/>
          </w:rPr>
          <w:t>Table 13 Compliance for contaminant tests, China</w:t>
        </w:r>
        <w:r w:rsidR="009576A5">
          <w:rPr>
            <w:noProof/>
            <w:webHidden/>
          </w:rPr>
          <w:tab/>
        </w:r>
        <w:r w:rsidR="009576A5">
          <w:rPr>
            <w:noProof/>
            <w:webHidden/>
          </w:rPr>
          <w:fldChar w:fldCharType="begin"/>
        </w:r>
        <w:r w:rsidR="009576A5">
          <w:rPr>
            <w:noProof/>
            <w:webHidden/>
          </w:rPr>
          <w:instrText xml:space="preserve"> PAGEREF _Toc469062415 \h </w:instrText>
        </w:r>
        <w:r w:rsidR="009576A5">
          <w:rPr>
            <w:noProof/>
            <w:webHidden/>
          </w:rPr>
        </w:r>
        <w:r w:rsidR="009576A5">
          <w:rPr>
            <w:noProof/>
            <w:webHidden/>
          </w:rPr>
          <w:fldChar w:fldCharType="separate"/>
        </w:r>
        <w:r>
          <w:rPr>
            <w:noProof/>
            <w:webHidden/>
          </w:rPr>
          <w:t>13</w:t>
        </w:r>
        <w:r w:rsidR="009576A5">
          <w:rPr>
            <w:noProof/>
            <w:webHidden/>
          </w:rPr>
          <w:fldChar w:fldCharType="end"/>
        </w:r>
      </w:hyperlink>
    </w:p>
    <w:p w14:paraId="4E0F32D3" w14:textId="77777777" w:rsidR="00A072D0" w:rsidRDefault="00E70443">
      <w:pPr>
        <w:pStyle w:val="TableofFigures"/>
        <w:tabs>
          <w:tab w:val="right" w:leader="dot" w:pos="9060"/>
        </w:tabs>
        <w:rPr>
          <w:rFonts w:asciiTheme="minorHAnsi" w:hAnsiTheme="minorHAnsi"/>
          <w:noProof/>
          <w:szCs w:val="22"/>
          <w:lang w:eastAsia="en-AU"/>
        </w:rPr>
      </w:pPr>
      <w:hyperlink w:anchor="_Toc469062416" w:history="1">
        <w:r w:rsidR="009576A5">
          <w:rPr>
            <w:rStyle w:val="Hyperlink"/>
            <w:noProof/>
          </w:rPr>
          <w:t>Table 14 Compliance for microbiological testing, China</w:t>
        </w:r>
        <w:r w:rsidR="009576A5">
          <w:rPr>
            <w:noProof/>
            <w:webHidden/>
          </w:rPr>
          <w:tab/>
        </w:r>
        <w:r w:rsidR="009576A5">
          <w:rPr>
            <w:noProof/>
            <w:webHidden/>
          </w:rPr>
          <w:fldChar w:fldCharType="begin"/>
        </w:r>
        <w:r w:rsidR="009576A5">
          <w:rPr>
            <w:noProof/>
            <w:webHidden/>
          </w:rPr>
          <w:instrText xml:space="preserve"> PAGEREF _Toc469062416 \h </w:instrText>
        </w:r>
        <w:r w:rsidR="009576A5">
          <w:rPr>
            <w:noProof/>
            <w:webHidden/>
          </w:rPr>
        </w:r>
        <w:r w:rsidR="009576A5">
          <w:rPr>
            <w:noProof/>
            <w:webHidden/>
          </w:rPr>
          <w:fldChar w:fldCharType="separate"/>
        </w:r>
        <w:r>
          <w:rPr>
            <w:noProof/>
            <w:webHidden/>
          </w:rPr>
          <w:t>13</w:t>
        </w:r>
        <w:r w:rsidR="009576A5">
          <w:rPr>
            <w:noProof/>
            <w:webHidden/>
          </w:rPr>
          <w:fldChar w:fldCharType="end"/>
        </w:r>
      </w:hyperlink>
    </w:p>
    <w:p w14:paraId="381DB646" w14:textId="77777777" w:rsidR="00A072D0" w:rsidRDefault="00E70443">
      <w:pPr>
        <w:pStyle w:val="TableofFigures"/>
        <w:tabs>
          <w:tab w:val="right" w:leader="dot" w:pos="9060"/>
        </w:tabs>
        <w:rPr>
          <w:rFonts w:asciiTheme="minorHAnsi" w:hAnsiTheme="minorHAnsi"/>
          <w:noProof/>
          <w:szCs w:val="22"/>
          <w:lang w:eastAsia="en-AU"/>
        </w:rPr>
      </w:pPr>
      <w:hyperlink w:anchor="_Toc469062417" w:history="1">
        <w:r w:rsidR="009576A5">
          <w:rPr>
            <w:rStyle w:val="Hyperlink"/>
            <w:noProof/>
          </w:rPr>
          <w:t>Table 15 Compliance for composition analytical testing, China</w:t>
        </w:r>
        <w:r w:rsidR="009576A5">
          <w:rPr>
            <w:noProof/>
            <w:webHidden/>
          </w:rPr>
          <w:tab/>
        </w:r>
        <w:r w:rsidR="009576A5">
          <w:rPr>
            <w:noProof/>
            <w:webHidden/>
          </w:rPr>
          <w:fldChar w:fldCharType="begin"/>
        </w:r>
        <w:r w:rsidR="009576A5">
          <w:rPr>
            <w:noProof/>
            <w:webHidden/>
          </w:rPr>
          <w:instrText xml:space="preserve"> PAGEREF _Toc469062417 \h </w:instrText>
        </w:r>
        <w:r w:rsidR="009576A5">
          <w:rPr>
            <w:noProof/>
            <w:webHidden/>
          </w:rPr>
        </w:r>
        <w:r w:rsidR="009576A5">
          <w:rPr>
            <w:noProof/>
            <w:webHidden/>
          </w:rPr>
          <w:fldChar w:fldCharType="separate"/>
        </w:r>
        <w:r>
          <w:rPr>
            <w:noProof/>
            <w:webHidden/>
          </w:rPr>
          <w:t>13</w:t>
        </w:r>
        <w:r w:rsidR="009576A5">
          <w:rPr>
            <w:noProof/>
            <w:webHidden/>
          </w:rPr>
          <w:fldChar w:fldCharType="end"/>
        </w:r>
      </w:hyperlink>
    </w:p>
    <w:p w14:paraId="66E66B4D" w14:textId="77777777" w:rsidR="00A072D0" w:rsidRDefault="00E70443">
      <w:pPr>
        <w:pStyle w:val="TableofFigures"/>
        <w:tabs>
          <w:tab w:val="right" w:leader="dot" w:pos="9060"/>
        </w:tabs>
        <w:rPr>
          <w:rFonts w:asciiTheme="minorHAnsi" w:hAnsiTheme="minorHAnsi"/>
          <w:noProof/>
          <w:szCs w:val="22"/>
          <w:lang w:eastAsia="en-AU"/>
        </w:rPr>
      </w:pPr>
      <w:hyperlink w:anchor="_Toc469062418" w:history="1">
        <w:r w:rsidR="009576A5">
          <w:rPr>
            <w:rStyle w:val="Hyperlink"/>
            <w:noProof/>
          </w:rPr>
          <w:t>Table 16 Compliance for chemical tests, Thailand</w:t>
        </w:r>
        <w:r w:rsidR="009576A5">
          <w:rPr>
            <w:noProof/>
            <w:webHidden/>
          </w:rPr>
          <w:tab/>
        </w:r>
        <w:r w:rsidR="009576A5">
          <w:rPr>
            <w:noProof/>
            <w:webHidden/>
          </w:rPr>
          <w:fldChar w:fldCharType="begin"/>
        </w:r>
        <w:r w:rsidR="009576A5">
          <w:rPr>
            <w:noProof/>
            <w:webHidden/>
          </w:rPr>
          <w:instrText xml:space="preserve"> PAGEREF _Toc469062418 \h </w:instrText>
        </w:r>
        <w:r w:rsidR="009576A5">
          <w:rPr>
            <w:noProof/>
            <w:webHidden/>
          </w:rPr>
        </w:r>
        <w:r w:rsidR="009576A5">
          <w:rPr>
            <w:noProof/>
            <w:webHidden/>
          </w:rPr>
          <w:fldChar w:fldCharType="separate"/>
        </w:r>
        <w:r>
          <w:rPr>
            <w:noProof/>
            <w:webHidden/>
          </w:rPr>
          <w:t>14</w:t>
        </w:r>
        <w:r w:rsidR="009576A5">
          <w:rPr>
            <w:noProof/>
            <w:webHidden/>
          </w:rPr>
          <w:fldChar w:fldCharType="end"/>
        </w:r>
      </w:hyperlink>
    </w:p>
    <w:p w14:paraId="30AF5AF1" w14:textId="77777777" w:rsidR="00A072D0" w:rsidRDefault="00E70443">
      <w:pPr>
        <w:pStyle w:val="TableofFigures"/>
        <w:tabs>
          <w:tab w:val="right" w:leader="dot" w:pos="9060"/>
        </w:tabs>
        <w:rPr>
          <w:rFonts w:asciiTheme="minorHAnsi" w:hAnsiTheme="minorHAnsi"/>
          <w:noProof/>
          <w:szCs w:val="22"/>
          <w:lang w:eastAsia="en-AU"/>
        </w:rPr>
      </w:pPr>
      <w:hyperlink w:anchor="_Toc469062419" w:history="1">
        <w:r w:rsidR="009576A5">
          <w:rPr>
            <w:rStyle w:val="Hyperlink"/>
            <w:noProof/>
          </w:rPr>
          <w:t>Table 17 Compliance for contaminant tests, Thailand</w:t>
        </w:r>
        <w:r w:rsidR="009576A5">
          <w:rPr>
            <w:noProof/>
            <w:webHidden/>
          </w:rPr>
          <w:tab/>
        </w:r>
        <w:r w:rsidR="009576A5">
          <w:rPr>
            <w:noProof/>
            <w:webHidden/>
          </w:rPr>
          <w:fldChar w:fldCharType="begin"/>
        </w:r>
        <w:r w:rsidR="009576A5">
          <w:rPr>
            <w:noProof/>
            <w:webHidden/>
          </w:rPr>
          <w:instrText xml:space="preserve"> PAGEREF _Toc469062419 \h </w:instrText>
        </w:r>
        <w:r w:rsidR="009576A5">
          <w:rPr>
            <w:noProof/>
            <w:webHidden/>
          </w:rPr>
        </w:r>
        <w:r w:rsidR="009576A5">
          <w:rPr>
            <w:noProof/>
            <w:webHidden/>
          </w:rPr>
          <w:fldChar w:fldCharType="separate"/>
        </w:r>
        <w:r>
          <w:rPr>
            <w:noProof/>
            <w:webHidden/>
          </w:rPr>
          <w:t>14</w:t>
        </w:r>
        <w:r w:rsidR="009576A5">
          <w:rPr>
            <w:noProof/>
            <w:webHidden/>
          </w:rPr>
          <w:fldChar w:fldCharType="end"/>
        </w:r>
      </w:hyperlink>
    </w:p>
    <w:p w14:paraId="52408D97" w14:textId="77777777" w:rsidR="00A072D0" w:rsidRDefault="00E70443">
      <w:pPr>
        <w:pStyle w:val="TableofFigures"/>
        <w:tabs>
          <w:tab w:val="right" w:leader="dot" w:pos="9060"/>
        </w:tabs>
        <w:rPr>
          <w:rFonts w:asciiTheme="minorHAnsi" w:hAnsiTheme="minorHAnsi"/>
          <w:noProof/>
          <w:szCs w:val="22"/>
          <w:lang w:eastAsia="en-AU"/>
        </w:rPr>
      </w:pPr>
      <w:hyperlink w:anchor="_Toc469062420" w:history="1">
        <w:r w:rsidR="009576A5">
          <w:rPr>
            <w:rStyle w:val="Hyperlink"/>
            <w:noProof/>
          </w:rPr>
          <w:t>Table 18 Compliance for microbiological tests, Thailand</w:t>
        </w:r>
        <w:r w:rsidR="009576A5">
          <w:rPr>
            <w:noProof/>
            <w:webHidden/>
          </w:rPr>
          <w:tab/>
        </w:r>
        <w:r w:rsidR="009576A5">
          <w:rPr>
            <w:noProof/>
            <w:webHidden/>
          </w:rPr>
          <w:fldChar w:fldCharType="begin"/>
        </w:r>
        <w:r w:rsidR="009576A5">
          <w:rPr>
            <w:noProof/>
            <w:webHidden/>
          </w:rPr>
          <w:instrText xml:space="preserve"> PAGEREF _Toc469062420 \h </w:instrText>
        </w:r>
        <w:r w:rsidR="009576A5">
          <w:rPr>
            <w:noProof/>
            <w:webHidden/>
          </w:rPr>
        </w:r>
        <w:r w:rsidR="009576A5">
          <w:rPr>
            <w:noProof/>
            <w:webHidden/>
          </w:rPr>
          <w:fldChar w:fldCharType="separate"/>
        </w:r>
        <w:r>
          <w:rPr>
            <w:noProof/>
            <w:webHidden/>
          </w:rPr>
          <w:t>14</w:t>
        </w:r>
        <w:r w:rsidR="009576A5">
          <w:rPr>
            <w:noProof/>
            <w:webHidden/>
          </w:rPr>
          <w:fldChar w:fldCharType="end"/>
        </w:r>
      </w:hyperlink>
    </w:p>
    <w:p w14:paraId="1184C2FC" w14:textId="77777777" w:rsidR="00A072D0" w:rsidRDefault="00E70443">
      <w:pPr>
        <w:pStyle w:val="TableofFigures"/>
        <w:tabs>
          <w:tab w:val="right" w:leader="dot" w:pos="9060"/>
        </w:tabs>
        <w:rPr>
          <w:rFonts w:asciiTheme="minorHAnsi" w:hAnsiTheme="minorHAnsi"/>
          <w:noProof/>
          <w:szCs w:val="22"/>
          <w:lang w:eastAsia="en-AU"/>
        </w:rPr>
      </w:pPr>
      <w:hyperlink w:anchor="_Toc469062421" w:history="1">
        <w:r w:rsidR="009576A5">
          <w:rPr>
            <w:rStyle w:val="Hyperlink"/>
            <w:noProof/>
          </w:rPr>
          <w:t>Table 19 Compliance for composition analytical tests, Thailand</w:t>
        </w:r>
        <w:r w:rsidR="009576A5">
          <w:rPr>
            <w:noProof/>
            <w:webHidden/>
          </w:rPr>
          <w:tab/>
        </w:r>
        <w:r w:rsidR="009576A5">
          <w:rPr>
            <w:noProof/>
            <w:webHidden/>
          </w:rPr>
          <w:fldChar w:fldCharType="begin"/>
        </w:r>
        <w:r w:rsidR="009576A5">
          <w:rPr>
            <w:noProof/>
            <w:webHidden/>
          </w:rPr>
          <w:instrText xml:space="preserve"> PAGEREF _Toc469062421 \h </w:instrText>
        </w:r>
        <w:r w:rsidR="009576A5">
          <w:rPr>
            <w:noProof/>
            <w:webHidden/>
          </w:rPr>
        </w:r>
        <w:r w:rsidR="009576A5">
          <w:rPr>
            <w:noProof/>
            <w:webHidden/>
          </w:rPr>
          <w:fldChar w:fldCharType="separate"/>
        </w:r>
        <w:r>
          <w:rPr>
            <w:noProof/>
            <w:webHidden/>
          </w:rPr>
          <w:t>15</w:t>
        </w:r>
        <w:r w:rsidR="009576A5">
          <w:rPr>
            <w:noProof/>
            <w:webHidden/>
          </w:rPr>
          <w:fldChar w:fldCharType="end"/>
        </w:r>
      </w:hyperlink>
    </w:p>
    <w:p w14:paraId="2D38EAF4" w14:textId="77777777" w:rsidR="00A072D0" w:rsidRDefault="00E70443">
      <w:pPr>
        <w:pStyle w:val="TableofFigures"/>
        <w:tabs>
          <w:tab w:val="right" w:leader="dot" w:pos="9060"/>
        </w:tabs>
        <w:rPr>
          <w:rFonts w:asciiTheme="minorHAnsi" w:hAnsiTheme="minorHAnsi"/>
          <w:noProof/>
          <w:szCs w:val="22"/>
          <w:lang w:eastAsia="en-AU"/>
        </w:rPr>
      </w:pPr>
      <w:hyperlink w:anchor="_Toc469062422" w:history="1">
        <w:r w:rsidR="009576A5">
          <w:rPr>
            <w:rStyle w:val="Hyperlink"/>
            <w:noProof/>
          </w:rPr>
          <w:t>Table 20 Compliance for chemical tests, Italy</w:t>
        </w:r>
        <w:r w:rsidR="009576A5">
          <w:rPr>
            <w:noProof/>
            <w:webHidden/>
          </w:rPr>
          <w:tab/>
        </w:r>
        <w:r w:rsidR="009576A5">
          <w:rPr>
            <w:noProof/>
            <w:webHidden/>
          </w:rPr>
          <w:fldChar w:fldCharType="begin"/>
        </w:r>
        <w:r w:rsidR="009576A5">
          <w:rPr>
            <w:noProof/>
            <w:webHidden/>
          </w:rPr>
          <w:instrText xml:space="preserve"> PAGEREF _Toc469062422 \h </w:instrText>
        </w:r>
        <w:r w:rsidR="009576A5">
          <w:rPr>
            <w:noProof/>
            <w:webHidden/>
          </w:rPr>
        </w:r>
        <w:r w:rsidR="009576A5">
          <w:rPr>
            <w:noProof/>
            <w:webHidden/>
          </w:rPr>
          <w:fldChar w:fldCharType="separate"/>
        </w:r>
        <w:r>
          <w:rPr>
            <w:noProof/>
            <w:webHidden/>
          </w:rPr>
          <w:t>15</w:t>
        </w:r>
        <w:r w:rsidR="009576A5">
          <w:rPr>
            <w:noProof/>
            <w:webHidden/>
          </w:rPr>
          <w:fldChar w:fldCharType="end"/>
        </w:r>
      </w:hyperlink>
    </w:p>
    <w:p w14:paraId="7B9A6F53" w14:textId="77777777" w:rsidR="00A072D0" w:rsidRDefault="00E70443">
      <w:pPr>
        <w:pStyle w:val="TableofFigures"/>
        <w:tabs>
          <w:tab w:val="right" w:leader="dot" w:pos="9060"/>
        </w:tabs>
        <w:rPr>
          <w:rFonts w:asciiTheme="minorHAnsi" w:hAnsiTheme="minorHAnsi"/>
          <w:noProof/>
          <w:szCs w:val="22"/>
          <w:lang w:eastAsia="en-AU"/>
        </w:rPr>
      </w:pPr>
      <w:hyperlink w:anchor="_Toc469062423" w:history="1">
        <w:r w:rsidR="009576A5">
          <w:rPr>
            <w:rStyle w:val="Hyperlink"/>
            <w:noProof/>
          </w:rPr>
          <w:t>Table 21 Compliance for contaminant tests, Italy</w:t>
        </w:r>
        <w:r w:rsidR="009576A5">
          <w:rPr>
            <w:noProof/>
            <w:webHidden/>
          </w:rPr>
          <w:tab/>
        </w:r>
        <w:r w:rsidR="009576A5">
          <w:rPr>
            <w:noProof/>
            <w:webHidden/>
          </w:rPr>
          <w:fldChar w:fldCharType="begin"/>
        </w:r>
        <w:r w:rsidR="009576A5">
          <w:rPr>
            <w:noProof/>
            <w:webHidden/>
          </w:rPr>
          <w:instrText xml:space="preserve"> PAGEREF _Toc469062423 \h </w:instrText>
        </w:r>
        <w:r w:rsidR="009576A5">
          <w:rPr>
            <w:noProof/>
            <w:webHidden/>
          </w:rPr>
        </w:r>
        <w:r w:rsidR="009576A5">
          <w:rPr>
            <w:noProof/>
            <w:webHidden/>
          </w:rPr>
          <w:fldChar w:fldCharType="separate"/>
        </w:r>
        <w:r>
          <w:rPr>
            <w:noProof/>
            <w:webHidden/>
          </w:rPr>
          <w:t>15</w:t>
        </w:r>
        <w:r w:rsidR="009576A5">
          <w:rPr>
            <w:noProof/>
            <w:webHidden/>
          </w:rPr>
          <w:fldChar w:fldCharType="end"/>
        </w:r>
      </w:hyperlink>
    </w:p>
    <w:p w14:paraId="6EADB770" w14:textId="77777777" w:rsidR="00A072D0" w:rsidRDefault="00E70443">
      <w:pPr>
        <w:pStyle w:val="TableofFigures"/>
        <w:tabs>
          <w:tab w:val="right" w:leader="dot" w:pos="9060"/>
        </w:tabs>
        <w:rPr>
          <w:rFonts w:asciiTheme="minorHAnsi" w:hAnsiTheme="minorHAnsi"/>
          <w:noProof/>
          <w:szCs w:val="22"/>
          <w:lang w:eastAsia="en-AU"/>
        </w:rPr>
      </w:pPr>
      <w:hyperlink w:anchor="_Toc469062424" w:history="1">
        <w:r w:rsidR="009576A5">
          <w:rPr>
            <w:rStyle w:val="Hyperlink"/>
            <w:noProof/>
          </w:rPr>
          <w:t>Table 22 Compliance for microbiological tests, Italy</w:t>
        </w:r>
        <w:r w:rsidR="009576A5">
          <w:rPr>
            <w:noProof/>
            <w:webHidden/>
          </w:rPr>
          <w:tab/>
        </w:r>
        <w:r w:rsidR="009576A5">
          <w:rPr>
            <w:noProof/>
            <w:webHidden/>
          </w:rPr>
          <w:fldChar w:fldCharType="begin"/>
        </w:r>
        <w:r w:rsidR="009576A5">
          <w:rPr>
            <w:noProof/>
            <w:webHidden/>
          </w:rPr>
          <w:instrText xml:space="preserve"> PAGEREF _Toc469062424 \h </w:instrText>
        </w:r>
        <w:r w:rsidR="009576A5">
          <w:rPr>
            <w:noProof/>
            <w:webHidden/>
          </w:rPr>
        </w:r>
        <w:r w:rsidR="009576A5">
          <w:rPr>
            <w:noProof/>
            <w:webHidden/>
          </w:rPr>
          <w:fldChar w:fldCharType="separate"/>
        </w:r>
        <w:r>
          <w:rPr>
            <w:noProof/>
            <w:webHidden/>
          </w:rPr>
          <w:t>15</w:t>
        </w:r>
        <w:r w:rsidR="009576A5">
          <w:rPr>
            <w:noProof/>
            <w:webHidden/>
          </w:rPr>
          <w:fldChar w:fldCharType="end"/>
        </w:r>
      </w:hyperlink>
    </w:p>
    <w:p w14:paraId="1963404C" w14:textId="77777777" w:rsidR="00A072D0" w:rsidRDefault="00E70443">
      <w:pPr>
        <w:pStyle w:val="TableofFigures"/>
        <w:tabs>
          <w:tab w:val="right" w:leader="dot" w:pos="9060"/>
        </w:tabs>
        <w:rPr>
          <w:rFonts w:asciiTheme="minorHAnsi" w:hAnsiTheme="minorHAnsi"/>
          <w:noProof/>
          <w:szCs w:val="22"/>
          <w:lang w:eastAsia="en-AU"/>
        </w:rPr>
      </w:pPr>
      <w:hyperlink w:anchor="_Toc469062425" w:history="1">
        <w:r w:rsidR="009576A5">
          <w:rPr>
            <w:rStyle w:val="Hyperlink"/>
            <w:noProof/>
          </w:rPr>
          <w:t>Table 23 Compliance for composition analytical tests, Italy</w:t>
        </w:r>
        <w:r w:rsidR="009576A5">
          <w:rPr>
            <w:noProof/>
            <w:webHidden/>
          </w:rPr>
          <w:tab/>
        </w:r>
        <w:r w:rsidR="009576A5">
          <w:rPr>
            <w:noProof/>
            <w:webHidden/>
          </w:rPr>
          <w:fldChar w:fldCharType="begin"/>
        </w:r>
        <w:r w:rsidR="009576A5">
          <w:rPr>
            <w:noProof/>
            <w:webHidden/>
          </w:rPr>
          <w:instrText xml:space="preserve"> PAGEREF _Toc469062425 \h </w:instrText>
        </w:r>
        <w:r w:rsidR="009576A5">
          <w:rPr>
            <w:noProof/>
            <w:webHidden/>
          </w:rPr>
        </w:r>
        <w:r w:rsidR="009576A5">
          <w:rPr>
            <w:noProof/>
            <w:webHidden/>
          </w:rPr>
          <w:fldChar w:fldCharType="separate"/>
        </w:r>
        <w:r>
          <w:rPr>
            <w:noProof/>
            <w:webHidden/>
          </w:rPr>
          <w:t>15</w:t>
        </w:r>
        <w:r w:rsidR="009576A5">
          <w:rPr>
            <w:noProof/>
            <w:webHidden/>
          </w:rPr>
          <w:fldChar w:fldCharType="end"/>
        </w:r>
      </w:hyperlink>
    </w:p>
    <w:p w14:paraId="0FA659C9" w14:textId="77777777" w:rsidR="00A072D0" w:rsidRDefault="009576A5">
      <w:pPr>
        <w:pStyle w:val="TableofFigures"/>
        <w:tabs>
          <w:tab w:val="right" w:pos="9060"/>
        </w:tabs>
      </w:pPr>
      <w:r>
        <w:fldChar w:fldCharType="end"/>
      </w:r>
    </w:p>
    <w:p w14:paraId="7BCF3401" w14:textId="77777777" w:rsidR="00A072D0" w:rsidRPr="006C00F3" w:rsidRDefault="009576A5" w:rsidP="006C00F3">
      <w:pPr>
        <w:pStyle w:val="TOCHeading20"/>
        <w:rPr>
          <w:rStyle w:val="Strong"/>
        </w:rPr>
      </w:pPr>
      <w:r w:rsidRPr="006C00F3">
        <w:rPr>
          <w:rStyle w:val="Strong"/>
        </w:rPr>
        <w:t>Figures</w:t>
      </w:r>
    </w:p>
    <w:p w14:paraId="570B0F36" w14:textId="77777777" w:rsidR="00A072D0" w:rsidRDefault="009576A5">
      <w:pPr>
        <w:pStyle w:val="TableofFigures"/>
        <w:tabs>
          <w:tab w:val="right" w:pos="9060"/>
        </w:tabs>
        <w:rPr>
          <w:rFonts w:asciiTheme="minorHAnsi" w:hAnsiTheme="minorHAnsi"/>
          <w:noProof/>
          <w:szCs w:val="22"/>
          <w:lang w:eastAsia="en-AU"/>
        </w:rPr>
      </w:pPr>
      <w:r>
        <w:fldChar w:fldCharType="begin"/>
      </w:r>
      <w:r>
        <w:instrText xml:space="preserve"> TOC \c "Figure" </w:instrText>
      </w:r>
      <w:r>
        <w:fldChar w:fldCharType="separate"/>
      </w:r>
      <w:r>
        <w:rPr>
          <w:noProof/>
        </w:rPr>
        <w:t>Figure 1 Inspection activity January 2011 to June 2016</w:t>
      </w:r>
      <w:r>
        <w:rPr>
          <w:noProof/>
        </w:rPr>
        <w:tab/>
      </w:r>
      <w:r>
        <w:rPr>
          <w:noProof/>
        </w:rPr>
        <w:fldChar w:fldCharType="begin"/>
      </w:r>
      <w:r>
        <w:rPr>
          <w:noProof/>
        </w:rPr>
        <w:instrText xml:space="preserve"> PAGEREF _Toc465411400 \h </w:instrText>
      </w:r>
      <w:r>
        <w:rPr>
          <w:noProof/>
        </w:rPr>
      </w:r>
      <w:r>
        <w:rPr>
          <w:noProof/>
        </w:rPr>
        <w:fldChar w:fldCharType="separate"/>
      </w:r>
      <w:r w:rsidR="00E70443">
        <w:rPr>
          <w:noProof/>
        </w:rPr>
        <w:t>2</w:t>
      </w:r>
      <w:r>
        <w:rPr>
          <w:noProof/>
        </w:rPr>
        <w:fldChar w:fldCharType="end"/>
      </w:r>
    </w:p>
    <w:p w14:paraId="5E536667" w14:textId="77777777" w:rsidR="00A072D0" w:rsidRDefault="009576A5">
      <w:pPr>
        <w:pStyle w:val="TableofFigures"/>
        <w:tabs>
          <w:tab w:val="right" w:pos="9060"/>
        </w:tabs>
        <w:rPr>
          <w:rFonts w:asciiTheme="minorHAnsi" w:hAnsiTheme="minorHAnsi"/>
          <w:noProof/>
          <w:szCs w:val="22"/>
          <w:lang w:eastAsia="en-AU"/>
        </w:rPr>
      </w:pPr>
      <w:r>
        <w:rPr>
          <w:noProof/>
        </w:rPr>
        <w:t>Figure 2 Tests conducted January 2011 to December 2015</w:t>
      </w:r>
      <w:r>
        <w:rPr>
          <w:noProof/>
        </w:rPr>
        <w:tab/>
      </w:r>
      <w:r>
        <w:rPr>
          <w:noProof/>
        </w:rPr>
        <w:fldChar w:fldCharType="begin"/>
      </w:r>
      <w:r>
        <w:rPr>
          <w:noProof/>
        </w:rPr>
        <w:instrText xml:space="preserve"> PAGEREF _Toc465411401 \h </w:instrText>
      </w:r>
      <w:r>
        <w:rPr>
          <w:noProof/>
        </w:rPr>
      </w:r>
      <w:r>
        <w:rPr>
          <w:noProof/>
        </w:rPr>
        <w:fldChar w:fldCharType="separate"/>
      </w:r>
      <w:r w:rsidR="00E70443">
        <w:rPr>
          <w:noProof/>
        </w:rPr>
        <w:t>3</w:t>
      </w:r>
      <w:r>
        <w:rPr>
          <w:noProof/>
        </w:rPr>
        <w:fldChar w:fldCharType="end"/>
      </w:r>
    </w:p>
    <w:p w14:paraId="408C6AD0" w14:textId="77777777" w:rsidR="00A072D0" w:rsidRDefault="009576A5">
      <w:pPr>
        <w:pStyle w:val="TableofFigures"/>
        <w:tabs>
          <w:tab w:val="right" w:pos="9060"/>
        </w:tabs>
        <w:rPr>
          <w:rFonts w:asciiTheme="minorHAnsi" w:hAnsiTheme="minorHAnsi"/>
          <w:noProof/>
          <w:szCs w:val="22"/>
          <w:lang w:eastAsia="en-AU"/>
        </w:rPr>
      </w:pPr>
      <w:r>
        <w:rPr>
          <w:noProof/>
        </w:rPr>
        <w:t>Figure 3 Percentage of tests applied to each commodity group</w:t>
      </w:r>
      <w:r>
        <w:rPr>
          <w:noProof/>
        </w:rPr>
        <w:tab/>
      </w:r>
      <w:r>
        <w:rPr>
          <w:noProof/>
        </w:rPr>
        <w:fldChar w:fldCharType="begin"/>
      </w:r>
      <w:r>
        <w:rPr>
          <w:noProof/>
        </w:rPr>
        <w:instrText xml:space="preserve"> PAGEREF _Toc465411402 \h </w:instrText>
      </w:r>
      <w:r>
        <w:rPr>
          <w:noProof/>
        </w:rPr>
      </w:r>
      <w:r>
        <w:rPr>
          <w:noProof/>
        </w:rPr>
        <w:fldChar w:fldCharType="separate"/>
      </w:r>
      <w:r w:rsidR="00E70443">
        <w:rPr>
          <w:noProof/>
        </w:rPr>
        <w:t>6</w:t>
      </w:r>
      <w:r>
        <w:rPr>
          <w:noProof/>
        </w:rPr>
        <w:fldChar w:fldCharType="end"/>
      </w:r>
    </w:p>
    <w:p w14:paraId="65EA8EE4" w14:textId="77777777" w:rsidR="00A072D0" w:rsidRDefault="009576A5">
      <w:pPr>
        <w:pStyle w:val="TableofFigures"/>
        <w:tabs>
          <w:tab w:val="right" w:pos="9060"/>
        </w:tabs>
        <w:rPr>
          <w:rFonts w:asciiTheme="minorHAnsi" w:hAnsiTheme="minorHAnsi"/>
          <w:noProof/>
          <w:szCs w:val="22"/>
          <w:lang w:eastAsia="en-AU"/>
        </w:rPr>
      </w:pPr>
      <w:r>
        <w:rPr>
          <w:noProof/>
        </w:rPr>
        <w:t>Figure 4 Percentage of inspections, by country of origin</w:t>
      </w:r>
      <w:r>
        <w:rPr>
          <w:noProof/>
        </w:rPr>
        <w:tab/>
      </w:r>
      <w:r>
        <w:rPr>
          <w:noProof/>
        </w:rPr>
        <w:fldChar w:fldCharType="begin"/>
      </w:r>
      <w:r>
        <w:rPr>
          <w:noProof/>
        </w:rPr>
        <w:instrText xml:space="preserve"> PAGEREF _Toc465411403 \h </w:instrText>
      </w:r>
      <w:r>
        <w:rPr>
          <w:noProof/>
        </w:rPr>
      </w:r>
      <w:r>
        <w:rPr>
          <w:noProof/>
        </w:rPr>
        <w:fldChar w:fldCharType="separate"/>
      </w:r>
      <w:r w:rsidR="00E70443">
        <w:rPr>
          <w:noProof/>
        </w:rPr>
        <w:t>8</w:t>
      </w:r>
      <w:r>
        <w:rPr>
          <w:noProof/>
        </w:rPr>
        <w:fldChar w:fldCharType="end"/>
      </w:r>
    </w:p>
    <w:p w14:paraId="7278BF28" w14:textId="77777777" w:rsidR="00A072D0" w:rsidRDefault="009576A5">
      <w:pPr>
        <w:pStyle w:val="TableofFigures"/>
        <w:tabs>
          <w:tab w:val="right" w:pos="9060"/>
        </w:tabs>
        <w:rPr>
          <w:rFonts w:asciiTheme="minorHAnsi" w:hAnsiTheme="minorHAnsi"/>
          <w:noProof/>
          <w:szCs w:val="22"/>
          <w:lang w:eastAsia="en-AU"/>
        </w:rPr>
      </w:pPr>
      <w:r>
        <w:rPr>
          <w:noProof/>
        </w:rPr>
        <w:t>Figure 5 Non-compliant test results</w:t>
      </w:r>
      <w:r>
        <w:rPr>
          <w:noProof/>
        </w:rPr>
        <w:tab/>
      </w:r>
      <w:r>
        <w:rPr>
          <w:noProof/>
        </w:rPr>
        <w:fldChar w:fldCharType="begin"/>
      </w:r>
      <w:r>
        <w:rPr>
          <w:noProof/>
        </w:rPr>
        <w:instrText xml:space="preserve"> PAGEREF _Toc465411404 \h </w:instrText>
      </w:r>
      <w:r>
        <w:rPr>
          <w:noProof/>
        </w:rPr>
      </w:r>
      <w:r>
        <w:rPr>
          <w:noProof/>
        </w:rPr>
        <w:fldChar w:fldCharType="separate"/>
      </w:r>
      <w:r w:rsidR="00E70443">
        <w:rPr>
          <w:noProof/>
        </w:rPr>
        <w:t>9</w:t>
      </w:r>
      <w:r>
        <w:rPr>
          <w:noProof/>
        </w:rPr>
        <w:fldChar w:fldCharType="end"/>
      </w:r>
    </w:p>
    <w:p w14:paraId="1D4A44D0" w14:textId="77777777" w:rsidR="00A072D0" w:rsidRDefault="009576A5">
      <w:pPr>
        <w:pStyle w:val="TableofFigures"/>
        <w:tabs>
          <w:tab w:val="right" w:pos="9060"/>
        </w:tabs>
        <w:rPr>
          <w:rFonts w:asciiTheme="minorHAnsi" w:hAnsiTheme="minorHAnsi"/>
          <w:noProof/>
          <w:szCs w:val="22"/>
          <w:lang w:eastAsia="en-AU"/>
        </w:rPr>
      </w:pPr>
      <w:r>
        <w:rPr>
          <w:noProof/>
        </w:rPr>
        <w:t>Figure 6 Non-compliant labelling</w:t>
      </w:r>
      <w:r>
        <w:rPr>
          <w:noProof/>
        </w:rPr>
        <w:tab/>
      </w:r>
      <w:r>
        <w:rPr>
          <w:noProof/>
        </w:rPr>
        <w:fldChar w:fldCharType="begin"/>
      </w:r>
      <w:r>
        <w:rPr>
          <w:noProof/>
        </w:rPr>
        <w:instrText xml:space="preserve"> PAGEREF _Toc465411405 \h </w:instrText>
      </w:r>
      <w:r>
        <w:rPr>
          <w:noProof/>
        </w:rPr>
      </w:r>
      <w:r>
        <w:rPr>
          <w:noProof/>
        </w:rPr>
        <w:fldChar w:fldCharType="separate"/>
      </w:r>
      <w:r w:rsidR="00E70443">
        <w:rPr>
          <w:noProof/>
        </w:rPr>
        <w:t>9</w:t>
      </w:r>
      <w:r>
        <w:rPr>
          <w:noProof/>
        </w:rPr>
        <w:fldChar w:fldCharType="end"/>
      </w:r>
    </w:p>
    <w:p w14:paraId="453EACF7" w14:textId="77777777" w:rsidR="00A072D0" w:rsidRDefault="009576A5">
      <w:r>
        <w:fldChar w:fldCharType="end"/>
      </w:r>
    </w:p>
    <w:p w14:paraId="107E4B90" w14:textId="77777777" w:rsidR="00A072D0" w:rsidRDefault="00A072D0">
      <w:pPr>
        <w:sectPr w:rsidR="00A072D0" w:rsidSect="001A3E99">
          <w:footerReference w:type="even" r:id="rId20"/>
          <w:footerReference w:type="default" r:id="rId21"/>
          <w:pgSz w:w="11906" w:h="16838"/>
          <w:pgMar w:top="1247" w:right="1418" w:bottom="1135" w:left="1418" w:header="510" w:footer="709" w:gutter="0"/>
          <w:pgNumType w:fmt="lowerRoman" w:start="0"/>
          <w:cols w:space="708"/>
          <w:docGrid w:linePitch="360"/>
        </w:sectPr>
      </w:pPr>
    </w:p>
    <w:p w14:paraId="58257FE5" w14:textId="77777777" w:rsidR="00A072D0" w:rsidRDefault="009576A5" w:rsidP="00ED0340">
      <w:pPr>
        <w:pStyle w:val="Heading2"/>
      </w:pPr>
      <w:bookmarkStart w:id="1" w:name="_Toc298849274"/>
      <w:bookmarkStart w:id="2" w:name="_Toc369764297"/>
      <w:bookmarkStart w:id="3" w:name="_Toc469066601"/>
      <w:r>
        <w:lastRenderedPageBreak/>
        <w:t>Summary</w:t>
      </w:r>
      <w:bookmarkEnd w:id="1"/>
      <w:bookmarkEnd w:id="2"/>
      <w:bookmarkEnd w:id="3"/>
    </w:p>
    <w:p w14:paraId="31A850F4" w14:textId="77777777" w:rsidR="00A072D0" w:rsidRDefault="009576A5">
      <w:pPr>
        <w:rPr>
          <w:szCs w:val="22"/>
        </w:rPr>
      </w:pPr>
      <w:r>
        <w:rPr>
          <w:szCs w:val="22"/>
        </w:rPr>
        <w:t xml:space="preserve">The Department of Agriculture </w:t>
      </w:r>
      <w:r>
        <w:t>and Water Resources</w:t>
      </w:r>
      <w:r>
        <w:rPr>
          <w:szCs w:val="22"/>
        </w:rPr>
        <w:t xml:space="preserve"> is responsible for managing Australia’s biosecurity system. Every year the department helps millions of people, goods, vessels and aircraft move into and out of Australia without harming the environment, animal, plant and human health.</w:t>
      </w:r>
    </w:p>
    <w:p w14:paraId="21367589" w14:textId="77777777" w:rsidR="00A072D0" w:rsidRDefault="009576A5">
      <w:pPr>
        <w:rPr>
          <w:szCs w:val="22"/>
        </w:rPr>
      </w:pPr>
      <w:r>
        <w:rPr>
          <w:szCs w:val="22"/>
        </w:rPr>
        <w:t>This report provides summary data from imported food inspections under the Imported Food Inspection Scheme for the period 1 January to 30 June 2016. The department has published these reports every six months since July 2006; previous reports are available from the department’s website.</w:t>
      </w:r>
    </w:p>
    <w:p w14:paraId="4147DAE4" w14:textId="77777777" w:rsidR="00A072D0" w:rsidRDefault="009576A5" w:rsidP="00ED0340">
      <w:pPr>
        <w:pStyle w:val="Heading3"/>
      </w:pPr>
      <w:bookmarkStart w:id="4" w:name="_Toc469066602"/>
      <w:r>
        <w:t>Review of risk classified foods</w:t>
      </w:r>
      <w:bookmarkEnd w:id="4"/>
    </w:p>
    <w:p w14:paraId="69A20A9E" w14:textId="10C12516" w:rsidR="00A072D0" w:rsidRDefault="009576A5">
      <w:r>
        <w:rPr>
          <w:szCs w:val="22"/>
        </w:rPr>
        <w:t>Food Standards Australia New Zealand (FSANZ) is progressing with the review of their risk assessment advice that was the basis for the department classifying a food as a risk food (previously reviewed in 2007). FSANZ is generating separate risk statements for each food/hazard combination which determines the level of risk for that specific pairing. The department then determines the appropriate risk management measures for imported food based on the conclusions of the risk advice provided by FSANZ. For some foods, the risk management measures will require government certification attesting to the through-chain controls in the exporting country. Changes to imported food legislation were prepared and implemented to support this requirement.</w:t>
      </w:r>
      <w:r>
        <w:t xml:space="preserve"> The FSANZ website provides more information on </w:t>
      </w:r>
      <w:hyperlink r:id="rId22" w:history="1">
        <w:r>
          <w:rPr>
            <w:rStyle w:val="Hyperlink"/>
          </w:rPr>
          <w:t>imported food risk statements</w:t>
        </w:r>
      </w:hyperlink>
      <w:r>
        <w:t>.</w:t>
      </w:r>
    </w:p>
    <w:p w14:paraId="087E43EA" w14:textId="77777777" w:rsidR="00A072D0" w:rsidRDefault="009576A5">
      <w:pPr>
        <w:rPr>
          <w:szCs w:val="22"/>
        </w:rPr>
      </w:pPr>
      <w:r>
        <w:rPr>
          <w:szCs w:val="22"/>
        </w:rPr>
        <w:t xml:space="preserve">During the January to June 2016 period, the department implemented revised border inspection and compliance requirements for some imported cheese in response to the FSANZ imported food risk statements for cheese. These changes identified two types of cheese to be classified as risk food, cheese in which the growth of </w:t>
      </w:r>
      <w:r>
        <w:rPr>
          <w:i/>
          <w:szCs w:val="22"/>
        </w:rPr>
        <w:t>Listeria monocytogenes</w:t>
      </w:r>
      <w:r>
        <w:rPr>
          <w:szCs w:val="22"/>
        </w:rPr>
        <w:t xml:space="preserve"> can occur and cheese that met the department’s definition of a raw milk cheese.</w:t>
      </w:r>
    </w:p>
    <w:p w14:paraId="6F002CCA" w14:textId="77777777" w:rsidR="00A072D0" w:rsidRDefault="009576A5" w:rsidP="00ED0340">
      <w:pPr>
        <w:pStyle w:val="Heading3"/>
      </w:pPr>
      <w:bookmarkStart w:id="5" w:name="_Toc469066603"/>
      <w:r>
        <w:t>Imported food reforms</w:t>
      </w:r>
      <w:bookmarkEnd w:id="5"/>
    </w:p>
    <w:p w14:paraId="74C337D7" w14:textId="77777777" w:rsidR="00A072D0" w:rsidRDefault="009576A5">
      <w:pPr>
        <w:rPr>
          <w:szCs w:val="22"/>
        </w:rPr>
      </w:pPr>
      <w:r>
        <w:rPr>
          <w:szCs w:val="22"/>
        </w:rPr>
        <w:t>The Department of Agriculture and Water Resources continued its work with the Department of Health to improve how we manage imported food safety risks and better protect the health of consumers.</w:t>
      </w:r>
    </w:p>
    <w:p w14:paraId="00423A0E" w14:textId="77777777" w:rsidR="00A072D0" w:rsidRDefault="009576A5">
      <w:pPr>
        <w:rPr>
          <w:szCs w:val="22"/>
        </w:rPr>
      </w:pPr>
      <w:r>
        <w:rPr>
          <w:szCs w:val="22"/>
        </w:rPr>
        <w:t>Food safety issues, such as imported berries linked to cases of hepatitis A in 2015, highlighted limitations with the current management of imported food safety.</w:t>
      </w:r>
    </w:p>
    <w:p w14:paraId="07B9E3CF" w14:textId="77777777" w:rsidR="00A072D0" w:rsidRDefault="009576A5">
      <w:pPr>
        <w:rPr>
          <w:szCs w:val="22"/>
        </w:rPr>
      </w:pPr>
      <w:r>
        <w:rPr>
          <w:szCs w:val="22"/>
        </w:rPr>
        <w:t>Reforms aimed at strengthening our ability to identify, respond to and manage food safety risks are now being considered. This will include legislative and non-legislative changes to the imported food safety system.</w:t>
      </w:r>
    </w:p>
    <w:p w14:paraId="016542F0" w14:textId="77777777" w:rsidR="00A072D0" w:rsidRDefault="009576A5">
      <w:pPr>
        <w:rPr>
          <w:szCs w:val="22"/>
        </w:rPr>
      </w:pPr>
      <w:r>
        <w:rPr>
          <w:szCs w:val="22"/>
        </w:rPr>
        <w:t>Changes to Australia’s biosecurity system and biosecurity regulatory framework will not be considered as part of the imported food reforms.</w:t>
      </w:r>
    </w:p>
    <w:p w14:paraId="4C648DCB" w14:textId="5F407A6B" w:rsidR="00A072D0" w:rsidRDefault="009576A5">
      <w:pPr>
        <w:rPr>
          <w:szCs w:val="22"/>
        </w:rPr>
      </w:pPr>
      <w:r>
        <w:rPr>
          <w:szCs w:val="22"/>
        </w:rPr>
        <w:t xml:space="preserve">During the period 18 April to 3 May 2016, the department completed a food importer survey to collect information on import activity, compliance with the Imported Food Inspection Scheme, use of supply chain assurance and traceability systems by importers to manage food safety. Results from this survey were used by the department in considering reforms to the management of imported food safety. See the department’s website for more information on </w:t>
      </w:r>
      <w:hyperlink r:id="rId23" w:history="1">
        <w:r>
          <w:rPr>
            <w:rStyle w:val="Hyperlink"/>
            <w:szCs w:val="22"/>
          </w:rPr>
          <w:t>imported food reform</w:t>
        </w:r>
      </w:hyperlink>
      <w:r>
        <w:rPr>
          <w:szCs w:val="22"/>
        </w:rPr>
        <w:t>.</w:t>
      </w:r>
    </w:p>
    <w:p w14:paraId="48A07F5F" w14:textId="77777777" w:rsidR="00A072D0" w:rsidRDefault="009576A5" w:rsidP="003C6F31">
      <w:pPr>
        <w:pStyle w:val="Heading3"/>
      </w:pPr>
      <w:bookmarkStart w:id="6" w:name="_Toc469066604"/>
      <w:r>
        <w:lastRenderedPageBreak/>
        <w:t>Increased border inspection for coconut drinks and powders</w:t>
      </w:r>
      <w:bookmarkEnd w:id="6"/>
    </w:p>
    <w:p w14:paraId="504340C5" w14:textId="77777777" w:rsidR="00A072D0" w:rsidRDefault="009576A5">
      <w:pPr>
        <w:rPr>
          <w:szCs w:val="22"/>
        </w:rPr>
      </w:pPr>
      <w:r>
        <w:rPr>
          <w:szCs w:val="22"/>
        </w:rPr>
        <w:t xml:space="preserve">As reported in the July to December 2015 inspection data report, between September 2015 and February 2016 the department participated in a joint action with state and territory government food authorities on coconut drinks and coconut powder to determine whether milk may be present as an undeclared allergen. Under this action, nine samples were found to contain the undeclared allergen (milk) and action has been taken on these non-compliant products. There were also 22 public recalls and trade withdrawals associated with the same issue. Through the department’s testing, the recalls and withdrawals, and actions taken by the Australian food authorities, the importance of allergen labelling has been highlighted to importing food businesses. </w:t>
      </w:r>
    </w:p>
    <w:p w14:paraId="3F189690" w14:textId="77777777" w:rsidR="00A072D0" w:rsidRDefault="009576A5">
      <w:pPr>
        <w:rPr>
          <w:szCs w:val="22"/>
        </w:rPr>
      </w:pPr>
      <w:r>
        <w:rPr>
          <w:szCs w:val="22"/>
        </w:rPr>
        <w:t xml:space="preserve">The high compliance rate of the import testing since November 2015 indicates that the joint action has been effective and products in this food category have demonstrated satisfactory compliance with Australia’s labelling requirements. </w:t>
      </w:r>
    </w:p>
    <w:p w14:paraId="2D54F9B7" w14:textId="77777777" w:rsidR="00A072D0" w:rsidRDefault="009576A5">
      <w:pPr>
        <w:rPr>
          <w:szCs w:val="22"/>
        </w:rPr>
      </w:pPr>
      <w:r>
        <w:rPr>
          <w:szCs w:val="22"/>
        </w:rPr>
        <w:t>The department ceased the increased border intervention for coconut drinks and powders in March 2016. Targeting of those nine products identified as containing the undeclared allergen remained in place.</w:t>
      </w:r>
    </w:p>
    <w:p w14:paraId="2FFCAE6F" w14:textId="77777777" w:rsidR="00A072D0" w:rsidRDefault="009576A5">
      <w:pPr>
        <w:rPr>
          <w:szCs w:val="22"/>
        </w:rPr>
      </w:pPr>
      <w:r>
        <w:rPr>
          <w:szCs w:val="22"/>
        </w:rPr>
        <w:t>The department is considering future border testing for undeclared allergens in these foods to confirm continued compliance with Australian labelling requirements for presence of allergens.</w:t>
      </w:r>
    </w:p>
    <w:p w14:paraId="0BBCA0B5" w14:textId="5CB87DA7" w:rsidR="00A072D0" w:rsidRDefault="009576A5" w:rsidP="003C6F31">
      <w:pPr>
        <w:pStyle w:val="Heading3"/>
      </w:pPr>
      <w:bookmarkStart w:id="7" w:name="_Toc469066605"/>
      <w:r>
        <w:t>Comparing five years of inspection data reports</w:t>
      </w:r>
      <w:bookmarkEnd w:id="7"/>
    </w:p>
    <w:p w14:paraId="5E6E0510" w14:textId="77777777" w:rsidR="00A072D0" w:rsidRDefault="009576A5">
      <w:pPr>
        <w:rPr>
          <w:szCs w:val="22"/>
        </w:rPr>
      </w:pPr>
      <w:r>
        <w:rPr>
          <w:szCs w:val="22"/>
        </w:rPr>
        <w:t>The department has been publishing twice yearly Imported Food Inspection Data reports on activities dating back to July 2006.</w:t>
      </w:r>
    </w:p>
    <w:p w14:paraId="3DC51154" w14:textId="2CB96681" w:rsidR="00A072D0" w:rsidRDefault="00E70443">
      <w:r>
        <w:fldChar w:fldCharType="begin"/>
      </w:r>
      <w:r>
        <w:instrText xml:space="preserve"> REF _Ref469302761 </w:instrText>
      </w:r>
      <w:r>
        <w:fldChar w:fldCharType="separate"/>
      </w:r>
      <w:r>
        <w:t xml:space="preserve">Figure </w:t>
      </w:r>
      <w:r>
        <w:rPr>
          <w:noProof/>
        </w:rPr>
        <w:t>1</w:t>
      </w:r>
      <w:r>
        <w:rPr>
          <w:noProof/>
        </w:rPr>
        <w:fldChar w:fldCharType="end"/>
      </w:r>
      <w:r w:rsidR="009576A5">
        <w:t xml:space="preserve"> summarises the number of food entries and lines inspected for each six month reporting period. The table shows a regular pattern where the period January to June each year has lower activity than the period July to December.</w:t>
      </w:r>
    </w:p>
    <w:p w14:paraId="4C36872D" w14:textId="777FFDD9" w:rsidR="00A072D0" w:rsidRDefault="009576A5">
      <w:pPr>
        <w:pStyle w:val="Caption"/>
      </w:pPr>
      <w:bookmarkStart w:id="8" w:name="_Ref469302761"/>
      <w:bookmarkStart w:id="9" w:name="_Toc465411400"/>
      <w:r>
        <w:t xml:space="preserve">Figure </w:t>
      </w:r>
      <w:r w:rsidR="00E70443">
        <w:fldChar w:fldCharType="begin"/>
      </w:r>
      <w:r w:rsidR="00E70443">
        <w:instrText xml:space="preserve"> SEQ Figure \* ARABIC </w:instrText>
      </w:r>
      <w:r w:rsidR="00E70443">
        <w:fldChar w:fldCharType="separate"/>
      </w:r>
      <w:r w:rsidR="00E70443">
        <w:rPr>
          <w:noProof/>
        </w:rPr>
        <w:t>1</w:t>
      </w:r>
      <w:r w:rsidR="00E70443">
        <w:rPr>
          <w:noProof/>
        </w:rPr>
        <w:fldChar w:fldCharType="end"/>
      </w:r>
      <w:bookmarkEnd w:id="8"/>
      <w:r>
        <w:t xml:space="preserve"> </w:t>
      </w:r>
      <w:r>
        <w:rPr>
          <w:szCs w:val="22"/>
        </w:rPr>
        <w:t>Inspection activity, January 2011 to June 2016</w:t>
      </w:r>
      <w:bookmarkEnd w:id="9"/>
    </w:p>
    <w:p w14:paraId="62ECA402" w14:textId="77777777" w:rsidR="00A072D0" w:rsidRDefault="009576A5">
      <w:pPr>
        <w:tabs>
          <w:tab w:val="left" w:pos="2127"/>
        </w:tabs>
        <w:rPr>
          <w:szCs w:val="22"/>
        </w:rPr>
      </w:pPr>
      <w:r>
        <w:rPr>
          <w:noProof/>
          <w:lang w:eastAsia="en-AU"/>
        </w:rPr>
        <w:drawing>
          <wp:inline distT="0" distB="0" distL="0" distR="0" wp14:anchorId="246A016E" wp14:editId="11C58FA9">
            <wp:extent cx="5187950" cy="3266470"/>
            <wp:effectExtent l="0" t="0" r="12700"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F1AA5C" w14:textId="5A7DE8D3" w:rsidR="00A072D0" w:rsidRDefault="00D71B82">
      <w:pPr>
        <w:rPr>
          <w:szCs w:val="22"/>
        </w:rPr>
      </w:pPr>
      <w:r>
        <w:rPr>
          <w:szCs w:val="22"/>
        </w:rPr>
        <w:lastRenderedPageBreak/>
        <w:fldChar w:fldCharType="begin"/>
      </w:r>
      <w:r>
        <w:rPr>
          <w:szCs w:val="22"/>
        </w:rPr>
        <w:instrText xml:space="preserve"> REF _Ref469302826 </w:instrText>
      </w:r>
      <w:r>
        <w:rPr>
          <w:szCs w:val="22"/>
        </w:rPr>
        <w:fldChar w:fldCharType="separate"/>
      </w:r>
      <w:r w:rsidR="00E70443">
        <w:t xml:space="preserve">Figure </w:t>
      </w:r>
      <w:r w:rsidR="00E70443">
        <w:rPr>
          <w:noProof/>
        </w:rPr>
        <w:t>2</w:t>
      </w:r>
      <w:r>
        <w:rPr>
          <w:szCs w:val="22"/>
        </w:rPr>
        <w:fldChar w:fldCharType="end"/>
      </w:r>
      <w:r w:rsidR="009576A5">
        <w:rPr>
          <w:szCs w:val="22"/>
        </w:rPr>
        <w:t xml:space="preserve"> summarises the number of tests applied at inspections for each six month reporting period. This table reflects a similar pattern to </w:t>
      </w:r>
      <w:r w:rsidR="006C00F3">
        <w:rPr>
          <w:szCs w:val="22"/>
        </w:rPr>
        <w:fldChar w:fldCharType="begin"/>
      </w:r>
      <w:r w:rsidR="006C00F3">
        <w:rPr>
          <w:szCs w:val="22"/>
        </w:rPr>
        <w:instrText xml:space="preserve"> REF _Ref469302761 \h </w:instrText>
      </w:r>
      <w:r w:rsidR="006C00F3">
        <w:rPr>
          <w:szCs w:val="22"/>
        </w:rPr>
      </w:r>
      <w:r w:rsidR="006C00F3">
        <w:rPr>
          <w:szCs w:val="22"/>
        </w:rPr>
        <w:fldChar w:fldCharType="separate"/>
      </w:r>
      <w:r w:rsidR="00E70443">
        <w:t xml:space="preserve">Figure </w:t>
      </w:r>
      <w:r w:rsidR="00E70443">
        <w:rPr>
          <w:noProof/>
        </w:rPr>
        <w:t>1</w:t>
      </w:r>
      <w:r w:rsidR="006C00F3">
        <w:rPr>
          <w:szCs w:val="22"/>
        </w:rPr>
        <w:fldChar w:fldCharType="end"/>
      </w:r>
      <w:r w:rsidR="009576A5">
        <w:rPr>
          <w:szCs w:val="22"/>
        </w:rPr>
        <w:t xml:space="preserve">. </w:t>
      </w:r>
      <w:r w:rsidR="006C00F3">
        <w:rPr>
          <w:szCs w:val="22"/>
        </w:rPr>
        <w:fldChar w:fldCharType="begin"/>
      </w:r>
      <w:r w:rsidR="006C00F3">
        <w:rPr>
          <w:szCs w:val="22"/>
        </w:rPr>
        <w:instrText xml:space="preserve"> REF _Ref469302826 \h </w:instrText>
      </w:r>
      <w:r w:rsidR="006C00F3">
        <w:rPr>
          <w:szCs w:val="22"/>
        </w:rPr>
      </w:r>
      <w:r w:rsidR="006C00F3">
        <w:rPr>
          <w:szCs w:val="22"/>
        </w:rPr>
        <w:fldChar w:fldCharType="separate"/>
      </w:r>
      <w:r w:rsidR="00E70443">
        <w:t xml:space="preserve">Figure </w:t>
      </w:r>
      <w:r w:rsidR="00E70443">
        <w:rPr>
          <w:noProof/>
        </w:rPr>
        <w:t>2</w:t>
      </w:r>
      <w:r w:rsidR="006C00F3">
        <w:rPr>
          <w:szCs w:val="22"/>
        </w:rPr>
        <w:fldChar w:fldCharType="end"/>
      </w:r>
      <w:r w:rsidR="009576A5">
        <w:rPr>
          <w:szCs w:val="22"/>
        </w:rPr>
        <w:t xml:space="preserve"> also shows a reduction in the number of tests in 2013, reflecting changes made after a review of surveillance testing.</w:t>
      </w:r>
    </w:p>
    <w:p w14:paraId="09215DC6" w14:textId="77777777" w:rsidR="00A072D0" w:rsidRDefault="009576A5">
      <w:pPr>
        <w:pStyle w:val="Caption"/>
      </w:pPr>
      <w:bookmarkStart w:id="10" w:name="_Ref469302826"/>
      <w:bookmarkStart w:id="11" w:name="_Toc465411401"/>
      <w:r>
        <w:t xml:space="preserve">Figure </w:t>
      </w:r>
      <w:r w:rsidR="00E70443">
        <w:fldChar w:fldCharType="begin"/>
      </w:r>
      <w:r w:rsidR="00E70443">
        <w:instrText xml:space="preserve"> SEQ Figure \* ARABIC </w:instrText>
      </w:r>
      <w:r w:rsidR="00E70443">
        <w:fldChar w:fldCharType="separate"/>
      </w:r>
      <w:r w:rsidR="00E70443">
        <w:rPr>
          <w:noProof/>
        </w:rPr>
        <w:t>2</w:t>
      </w:r>
      <w:r w:rsidR="00E70443">
        <w:rPr>
          <w:noProof/>
        </w:rPr>
        <w:fldChar w:fldCharType="end"/>
      </w:r>
      <w:bookmarkEnd w:id="10"/>
      <w:r>
        <w:t xml:space="preserve"> Tests conducted, January 2011 to June 201</w:t>
      </w:r>
      <w:bookmarkEnd w:id="11"/>
      <w:r>
        <w:t>6</w:t>
      </w:r>
    </w:p>
    <w:p w14:paraId="601719F1" w14:textId="77777777" w:rsidR="00A072D0" w:rsidRDefault="009576A5">
      <w:pPr>
        <w:rPr>
          <w:szCs w:val="22"/>
        </w:rPr>
      </w:pPr>
      <w:r>
        <w:rPr>
          <w:noProof/>
          <w:lang w:eastAsia="en-AU"/>
        </w:rPr>
        <w:drawing>
          <wp:inline distT="0" distB="0" distL="0" distR="0" wp14:anchorId="632510CC" wp14:editId="20024A1D">
            <wp:extent cx="5187950" cy="2700916"/>
            <wp:effectExtent l="0" t="0" r="1270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14B2869" w14:textId="77777777" w:rsidR="00A072D0" w:rsidRDefault="009576A5" w:rsidP="003908CD">
      <w:pPr>
        <w:pStyle w:val="Heading2"/>
      </w:pPr>
      <w:bookmarkStart w:id="12" w:name="_Toc369764298"/>
      <w:bookmarkStart w:id="13" w:name="_Toc469066606"/>
      <w:r>
        <w:lastRenderedPageBreak/>
        <w:t>Imported Food Inspection Scheme</w:t>
      </w:r>
      <w:bookmarkEnd w:id="12"/>
      <w:bookmarkEnd w:id="13"/>
    </w:p>
    <w:p w14:paraId="6B5A39A1" w14:textId="77777777" w:rsidR="00A072D0" w:rsidRDefault="009576A5">
      <w:bookmarkStart w:id="14" w:name="_Toc347323952"/>
      <w:r>
        <w:t xml:space="preserve">The Department of Agriculture and Water Resources is one of many government agencies responsible for regulating food in Australia. The department administers two sets of requirements with which imported food must comply. Food imported into Australia is subject to requirements under the </w:t>
      </w:r>
      <w:r>
        <w:rPr>
          <w:i/>
        </w:rPr>
        <w:t xml:space="preserve">Biosecurity Act 2015 </w:t>
      </w:r>
      <w:r>
        <w:t>(</w:t>
      </w:r>
      <w:proofErr w:type="spellStart"/>
      <w:r>
        <w:t>Cwlth</w:t>
      </w:r>
      <w:proofErr w:type="spellEnd"/>
      <w:r>
        <w:t xml:space="preserve">) to address quarantine concerns and the </w:t>
      </w:r>
      <w:r>
        <w:rPr>
          <w:i/>
        </w:rPr>
        <w:t>Imported Food Control Act 1992</w:t>
      </w:r>
      <w:r>
        <w:t xml:space="preserve"> (</w:t>
      </w:r>
      <w:proofErr w:type="spellStart"/>
      <w:r>
        <w:t>Cwlth</w:t>
      </w:r>
      <w:proofErr w:type="spellEnd"/>
      <w:r>
        <w:t>) to monitor compliance with sourcing food that meets Australia’s food standards. Quarantine requirements must be met before food standards are considered.</w:t>
      </w:r>
    </w:p>
    <w:p w14:paraId="7F61CE7E" w14:textId="77777777" w:rsidR="00A072D0" w:rsidRDefault="009576A5">
      <w:r>
        <w:t xml:space="preserve">To monitor importers’ compliance with sourcing food that meets Australia’s food standards, the Department of Agriculture and Water Resources operates a risk-based border inspection scheme—the </w:t>
      </w:r>
      <w:hyperlink r:id="rId26" w:history="1">
        <w:r>
          <w:rPr>
            <w:rStyle w:val="Hyperlink"/>
            <w:szCs w:val="22"/>
          </w:rPr>
          <w:t>Imported Food Inspection Scheme</w:t>
        </w:r>
      </w:hyperlink>
      <w:r>
        <w:rPr>
          <w:szCs w:val="22"/>
        </w:rPr>
        <w:t xml:space="preserve"> (IFIS)</w:t>
      </w:r>
      <w:r>
        <w:t>.</w:t>
      </w:r>
    </w:p>
    <w:p w14:paraId="663BC576" w14:textId="5F9E3FD9" w:rsidR="00A072D0" w:rsidRDefault="009576A5">
      <w:r>
        <w:t>Food Standards Australia New Zealand (FSANZ), within the Department of Health portfolio, develops and maintains the Australia New Zealand Food Standards Code. The code lists Australia’s food standards requirements including contaminants (such as microbiological, chemical), additives, labelling and genetically modified food as well as production and processing standards.</w:t>
      </w:r>
    </w:p>
    <w:p w14:paraId="1E132C4A" w14:textId="77777777" w:rsidR="00A072D0" w:rsidRDefault="009576A5">
      <w:r>
        <w:t>FSANZ provides advice to the Department of Agriculture and Water Resources on food that pose a medium to high risk to public health. The department classifies these as risk under the inspection scheme, and classifies all other food as surveillance.</w:t>
      </w:r>
    </w:p>
    <w:p w14:paraId="6096E65A" w14:textId="77777777" w:rsidR="00A072D0" w:rsidRDefault="009576A5">
      <w:r>
        <w:t>To identify which food is of interest, and the rate at which they should be referred (that is, whether at 100 per cent or 5 per cent of consignments), the department applies electronic profiles in the Department of Immigration and Border Protection Integrated Cargo System (ICS).</w:t>
      </w:r>
    </w:p>
    <w:p w14:paraId="180FF1E0" w14:textId="77777777" w:rsidR="00A072D0" w:rsidRDefault="009576A5">
      <w:r>
        <w:t>Once food is referred, the department’s system applies relevant tests and inspection rates based on the risk the food may pose and for some food the compliance history of the producer and supplier.</w:t>
      </w:r>
    </w:p>
    <w:p w14:paraId="36BED66C" w14:textId="77777777" w:rsidR="00A072D0" w:rsidRDefault="009576A5">
      <w:r>
        <w:t>When imported food fails inspection, follow-up action such as treatment of the food to bring it to compliance, destruction or export is undertaken. Additionally, subsequent imports of the same food are subject to inspection at the rate of 100 per cent of consignments until a history of compliance is demonstrated.</w:t>
      </w:r>
    </w:p>
    <w:p w14:paraId="5234C1FA" w14:textId="77777777" w:rsidR="00A072D0" w:rsidRDefault="009576A5">
      <w:r>
        <w:rPr>
          <w:szCs w:val="22"/>
        </w:rPr>
        <w:t>In addition to the department's imported food testing, the state and territory government jurisdictions also have responsibility for ensuring that all food, including imported food, meets the requirements of the Code at the point of sale.</w:t>
      </w:r>
    </w:p>
    <w:p w14:paraId="4D027E5E" w14:textId="77777777" w:rsidR="00A072D0" w:rsidRDefault="009576A5" w:rsidP="003908CD">
      <w:pPr>
        <w:pStyle w:val="Heading3"/>
      </w:pPr>
      <w:bookmarkStart w:id="15" w:name="_Toc367781893"/>
      <w:bookmarkStart w:id="16" w:name="_Toc369764299"/>
      <w:bookmarkStart w:id="17" w:name="_Toc469066607"/>
      <w:bookmarkEnd w:id="14"/>
      <w:r>
        <w:t>Food Import Compliance Agreement notifications</w:t>
      </w:r>
      <w:bookmarkEnd w:id="15"/>
      <w:bookmarkEnd w:id="16"/>
      <w:bookmarkEnd w:id="17"/>
    </w:p>
    <w:p w14:paraId="73B6C139" w14:textId="69E84E62" w:rsidR="00A072D0" w:rsidRDefault="009576A5">
      <w:r>
        <w:t>Food Import Compliance Agreements offer food importers an alternative regulatory arrangement to the border inspection and testing of their products under the Imported Food Inspection Scheme. Compliance agreements are an assurance-based arrangement undertaken through formal recognition and audit of an importer’s documented food safety management system by the Department of Agriculture and Water Resources.</w:t>
      </w:r>
    </w:p>
    <w:p w14:paraId="451FA92F" w14:textId="3E84BC50" w:rsidR="00A072D0" w:rsidRDefault="009576A5">
      <w:r>
        <w:t>Importers under a compliance agreement must report non-compliant analytical test results to the department, which will then consider what further action is needed.</w:t>
      </w:r>
    </w:p>
    <w:p w14:paraId="6AAA451E" w14:textId="05391305" w:rsidR="00A072D0" w:rsidRPr="003908CD" w:rsidRDefault="009576A5">
      <w:r>
        <w:t>During the reporting period, four non-compliant food notifications were reported.</w:t>
      </w:r>
    </w:p>
    <w:p w14:paraId="212A6FF5" w14:textId="77777777" w:rsidR="00A072D0" w:rsidRDefault="009576A5" w:rsidP="003908CD">
      <w:pPr>
        <w:pStyle w:val="Heading2"/>
      </w:pPr>
      <w:bookmarkStart w:id="18" w:name="_Toc369764300"/>
      <w:bookmarkStart w:id="19" w:name="_Toc469066608"/>
      <w:bookmarkStart w:id="20" w:name="_Toc286147928"/>
      <w:r>
        <w:lastRenderedPageBreak/>
        <w:t>Summary for January to June 201</w:t>
      </w:r>
      <w:bookmarkEnd w:id="18"/>
      <w:r>
        <w:t>6</w:t>
      </w:r>
      <w:bookmarkEnd w:id="19"/>
    </w:p>
    <w:p w14:paraId="7415DE98" w14:textId="77777777" w:rsidR="00A072D0" w:rsidRDefault="009576A5">
      <w:r>
        <w:t>The data contained in this report was obtained from imported food inspection data for the period 1 January to 30 June 2016. During this period:</w:t>
      </w:r>
    </w:p>
    <w:p w14:paraId="06097032" w14:textId="77777777" w:rsidR="00A072D0" w:rsidRDefault="009576A5">
      <w:pPr>
        <w:pStyle w:val="ListBullet"/>
      </w:pPr>
      <w:r>
        <w:t>9 030 entries of imported food were referred for inspection under the Imported Food Inspection Scheme</w:t>
      </w:r>
    </w:p>
    <w:p w14:paraId="3321F51F" w14:textId="77777777" w:rsidR="00A072D0" w:rsidRDefault="009576A5">
      <w:pPr>
        <w:pStyle w:val="ListBullet"/>
      </w:pPr>
      <w:r>
        <w:t>14 427 lines of imported food were inspected</w:t>
      </w:r>
    </w:p>
    <w:p w14:paraId="38C580A0" w14:textId="77777777" w:rsidR="00A072D0" w:rsidRDefault="009576A5">
      <w:pPr>
        <w:pStyle w:val="ListBullet"/>
      </w:pPr>
      <w:r>
        <w:t>Of these lines, 27.2 per cent were risk food, 70.2 per cent were surveillance food and 2.6 per cent were surveillance food subject to a Holding Order</w:t>
      </w:r>
    </w:p>
    <w:p w14:paraId="0BE45637" w14:textId="77777777" w:rsidR="00A072D0" w:rsidRDefault="009576A5">
      <w:pPr>
        <w:pStyle w:val="ListBullet"/>
      </w:pPr>
      <w:r>
        <w:t>China, Thailand and Italy were the countries whose food was subject to most inspections</w:t>
      </w:r>
    </w:p>
    <w:p w14:paraId="51CC3886" w14:textId="77777777" w:rsidR="00A072D0" w:rsidRDefault="009576A5">
      <w:pPr>
        <w:pStyle w:val="ListBullet"/>
      </w:pPr>
      <w:r>
        <w:t>62.3 per cent of food inspections were on food from 10 countries; the remaining 37.7 per cent were on food from 101 countries.</w:t>
      </w:r>
    </w:p>
    <w:p w14:paraId="22A13D88" w14:textId="77777777" w:rsidR="00A072D0" w:rsidRDefault="009576A5">
      <w:pPr>
        <w:pStyle w:val="ListBullet"/>
      </w:pPr>
      <w:r>
        <w:t>The compliance rate for all foods inspected was 98.9 per cent</w:t>
      </w:r>
    </w:p>
    <w:p w14:paraId="1EC23D82" w14:textId="61695F15" w:rsidR="00A072D0" w:rsidRDefault="009576A5">
      <w:pPr>
        <w:pStyle w:val="ListBullet"/>
      </w:pPr>
      <w:r>
        <w:t>Of the risk classified food inspected, the top three countries were Thailand, China and Indi</w:t>
      </w:r>
      <w:r w:rsidR="00F67CEB">
        <w:t>a</w:t>
      </w:r>
      <w:r>
        <w:t>, with the compliance rate for all risk foods being 99.1 per cent</w:t>
      </w:r>
    </w:p>
    <w:p w14:paraId="1CBE796C" w14:textId="77777777" w:rsidR="00A072D0" w:rsidRDefault="009576A5">
      <w:pPr>
        <w:pStyle w:val="ListBullet"/>
      </w:pPr>
      <w:r>
        <w:t>44 067 tests were applied, including label and visual checks</w:t>
      </w:r>
    </w:p>
    <w:p w14:paraId="5244EBDD" w14:textId="77777777" w:rsidR="00A072D0" w:rsidRDefault="009576A5">
      <w:pPr>
        <w:pStyle w:val="ListBullet2"/>
      </w:pPr>
      <w:r>
        <w:t>17 464 label and composition assessments</w:t>
      </w:r>
    </w:p>
    <w:p w14:paraId="39197000" w14:textId="77777777" w:rsidR="00A072D0" w:rsidRDefault="009576A5">
      <w:pPr>
        <w:pStyle w:val="ListBullet2"/>
      </w:pPr>
      <w:r>
        <w:t>9 288 analytical tests</w:t>
      </w:r>
    </w:p>
    <w:p w14:paraId="1FEA8D5D" w14:textId="77777777" w:rsidR="00A072D0" w:rsidRDefault="009576A5">
      <w:pPr>
        <w:pStyle w:val="ListBullet2"/>
        <w:rPr>
          <w:rFonts w:eastAsia="Times New Roman"/>
          <w:lang w:eastAsia="en-AU"/>
        </w:rPr>
      </w:pPr>
      <w:r>
        <w:rPr>
          <w:rFonts w:eastAsia="Times New Roman"/>
          <w:lang w:eastAsia="en-AU"/>
        </w:rPr>
        <w:t xml:space="preserve">17 315 </w:t>
      </w:r>
      <w:r>
        <w:t xml:space="preserve">other tests. </w:t>
      </w:r>
    </w:p>
    <w:p w14:paraId="043DE8B4" w14:textId="77777777" w:rsidR="00A072D0" w:rsidRDefault="009576A5">
      <w:r>
        <w:t>More detailed analysis of data is provided based on:</w:t>
      </w:r>
    </w:p>
    <w:p w14:paraId="5614F28B" w14:textId="77777777" w:rsidR="00A072D0" w:rsidRDefault="009576A5">
      <w:pPr>
        <w:pStyle w:val="ListBullet"/>
      </w:pPr>
      <w:r>
        <w:t>commodity groups</w:t>
      </w:r>
    </w:p>
    <w:p w14:paraId="7CA99E53" w14:textId="77777777" w:rsidR="00A072D0" w:rsidRDefault="009576A5">
      <w:pPr>
        <w:pStyle w:val="ListBullet"/>
      </w:pPr>
      <w:r>
        <w:t>country of origin</w:t>
      </w:r>
    </w:p>
    <w:p w14:paraId="122BE292" w14:textId="77777777" w:rsidR="00A072D0" w:rsidRDefault="009576A5">
      <w:pPr>
        <w:pStyle w:val="ListBullet"/>
      </w:pPr>
      <w:proofErr w:type="gramStart"/>
      <w:r>
        <w:t>inspection</w:t>
      </w:r>
      <w:proofErr w:type="gramEnd"/>
      <w:r>
        <w:t xml:space="preserve"> data tests applied and compliance rates.</w:t>
      </w:r>
    </w:p>
    <w:p w14:paraId="389FBDCD" w14:textId="77777777" w:rsidR="00A072D0" w:rsidRDefault="009576A5">
      <w:r>
        <w:t xml:space="preserve">See </w:t>
      </w:r>
      <w:hyperlink w:anchor="_Glossary" w:history="1">
        <w:r>
          <w:rPr>
            <w:rStyle w:val="Hyperlink"/>
          </w:rPr>
          <w:t>Glossary</w:t>
        </w:r>
      </w:hyperlink>
      <w:r>
        <w:t xml:space="preserve"> for explanation of terms used in this document.</w:t>
      </w:r>
    </w:p>
    <w:p w14:paraId="6341353E" w14:textId="77777777" w:rsidR="00A072D0" w:rsidRDefault="009576A5" w:rsidP="006E27D0">
      <w:pPr>
        <w:pStyle w:val="Heading3"/>
      </w:pPr>
      <w:bookmarkStart w:id="21" w:name="_Toc469066609"/>
      <w:r>
        <w:t>Application of tests to imported food</w:t>
      </w:r>
      <w:bookmarkEnd w:id="21"/>
    </w:p>
    <w:p w14:paraId="57A46835" w14:textId="77777777" w:rsidR="00A072D0" w:rsidRDefault="009576A5">
      <w:r>
        <w:t>The number of lines of food referred for inspection under the Scheme and the number of tests applied to those lines of food may differ. This is because food subject to inspection is sampled and tested based on the number of:</w:t>
      </w:r>
    </w:p>
    <w:p w14:paraId="593EAD8B" w14:textId="77777777" w:rsidR="00A072D0" w:rsidRDefault="009576A5">
      <w:pPr>
        <w:pStyle w:val="ListBullet"/>
      </w:pPr>
      <w:r>
        <w:t>batches and lots within each batch of food on the line referred for inspection</w:t>
      </w:r>
    </w:p>
    <w:p w14:paraId="549483BD" w14:textId="77777777" w:rsidR="00A072D0" w:rsidRDefault="009576A5">
      <w:pPr>
        <w:pStyle w:val="ListBullet"/>
      </w:pPr>
      <w:proofErr w:type="gramStart"/>
      <w:r>
        <w:t>tests</w:t>
      </w:r>
      <w:proofErr w:type="gramEnd"/>
      <w:r>
        <w:t xml:space="preserve"> to be applied to each sample of that food taken during inspection.</w:t>
      </w:r>
    </w:p>
    <w:p w14:paraId="608EC61F" w14:textId="77777777" w:rsidR="00A072D0" w:rsidRDefault="009576A5">
      <w:r>
        <w:t xml:space="preserve">For example, one line of a cooked and processed meat product may be referred for inspection under the Scheme. The line contains two batches of the product, each with one lot. An officer will take one sample from each batch and apply the microbiological tests relevant to this food. The test for cooked and processed meat products are </w:t>
      </w:r>
      <w:r>
        <w:rPr>
          <w:i/>
        </w:rPr>
        <w:t>E. coli</w:t>
      </w:r>
      <w:r>
        <w:t xml:space="preserve">, standard plate count, coagulase positive </w:t>
      </w:r>
      <w:r>
        <w:rPr>
          <w:i/>
        </w:rPr>
        <w:t>Staphylococci</w:t>
      </w:r>
      <w:r>
        <w:t xml:space="preserve">, </w:t>
      </w:r>
      <w:r>
        <w:rPr>
          <w:i/>
        </w:rPr>
        <w:t xml:space="preserve">Listeria monocytogenes </w:t>
      </w:r>
      <w:r>
        <w:t xml:space="preserve">and </w:t>
      </w:r>
      <w:r>
        <w:rPr>
          <w:i/>
        </w:rPr>
        <w:t>Salmonella</w:t>
      </w:r>
      <w:r>
        <w:t>. As a result, two samples have been taken from this one line of imported food and five microbiological tests have been applied to each sample.</w:t>
      </w:r>
    </w:p>
    <w:p w14:paraId="605372A5" w14:textId="34DB422A" w:rsidR="00A072D0" w:rsidRDefault="006E27D0">
      <w:r>
        <w:t>This will be reported as one line, with ten tests applied.</w:t>
      </w:r>
    </w:p>
    <w:p w14:paraId="57A20432" w14:textId="77777777" w:rsidR="00A072D0" w:rsidRDefault="009576A5" w:rsidP="006E27D0">
      <w:pPr>
        <w:pStyle w:val="Heading3"/>
      </w:pPr>
      <w:bookmarkStart w:id="22" w:name="_Toc369764301"/>
      <w:bookmarkStart w:id="23" w:name="_Toc469066610"/>
      <w:r>
        <w:lastRenderedPageBreak/>
        <w:t>Commodity groups</w:t>
      </w:r>
      <w:bookmarkEnd w:id="22"/>
      <w:bookmarkEnd w:id="23"/>
    </w:p>
    <w:p w14:paraId="7D87DC2F" w14:textId="77777777" w:rsidR="00A072D0" w:rsidRDefault="009576A5">
      <w:r>
        <w:t>While risk food is specifically targeted for inspection, surveillance food is subject to random inspection at the rate of five per cent of consignments. The numbers of tests applied reflects this approach. Commodity groups that contain more risk food and/or are imported more frequently have a higher representation under the inspection activity. It may also reflect where goods have previously failed and the inspection rate has increased to 100 per cent until compliance has again been demonstrated. This data cannot be used to indicate volumes of trade.</w:t>
      </w:r>
    </w:p>
    <w:p w14:paraId="6016F819" w14:textId="77777777" w:rsidR="00A072D0" w:rsidRDefault="009576A5" w:rsidP="00D32174">
      <w:pPr>
        <w:pStyle w:val="Heading4"/>
        <w:numPr>
          <w:ilvl w:val="0"/>
          <w:numId w:val="0"/>
        </w:numPr>
        <w:ind w:left="964" w:hanging="964"/>
      </w:pPr>
      <w:bookmarkStart w:id="24" w:name="_Toc369787131"/>
      <w:bookmarkStart w:id="25" w:name="_Toc369858521"/>
      <w:bookmarkStart w:id="26" w:name="_Toc369859814"/>
      <w:bookmarkStart w:id="27" w:name="_Toc469066611"/>
      <w:r>
        <w:t>Test data by commodity groups</w:t>
      </w:r>
      <w:bookmarkEnd w:id="24"/>
      <w:bookmarkEnd w:id="25"/>
      <w:bookmarkEnd w:id="26"/>
      <w:bookmarkEnd w:id="27"/>
    </w:p>
    <w:p w14:paraId="6C38CF31" w14:textId="77777777" w:rsidR="00A072D0" w:rsidRDefault="009576A5">
      <w:r>
        <w:t>During the reporting period the single commodity subject to most testing was seafood which accounted for 15.8 per cent of tests applied (Figure 3) under the Imported Food Inspection Scheme. Captured under this category are fresh, chilled, frozen and processed seafood products.</w:t>
      </w:r>
    </w:p>
    <w:p w14:paraId="5A716B28" w14:textId="77777777" w:rsidR="00A072D0" w:rsidRDefault="009576A5">
      <w:r>
        <w:t>Horticulture (including fresh and processed fruit and vegetables) was the next highest single commodity inspected and was subject to 14.5 per cent of all tests applied to imported food under the Imported Food Inspection Scheme.</w:t>
      </w:r>
    </w:p>
    <w:p w14:paraId="4C28CE26" w14:textId="77777777" w:rsidR="00A072D0" w:rsidRDefault="009576A5">
      <w:pPr>
        <w:pStyle w:val="Caption"/>
      </w:pPr>
      <w:bookmarkStart w:id="28" w:name="_Toc465411402"/>
      <w:r>
        <w:t xml:space="preserve">Figure </w:t>
      </w:r>
      <w:r w:rsidR="00E70443">
        <w:fldChar w:fldCharType="begin"/>
      </w:r>
      <w:r w:rsidR="00E70443">
        <w:instrText xml:space="preserve"> SEQ Figure \* ARABIC </w:instrText>
      </w:r>
      <w:r w:rsidR="00E70443">
        <w:fldChar w:fldCharType="separate"/>
      </w:r>
      <w:r w:rsidR="00E70443">
        <w:rPr>
          <w:noProof/>
        </w:rPr>
        <w:t>3</w:t>
      </w:r>
      <w:r w:rsidR="00E70443">
        <w:rPr>
          <w:noProof/>
        </w:rPr>
        <w:fldChar w:fldCharType="end"/>
      </w:r>
      <w:r>
        <w:t xml:space="preserve"> Percentage of tests applied to each commodity group</w:t>
      </w:r>
      <w:bookmarkEnd w:id="28"/>
    </w:p>
    <w:p w14:paraId="547961DE" w14:textId="77777777" w:rsidR="00A072D0" w:rsidRDefault="009576A5">
      <w:r>
        <w:rPr>
          <w:noProof/>
          <w:lang w:eastAsia="en-AU"/>
        </w:rPr>
        <w:drawing>
          <wp:inline distT="0" distB="0" distL="0" distR="0" wp14:anchorId="12E1F282" wp14:editId="030289C3">
            <wp:extent cx="4288155" cy="2410210"/>
            <wp:effectExtent l="0" t="0" r="17145" b="9525"/>
            <wp:docPr id="2" name="Chart 2" descr="Seafood 15.4 percent&#10;Beverages 9.4 percent&#10;Meat 5 percent&#10;Horticulture 14.5 percent&#10;Honey less than 1 percent&#10;Eggs less than one percent&#10;Dair 7.1 percent&#10;Cereals 4.1 percent&#10;Other 44 percent"/>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FAC683A" w14:textId="77777777" w:rsidR="00A072D0" w:rsidRDefault="009576A5">
      <w:pPr>
        <w:pStyle w:val="Figuretablenotesource"/>
      </w:pPr>
      <w:r>
        <w:t>Data source: AIMS database</w:t>
      </w:r>
    </w:p>
    <w:p w14:paraId="24274619" w14:textId="77777777" w:rsidR="00A072D0" w:rsidRDefault="009576A5">
      <w:r>
        <w:t>Appendix 1 provides an overview of the analytical tests applied to the commodity groups and Appendix 2 provides a list of the tariff codes associated with each commodity grouping used for this report.</w:t>
      </w:r>
    </w:p>
    <w:p w14:paraId="11B8FC6F" w14:textId="77777777" w:rsidR="00A072D0" w:rsidRDefault="009576A5">
      <w:pPr>
        <w:pStyle w:val="Caption"/>
      </w:pPr>
      <w:bookmarkStart w:id="29" w:name="_Toc369867481"/>
      <w:bookmarkStart w:id="30" w:name="_Toc469062403"/>
      <w:r>
        <w:t xml:space="preserve">Table </w:t>
      </w:r>
      <w:r w:rsidR="00E70443">
        <w:fldChar w:fldCharType="begin"/>
      </w:r>
      <w:r w:rsidR="00E70443">
        <w:instrText xml:space="preserve"> SEQ Table \* ARABIC </w:instrText>
      </w:r>
      <w:r w:rsidR="00E70443">
        <w:fldChar w:fldCharType="separate"/>
      </w:r>
      <w:r w:rsidR="00E70443">
        <w:rPr>
          <w:noProof/>
        </w:rPr>
        <w:t>1</w:t>
      </w:r>
      <w:r w:rsidR="00E70443">
        <w:rPr>
          <w:noProof/>
        </w:rPr>
        <w:fldChar w:fldCharType="end"/>
      </w:r>
      <w:r>
        <w:t xml:space="preserve"> Inspection and test data, by commodity group</w:t>
      </w:r>
      <w:bookmarkEnd w:id="29"/>
      <w:bookmarkEnd w:id="30"/>
    </w:p>
    <w:tbl>
      <w:tblPr>
        <w:tblW w:w="5000" w:type="pct"/>
        <w:tblBorders>
          <w:top w:val="single" w:sz="4" w:space="0" w:color="auto"/>
          <w:bottom w:val="single" w:sz="4" w:space="0" w:color="auto"/>
        </w:tblBorders>
        <w:tblLook w:val="04A0" w:firstRow="1" w:lastRow="0" w:firstColumn="1" w:lastColumn="0" w:noHBand="0" w:noVBand="1"/>
      </w:tblPr>
      <w:tblGrid>
        <w:gridCol w:w="2446"/>
        <w:gridCol w:w="1399"/>
        <w:gridCol w:w="1487"/>
        <w:gridCol w:w="1756"/>
        <w:gridCol w:w="1212"/>
      </w:tblGrid>
      <w:tr w:rsidR="00A072D0" w14:paraId="7DDCA8F0" w14:textId="77777777" w:rsidTr="00D32174">
        <w:trPr>
          <w:cantSplit/>
          <w:tblHeader/>
        </w:trPr>
        <w:tc>
          <w:tcPr>
            <w:tcW w:w="1473" w:type="pct"/>
            <w:shd w:val="clear" w:color="auto" w:fill="auto"/>
          </w:tcPr>
          <w:p w14:paraId="00B8EF84" w14:textId="77777777" w:rsidR="00A072D0" w:rsidRDefault="009576A5">
            <w:pPr>
              <w:pStyle w:val="Tableheading"/>
            </w:pPr>
            <w:r>
              <w:t>Commodity group</w:t>
            </w:r>
          </w:p>
        </w:tc>
        <w:tc>
          <w:tcPr>
            <w:tcW w:w="843" w:type="pct"/>
          </w:tcPr>
          <w:p w14:paraId="51C94F7A" w14:textId="77777777" w:rsidR="00A072D0" w:rsidRDefault="009576A5">
            <w:pPr>
              <w:pStyle w:val="Tableheading"/>
              <w:jc w:val="right"/>
            </w:pPr>
            <w:r>
              <w:t>No. of tests applied</w:t>
            </w:r>
          </w:p>
        </w:tc>
        <w:tc>
          <w:tcPr>
            <w:tcW w:w="896" w:type="pct"/>
            <w:shd w:val="clear" w:color="auto" w:fill="auto"/>
          </w:tcPr>
          <w:p w14:paraId="32FAE1D3" w14:textId="799B6501" w:rsidR="00A072D0" w:rsidRDefault="009576A5">
            <w:pPr>
              <w:pStyle w:val="Tableheading"/>
              <w:jc w:val="right"/>
            </w:pPr>
            <w:r>
              <w:t>No. compliant</w:t>
            </w:r>
          </w:p>
        </w:tc>
        <w:tc>
          <w:tcPr>
            <w:tcW w:w="1058" w:type="pct"/>
          </w:tcPr>
          <w:p w14:paraId="5DB62D2C" w14:textId="77777777" w:rsidR="00A072D0" w:rsidRDefault="009576A5">
            <w:pPr>
              <w:pStyle w:val="Tableheading"/>
              <w:jc w:val="right"/>
            </w:pPr>
            <w:r>
              <w:t>No. non</w:t>
            </w:r>
            <w:r>
              <w:noBreakHyphen/>
              <w:t>compliant</w:t>
            </w:r>
          </w:p>
        </w:tc>
        <w:tc>
          <w:tcPr>
            <w:tcW w:w="730" w:type="pct"/>
          </w:tcPr>
          <w:p w14:paraId="30EFE2CD" w14:textId="77777777" w:rsidR="00A072D0" w:rsidRDefault="009576A5">
            <w:pPr>
              <w:pStyle w:val="Tableheading"/>
              <w:jc w:val="right"/>
            </w:pPr>
            <w:r>
              <w:t>Compliance rate (%)</w:t>
            </w:r>
          </w:p>
        </w:tc>
      </w:tr>
      <w:tr w:rsidR="00A072D0" w14:paraId="6BEBEC79" w14:textId="77777777" w:rsidTr="007741A1">
        <w:trPr>
          <w:cantSplit/>
        </w:trPr>
        <w:tc>
          <w:tcPr>
            <w:tcW w:w="1473" w:type="pct"/>
            <w:shd w:val="clear" w:color="auto" w:fill="auto"/>
            <w:vAlign w:val="center"/>
          </w:tcPr>
          <w:p w14:paraId="1549F08F" w14:textId="77777777" w:rsidR="00A072D0" w:rsidRDefault="009576A5">
            <w:pPr>
              <w:pStyle w:val="Tabletext"/>
            </w:pPr>
            <w:r>
              <w:t>Beverages</w:t>
            </w:r>
          </w:p>
        </w:tc>
        <w:tc>
          <w:tcPr>
            <w:tcW w:w="843" w:type="pct"/>
            <w:vAlign w:val="center"/>
          </w:tcPr>
          <w:p w14:paraId="509E4AAE" w14:textId="1E41A268" w:rsidR="00A072D0" w:rsidRDefault="009576A5">
            <w:pPr>
              <w:pStyle w:val="Tabletext"/>
              <w:jc w:val="right"/>
            </w:pPr>
            <w:r>
              <w:t>4 145</w:t>
            </w:r>
          </w:p>
        </w:tc>
        <w:tc>
          <w:tcPr>
            <w:tcW w:w="896" w:type="pct"/>
            <w:shd w:val="clear" w:color="auto" w:fill="auto"/>
            <w:vAlign w:val="center"/>
          </w:tcPr>
          <w:p w14:paraId="63A3DFE8" w14:textId="09F131F9" w:rsidR="00A072D0" w:rsidRDefault="009576A5">
            <w:pPr>
              <w:pStyle w:val="Tabletext"/>
              <w:jc w:val="right"/>
            </w:pPr>
            <w:r>
              <w:t>4 086</w:t>
            </w:r>
          </w:p>
        </w:tc>
        <w:tc>
          <w:tcPr>
            <w:tcW w:w="1058" w:type="pct"/>
            <w:vAlign w:val="center"/>
          </w:tcPr>
          <w:p w14:paraId="20D1BA4C" w14:textId="77777777" w:rsidR="00A072D0" w:rsidRDefault="009576A5">
            <w:pPr>
              <w:pStyle w:val="Tabletext"/>
              <w:jc w:val="right"/>
            </w:pPr>
            <w:r>
              <w:t>59</w:t>
            </w:r>
          </w:p>
        </w:tc>
        <w:tc>
          <w:tcPr>
            <w:tcW w:w="730" w:type="pct"/>
            <w:vAlign w:val="center"/>
          </w:tcPr>
          <w:p w14:paraId="28E4C87B" w14:textId="77777777" w:rsidR="00A072D0" w:rsidRDefault="009576A5">
            <w:pPr>
              <w:pStyle w:val="Tabletext"/>
              <w:jc w:val="right"/>
            </w:pPr>
            <w:r>
              <w:t>98.6</w:t>
            </w:r>
          </w:p>
        </w:tc>
      </w:tr>
      <w:tr w:rsidR="00A072D0" w14:paraId="3087DCFE" w14:textId="77777777" w:rsidTr="007741A1">
        <w:trPr>
          <w:cantSplit/>
        </w:trPr>
        <w:tc>
          <w:tcPr>
            <w:tcW w:w="1473" w:type="pct"/>
            <w:shd w:val="clear" w:color="auto" w:fill="auto"/>
            <w:vAlign w:val="center"/>
          </w:tcPr>
          <w:p w14:paraId="54DBDD56" w14:textId="77777777" w:rsidR="00A072D0" w:rsidRDefault="009576A5">
            <w:pPr>
              <w:pStyle w:val="Tabletext"/>
            </w:pPr>
            <w:r>
              <w:t>Cereals, flours and milled products</w:t>
            </w:r>
          </w:p>
        </w:tc>
        <w:tc>
          <w:tcPr>
            <w:tcW w:w="843" w:type="pct"/>
            <w:vAlign w:val="center"/>
          </w:tcPr>
          <w:p w14:paraId="11C6FDFE" w14:textId="5700208F" w:rsidR="00A072D0" w:rsidRDefault="009576A5">
            <w:pPr>
              <w:pStyle w:val="Tabletext"/>
              <w:jc w:val="right"/>
            </w:pPr>
            <w:r>
              <w:t>1 813</w:t>
            </w:r>
          </w:p>
        </w:tc>
        <w:tc>
          <w:tcPr>
            <w:tcW w:w="896" w:type="pct"/>
            <w:shd w:val="clear" w:color="auto" w:fill="auto"/>
            <w:vAlign w:val="center"/>
          </w:tcPr>
          <w:p w14:paraId="1A0AB345" w14:textId="14EC0F84" w:rsidR="00A072D0" w:rsidRDefault="009576A5">
            <w:pPr>
              <w:pStyle w:val="Tabletext"/>
              <w:jc w:val="right"/>
            </w:pPr>
            <w:r>
              <w:t>1 800</w:t>
            </w:r>
          </w:p>
        </w:tc>
        <w:tc>
          <w:tcPr>
            <w:tcW w:w="1058" w:type="pct"/>
            <w:vAlign w:val="center"/>
          </w:tcPr>
          <w:p w14:paraId="278C282C" w14:textId="77777777" w:rsidR="00A072D0" w:rsidRDefault="009576A5">
            <w:pPr>
              <w:pStyle w:val="Tabletext"/>
              <w:jc w:val="right"/>
            </w:pPr>
            <w:r>
              <w:t>13</w:t>
            </w:r>
          </w:p>
        </w:tc>
        <w:tc>
          <w:tcPr>
            <w:tcW w:w="730" w:type="pct"/>
            <w:vAlign w:val="center"/>
          </w:tcPr>
          <w:p w14:paraId="46EDEC1D" w14:textId="77777777" w:rsidR="00A072D0" w:rsidRDefault="009576A5">
            <w:pPr>
              <w:pStyle w:val="Tabletext"/>
              <w:jc w:val="right"/>
            </w:pPr>
            <w:r>
              <w:t>99.3</w:t>
            </w:r>
          </w:p>
        </w:tc>
      </w:tr>
      <w:tr w:rsidR="00A072D0" w14:paraId="27DC0BA9" w14:textId="77777777" w:rsidTr="007741A1">
        <w:trPr>
          <w:cantSplit/>
        </w:trPr>
        <w:tc>
          <w:tcPr>
            <w:tcW w:w="1473" w:type="pct"/>
            <w:shd w:val="clear" w:color="auto" w:fill="auto"/>
            <w:vAlign w:val="center"/>
          </w:tcPr>
          <w:p w14:paraId="6735C88C" w14:textId="77777777" w:rsidR="00A072D0" w:rsidRDefault="009576A5">
            <w:pPr>
              <w:pStyle w:val="Tabletext"/>
            </w:pPr>
            <w:r>
              <w:t>Dairy</w:t>
            </w:r>
          </w:p>
        </w:tc>
        <w:tc>
          <w:tcPr>
            <w:tcW w:w="843" w:type="pct"/>
            <w:vAlign w:val="center"/>
          </w:tcPr>
          <w:p w14:paraId="155B9F9E" w14:textId="3AEDF14E" w:rsidR="00A072D0" w:rsidRDefault="009576A5">
            <w:pPr>
              <w:pStyle w:val="Tabletext"/>
              <w:jc w:val="right"/>
            </w:pPr>
            <w:r>
              <w:t>3 133</w:t>
            </w:r>
          </w:p>
        </w:tc>
        <w:tc>
          <w:tcPr>
            <w:tcW w:w="896" w:type="pct"/>
            <w:shd w:val="clear" w:color="auto" w:fill="auto"/>
            <w:vAlign w:val="center"/>
          </w:tcPr>
          <w:p w14:paraId="7707346E" w14:textId="1E7A4C78" w:rsidR="00A072D0" w:rsidRDefault="009576A5">
            <w:pPr>
              <w:pStyle w:val="Tabletext"/>
              <w:jc w:val="right"/>
            </w:pPr>
            <w:r>
              <w:t>3 121</w:t>
            </w:r>
          </w:p>
        </w:tc>
        <w:tc>
          <w:tcPr>
            <w:tcW w:w="1058" w:type="pct"/>
            <w:vAlign w:val="center"/>
          </w:tcPr>
          <w:p w14:paraId="6A735D77" w14:textId="77777777" w:rsidR="00A072D0" w:rsidRDefault="009576A5">
            <w:pPr>
              <w:pStyle w:val="Tabletext"/>
              <w:jc w:val="right"/>
            </w:pPr>
            <w:r>
              <w:t>12</w:t>
            </w:r>
          </w:p>
        </w:tc>
        <w:tc>
          <w:tcPr>
            <w:tcW w:w="730" w:type="pct"/>
            <w:vAlign w:val="center"/>
          </w:tcPr>
          <w:p w14:paraId="66D581A9" w14:textId="77777777" w:rsidR="00A072D0" w:rsidRDefault="009576A5">
            <w:pPr>
              <w:pStyle w:val="Tabletext"/>
              <w:jc w:val="right"/>
            </w:pPr>
            <w:r>
              <w:t>99.6</w:t>
            </w:r>
          </w:p>
        </w:tc>
      </w:tr>
      <w:tr w:rsidR="00A072D0" w14:paraId="1C570B0B" w14:textId="77777777" w:rsidTr="007741A1">
        <w:trPr>
          <w:cantSplit/>
          <w:trHeight w:val="53"/>
        </w:trPr>
        <w:tc>
          <w:tcPr>
            <w:tcW w:w="1473" w:type="pct"/>
            <w:shd w:val="clear" w:color="auto" w:fill="auto"/>
            <w:vAlign w:val="center"/>
          </w:tcPr>
          <w:p w14:paraId="3FB80F03" w14:textId="77777777" w:rsidR="00A072D0" w:rsidRDefault="009576A5">
            <w:pPr>
              <w:pStyle w:val="Tabletext"/>
              <w:rPr>
                <w:highlight w:val="yellow"/>
              </w:rPr>
            </w:pPr>
            <w:r>
              <w:t>Eggs</w:t>
            </w:r>
          </w:p>
        </w:tc>
        <w:tc>
          <w:tcPr>
            <w:tcW w:w="843" w:type="pct"/>
            <w:vAlign w:val="center"/>
          </w:tcPr>
          <w:p w14:paraId="1324BDE9" w14:textId="554F11A1" w:rsidR="00A072D0" w:rsidRDefault="009576A5">
            <w:pPr>
              <w:pStyle w:val="Tabletext"/>
              <w:jc w:val="right"/>
            </w:pPr>
            <w:r>
              <w:t>10</w:t>
            </w:r>
          </w:p>
        </w:tc>
        <w:tc>
          <w:tcPr>
            <w:tcW w:w="896" w:type="pct"/>
            <w:shd w:val="clear" w:color="auto" w:fill="auto"/>
            <w:vAlign w:val="center"/>
          </w:tcPr>
          <w:p w14:paraId="039642A1" w14:textId="1670BA20" w:rsidR="00A072D0" w:rsidRDefault="009576A5">
            <w:pPr>
              <w:pStyle w:val="Tabletext"/>
              <w:jc w:val="right"/>
            </w:pPr>
            <w:r>
              <w:t>10</w:t>
            </w:r>
          </w:p>
        </w:tc>
        <w:tc>
          <w:tcPr>
            <w:tcW w:w="1058" w:type="pct"/>
            <w:vAlign w:val="center"/>
          </w:tcPr>
          <w:p w14:paraId="3686C9B2" w14:textId="77777777" w:rsidR="00A072D0" w:rsidRDefault="009576A5">
            <w:pPr>
              <w:pStyle w:val="Tabletext"/>
              <w:jc w:val="right"/>
            </w:pPr>
            <w:r>
              <w:t>0</w:t>
            </w:r>
          </w:p>
        </w:tc>
        <w:tc>
          <w:tcPr>
            <w:tcW w:w="730" w:type="pct"/>
            <w:vAlign w:val="center"/>
          </w:tcPr>
          <w:p w14:paraId="6BF475C6" w14:textId="77777777" w:rsidR="00A072D0" w:rsidRDefault="009576A5">
            <w:pPr>
              <w:pStyle w:val="Tabletext"/>
              <w:jc w:val="right"/>
            </w:pPr>
            <w:r>
              <w:t>100.0</w:t>
            </w:r>
          </w:p>
        </w:tc>
      </w:tr>
      <w:tr w:rsidR="00A072D0" w14:paraId="0DCA8A5E" w14:textId="77777777" w:rsidTr="007741A1">
        <w:trPr>
          <w:cantSplit/>
        </w:trPr>
        <w:tc>
          <w:tcPr>
            <w:tcW w:w="1473" w:type="pct"/>
            <w:shd w:val="clear" w:color="auto" w:fill="auto"/>
            <w:vAlign w:val="center"/>
          </w:tcPr>
          <w:p w14:paraId="524F5DDE" w14:textId="77777777" w:rsidR="00A072D0" w:rsidRDefault="009576A5">
            <w:pPr>
              <w:pStyle w:val="Tabletext"/>
            </w:pPr>
            <w:r>
              <w:t>Honey</w:t>
            </w:r>
          </w:p>
        </w:tc>
        <w:tc>
          <w:tcPr>
            <w:tcW w:w="843" w:type="pct"/>
            <w:vAlign w:val="center"/>
          </w:tcPr>
          <w:p w14:paraId="49D0E251" w14:textId="00425C4D" w:rsidR="00A072D0" w:rsidRDefault="009576A5">
            <w:pPr>
              <w:pStyle w:val="Tabletext"/>
              <w:jc w:val="right"/>
            </w:pPr>
            <w:r>
              <w:t>43</w:t>
            </w:r>
          </w:p>
        </w:tc>
        <w:tc>
          <w:tcPr>
            <w:tcW w:w="896" w:type="pct"/>
            <w:shd w:val="clear" w:color="auto" w:fill="auto"/>
            <w:vAlign w:val="center"/>
          </w:tcPr>
          <w:p w14:paraId="6D872101" w14:textId="2805DBC4" w:rsidR="00A072D0" w:rsidRDefault="009576A5">
            <w:pPr>
              <w:pStyle w:val="Tabletext"/>
              <w:jc w:val="right"/>
            </w:pPr>
            <w:r>
              <w:t>42</w:t>
            </w:r>
          </w:p>
        </w:tc>
        <w:tc>
          <w:tcPr>
            <w:tcW w:w="1058" w:type="pct"/>
            <w:vAlign w:val="center"/>
          </w:tcPr>
          <w:p w14:paraId="740A0C8F" w14:textId="77777777" w:rsidR="00A072D0" w:rsidRDefault="009576A5">
            <w:pPr>
              <w:pStyle w:val="Tabletext"/>
              <w:jc w:val="right"/>
            </w:pPr>
            <w:r>
              <w:t>1</w:t>
            </w:r>
          </w:p>
        </w:tc>
        <w:tc>
          <w:tcPr>
            <w:tcW w:w="730" w:type="pct"/>
            <w:vAlign w:val="center"/>
          </w:tcPr>
          <w:p w14:paraId="4090CB0D" w14:textId="77777777" w:rsidR="00A072D0" w:rsidRDefault="009576A5">
            <w:pPr>
              <w:pStyle w:val="Tabletext"/>
              <w:jc w:val="right"/>
            </w:pPr>
            <w:r>
              <w:t>97.7</w:t>
            </w:r>
          </w:p>
        </w:tc>
      </w:tr>
      <w:tr w:rsidR="00A072D0" w14:paraId="268686B6" w14:textId="77777777" w:rsidTr="007741A1">
        <w:trPr>
          <w:cantSplit/>
        </w:trPr>
        <w:tc>
          <w:tcPr>
            <w:tcW w:w="1473" w:type="pct"/>
            <w:shd w:val="clear" w:color="auto" w:fill="auto"/>
            <w:vAlign w:val="center"/>
          </w:tcPr>
          <w:p w14:paraId="2E2AE70E" w14:textId="77777777" w:rsidR="00A072D0" w:rsidRDefault="009576A5">
            <w:pPr>
              <w:pStyle w:val="Tabletext"/>
            </w:pPr>
            <w:r>
              <w:t>Horticulture</w:t>
            </w:r>
          </w:p>
        </w:tc>
        <w:tc>
          <w:tcPr>
            <w:tcW w:w="843" w:type="pct"/>
            <w:vAlign w:val="center"/>
          </w:tcPr>
          <w:p w14:paraId="3EEED2B0" w14:textId="0CDBA87A" w:rsidR="00A072D0" w:rsidRDefault="009576A5">
            <w:pPr>
              <w:pStyle w:val="Tabletext"/>
              <w:jc w:val="right"/>
            </w:pPr>
            <w:r>
              <w:t>6 404</w:t>
            </w:r>
          </w:p>
        </w:tc>
        <w:tc>
          <w:tcPr>
            <w:tcW w:w="896" w:type="pct"/>
            <w:shd w:val="clear" w:color="auto" w:fill="auto"/>
            <w:vAlign w:val="center"/>
          </w:tcPr>
          <w:p w14:paraId="6B15722B" w14:textId="39BF6438" w:rsidR="00A072D0" w:rsidRDefault="009576A5">
            <w:pPr>
              <w:pStyle w:val="Tabletext"/>
              <w:jc w:val="right"/>
            </w:pPr>
            <w:r>
              <w:t>6 330</w:t>
            </w:r>
          </w:p>
        </w:tc>
        <w:tc>
          <w:tcPr>
            <w:tcW w:w="1058" w:type="pct"/>
            <w:vAlign w:val="center"/>
          </w:tcPr>
          <w:p w14:paraId="30C9B95C" w14:textId="77777777" w:rsidR="00A072D0" w:rsidRDefault="009576A5">
            <w:pPr>
              <w:pStyle w:val="Tabletext"/>
              <w:jc w:val="right"/>
            </w:pPr>
            <w:r>
              <w:t>74</w:t>
            </w:r>
          </w:p>
        </w:tc>
        <w:tc>
          <w:tcPr>
            <w:tcW w:w="730" w:type="pct"/>
            <w:vAlign w:val="center"/>
          </w:tcPr>
          <w:p w14:paraId="45D8BAE4" w14:textId="77777777" w:rsidR="00A072D0" w:rsidRDefault="009576A5">
            <w:pPr>
              <w:pStyle w:val="Tabletext"/>
              <w:jc w:val="right"/>
            </w:pPr>
            <w:r>
              <w:t>98.8</w:t>
            </w:r>
          </w:p>
        </w:tc>
      </w:tr>
      <w:tr w:rsidR="00A072D0" w14:paraId="5A3C37EF" w14:textId="77777777" w:rsidTr="007741A1">
        <w:trPr>
          <w:cantSplit/>
        </w:trPr>
        <w:tc>
          <w:tcPr>
            <w:tcW w:w="1473" w:type="pct"/>
            <w:shd w:val="clear" w:color="auto" w:fill="auto"/>
            <w:vAlign w:val="center"/>
          </w:tcPr>
          <w:p w14:paraId="11EAAB58" w14:textId="77777777" w:rsidR="00A072D0" w:rsidRDefault="009576A5">
            <w:pPr>
              <w:pStyle w:val="Tabletext"/>
            </w:pPr>
            <w:r>
              <w:t>Meat</w:t>
            </w:r>
          </w:p>
        </w:tc>
        <w:tc>
          <w:tcPr>
            <w:tcW w:w="843" w:type="pct"/>
            <w:vAlign w:val="center"/>
          </w:tcPr>
          <w:p w14:paraId="72BBFD6C" w14:textId="61DB1421" w:rsidR="00A072D0" w:rsidRDefault="009576A5">
            <w:pPr>
              <w:pStyle w:val="Tabletext"/>
              <w:jc w:val="right"/>
            </w:pPr>
            <w:r>
              <w:t>2 195</w:t>
            </w:r>
          </w:p>
        </w:tc>
        <w:tc>
          <w:tcPr>
            <w:tcW w:w="896" w:type="pct"/>
            <w:shd w:val="clear" w:color="auto" w:fill="auto"/>
            <w:vAlign w:val="center"/>
          </w:tcPr>
          <w:p w14:paraId="30F609C1" w14:textId="7989EC44" w:rsidR="00A072D0" w:rsidRDefault="009576A5">
            <w:pPr>
              <w:pStyle w:val="Tabletext"/>
              <w:jc w:val="right"/>
            </w:pPr>
            <w:r>
              <w:t>2 193</w:t>
            </w:r>
          </w:p>
        </w:tc>
        <w:tc>
          <w:tcPr>
            <w:tcW w:w="1058" w:type="pct"/>
            <w:vAlign w:val="center"/>
          </w:tcPr>
          <w:p w14:paraId="69E0EBC8" w14:textId="77777777" w:rsidR="00A072D0" w:rsidRDefault="009576A5">
            <w:pPr>
              <w:pStyle w:val="Tabletext"/>
              <w:jc w:val="right"/>
            </w:pPr>
            <w:r>
              <w:t>2</w:t>
            </w:r>
          </w:p>
        </w:tc>
        <w:tc>
          <w:tcPr>
            <w:tcW w:w="730" w:type="pct"/>
            <w:vAlign w:val="center"/>
          </w:tcPr>
          <w:p w14:paraId="74C23A1C" w14:textId="77777777" w:rsidR="00A072D0" w:rsidRDefault="009576A5">
            <w:pPr>
              <w:pStyle w:val="Tabletext"/>
              <w:jc w:val="right"/>
            </w:pPr>
            <w:r>
              <w:t>99.9</w:t>
            </w:r>
          </w:p>
        </w:tc>
      </w:tr>
      <w:tr w:rsidR="00A072D0" w14:paraId="72155EF6" w14:textId="77777777" w:rsidTr="00D32174">
        <w:trPr>
          <w:cantSplit/>
          <w:tblHeader/>
        </w:trPr>
        <w:tc>
          <w:tcPr>
            <w:tcW w:w="1473" w:type="pct"/>
            <w:shd w:val="clear" w:color="auto" w:fill="auto"/>
          </w:tcPr>
          <w:p w14:paraId="533ABE17" w14:textId="77777777" w:rsidR="00A072D0" w:rsidRDefault="009576A5">
            <w:pPr>
              <w:pStyle w:val="Tabletext"/>
            </w:pPr>
            <w:r>
              <w:lastRenderedPageBreak/>
              <w:t>Seafood</w:t>
            </w:r>
          </w:p>
        </w:tc>
        <w:tc>
          <w:tcPr>
            <w:tcW w:w="843" w:type="pct"/>
            <w:vAlign w:val="bottom"/>
          </w:tcPr>
          <w:p w14:paraId="0F9B5246" w14:textId="2CA02CF7" w:rsidR="00A072D0" w:rsidRDefault="009576A5">
            <w:pPr>
              <w:pStyle w:val="Tabletext"/>
              <w:jc w:val="right"/>
            </w:pPr>
            <w:r>
              <w:t>19 377</w:t>
            </w:r>
          </w:p>
        </w:tc>
        <w:tc>
          <w:tcPr>
            <w:tcW w:w="896" w:type="pct"/>
            <w:shd w:val="clear" w:color="auto" w:fill="auto"/>
            <w:vAlign w:val="bottom"/>
          </w:tcPr>
          <w:p w14:paraId="54AFF9B5" w14:textId="3B39E69D" w:rsidR="00A072D0" w:rsidRDefault="009576A5">
            <w:pPr>
              <w:pStyle w:val="Tabletext"/>
              <w:jc w:val="right"/>
            </w:pPr>
            <w:r>
              <w:t>19 119</w:t>
            </w:r>
          </w:p>
        </w:tc>
        <w:tc>
          <w:tcPr>
            <w:tcW w:w="1058" w:type="pct"/>
          </w:tcPr>
          <w:p w14:paraId="7E0B6A05" w14:textId="77777777" w:rsidR="00A072D0" w:rsidRDefault="009576A5">
            <w:pPr>
              <w:pStyle w:val="Tabletext"/>
              <w:jc w:val="right"/>
            </w:pPr>
            <w:r>
              <w:t>258</w:t>
            </w:r>
          </w:p>
        </w:tc>
        <w:tc>
          <w:tcPr>
            <w:tcW w:w="730" w:type="pct"/>
            <w:vAlign w:val="bottom"/>
          </w:tcPr>
          <w:p w14:paraId="16EF36C8" w14:textId="77777777" w:rsidR="00A072D0" w:rsidRDefault="009576A5">
            <w:pPr>
              <w:pStyle w:val="Tabletext"/>
              <w:jc w:val="right"/>
            </w:pPr>
            <w:r>
              <w:t>98.7</w:t>
            </w:r>
          </w:p>
        </w:tc>
      </w:tr>
      <w:tr w:rsidR="00A072D0" w14:paraId="60587060" w14:textId="77777777" w:rsidTr="00D32174">
        <w:trPr>
          <w:cantSplit/>
        </w:trPr>
        <w:tc>
          <w:tcPr>
            <w:tcW w:w="1473" w:type="pct"/>
            <w:shd w:val="clear" w:color="auto" w:fill="auto"/>
          </w:tcPr>
          <w:p w14:paraId="38E8E812" w14:textId="77777777" w:rsidR="00A072D0" w:rsidRDefault="009576A5">
            <w:pPr>
              <w:pStyle w:val="Tabletext"/>
            </w:pPr>
            <w:r>
              <w:t>Other (incl. processed food)</w:t>
            </w:r>
          </w:p>
        </w:tc>
        <w:tc>
          <w:tcPr>
            <w:tcW w:w="843" w:type="pct"/>
            <w:vAlign w:val="bottom"/>
          </w:tcPr>
          <w:p w14:paraId="5A1BD92C" w14:textId="17E9DB5F" w:rsidR="00A072D0" w:rsidRDefault="009576A5">
            <w:pPr>
              <w:pStyle w:val="Tabletext"/>
              <w:jc w:val="right"/>
            </w:pPr>
            <w:r>
              <w:t>6 947</w:t>
            </w:r>
          </w:p>
        </w:tc>
        <w:tc>
          <w:tcPr>
            <w:tcW w:w="896" w:type="pct"/>
            <w:shd w:val="clear" w:color="auto" w:fill="auto"/>
            <w:vAlign w:val="bottom"/>
          </w:tcPr>
          <w:p w14:paraId="796756A1" w14:textId="3750DCE4" w:rsidR="00A072D0" w:rsidRDefault="009576A5">
            <w:pPr>
              <w:pStyle w:val="Tabletext"/>
              <w:jc w:val="right"/>
            </w:pPr>
            <w:r>
              <w:t>6 891</w:t>
            </w:r>
          </w:p>
        </w:tc>
        <w:tc>
          <w:tcPr>
            <w:tcW w:w="1058" w:type="pct"/>
          </w:tcPr>
          <w:p w14:paraId="0C73630A" w14:textId="77777777" w:rsidR="00A072D0" w:rsidRDefault="009576A5">
            <w:pPr>
              <w:pStyle w:val="Tabletext"/>
              <w:jc w:val="right"/>
            </w:pPr>
            <w:r>
              <w:t>56</w:t>
            </w:r>
          </w:p>
        </w:tc>
        <w:tc>
          <w:tcPr>
            <w:tcW w:w="730" w:type="pct"/>
            <w:vAlign w:val="bottom"/>
          </w:tcPr>
          <w:p w14:paraId="41AB368C" w14:textId="77777777" w:rsidR="00A072D0" w:rsidRDefault="009576A5">
            <w:pPr>
              <w:pStyle w:val="Tabletext"/>
              <w:jc w:val="right"/>
            </w:pPr>
            <w:r>
              <w:t>99.2</w:t>
            </w:r>
          </w:p>
        </w:tc>
      </w:tr>
      <w:tr w:rsidR="00A072D0" w14:paraId="3369D0D4" w14:textId="77777777" w:rsidTr="00D32174">
        <w:trPr>
          <w:cantSplit/>
        </w:trPr>
        <w:tc>
          <w:tcPr>
            <w:tcW w:w="1473" w:type="pct"/>
            <w:shd w:val="clear" w:color="auto" w:fill="auto"/>
          </w:tcPr>
          <w:p w14:paraId="3BDBF2B5" w14:textId="77777777" w:rsidR="00A072D0" w:rsidRDefault="009576A5">
            <w:pPr>
              <w:pStyle w:val="Tabletext"/>
              <w:rPr>
                <w:b/>
              </w:rPr>
            </w:pPr>
            <w:r>
              <w:rPr>
                <w:b/>
              </w:rPr>
              <w:t>Total</w:t>
            </w:r>
          </w:p>
        </w:tc>
        <w:tc>
          <w:tcPr>
            <w:tcW w:w="843" w:type="pct"/>
            <w:vAlign w:val="bottom"/>
          </w:tcPr>
          <w:p w14:paraId="7FFAEFCD" w14:textId="0191849C" w:rsidR="00A072D0" w:rsidRDefault="009576A5">
            <w:pPr>
              <w:pStyle w:val="Tabletext"/>
              <w:jc w:val="right"/>
            </w:pPr>
            <w:r>
              <w:t>44 067</w:t>
            </w:r>
          </w:p>
        </w:tc>
        <w:tc>
          <w:tcPr>
            <w:tcW w:w="896" w:type="pct"/>
            <w:shd w:val="clear" w:color="auto" w:fill="auto"/>
            <w:vAlign w:val="bottom"/>
          </w:tcPr>
          <w:p w14:paraId="58CE9ACF" w14:textId="3436F816" w:rsidR="00A072D0" w:rsidRDefault="009576A5">
            <w:pPr>
              <w:pStyle w:val="Tabletext"/>
              <w:jc w:val="right"/>
            </w:pPr>
            <w:r>
              <w:t>43 592</w:t>
            </w:r>
          </w:p>
        </w:tc>
        <w:tc>
          <w:tcPr>
            <w:tcW w:w="1058" w:type="pct"/>
          </w:tcPr>
          <w:p w14:paraId="0915E379" w14:textId="77777777" w:rsidR="00A072D0" w:rsidRDefault="009576A5">
            <w:pPr>
              <w:pStyle w:val="Tabletext"/>
              <w:jc w:val="right"/>
            </w:pPr>
            <w:r>
              <w:t>475</w:t>
            </w:r>
          </w:p>
        </w:tc>
        <w:tc>
          <w:tcPr>
            <w:tcW w:w="730" w:type="pct"/>
            <w:vAlign w:val="bottom"/>
          </w:tcPr>
          <w:p w14:paraId="27C45E7E" w14:textId="77777777" w:rsidR="00A072D0" w:rsidRDefault="009576A5">
            <w:pPr>
              <w:pStyle w:val="Tabletext"/>
              <w:jc w:val="right"/>
            </w:pPr>
            <w:r>
              <w:t>98.9</w:t>
            </w:r>
          </w:p>
        </w:tc>
      </w:tr>
    </w:tbl>
    <w:p w14:paraId="7D7D32AC" w14:textId="77777777" w:rsidR="00A072D0" w:rsidRDefault="009576A5">
      <w:pPr>
        <w:pStyle w:val="Figuretablenotesource"/>
      </w:pPr>
      <w:r>
        <w:t>Source: AIMS database</w:t>
      </w:r>
    </w:p>
    <w:p w14:paraId="470DF2A2" w14:textId="77777777" w:rsidR="00A072D0" w:rsidRDefault="009576A5" w:rsidP="00D32174">
      <w:pPr>
        <w:pStyle w:val="Heading3"/>
      </w:pPr>
      <w:bookmarkStart w:id="31" w:name="_Toc369764302"/>
      <w:bookmarkStart w:id="32" w:name="_Toc469066612"/>
      <w:r>
        <w:t>Country of origin</w:t>
      </w:r>
      <w:bookmarkEnd w:id="31"/>
      <w:bookmarkEnd w:id="32"/>
    </w:p>
    <w:p w14:paraId="7D221E52" w14:textId="77777777" w:rsidR="00A072D0" w:rsidRDefault="009576A5">
      <w:r>
        <w:t>Under the Imported Food Inspection Scheme, food is inspected based on its risk and/or frequency of importation. Country of origin is not generally targeted under routine inspections, but exceptions include where a food has previously failed inspection.</w:t>
      </w:r>
    </w:p>
    <w:p w14:paraId="20F21817" w14:textId="77777777" w:rsidR="00A072D0" w:rsidRDefault="009576A5">
      <w:r>
        <w:t>The numbers of inspections reflect those countries from which importers source food and/or import more regularly to Australia. The countries from which importers more frequently source food will have a higher representation in inspection activity for food safety. This data cannot be used to indicate volumes of food imported to Australia.</w:t>
      </w:r>
    </w:p>
    <w:p w14:paraId="0292FE34" w14:textId="77777777" w:rsidR="00A072D0" w:rsidRDefault="009576A5">
      <w:r>
        <w:t>For the period 1 January to 30 June 2016:</w:t>
      </w:r>
    </w:p>
    <w:p w14:paraId="5C2ECE2E" w14:textId="77777777" w:rsidR="00A072D0" w:rsidRDefault="009576A5">
      <w:pPr>
        <w:pStyle w:val="ListBullet"/>
      </w:pPr>
      <w:r>
        <w:t>China, Thailand and Italy were the countries whose food was subject to most inspections</w:t>
      </w:r>
    </w:p>
    <w:p w14:paraId="0AA8AAE2" w14:textId="77777777" w:rsidR="00A072D0" w:rsidRDefault="009576A5">
      <w:pPr>
        <w:pStyle w:val="ListBullet"/>
      </w:pPr>
      <w:r>
        <w:t>62.3 per cent of food inspections were on food from 10 countries; the remaining 37.7 per cent were on food from 101 countries.</w:t>
      </w:r>
    </w:p>
    <w:p w14:paraId="03B0675D" w14:textId="77777777" w:rsidR="00A072D0" w:rsidRDefault="009576A5">
      <w:r>
        <w:t xml:space="preserve">A significant proportion of food imports are from New Zealand. However, under the Trans-Tasman Mutual Recognition Arrangement, most food from New Zealand is not subject to the </w:t>
      </w:r>
      <w:r>
        <w:rPr>
          <w:i/>
        </w:rPr>
        <w:t>Imported Food Control Act 1992</w:t>
      </w:r>
      <w:r>
        <w:t xml:space="preserve"> and is not inspected under the Imported Food Inspection Scheme.</w:t>
      </w:r>
    </w:p>
    <w:p w14:paraId="217A044C" w14:textId="77777777" w:rsidR="00A072D0" w:rsidRDefault="009576A5">
      <w:pPr>
        <w:pStyle w:val="Caption"/>
      </w:pPr>
      <w:bookmarkStart w:id="33" w:name="_Toc469062404"/>
      <w:r>
        <w:t xml:space="preserve">Table </w:t>
      </w:r>
      <w:r w:rsidR="00E70443">
        <w:fldChar w:fldCharType="begin"/>
      </w:r>
      <w:r w:rsidR="00E70443">
        <w:instrText xml:space="preserve"> SEQ Table \* ARABIC </w:instrText>
      </w:r>
      <w:r w:rsidR="00E70443">
        <w:fldChar w:fldCharType="separate"/>
      </w:r>
      <w:r w:rsidR="00E70443">
        <w:rPr>
          <w:noProof/>
        </w:rPr>
        <w:t>2</w:t>
      </w:r>
      <w:r w:rsidR="00E70443">
        <w:rPr>
          <w:noProof/>
        </w:rPr>
        <w:fldChar w:fldCharType="end"/>
      </w:r>
      <w:r>
        <w:t xml:space="preserve"> Number of inspections, by country of origin</w:t>
      </w:r>
      <w:bookmarkEnd w:id="33"/>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311"/>
        <w:gridCol w:w="2482"/>
        <w:gridCol w:w="2507"/>
      </w:tblGrid>
      <w:tr w:rsidR="00A072D0" w14:paraId="51070452" w14:textId="77777777" w:rsidTr="006C00F3">
        <w:trPr>
          <w:cantSplit/>
          <w:tblHeader/>
        </w:trPr>
        <w:tc>
          <w:tcPr>
            <w:tcW w:w="1995" w:type="pct"/>
            <w:shd w:val="clear" w:color="auto" w:fill="auto"/>
          </w:tcPr>
          <w:p w14:paraId="6103A336" w14:textId="77777777" w:rsidR="00A072D0" w:rsidRDefault="009576A5">
            <w:pPr>
              <w:pStyle w:val="Tableheading"/>
            </w:pPr>
            <w:r>
              <w:t>Country of origin</w:t>
            </w:r>
          </w:p>
        </w:tc>
        <w:tc>
          <w:tcPr>
            <w:tcW w:w="1495" w:type="pct"/>
          </w:tcPr>
          <w:p w14:paraId="63993305" w14:textId="77777777" w:rsidR="00A072D0" w:rsidRDefault="009576A5">
            <w:pPr>
              <w:pStyle w:val="Tableheading"/>
              <w:jc w:val="right"/>
            </w:pPr>
            <w:r>
              <w:t>No. of lines inspected</w:t>
            </w:r>
          </w:p>
        </w:tc>
        <w:tc>
          <w:tcPr>
            <w:tcW w:w="1510" w:type="pct"/>
          </w:tcPr>
          <w:p w14:paraId="07472FF2" w14:textId="7075B54F" w:rsidR="00A072D0" w:rsidRDefault="009576A5">
            <w:pPr>
              <w:pStyle w:val="Tableheading"/>
              <w:jc w:val="right"/>
            </w:pPr>
            <w:r>
              <w:t>Percentage of total lines inspected</w:t>
            </w:r>
          </w:p>
        </w:tc>
      </w:tr>
      <w:tr w:rsidR="00A072D0" w14:paraId="61DDE186" w14:textId="77777777" w:rsidTr="006C00F3">
        <w:trPr>
          <w:cantSplit/>
        </w:trPr>
        <w:tc>
          <w:tcPr>
            <w:tcW w:w="1995" w:type="pct"/>
            <w:shd w:val="clear" w:color="auto" w:fill="auto"/>
            <w:vAlign w:val="bottom"/>
          </w:tcPr>
          <w:p w14:paraId="153D9A7A" w14:textId="77777777" w:rsidR="00A072D0" w:rsidRDefault="009576A5">
            <w:pPr>
              <w:pStyle w:val="Tabletext"/>
              <w:rPr>
                <w:rFonts w:asciiTheme="minorHAnsi" w:hAnsiTheme="minorHAnsi"/>
                <w:szCs w:val="18"/>
              </w:rPr>
            </w:pPr>
            <w:r>
              <w:rPr>
                <w:rFonts w:asciiTheme="minorHAnsi" w:hAnsiTheme="minorHAnsi" w:cs="Arial"/>
                <w:color w:val="000000"/>
                <w:szCs w:val="18"/>
              </w:rPr>
              <w:t>China</w:t>
            </w:r>
          </w:p>
        </w:tc>
        <w:tc>
          <w:tcPr>
            <w:tcW w:w="1495" w:type="pct"/>
            <w:vAlign w:val="bottom"/>
          </w:tcPr>
          <w:p w14:paraId="775C083E" w14:textId="77777777" w:rsidR="00A072D0" w:rsidRDefault="009576A5">
            <w:pPr>
              <w:pStyle w:val="Tabletext"/>
              <w:jc w:val="right"/>
              <w:rPr>
                <w:rFonts w:asciiTheme="minorHAnsi" w:hAnsiTheme="minorHAnsi"/>
                <w:szCs w:val="18"/>
              </w:rPr>
            </w:pPr>
            <w:r>
              <w:rPr>
                <w:rFonts w:asciiTheme="minorHAnsi" w:hAnsiTheme="minorHAnsi"/>
                <w:szCs w:val="18"/>
              </w:rPr>
              <w:t>1 448</w:t>
            </w:r>
          </w:p>
        </w:tc>
        <w:tc>
          <w:tcPr>
            <w:tcW w:w="1510" w:type="pct"/>
            <w:vAlign w:val="bottom"/>
          </w:tcPr>
          <w:p w14:paraId="20B52F22" w14:textId="77777777" w:rsidR="00A072D0" w:rsidRDefault="009576A5">
            <w:pPr>
              <w:pStyle w:val="Tabletext"/>
              <w:jc w:val="right"/>
              <w:rPr>
                <w:rFonts w:asciiTheme="minorHAnsi" w:hAnsiTheme="minorHAnsi"/>
                <w:szCs w:val="18"/>
              </w:rPr>
            </w:pPr>
            <w:r>
              <w:rPr>
                <w:rFonts w:asciiTheme="minorHAnsi" w:hAnsiTheme="minorHAnsi"/>
                <w:szCs w:val="18"/>
              </w:rPr>
              <w:t>10.0</w:t>
            </w:r>
          </w:p>
        </w:tc>
      </w:tr>
      <w:tr w:rsidR="00A072D0" w14:paraId="5E3CCF0F" w14:textId="77777777" w:rsidTr="006C00F3">
        <w:trPr>
          <w:cantSplit/>
        </w:trPr>
        <w:tc>
          <w:tcPr>
            <w:tcW w:w="1995" w:type="pct"/>
            <w:shd w:val="clear" w:color="auto" w:fill="auto"/>
            <w:vAlign w:val="bottom"/>
          </w:tcPr>
          <w:p w14:paraId="1821B809" w14:textId="77777777" w:rsidR="00A072D0" w:rsidRDefault="009576A5">
            <w:pPr>
              <w:pStyle w:val="Tabletext"/>
              <w:rPr>
                <w:rFonts w:asciiTheme="minorHAnsi" w:hAnsiTheme="minorHAnsi"/>
                <w:szCs w:val="18"/>
              </w:rPr>
            </w:pPr>
            <w:r>
              <w:rPr>
                <w:rFonts w:asciiTheme="minorHAnsi" w:hAnsiTheme="minorHAnsi" w:cs="Arial"/>
                <w:color w:val="000000"/>
                <w:szCs w:val="18"/>
              </w:rPr>
              <w:t>Thailand</w:t>
            </w:r>
          </w:p>
        </w:tc>
        <w:tc>
          <w:tcPr>
            <w:tcW w:w="1495" w:type="pct"/>
            <w:vAlign w:val="bottom"/>
          </w:tcPr>
          <w:p w14:paraId="609DE964" w14:textId="77777777" w:rsidR="00A072D0" w:rsidRDefault="009576A5">
            <w:pPr>
              <w:pStyle w:val="Tabletext"/>
              <w:jc w:val="right"/>
              <w:rPr>
                <w:rFonts w:asciiTheme="minorHAnsi" w:hAnsiTheme="minorHAnsi"/>
                <w:szCs w:val="18"/>
              </w:rPr>
            </w:pPr>
            <w:r>
              <w:rPr>
                <w:rFonts w:asciiTheme="minorHAnsi" w:hAnsiTheme="minorHAnsi"/>
                <w:szCs w:val="18"/>
              </w:rPr>
              <w:t>1 379</w:t>
            </w:r>
          </w:p>
        </w:tc>
        <w:tc>
          <w:tcPr>
            <w:tcW w:w="1510" w:type="pct"/>
            <w:vAlign w:val="bottom"/>
          </w:tcPr>
          <w:p w14:paraId="250F7D0B" w14:textId="77777777" w:rsidR="00A072D0" w:rsidRDefault="009576A5">
            <w:pPr>
              <w:pStyle w:val="Tabletext"/>
              <w:jc w:val="right"/>
              <w:rPr>
                <w:rFonts w:asciiTheme="minorHAnsi" w:hAnsiTheme="minorHAnsi"/>
                <w:szCs w:val="18"/>
              </w:rPr>
            </w:pPr>
            <w:r>
              <w:rPr>
                <w:rFonts w:asciiTheme="minorHAnsi" w:hAnsiTheme="minorHAnsi"/>
                <w:szCs w:val="18"/>
              </w:rPr>
              <w:t>9.6</w:t>
            </w:r>
          </w:p>
        </w:tc>
      </w:tr>
      <w:tr w:rsidR="00A072D0" w14:paraId="3F5B187A" w14:textId="77777777" w:rsidTr="006C00F3">
        <w:trPr>
          <w:cantSplit/>
        </w:trPr>
        <w:tc>
          <w:tcPr>
            <w:tcW w:w="1995" w:type="pct"/>
            <w:shd w:val="clear" w:color="auto" w:fill="auto"/>
            <w:vAlign w:val="bottom"/>
          </w:tcPr>
          <w:p w14:paraId="5DE057E7" w14:textId="77777777" w:rsidR="00A072D0" w:rsidRDefault="009576A5">
            <w:pPr>
              <w:pStyle w:val="Tabletext"/>
              <w:rPr>
                <w:rFonts w:asciiTheme="minorHAnsi" w:hAnsiTheme="minorHAnsi"/>
                <w:szCs w:val="18"/>
              </w:rPr>
            </w:pPr>
            <w:r>
              <w:rPr>
                <w:rFonts w:asciiTheme="minorHAnsi" w:hAnsiTheme="minorHAnsi" w:cs="Arial"/>
                <w:color w:val="000000"/>
                <w:szCs w:val="18"/>
              </w:rPr>
              <w:t>Italy</w:t>
            </w:r>
          </w:p>
        </w:tc>
        <w:tc>
          <w:tcPr>
            <w:tcW w:w="1495" w:type="pct"/>
            <w:vAlign w:val="bottom"/>
          </w:tcPr>
          <w:p w14:paraId="02991083" w14:textId="77777777" w:rsidR="00A072D0" w:rsidRDefault="009576A5">
            <w:pPr>
              <w:pStyle w:val="Tabletext"/>
              <w:jc w:val="right"/>
              <w:rPr>
                <w:rFonts w:asciiTheme="minorHAnsi" w:hAnsiTheme="minorHAnsi"/>
                <w:szCs w:val="18"/>
              </w:rPr>
            </w:pPr>
            <w:r>
              <w:rPr>
                <w:rFonts w:asciiTheme="minorHAnsi" w:hAnsiTheme="minorHAnsi"/>
                <w:szCs w:val="18"/>
              </w:rPr>
              <w:t>1 034</w:t>
            </w:r>
          </w:p>
        </w:tc>
        <w:tc>
          <w:tcPr>
            <w:tcW w:w="1510" w:type="pct"/>
            <w:vAlign w:val="bottom"/>
          </w:tcPr>
          <w:p w14:paraId="451B3207" w14:textId="77777777" w:rsidR="00A072D0" w:rsidRDefault="009576A5">
            <w:pPr>
              <w:pStyle w:val="Tabletext"/>
              <w:jc w:val="right"/>
              <w:rPr>
                <w:rFonts w:asciiTheme="minorHAnsi" w:hAnsiTheme="minorHAnsi"/>
                <w:szCs w:val="18"/>
              </w:rPr>
            </w:pPr>
            <w:r>
              <w:rPr>
                <w:rFonts w:asciiTheme="minorHAnsi" w:hAnsiTheme="minorHAnsi"/>
                <w:szCs w:val="18"/>
              </w:rPr>
              <w:t>7.2</w:t>
            </w:r>
          </w:p>
        </w:tc>
      </w:tr>
      <w:tr w:rsidR="00A072D0" w14:paraId="2AE326E2" w14:textId="77777777" w:rsidTr="006C00F3">
        <w:trPr>
          <w:cantSplit/>
        </w:trPr>
        <w:tc>
          <w:tcPr>
            <w:tcW w:w="1995" w:type="pct"/>
            <w:shd w:val="clear" w:color="auto" w:fill="auto"/>
            <w:vAlign w:val="bottom"/>
          </w:tcPr>
          <w:p w14:paraId="24C6DA50" w14:textId="77777777" w:rsidR="00A072D0" w:rsidRDefault="009576A5">
            <w:pPr>
              <w:pStyle w:val="Tabletext"/>
              <w:rPr>
                <w:rFonts w:asciiTheme="minorHAnsi" w:hAnsiTheme="minorHAnsi"/>
                <w:szCs w:val="18"/>
              </w:rPr>
            </w:pPr>
            <w:r>
              <w:rPr>
                <w:rFonts w:asciiTheme="minorHAnsi" w:hAnsiTheme="minorHAnsi" w:cs="Arial"/>
                <w:color w:val="000000"/>
                <w:szCs w:val="18"/>
              </w:rPr>
              <w:t>United States</w:t>
            </w:r>
          </w:p>
        </w:tc>
        <w:tc>
          <w:tcPr>
            <w:tcW w:w="1495" w:type="pct"/>
            <w:vAlign w:val="bottom"/>
          </w:tcPr>
          <w:p w14:paraId="7BB1E84E" w14:textId="3CE211FF" w:rsidR="00A072D0" w:rsidRDefault="009576A5">
            <w:pPr>
              <w:pStyle w:val="Tabletext"/>
              <w:jc w:val="right"/>
              <w:rPr>
                <w:rFonts w:asciiTheme="minorHAnsi" w:hAnsiTheme="minorHAnsi"/>
                <w:szCs w:val="18"/>
              </w:rPr>
            </w:pPr>
            <w:r>
              <w:rPr>
                <w:rFonts w:asciiTheme="minorHAnsi" w:hAnsiTheme="minorHAnsi"/>
                <w:szCs w:val="18"/>
              </w:rPr>
              <w:t>962</w:t>
            </w:r>
          </w:p>
        </w:tc>
        <w:tc>
          <w:tcPr>
            <w:tcW w:w="1510" w:type="pct"/>
            <w:vAlign w:val="bottom"/>
          </w:tcPr>
          <w:p w14:paraId="7329EFD8" w14:textId="77777777" w:rsidR="00A072D0" w:rsidRDefault="009576A5">
            <w:pPr>
              <w:pStyle w:val="Tabletext"/>
              <w:jc w:val="right"/>
              <w:rPr>
                <w:rFonts w:asciiTheme="minorHAnsi" w:hAnsiTheme="minorHAnsi"/>
                <w:szCs w:val="18"/>
              </w:rPr>
            </w:pPr>
            <w:r>
              <w:rPr>
                <w:rFonts w:asciiTheme="minorHAnsi" w:hAnsiTheme="minorHAnsi"/>
                <w:szCs w:val="18"/>
              </w:rPr>
              <w:t>6.7</w:t>
            </w:r>
          </w:p>
        </w:tc>
      </w:tr>
      <w:tr w:rsidR="00A072D0" w14:paraId="011F3B31" w14:textId="77777777" w:rsidTr="006C00F3">
        <w:trPr>
          <w:cantSplit/>
        </w:trPr>
        <w:tc>
          <w:tcPr>
            <w:tcW w:w="1995" w:type="pct"/>
            <w:shd w:val="clear" w:color="auto" w:fill="auto"/>
            <w:vAlign w:val="bottom"/>
          </w:tcPr>
          <w:p w14:paraId="675777DA" w14:textId="77777777" w:rsidR="00A072D0" w:rsidRDefault="009576A5">
            <w:pPr>
              <w:pStyle w:val="Tabletext"/>
              <w:rPr>
                <w:rFonts w:asciiTheme="minorHAnsi" w:hAnsiTheme="minorHAnsi"/>
                <w:szCs w:val="18"/>
              </w:rPr>
            </w:pPr>
            <w:r>
              <w:rPr>
                <w:rFonts w:asciiTheme="minorHAnsi" w:hAnsiTheme="minorHAnsi" w:cs="Arial"/>
                <w:color w:val="000000"/>
                <w:szCs w:val="18"/>
              </w:rPr>
              <w:t>India</w:t>
            </w:r>
          </w:p>
        </w:tc>
        <w:tc>
          <w:tcPr>
            <w:tcW w:w="1495" w:type="pct"/>
            <w:vAlign w:val="bottom"/>
          </w:tcPr>
          <w:p w14:paraId="219DD88A" w14:textId="0E9FC4E9" w:rsidR="00A072D0" w:rsidRDefault="009576A5">
            <w:pPr>
              <w:pStyle w:val="Tabletext"/>
              <w:jc w:val="right"/>
              <w:rPr>
                <w:rFonts w:asciiTheme="minorHAnsi" w:hAnsiTheme="minorHAnsi"/>
                <w:szCs w:val="18"/>
              </w:rPr>
            </w:pPr>
            <w:r>
              <w:rPr>
                <w:rFonts w:asciiTheme="minorHAnsi" w:hAnsiTheme="minorHAnsi"/>
                <w:szCs w:val="18"/>
              </w:rPr>
              <w:t>950</w:t>
            </w:r>
          </w:p>
        </w:tc>
        <w:tc>
          <w:tcPr>
            <w:tcW w:w="1510" w:type="pct"/>
            <w:vAlign w:val="bottom"/>
          </w:tcPr>
          <w:p w14:paraId="3F88E0A7" w14:textId="07B039A3" w:rsidR="00A072D0" w:rsidRDefault="009576A5">
            <w:pPr>
              <w:pStyle w:val="Tabletext"/>
              <w:jc w:val="right"/>
              <w:rPr>
                <w:rFonts w:asciiTheme="minorHAnsi" w:hAnsiTheme="minorHAnsi"/>
                <w:szCs w:val="18"/>
              </w:rPr>
            </w:pPr>
            <w:r>
              <w:rPr>
                <w:rFonts w:asciiTheme="minorHAnsi" w:hAnsiTheme="minorHAnsi"/>
                <w:szCs w:val="18"/>
              </w:rPr>
              <w:t>6.6</w:t>
            </w:r>
          </w:p>
        </w:tc>
      </w:tr>
      <w:tr w:rsidR="00A072D0" w14:paraId="4A29C7D1" w14:textId="77777777" w:rsidTr="006C00F3">
        <w:trPr>
          <w:cantSplit/>
        </w:trPr>
        <w:tc>
          <w:tcPr>
            <w:tcW w:w="1995" w:type="pct"/>
            <w:shd w:val="clear" w:color="auto" w:fill="auto"/>
            <w:vAlign w:val="bottom"/>
          </w:tcPr>
          <w:p w14:paraId="262E7615" w14:textId="77777777" w:rsidR="00A072D0" w:rsidRDefault="009576A5">
            <w:pPr>
              <w:pStyle w:val="Tabletext"/>
              <w:rPr>
                <w:rFonts w:asciiTheme="minorHAnsi" w:hAnsiTheme="minorHAnsi"/>
                <w:szCs w:val="18"/>
              </w:rPr>
            </w:pPr>
            <w:r>
              <w:rPr>
                <w:rFonts w:asciiTheme="minorHAnsi" w:hAnsiTheme="minorHAnsi" w:cs="Arial"/>
                <w:color w:val="000000"/>
                <w:szCs w:val="18"/>
              </w:rPr>
              <w:t>Japan</w:t>
            </w:r>
          </w:p>
        </w:tc>
        <w:tc>
          <w:tcPr>
            <w:tcW w:w="1495" w:type="pct"/>
            <w:vAlign w:val="bottom"/>
          </w:tcPr>
          <w:p w14:paraId="5F74CEB5" w14:textId="2251D5F2" w:rsidR="00A072D0" w:rsidRDefault="009576A5">
            <w:pPr>
              <w:pStyle w:val="Tabletext"/>
              <w:jc w:val="right"/>
              <w:rPr>
                <w:rFonts w:asciiTheme="minorHAnsi" w:hAnsiTheme="minorHAnsi"/>
                <w:szCs w:val="18"/>
              </w:rPr>
            </w:pPr>
            <w:r>
              <w:rPr>
                <w:rFonts w:asciiTheme="minorHAnsi" w:hAnsiTheme="minorHAnsi"/>
                <w:szCs w:val="18"/>
              </w:rPr>
              <w:t>836</w:t>
            </w:r>
          </w:p>
        </w:tc>
        <w:tc>
          <w:tcPr>
            <w:tcW w:w="1510" w:type="pct"/>
            <w:vAlign w:val="bottom"/>
          </w:tcPr>
          <w:p w14:paraId="1F2ADB3F" w14:textId="77777777" w:rsidR="00A072D0" w:rsidRDefault="009576A5">
            <w:pPr>
              <w:pStyle w:val="Tabletext"/>
              <w:jc w:val="right"/>
              <w:rPr>
                <w:rFonts w:asciiTheme="minorHAnsi" w:hAnsiTheme="minorHAnsi"/>
                <w:szCs w:val="18"/>
              </w:rPr>
            </w:pPr>
            <w:r>
              <w:rPr>
                <w:rFonts w:asciiTheme="minorHAnsi" w:hAnsiTheme="minorHAnsi"/>
                <w:szCs w:val="18"/>
              </w:rPr>
              <w:t>5.8</w:t>
            </w:r>
          </w:p>
        </w:tc>
      </w:tr>
      <w:tr w:rsidR="00A072D0" w14:paraId="572FD45C" w14:textId="77777777" w:rsidTr="006C00F3">
        <w:trPr>
          <w:cantSplit/>
        </w:trPr>
        <w:tc>
          <w:tcPr>
            <w:tcW w:w="1995" w:type="pct"/>
            <w:shd w:val="clear" w:color="auto" w:fill="auto"/>
            <w:vAlign w:val="bottom"/>
          </w:tcPr>
          <w:p w14:paraId="3FE38527" w14:textId="597ECE6C" w:rsidR="00A072D0" w:rsidRDefault="009576A5">
            <w:pPr>
              <w:pStyle w:val="Tabletext"/>
              <w:rPr>
                <w:rFonts w:asciiTheme="minorHAnsi" w:hAnsiTheme="minorHAnsi"/>
                <w:szCs w:val="18"/>
              </w:rPr>
            </w:pPr>
            <w:r>
              <w:rPr>
                <w:rFonts w:asciiTheme="minorHAnsi" w:hAnsiTheme="minorHAnsi" w:cs="Arial"/>
                <w:color w:val="000000"/>
                <w:szCs w:val="18"/>
              </w:rPr>
              <w:t>Korea, Republic of</w:t>
            </w:r>
          </w:p>
        </w:tc>
        <w:tc>
          <w:tcPr>
            <w:tcW w:w="1495" w:type="pct"/>
            <w:vAlign w:val="bottom"/>
          </w:tcPr>
          <w:p w14:paraId="1677F60C" w14:textId="38895A57" w:rsidR="00A072D0" w:rsidRDefault="009576A5">
            <w:pPr>
              <w:pStyle w:val="Tabletext"/>
              <w:jc w:val="right"/>
              <w:rPr>
                <w:rFonts w:asciiTheme="minorHAnsi" w:hAnsiTheme="minorHAnsi"/>
                <w:szCs w:val="18"/>
              </w:rPr>
            </w:pPr>
            <w:r>
              <w:rPr>
                <w:rFonts w:asciiTheme="minorHAnsi" w:hAnsiTheme="minorHAnsi"/>
                <w:szCs w:val="18"/>
              </w:rPr>
              <w:t>764</w:t>
            </w:r>
          </w:p>
        </w:tc>
        <w:tc>
          <w:tcPr>
            <w:tcW w:w="1510" w:type="pct"/>
            <w:vAlign w:val="bottom"/>
          </w:tcPr>
          <w:p w14:paraId="1326EBC6" w14:textId="77777777" w:rsidR="00A072D0" w:rsidRDefault="009576A5">
            <w:pPr>
              <w:pStyle w:val="Tabletext"/>
              <w:jc w:val="right"/>
              <w:rPr>
                <w:rFonts w:asciiTheme="minorHAnsi" w:hAnsiTheme="minorHAnsi"/>
                <w:szCs w:val="18"/>
              </w:rPr>
            </w:pPr>
            <w:r>
              <w:rPr>
                <w:rFonts w:asciiTheme="minorHAnsi" w:hAnsiTheme="minorHAnsi"/>
                <w:szCs w:val="18"/>
              </w:rPr>
              <w:t>5.3</w:t>
            </w:r>
          </w:p>
        </w:tc>
      </w:tr>
      <w:tr w:rsidR="00A072D0" w14:paraId="5B0118B8" w14:textId="77777777" w:rsidTr="006C00F3">
        <w:trPr>
          <w:cantSplit/>
        </w:trPr>
        <w:tc>
          <w:tcPr>
            <w:tcW w:w="1995" w:type="pct"/>
            <w:shd w:val="clear" w:color="auto" w:fill="auto"/>
            <w:vAlign w:val="bottom"/>
          </w:tcPr>
          <w:p w14:paraId="60F2A78F" w14:textId="77777777" w:rsidR="00A072D0" w:rsidRDefault="009576A5">
            <w:pPr>
              <w:pStyle w:val="Tabletext"/>
              <w:rPr>
                <w:rFonts w:asciiTheme="minorHAnsi" w:hAnsiTheme="minorHAnsi"/>
                <w:szCs w:val="18"/>
              </w:rPr>
            </w:pPr>
            <w:r>
              <w:rPr>
                <w:rFonts w:asciiTheme="minorHAnsi" w:hAnsiTheme="minorHAnsi" w:cs="Arial"/>
                <w:color w:val="000000"/>
                <w:szCs w:val="18"/>
              </w:rPr>
              <w:t>Malaysia</w:t>
            </w:r>
          </w:p>
        </w:tc>
        <w:tc>
          <w:tcPr>
            <w:tcW w:w="1495" w:type="pct"/>
            <w:vAlign w:val="bottom"/>
          </w:tcPr>
          <w:p w14:paraId="5813067E" w14:textId="085B82A4" w:rsidR="00A072D0" w:rsidRDefault="009576A5">
            <w:pPr>
              <w:pStyle w:val="Tabletext"/>
              <w:jc w:val="right"/>
              <w:rPr>
                <w:rFonts w:asciiTheme="minorHAnsi" w:hAnsiTheme="minorHAnsi"/>
                <w:szCs w:val="18"/>
              </w:rPr>
            </w:pPr>
            <w:r>
              <w:rPr>
                <w:rFonts w:asciiTheme="minorHAnsi" w:hAnsiTheme="minorHAnsi"/>
                <w:szCs w:val="18"/>
              </w:rPr>
              <w:t>586</w:t>
            </w:r>
          </w:p>
        </w:tc>
        <w:tc>
          <w:tcPr>
            <w:tcW w:w="1510" w:type="pct"/>
            <w:vAlign w:val="bottom"/>
          </w:tcPr>
          <w:p w14:paraId="6CECFF0A" w14:textId="77777777" w:rsidR="00A072D0" w:rsidRDefault="009576A5">
            <w:pPr>
              <w:pStyle w:val="Tabletext"/>
              <w:jc w:val="right"/>
              <w:rPr>
                <w:rFonts w:asciiTheme="minorHAnsi" w:hAnsiTheme="minorHAnsi"/>
                <w:szCs w:val="18"/>
              </w:rPr>
            </w:pPr>
            <w:r>
              <w:rPr>
                <w:rFonts w:asciiTheme="minorHAnsi" w:hAnsiTheme="minorHAnsi"/>
                <w:szCs w:val="18"/>
              </w:rPr>
              <w:t>4.1</w:t>
            </w:r>
          </w:p>
        </w:tc>
      </w:tr>
      <w:tr w:rsidR="00A072D0" w14:paraId="38344698" w14:textId="77777777" w:rsidTr="006C00F3">
        <w:trPr>
          <w:cantSplit/>
          <w:tblHeader/>
        </w:trPr>
        <w:tc>
          <w:tcPr>
            <w:tcW w:w="1995" w:type="pct"/>
            <w:shd w:val="clear" w:color="auto" w:fill="auto"/>
            <w:vAlign w:val="bottom"/>
          </w:tcPr>
          <w:p w14:paraId="541E2EDF" w14:textId="77777777" w:rsidR="00A072D0" w:rsidRDefault="009576A5">
            <w:pPr>
              <w:pStyle w:val="Tabletext"/>
              <w:rPr>
                <w:rFonts w:asciiTheme="minorHAnsi" w:hAnsiTheme="minorHAnsi"/>
                <w:szCs w:val="18"/>
              </w:rPr>
            </w:pPr>
            <w:r>
              <w:rPr>
                <w:rFonts w:asciiTheme="minorHAnsi" w:hAnsiTheme="minorHAnsi" w:cs="Arial"/>
                <w:color w:val="000000"/>
                <w:szCs w:val="18"/>
              </w:rPr>
              <w:t>France</w:t>
            </w:r>
          </w:p>
        </w:tc>
        <w:tc>
          <w:tcPr>
            <w:tcW w:w="1495" w:type="pct"/>
            <w:vAlign w:val="bottom"/>
          </w:tcPr>
          <w:p w14:paraId="24F90DA9" w14:textId="39AF888C" w:rsidR="00A072D0" w:rsidRDefault="009576A5">
            <w:pPr>
              <w:pStyle w:val="Tabletext"/>
              <w:jc w:val="right"/>
              <w:rPr>
                <w:rFonts w:asciiTheme="minorHAnsi" w:hAnsiTheme="minorHAnsi"/>
                <w:szCs w:val="18"/>
              </w:rPr>
            </w:pPr>
            <w:r>
              <w:rPr>
                <w:rFonts w:asciiTheme="minorHAnsi" w:hAnsiTheme="minorHAnsi"/>
                <w:szCs w:val="18"/>
              </w:rPr>
              <w:t>548</w:t>
            </w:r>
          </w:p>
        </w:tc>
        <w:tc>
          <w:tcPr>
            <w:tcW w:w="1510" w:type="pct"/>
            <w:vAlign w:val="bottom"/>
          </w:tcPr>
          <w:p w14:paraId="018DCE69" w14:textId="77777777" w:rsidR="00A072D0" w:rsidRDefault="009576A5">
            <w:pPr>
              <w:pStyle w:val="Tabletext"/>
              <w:jc w:val="right"/>
              <w:rPr>
                <w:rFonts w:asciiTheme="minorHAnsi" w:hAnsiTheme="minorHAnsi"/>
                <w:szCs w:val="18"/>
              </w:rPr>
            </w:pPr>
            <w:r>
              <w:rPr>
                <w:rFonts w:asciiTheme="minorHAnsi" w:hAnsiTheme="minorHAnsi"/>
                <w:szCs w:val="18"/>
              </w:rPr>
              <w:t>3.8</w:t>
            </w:r>
          </w:p>
        </w:tc>
      </w:tr>
      <w:tr w:rsidR="00A072D0" w14:paraId="34A45793" w14:textId="77777777" w:rsidTr="006C00F3">
        <w:trPr>
          <w:cantSplit/>
        </w:trPr>
        <w:tc>
          <w:tcPr>
            <w:tcW w:w="1995" w:type="pct"/>
            <w:shd w:val="clear" w:color="auto" w:fill="auto"/>
            <w:vAlign w:val="bottom"/>
          </w:tcPr>
          <w:p w14:paraId="488514C1" w14:textId="77777777" w:rsidR="00A072D0" w:rsidRDefault="009576A5">
            <w:pPr>
              <w:pStyle w:val="Tabletext"/>
              <w:rPr>
                <w:rFonts w:asciiTheme="minorHAnsi" w:hAnsiTheme="minorHAnsi"/>
                <w:szCs w:val="18"/>
              </w:rPr>
            </w:pPr>
            <w:r>
              <w:rPr>
                <w:rFonts w:asciiTheme="minorHAnsi" w:hAnsiTheme="minorHAnsi" w:cs="Arial"/>
                <w:color w:val="000000"/>
                <w:szCs w:val="18"/>
              </w:rPr>
              <w:t>Taiwan</w:t>
            </w:r>
          </w:p>
        </w:tc>
        <w:tc>
          <w:tcPr>
            <w:tcW w:w="1495" w:type="pct"/>
            <w:vAlign w:val="bottom"/>
          </w:tcPr>
          <w:p w14:paraId="347A05C2" w14:textId="1E163AD4" w:rsidR="00A072D0" w:rsidRDefault="009576A5">
            <w:pPr>
              <w:pStyle w:val="Tabletext"/>
              <w:jc w:val="right"/>
              <w:rPr>
                <w:rFonts w:asciiTheme="minorHAnsi" w:hAnsiTheme="minorHAnsi"/>
                <w:szCs w:val="18"/>
              </w:rPr>
            </w:pPr>
            <w:r>
              <w:rPr>
                <w:rFonts w:asciiTheme="minorHAnsi" w:hAnsiTheme="minorHAnsi"/>
                <w:szCs w:val="18"/>
              </w:rPr>
              <w:t>475</w:t>
            </w:r>
          </w:p>
        </w:tc>
        <w:tc>
          <w:tcPr>
            <w:tcW w:w="1510" w:type="pct"/>
            <w:vAlign w:val="bottom"/>
          </w:tcPr>
          <w:p w14:paraId="483BAE8E" w14:textId="77777777" w:rsidR="00A072D0" w:rsidRDefault="009576A5">
            <w:pPr>
              <w:pStyle w:val="Tabletext"/>
              <w:jc w:val="right"/>
              <w:rPr>
                <w:rFonts w:asciiTheme="minorHAnsi" w:hAnsiTheme="minorHAnsi"/>
                <w:szCs w:val="18"/>
              </w:rPr>
            </w:pPr>
            <w:r>
              <w:rPr>
                <w:rFonts w:asciiTheme="minorHAnsi" w:hAnsiTheme="minorHAnsi"/>
                <w:szCs w:val="18"/>
              </w:rPr>
              <w:t>3.3</w:t>
            </w:r>
          </w:p>
        </w:tc>
      </w:tr>
      <w:tr w:rsidR="00A072D0" w14:paraId="230E386D" w14:textId="77777777" w:rsidTr="006C00F3">
        <w:trPr>
          <w:cantSplit/>
        </w:trPr>
        <w:tc>
          <w:tcPr>
            <w:tcW w:w="1995" w:type="pct"/>
            <w:shd w:val="clear" w:color="auto" w:fill="auto"/>
            <w:vAlign w:val="bottom"/>
          </w:tcPr>
          <w:p w14:paraId="1FC08203" w14:textId="77777777" w:rsidR="00A072D0" w:rsidRDefault="009576A5">
            <w:pPr>
              <w:pStyle w:val="Tabletext"/>
              <w:rPr>
                <w:rFonts w:asciiTheme="minorHAnsi" w:hAnsiTheme="minorHAnsi"/>
                <w:szCs w:val="18"/>
              </w:rPr>
            </w:pPr>
            <w:r>
              <w:rPr>
                <w:rFonts w:asciiTheme="minorHAnsi" w:hAnsiTheme="minorHAnsi"/>
                <w:szCs w:val="18"/>
              </w:rPr>
              <w:t>Other</w:t>
            </w:r>
          </w:p>
        </w:tc>
        <w:tc>
          <w:tcPr>
            <w:tcW w:w="1495" w:type="pct"/>
            <w:vAlign w:val="bottom"/>
          </w:tcPr>
          <w:p w14:paraId="37487E3D" w14:textId="77777777" w:rsidR="00A072D0" w:rsidRDefault="009576A5">
            <w:pPr>
              <w:pStyle w:val="Tabletext"/>
              <w:jc w:val="right"/>
              <w:rPr>
                <w:rFonts w:asciiTheme="minorHAnsi" w:hAnsiTheme="minorHAnsi"/>
                <w:szCs w:val="18"/>
              </w:rPr>
            </w:pPr>
            <w:r>
              <w:rPr>
                <w:rFonts w:asciiTheme="minorHAnsi" w:hAnsiTheme="minorHAnsi"/>
                <w:szCs w:val="18"/>
              </w:rPr>
              <w:t>5 445</w:t>
            </w:r>
          </w:p>
        </w:tc>
        <w:tc>
          <w:tcPr>
            <w:tcW w:w="1510" w:type="pct"/>
            <w:vAlign w:val="bottom"/>
          </w:tcPr>
          <w:p w14:paraId="731FB922" w14:textId="77777777" w:rsidR="00A072D0" w:rsidRDefault="009576A5">
            <w:pPr>
              <w:pStyle w:val="Tabletext"/>
              <w:jc w:val="right"/>
              <w:rPr>
                <w:rFonts w:asciiTheme="minorHAnsi" w:hAnsiTheme="minorHAnsi"/>
                <w:szCs w:val="18"/>
              </w:rPr>
            </w:pPr>
            <w:r>
              <w:rPr>
                <w:rFonts w:asciiTheme="minorHAnsi" w:hAnsiTheme="minorHAnsi"/>
                <w:szCs w:val="18"/>
              </w:rPr>
              <w:t>37.7</w:t>
            </w:r>
          </w:p>
        </w:tc>
      </w:tr>
      <w:tr w:rsidR="00A072D0" w14:paraId="7F14D3C5" w14:textId="77777777" w:rsidTr="006C00F3">
        <w:trPr>
          <w:cantSplit/>
        </w:trPr>
        <w:tc>
          <w:tcPr>
            <w:tcW w:w="1995" w:type="pct"/>
            <w:shd w:val="clear" w:color="auto" w:fill="auto"/>
          </w:tcPr>
          <w:p w14:paraId="739776CD" w14:textId="77777777" w:rsidR="00A072D0" w:rsidRDefault="009576A5">
            <w:pPr>
              <w:pStyle w:val="Tabletext"/>
              <w:rPr>
                <w:rFonts w:asciiTheme="minorHAnsi" w:hAnsiTheme="minorHAnsi"/>
                <w:b/>
                <w:szCs w:val="18"/>
              </w:rPr>
            </w:pPr>
            <w:r>
              <w:rPr>
                <w:rFonts w:asciiTheme="minorHAnsi" w:hAnsiTheme="minorHAnsi"/>
                <w:b/>
                <w:szCs w:val="18"/>
              </w:rPr>
              <w:t>Total</w:t>
            </w:r>
          </w:p>
        </w:tc>
        <w:tc>
          <w:tcPr>
            <w:tcW w:w="1495" w:type="pct"/>
            <w:vAlign w:val="bottom"/>
          </w:tcPr>
          <w:p w14:paraId="14B58213" w14:textId="77777777" w:rsidR="00A072D0" w:rsidRDefault="009576A5">
            <w:pPr>
              <w:pStyle w:val="Tabletext"/>
              <w:jc w:val="right"/>
              <w:rPr>
                <w:rFonts w:asciiTheme="minorHAnsi" w:hAnsiTheme="minorHAnsi"/>
                <w:szCs w:val="18"/>
              </w:rPr>
            </w:pPr>
            <w:r>
              <w:rPr>
                <w:rFonts w:asciiTheme="minorHAnsi" w:hAnsiTheme="minorHAnsi"/>
                <w:szCs w:val="18"/>
              </w:rPr>
              <w:t>14 427</w:t>
            </w:r>
          </w:p>
        </w:tc>
        <w:tc>
          <w:tcPr>
            <w:tcW w:w="1510" w:type="pct"/>
          </w:tcPr>
          <w:p w14:paraId="124BC016" w14:textId="77777777" w:rsidR="00A072D0" w:rsidRDefault="00A072D0">
            <w:pPr>
              <w:pStyle w:val="Tabletext"/>
              <w:jc w:val="right"/>
              <w:rPr>
                <w:rFonts w:asciiTheme="minorHAnsi" w:hAnsiTheme="minorHAnsi"/>
                <w:szCs w:val="18"/>
              </w:rPr>
            </w:pPr>
          </w:p>
        </w:tc>
      </w:tr>
    </w:tbl>
    <w:p w14:paraId="5D0D2D38" w14:textId="55DB93EE" w:rsidR="00A072D0" w:rsidRDefault="009576A5">
      <w:pPr>
        <w:pStyle w:val="Figuretablenotesource"/>
      </w:pPr>
      <w:r>
        <w:t>Note: For details of all countries of origin see Appendix 3.</w:t>
      </w:r>
    </w:p>
    <w:p w14:paraId="5D8C9289" w14:textId="2383D640" w:rsidR="00A072D0" w:rsidRDefault="009576A5">
      <w:pPr>
        <w:pStyle w:val="Figuretablenotesource"/>
      </w:pPr>
      <w:r>
        <w:t>Source: AIMS database</w:t>
      </w:r>
    </w:p>
    <w:p w14:paraId="74DE7FC3" w14:textId="749B7554" w:rsidR="00A072D0" w:rsidRDefault="009576A5">
      <w:pPr>
        <w:pStyle w:val="Caption"/>
        <w:rPr>
          <w14:textOutline w14:w="9525" w14:cap="rnd" w14:cmpd="sng" w14:algn="ctr">
            <w14:solidFill>
              <w14:schemeClr w14:val="tx1"/>
            </w14:solidFill>
            <w14:prstDash w14:val="solid"/>
            <w14:bevel/>
          </w14:textOutline>
        </w:rPr>
      </w:pPr>
      <w:bookmarkStart w:id="34" w:name="_Toc465411403"/>
      <w:r>
        <w:lastRenderedPageBreak/>
        <w:t xml:space="preserve">Figure </w:t>
      </w:r>
      <w:r w:rsidR="00E70443">
        <w:fldChar w:fldCharType="begin"/>
      </w:r>
      <w:r w:rsidR="00E70443">
        <w:instrText xml:space="preserve"> SEQ Figure \* ARABIC </w:instrText>
      </w:r>
      <w:r w:rsidR="00E70443">
        <w:fldChar w:fldCharType="separate"/>
      </w:r>
      <w:r w:rsidR="00E70443">
        <w:rPr>
          <w:noProof/>
        </w:rPr>
        <w:t>4</w:t>
      </w:r>
      <w:r w:rsidR="00E70443">
        <w:rPr>
          <w:noProof/>
        </w:rPr>
        <w:fldChar w:fldCharType="end"/>
      </w:r>
      <w:r>
        <w:rPr>
          <w:noProof/>
        </w:rPr>
        <w:t xml:space="preserve"> Percentage of inspections, by country of origin</w:t>
      </w:r>
      <w:bookmarkEnd w:id="34"/>
    </w:p>
    <w:p w14:paraId="16D84E8F" w14:textId="77777777" w:rsidR="00A072D0" w:rsidRDefault="009576A5">
      <w:r>
        <w:rPr>
          <w:noProof/>
          <w:lang w:eastAsia="en-AU"/>
        </w:rPr>
        <w:drawing>
          <wp:inline distT="0" distB="0" distL="0" distR="0" wp14:anchorId="71AE75AB" wp14:editId="01BE89BD">
            <wp:extent cx="4435085" cy="2266950"/>
            <wp:effectExtent l="0" t="0" r="3810" b="0"/>
            <wp:docPr id="3" name="Chart 3" descr="Thailand 9.6 percent&#10;China 10 percent&#10;Other 37.7 percent&#10;Taiwan&#10;3.3 percent&#10;France 3.8 percent&#10;France 3.9 percent&#10;Malaysia 4.1 percent&#10;Korea, republic of, 4.3 percent&#10;Japan 5.8 percent&#10;India 6.6 percent&#10;United States 6.7 percent&#10;Italy 7.2 percent" title="Figure 4 Percentage of inspections, by country of orig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34A7B07" w14:textId="77777777" w:rsidR="00A072D0" w:rsidRDefault="009576A5">
      <w:r>
        <w:t xml:space="preserve">More detailed information about China, Thailand and Italy is provided in the </w:t>
      </w:r>
      <w:hyperlink w:anchor="_Analytical_testing_data" w:history="1">
        <w:r>
          <w:rPr>
            <w:rStyle w:val="Hyperlink"/>
          </w:rPr>
          <w:t>analytical testing data</w:t>
        </w:r>
      </w:hyperlink>
      <w:r>
        <w:t xml:space="preserve"> section.</w:t>
      </w:r>
    </w:p>
    <w:p w14:paraId="5B5E5C0F" w14:textId="77777777" w:rsidR="00A072D0" w:rsidRDefault="009576A5" w:rsidP="00957936">
      <w:pPr>
        <w:pStyle w:val="Heading3"/>
      </w:pPr>
      <w:bookmarkStart w:id="35" w:name="_Toc469066613"/>
      <w:r>
        <w:t>Testing data</w:t>
      </w:r>
      <w:bookmarkEnd w:id="35"/>
    </w:p>
    <w:p w14:paraId="4DFEA536" w14:textId="77777777" w:rsidR="00A072D0" w:rsidRDefault="009576A5" w:rsidP="00957936">
      <w:pPr>
        <w:pStyle w:val="Heading4"/>
        <w:numPr>
          <w:ilvl w:val="0"/>
          <w:numId w:val="0"/>
        </w:numPr>
        <w:ind w:left="964" w:hanging="964"/>
        <w:rPr>
          <w:highlight w:val="yellow"/>
        </w:rPr>
      </w:pPr>
      <w:bookmarkStart w:id="36" w:name="_Toc369859817"/>
      <w:bookmarkStart w:id="37" w:name="_Toc469066614"/>
      <w:r>
        <w:t xml:space="preserve">Summary for </w:t>
      </w:r>
      <w:bookmarkEnd w:id="36"/>
      <w:r>
        <w:t>January to June 2016</w:t>
      </w:r>
      <w:bookmarkEnd w:id="37"/>
    </w:p>
    <w:p w14:paraId="3D14D977" w14:textId="77777777" w:rsidR="00A072D0" w:rsidRDefault="009576A5">
      <w:pPr>
        <w:pStyle w:val="ListBullet"/>
      </w:pPr>
      <w:r>
        <w:t>98.9 per cent of all tests applied to imported food samples under the Imported Food Inspection Scheme complied with Australian standards for these tests.</w:t>
      </w:r>
    </w:p>
    <w:p w14:paraId="63E783B1" w14:textId="77777777" w:rsidR="00A072D0" w:rsidRDefault="009576A5">
      <w:pPr>
        <w:pStyle w:val="ListBullet"/>
      </w:pPr>
      <w:r>
        <w:t>Incorrect labelling accounted for most non-compliance (70.6 per cent of failures).</w:t>
      </w:r>
    </w:p>
    <w:p w14:paraId="43B418DC" w14:textId="77777777" w:rsidR="00A072D0" w:rsidRDefault="009576A5">
      <w:pPr>
        <w:pStyle w:val="ListBullet"/>
      </w:pPr>
      <w:r>
        <w:t>When labelling non-compliances are removed from testing data, the compliance rate for analytical and other tests applied to imported food rises to 99.6 per cent.</w:t>
      </w:r>
    </w:p>
    <w:p w14:paraId="6F2A778D" w14:textId="77777777" w:rsidR="00A072D0" w:rsidRDefault="009576A5">
      <w:pPr>
        <w:pStyle w:val="Caption"/>
      </w:pPr>
      <w:bookmarkStart w:id="38" w:name="_Toc369867482"/>
      <w:bookmarkStart w:id="39" w:name="_Toc469062405"/>
      <w:r>
        <w:t xml:space="preserve">Table </w:t>
      </w:r>
      <w:r w:rsidR="00E70443">
        <w:fldChar w:fldCharType="begin"/>
      </w:r>
      <w:r w:rsidR="00E70443">
        <w:instrText xml:space="preserve"> SEQ Table \*</w:instrText>
      </w:r>
      <w:r w:rsidR="00E70443">
        <w:instrText xml:space="preserve"> ARABIC </w:instrText>
      </w:r>
      <w:r w:rsidR="00E70443">
        <w:fldChar w:fldCharType="separate"/>
      </w:r>
      <w:r w:rsidR="00E70443">
        <w:rPr>
          <w:noProof/>
        </w:rPr>
        <w:t>3</w:t>
      </w:r>
      <w:r w:rsidR="00E70443">
        <w:rPr>
          <w:noProof/>
        </w:rPr>
        <w:fldChar w:fldCharType="end"/>
      </w:r>
      <w:r>
        <w:t xml:space="preserve"> Compliance for all tests</w:t>
      </w:r>
      <w:bookmarkEnd w:id="38"/>
      <w:bookmarkEnd w:id="39"/>
    </w:p>
    <w:tbl>
      <w:tblPr>
        <w:tblW w:w="5000" w:type="pct"/>
        <w:tblBorders>
          <w:top w:val="single" w:sz="4" w:space="0" w:color="auto"/>
          <w:bottom w:val="single" w:sz="4" w:space="0" w:color="auto"/>
        </w:tblBorders>
        <w:tblLook w:val="04A0" w:firstRow="1" w:lastRow="0" w:firstColumn="1" w:lastColumn="0" w:noHBand="0" w:noVBand="1"/>
      </w:tblPr>
      <w:tblGrid>
        <w:gridCol w:w="1659"/>
        <w:gridCol w:w="1175"/>
        <w:gridCol w:w="1702"/>
        <w:gridCol w:w="1984"/>
        <w:gridCol w:w="1780"/>
      </w:tblGrid>
      <w:tr w:rsidR="00957936" w14:paraId="74B34035" w14:textId="77777777" w:rsidTr="003D575C">
        <w:trPr>
          <w:cantSplit/>
          <w:tblHeader/>
        </w:trPr>
        <w:tc>
          <w:tcPr>
            <w:tcW w:w="1000" w:type="pct"/>
            <w:shd w:val="clear" w:color="auto" w:fill="auto"/>
          </w:tcPr>
          <w:p w14:paraId="4B394EF0" w14:textId="77777777" w:rsidR="00957936" w:rsidRDefault="00957936">
            <w:pPr>
              <w:pStyle w:val="Tableheading"/>
            </w:pPr>
            <w:r>
              <w:t>Test group</w:t>
            </w:r>
          </w:p>
        </w:tc>
        <w:tc>
          <w:tcPr>
            <w:tcW w:w="708" w:type="pct"/>
          </w:tcPr>
          <w:p w14:paraId="70962A9F" w14:textId="77777777" w:rsidR="00957936" w:rsidRDefault="00957936">
            <w:pPr>
              <w:pStyle w:val="Tableheading"/>
              <w:jc w:val="right"/>
            </w:pPr>
            <w:r>
              <w:t>No. of tests applied</w:t>
            </w:r>
          </w:p>
        </w:tc>
        <w:tc>
          <w:tcPr>
            <w:tcW w:w="1025" w:type="pct"/>
            <w:shd w:val="clear" w:color="auto" w:fill="auto"/>
          </w:tcPr>
          <w:p w14:paraId="4BEE0302" w14:textId="17F7D2C0" w:rsidR="00957936" w:rsidRDefault="00957936" w:rsidP="00957936">
            <w:pPr>
              <w:pStyle w:val="Tableheading"/>
              <w:jc w:val="right"/>
            </w:pPr>
            <w:r>
              <w:t xml:space="preserve">No. compliant </w:t>
            </w:r>
          </w:p>
        </w:tc>
        <w:tc>
          <w:tcPr>
            <w:tcW w:w="1195" w:type="pct"/>
          </w:tcPr>
          <w:p w14:paraId="1E6E64A6" w14:textId="0A9E455B" w:rsidR="00957936" w:rsidRDefault="00957936">
            <w:pPr>
              <w:pStyle w:val="Tableheading"/>
              <w:jc w:val="right"/>
            </w:pPr>
            <w:r>
              <w:t>No. non-compliant</w:t>
            </w:r>
          </w:p>
        </w:tc>
        <w:tc>
          <w:tcPr>
            <w:tcW w:w="1072" w:type="pct"/>
          </w:tcPr>
          <w:p w14:paraId="04F63747" w14:textId="751414C9" w:rsidR="00957936" w:rsidRDefault="00957936">
            <w:pPr>
              <w:pStyle w:val="Tableheading"/>
              <w:jc w:val="right"/>
            </w:pPr>
            <w:r>
              <w:t>Compliance rate (%)</w:t>
            </w:r>
          </w:p>
        </w:tc>
      </w:tr>
      <w:tr w:rsidR="00957936" w14:paraId="62B71EA2" w14:textId="77777777" w:rsidTr="003D575C">
        <w:trPr>
          <w:cantSplit/>
        </w:trPr>
        <w:tc>
          <w:tcPr>
            <w:tcW w:w="1000" w:type="pct"/>
            <w:shd w:val="clear" w:color="auto" w:fill="auto"/>
          </w:tcPr>
          <w:p w14:paraId="1BB331E9" w14:textId="77777777" w:rsidR="00957936" w:rsidRDefault="00957936">
            <w:pPr>
              <w:pStyle w:val="Tabletext"/>
            </w:pPr>
            <w:r>
              <w:t>Analytical</w:t>
            </w:r>
          </w:p>
        </w:tc>
        <w:tc>
          <w:tcPr>
            <w:tcW w:w="708" w:type="pct"/>
            <w:vAlign w:val="bottom"/>
          </w:tcPr>
          <w:p w14:paraId="448E667A" w14:textId="77777777" w:rsidR="00957936" w:rsidRDefault="00957936">
            <w:pPr>
              <w:pStyle w:val="Tabletext"/>
              <w:jc w:val="right"/>
            </w:pPr>
            <w:r>
              <w:t>9 288</w:t>
            </w:r>
          </w:p>
        </w:tc>
        <w:tc>
          <w:tcPr>
            <w:tcW w:w="1025" w:type="pct"/>
            <w:shd w:val="clear" w:color="auto" w:fill="auto"/>
            <w:vAlign w:val="bottom"/>
          </w:tcPr>
          <w:p w14:paraId="25FE1DF4" w14:textId="3D2842F0" w:rsidR="00957936" w:rsidRDefault="00957936" w:rsidP="00957936">
            <w:pPr>
              <w:pStyle w:val="Tabletext"/>
              <w:jc w:val="right"/>
            </w:pPr>
            <w:r>
              <w:t xml:space="preserve">9 182 </w:t>
            </w:r>
          </w:p>
        </w:tc>
        <w:tc>
          <w:tcPr>
            <w:tcW w:w="1195" w:type="pct"/>
          </w:tcPr>
          <w:p w14:paraId="0D88254C" w14:textId="607BEBE4" w:rsidR="00957936" w:rsidRDefault="00957936">
            <w:pPr>
              <w:pStyle w:val="Tabletext"/>
              <w:jc w:val="right"/>
            </w:pPr>
            <w:r>
              <w:t>106</w:t>
            </w:r>
          </w:p>
        </w:tc>
        <w:tc>
          <w:tcPr>
            <w:tcW w:w="1072" w:type="pct"/>
            <w:vAlign w:val="bottom"/>
          </w:tcPr>
          <w:p w14:paraId="20CFE5FF" w14:textId="0C17F113" w:rsidR="00957936" w:rsidRDefault="00957936">
            <w:pPr>
              <w:pStyle w:val="Tabletext"/>
              <w:jc w:val="right"/>
            </w:pPr>
            <w:r>
              <w:t>98.9</w:t>
            </w:r>
          </w:p>
        </w:tc>
      </w:tr>
      <w:tr w:rsidR="00957936" w14:paraId="4E45A374" w14:textId="77777777" w:rsidTr="003D575C">
        <w:trPr>
          <w:cantSplit/>
        </w:trPr>
        <w:tc>
          <w:tcPr>
            <w:tcW w:w="1000" w:type="pct"/>
            <w:shd w:val="clear" w:color="auto" w:fill="auto"/>
            <w:vAlign w:val="center"/>
          </w:tcPr>
          <w:p w14:paraId="261F1321" w14:textId="77777777" w:rsidR="00957936" w:rsidRDefault="00957936">
            <w:pPr>
              <w:pStyle w:val="Tabletext"/>
            </w:pPr>
            <w:r>
              <w:t>Labelling</w:t>
            </w:r>
          </w:p>
        </w:tc>
        <w:tc>
          <w:tcPr>
            <w:tcW w:w="708" w:type="pct"/>
            <w:vAlign w:val="bottom"/>
          </w:tcPr>
          <w:p w14:paraId="112DB082" w14:textId="77777777" w:rsidR="00957936" w:rsidRDefault="00957936">
            <w:pPr>
              <w:pStyle w:val="Tabletext"/>
              <w:jc w:val="right"/>
            </w:pPr>
            <w:r>
              <w:t>17 464</w:t>
            </w:r>
          </w:p>
        </w:tc>
        <w:tc>
          <w:tcPr>
            <w:tcW w:w="1025" w:type="pct"/>
            <w:shd w:val="clear" w:color="auto" w:fill="auto"/>
            <w:vAlign w:val="bottom"/>
          </w:tcPr>
          <w:p w14:paraId="20D924B3" w14:textId="1BAE44A8" w:rsidR="00957936" w:rsidRDefault="00957936" w:rsidP="00957936">
            <w:pPr>
              <w:pStyle w:val="Tabletext"/>
              <w:jc w:val="right"/>
            </w:pPr>
            <w:r>
              <w:t xml:space="preserve">17 098 </w:t>
            </w:r>
          </w:p>
        </w:tc>
        <w:tc>
          <w:tcPr>
            <w:tcW w:w="1195" w:type="pct"/>
          </w:tcPr>
          <w:p w14:paraId="4287DBA6" w14:textId="1D63A73C" w:rsidR="00957936" w:rsidRDefault="00957936">
            <w:pPr>
              <w:pStyle w:val="Tabletext"/>
              <w:jc w:val="right"/>
            </w:pPr>
            <w:r>
              <w:t>366</w:t>
            </w:r>
          </w:p>
        </w:tc>
        <w:tc>
          <w:tcPr>
            <w:tcW w:w="1072" w:type="pct"/>
            <w:vAlign w:val="bottom"/>
          </w:tcPr>
          <w:p w14:paraId="4561A6B7" w14:textId="3B0B7B59" w:rsidR="00957936" w:rsidRDefault="00957936">
            <w:pPr>
              <w:pStyle w:val="Tabletext"/>
              <w:jc w:val="right"/>
            </w:pPr>
            <w:r>
              <w:t>97.9</w:t>
            </w:r>
          </w:p>
        </w:tc>
      </w:tr>
      <w:tr w:rsidR="00957936" w14:paraId="2F2507D6" w14:textId="77777777" w:rsidTr="003D575C">
        <w:trPr>
          <w:cantSplit/>
        </w:trPr>
        <w:tc>
          <w:tcPr>
            <w:tcW w:w="1000" w:type="pct"/>
            <w:shd w:val="clear" w:color="auto" w:fill="auto"/>
            <w:vAlign w:val="center"/>
          </w:tcPr>
          <w:p w14:paraId="609C8556" w14:textId="77777777" w:rsidR="00957936" w:rsidRDefault="00957936">
            <w:pPr>
              <w:pStyle w:val="Tabletext"/>
            </w:pPr>
            <w:r>
              <w:t>Other</w:t>
            </w:r>
          </w:p>
        </w:tc>
        <w:tc>
          <w:tcPr>
            <w:tcW w:w="708" w:type="pct"/>
            <w:vAlign w:val="bottom"/>
          </w:tcPr>
          <w:p w14:paraId="6FB4192B" w14:textId="77777777" w:rsidR="00957936" w:rsidRDefault="00957936">
            <w:pPr>
              <w:pStyle w:val="Tabletext"/>
              <w:jc w:val="right"/>
            </w:pPr>
            <w:r>
              <w:t>17 315</w:t>
            </w:r>
          </w:p>
        </w:tc>
        <w:tc>
          <w:tcPr>
            <w:tcW w:w="1025" w:type="pct"/>
            <w:shd w:val="clear" w:color="auto" w:fill="auto"/>
            <w:vAlign w:val="bottom"/>
          </w:tcPr>
          <w:p w14:paraId="6B367A29" w14:textId="62B65AB1" w:rsidR="00957936" w:rsidRDefault="00957936" w:rsidP="00957936">
            <w:pPr>
              <w:pStyle w:val="Tabletext"/>
              <w:jc w:val="right"/>
            </w:pPr>
            <w:r>
              <w:t xml:space="preserve">17 312 </w:t>
            </w:r>
          </w:p>
        </w:tc>
        <w:tc>
          <w:tcPr>
            <w:tcW w:w="1195" w:type="pct"/>
          </w:tcPr>
          <w:p w14:paraId="012CD190" w14:textId="28AAA0AD" w:rsidR="00957936" w:rsidRDefault="00957936">
            <w:pPr>
              <w:pStyle w:val="Tabletext"/>
              <w:jc w:val="right"/>
            </w:pPr>
            <w:r>
              <w:t>3</w:t>
            </w:r>
          </w:p>
        </w:tc>
        <w:tc>
          <w:tcPr>
            <w:tcW w:w="1072" w:type="pct"/>
            <w:vAlign w:val="bottom"/>
          </w:tcPr>
          <w:p w14:paraId="23F95455" w14:textId="710252BB" w:rsidR="00957936" w:rsidRDefault="00957936">
            <w:pPr>
              <w:pStyle w:val="Tabletext"/>
              <w:jc w:val="right"/>
            </w:pPr>
            <w:r>
              <w:t>99.9</w:t>
            </w:r>
          </w:p>
        </w:tc>
      </w:tr>
      <w:tr w:rsidR="00957936" w14:paraId="5EBAF4EC" w14:textId="77777777" w:rsidTr="003D575C">
        <w:trPr>
          <w:cantSplit/>
        </w:trPr>
        <w:tc>
          <w:tcPr>
            <w:tcW w:w="1000" w:type="pct"/>
            <w:shd w:val="clear" w:color="auto" w:fill="auto"/>
            <w:vAlign w:val="center"/>
          </w:tcPr>
          <w:p w14:paraId="3AAA771B" w14:textId="77777777" w:rsidR="00957936" w:rsidRDefault="00957936">
            <w:pPr>
              <w:pStyle w:val="Tabletext"/>
              <w:rPr>
                <w:b/>
              </w:rPr>
            </w:pPr>
            <w:r>
              <w:rPr>
                <w:b/>
              </w:rPr>
              <w:t>Total</w:t>
            </w:r>
          </w:p>
        </w:tc>
        <w:tc>
          <w:tcPr>
            <w:tcW w:w="708" w:type="pct"/>
            <w:vAlign w:val="bottom"/>
          </w:tcPr>
          <w:p w14:paraId="38A822E5" w14:textId="77777777" w:rsidR="00957936" w:rsidRDefault="00957936">
            <w:pPr>
              <w:pStyle w:val="Tabletext"/>
              <w:jc w:val="right"/>
            </w:pPr>
            <w:r>
              <w:t>44 067</w:t>
            </w:r>
          </w:p>
        </w:tc>
        <w:tc>
          <w:tcPr>
            <w:tcW w:w="1025" w:type="pct"/>
            <w:shd w:val="clear" w:color="auto" w:fill="auto"/>
          </w:tcPr>
          <w:p w14:paraId="254F8E19" w14:textId="118B92B2" w:rsidR="00957936" w:rsidRDefault="00957936" w:rsidP="00957936">
            <w:pPr>
              <w:pStyle w:val="Tabletext"/>
              <w:jc w:val="right"/>
            </w:pPr>
            <w:r>
              <w:t xml:space="preserve">43 592 </w:t>
            </w:r>
          </w:p>
        </w:tc>
        <w:tc>
          <w:tcPr>
            <w:tcW w:w="1195" w:type="pct"/>
          </w:tcPr>
          <w:p w14:paraId="000A6B06" w14:textId="6154044D" w:rsidR="00957936" w:rsidRDefault="00957936">
            <w:pPr>
              <w:pStyle w:val="Tabletext"/>
              <w:jc w:val="right"/>
            </w:pPr>
            <w:r>
              <w:t>475</w:t>
            </w:r>
          </w:p>
        </w:tc>
        <w:tc>
          <w:tcPr>
            <w:tcW w:w="1072" w:type="pct"/>
          </w:tcPr>
          <w:p w14:paraId="780B25ED" w14:textId="2F703E15" w:rsidR="00957936" w:rsidRDefault="00957936">
            <w:pPr>
              <w:pStyle w:val="Tabletext"/>
              <w:jc w:val="right"/>
            </w:pPr>
            <w:r>
              <w:t>98.9</w:t>
            </w:r>
          </w:p>
        </w:tc>
      </w:tr>
    </w:tbl>
    <w:p w14:paraId="4552FD71" w14:textId="326662D0" w:rsidR="00A072D0" w:rsidRDefault="00E70443">
      <w:r>
        <w:fldChar w:fldCharType="begin"/>
      </w:r>
      <w:r>
        <w:instrText xml:space="preserve"> REF _Ref469313161 </w:instrText>
      </w:r>
      <w:r>
        <w:fldChar w:fldCharType="separate"/>
      </w:r>
      <w:r>
        <w:t xml:space="preserve">Figure </w:t>
      </w:r>
      <w:r>
        <w:rPr>
          <w:noProof/>
        </w:rPr>
        <w:t>5</w:t>
      </w:r>
      <w:r>
        <w:rPr>
          <w:noProof/>
        </w:rPr>
        <w:fldChar w:fldCharType="end"/>
      </w:r>
      <w:r w:rsidR="009576A5">
        <w:t xml:space="preserve"> provides a summary of the 475 non-compliant tests from the 44 067 tests applied, with details of each specific test and the proportion each test contributed to the total.</w:t>
      </w:r>
    </w:p>
    <w:p w14:paraId="1BD1AD9F" w14:textId="77777777" w:rsidR="00A072D0" w:rsidRDefault="009576A5">
      <w:pPr>
        <w:pStyle w:val="Caption"/>
      </w:pPr>
      <w:bookmarkStart w:id="40" w:name="_Ref469313161"/>
      <w:bookmarkStart w:id="41" w:name="_Toc465411404"/>
      <w:r>
        <w:lastRenderedPageBreak/>
        <w:t xml:space="preserve">Figure </w:t>
      </w:r>
      <w:r w:rsidR="00E70443">
        <w:fldChar w:fldCharType="begin"/>
      </w:r>
      <w:r w:rsidR="00E70443">
        <w:instrText xml:space="preserve"> SEQ Figure \* ARABIC </w:instrText>
      </w:r>
      <w:r w:rsidR="00E70443">
        <w:fldChar w:fldCharType="separate"/>
      </w:r>
      <w:r w:rsidR="00E70443">
        <w:rPr>
          <w:noProof/>
        </w:rPr>
        <w:t>5</w:t>
      </w:r>
      <w:r w:rsidR="00E70443">
        <w:rPr>
          <w:noProof/>
        </w:rPr>
        <w:fldChar w:fldCharType="end"/>
      </w:r>
      <w:bookmarkEnd w:id="40"/>
      <w:r>
        <w:t xml:space="preserve"> Non-compliant test results</w:t>
      </w:r>
      <w:bookmarkEnd w:id="41"/>
    </w:p>
    <w:p w14:paraId="55FE70DF" w14:textId="77777777" w:rsidR="00A072D0" w:rsidRDefault="009576A5">
      <w:r>
        <w:rPr>
          <w:noProof/>
          <w:lang w:eastAsia="en-AU"/>
        </w:rPr>
        <w:drawing>
          <wp:inline distT="0" distB="0" distL="0" distR="0" wp14:anchorId="091D59D4" wp14:editId="0FE4D120">
            <wp:extent cx="4420415" cy="2396022"/>
            <wp:effectExtent l="0" t="0" r="18415" b="4445"/>
            <wp:docPr id="6" name="Chart 6" descr="Composition - analytical, less than one percent&#10;Contaminants 8.7 percent&#10;Chemicals 8.5 percent&#10;Composition - label assessment 6.8 percent&#10;BSE certification less than one percent&#10;Labelling 70.6 percent&#10;Microbiological 4.7 percent" title="Figure 5, Non compliant test resul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3CF920" w14:textId="77777777" w:rsidR="00A072D0" w:rsidRDefault="009576A5" w:rsidP="00311C7F">
      <w:pPr>
        <w:pStyle w:val="Heading4"/>
        <w:numPr>
          <w:ilvl w:val="0"/>
          <w:numId w:val="0"/>
        </w:numPr>
        <w:ind w:left="964" w:hanging="964"/>
      </w:pPr>
      <w:bookmarkStart w:id="42" w:name="_Toc469066615"/>
      <w:r>
        <w:t>Labelling data</w:t>
      </w:r>
      <w:bookmarkEnd w:id="42"/>
    </w:p>
    <w:p w14:paraId="472DF97F" w14:textId="160820B0" w:rsidR="00A072D0" w:rsidRDefault="003D575C">
      <w:r>
        <w:fldChar w:fldCharType="begin"/>
      </w:r>
      <w:r>
        <w:instrText xml:space="preserve"> REF _Ref469386011 \h </w:instrText>
      </w:r>
      <w:r>
        <w:fldChar w:fldCharType="separate"/>
      </w:r>
      <w:r w:rsidR="00E70443">
        <w:t xml:space="preserve">Figure </w:t>
      </w:r>
      <w:r w:rsidR="00E70443">
        <w:rPr>
          <w:noProof/>
        </w:rPr>
        <w:t>6</w:t>
      </w:r>
      <w:r>
        <w:fldChar w:fldCharType="end"/>
      </w:r>
      <w:r w:rsidR="009576A5">
        <w:t xml:space="preserve"> provides a detailed summary of labelling non-compliances against Australian food standards. Absent, incomplete or incorrect nutrition information details on labelling is the largest contributor to non-compliant labelling, accounting for 25.3 per cent of non-compliances. Absent or incomplete importer details, ingredients list and country of origin labelling account for a further 50.3 per cent of label non-compliances.</w:t>
      </w:r>
    </w:p>
    <w:p w14:paraId="49C951CE" w14:textId="77777777" w:rsidR="00A072D0" w:rsidRDefault="009576A5">
      <w:pPr>
        <w:pStyle w:val="Caption"/>
      </w:pPr>
      <w:bookmarkStart w:id="43" w:name="_Ref469386011"/>
      <w:bookmarkStart w:id="44" w:name="_Toc465411405"/>
      <w:r>
        <w:t xml:space="preserve">Figure </w:t>
      </w:r>
      <w:r w:rsidR="00E70443">
        <w:fldChar w:fldCharType="begin"/>
      </w:r>
      <w:r w:rsidR="00E70443">
        <w:instrText xml:space="preserve"> SEQ Figure \* AR</w:instrText>
      </w:r>
      <w:r w:rsidR="00E70443">
        <w:instrText xml:space="preserve">ABIC </w:instrText>
      </w:r>
      <w:r w:rsidR="00E70443">
        <w:fldChar w:fldCharType="separate"/>
      </w:r>
      <w:r w:rsidR="00E70443">
        <w:rPr>
          <w:noProof/>
        </w:rPr>
        <w:t>6</w:t>
      </w:r>
      <w:r w:rsidR="00E70443">
        <w:rPr>
          <w:noProof/>
        </w:rPr>
        <w:fldChar w:fldCharType="end"/>
      </w:r>
      <w:bookmarkEnd w:id="43"/>
      <w:r>
        <w:t xml:space="preserve"> Non-compliant labelling</w:t>
      </w:r>
      <w:bookmarkEnd w:id="44"/>
    </w:p>
    <w:p w14:paraId="4B542F6A" w14:textId="77777777" w:rsidR="00A072D0" w:rsidRDefault="009576A5">
      <w:pPr>
        <w:spacing w:before="0" w:after="0"/>
        <w:rPr>
          <w:rFonts w:asciiTheme="majorHAnsi" w:eastAsiaTheme="majorEastAsia" w:hAnsiTheme="majorHAnsi" w:cstheme="majorBidi"/>
          <w:b/>
          <w:bCs/>
          <w:color w:val="943634" w:themeColor="accent2" w:themeShade="BF"/>
          <w:sz w:val="28"/>
        </w:rPr>
      </w:pPr>
      <w:r>
        <w:rPr>
          <w:noProof/>
          <w:lang w:eastAsia="en-AU"/>
        </w:rPr>
        <w:drawing>
          <wp:inline distT="0" distB="0" distL="0" distR="0" wp14:anchorId="500D72F8" wp14:editId="142E732A">
            <wp:extent cx="4572000" cy="2743200"/>
            <wp:effectExtent l="0" t="0" r="0" b="0"/>
            <wp:docPr id="7" name="Chart 7" descr="Alcohol labelling 2.7 percent&#10;Country of origin 11.1 percent&#10;Characterising ingredient 3.4 percent&#10;Not in English or not legible 4.1 percent&#10;Nutrition information 25.3 percent&#10;Directions for storage and use 1 percent&#10;Date marking of food 1 percent&#10;Ingredients list 14.5 percent&#10;Mandatory warning statement 4.7 percent&#10;Lot code 2.4 percent&#10;Product description 5.1 percent&#10;Importer details 24.7 percent" title="Figure 6 non compliant labell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type="page"/>
      </w:r>
    </w:p>
    <w:p w14:paraId="77ABDEB4" w14:textId="77777777" w:rsidR="00A072D0" w:rsidRDefault="009576A5" w:rsidP="00311C7F">
      <w:pPr>
        <w:pStyle w:val="Heading4"/>
        <w:numPr>
          <w:ilvl w:val="0"/>
          <w:numId w:val="0"/>
        </w:numPr>
        <w:ind w:left="964" w:hanging="964"/>
      </w:pPr>
      <w:bookmarkStart w:id="45" w:name="_Toc469066616"/>
      <w:r>
        <w:lastRenderedPageBreak/>
        <w:t>Other test data</w:t>
      </w:r>
      <w:bookmarkEnd w:id="45"/>
    </w:p>
    <w:p w14:paraId="178BA07F" w14:textId="77777777" w:rsidR="00A072D0" w:rsidRDefault="009576A5" w:rsidP="00311C7F">
      <w:pPr>
        <w:pStyle w:val="Heading5"/>
      </w:pPr>
      <w:r>
        <w:t>Composition assessments</w:t>
      </w:r>
    </w:p>
    <w:p w14:paraId="6298DA69" w14:textId="77777777" w:rsidR="00A072D0" w:rsidRDefault="009576A5">
      <w:r>
        <w:t>Additives or ingredients that are not permitted, or are in excess of permitted levels, may be identified during a label assessment. Of the 17 464 label assessments conducted, 32 were found to be non-compliant with these requirements.</w:t>
      </w:r>
    </w:p>
    <w:p w14:paraId="1CFFE9C7" w14:textId="77777777" w:rsidR="00A072D0" w:rsidRPr="00311C7F" w:rsidRDefault="009576A5">
      <w:r>
        <w:t>Note: Where a food fails, composition is given a separate test code in the database and is applied for the purpose of holding order inspections. This adds 171 tests to the overall test data in this report but does not represent the</w:t>
      </w:r>
      <w:r w:rsidRPr="00311C7F">
        <w:t xml:space="preserve"> actual test and compliance rate. </w:t>
      </w:r>
    </w:p>
    <w:p w14:paraId="20B845E5" w14:textId="77777777" w:rsidR="00A072D0" w:rsidRDefault="009576A5" w:rsidP="00311C7F">
      <w:pPr>
        <w:pStyle w:val="Heading5"/>
      </w:pPr>
      <w:r>
        <w:t>Bovine Spongiform Encephalopathy certificate checks</w:t>
      </w:r>
    </w:p>
    <w:p w14:paraId="585E2A6C" w14:textId="77777777" w:rsidR="00A072D0" w:rsidRDefault="009576A5">
      <w:r>
        <w:t>Food containing beef is referred as risk and government certification is assessed to determine compliance to Australia’s Bovine Spongiform Encephalopathy (BSE) policy. A fail is recorded when no compliant certificate is presented.</w:t>
      </w:r>
    </w:p>
    <w:p w14:paraId="2F8E4EF9" w14:textId="77777777" w:rsidR="00A072D0" w:rsidRDefault="009576A5">
      <w:pPr>
        <w:pStyle w:val="Caption"/>
      </w:pPr>
      <w:bookmarkStart w:id="46" w:name="_Toc469062406"/>
      <w:r>
        <w:t xml:space="preserve">Table </w:t>
      </w:r>
      <w:r w:rsidR="00E70443">
        <w:fldChar w:fldCharType="begin"/>
      </w:r>
      <w:r w:rsidR="00E70443">
        <w:instrText xml:space="preserve"> SEQ Table \* ARABIC </w:instrText>
      </w:r>
      <w:r w:rsidR="00E70443">
        <w:fldChar w:fldCharType="separate"/>
      </w:r>
      <w:r w:rsidR="00E70443">
        <w:rPr>
          <w:noProof/>
        </w:rPr>
        <w:t>4</w:t>
      </w:r>
      <w:r w:rsidR="00E70443">
        <w:rPr>
          <w:noProof/>
        </w:rPr>
        <w:fldChar w:fldCharType="end"/>
      </w:r>
      <w:r>
        <w:t xml:space="preserve"> Compliance for BSE certificate checks</w:t>
      </w:r>
      <w:bookmarkEnd w:id="46"/>
    </w:p>
    <w:tbl>
      <w:tblPr>
        <w:tblW w:w="5000" w:type="pct"/>
        <w:tblBorders>
          <w:top w:val="single" w:sz="4" w:space="0" w:color="auto"/>
          <w:bottom w:val="single" w:sz="4" w:space="0" w:color="auto"/>
        </w:tblBorders>
        <w:tblLook w:val="04A0" w:firstRow="1" w:lastRow="0" w:firstColumn="1" w:lastColumn="0" w:noHBand="0" w:noVBand="1"/>
      </w:tblPr>
      <w:tblGrid>
        <w:gridCol w:w="1561"/>
        <w:gridCol w:w="1841"/>
        <w:gridCol w:w="1421"/>
        <w:gridCol w:w="1819"/>
        <w:gridCol w:w="1658"/>
      </w:tblGrid>
      <w:tr w:rsidR="00311C7F" w14:paraId="73A225E9" w14:textId="77777777" w:rsidTr="005968CA">
        <w:trPr>
          <w:cantSplit/>
          <w:tblHeader/>
        </w:trPr>
        <w:tc>
          <w:tcPr>
            <w:tcW w:w="940" w:type="pct"/>
            <w:shd w:val="clear" w:color="auto" w:fill="auto"/>
          </w:tcPr>
          <w:p w14:paraId="017862DA" w14:textId="77777777" w:rsidR="00311C7F" w:rsidRDefault="00311C7F">
            <w:pPr>
              <w:pStyle w:val="Tableheading"/>
            </w:pPr>
            <w:r>
              <w:t>Type of test</w:t>
            </w:r>
          </w:p>
        </w:tc>
        <w:tc>
          <w:tcPr>
            <w:tcW w:w="1109" w:type="pct"/>
          </w:tcPr>
          <w:p w14:paraId="0275081C" w14:textId="77777777" w:rsidR="00311C7F" w:rsidRDefault="00311C7F">
            <w:pPr>
              <w:pStyle w:val="Tableheading"/>
              <w:jc w:val="right"/>
            </w:pPr>
            <w:r>
              <w:t>No. of tests applied</w:t>
            </w:r>
          </w:p>
        </w:tc>
        <w:tc>
          <w:tcPr>
            <w:tcW w:w="856" w:type="pct"/>
            <w:shd w:val="clear" w:color="auto" w:fill="auto"/>
          </w:tcPr>
          <w:p w14:paraId="5EC4D584" w14:textId="721F06DF" w:rsidR="00311C7F" w:rsidRDefault="00311C7F" w:rsidP="00311C7F">
            <w:pPr>
              <w:pStyle w:val="Tableheading"/>
              <w:jc w:val="right"/>
            </w:pPr>
            <w:r>
              <w:t>No. compliant</w:t>
            </w:r>
          </w:p>
        </w:tc>
        <w:tc>
          <w:tcPr>
            <w:tcW w:w="1096" w:type="pct"/>
          </w:tcPr>
          <w:p w14:paraId="41B40130" w14:textId="64259ACD" w:rsidR="00311C7F" w:rsidRDefault="00311C7F">
            <w:pPr>
              <w:pStyle w:val="Tableheading"/>
              <w:jc w:val="right"/>
            </w:pPr>
            <w:r>
              <w:t>No. non-compliant</w:t>
            </w:r>
          </w:p>
        </w:tc>
        <w:tc>
          <w:tcPr>
            <w:tcW w:w="999" w:type="pct"/>
          </w:tcPr>
          <w:p w14:paraId="404008E6" w14:textId="21D9F5B6" w:rsidR="00311C7F" w:rsidRDefault="00311C7F">
            <w:pPr>
              <w:pStyle w:val="Tableheading"/>
              <w:jc w:val="right"/>
            </w:pPr>
            <w:r>
              <w:t>Compliance rate (%)</w:t>
            </w:r>
          </w:p>
        </w:tc>
      </w:tr>
      <w:tr w:rsidR="00311C7F" w14:paraId="3313F03E" w14:textId="77777777" w:rsidTr="005968CA">
        <w:tc>
          <w:tcPr>
            <w:tcW w:w="940" w:type="pct"/>
            <w:shd w:val="clear" w:color="auto" w:fill="auto"/>
            <w:vAlign w:val="center"/>
          </w:tcPr>
          <w:p w14:paraId="2E954AFD" w14:textId="77777777" w:rsidR="00311C7F" w:rsidRDefault="00311C7F">
            <w:pPr>
              <w:pStyle w:val="Tabletext"/>
            </w:pPr>
            <w:r>
              <w:t>BSE Certificate</w:t>
            </w:r>
          </w:p>
        </w:tc>
        <w:tc>
          <w:tcPr>
            <w:tcW w:w="1109" w:type="pct"/>
          </w:tcPr>
          <w:p w14:paraId="306AA2C1" w14:textId="77777777" w:rsidR="00311C7F" w:rsidRDefault="00311C7F">
            <w:pPr>
              <w:pStyle w:val="Tabletext"/>
              <w:jc w:val="right"/>
            </w:pPr>
            <w:r>
              <w:t>350</w:t>
            </w:r>
          </w:p>
        </w:tc>
        <w:tc>
          <w:tcPr>
            <w:tcW w:w="856" w:type="pct"/>
            <w:shd w:val="clear" w:color="auto" w:fill="auto"/>
          </w:tcPr>
          <w:p w14:paraId="05F28D99" w14:textId="102ABCC3" w:rsidR="00311C7F" w:rsidRDefault="00311C7F">
            <w:pPr>
              <w:pStyle w:val="Tabletext"/>
              <w:jc w:val="right"/>
            </w:pPr>
            <w:r>
              <w:t>349</w:t>
            </w:r>
          </w:p>
        </w:tc>
        <w:tc>
          <w:tcPr>
            <w:tcW w:w="1096" w:type="pct"/>
          </w:tcPr>
          <w:p w14:paraId="23C2EC99" w14:textId="2B57812A" w:rsidR="00311C7F" w:rsidRDefault="00311C7F">
            <w:pPr>
              <w:pStyle w:val="Tabletext"/>
              <w:jc w:val="right"/>
            </w:pPr>
            <w:r>
              <w:t>1</w:t>
            </w:r>
          </w:p>
        </w:tc>
        <w:tc>
          <w:tcPr>
            <w:tcW w:w="999" w:type="pct"/>
          </w:tcPr>
          <w:p w14:paraId="452EE4FF" w14:textId="319E5F83" w:rsidR="00311C7F" w:rsidRDefault="00311C7F">
            <w:pPr>
              <w:pStyle w:val="Tabletext"/>
              <w:jc w:val="right"/>
            </w:pPr>
            <w:r>
              <w:t>99.7</w:t>
            </w:r>
          </w:p>
        </w:tc>
      </w:tr>
    </w:tbl>
    <w:p w14:paraId="1EF439B1" w14:textId="77777777" w:rsidR="00A072D0" w:rsidRDefault="009576A5">
      <w:r>
        <w:rPr>
          <w:b/>
        </w:rPr>
        <w:t>Visual assessments</w:t>
      </w:r>
    </w:p>
    <w:p w14:paraId="1A55F380" w14:textId="77777777" w:rsidR="00A072D0" w:rsidRDefault="009576A5">
      <w:r>
        <w:t>At every inspection the food is assessed for signs of unsafe or unsuitable condition such as foreign objects or deterioration.</w:t>
      </w:r>
    </w:p>
    <w:p w14:paraId="6E6B31D1" w14:textId="77777777" w:rsidR="00A072D0" w:rsidRDefault="009576A5">
      <w:pPr>
        <w:pStyle w:val="Caption"/>
      </w:pPr>
      <w:bookmarkStart w:id="47" w:name="_Toc469062407"/>
      <w:r>
        <w:t xml:space="preserve">Table </w:t>
      </w:r>
      <w:r w:rsidR="00E70443">
        <w:fldChar w:fldCharType="begin"/>
      </w:r>
      <w:r w:rsidR="00E70443">
        <w:instrText xml:space="preserve"> SEQ Table \* ARABIC </w:instrText>
      </w:r>
      <w:r w:rsidR="00E70443">
        <w:fldChar w:fldCharType="separate"/>
      </w:r>
      <w:r w:rsidR="00E70443">
        <w:rPr>
          <w:noProof/>
        </w:rPr>
        <w:t>5</w:t>
      </w:r>
      <w:r w:rsidR="00E70443">
        <w:rPr>
          <w:noProof/>
        </w:rPr>
        <w:fldChar w:fldCharType="end"/>
      </w:r>
      <w:r>
        <w:t xml:space="preserve"> Compliance for visual assessments</w:t>
      </w:r>
      <w:bookmarkEnd w:id="47"/>
    </w:p>
    <w:tbl>
      <w:tblPr>
        <w:tblW w:w="5000" w:type="pct"/>
        <w:tblBorders>
          <w:top w:val="single" w:sz="4" w:space="0" w:color="auto"/>
          <w:bottom w:val="single" w:sz="4" w:space="0" w:color="auto"/>
        </w:tblBorders>
        <w:tblLook w:val="04A0" w:firstRow="1" w:lastRow="0" w:firstColumn="1" w:lastColumn="0" w:noHBand="0" w:noVBand="1"/>
      </w:tblPr>
      <w:tblGrid>
        <w:gridCol w:w="1417"/>
        <w:gridCol w:w="1902"/>
        <w:gridCol w:w="1501"/>
        <w:gridCol w:w="1843"/>
        <w:gridCol w:w="1637"/>
      </w:tblGrid>
      <w:tr w:rsidR="005968CA" w14:paraId="7BBD1326" w14:textId="77777777" w:rsidTr="005968CA">
        <w:trPr>
          <w:cantSplit/>
          <w:tblHeader/>
        </w:trPr>
        <w:tc>
          <w:tcPr>
            <w:tcW w:w="854" w:type="pct"/>
            <w:shd w:val="clear" w:color="auto" w:fill="auto"/>
          </w:tcPr>
          <w:p w14:paraId="2163013C" w14:textId="77777777" w:rsidR="005968CA" w:rsidRDefault="005968CA">
            <w:pPr>
              <w:pStyle w:val="Tableheading"/>
            </w:pPr>
            <w:r>
              <w:t>Type of test</w:t>
            </w:r>
          </w:p>
        </w:tc>
        <w:tc>
          <w:tcPr>
            <w:tcW w:w="1146" w:type="pct"/>
          </w:tcPr>
          <w:p w14:paraId="6E331A42" w14:textId="77777777" w:rsidR="005968CA" w:rsidRDefault="005968CA">
            <w:pPr>
              <w:pStyle w:val="Tableheading"/>
              <w:jc w:val="right"/>
            </w:pPr>
            <w:r>
              <w:t>No. of tests applied</w:t>
            </w:r>
          </w:p>
        </w:tc>
        <w:tc>
          <w:tcPr>
            <w:tcW w:w="904" w:type="pct"/>
            <w:shd w:val="clear" w:color="auto" w:fill="auto"/>
          </w:tcPr>
          <w:p w14:paraId="39835069" w14:textId="208F5232" w:rsidR="005968CA" w:rsidRDefault="005968CA" w:rsidP="005968CA">
            <w:pPr>
              <w:pStyle w:val="Tableheading"/>
              <w:jc w:val="right"/>
            </w:pPr>
            <w:r>
              <w:t>No. compliant</w:t>
            </w:r>
          </w:p>
        </w:tc>
        <w:tc>
          <w:tcPr>
            <w:tcW w:w="1110" w:type="pct"/>
          </w:tcPr>
          <w:p w14:paraId="2B57625D" w14:textId="1072917D" w:rsidR="005968CA" w:rsidRDefault="005968CA">
            <w:pPr>
              <w:pStyle w:val="Tableheading"/>
              <w:jc w:val="right"/>
            </w:pPr>
            <w:r>
              <w:t>No. non-compliant</w:t>
            </w:r>
          </w:p>
        </w:tc>
        <w:tc>
          <w:tcPr>
            <w:tcW w:w="986" w:type="pct"/>
          </w:tcPr>
          <w:p w14:paraId="7DB09E7D" w14:textId="2C57474F" w:rsidR="005968CA" w:rsidRDefault="005968CA">
            <w:pPr>
              <w:pStyle w:val="Tableheading"/>
              <w:jc w:val="right"/>
            </w:pPr>
            <w:r>
              <w:t>Compliance rate (%)</w:t>
            </w:r>
          </w:p>
        </w:tc>
      </w:tr>
      <w:tr w:rsidR="005968CA" w14:paraId="014EED6E" w14:textId="77777777" w:rsidTr="005968CA">
        <w:tc>
          <w:tcPr>
            <w:tcW w:w="854" w:type="pct"/>
            <w:shd w:val="clear" w:color="auto" w:fill="auto"/>
            <w:vAlign w:val="center"/>
          </w:tcPr>
          <w:p w14:paraId="1F948ED2" w14:textId="77777777" w:rsidR="005968CA" w:rsidRDefault="005968CA">
            <w:pPr>
              <w:pStyle w:val="Tabletext"/>
            </w:pPr>
            <w:r>
              <w:t>Visual</w:t>
            </w:r>
          </w:p>
        </w:tc>
        <w:tc>
          <w:tcPr>
            <w:tcW w:w="1146" w:type="pct"/>
          </w:tcPr>
          <w:p w14:paraId="2137C510" w14:textId="77777777" w:rsidR="005968CA" w:rsidRDefault="005968CA">
            <w:pPr>
              <w:pStyle w:val="Tabletext"/>
              <w:jc w:val="right"/>
              <w:rPr>
                <w:szCs w:val="18"/>
              </w:rPr>
            </w:pPr>
            <w:r>
              <w:rPr>
                <w:szCs w:val="18"/>
              </w:rPr>
              <w:t>16 965</w:t>
            </w:r>
          </w:p>
        </w:tc>
        <w:tc>
          <w:tcPr>
            <w:tcW w:w="904" w:type="pct"/>
            <w:shd w:val="clear" w:color="auto" w:fill="auto"/>
          </w:tcPr>
          <w:p w14:paraId="738FC82F" w14:textId="0D94D1C8" w:rsidR="005968CA" w:rsidRDefault="005968CA" w:rsidP="005968CA">
            <w:pPr>
              <w:pStyle w:val="Tabletext"/>
              <w:jc w:val="right"/>
              <w:rPr>
                <w:szCs w:val="18"/>
              </w:rPr>
            </w:pPr>
            <w:r>
              <w:rPr>
                <w:szCs w:val="18"/>
              </w:rPr>
              <w:t>16 963</w:t>
            </w:r>
          </w:p>
        </w:tc>
        <w:tc>
          <w:tcPr>
            <w:tcW w:w="1110" w:type="pct"/>
          </w:tcPr>
          <w:p w14:paraId="154472F7" w14:textId="21409829" w:rsidR="005968CA" w:rsidRDefault="005968CA">
            <w:pPr>
              <w:pStyle w:val="Tabletext"/>
              <w:jc w:val="right"/>
              <w:rPr>
                <w:szCs w:val="18"/>
              </w:rPr>
            </w:pPr>
            <w:r>
              <w:rPr>
                <w:szCs w:val="18"/>
              </w:rPr>
              <w:t>2</w:t>
            </w:r>
          </w:p>
        </w:tc>
        <w:tc>
          <w:tcPr>
            <w:tcW w:w="986" w:type="pct"/>
          </w:tcPr>
          <w:p w14:paraId="6DFF96F3" w14:textId="52655A42" w:rsidR="005968CA" w:rsidRDefault="005968CA">
            <w:pPr>
              <w:pStyle w:val="Tabletext"/>
              <w:jc w:val="right"/>
              <w:rPr>
                <w:szCs w:val="18"/>
              </w:rPr>
            </w:pPr>
            <w:r>
              <w:rPr>
                <w:szCs w:val="18"/>
              </w:rPr>
              <w:t>100</w:t>
            </w:r>
          </w:p>
        </w:tc>
      </w:tr>
    </w:tbl>
    <w:p w14:paraId="4BF73FE5" w14:textId="5387AF51" w:rsidR="00A072D0" w:rsidRDefault="009576A5">
      <w:r>
        <w:rPr>
          <w:b/>
        </w:rPr>
        <w:t xml:space="preserve">Assessment of oysters </w:t>
      </w:r>
      <w:r w:rsidR="00D60E1A">
        <w:rPr>
          <w:b/>
        </w:rPr>
        <w:t>from</w:t>
      </w:r>
      <w:r>
        <w:rPr>
          <w:b/>
        </w:rPr>
        <w:t xml:space="preserve"> Korea/Japan</w:t>
      </w:r>
    </w:p>
    <w:p w14:paraId="675B111A" w14:textId="77777777" w:rsidR="00A072D0" w:rsidRDefault="009576A5">
      <w:r>
        <w:t>Oysters sourced from the Republic of Korea and specific marine areas of Hiroshima Prefecture, Japan are not permitted to be imported into Australia. The source of the oysters must be verified in writing by the national competent authority in Korea or Japan. A fail is recorded when the origin of the oysters is not able to be verified.</w:t>
      </w:r>
    </w:p>
    <w:p w14:paraId="2BAC00BE" w14:textId="77777777" w:rsidR="00A072D0" w:rsidRDefault="009576A5">
      <w:pPr>
        <w:pStyle w:val="Caption"/>
      </w:pPr>
      <w:bookmarkStart w:id="48" w:name="_Toc469062408"/>
      <w:r>
        <w:t xml:space="preserve">Table </w:t>
      </w:r>
      <w:r w:rsidR="00E70443">
        <w:fldChar w:fldCharType="begin"/>
      </w:r>
      <w:r w:rsidR="00E70443">
        <w:instrText xml:space="preserve"> SEQ Table \* ARABIC </w:instrText>
      </w:r>
      <w:r w:rsidR="00E70443">
        <w:fldChar w:fldCharType="separate"/>
      </w:r>
      <w:r w:rsidR="00E70443">
        <w:rPr>
          <w:noProof/>
        </w:rPr>
        <w:t>6</w:t>
      </w:r>
      <w:r w:rsidR="00E70443">
        <w:rPr>
          <w:noProof/>
        </w:rPr>
        <w:fldChar w:fldCharType="end"/>
      </w:r>
      <w:r>
        <w:t xml:space="preserve"> Compliance for oysters ex Korea/Japan</w:t>
      </w:r>
      <w:bookmarkEnd w:id="48"/>
    </w:p>
    <w:tbl>
      <w:tblPr>
        <w:tblW w:w="5000" w:type="pct"/>
        <w:tblBorders>
          <w:top w:val="single" w:sz="4" w:space="0" w:color="auto"/>
          <w:bottom w:val="single" w:sz="4" w:space="0" w:color="auto"/>
        </w:tblBorders>
        <w:tblLook w:val="04A0" w:firstRow="1" w:lastRow="0" w:firstColumn="1" w:lastColumn="0" w:noHBand="0" w:noVBand="1"/>
      </w:tblPr>
      <w:tblGrid>
        <w:gridCol w:w="1418"/>
        <w:gridCol w:w="1902"/>
        <w:gridCol w:w="1501"/>
        <w:gridCol w:w="1819"/>
        <w:gridCol w:w="1660"/>
      </w:tblGrid>
      <w:tr w:rsidR="006C0DFC" w14:paraId="666E7642" w14:textId="77777777" w:rsidTr="006C0DFC">
        <w:tc>
          <w:tcPr>
            <w:tcW w:w="854" w:type="pct"/>
            <w:shd w:val="clear" w:color="auto" w:fill="auto"/>
          </w:tcPr>
          <w:p w14:paraId="00A53AE4" w14:textId="77777777" w:rsidR="006C0DFC" w:rsidRDefault="006C0DFC">
            <w:pPr>
              <w:pStyle w:val="Tableheading"/>
            </w:pPr>
            <w:r>
              <w:t>Type of test</w:t>
            </w:r>
          </w:p>
        </w:tc>
        <w:tc>
          <w:tcPr>
            <w:tcW w:w="1146" w:type="pct"/>
          </w:tcPr>
          <w:p w14:paraId="5DD0E357" w14:textId="77777777" w:rsidR="006C0DFC" w:rsidRDefault="006C0DFC">
            <w:pPr>
              <w:pStyle w:val="Tableheading"/>
              <w:jc w:val="right"/>
            </w:pPr>
            <w:r>
              <w:t>No. of tests applied</w:t>
            </w:r>
          </w:p>
        </w:tc>
        <w:tc>
          <w:tcPr>
            <w:tcW w:w="904" w:type="pct"/>
            <w:shd w:val="clear" w:color="auto" w:fill="auto"/>
          </w:tcPr>
          <w:p w14:paraId="31AE6862" w14:textId="22940F05" w:rsidR="006C0DFC" w:rsidRDefault="006C0DFC" w:rsidP="006C0DFC">
            <w:pPr>
              <w:pStyle w:val="Tableheading"/>
              <w:jc w:val="right"/>
            </w:pPr>
            <w:r>
              <w:t>No. compliant</w:t>
            </w:r>
          </w:p>
        </w:tc>
        <w:tc>
          <w:tcPr>
            <w:tcW w:w="1096" w:type="pct"/>
          </w:tcPr>
          <w:p w14:paraId="33250A87" w14:textId="41D1A291" w:rsidR="006C0DFC" w:rsidRDefault="006C0DFC">
            <w:pPr>
              <w:pStyle w:val="Tableheading"/>
              <w:jc w:val="right"/>
            </w:pPr>
            <w:r>
              <w:t>No. non-compliant</w:t>
            </w:r>
          </w:p>
        </w:tc>
        <w:tc>
          <w:tcPr>
            <w:tcW w:w="1000" w:type="pct"/>
          </w:tcPr>
          <w:p w14:paraId="0AE74C80" w14:textId="3134015D" w:rsidR="006C0DFC" w:rsidRDefault="006C0DFC">
            <w:pPr>
              <w:pStyle w:val="Tableheading"/>
              <w:jc w:val="right"/>
            </w:pPr>
            <w:r>
              <w:t>Compliance rate (%)</w:t>
            </w:r>
          </w:p>
        </w:tc>
      </w:tr>
      <w:tr w:rsidR="006C0DFC" w14:paraId="4EF14216" w14:textId="77777777" w:rsidTr="006C0DFC">
        <w:tc>
          <w:tcPr>
            <w:tcW w:w="854" w:type="pct"/>
            <w:shd w:val="clear" w:color="auto" w:fill="auto"/>
            <w:vAlign w:val="center"/>
          </w:tcPr>
          <w:p w14:paraId="36BB9ED0" w14:textId="77777777" w:rsidR="006C0DFC" w:rsidRDefault="006C0DFC">
            <w:pPr>
              <w:pStyle w:val="Tabletext"/>
              <w:rPr>
                <w:szCs w:val="18"/>
              </w:rPr>
            </w:pPr>
            <w:r>
              <w:rPr>
                <w:szCs w:val="18"/>
              </w:rPr>
              <w:t>Oysters ex Korea/Japan</w:t>
            </w:r>
          </w:p>
        </w:tc>
        <w:tc>
          <w:tcPr>
            <w:tcW w:w="1146" w:type="pct"/>
            <w:vAlign w:val="center"/>
          </w:tcPr>
          <w:p w14:paraId="56C86D6C" w14:textId="70C1F733" w:rsidR="006C0DFC" w:rsidRDefault="006C0DFC">
            <w:pPr>
              <w:pStyle w:val="Tabletext"/>
              <w:jc w:val="right"/>
              <w:rPr>
                <w:szCs w:val="18"/>
              </w:rPr>
            </w:pPr>
            <w:proofErr w:type="spellStart"/>
            <w:r>
              <w:rPr>
                <w:szCs w:val="18"/>
              </w:rPr>
              <w:t>na</w:t>
            </w:r>
            <w:proofErr w:type="spellEnd"/>
          </w:p>
        </w:tc>
        <w:tc>
          <w:tcPr>
            <w:tcW w:w="904" w:type="pct"/>
            <w:shd w:val="clear" w:color="auto" w:fill="auto"/>
            <w:vAlign w:val="center"/>
          </w:tcPr>
          <w:p w14:paraId="621ABC99" w14:textId="5C3543EE" w:rsidR="006C0DFC" w:rsidRDefault="006C0DFC">
            <w:pPr>
              <w:pStyle w:val="Tabletext"/>
              <w:jc w:val="right"/>
              <w:rPr>
                <w:szCs w:val="18"/>
              </w:rPr>
            </w:pPr>
            <w:proofErr w:type="spellStart"/>
            <w:r>
              <w:rPr>
                <w:szCs w:val="18"/>
              </w:rPr>
              <w:t>na</w:t>
            </w:r>
            <w:proofErr w:type="spellEnd"/>
          </w:p>
        </w:tc>
        <w:tc>
          <w:tcPr>
            <w:tcW w:w="1096" w:type="pct"/>
            <w:vAlign w:val="center"/>
          </w:tcPr>
          <w:p w14:paraId="53BEE380" w14:textId="50B81BE3" w:rsidR="006C0DFC" w:rsidRDefault="006C0DFC">
            <w:pPr>
              <w:pStyle w:val="Tabletext"/>
              <w:jc w:val="right"/>
              <w:rPr>
                <w:szCs w:val="18"/>
              </w:rPr>
            </w:pPr>
            <w:r>
              <w:rPr>
                <w:szCs w:val="18"/>
              </w:rPr>
              <w:t>n/a</w:t>
            </w:r>
          </w:p>
        </w:tc>
        <w:tc>
          <w:tcPr>
            <w:tcW w:w="1000" w:type="pct"/>
            <w:vAlign w:val="center"/>
          </w:tcPr>
          <w:p w14:paraId="36C216CB" w14:textId="027BEA97" w:rsidR="006C0DFC" w:rsidRDefault="006C0DFC">
            <w:pPr>
              <w:pStyle w:val="Tabletext"/>
              <w:jc w:val="right"/>
              <w:rPr>
                <w:szCs w:val="18"/>
              </w:rPr>
            </w:pPr>
            <w:proofErr w:type="spellStart"/>
            <w:r>
              <w:rPr>
                <w:szCs w:val="18"/>
              </w:rPr>
              <w:t>na</w:t>
            </w:r>
            <w:proofErr w:type="spellEnd"/>
          </w:p>
        </w:tc>
      </w:tr>
    </w:tbl>
    <w:p w14:paraId="188125C1" w14:textId="0485BAE5" w:rsidR="00A072D0" w:rsidRDefault="009576A5">
      <w:pPr>
        <w:pStyle w:val="Figuretablenotesource"/>
      </w:pPr>
      <w:proofErr w:type="gramStart"/>
      <w:r w:rsidRPr="006C0DFC">
        <w:rPr>
          <w:rStyle w:val="Strong"/>
        </w:rPr>
        <w:t>n</w:t>
      </w:r>
      <w:r w:rsidR="006C0DFC">
        <w:rPr>
          <w:rStyle w:val="Strong"/>
        </w:rPr>
        <w:t>/</w:t>
      </w:r>
      <w:r w:rsidRPr="006C0DFC">
        <w:rPr>
          <w:rStyle w:val="Strong"/>
        </w:rPr>
        <w:t>a</w:t>
      </w:r>
      <w:proofErr w:type="gramEnd"/>
      <w:r>
        <w:t xml:space="preserve"> Not applicable.</w:t>
      </w:r>
    </w:p>
    <w:p w14:paraId="2D9215D6" w14:textId="77777777" w:rsidR="00A072D0" w:rsidRDefault="009576A5">
      <w:pPr>
        <w:rPr>
          <w:rFonts w:ascii="Calibri" w:hAnsi="Calibri"/>
          <w:sz w:val="18"/>
        </w:rPr>
      </w:pPr>
      <w:r>
        <w:br w:type="page"/>
      </w:r>
    </w:p>
    <w:p w14:paraId="585C7979" w14:textId="77777777" w:rsidR="00A072D0" w:rsidRDefault="009576A5" w:rsidP="006C0DFC">
      <w:pPr>
        <w:pStyle w:val="Heading4"/>
        <w:numPr>
          <w:ilvl w:val="0"/>
          <w:numId w:val="0"/>
        </w:numPr>
        <w:ind w:left="964" w:hanging="964"/>
      </w:pPr>
      <w:bookmarkStart w:id="49" w:name="_Analytical_testing_data"/>
      <w:bookmarkStart w:id="50" w:name="_Toc469066617"/>
      <w:bookmarkEnd w:id="49"/>
      <w:r>
        <w:lastRenderedPageBreak/>
        <w:t>Analytical testing data</w:t>
      </w:r>
      <w:bookmarkEnd w:id="50"/>
    </w:p>
    <w:p w14:paraId="6EAD02C7" w14:textId="77777777" w:rsidR="00A072D0" w:rsidRDefault="009576A5">
      <w:r>
        <w:t>Within the analytical test category, tests are grouped according to four main types: chemical, contaminant, composition (analytical assessment) and microbiological (Table 7). Each category consists of several tests which are reported in detail in Tables 8, 9 and 10.</w:t>
      </w:r>
    </w:p>
    <w:p w14:paraId="7E5074BD" w14:textId="77777777" w:rsidR="00A072D0" w:rsidRDefault="009576A5">
      <w:r>
        <w:t>Analytical test results show a 98.9 per cent compliance rate with the tests applied under the Imported Food Inspection Scheme.</w:t>
      </w:r>
    </w:p>
    <w:p w14:paraId="6F9B7EF4" w14:textId="77777777" w:rsidR="00A072D0" w:rsidRDefault="009576A5">
      <w:r>
        <w:t>Of the 9 288 analytical tests applied, 106 (1.1 per cent) of the products being tested failed against the standards.</w:t>
      </w:r>
    </w:p>
    <w:p w14:paraId="3B624011" w14:textId="77777777" w:rsidR="00A072D0" w:rsidRDefault="009576A5">
      <w:pPr>
        <w:pStyle w:val="Caption"/>
      </w:pPr>
      <w:bookmarkStart w:id="51" w:name="_Toc469062409"/>
      <w:r>
        <w:t xml:space="preserve">Table </w:t>
      </w:r>
      <w:r w:rsidR="00E70443">
        <w:fldChar w:fldCharType="begin"/>
      </w:r>
      <w:r w:rsidR="00E70443">
        <w:instrText xml:space="preserve"> SEQ Table \* ARABIC </w:instrText>
      </w:r>
      <w:r w:rsidR="00E70443">
        <w:fldChar w:fldCharType="separate"/>
      </w:r>
      <w:r w:rsidR="00E70443">
        <w:rPr>
          <w:noProof/>
        </w:rPr>
        <w:t>7</w:t>
      </w:r>
      <w:r w:rsidR="00E70443">
        <w:rPr>
          <w:noProof/>
        </w:rPr>
        <w:fldChar w:fldCharType="end"/>
      </w:r>
      <w:r>
        <w:t xml:space="preserve"> Compliance for analytical testing</w:t>
      </w:r>
      <w:bookmarkEnd w:id="51"/>
    </w:p>
    <w:tbl>
      <w:tblPr>
        <w:tblW w:w="5000" w:type="pct"/>
        <w:tblBorders>
          <w:top w:val="single" w:sz="4" w:space="0" w:color="auto"/>
          <w:bottom w:val="single" w:sz="4" w:space="0" w:color="auto"/>
        </w:tblBorders>
        <w:tblLook w:val="04A0" w:firstRow="1" w:lastRow="0" w:firstColumn="1" w:lastColumn="0" w:noHBand="0" w:noVBand="1"/>
      </w:tblPr>
      <w:tblGrid>
        <w:gridCol w:w="1660"/>
        <w:gridCol w:w="1660"/>
        <w:gridCol w:w="1660"/>
        <w:gridCol w:w="1660"/>
        <w:gridCol w:w="1660"/>
      </w:tblGrid>
      <w:tr w:rsidR="00952670" w14:paraId="7B2E5EC8" w14:textId="77777777" w:rsidTr="00952670">
        <w:trPr>
          <w:cantSplit/>
          <w:tblHeader/>
        </w:trPr>
        <w:tc>
          <w:tcPr>
            <w:tcW w:w="1000" w:type="pct"/>
            <w:shd w:val="clear" w:color="auto" w:fill="auto"/>
          </w:tcPr>
          <w:p w14:paraId="43409588" w14:textId="77777777" w:rsidR="00952670" w:rsidRDefault="00952670">
            <w:pPr>
              <w:pStyle w:val="Tableheading"/>
            </w:pPr>
            <w:r>
              <w:t>Type of test</w:t>
            </w:r>
          </w:p>
        </w:tc>
        <w:tc>
          <w:tcPr>
            <w:tcW w:w="1000" w:type="pct"/>
          </w:tcPr>
          <w:p w14:paraId="1FB55594" w14:textId="77777777" w:rsidR="00952670" w:rsidRDefault="00952670">
            <w:pPr>
              <w:pStyle w:val="Tableheading"/>
              <w:jc w:val="right"/>
            </w:pPr>
            <w:r>
              <w:t>No. of tests applied</w:t>
            </w:r>
          </w:p>
        </w:tc>
        <w:tc>
          <w:tcPr>
            <w:tcW w:w="1000" w:type="pct"/>
            <w:shd w:val="clear" w:color="auto" w:fill="auto"/>
          </w:tcPr>
          <w:p w14:paraId="0AA0DA12" w14:textId="4FCF9C71" w:rsidR="00952670" w:rsidRDefault="007741A1" w:rsidP="00952670">
            <w:pPr>
              <w:pStyle w:val="Tableheading"/>
              <w:jc w:val="right"/>
            </w:pPr>
            <w:r>
              <w:t>No. compliant</w:t>
            </w:r>
          </w:p>
        </w:tc>
        <w:tc>
          <w:tcPr>
            <w:tcW w:w="1000" w:type="pct"/>
          </w:tcPr>
          <w:p w14:paraId="2C9296B5" w14:textId="743D725A" w:rsidR="00952670" w:rsidRDefault="00952670">
            <w:pPr>
              <w:pStyle w:val="Tableheading"/>
              <w:jc w:val="right"/>
            </w:pPr>
            <w:r>
              <w:t>No. non-compliant</w:t>
            </w:r>
          </w:p>
        </w:tc>
        <w:tc>
          <w:tcPr>
            <w:tcW w:w="1000" w:type="pct"/>
          </w:tcPr>
          <w:p w14:paraId="57DAAD12" w14:textId="14C6E02B" w:rsidR="00952670" w:rsidRDefault="00952670">
            <w:pPr>
              <w:pStyle w:val="Tableheading"/>
              <w:jc w:val="right"/>
            </w:pPr>
            <w:r>
              <w:t>Compliance rate (%)</w:t>
            </w:r>
          </w:p>
        </w:tc>
      </w:tr>
      <w:tr w:rsidR="00952670" w14:paraId="26286C43" w14:textId="77777777" w:rsidTr="00952670">
        <w:trPr>
          <w:cantSplit/>
        </w:trPr>
        <w:tc>
          <w:tcPr>
            <w:tcW w:w="1000" w:type="pct"/>
            <w:shd w:val="clear" w:color="auto" w:fill="auto"/>
            <w:vAlign w:val="center"/>
          </w:tcPr>
          <w:p w14:paraId="3CF7174B" w14:textId="77777777" w:rsidR="00952670" w:rsidRDefault="00952670">
            <w:pPr>
              <w:pStyle w:val="Tabletext"/>
            </w:pPr>
            <w:r>
              <w:t>Chemicals</w:t>
            </w:r>
          </w:p>
        </w:tc>
        <w:tc>
          <w:tcPr>
            <w:tcW w:w="1000" w:type="pct"/>
            <w:vAlign w:val="bottom"/>
          </w:tcPr>
          <w:p w14:paraId="6E455CCE" w14:textId="77777777" w:rsidR="00952670" w:rsidRDefault="00952670">
            <w:pPr>
              <w:pStyle w:val="Tabletext"/>
              <w:jc w:val="right"/>
            </w:pPr>
            <w:r>
              <w:t>1 591</w:t>
            </w:r>
          </w:p>
        </w:tc>
        <w:tc>
          <w:tcPr>
            <w:tcW w:w="1000" w:type="pct"/>
            <w:shd w:val="clear" w:color="auto" w:fill="auto"/>
            <w:vAlign w:val="bottom"/>
          </w:tcPr>
          <w:p w14:paraId="76062C64" w14:textId="56040A40" w:rsidR="00952670" w:rsidRDefault="00952670">
            <w:pPr>
              <w:pStyle w:val="Tabletext"/>
              <w:jc w:val="right"/>
            </w:pPr>
            <w:r>
              <w:t>1 551</w:t>
            </w:r>
          </w:p>
        </w:tc>
        <w:tc>
          <w:tcPr>
            <w:tcW w:w="1000" w:type="pct"/>
          </w:tcPr>
          <w:p w14:paraId="066CB6D0" w14:textId="56A9F770" w:rsidR="00952670" w:rsidRDefault="00952670">
            <w:pPr>
              <w:pStyle w:val="Tabletext"/>
              <w:jc w:val="right"/>
            </w:pPr>
            <w:r>
              <w:t>40</w:t>
            </w:r>
          </w:p>
        </w:tc>
        <w:tc>
          <w:tcPr>
            <w:tcW w:w="1000" w:type="pct"/>
            <w:vAlign w:val="bottom"/>
          </w:tcPr>
          <w:p w14:paraId="65E1E559" w14:textId="0EAC635E" w:rsidR="00952670" w:rsidRDefault="00952670">
            <w:pPr>
              <w:pStyle w:val="Tabletext"/>
              <w:jc w:val="right"/>
            </w:pPr>
            <w:r>
              <w:t>97.5</w:t>
            </w:r>
          </w:p>
        </w:tc>
      </w:tr>
      <w:tr w:rsidR="00952670" w14:paraId="596752C8" w14:textId="77777777" w:rsidTr="00952670">
        <w:trPr>
          <w:cantSplit/>
        </w:trPr>
        <w:tc>
          <w:tcPr>
            <w:tcW w:w="1000" w:type="pct"/>
            <w:shd w:val="clear" w:color="auto" w:fill="auto"/>
            <w:vAlign w:val="center"/>
          </w:tcPr>
          <w:p w14:paraId="77CE1383" w14:textId="77777777" w:rsidR="00952670" w:rsidRDefault="00952670">
            <w:pPr>
              <w:pStyle w:val="Tabletext"/>
            </w:pPr>
            <w:r>
              <w:t>Contaminants</w:t>
            </w:r>
          </w:p>
        </w:tc>
        <w:tc>
          <w:tcPr>
            <w:tcW w:w="1000" w:type="pct"/>
            <w:vAlign w:val="bottom"/>
          </w:tcPr>
          <w:p w14:paraId="37CF8C3D" w14:textId="77777777" w:rsidR="00952670" w:rsidRDefault="00952670">
            <w:pPr>
              <w:pStyle w:val="Tabletext"/>
              <w:jc w:val="right"/>
            </w:pPr>
            <w:r>
              <w:t>3 336</w:t>
            </w:r>
          </w:p>
        </w:tc>
        <w:tc>
          <w:tcPr>
            <w:tcW w:w="1000" w:type="pct"/>
            <w:shd w:val="clear" w:color="auto" w:fill="auto"/>
            <w:vAlign w:val="bottom"/>
          </w:tcPr>
          <w:p w14:paraId="3043DF8C" w14:textId="2DD982D8" w:rsidR="00952670" w:rsidRDefault="00952670">
            <w:pPr>
              <w:pStyle w:val="Tabletext"/>
              <w:jc w:val="right"/>
            </w:pPr>
            <w:r>
              <w:t>3 295</w:t>
            </w:r>
          </w:p>
        </w:tc>
        <w:tc>
          <w:tcPr>
            <w:tcW w:w="1000" w:type="pct"/>
          </w:tcPr>
          <w:p w14:paraId="14C5BAD3" w14:textId="2A713935" w:rsidR="00952670" w:rsidRDefault="00952670">
            <w:pPr>
              <w:pStyle w:val="Tabletext"/>
              <w:jc w:val="right"/>
            </w:pPr>
            <w:r>
              <w:t>41</w:t>
            </w:r>
          </w:p>
        </w:tc>
        <w:tc>
          <w:tcPr>
            <w:tcW w:w="1000" w:type="pct"/>
            <w:vAlign w:val="bottom"/>
          </w:tcPr>
          <w:p w14:paraId="36E3BA1A" w14:textId="13ADFCBE" w:rsidR="00952670" w:rsidRDefault="00952670">
            <w:pPr>
              <w:pStyle w:val="Tabletext"/>
              <w:jc w:val="right"/>
            </w:pPr>
            <w:r>
              <w:t>98.8</w:t>
            </w:r>
          </w:p>
        </w:tc>
      </w:tr>
      <w:tr w:rsidR="00952670" w14:paraId="6098558D" w14:textId="77777777" w:rsidTr="00952670">
        <w:trPr>
          <w:cantSplit/>
        </w:trPr>
        <w:tc>
          <w:tcPr>
            <w:tcW w:w="1000" w:type="pct"/>
            <w:shd w:val="clear" w:color="auto" w:fill="auto"/>
            <w:vAlign w:val="center"/>
          </w:tcPr>
          <w:p w14:paraId="6BDFAC9A" w14:textId="77777777" w:rsidR="00952670" w:rsidRDefault="00952670">
            <w:pPr>
              <w:pStyle w:val="Tabletext"/>
            </w:pPr>
            <w:r>
              <w:t>Microbiological</w:t>
            </w:r>
          </w:p>
        </w:tc>
        <w:tc>
          <w:tcPr>
            <w:tcW w:w="1000" w:type="pct"/>
            <w:vAlign w:val="bottom"/>
          </w:tcPr>
          <w:p w14:paraId="7EED8A00" w14:textId="77777777" w:rsidR="00952670" w:rsidRDefault="00952670">
            <w:pPr>
              <w:pStyle w:val="Tabletext"/>
              <w:jc w:val="right"/>
            </w:pPr>
            <w:r>
              <w:t>4 229</w:t>
            </w:r>
          </w:p>
        </w:tc>
        <w:tc>
          <w:tcPr>
            <w:tcW w:w="1000" w:type="pct"/>
            <w:shd w:val="clear" w:color="auto" w:fill="auto"/>
            <w:vAlign w:val="bottom"/>
          </w:tcPr>
          <w:p w14:paraId="79D41E27" w14:textId="5AE802B5" w:rsidR="00952670" w:rsidRDefault="00952670">
            <w:pPr>
              <w:pStyle w:val="Tabletext"/>
              <w:jc w:val="right"/>
            </w:pPr>
            <w:r>
              <w:t>4 207</w:t>
            </w:r>
          </w:p>
        </w:tc>
        <w:tc>
          <w:tcPr>
            <w:tcW w:w="1000" w:type="pct"/>
          </w:tcPr>
          <w:p w14:paraId="204FBBFD" w14:textId="781711C2" w:rsidR="00952670" w:rsidRDefault="00952670">
            <w:pPr>
              <w:pStyle w:val="Tabletext"/>
              <w:jc w:val="right"/>
            </w:pPr>
            <w:r>
              <w:t>22</w:t>
            </w:r>
          </w:p>
        </w:tc>
        <w:tc>
          <w:tcPr>
            <w:tcW w:w="1000" w:type="pct"/>
            <w:vAlign w:val="bottom"/>
          </w:tcPr>
          <w:p w14:paraId="5995BD9F" w14:textId="009CF42B" w:rsidR="00952670" w:rsidRDefault="00952670">
            <w:pPr>
              <w:pStyle w:val="Tabletext"/>
              <w:jc w:val="right"/>
            </w:pPr>
            <w:r>
              <w:t>99.5</w:t>
            </w:r>
          </w:p>
        </w:tc>
      </w:tr>
      <w:tr w:rsidR="00952670" w14:paraId="2B1190E3" w14:textId="77777777" w:rsidTr="00952670">
        <w:trPr>
          <w:cantSplit/>
        </w:trPr>
        <w:tc>
          <w:tcPr>
            <w:tcW w:w="1000" w:type="pct"/>
            <w:shd w:val="clear" w:color="auto" w:fill="auto"/>
            <w:vAlign w:val="center"/>
          </w:tcPr>
          <w:p w14:paraId="4F16E56D" w14:textId="77777777" w:rsidR="00952670" w:rsidRDefault="00952670">
            <w:pPr>
              <w:pStyle w:val="Tabletext"/>
            </w:pPr>
            <w:r>
              <w:t>Composition</w:t>
            </w:r>
          </w:p>
        </w:tc>
        <w:tc>
          <w:tcPr>
            <w:tcW w:w="1000" w:type="pct"/>
            <w:vAlign w:val="bottom"/>
          </w:tcPr>
          <w:p w14:paraId="3C6C7352" w14:textId="1C5A684C" w:rsidR="00952670" w:rsidRDefault="00952670">
            <w:pPr>
              <w:pStyle w:val="Tabletext"/>
              <w:jc w:val="right"/>
            </w:pPr>
            <w:r>
              <w:t>132</w:t>
            </w:r>
          </w:p>
        </w:tc>
        <w:tc>
          <w:tcPr>
            <w:tcW w:w="1000" w:type="pct"/>
            <w:shd w:val="clear" w:color="auto" w:fill="auto"/>
            <w:vAlign w:val="bottom"/>
          </w:tcPr>
          <w:p w14:paraId="2790D9C5" w14:textId="50E01921" w:rsidR="00952670" w:rsidRDefault="00952670">
            <w:pPr>
              <w:pStyle w:val="Tabletext"/>
              <w:jc w:val="right"/>
            </w:pPr>
            <w:r>
              <w:t>129</w:t>
            </w:r>
          </w:p>
        </w:tc>
        <w:tc>
          <w:tcPr>
            <w:tcW w:w="1000" w:type="pct"/>
          </w:tcPr>
          <w:p w14:paraId="40758F23" w14:textId="281143F4" w:rsidR="00952670" w:rsidRDefault="00952670">
            <w:pPr>
              <w:pStyle w:val="Tabletext"/>
              <w:jc w:val="right"/>
            </w:pPr>
            <w:r>
              <w:t>3</w:t>
            </w:r>
          </w:p>
        </w:tc>
        <w:tc>
          <w:tcPr>
            <w:tcW w:w="1000" w:type="pct"/>
            <w:vAlign w:val="bottom"/>
          </w:tcPr>
          <w:p w14:paraId="7AFF3141" w14:textId="2DEB8C63" w:rsidR="00952670" w:rsidRDefault="00952670">
            <w:pPr>
              <w:pStyle w:val="Tabletext"/>
              <w:jc w:val="right"/>
            </w:pPr>
            <w:r>
              <w:t>97.7</w:t>
            </w:r>
          </w:p>
        </w:tc>
      </w:tr>
      <w:tr w:rsidR="00952670" w14:paraId="71F41FE9" w14:textId="77777777" w:rsidTr="00952670">
        <w:trPr>
          <w:cantSplit/>
        </w:trPr>
        <w:tc>
          <w:tcPr>
            <w:tcW w:w="1000" w:type="pct"/>
            <w:shd w:val="clear" w:color="auto" w:fill="auto"/>
            <w:vAlign w:val="center"/>
          </w:tcPr>
          <w:p w14:paraId="5BF01B1F" w14:textId="77777777" w:rsidR="00952670" w:rsidRDefault="00952670">
            <w:pPr>
              <w:pStyle w:val="Tabletext"/>
              <w:rPr>
                <w:b/>
              </w:rPr>
            </w:pPr>
            <w:r>
              <w:rPr>
                <w:b/>
              </w:rPr>
              <w:t>Total</w:t>
            </w:r>
          </w:p>
        </w:tc>
        <w:tc>
          <w:tcPr>
            <w:tcW w:w="1000" w:type="pct"/>
          </w:tcPr>
          <w:p w14:paraId="254D591E" w14:textId="77777777" w:rsidR="00952670" w:rsidRDefault="00952670">
            <w:pPr>
              <w:pStyle w:val="Tabletext"/>
              <w:jc w:val="right"/>
            </w:pPr>
            <w:r>
              <w:t>9 288</w:t>
            </w:r>
          </w:p>
        </w:tc>
        <w:tc>
          <w:tcPr>
            <w:tcW w:w="1000" w:type="pct"/>
            <w:shd w:val="clear" w:color="auto" w:fill="auto"/>
          </w:tcPr>
          <w:p w14:paraId="23609A1C" w14:textId="44F594CD" w:rsidR="00952670" w:rsidRDefault="00952670">
            <w:pPr>
              <w:pStyle w:val="Tabletext"/>
              <w:jc w:val="right"/>
            </w:pPr>
            <w:r>
              <w:t>9 182</w:t>
            </w:r>
          </w:p>
        </w:tc>
        <w:tc>
          <w:tcPr>
            <w:tcW w:w="1000" w:type="pct"/>
          </w:tcPr>
          <w:p w14:paraId="3A45CFCA" w14:textId="78AB458E" w:rsidR="00952670" w:rsidRDefault="00952670">
            <w:pPr>
              <w:pStyle w:val="Tabletext"/>
              <w:jc w:val="right"/>
            </w:pPr>
            <w:r>
              <w:t>106</w:t>
            </w:r>
          </w:p>
        </w:tc>
        <w:tc>
          <w:tcPr>
            <w:tcW w:w="1000" w:type="pct"/>
          </w:tcPr>
          <w:p w14:paraId="4C04DF37" w14:textId="790119C0" w:rsidR="00952670" w:rsidRDefault="00952670">
            <w:pPr>
              <w:pStyle w:val="Tabletext"/>
              <w:jc w:val="right"/>
            </w:pPr>
            <w:r>
              <w:t>98.9</w:t>
            </w:r>
          </w:p>
        </w:tc>
      </w:tr>
    </w:tbl>
    <w:p w14:paraId="3D79332B" w14:textId="77777777" w:rsidR="00A072D0" w:rsidRDefault="009576A5">
      <w:pPr>
        <w:pStyle w:val="Caption"/>
      </w:pPr>
      <w:bookmarkStart w:id="52" w:name="_Toc369867483"/>
      <w:bookmarkStart w:id="53" w:name="_Toc469062410"/>
      <w:r>
        <w:t xml:space="preserve">Table </w:t>
      </w:r>
      <w:r w:rsidR="00E70443">
        <w:fldChar w:fldCharType="begin"/>
      </w:r>
      <w:r w:rsidR="00E70443">
        <w:instrText xml:space="preserve"> SEQ Table \* ARABIC </w:instrText>
      </w:r>
      <w:r w:rsidR="00E70443">
        <w:fldChar w:fldCharType="separate"/>
      </w:r>
      <w:r w:rsidR="00E70443">
        <w:rPr>
          <w:noProof/>
        </w:rPr>
        <w:t>8</w:t>
      </w:r>
      <w:r w:rsidR="00E70443">
        <w:rPr>
          <w:noProof/>
        </w:rPr>
        <w:fldChar w:fldCharType="end"/>
      </w:r>
      <w:r>
        <w:t xml:space="preserve"> Compliance for chemical tests</w:t>
      </w:r>
      <w:bookmarkEnd w:id="52"/>
      <w:bookmarkEnd w:id="53"/>
    </w:p>
    <w:tbl>
      <w:tblPr>
        <w:tblW w:w="5000" w:type="pct"/>
        <w:jc w:val="center"/>
        <w:tblBorders>
          <w:top w:val="single" w:sz="4" w:space="0" w:color="auto"/>
          <w:bottom w:val="single" w:sz="4" w:space="0" w:color="auto"/>
        </w:tblBorders>
        <w:tblLook w:val="04A0" w:firstRow="1" w:lastRow="0" w:firstColumn="1" w:lastColumn="0" w:noHBand="0" w:noVBand="1"/>
      </w:tblPr>
      <w:tblGrid>
        <w:gridCol w:w="1584"/>
        <w:gridCol w:w="1253"/>
        <w:gridCol w:w="1278"/>
        <w:gridCol w:w="1130"/>
        <w:gridCol w:w="1275"/>
        <w:gridCol w:w="1780"/>
      </w:tblGrid>
      <w:tr w:rsidR="00952670" w14:paraId="19D20371" w14:textId="77777777" w:rsidTr="003D575C">
        <w:trPr>
          <w:cantSplit/>
          <w:tblHeader/>
          <w:jc w:val="center"/>
        </w:trPr>
        <w:tc>
          <w:tcPr>
            <w:tcW w:w="954" w:type="pct"/>
            <w:shd w:val="clear" w:color="auto" w:fill="auto"/>
          </w:tcPr>
          <w:p w14:paraId="6DACC678" w14:textId="77777777" w:rsidR="00952670" w:rsidRDefault="00952670">
            <w:pPr>
              <w:pStyle w:val="Tableheading"/>
            </w:pPr>
            <w:r>
              <w:t>Chemical</w:t>
            </w:r>
          </w:p>
        </w:tc>
        <w:tc>
          <w:tcPr>
            <w:tcW w:w="755" w:type="pct"/>
          </w:tcPr>
          <w:p w14:paraId="1846DF3C" w14:textId="77777777" w:rsidR="00952670" w:rsidRDefault="00952670">
            <w:pPr>
              <w:pStyle w:val="Tableheading"/>
              <w:jc w:val="right"/>
            </w:pPr>
            <w:r>
              <w:t>No. of tests applied</w:t>
            </w:r>
          </w:p>
        </w:tc>
        <w:tc>
          <w:tcPr>
            <w:tcW w:w="770" w:type="pct"/>
            <w:shd w:val="clear" w:color="auto" w:fill="auto"/>
          </w:tcPr>
          <w:p w14:paraId="71EEBB2A" w14:textId="779CF115" w:rsidR="00952670" w:rsidRDefault="007741A1" w:rsidP="00952670">
            <w:pPr>
              <w:pStyle w:val="Tableheading"/>
              <w:jc w:val="right"/>
            </w:pPr>
            <w:r>
              <w:t>No. compliant</w:t>
            </w:r>
            <w:r w:rsidR="00952670">
              <w:t xml:space="preserve"> </w:t>
            </w:r>
          </w:p>
        </w:tc>
        <w:tc>
          <w:tcPr>
            <w:tcW w:w="681" w:type="pct"/>
          </w:tcPr>
          <w:p w14:paraId="2FD92A3B" w14:textId="0F3AAE11" w:rsidR="00952670" w:rsidRDefault="00952670">
            <w:pPr>
              <w:pStyle w:val="Tableheading"/>
              <w:jc w:val="right"/>
            </w:pPr>
            <w:r>
              <w:t>No. non-compliant</w:t>
            </w:r>
          </w:p>
        </w:tc>
        <w:tc>
          <w:tcPr>
            <w:tcW w:w="768" w:type="pct"/>
          </w:tcPr>
          <w:p w14:paraId="6E8F2733" w14:textId="36F3538D" w:rsidR="00952670" w:rsidRDefault="00952670">
            <w:pPr>
              <w:pStyle w:val="Tableheading"/>
              <w:jc w:val="right"/>
            </w:pPr>
            <w:r>
              <w:t>Compliance rate (%)</w:t>
            </w:r>
          </w:p>
        </w:tc>
        <w:tc>
          <w:tcPr>
            <w:tcW w:w="1072" w:type="pct"/>
          </w:tcPr>
          <w:p w14:paraId="04DFD3EE" w14:textId="77777777" w:rsidR="00952670" w:rsidRDefault="00952670">
            <w:pPr>
              <w:pStyle w:val="Tableheading"/>
              <w:jc w:val="center"/>
            </w:pPr>
            <w:r>
              <w:t>Types of food</w:t>
            </w:r>
          </w:p>
        </w:tc>
      </w:tr>
      <w:tr w:rsidR="00952670" w14:paraId="086C6078" w14:textId="77777777" w:rsidTr="003D575C">
        <w:trPr>
          <w:cantSplit/>
          <w:jc w:val="center"/>
        </w:trPr>
        <w:tc>
          <w:tcPr>
            <w:tcW w:w="954" w:type="pct"/>
            <w:shd w:val="clear" w:color="auto" w:fill="auto"/>
            <w:vAlign w:val="center"/>
          </w:tcPr>
          <w:p w14:paraId="28DABF73" w14:textId="77777777" w:rsidR="00952670" w:rsidRDefault="00952670">
            <w:pPr>
              <w:pStyle w:val="Tabletext"/>
            </w:pPr>
            <w:r>
              <w:t>Fluoroquinolones</w:t>
            </w:r>
          </w:p>
        </w:tc>
        <w:tc>
          <w:tcPr>
            <w:tcW w:w="755" w:type="pct"/>
            <w:vAlign w:val="center"/>
          </w:tcPr>
          <w:p w14:paraId="6AEF577F" w14:textId="02D09D6E" w:rsidR="00952670" w:rsidRDefault="00952670">
            <w:pPr>
              <w:pStyle w:val="Tabletext"/>
              <w:jc w:val="right"/>
            </w:pPr>
            <w:r>
              <w:t>192</w:t>
            </w:r>
          </w:p>
        </w:tc>
        <w:tc>
          <w:tcPr>
            <w:tcW w:w="770" w:type="pct"/>
            <w:shd w:val="clear" w:color="auto" w:fill="auto"/>
            <w:vAlign w:val="center"/>
          </w:tcPr>
          <w:p w14:paraId="7AFC903B" w14:textId="48BFD80F" w:rsidR="00952670" w:rsidRDefault="00952670" w:rsidP="00952670">
            <w:pPr>
              <w:pStyle w:val="Tabletext"/>
              <w:jc w:val="right"/>
            </w:pPr>
            <w:r>
              <w:t>190</w:t>
            </w:r>
          </w:p>
        </w:tc>
        <w:tc>
          <w:tcPr>
            <w:tcW w:w="681" w:type="pct"/>
            <w:vAlign w:val="center"/>
          </w:tcPr>
          <w:p w14:paraId="63613184" w14:textId="3B98BCA2" w:rsidR="00952670" w:rsidRDefault="00952670">
            <w:pPr>
              <w:pStyle w:val="Tabletext"/>
              <w:jc w:val="right"/>
            </w:pPr>
            <w:r>
              <w:t>2</w:t>
            </w:r>
          </w:p>
        </w:tc>
        <w:tc>
          <w:tcPr>
            <w:tcW w:w="768" w:type="pct"/>
            <w:vAlign w:val="center"/>
          </w:tcPr>
          <w:p w14:paraId="46361341" w14:textId="3935E363" w:rsidR="00952670" w:rsidRDefault="00952670">
            <w:pPr>
              <w:pStyle w:val="Tabletext"/>
              <w:jc w:val="right"/>
            </w:pPr>
            <w:r>
              <w:t>99.0</w:t>
            </w:r>
          </w:p>
        </w:tc>
        <w:tc>
          <w:tcPr>
            <w:tcW w:w="1072" w:type="pct"/>
            <w:vAlign w:val="center"/>
          </w:tcPr>
          <w:p w14:paraId="238D8D24" w14:textId="77777777" w:rsidR="00952670" w:rsidRDefault="00952670">
            <w:pPr>
              <w:pStyle w:val="Tabletext"/>
            </w:pPr>
            <w:r>
              <w:t>Farmed fish and prawns</w:t>
            </w:r>
          </w:p>
        </w:tc>
      </w:tr>
      <w:tr w:rsidR="00952670" w14:paraId="3491BDDA" w14:textId="77777777" w:rsidTr="003D575C">
        <w:trPr>
          <w:cantSplit/>
          <w:jc w:val="center"/>
        </w:trPr>
        <w:tc>
          <w:tcPr>
            <w:tcW w:w="954" w:type="pct"/>
            <w:shd w:val="clear" w:color="auto" w:fill="auto"/>
            <w:vAlign w:val="center"/>
          </w:tcPr>
          <w:p w14:paraId="40BD8C86" w14:textId="7794F1F6" w:rsidR="00952670" w:rsidRDefault="00952670" w:rsidP="007741A1">
            <w:pPr>
              <w:pStyle w:val="Tabletext"/>
            </w:pPr>
            <w:r>
              <w:t xml:space="preserve">Fruit and </w:t>
            </w:r>
            <w:r w:rsidR="007741A1">
              <w:t>veg residue s</w:t>
            </w:r>
            <w:r>
              <w:t>creen</w:t>
            </w:r>
          </w:p>
        </w:tc>
        <w:tc>
          <w:tcPr>
            <w:tcW w:w="755" w:type="pct"/>
            <w:vAlign w:val="center"/>
          </w:tcPr>
          <w:p w14:paraId="42C4BB9C" w14:textId="1834409B" w:rsidR="00952670" w:rsidRDefault="00952670">
            <w:pPr>
              <w:pStyle w:val="Tabletext"/>
              <w:jc w:val="right"/>
            </w:pPr>
            <w:r>
              <w:t>789</w:t>
            </w:r>
          </w:p>
        </w:tc>
        <w:tc>
          <w:tcPr>
            <w:tcW w:w="770" w:type="pct"/>
            <w:shd w:val="clear" w:color="auto" w:fill="auto"/>
            <w:vAlign w:val="center"/>
          </w:tcPr>
          <w:p w14:paraId="105E1BBA" w14:textId="5904B456" w:rsidR="00952670" w:rsidRDefault="00952670">
            <w:pPr>
              <w:pStyle w:val="Tabletext"/>
              <w:jc w:val="right"/>
            </w:pPr>
            <w:r>
              <w:t>752</w:t>
            </w:r>
          </w:p>
        </w:tc>
        <w:tc>
          <w:tcPr>
            <w:tcW w:w="681" w:type="pct"/>
            <w:vAlign w:val="center"/>
          </w:tcPr>
          <w:p w14:paraId="29C940FC" w14:textId="240AB9E6" w:rsidR="00952670" w:rsidRDefault="00952670">
            <w:pPr>
              <w:pStyle w:val="Tabletext"/>
              <w:jc w:val="right"/>
            </w:pPr>
            <w:r>
              <w:t>37</w:t>
            </w:r>
          </w:p>
        </w:tc>
        <w:tc>
          <w:tcPr>
            <w:tcW w:w="768" w:type="pct"/>
            <w:vAlign w:val="center"/>
          </w:tcPr>
          <w:p w14:paraId="055A7010" w14:textId="22B58C04" w:rsidR="00952670" w:rsidRDefault="00952670">
            <w:pPr>
              <w:pStyle w:val="Tabletext"/>
              <w:jc w:val="right"/>
            </w:pPr>
            <w:r>
              <w:t>95.3</w:t>
            </w:r>
          </w:p>
        </w:tc>
        <w:tc>
          <w:tcPr>
            <w:tcW w:w="1072" w:type="pct"/>
            <w:vAlign w:val="center"/>
          </w:tcPr>
          <w:p w14:paraId="7989BFD8" w14:textId="77777777" w:rsidR="00952670" w:rsidRDefault="00952670">
            <w:pPr>
              <w:pStyle w:val="Tabletext"/>
            </w:pPr>
            <w:r>
              <w:t>Fruit and vegetables</w:t>
            </w:r>
          </w:p>
        </w:tc>
      </w:tr>
      <w:tr w:rsidR="00952670" w14:paraId="64A46A2A" w14:textId="77777777" w:rsidTr="003D575C">
        <w:trPr>
          <w:cantSplit/>
          <w:jc w:val="center"/>
        </w:trPr>
        <w:tc>
          <w:tcPr>
            <w:tcW w:w="954" w:type="pct"/>
            <w:shd w:val="clear" w:color="auto" w:fill="auto"/>
            <w:vAlign w:val="center"/>
          </w:tcPr>
          <w:p w14:paraId="562D1BC0" w14:textId="77777777" w:rsidR="00952670" w:rsidRDefault="00952670">
            <w:pPr>
              <w:pStyle w:val="Tabletext"/>
            </w:pPr>
            <w:r>
              <w:t>Malachite Green</w:t>
            </w:r>
          </w:p>
        </w:tc>
        <w:tc>
          <w:tcPr>
            <w:tcW w:w="755" w:type="pct"/>
            <w:vAlign w:val="center"/>
          </w:tcPr>
          <w:p w14:paraId="1B8E8080" w14:textId="248736AA" w:rsidR="00952670" w:rsidRDefault="00952670">
            <w:pPr>
              <w:pStyle w:val="Tabletext"/>
              <w:jc w:val="right"/>
            </w:pPr>
            <w:r>
              <w:t>168</w:t>
            </w:r>
          </w:p>
        </w:tc>
        <w:tc>
          <w:tcPr>
            <w:tcW w:w="770" w:type="pct"/>
            <w:shd w:val="clear" w:color="auto" w:fill="auto"/>
            <w:vAlign w:val="center"/>
          </w:tcPr>
          <w:p w14:paraId="44E4699E" w14:textId="2DC6EAAF" w:rsidR="00952670" w:rsidRDefault="00952670">
            <w:pPr>
              <w:pStyle w:val="Tabletext"/>
              <w:jc w:val="right"/>
            </w:pPr>
            <w:r>
              <w:t xml:space="preserve">168 </w:t>
            </w:r>
          </w:p>
        </w:tc>
        <w:tc>
          <w:tcPr>
            <w:tcW w:w="681" w:type="pct"/>
            <w:vAlign w:val="center"/>
          </w:tcPr>
          <w:p w14:paraId="1DDA2CA5" w14:textId="4325FFFC" w:rsidR="00952670" w:rsidRDefault="00952670">
            <w:pPr>
              <w:pStyle w:val="Tabletext"/>
              <w:jc w:val="right"/>
            </w:pPr>
            <w:r>
              <w:t>0</w:t>
            </w:r>
          </w:p>
        </w:tc>
        <w:tc>
          <w:tcPr>
            <w:tcW w:w="768" w:type="pct"/>
            <w:vAlign w:val="center"/>
          </w:tcPr>
          <w:p w14:paraId="09B4B84E" w14:textId="28CEBA9F" w:rsidR="00952670" w:rsidRDefault="00952670">
            <w:pPr>
              <w:pStyle w:val="Tabletext"/>
              <w:jc w:val="right"/>
            </w:pPr>
            <w:r>
              <w:t>100.0</w:t>
            </w:r>
          </w:p>
        </w:tc>
        <w:tc>
          <w:tcPr>
            <w:tcW w:w="1072" w:type="pct"/>
            <w:vAlign w:val="center"/>
          </w:tcPr>
          <w:p w14:paraId="750F3D02" w14:textId="77777777" w:rsidR="00952670" w:rsidRDefault="00952670">
            <w:pPr>
              <w:pStyle w:val="Tabletext"/>
            </w:pPr>
            <w:r>
              <w:t>Farmed fish</w:t>
            </w:r>
          </w:p>
        </w:tc>
      </w:tr>
      <w:tr w:rsidR="00952670" w14:paraId="216C9A21" w14:textId="77777777" w:rsidTr="003D575C">
        <w:trPr>
          <w:cantSplit/>
          <w:jc w:val="center"/>
        </w:trPr>
        <w:tc>
          <w:tcPr>
            <w:tcW w:w="954" w:type="pct"/>
            <w:shd w:val="clear" w:color="auto" w:fill="auto"/>
            <w:vAlign w:val="center"/>
          </w:tcPr>
          <w:p w14:paraId="1289B197" w14:textId="77777777" w:rsidR="00952670" w:rsidRDefault="00952670">
            <w:pPr>
              <w:pStyle w:val="Tabletext"/>
            </w:pPr>
            <w:proofErr w:type="spellStart"/>
            <w:r>
              <w:t>Nitrofurans</w:t>
            </w:r>
            <w:proofErr w:type="spellEnd"/>
          </w:p>
        </w:tc>
        <w:tc>
          <w:tcPr>
            <w:tcW w:w="755" w:type="pct"/>
            <w:vAlign w:val="center"/>
          </w:tcPr>
          <w:p w14:paraId="476EA9A6" w14:textId="19ED498B" w:rsidR="00952670" w:rsidRDefault="00952670">
            <w:pPr>
              <w:pStyle w:val="Tabletext"/>
              <w:jc w:val="right"/>
            </w:pPr>
            <w:r>
              <w:t>26</w:t>
            </w:r>
          </w:p>
        </w:tc>
        <w:tc>
          <w:tcPr>
            <w:tcW w:w="770" w:type="pct"/>
            <w:shd w:val="clear" w:color="auto" w:fill="auto"/>
            <w:vAlign w:val="center"/>
          </w:tcPr>
          <w:p w14:paraId="7B6F1D31" w14:textId="5B20F1E8" w:rsidR="00952670" w:rsidRDefault="00952670">
            <w:pPr>
              <w:pStyle w:val="Tabletext"/>
              <w:jc w:val="right"/>
            </w:pPr>
            <w:r>
              <w:t>25</w:t>
            </w:r>
          </w:p>
        </w:tc>
        <w:tc>
          <w:tcPr>
            <w:tcW w:w="681" w:type="pct"/>
            <w:vAlign w:val="center"/>
          </w:tcPr>
          <w:p w14:paraId="61748873" w14:textId="3F2B216D" w:rsidR="00952670" w:rsidRDefault="00952670">
            <w:pPr>
              <w:pStyle w:val="Tabletext"/>
              <w:jc w:val="right"/>
            </w:pPr>
            <w:r>
              <w:t>1</w:t>
            </w:r>
          </w:p>
        </w:tc>
        <w:tc>
          <w:tcPr>
            <w:tcW w:w="768" w:type="pct"/>
            <w:vAlign w:val="center"/>
          </w:tcPr>
          <w:p w14:paraId="70BFE379" w14:textId="55EF8956" w:rsidR="00952670" w:rsidRDefault="00952670">
            <w:pPr>
              <w:pStyle w:val="Tabletext"/>
              <w:jc w:val="right"/>
            </w:pPr>
            <w:r>
              <w:t>96.2</w:t>
            </w:r>
          </w:p>
        </w:tc>
        <w:tc>
          <w:tcPr>
            <w:tcW w:w="1072" w:type="pct"/>
            <w:vAlign w:val="center"/>
          </w:tcPr>
          <w:p w14:paraId="0C8690C5" w14:textId="77777777" w:rsidR="00952670" w:rsidRDefault="00952670">
            <w:pPr>
              <w:pStyle w:val="Tabletext"/>
            </w:pPr>
            <w:r>
              <w:t>Farmed prawns, honey</w:t>
            </w:r>
          </w:p>
        </w:tc>
      </w:tr>
      <w:tr w:rsidR="00952670" w14:paraId="33F77D89" w14:textId="77777777" w:rsidTr="003D575C">
        <w:trPr>
          <w:cantSplit/>
          <w:jc w:val="center"/>
        </w:trPr>
        <w:tc>
          <w:tcPr>
            <w:tcW w:w="954" w:type="pct"/>
            <w:shd w:val="clear" w:color="auto" w:fill="auto"/>
            <w:vAlign w:val="center"/>
          </w:tcPr>
          <w:p w14:paraId="5E619F2E" w14:textId="77777777" w:rsidR="00952670" w:rsidRDefault="00952670">
            <w:pPr>
              <w:pStyle w:val="Tabletext"/>
            </w:pPr>
            <w:r>
              <w:t>Pesticides</w:t>
            </w:r>
          </w:p>
        </w:tc>
        <w:tc>
          <w:tcPr>
            <w:tcW w:w="755" w:type="pct"/>
            <w:vAlign w:val="center"/>
          </w:tcPr>
          <w:p w14:paraId="62249494" w14:textId="74AE3AD2" w:rsidR="00952670" w:rsidRDefault="00952670">
            <w:pPr>
              <w:pStyle w:val="Tabletext"/>
              <w:jc w:val="right"/>
            </w:pPr>
            <w:r>
              <w:t>416</w:t>
            </w:r>
          </w:p>
        </w:tc>
        <w:tc>
          <w:tcPr>
            <w:tcW w:w="770" w:type="pct"/>
            <w:shd w:val="clear" w:color="auto" w:fill="auto"/>
            <w:vAlign w:val="center"/>
          </w:tcPr>
          <w:p w14:paraId="3064EF0C" w14:textId="03D9105C" w:rsidR="00952670" w:rsidRDefault="00952670">
            <w:pPr>
              <w:pStyle w:val="Tabletext"/>
              <w:jc w:val="right"/>
            </w:pPr>
            <w:r>
              <w:t>416</w:t>
            </w:r>
          </w:p>
        </w:tc>
        <w:tc>
          <w:tcPr>
            <w:tcW w:w="681" w:type="pct"/>
            <w:vAlign w:val="center"/>
          </w:tcPr>
          <w:p w14:paraId="72645911" w14:textId="39553C7D" w:rsidR="00952670" w:rsidRDefault="00952670">
            <w:pPr>
              <w:pStyle w:val="Tabletext"/>
              <w:jc w:val="right"/>
            </w:pPr>
            <w:r>
              <w:t>0</w:t>
            </w:r>
          </w:p>
        </w:tc>
        <w:tc>
          <w:tcPr>
            <w:tcW w:w="768" w:type="pct"/>
            <w:vAlign w:val="center"/>
          </w:tcPr>
          <w:p w14:paraId="2B336DD0" w14:textId="4EA3864F" w:rsidR="00952670" w:rsidRDefault="00952670">
            <w:pPr>
              <w:pStyle w:val="Tabletext"/>
              <w:jc w:val="right"/>
            </w:pPr>
            <w:r>
              <w:t>100.0</w:t>
            </w:r>
          </w:p>
        </w:tc>
        <w:tc>
          <w:tcPr>
            <w:tcW w:w="1072" w:type="pct"/>
            <w:vAlign w:val="center"/>
          </w:tcPr>
          <w:p w14:paraId="6F087EDB" w14:textId="77777777" w:rsidR="00952670" w:rsidRDefault="00952670">
            <w:pPr>
              <w:pStyle w:val="Tabletext"/>
            </w:pPr>
            <w:r>
              <w:t>Meat</w:t>
            </w:r>
          </w:p>
        </w:tc>
      </w:tr>
      <w:tr w:rsidR="00952670" w14:paraId="28AB96E1" w14:textId="77777777" w:rsidTr="003D575C">
        <w:trPr>
          <w:cantSplit/>
          <w:jc w:val="center"/>
        </w:trPr>
        <w:tc>
          <w:tcPr>
            <w:tcW w:w="954" w:type="pct"/>
            <w:shd w:val="clear" w:color="auto" w:fill="auto"/>
            <w:vAlign w:val="center"/>
          </w:tcPr>
          <w:p w14:paraId="3897D2DA" w14:textId="77777777" w:rsidR="00952670" w:rsidRDefault="00952670">
            <w:pPr>
              <w:pStyle w:val="Tabletext"/>
              <w:rPr>
                <w:b/>
              </w:rPr>
            </w:pPr>
            <w:r>
              <w:rPr>
                <w:b/>
              </w:rPr>
              <w:t>Total</w:t>
            </w:r>
          </w:p>
        </w:tc>
        <w:tc>
          <w:tcPr>
            <w:tcW w:w="755" w:type="pct"/>
            <w:vAlign w:val="center"/>
          </w:tcPr>
          <w:p w14:paraId="3380C61E" w14:textId="77777777" w:rsidR="00952670" w:rsidRDefault="00952670">
            <w:pPr>
              <w:pStyle w:val="Tabletext"/>
              <w:jc w:val="right"/>
            </w:pPr>
            <w:r>
              <w:t>1 591</w:t>
            </w:r>
          </w:p>
        </w:tc>
        <w:tc>
          <w:tcPr>
            <w:tcW w:w="770" w:type="pct"/>
            <w:shd w:val="clear" w:color="auto" w:fill="auto"/>
            <w:vAlign w:val="center"/>
          </w:tcPr>
          <w:p w14:paraId="6E3D4D54" w14:textId="3A58E6DF" w:rsidR="00952670" w:rsidRDefault="00952670">
            <w:pPr>
              <w:pStyle w:val="Tabletext"/>
              <w:jc w:val="right"/>
            </w:pPr>
            <w:r>
              <w:t>1 551</w:t>
            </w:r>
          </w:p>
        </w:tc>
        <w:tc>
          <w:tcPr>
            <w:tcW w:w="681" w:type="pct"/>
            <w:vAlign w:val="center"/>
          </w:tcPr>
          <w:p w14:paraId="09507749" w14:textId="5AF12567" w:rsidR="00952670" w:rsidRDefault="00952670">
            <w:pPr>
              <w:pStyle w:val="Tabletext"/>
              <w:jc w:val="right"/>
            </w:pPr>
            <w:r>
              <w:t>40</w:t>
            </w:r>
          </w:p>
        </w:tc>
        <w:tc>
          <w:tcPr>
            <w:tcW w:w="768" w:type="pct"/>
            <w:vAlign w:val="center"/>
          </w:tcPr>
          <w:p w14:paraId="40CC86F4" w14:textId="0EB9CF40" w:rsidR="00952670" w:rsidRDefault="00952670">
            <w:pPr>
              <w:pStyle w:val="Tabletext"/>
              <w:jc w:val="right"/>
            </w:pPr>
            <w:r>
              <w:t>97.5</w:t>
            </w:r>
          </w:p>
        </w:tc>
        <w:tc>
          <w:tcPr>
            <w:tcW w:w="1072" w:type="pct"/>
            <w:shd w:val="clear" w:color="auto" w:fill="FFFFFF" w:themeFill="background1"/>
            <w:vAlign w:val="center"/>
          </w:tcPr>
          <w:p w14:paraId="016206CD" w14:textId="77777777" w:rsidR="00952670" w:rsidRDefault="00952670">
            <w:pPr>
              <w:pStyle w:val="Tabletext"/>
            </w:pPr>
            <w:r>
              <w:t>–</w:t>
            </w:r>
          </w:p>
        </w:tc>
      </w:tr>
    </w:tbl>
    <w:p w14:paraId="73967924" w14:textId="77777777" w:rsidR="00A072D0" w:rsidRDefault="009576A5">
      <w:pPr>
        <w:pStyle w:val="Caption"/>
      </w:pPr>
      <w:bookmarkStart w:id="54" w:name="_Toc369867484"/>
      <w:bookmarkStart w:id="55" w:name="_Toc469062411"/>
      <w:r>
        <w:t xml:space="preserve">Table </w:t>
      </w:r>
      <w:r w:rsidR="00E70443">
        <w:fldChar w:fldCharType="begin"/>
      </w:r>
      <w:r w:rsidR="00E70443">
        <w:instrText xml:space="preserve"> SEQ Table \* ARABIC </w:instrText>
      </w:r>
      <w:r w:rsidR="00E70443">
        <w:fldChar w:fldCharType="separate"/>
      </w:r>
      <w:r w:rsidR="00E70443">
        <w:rPr>
          <w:noProof/>
        </w:rPr>
        <w:t>9</w:t>
      </w:r>
      <w:r w:rsidR="00E70443">
        <w:rPr>
          <w:noProof/>
        </w:rPr>
        <w:fldChar w:fldCharType="end"/>
      </w:r>
      <w:r>
        <w:t xml:space="preserve"> Compliance for contaminant tests</w:t>
      </w:r>
      <w:bookmarkEnd w:id="54"/>
      <w:bookmarkEnd w:id="55"/>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559"/>
        <w:gridCol w:w="1177"/>
        <w:gridCol w:w="1233"/>
        <w:gridCol w:w="1135"/>
        <w:gridCol w:w="1134"/>
        <w:gridCol w:w="2062"/>
      </w:tblGrid>
      <w:tr w:rsidR="00952670" w14:paraId="6C170006" w14:textId="77777777" w:rsidTr="00AF7E51">
        <w:trPr>
          <w:cantSplit/>
          <w:tblHeader/>
          <w:jc w:val="center"/>
        </w:trPr>
        <w:tc>
          <w:tcPr>
            <w:tcW w:w="939" w:type="pct"/>
            <w:shd w:val="clear" w:color="auto" w:fill="auto"/>
          </w:tcPr>
          <w:p w14:paraId="6EB2533C" w14:textId="77777777" w:rsidR="00952670" w:rsidRDefault="00952670">
            <w:pPr>
              <w:pStyle w:val="Tableheading"/>
            </w:pPr>
            <w:r>
              <w:t>Contaminant</w:t>
            </w:r>
          </w:p>
        </w:tc>
        <w:tc>
          <w:tcPr>
            <w:tcW w:w="709" w:type="pct"/>
          </w:tcPr>
          <w:p w14:paraId="4A301A0F" w14:textId="77777777" w:rsidR="00952670" w:rsidRDefault="00952670">
            <w:pPr>
              <w:pStyle w:val="Tableheading"/>
              <w:jc w:val="right"/>
            </w:pPr>
            <w:r>
              <w:t>No. of tests applied</w:t>
            </w:r>
          </w:p>
        </w:tc>
        <w:tc>
          <w:tcPr>
            <w:tcW w:w="743" w:type="pct"/>
            <w:shd w:val="clear" w:color="auto" w:fill="auto"/>
          </w:tcPr>
          <w:p w14:paraId="326495A1" w14:textId="68508A77" w:rsidR="00952670" w:rsidRDefault="00DC7731" w:rsidP="00952670">
            <w:pPr>
              <w:pStyle w:val="Tableheading"/>
              <w:jc w:val="right"/>
            </w:pPr>
            <w:r>
              <w:t>No. compliant</w:t>
            </w:r>
          </w:p>
        </w:tc>
        <w:tc>
          <w:tcPr>
            <w:tcW w:w="684" w:type="pct"/>
          </w:tcPr>
          <w:p w14:paraId="716AC680" w14:textId="096EDE78" w:rsidR="00952670" w:rsidRDefault="00952670">
            <w:pPr>
              <w:pStyle w:val="Tableheading"/>
              <w:jc w:val="right"/>
            </w:pPr>
            <w:r>
              <w:t>No. non-compliant</w:t>
            </w:r>
          </w:p>
        </w:tc>
        <w:tc>
          <w:tcPr>
            <w:tcW w:w="683" w:type="pct"/>
          </w:tcPr>
          <w:p w14:paraId="57CD15B5" w14:textId="63D805FE" w:rsidR="00952670" w:rsidRDefault="00952670">
            <w:pPr>
              <w:pStyle w:val="Tableheading"/>
              <w:jc w:val="right"/>
            </w:pPr>
            <w:r>
              <w:t>Compliance rate (%)</w:t>
            </w:r>
          </w:p>
        </w:tc>
        <w:tc>
          <w:tcPr>
            <w:tcW w:w="1243" w:type="pct"/>
          </w:tcPr>
          <w:p w14:paraId="71C6A0E2" w14:textId="77777777" w:rsidR="00952670" w:rsidRDefault="00952670">
            <w:pPr>
              <w:pStyle w:val="Tableheading"/>
              <w:jc w:val="center"/>
            </w:pPr>
            <w:r>
              <w:t>Types of food</w:t>
            </w:r>
          </w:p>
        </w:tc>
      </w:tr>
      <w:tr w:rsidR="00952670" w14:paraId="5581DE99" w14:textId="77777777" w:rsidTr="00AF7E51">
        <w:trPr>
          <w:cantSplit/>
          <w:jc w:val="center"/>
        </w:trPr>
        <w:tc>
          <w:tcPr>
            <w:tcW w:w="939" w:type="pct"/>
            <w:shd w:val="clear" w:color="auto" w:fill="auto"/>
            <w:vAlign w:val="center"/>
          </w:tcPr>
          <w:p w14:paraId="4968E52F" w14:textId="77777777" w:rsidR="00952670" w:rsidRDefault="00952670">
            <w:pPr>
              <w:pStyle w:val="Tabletext"/>
            </w:pPr>
            <w:r>
              <w:t>Aflatoxins</w:t>
            </w:r>
          </w:p>
        </w:tc>
        <w:tc>
          <w:tcPr>
            <w:tcW w:w="709" w:type="pct"/>
            <w:vAlign w:val="center"/>
          </w:tcPr>
          <w:p w14:paraId="582D116B" w14:textId="77777777" w:rsidR="00952670" w:rsidRDefault="00952670">
            <w:pPr>
              <w:pStyle w:val="Tabletext"/>
              <w:jc w:val="right"/>
            </w:pPr>
            <w:r>
              <w:t>470</w:t>
            </w:r>
          </w:p>
        </w:tc>
        <w:tc>
          <w:tcPr>
            <w:tcW w:w="743" w:type="pct"/>
            <w:shd w:val="clear" w:color="auto" w:fill="auto"/>
            <w:vAlign w:val="center"/>
          </w:tcPr>
          <w:p w14:paraId="54020B70" w14:textId="6E5093A5" w:rsidR="00952670" w:rsidRDefault="00952670">
            <w:pPr>
              <w:pStyle w:val="Tabletext"/>
              <w:jc w:val="right"/>
            </w:pPr>
            <w:r>
              <w:t>451</w:t>
            </w:r>
          </w:p>
        </w:tc>
        <w:tc>
          <w:tcPr>
            <w:tcW w:w="684" w:type="pct"/>
            <w:vAlign w:val="center"/>
          </w:tcPr>
          <w:p w14:paraId="5437BF2C" w14:textId="57D43E1F" w:rsidR="00952670" w:rsidRDefault="00952670">
            <w:pPr>
              <w:pStyle w:val="Tabletext"/>
              <w:jc w:val="right"/>
            </w:pPr>
            <w:r>
              <w:t>19</w:t>
            </w:r>
          </w:p>
        </w:tc>
        <w:tc>
          <w:tcPr>
            <w:tcW w:w="683" w:type="pct"/>
            <w:vAlign w:val="center"/>
          </w:tcPr>
          <w:p w14:paraId="6D7DB228" w14:textId="284E058D" w:rsidR="00952670" w:rsidRDefault="00952670">
            <w:pPr>
              <w:pStyle w:val="Tabletext"/>
              <w:jc w:val="right"/>
            </w:pPr>
            <w:r>
              <w:t>96.0</w:t>
            </w:r>
          </w:p>
        </w:tc>
        <w:tc>
          <w:tcPr>
            <w:tcW w:w="1243" w:type="pct"/>
            <w:vAlign w:val="center"/>
          </w:tcPr>
          <w:p w14:paraId="0A28AD02" w14:textId="77777777" w:rsidR="00952670" w:rsidRDefault="00952670">
            <w:pPr>
              <w:pStyle w:val="Tabletext"/>
            </w:pPr>
            <w:r>
              <w:t>Nuts</w:t>
            </w:r>
          </w:p>
        </w:tc>
      </w:tr>
      <w:tr w:rsidR="00952670" w14:paraId="5D684389" w14:textId="77777777" w:rsidTr="00AF7E51">
        <w:trPr>
          <w:cantSplit/>
          <w:jc w:val="center"/>
        </w:trPr>
        <w:tc>
          <w:tcPr>
            <w:tcW w:w="939" w:type="pct"/>
            <w:shd w:val="clear" w:color="auto" w:fill="auto"/>
            <w:vAlign w:val="center"/>
          </w:tcPr>
          <w:p w14:paraId="72456840" w14:textId="77777777" w:rsidR="00952670" w:rsidRDefault="00952670">
            <w:pPr>
              <w:pStyle w:val="Tabletext"/>
            </w:pPr>
            <w:r>
              <w:t>Arsenic total</w:t>
            </w:r>
          </w:p>
        </w:tc>
        <w:tc>
          <w:tcPr>
            <w:tcW w:w="709" w:type="pct"/>
            <w:vAlign w:val="center"/>
          </w:tcPr>
          <w:p w14:paraId="6BBD42D4" w14:textId="77777777" w:rsidR="00952670" w:rsidRDefault="00952670">
            <w:pPr>
              <w:pStyle w:val="Tabletext"/>
              <w:jc w:val="right"/>
            </w:pPr>
            <w:r>
              <w:t>370</w:t>
            </w:r>
          </w:p>
        </w:tc>
        <w:tc>
          <w:tcPr>
            <w:tcW w:w="743" w:type="pct"/>
            <w:shd w:val="clear" w:color="auto" w:fill="auto"/>
            <w:vAlign w:val="center"/>
          </w:tcPr>
          <w:p w14:paraId="56B9A84A" w14:textId="0BDB229B" w:rsidR="00952670" w:rsidRDefault="00952670">
            <w:pPr>
              <w:pStyle w:val="Tabletext"/>
              <w:jc w:val="right"/>
            </w:pPr>
            <w:r>
              <w:t>370</w:t>
            </w:r>
          </w:p>
        </w:tc>
        <w:tc>
          <w:tcPr>
            <w:tcW w:w="684" w:type="pct"/>
            <w:vAlign w:val="center"/>
          </w:tcPr>
          <w:p w14:paraId="1FEC703F" w14:textId="70CB4250" w:rsidR="00952670" w:rsidRDefault="00952670">
            <w:pPr>
              <w:pStyle w:val="Tabletext"/>
              <w:jc w:val="right"/>
            </w:pPr>
            <w:r>
              <w:t>0</w:t>
            </w:r>
          </w:p>
        </w:tc>
        <w:tc>
          <w:tcPr>
            <w:tcW w:w="683" w:type="pct"/>
            <w:vAlign w:val="center"/>
          </w:tcPr>
          <w:p w14:paraId="2B7A00AA" w14:textId="79ADE9BA" w:rsidR="00952670" w:rsidRDefault="00952670">
            <w:pPr>
              <w:pStyle w:val="Tabletext"/>
              <w:jc w:val="right"/>
            </w:pPr>
            <w:r>
              <w:t>100</w:t>
            </w:r>
          </w:p>
        </w:tc>
        <w:tc>
          <w:tcPr>
            <w:tcW w:w="1243" w:type="pct"/>
            <w:vAlign w:val="center"/>
          </w:tcPr>
          <w:p w14:paraId="0278552D" w14:textId="77777777" w:rsidR="00952670" w:rsidRDefault="00952670">
            <w:pPr>
              <w:pStyle w:val="Tabletext"/>
            </w:pPr>
            <w:r>
              <w:t>Cereal grains, cereal flours and processed cereals</w:t>
            </w:r>
          </w:p>
        </w:tc>
      </w:tr>
      <w:tr w:rsidR="00952670" w14:paraId="1846B5A0" w14:textId="77777777" w:rsidTr="00AF7E51">
        <w:trPr>
          <w:cantSplit/>
          <w:jc w:val="center"/>
        </w:trPr>
        <w:tc>
          <w:tcPr>
            <w:tcW w:w="939" w:type="pct"/>
            <w:shd w:val="clear" w:color="auto" w:fill="auto"/>
            <w:vAlign w:val="center"/>
          </w:tcPr>
          <w:p w14:paraId="03F3D4B7" w14:textId="77777777" w:rsidR="00952670" w:rsidRDefault="00952670">
            <w:pPr>
              <w:pStyle w:val="Tabletext"/>
            </w:pPr>
            <w:proofErr w:type="spellStart"/>
            <w:r>
              <w:t>Domoic</w:t>
            </w:r>
            <w:proofErr w:type="spellEnd"/>
            <w:r>
              <w:t xml:space="preserve"> acid</w:t>
            </w:r>
          </w:p>
        </w:tc>
        <w:tc>
          <w:tcPr>
            <w:tcW w:w="709" w:type="pct"/>
            <w:vAlign w:val="center"/>
          </w:tcPr>
          <w:p w14:paraId="3C3410DA" w14:textId="77777777" w:rsidR="00952670" w:rsidRDefault="00952670">
            <w:pPr>
              <w:pStyle w:val="Tabletext"/>
              <w:jc w:val="right"/>
            </w:pPr>
            <w:r>
              <w:t>221</w:t>
            </w:r>
          </w:p>
        </w:tc>
        <w:tc>
          <w:tcPr>
            <w:tcW w:w="743" w:type="pct"/>
            <w:shd w:val="clear" w:color="auto" w:fill="auto"/>
            <w:vAlign w:val="center"/>
          </w:tcPr>
          <w:p w14:paraId="347740A8" w14:textId="40D512E9" w:rsidR="00952670" w:rsidRDefault="00952670">
            <w:pPr>
              <w:pStyle w:val="Tabletext"/>
              <w:jc w:val="right"/>
            </w:pPr>
            <w:r>
              <w:t>221</w:t>
            </w:r>
          </w:p>
        </w:tc>
        <w:tc>
          <w:tcPr>
            <w:tcW w:w="684" w:type="pct"/>
            <w:vAlign w:val="center"/>
          </w:tcPr>
          <w:p w14:paraId="6AEE8429" w14:textId="49434BA3" w:rsidR="00952670" w:rsidRDefault="00952670">
            <w:pPr>
              <w:pStyle w:val="Tabletext"/>
              <w:jc w:val="right"/>
            </w:pPr>
            <w:r>
              <w:t>0</w:t>
            </w:r>
          </w:p>
        </w:tc>
        <w:tc>
          <w:tcPr>
            <w:tcW w:w="683" w:type="pct"/>
            <w:vAlign w:val="center"/>
          </w:tcPr>
          <w:p w14:paraId="5DF82F1E" w14:textId="4C9AD51C" w:rsidR="00952670" w:rsidRDefault="00952670">
            <w:pPr>
              <w:pStyle w:val="Tabletext"/>
              <w:jc w:val="right"/>
            </w:pPr>
            <w:r>
              <w:t>100</w:t>
            </w:r>
          </w:p>
        </w:tc>
        <w:tc>
          <w:tcPr>
            <w:tcW w:w="1243" w:type="pct"/>
            <w:vAlign w:val="center"/>
          </w:tcPr>
          <w:p w14:paraId="153473AF" w14:textId="77777777" w:rsidR="00952670" w:rsidRDefault="00952670">
            <w:pPr>
              <w:pStyle w:val="Tabletext"/>
            </w:pPr>
            <w:r>
              <w:t>Bivalve molluscs</w:t>
            </w:r>
          </w:p>
        </w:tc>
      </w:tr>
      <w:tr w:rsidR="00952670" w14:paraId="0312912B" w14:textId="77777777" w:rsidTr="00AF7E51">
        <w:trPr>
          <w:cantSplit/>
          <w:jc w:val="center"/>
        </w:trPr>
        <w:tc>
          <w:tcPr>
            <w:tcW w:w="939" w:type="pct"/>
            <w:shd w:val="clear" w:color="auto" w:fill="auto"/>
            <w:vAlign w:val="center"/>
          </w:tcPr>
          <w:p w14:paraId="6BB285AD" w14:textId="77777777" w:rsidR="00952670" w:rsidRDefault="00952670">
            <w:pPr>
              <w:pStyle w:val="Tabletext"/>
            </w:pPr>
            <w:proofErr w:type="spellStart"/>
            <w:r>
              <w:t>Erucic</w:t>
            </w:r>
            <w:proofErr w:type="spellEnd"/>
            <w:r>
              <w:t xml:space="preserve"> acid</w:t>
            </w:r>
          </w:p>
        </w:tc>
        <w:tc>
          <w:tcPr>
            <w:tcW w:w="709" w:type="pct"/>
            <w:vAlign w:val="center"/>
          </w:tcPr>
          <w:p w14:paraId="3ABF33C9" w14:textId="77777777" w:rsidR="00952670" w:rsidRDefault="00952670">
            <w:pPr>
              <w:pStyle w:val="Tabletext"/>
              <w:jc w:val="right"/>
            </w:pPr>
            <w:r>
              <w:t>203</w:t>
            </w:r>
          </w:p>
        </w:tc>
        <w:tc>
          <w:tcPr>
            <w:tcW w:w="743" w:type="pct"/>
            <w:shd w:val="clear" w:color="auto" w:fill="auto"/>
            <w:vAlign w:val="center"/>
          </w:tcPr>
          <w:p w14:paraId="54327C43" w14:textId="11750D4B" w:rsidR="00952670" w:rsidRDefault="00952670">
            <w:pPr>
              <w:pStyle w:val="Tabletext"/>
              <w:jc w:val="right"/>
            </w:pPr>
            <w:r>
              <w:t>203</w:t>
            </w:r>
          </w:p>
        </w:tc>
        <w:tc>
          <w:tcPr>
            <w:tcW w:w="684" w:type="pct"/>
            <w:vAlign w:val="center"/>
          </w:tcPr>
          <w:p w14:paraId="50BE2B85" w14:textId="35B981A2" w:rsidR="00952670" w:rsidRDefault="00952670">
            <w:pPr>
              <w:pStyle w:val="Tabletext"/>
              <w:jc w:val="right"/>
            </w:pPr>
            <w:r>
              <w:t>0</w:t>
            </w:r>
          </w:p>
        </w:tc>
        <w:tc>
          <w:tcPr>
            <w:tcW w:w="683" w:type="pct"/>
            <w:vAlign w:val="center"/>
          </w:tcPr>
          <w:p w14:paraId="2FD5F2CD" w14:textId="5B5115CC" w:rsidR="00952670" w:rsidRDefault="00952670">
            <w:pPr>
              <w:pStyle w:val="Tabletext"/>
              <w:jc w:val="right"/>
            </w:pPr>
            <w:r>
              <w:t>100</w:t>
            </w:r>
          </w:p>
        </w:tc>
        <w:tc>
          <w:tcPr>
            <w:tcW w:w="1243" w:type="pct"/>
            <w:vAlign w:val="center"/>
          </w:tcPr>
          <w:p w14:paraId="3DD081DB" w14:textId="77777777" w:rsidR="00952670" w:rsidRDefault="00952670">
            <w:pPr>
              <w:pStyle w:val="Tabletext"/>
            </w:pPr>
            <w:r>
              <w:t>Edible plant oils</w:t>
            </w:r>
          </w:p>
        </w:tc>
      </w:tr>
      <w:tr w:rsidR="00952670" w14:paraId="64BF8ACE" w14:textId="77777777" w:rsidTr="00AF7E51">
        <w:trPr>
          <w:cantSplit/>
          <w:jc w:val="center"/>
        </w:trPr>
        <w:tc>
          <w:tcPr>
            <w:tcW w:w="939" w:type="pct"/>
            <w:shd w:val="clear" w:color="auto" w:fill="auto"/>
            <w:vAlign w:val="center"/>
          </w:tcPr>
          <w:p w14:paraId="7A57D398" w14:textId="77777777" w:rsidR="00952670" w:rsidRDefault="00952670">
            <w:pPr>
              <w:pStyle w:val="Tabletext"/>
            </w:pPr>
            <w:r>
              <w:t>Histamine</w:t>
            </w:r>
          </w:p>
        </w:tc>
        <w:tc>
          <w:tcPr>
            <w:tcW w:w="709" w:type="pct"/>
            <w:vAlign w:val="center"/>
          </w:tcPr>
          <w:p w14:paraId="165D582C" w14:textId="1CB436BC" w:rsidR="00952670" w:rsidRDefault="00952670">
            <w:pPr>
              <w:pStyle w:val="Tabletext"/>
              <w:jc w:val="right"/>
            </w:pPr>
            <w:r>
              <w:t>1</w:t>
            </w:r>
            <w:r w:rsidR="009A7AE3">
              <w:t xml:space="preserve"> </w:t>
            </w:r>
            <w:r>
              <w:t>074</w:t>
            </w:r>
          </w:p>
        </w:tc>
        <w:tc>
          <w:tcPr>
            <w:tcW w:w="743" w:type="pct"/>
            <w:shd w:val="clear" w:color="auto" w:fill="auto"/>
            <w:vAlign w:val="center"/>
          </w:tcPr>
          <w:p w14:paraId="160C5466" w14:textId="6ADF89BE" w:rsidR="00952670" w:rsidRDefault="00952670">
            <w:pPr>
              <w:pStyle w:val="Tabletext"/>
              <w:jc w:val="right"/>
            </w:pPr>
            <w:r>
              <w:t>1</w:t>
            </w:r>
            <w:r w:rsidR="009A7AE3">
              <w:t xml:space="preserve"> </w:t>
            </w:r>
            <w:r>
              <w:t>064</w:t>
            </w:r>
          </w:p>
        </w:tc>
        <w:tc>
          <w:tcPr>
            <w:tcW w:w="684" w:type="pct"/>
            <w:vAlign w:val="center"/>
          </w:tcPr>
          <w:p w14:paraId="3321E20F" w14:textId="5925B56A" w:rsidR="00952670" w:rsidRDefault="00952670">
            <w:pPr>
              <w:pStyle w:val="Tabletext"/>
              <w:jc w:val="right"/>
            </w:pPr>
            <w:r>
              <w:t>10</w:t>
            </w:r>
          </w:p>
        </w:tc>
        <w:tc>
          <w:tcPr>
            <w:tcW w:w="683" w:type="pct"/>
            <w:vAlign w:val="center"/>
          </w:tcPr>
          <w:p w14:paraId="720E7A4F" w14:textId="2A986330" w:rsidR="00952670" w:rsidRDefault="00952670">
            <w:pPr>
              <w:pStyle w:val="Tabletext"/>
              <w:jc w:val="right"/>
            </w:pPr>
            <w:r>
              <w:t>99.1</w:t>
            </w:r>
          </w:p>
        </w:tc>
        <w:tc>
          <w:tcPr>
            <w:tcW w:w="1243" w:type="pct"/>
            <w:vAlign w:val="center"/>
          </w:tcPr>
          <w:p w14:paraId="30771DD0" w14:textId="77777777" w:rsidR="00952670" w:rsidRDefault="00952670">
            <w:pPr>
              <w:pStyle w:val="Tabletext"/>
            </w:pPr>
            <w:r>
              <w:t>Fish</w:t>
            </w:r>
          </w:p>
        </w:tc>
      </w:tr>
      <w:tr w:rsidR="00952670" w14:paraId="21DA98E4" w14:textId="77777777" w:rsidTr="00AF7E51">
        <w:trPr>
          <w:cantSplit/>
          <w:jc w:val="center"/>
        </w:trPr>
        <w:tc>
          <w:tcPr>
            <w:tcW w:w="939" w:type="pct"/>
            <w:shd w:val="clear" w:color="auto" w:fill="auto"/>
            <w:vAlign w:val="center"/>
          </w:tcPr>
          <w:p w14:paraId="233CDD4D" w14:textId="77777777" w:rsidR="00952670" w:rsidRDefault="00952670">
            <w:pPr>
              <w:pStyle w:val="Tabletext"/>
            </w:pPr>
            <w:r>
              <w:t>Hydrocyanic acid</w:t>
            </w:r>
          </w:p>
        </w:tc>
        <w:tc>
          <w:tcPr>
            <w:tcW w:w="709" w:type="pct"/>
            <w:vAlign w:val="center"/>
          </w:tcPr>
          <w:p w14:paraId="71028BFE" w14:textId="77777777" w:rsidR="00952670" w:rsidRDefault="00952670">
            <w:pPr>
              <w:pStyle w:val="Tabletext"/>
              <w:jc w:val="right"/>
            </w:pPr>
            <w:r>
              <w:t>18</w:t>
            </w:r>
          </w:p>
        </w:tc>
        <w:tc>
          <w:tcPr>
            <w:tcW w:w="743" w:type="pct"/>
            <w:shd w:val="clear" w:color="auto" w:fill="auto"/>
            <w:vAlign w:val="center"/>
          </w:tcPr>
          <w:p w14:paraId="09C171E2" w14:textId="624A3FC8" w:rsidR="00952670" w:rsidRDefault="00952670">
            <w:pPr>
              <w:pStyle w:val="Tabletext"/>
              <w:jc w:val="right"/>
            </w:pPr>
            <w:r>
              <w:t>17</w:t>
            </w:r>
          </w:p>
        </w:tc>
        <w:tc>
          <w:tcPr>
            <w:tcW w:w="684" w:type="pct"/>
            <w:vAlign w:val="center"/>
          </w:tcPr>
          <w:p w14:paraId="72E9E4A2" w14:textId="557DCB99" w:rsidR="00952670" w:rsidRDefault="00952670">
            <w:pPr>
              <w:pStyle w:val="Tabletext"/>
              <w:jc w:val="right"/>
            </w:pPr>
            <w:r>
              <w:t>1</w:t>
            </w:r>
          </w:p>
        </w:tc>
        <w:tc>
          <w:tcPr>
            <w:tcW w:w="683" w:type="pct"/>
            <w:vAlign w:val="center"/>
          </w:tcPr>
          <w:p w14:paraId="5D3AA013" w14:textId="35EA2713" w:rsidR="00952670" w:rsidRDefault="00952670">
            <w:pPr>
              <w:pStyle w:val="Tabletext"/>
              <w:jc w:val="right"/>
            </w:pPr>
            <w:r>
              <w:t>94.4</w:t>
            </w:r>
          </w:p>
        </w:tc>
        <w:tc>
          <w:tcPr>
            <w:tcW w:w="1243" w:type="pct"/>
            <w:vAlign w:val="center"/>
          </w:tcPr>
          <w:p w14:paraId="2D1BE2DA" w14:textId="77777777" w:rsidR="00952670" w:rsidRDefault="00952670">
            <w:pPr>
              <w:pStyle w:val="Tabletext"/>
            </w:pPr>
            <w:r>
              <w:t>Cassava chips</w:t>
            </w:r>
          </w:p>
        </w:tc>
      </w:tr>
      <w:tr w:rsidR="00952670" w14:paraId="7A6B5375" w14:textId="77777777" w:rsidTr="00AF7E51">
        <w:trPr>
          <w:cantSplit/>
          <w:jc w:val="center"/>
        </w:trPr>
        <w:tc>
          <w:tcPr>
            <w:tcW w:w="939" w:type="pct"/>
            <w:shd w:val="clear" w:color="auto" w:fill="auto"/>
            <w:vAlign w:val="center"/>
          </w:tcPr>
          <w:p w14:paraId="5A28388B" w14:textId="77777777" w:rsidR="00952670" w:rsidRDefault="00952670">
            <w:pPr>
              <w:pStyle w:val="Tabletext"/>
            </w:pPr>
            <w:r>
              <w:t>Inorganic arsenic</w:t>
            </w:r>
          </w:p>
        </w:tc>
        <w:tc>
          <w:tcPr>
            <w:tcW w:w="709" w:type="pct"/>
            <w:vAlign w:val="center"/>
          </w:tcPr>
          <w:p w14:paraId="540E24E8" w14:textId="77777777" w:rsidR="00952670" w:rsidRDefault="00952670">
            <w:pPr>
              <w:pStyle w:val="Tabletext"/>
              <w:jc w:val="right"/>
            </w:pPr>
            <w:r>
              <w:t>n/a</w:t>
            </w:r>
          </w:p>
        </w:tc>
        <w:tc>
          <w:tcPr>
            <w:tcW w:w="743" w:type="pct"/>
            <w:shd w:val="clear" w:color="auto" w:fill="auto"/>
            <w:vAlign w:val="center"/>
          </w:tcPr>
          <w:p w14:paraId="3DAAAE26" w14:textId="77777777" w:rsidR="00952670" w:rsidRDefault="00952670">
            <w:pPr>
              <w:pStyle w:val="Tabletext"/>
              <w:jc w:val="right"/>
            </w:pPr>
            <w:r>
              <w:t>n/a</w:t>
            </w:r>
          </w:p>
        </w:tc>
        <w:tc>
          <w:tcPr>
            <w:tcW w:w="684" w:type="pct"/>
            <w:vAlign w:val="center"/>
          </w:tcPr>
          <w:p w14:paraId="0038FB26" w14:textId="100A6AE6" w:rsidR="00952670" w:rsidRDefault="00952670">
            <w:pPr>
              <w:pStyle w:val="Tabletext"/>
              <w:jc w:val="right"/>
            </w:pPr>
            <w:r>
              <w:t>n/a</w:t>
            </w:r>
          </w:p>
        </w:tc>
        <w:tc>
          <w:tcPr>
            <w:tcW w:w="683" w:type="pct"/>
            <w:vAlign w:val="center"/>
          </w:tcPr>
          <w:p w14:paraId="57E7C7C9" w14:textId="11F507CD" w:rsidR="00952670" w:rsidRDefault="00952670">
            <w:pPr>
              <w:pStyle w:val="Tabletext"/>
              <w:jc w:val="right"/>
            </w:pPr>
            <w:r>
              <w:t>n/a</w:t>
            </w:r>
          </w:p>
        </w:tc>
        <w:tc>
          <w:tcPr>
            <w:tcW w:w="1243" w:type="pct"/>
            <w:vAlign w:val="center"/>
          </w:tcPr>
          <w:p w14:paraId="71E85E01" w14:textId="77777777" w:rsidR="00952670" w:rsidRDefault="00952670">
            <w:pPr>
              <w:pStyle w:val="Tabletext"/>
            </w:pPr>
            <w:r>
              <w:t>Seaweed</w:t>
            </w:r>
          </w:p>
        </w:tc>
      </w:tr>
      <w:tr w:rsidR="00952670" w14:paraId="6AC57753" w14:textId="77777777" w:rsidTr="00AF7E51">
        <w:trPr>
          <w:cantSplit/>
          <w:jc w:val="center"/>
        </w:trPr>
        <w:tc>
          <w:tcPr>
            <w:tcW w:w="939" w:type="pct"/>
            <w:shd w:val="clear" w:color="auto" w:fill="auto"/>
            <w:vAlign w:val="center"/>
          </w:tcPr>
          <w:p w14:paraId="026D9C87" w14:textId="77777777" w:rsidR="00952670" w:rsidRDefault="00952670">
            <w:pPr>
              <w:pStyle w:val="Tabletext"/>
            </w:pPr>
            <w:r>
              <w:t>Iodine</w:t>
            </w:r>
          </w:p>
        </w:tc>
        <w:tc>
          <w:tcPr>
            <w:tcW w:w="709" w:type="pct"/>
            <w:vAlign w:val="center"/>
          </w:tcPr>
          <w:p w14:paraId="421AA59C" w14:textId="77777777" w:rsidR="00952670" w:rsidRDefault="00952670">
            <w:pPr>
              <w:pStyle w:val="Tabletext"/>
              <w:jc w:val="right"/>
            </w:pPr>
            <w:r>
              <w:t>69</w:t>
            </w:r>
          </w:p>
        </w:tc>
        <w:tc>
          <w:tcPr>
            <w:tcW w:w="743" w:type="pct"/>
            <w:shd w:val="clear" w:color="auto" w:fill="auto"/>
            <w:vAlign w:val="center"/>
          </w:tcPr>
          <w:p w14:paraId="13501EDA" w14:textId="6BCD4334" w:rsidR="00952670" w:rsidRDefault="00952670">
            <w:pPr>
              <w:pStyle w:val="Tabletext"/>
              <w:jc w:val="right"/>
            </w:pPr>
            <w:r>
              <w:t>65</w:t>
            </w:r>
          </w:p>
        </w:tc>
        <w:tc>
          <w:tcPr>
            <w:tcW w:w="684" w:type="pct"/>
            <w:vAlign w:val="center"/>
          </w:tcPr>
          <w:p w14:paraId="2E94028C" w14:textId="3C981F65" w:rsidR="00952670" w:rsidRDefault="00952670">
            <w:pPr>
              <w:pStyle w:val="Tabletext"/>
              <w:jc w:val="right"/>
            </w:pPr>
            <w:r>
              <w:t>4</w:t>
            </w:r>
          </w:p>
        </w:tc>
        <w:tc>
          <w:tcPr>
            <w:tcW w:w="683" w:type="pct"/>
            <w:vAlign w:val="center"/>
          </w:tcPr>
          <w:p w14:paraId="03BC5F20" w14:textId="250792B5" w:rsidR="00952670" w:rsidRDefault="00952670">
            <w:pPr>
              <w:pStyle w:val="Tabletext"/>
              <w:jc w:val="right"/>
            </w:pPr>
            <w:r>
              <w:t>94.2</w:t>
            </w:r>
          </w:p>
        </w:tc>
        <w:tc>
          <w:tcPr>
            <w:tcW w:w="1243" w:type="pct"/>
            <w:vAlign w:val="center"/>
          </w:tcPr>
          <w:p w14:paraId="6C99FE80" w14:textId="77777777" w:rsidR="00952670" w:rsidRDefault="00952670">
            <w:pPr>
              <w:pStyle w:val="Tabletext"/>
            </w:pPr>
            <w:r>
              <w:t>Seaweed (brown algae)</w:t>
            </w:r>
          </w:p>
        </w:tc>
      </w:tr>
      <w:tr w:rsidR="00952670" w14:paraId="04B5506A" w14:textId="77777777" w:rsidTr="00AF7E51">
        <w:trPr>
          <w:cantSplit/>
          <w:jc w:val="center"/>
        </w:trPr>
        <w:tc>
          <w:tcPr>
            <w:tcW w:w="939" w:type="pct"/>
            <w:shd w:val="clear" w:color="auto" w:fill="auto"/>
            <w:vAlign w:val="center"/>
          </w:tcPr>
          <w:p w14:paraId="347F8AB0" w14:textId="77777777" w:rsidR="00952670" w:rsidRDefault="00952670">
            <w:pPr>
              <w:pStyle w:val="Tabletext"/>
            </w:pPr>
            <w:r>
              <w:t>Lead</w:t>
            </w:r>
          </w:p>
        </w:tc>
        <w:tc>
          <w:tcPr>
            <w:tcW w:w="709" w:type="pct"/>
            <w:vAlign w:val="center"/>
          </w:tcPr>
          <w:p w14:paraId="1BF84C32" w14:textId="77777777" w:rsidR="00952670" w:rsidRDefault="00952670">
            <w:pPr>
              <w:pStyle w:val="Tabletext"/>
              <w:jc w:val="right"/>
            </w:pPr>
            <w:r>
              <w:t>563</w:t>
            </w:r>
          </w:p>
        </w:tc>
        <w:tc>
          <w:tcPr>
            <w:tcW w:w="743" w:type="pct"/>
            <w:shd w:val="clear" w:color="auto" w:fill="auto"/>
            <w:vAlign w:val="center"/>
          </w:tcPr>
          <w:p w14:paraId="1F8FCDDE" w14:textId="50237D19" w:rsidR="00952670" w:rsidRDefault="00952670">
            <w:pPr>
              <w:pStyle w:val="Tabletext"/>
              <w:jc w:val="right"/>
            </w:pPr>
            <w:r>
              <w:t>556</w:t>
            </w:r>
          </w:p>
        </w:tc>
        <w:tc>
          <w:tcPr>
            <w:tcW w:w="684" w:type="pct"/>
            <w:vAlign w:val="center"/>
          </w:tcPr>
          <w:p w14:paraId="4F68B3EB" w14:textId="7C8304B1" w:rsidR="00952670" w:rsidRDefault="00952670">
            <w:pPr>
              <w:pStyle w:val="Tabletext"/>
              <w:jc w:val="right"/>
            </w:pPr>
            <w:r>
              <w:t>7</w:t>
            </w:r>
          </w:p>
        </w:tc>
        <w:tc>
          <w:tcPr>
            <w:tcW w:w="683" w:type="pct"/>
            <w:vAlign w:val="center"/>
          </w:tcPr>
          <w:p w14:paraId="6AD97DDC" w14:textId="7F328015" w:rsidR="00952670" w:rsidRDefault="00952670">
            <w:pPr>
              <w:pStyle w:val="Tabletext"/>
              <w:jc w:val="right"/>
            </w:pPr>
            <w:r>
              <w:t>98.8</w:t>
            </w:r>
          </w:p>
        </w:tc>
        <w:tc>
          <w:tcPr>
            <w:tcW w:w="1243" w:type="pct"/>
            <w:vAlign w:val="center"/>
          </w:tcPr>
          <w:p w14:paraId="34BE5450" w14:textId="77777777" w:rsidR="00952670" w:rsidRDefault="00952670">
            <w:pPr>
              <w:pStyle w:val="Tabletext"/>
            </w:pPr>
            <w:r>
              <w:t>Cereal grains, ready-to-eat cereal flours and processed cereals, canned and preserved fruit</w:t>
            </w:r>
          </w:p>
        </w:tc>
      </w:tr>
      <w:tr w:rsidR="00952670" w14:paraId="7A0E832D" w14:textId="77777777" w:rsidTr="00AF7E51">
        <w:trPr>
          <w:cantSplit/>
          <w:jc w:val="center"/>
        </w:trPr>
        <w:tc>
          <w:tcPr>
            <w:tcW w:w="939" w:type="pct"/>
            <w:shd w:val="clear" w:color="auto" w:fill="auto"/>
          </w:tcPr>
          <w:p w14:paraId="3ADAB3B2" w14:textId="77777777" w:rsidR="00952670" w:rsidRDefault="00952670">
            <w:pPr>
              <w:pStyle w:val="Tabletext"/>
            </w:pPr>
            <w:r>
              <w:t>PSP Toxin</w:t>
            </w:r>
          </w:p>
        </w:tc>
        <w:tc>
          <w:tcPr>
            <w:tcW w:w="709" w:type="pct"/>
            <w:vAlign w:val="center"/>
          </w:tcPr>
          <w:p w14:paraId="732C8E8D" w14:textId="77777777" w:rsidR="00952670" w:rsidRDefault="00952670">
            <w:pPr>
              <w:pStyle w:val="Tabletext"/>
              <w:jc w:val="right"/>
            </w:pPr>
            <w:r>
              <w:t>221</w:t>
            </w:r>
          </w:p>
        </w:tc>
        <w:tc>
          <w:tcPr>
            <w:tcW w:w="743" w:type="pct"/>
            <w:shd w:val="clear" w:color="auto" w:fill="auto"/>
            <w:vAlign w:val="center"/>
          </w:tcPr>
          <w:p w14:paraId="0F659DBA" w14:textId="464DD52D" w:rsidR="00952670" w:rsidRDefault="00DC7731">
            <w:pPr>
              <w:pStyle w:val="Tabletext"/>
              <w:jc w:val="right"/>
            </w:pPr>
            <w:r>
              <w:t>221</w:t>
            </w:r>
          </w:p>
        </w:tc>
        <w:tc>
          <w:tcPr>
            <w:tcW w:w="684" w:type="pct"/>
          </w:tcPr>
          <w:p w14:paraId="5010A56D" w14:textId="35AF77FF" w:rsidR="00952670" w:rsidRDefault="00DC7731">
            <w:pPr>
              <w:pStyle w:val="Tabletext"/>
              <w:jc w:val="right"/>
            </w:pPr>
            <w:r>
              <w:t>0</w:t>
            </w:r>
          </w:p>
        </w:tc>
        <w:tc>
          <w:tcPr>
            <w:tcW w:w="683" w:type="pct"/>
            <w:vAlign w:val="center"/>
          </w:tcPr>
          <w:p w14:paraId="4860AEA1" w14:textId="7ECB15CF" w:rsidR="00952670" w:rsidRDefault="00952670">
            <w:pPr>
              <w:pStyle w:val="Tabletext"/>
              <w:jc w:val="right"/>
            </w:pPr>
            <w:r>
              <w:t>100</w:t>
            </w:r>
          </w:p>
        </w:tc>
        <w:tc>
          <w:tcPr>
            <w:tcW w:w="1243" w:type="pct"/>
          </w:tcPr>
          <w:p w14:paraId="401829F5" w14:textId="77777777" w:rsidR="00952670" w:rsidRDefault="00952670">
            <w:pPr>
              <w:pStyle w:val="Tabletext"/>
            </w:pPr>
            <w:r>
              <w:t>Bivalve molluscs</w:t>
            </w:r>
          </w:p>
        </w:tc>
      </w:tr>
      <w:tr w:rsidR="00952670" w14:paraId="44A1A5D5" w14:textId="77777777" w:rsidTr="00AF7E51">
        <w:trPr>
          <w:cantSplit/>
          <w:jc w:val="center"/>
        </w:trPr>
        <w:tc>
          <w:tcPr>
            <w:tcW w:w="939" w:type="pct"/>
            <w:shd w:val="clear" w:color="auto" w:fill="auto"/>
          </w:tcPr>
          <w:p w14:paraId="19CB5A20" w14:textId="77777777" w:rsidR="00952670" w:rsidRDefault="00952670">
            <w:pPr>
              <w:pStyle w:val="Tabletext"/>
            </w:pPr>
            <w:r>
              <w:lastRenderedPageBreak/>
              <w:t>Tin</w:t>
            </w:r>
          </w:p>
        </w:tc>
        <w:tc>
          <w:tcPr>
            <w:tcW w:w="709" w:type="pct"/>
            <w:vAlign w:val="center"/>
          </w:tcPr>
          <w:p w14:paraId="294D2C02" w14:textId="77777777" w:rsidR="00952670" w:rsidRDefault="00952670">
            <w:pPr>
              <w:pStyle w:val="Tabletext"/>
              <w:jc w:val="right"/>
            </w:pPr>
            <w:r>
              <w:t>127</w:t>
            </w:r>
          </w:p>
        </w:tc>
        <w:tc>
          <w:tcPr>
            <w:tcW w:w="743" w:type="pct"/>
            <w:shd w:val="clear" w:color="auto" w:fill="auto"/>
            <w:vAlign w:val="center"/>
          </w:tcPr>
          <w:p w14:paraId="109E0CEA" w14:textId="32A84392" w:rsidR="00952670" w:rsidRDefault="00DC7731">
            <w:pPr>
              <w:pStyle w:val="Tabletext"/>
              <w:jc w:val="right"/>
            </w:pPr>
            <w:r>
              <w:t>127</w:t>
            </w:r>
          </w:p>
        </w:tc>
        <w:tc>
          <w:tcPr>
            <w:tcW w:w="684" w:type="pct"/>
          </w:tcPr>
          <w:p w14:paraId="0E0C9DE9" w14:textId="7C350549" w:rsidR="00952670" w:rsidRDefault="00DC7731">
            <w:pPr>
              <w:pStyle w:val="Tabletext"/>
              <w:jc w:val="right"/>
            </w:pPr>
            <w:r>
              <w:t>0</w:t>
            </w:r>
          </w:p>
        </w:tc>
        <w:tc>
          <w:tcPr>
            <w:tcW w:w="683" w:type="pct"/>
            <w:vAlign w:val="center"/>
          </w:tcPr>
          <w:p w14:paraId="1A622BBA" w14:textId="29A730EC" w:rsidR="00952670" w:rsidRDefault="00952670">
            <w:pPr>
              <w:pStyle w:val="Tabletext"/>
              <w:jc w:val="right"/>
            </w:pPr>
            <w:r>
              <w:t>100</w:t>
            </w:r>
          </w:p>
        </w:tc>
        <w:tc>
          <w:tcPr>
            <w:tcW w:w="1243" w:type="pct"/>
          </w:tcPr>
          <w:p w14:paraId="43343352" w14:textId="77777777" w:rsidR="00952670" w:rsidRDefault="00952670">
            <w:pPr>
              <w:pStyle w:val="Tabletext"/>
            </w:pPr>
            <w:r>
              <w:t>Canned fruit</w:t>
            </w:r>
          </w:p>
        </w:tc>
      </w:tr>
      <w:tr w:rsidR="00952670" w14:paraId="66B47815" w14:textId="77777777" w:rsidTr="00AF7E51">
        <w:trPr>
          <w:cantSplit/>
          <w:jc w:val="center"/>
        </w:trPr>
        <w:tc>
          <w:tcPr>
            <w:tcW w:w="939" w:type="pct"/>
            <w:shd w:val="clear" w:color="auto" w:fill="auto"/>
          </w:tcPr>
          <w:p w14:paraId="0863BC71" w14:textId="77777777" w:rsidR="00952670" w:rsidRDefault="00952670">
            <w:pPr>
              <w:pStyle w:val="Tabletext"/>
              <w:rPr>
                <w:b/>
              </w:rPr>
            </w:pPr>
            <w:r>
              <w:rPr>
                <w:b/>
              </w:rPr>
              <w:t>Total</w:t>
            </w:r>
          </w:p>
        </w:tc>
        <w:tc>
          <w:tcPr>
            <w:tcW w:w="709" w:type="pct"/>
            <w:vAlign w:val="center"/>
          </w:tcPr>
          <w:p w14:paraId="7540E947" w14:textId="675C360D" w:rsidR="00952670" w:rsidRDefault="00952670">
            <w:pPr>
              <w:pStyle w:val="Tabletext"/>
              <w:jc w:val="right"/>
            </w:pPr>
            <w:r>
              <w:t>3</w:t>
            </w:r>
            <w:r w:rsidR="00DC7731">
              <w:t xml:space="preserve"> </w:t>
            </w:r>
            <w:r>
              <w:t>336</w:t>
            </w:r>
          </w:p>
        </w:tc>
        <w:tc>
          <w:tcPr>
            <w:tcW w:w="743" w:type="pct"/>
            <w:shd w:val="clear" w:color="auto" w:fill="auto"/>
            <w:vAlign w:val="center"/>
          </w:tcPr>
          <w:p w14:paraId="56424BC4" w14:textId="0DAA9734" w:rsidR="00952670" w:rsidRDefault="00952670">
            <w:pPr>
              <w:pStyle w:val="Tabletext"/>
              <w:jc w:val="right"/>
            </w:pPr>
            <w:r>
              <w:t>3</w:t>
            </w:r>
            <w:r w:rsidR="00DC7731">
              <w:t xml:space="preserve"> 295</w:t>
            </w:r>
          </w:p>
        </w:tc>
        <w:tc>
          <w:tcPr>
            <w:tcW w:w="684" w:type="pct"/>
          </w:tcPr>
          <w:p w14:paraId="09AD4A66" w14:textId="551BD53F" w:rsidR="00952670" w:rsidRDefault="00DC7731">
            <w:pPr>
              <w:pStyle w:val="Tabletext"/>
              <w:jc w:val="right"/>
            </w:pPr>
            <w:r>
              <w:t>41</w:t>
            </w:r>
          </w:p>
        </w:tc>
        <w:tc>
          <w:tcPr>
            <w:tcW w:w="683" w:type="pct"/>
            <w:vAlign w:val="center"/>
          </w:tcPr>
          <w:p w14:paraId="48618B86" w14:textId="1512B4C3" w:rsidR="00952670" w:rsidRDefault="00952670">
            <w:pPr>
              <w:pStyle w:val="Tabletext"/>
              <w:jc w:val="right"/>
            </w:pPr>
            <w:r>
              <w:t>98.8</w:t>
            </w:r>
          </w:p>
        </w:tc>
        <w:tc>
          <w:tcPr>
            <w:tcW w:w="1243" w:type="pct"/>
          </w:tcPr>
          <w:p w14:paraId="61326E0B" w14:textId="06922C0F" w:rsidR="00952670" w:rsidRDefault="007741A1" w:rsidP="007741A1">
            <w:pPr>
              <w:pStyle w:val="Tabletext"/>
              <w:rPr>
                <w:b/>
                <w:highlight w:val="yellow"/>
              </w:rPr>
            </w:pPr>
            <w:r>
              <w:t>–</w:t>
            </w:r>
          </w:p>
        </w:tc>
      </w:tr>
    </w:tbl>
    <w:p w14:paraId="346FA089" w14:textId="77777777" w:rsidR="00A072D0" w:rsidRDefault="009576A5">
      <w:pPr>
        <w:pStyle w:val="Caption"/>
      </w:pPr>
      <w:bookmarkStart w:id="56" w:name="_Toc369867486"/>
      <w:bookmarkStart w:id="57" w:name="_Toc469062412"/>
      <w:r>
        <w:t xml:space="preserve">Table </w:t>
      </w:r>
      <w:r w:rsidR="00E70443">
        <w:fldChar w:fldCharType="begin"/>
      </w:r>
      <w:r w:rsidR="00E70443">
        <w:instrText xml:space="preserve"> SEQ Table \* ARABIC </w:instrText>
      </w:r>
      <w:r w:rsidR="00E70443">
        <w:fldChar w:fldCharType="separate"/>
      </w:r>
      <w:r w:rsidR="00E70443">
        <w:rPr>
          <w:noProof/>
        </w:rPr>
        <w:t>10</w:t>
      </w:r>
      <w:r w:rsidR="00E70443">
        <w:rPr>
          <w:noProof/>
        </w:rPr>
        <w:fldChar w:fldCharType="end"/>
      </w:r>
      <w:r>
        <w:t xml:space="preserve"> Compliance for microbiological tests</w:t>
      </w:r>
      <w:bookmarkEnd w:id="56"/>
      <w:bookmarkEnd w:id="57"/>
    </w:p>
    <w:tbl>
      <w:tblPr>
        <w:tblW w:w="5000" w:type="pct"/>
        <w:jc w:val="center"/>
        <w:tblBorders>
          <w:top w:val="single" w:sz="4" w:space="0" w:color="auto"/>
          <w:bottom w:val="single" w:sz="4" w:space="0" w:color="auto"/>
        </w:tblBorders>
        <w:tblLook w:val="04A0" w:firstRow="1" w:lastRow="0" w:firstColumn="1" w:lastColumn="0" w:noHBand="0" w:noVBand="1"/>
      </w:tblPr>
      <w:tblGrid>
        <w:gridCol w:w="1548"/>
        <w:gridCol w:w="1123"/>
        <w:gridCol w:w="1124"/>
        <w:gridCol w:w="1125"/>
        <w:gridCol w:w="1187"/>
        <w:gridCol w:w="2193"/>
      </w:tblGrid>
      <w:tr w:rsidR="00DC7731" w14:paraId="73F125A7" w14:textId="77777777" w:rsidTr="003C0FB0">
        <w:trPr>
          <w:cantSplit/>
          <w:tblHeader/>
          <w:jc w:val="center"/>
        </w:trPr>
        <w:tc>
          <w:tcPr>
            <w:tcW w:w="939" w:type="pct"/>
            <w:shd w:val="clear" w:color="auto" w:fill="auto"/>
          </w:tcPr>
          <w:p w14:paraId="396E789E" w14:textId="77777777" w:rsidR="00DC7731" w:rsidRDefault="00DC7731">
            <w:pPr>
              <w:pStyle w:val="Tableheading"/>
            </w:pPr>
            <w:r>
              <w:t>Microbial agent</w:t>
            </w:r>
          </w:p>
        </w:tc>
        <w:tc>
          <w:tcPr>
            <w:tcW w:w="683" w:type="pct"/>
          </w:tcPr>
          <w:p w14:paraId="5E161EDC" w14:textId="77777777" w:rsidR="00DC7731" w:rsidRDefault="00DC7731">
            <w:pPr>
              <w:pStyle w:val="Tableheading"/>
              <w:jc w:val="right"/>
            </w:pPr>
            <w:r>
              <w:t>No. of tests applied</w:t>
            </w:r>
          </w:p>
        </w:tc>
        <w:tc>
          <w:tcPr>
            <w:tcW w:w="684" w:type="pct"/>
            <w:shd w:val="clear" w:color="auto" w:fill="auto"/>
          </w:tcPr>
          <w:p w14:paraId="11AAD97B" w14:textId="388749CE" w:rsidR="00DC7731" w:rsidRDefault="00DC7731" w:rsidP="00DC7731">
            <w:pPr>
              <w:pStyle w:val="Tableheading"/>
              <w:jc w:val="right"/>
            </w:pPr>
            <w:r>
              <w:t>No. compliant</w:t>
            </w:r>
          </w:p>
        </w:tc>
        <w:tc>
          <w:tcPr>
            <w:tcW w:w="684" w:type="pct"/>
          </w:tcPr>
          <w:p w14:paraId="620B3696" w14:textId="1A59A8BC" w:rsidR="00DC7731" w:rsidRPr="009A7AE3" w:rsidRDefault="00DC7731">
            <w:pPr>
              <w:pStyle w:val="Tableheading"/>
              <w:jc w:val="right"/>
            </w:pPr>
            <w:r w:rsidRPr="009A7AE3">
              <w:t>No. non-compliant</w:t>
            </w:r>
          </w:p>
        </w:tc>
        <w:tc>
          <w:tcPr>
            <w:tcW w:w="683" w:type="pct"/>
          </w:tcPr>
          <w:p w14:paraId="62660B50" w14:textId="68BAD1B0" w:rsidR="00DC7731" w:rsidRPr="009A7AE3" w:rsidRDefault="00DC7731">
            <w:pPr>
              <w:pStyle w:val="Tableheading"/>
              <w:jc w:val="right"/>
            </w:pPr>
            <w:r w:rsidRPr="009A7AE3">
              <w:t>Compliance rate (%)</w:t>
            </w:r>
          </w:p>
        </w:tc>
        <w:tc>
          <w:tcPr>
            <w:tcW w:w="1328" w:type="pct"/>
          </w:tcPr>
          <w:p w14:paraId="7FCCEEC6" w14:textId="77777777" w:rsidR="00DC7731" w:rsidRDefault="00DC7731">
            <w:pPr>
              <w:pStyle w:val="Tableheading"/>
              <w:jc w:val="center"/>
            </w:pPr>
            <w:r>
              <w:t>Types of food</w:t>
            </w:r>
          </w:p>
        </w:tc>
      </w:tr>
      <w:tr w:rsidR="00DC7731" w14:paraId="6E01A201" w14:textId="77777777" w:rsidTr="003C0FB0">
        <w:trPr>
          <w:cantSplit/>
          <w:tblHeader/>
          <w:jc w:val="center"/>
        </w:trPr>
        <w:tc>
          <w:tcPr>
            <w:tcW w:w="939" w:type="pct"/>
            <w:shd w:val="clear" w:color="auto" w:fill="auto"/>
            <w:vAlign w:val="center"/>
          </w:tcPr>
          <w:p w14:paraId="053E5E19" w14:textId="77777777" w:rsidR="00DC7731" w:rsidRDefault="00DC7731">
            <w:pPr>
              <w:pStyle w:val="Tabletext"/>
              <w:rPr>
                <w:i/>
              </w:rPr>
            </w:pPr>
            <w:r>
              <w:rPr>
                <w:i/>
              </w:rPr>
              <w:t>Bacillus cereus</w:t>
            </w:r>
          </w:p>
        </w:tc>
        <w:tc>
          <w:tcPr>
            <w:tcW w:w="683" w:type="pct"/>
            <w:vAlign w:val="center"/>
          </w:tcPr>
          <w:p w14:paraId="44ACA43F" w14:textId="77777777" w:rsidR="00DC7731" w:rsidRDefault="00DC7731">
            <w:pPr>
              <w:pStyle w:val="Tabletext"/>
              <w:jc w:val="right"/>
            </w:pPr>
            <w:r>
              <w:t>27</w:t>
            </w:r>
          </w:p>
        </w:tc>
        <w:tc>
          <w:tcPr>
            <w:tcW w:w="684" w:type="pct"/>
            <w:shd w:val="clear" w:color="auto" w:fill="auto"/>
            <w:vAlign w:val="center"/>
          </w:tcPr>
          <w:p w14:paraId="2E25E373" w14:textId="6CC27E62" w:rsidR="00DC7731" w:rsidRDefault="009A7AE3" w:rsidP="009A7AE3">
            <w:pPr>
              <w:pStyle w:val="Tabletext"/>
              <w:jc w:val="right"/>
            </w:pPr>
            <w:r>
              <w:t>27</w:t>
            </w:r>
          </w:p>
        </w:tc>
        <w:tc>
          <w:tcPr>
            <w:tcW w:w="684" w:type="pct"/>
            <w:vAlign w:val="center"/>
          </w:tcPr>
          <w:p w14:paraId="41B9310D" w14:textId="7C7759C7" w:rsidR="00DC7731" w:rsidRDefault="009A7AE3">
            <w:pPr>
              <w:pStyle w:val="Tabletext"/>
              <w:jc w:val="right"/>
            </w:pPr>
            <w:r>
              <w:t>0</w:t>
            </w:r>
          </w:p>
        </w:tc>
        <w:tc>
          <w:tcPr>
            <w:tcW w:w="683" w:type="pct"/>
            <w:vAlign w:val="center"/>
          </w:tcPr>
          <w:p w14:paraId="7E936F17" w14:textId="6339F6AD" w:rsidR="00DC7731" w:rsidRDefault="00DC7731">
            <w:pPr>
              <w:pStyle w:val="Tabletext"/>
              <w:jc w:val="right"/>
            </w:pPr>
            <w:r>
              <w:t>100</w:t>
            </w:r>
          </w:p>
        </w:tc>
        <w:tc>
          <w:tcPr>
            <w:tcW w:w="1328" w:type="pct"/>
            <w:vAlign w:val="center"/>
          </w:tcPr>
          <w:p w14:paraId="7919CE06" w14:textId="77777777" w:rsidR="00DC7731" w:rsidRDefault="00DC7731">
            <w:pPr>
              <w:pStyle w:val="Tabletext"/>
            </w:pPr>
            <w:r>
              <w:t>Bean curd, tofu</w:t>
            </w:r>
          </w:p>
        </w:tc>
      </w:tr>
      <w:tr w:rsidR="00DC7731" w14:paraId="5C76F1B9" w14:textId="77777777" w:rsidTr="003C0FB0">
        <w:trPr>
          <w:cantSplit/>
          <w:tblHeader/>
          <w:jc w:val="center"/>
        </w:trPr>
        <w:tc>
          <w:tcPr>
            <w:tcW w:w="939" w:type="pct"/>
            <w:shd w:val="clear" w:color="auto" w:fill="auto"/>
            <w:vAlign w:val="center"/>
          </w:tcPr>
          <w:p w14:paraId="4FB0FADF" w14:textId="77777777" w:rsidR="00DC7731" w:rsidRDefault="00DC7731">
            <w:pPr>
              <w:pStyle w:val="Tabletext"/>
            </w:pPr>
            <w:r>
              <w:rPr>
                <w:i/>
              </w:rPr>
              <w:t>E. coli</w:t>
            </w:r>
          </w:p>
        </w:tc>
        <w:tc>
          <w:tcPr>
            <w:tcW w:w="683" w:type="pct"/>
            <w:vAlign w:val="center"/>
          </w:tcPr>
          <w:p w14:paraId="53951640" w14:textId="77777777" w:rsidR="00DC7731" w:rsidRDefault="00DC7731">
            <w:pPr>
              <w:pStyle w:val="Tabletext"/>
              <w:jc w:val="right"/>
            </w:pPr>
            <w:r>
              <w:t>776</w:t>
            </w:r>
          </w:p>
        </w:tc>
        <w:tc>
          <w:tcPr>
            <w:tcW w:w="684" w:type="pct"/>
            <w:shd w:val="clear" w:color="auto" w:fill="auto"/>
            <w:vAlign w:val="center"/>
          </w:tcPr>
          <w:p w14:paraId="19837BE8" w14:textId="1AA35BF5" w:rsidR="00DC7731" w:rsidRDefault="009A7AE3">
            <w:pPr>
              <w:pStyle w:val="Tabletext"/>
              <w:jc w:val="right"/>
            </w:pPr>
            <w:r>
              <w:t>770</w:t>
            </w:r>
          </w:p>
        </w:tc>
        <w:tc>
          <w:tcPr>
            <w:tcW w:w="684" w:type="pct"/>
            <w:vAlign w:val="center"/>
          </w:tcPr>
          <w:p w14:paraId="02FA8B06" w14:textId="42161EE5" w:rsidR="00DC7731" w:rsidRDefault="009A7AE3">
            <w:pPr>
              <w:pStyle w:val="Tabletext"/>
              <w:jc w:val="right"/>
            </w:pPr>
            <w:r>
              <w:t>6</w:t>
            </w:r>
          </w:p>
        </w:tc>
        <w:tc>
          <w:tcPr>
            <w:tcW w:w="683" w:type="pct"/>
            <w:vAlign w:val="center"/>
          </w:tcPr>
          <w:p w14:paraId="643520E9" w14:textId="789B9044" w:rsidR="00DC7731" w:rsidRDefault="00DC7731">
            <w:pPr>
              <w:pStyle w:val="Tabletext"/>
              <w:jc w:val="right"/>
            </w:pPr>
            <w:r>
              <w:t>99.2</w:t>
            </w:r>
          </w:p>
        </w:tc>
        <w:tc>
          <w:tcPr>
            <w:tcW w:w="1328" w:type="pct"/>
            <w:vAlign w:val="center"/>
          </w:tcPr>
          <w:p w14:paraId="653C7C3C" w14:textId="77777777" w:rsidR="00DC7731" w:rsidRDefault="00DC7731">
            <w:pPr>
              <w:pStyle w:val="Tabletext"/>
            </w:pPr>
            <w:r>
              <w:t>Processed meats, water, seafood, and cheese</w:t>
            </w:r>
          </w:p>
        </w:tc>
      </w:tr>
      <w:tr w:rsidR="00DC7731" w14:paraId="574FD033" w14:textId="77777777" w:rsidTr="003C0FB0">
        <w:trPr>
          <w:cantSplit/>
          <w:tblHeader/>
          <w:jc w:val="center"/>
        </w:trPr>
        <w:tc>
          <w:tcPr>
            <w:tcW w:w="939" w:type="pct"/>
            <w:shd w:val="clear" w:color="auto" w:fill="auto"/>
            <w:vAlign w:val="center"/>
          </w:tcPr>
          <w:p w14:paraId="5A241D92" w14:textId="77777777" w:rsidR="00DC7731" w:rsidRDefault="00DC7731">
            <w:pPr>
              <w:pStyle w:val="Tabletext"/>
            </w:pPr>
            <w:r>
              <w:t>Hepatitis A</w:t>
            </w:r>
          </w:p>
        </w:tc>
        <w:tc>
          <w:tcPr>
            <w:tcW w:w="683" w:type="pct"/>
            <w:vAlign w:val="center"/>
          </w:tcPr>
          <w:p w14:paraId="368F624D" w14:textId="77777777" w:rsidR="00DC7731" w:rsidRDefault="00DC7731">
            <w:pPr>
              <w:pStyle w:val="Tabletext"/>
              <w:jc w:val="right"/>
            </w:pPr>
            <w:r>
              <w:t>1</w:t>
            </w:r>
          </w:p>
        </w:tc>
        <w:tc>
          <w:tcPr>
            <w:tcW w:w="684" w:type="pct"/>
            <w:shd w:val="clear" w:color="auto" w:fill="auto"/>
            <w:vAlign w:val="center"/>
          </w:tcPr>
          <w:p w14:paraId="35BAEBE8" w14:textId="03DD3575" w:rsidR="00DC7731" w:rsidRDefault="009A7AE3">
            <w:pPr>
              <w:pStyle w:val="Tabletext"/>
              <w:jc w:val="right"/>
            </w:pPr>
            <w:r>
              <w:t>1</w:t>
            </w:r>
          </w:p>
        </w:tc>
        <w:tc>
          <w:tcPr>
            <w:tcW w:w="684" w:type="pct"/>
            <w:vAlign w:val="center"/>
          </w:tcPr>
          <w:p w14:paraId="79EEA203" w14:textId="58587DCD" w:rsidR="00DC7731" w:rsidRDefault="009A7AE3">
            <w:pPr>
              <w:pStyle w:val="Tabletext"/>
              <w:jc w:val="right"/>
            </w:pPr>
            <w:r>
              <w:t>0</w:t>
            </w:r>
          </w:p>
        </w:tc>
        <w:tc>
          <w:tcPr>
            <w:tcW w:w="683" w:type="pct"/>
            <w:vAlign w:val="center"/>
          </w:tcPr>
          <w:p w14:paraId="5EF8E524" w14:textId="60B424A4" w:rsidR="00DC7731" w:rsidRDefault="00DC7731">
            <w:pPr>
              <w:pStyle w:val="Tabletext"/>
              <w:jc w:val="right"/>
            </w:pPr>
            <w:r>
              <w:t>100</w:t>
            </w:r>
          </w:p>
        </w:tc>
        <w:tc>
          <w:tcPr>
            <w:tcW w:w="1328" w:type="pct"/>
            <w:vAlign w:val="center"/>
          </w:tcPr>
          <w:p w14:paraId="0D7B8952" w14:textId="77777777" w:rsidR="00DC7731" w:rsidRDefault="00DC7731">
            <w:pPr>
              <w:pStyle w:val="Tabletext"/>
            </w:pPr>
            <w:r>
              <w:t>Berries</w:t>
            </w:r>
          </w:p>
        </w:tc>
      </w:tr>
      <w:tr w:rsidR="00DC7731" w14:paraId="0ADBDD9E" w14:textId="77777777" w:rsidTr="003C0FB0">
        <w:trPr>
          <w:cantSplit/>
          <w:tblHeader/>
          <w:jc w:val="center"/>
        </w:trPr>
        <w:tc>
          <w:tcPr>
            <w:tcW w:w="939" w:type="pct"/>
            <w:shd w:val="clear" w:color="auto" w:fill="auto"/>
            <w:vAlign w:val="center"/>
          </w:tcPr>
          <w:p w14:paraId="2BF32452" w14:textId="77777777" w:rsidR="00DC7731" w:rsidRDefault="00DC7731">
            <w:pPr>
              <w:pStyle w:val="Tabletext"/>
            </w:pPr>
            <w:r>
              <w:rPr>
                <w:i/>
              </w:rPr>
              <w:t>Listeria</w:t>
            </w:r>
            <w:r>
              <w:t xml:space="preserve"> </w:t>
            </w:r>
            <w:r>
              <w:rPr>
                <w:i/>
              </w:rPr>
              <w:t>monocytogenes</w:t>
            </w:r>
          </w:p>
        </w:tc>
        <w:tc>
          <w:tcPr>
            <w:tcW w:w="683" w:type="pct"/>
            <w:vAlign w:val="center"/>
          </w:tcPr>
          <w:p w14:paraId="29C537EE" w14:textId="77777777" w:rsidR="00DC7731" w:rsidRDefault="00DC7731">
            <w:pPr>
              <w:pStyle w:val="Tabletext"/>
              <w:jc w:val="right"/>
            </w:pPr>
            <w:r>
              <w:t>1 048</w:t>
            </w:r>
          </w:p>
        </w:tc>
        <w:tc>
          <w:tcPr>
            <w:tcW w:w="684" w:type="pct"/>
            <w:shd w:val="clear" w:color="auto" w:fill="auto"/>
            <w:vAlign w:val="center"/>
          </w:tcPr>
          <w:p w14:paraId="0DFF6CA5" w14:textId="0577976A" w:rsidR="00DC7731" w:rsidRDefault="00DC7731">
            <w:pPr>
              <w:pStyle w:val="Tabletext"/>
              <w:jc w:val="right"/>
            </w:pPr>
            <w:r>
              <w:t>1</w:t>
            </w:r>
            <w:r w:rsidR="009A7AE3">
              <w:t xml:space="preserve"> 044</w:t>
            </w:r>
          </w:p>
        </w:tc>
        <w:tc>
          <w:tcPr>
            <w:tcW w:w="684" w:type="pct"/>
            <w:vAlign w:val="center"/>
          </w:tcPr>
          <w:p w14:paraId="32918F9F" w14:textId="57F87029" w:rsidR="00DC7731" w:rsidRDefault="009A7AE3">
            <w:pPr>
              <w:pStyle w:val="Tabletext"/>
              <w:jc w:val="right"/>
            </w:pPr>
            <w:r>
              <w:t>4</w:t>
            </w:r>
          </w:p>
        </w:tc>
        <w:tc>
          <w:tcPr>
            <w:tcW w:w="683" w:type="pct"/>
            <w:vAlign w:val="center"/>
          </w:tcPr>
          <w:p w14:paraId="1AF7BED9" w14:textId="52CA364A" w:rsidR="00DC7731" w:rsidRDefault="00DC7731">
            <w:pPr>
              <w:pStyle w:val="Tabletext"/>
              <w:jc w:val="right"/>
            </w:pPr>
            <w:r>
              <w:t>99.6</w:t>
            </w:r>
          </w:p>
        </w:tc>
        <w:tc>
          <w:tcPr>
            <w:tcW w:w="1328" w:type="pct"/>
            <w:vAlign w:val="center"/>
          </w:tcPr>
          <w:p w14:paraId="2D615A8F" w14:textId="77777777" w:rsidR="00DC7731" w:rsidRDefault="00DC7731">
            <w:pPr>
              <w:pStyle w:val="Tabletext"/>
            </w:pPr>
            <w:r>
              <w:t>Cheese, ready-to-eat seafood, processed meats</w:t>
            </w:r>
          </w:p>
        </w:tc>
      </w:tr>
      <w:tr w:rsidR="00DC7731" w14:paraId="6DBA52E5" w14:textId="77777777" w:rsidTr="003C0FB0">
        <w:trPr>
          <w:cantSplit/>
          <w:tblHeader/>
          <w:jc w:val="center"/>
        </w:trPr>
        <w:tc>
          <w:tcPr>
            <w:tcW w:w="939" w:type="pct"/>
            <w:shd w:val="clear" w:color="auto" w:fill="auto"/>
            <w:vAlign w:val="center"/>
          </w:tcPr>
          <w:p w14:paraId="2FD1BCAF" w14:textId="77777777" w:rsidR="00DC7731" w:rsidRDefault="00DC7731">
            <w:pPr>
              <w:pStyle w:val="Tabletext"/>
            </w:pPr>
            <w:r>
              <w:rPr>
                <w:i/>
              </w:rPr>
              <w:t>Salmonella</w:t>
            </w:r>
          </w:p>
        </w:tc>
        <w:tc>
          <w:tcPr>
            <w:tcW w:w="683" w:type="pct"/>
            <w:vAlign w:val="center"/>
          </w:tcPr>
          <w:p w14:paraId="1C404797" w14:textId="77777777" w:rsidR="00DC7731" w:rsidRDefault="00DC7731">
            <w:pPr>
              <w:pStyle w:val="Tabletext"/>
              <w:jc w:val="right"/>
            </w:pPr>
            <w:r>
              <w:t>1 776</w:t>
            </w:r>
          </w:p>
        </w:tc>
        <w:tc>
          <w:tcPr>
            <w:tcW w:w="684" w:type="pct"/>
            <w:shd w:val="clear" w:color="auto" w:fill="auto"/>
            <w:vAlign w:val="center"/>
          </w:tcPr>
          <w:p w14:paraId="6907204E" w14:textId="5250858A" w:rsidR="00DC7731" w:rsidRDefault="009A7AE3">
            <w:pPr>
              <w:pStyle w:val="Tabletext"/>
              <w:jc w:val="right"/>
            </w:pPr>
            <w:r>
              <w:t>1 767</w:t>
            </w:r>
          </w:p>
        </w:tc>
        <w:tc>
          <w:tcPr>
            <w:tcW w:w="684" w:type="pct"/>
            <w:vAlign w:val="center"/>
          </w:tcPr>
          <w:p w14:paraId="44D027D1" w14:textId="761FE2C9" w:rsidR="00DC7731" w:rsidRDefault="009A7AE3">
            <w:pPr>
              <w:pStyle w:val="Tabletext"/>
              <w:jc w:val="right"/>
            </w:pPr>
            <w:r>
              <w:t>9</w:t>
            </w:r>
          </w:p>
        </w:tc>
        <w:tc>
          <w:tcPr>
            <w:tcW w:w="683" w:type="pct"/>
            <w:vAlign w:val="center"/>
          </w:tcPr>
          <w:p w14:paraId="516F2FDE" w14:textId="153F9F54" w:rsidR="00DC7731" w:rsidRDefault="00DC7731">
            <w:pPr>
              <w:pStyle w:val="Tabletext"/>
              <w:jc w:val="right"/>
            </w:pPr>
            <w:r>
              <w:t>99.5</w:t>
            </w:r>
          </w:p>
        </w:tc>
        <w:tc>
          <w:tcPr>
            <w:tcW w:w="1328" w:type="pct"/>
            <w:vAlign w:val="center"/>
          </w:tcPr>
          <w:p w14:paraId="318C4831" w14:textId="77777777" w:rsidR="00DC7731" w:rsidRDefault="00DC7731">
            <w:pPr>
              <w:pStyle w:val="Tabletext"/>
            </w:pPr>
            <w:r>
              <w:t>Processed meats, seafood, dried coconut, dried chilli and pepper, sesame seeds, cheese</w:t>
            </w:r>
          </w:p>
        </w:tc>
      </w:tr>
      <w:tr w:rsidR="00DC7731" w14:paraId="48C65B3B" w14:textId="77777777" w:rsidTr="003C0FB0">
        <w:trPr>
          <w:cantSplit/>
          <w:tblHeader/>
          <w:jc w:val="center"/>
        </w:trPr>
        <w:tc>
          <w:tcPr>
            <w:tcW w:w="939" w:type="pct"/>
            <w:shd w:val="clear" w:color="auto" w:fill="auto"/>
            <w:vAlign w:val="center"/>
          </w:tcPr>
          <w:p w14:paraId="200B05E4" w14:textId="77777777" w:rsidR="00DC7731" w:rsidRDefault="00DC7731">
            <w:pPr>
              <w:pStyle w:val="Tabletext"/>
            </w:pPr>
            <w:r>
              <w:t>Standard plate count</w:t>
            </w:r>
          </w:p>
        </w:tc>
        <w:tc>
          <w:tcPr>
            <w:tcW w:w="683" w:type="pct"/>
            <w:vAlign w:val="center"/>
          </w:tcPr>
          <w:p w14:paraId="61EDC87A" w14:textId="77777777" w:rsidR="00DC7731" w:rsidRDefault="00DC7731">
            <w:pPr>
              <w:pStyle w:val="Tabletext"/>
              <w:jc w:val="right"/>
            </w:pPr>
            <w:r>
              <w:t>183</w:t>
            </w:r>
          </w:p>
        </w:tc>
        <w:tc>
          <w:tcPr>
            <w:tcW w:w="684" w:type="pct"/>
            <w:shd w:val="clear" w:color="auto" w:fill="auto"/>
            <w:vAlign w:val="center"/>
          </w:tcPr>
          <w:p w14:paraId="7A30E98D" w14:textId="1F53A8B2" w:rsidR="00DC7731" w:rsidRDefault="009A7AE3">
            <w:pPr>
              <w:pStyle w:val="Tabletext"/>
              <w:jc w:val="right"/>
            </w:pPr>
            <w:r>
              <w:t>181</w:t>
            </w:r>
          </w:p>
        </w:tc>
        <w:tc>
          <w:tcPr>
            <w:tcW w:w="684" w:type="pct"/>
            <w:vAlign w:val="center"/>
          </w:tcPr>
          <w:p w14:paraId="54C05B29" w14:textId="677B6D88" w:rsidR="00DC7731" w:rsidRDefault="009A7AE3">
            <w:pPr>
              <w:pStyle w:val="Tabletext"/>
              <w:jc w:val="right"/>
            </w:pPr>
            <w:r>
              <w:t>2</w:t>
            </w:r>
          </w:p>
        </w:tc>
        <w:tc>
          <w:tcPr>
            <w:tcW w:w="683" w:type="pct"/>
            <w:vAlign w:val="center"/>
          </w:tcPr>
          <w:p w14:paraId="417CC261" w14:textId="00944FA7" w:rsidR="00DC7731" w:rsidRDefault="00DC7731">
            <w:pPr>
              <w:pStyle w:val="Tabletext"/>
              <w:jc w:val="right"/>
            </w:pPr>
            <w:r>
              <w:t>98.9</w:t>
            </w:r>
          </w:p>
        </w:tc>
        <w:tc>
          <w:tcPr>
            <w:tcW w:w="1328" w:type="pct"/>
            <w:vAlign w:val="center"/>
          </w:tcPr>
          <w:p w14:paraId="6A39DC53" w14:textId="77777777" w:rsidR="00DC7731" w:rsidRDefault="00DC7731">
            <w:pPr>
              <w:pStyle w:val="Tabletext"/>
            </w:pPr>
            <w:r>
              <w:t>Cooked prawns</w:t>
            </w:r>
          </w:p>
        </w:tc>
      </w:tr>
      <w:tr w:rsidR="00DC7731" w14:paraId="41EA1AF6" w14:textId="77777777" w:rsidTr="003C0FB0">
        <w:trPr>
          <w:cantSplit/>
          <w:tblHeader/>
          <w:jc w:val="center"/>
        </w:trPr>
        <w:tc>
          <w:tcPr>
            <w:tcW w:w="939" w:type="pct"/>
            <w:shd w:val="clear" w:color="auto" w:fill="auto"/>
            <w:vAlign w:val="center"/>
          </w:tcPr>
          <w:p w14:paraId="7CA6C2AB" w14:textId="77777777" w:rsidR="00DC7731" w:rsidRDefault="00DC7731">
            <w:pPr>
              <w:pStyle w:val="Tabletext"/>
            </w:pPr>
            <w:r>
              <w:t>Coagulase positive Staphylococcus</w:t>
            </w:r>
          </w:p>
        </w:tc>
        <w:tc>
          <w:tcPr>
            <w:tcW w:w="683" w:type="pct"/>
            <w:vAlign w:val="center"/>
          </w:tcPr>
          <w:p w14:paraId="24870AF7" w14:textId="77777777" w:rsidR="00DC7731" w:rsidRDefault="00DC7731">
            <w:pPr>
              <w:pStyle w:val="Tabletext"/>
              <w:jc w:val="right"/>
            </w:pPr>
            <w:r>
              <w:t>295</w:t>
            </w:r>
          </w:p>
        </w:tc>
        <w:tc>
          <w:tcPr>
            <w:tcW w:w="684" w:type="pct"/>
            <w:shd w:val="clear" w:color="auto" w:fill="auto"/>
            <w:vAlign w:val="center"/>
          </w:tcPr>
          <w:p w14:paraId="6BBC6E7C" w14:textId="09EC360C" w:rsidR="00DC7731" w:rsidRDefault="009A7AE3">
            <w:pPr>
              <w:pStyle w:val="Tabletext"/>
              <w:jc w:val="right"/>
            </w:pPr>
            <w:r>
              <w:t>295</w:t>
            </w:r>
          </w:p>
        </w:tc>
        <w:tc>
          <w:tcPr>
            <w:tcW w:w="684" w:type="pct"/>
            <w:vAlign w:val="center"/>
          </w:tcPr>
          <w:p w14:paraId="371655A1" w14:textId="45E22B66" w:rsidR="00DC7731" w:rsidRDefault="009A7AE3">
            <w:pPr>
              <w:pStyle w:val="Tabletext"/>
              <w:jc w:val="right"/>
            </w:pPr>
            <w:r>
              <w:t>0</w:t>
            </w:r>
          </w:p>
        </w:tc>
        <w:tc>
          <w:tcPr>
            <w:tcW w:w="683" w:type="pct"/>
            <w:vAlign w:val="center"/>
          </w:tcPr>
          <w:p w14:paraId="36E77333" w14:textId="72761526" w:rsidR="00DC7731" w:rsidRDefault="00DC7731">
            <w:pPr>
              <w:pStyle w:val="Tabletext"/>
              <w:jc w:val="right"/>
            </w:pPr>
            <w:r>
              <w:t>100</w:t>
            </w:r>
          </w:p>
        </w:tc>
        <w:tc>
          <w:tcPr>
            <w:tcW w:w="1328" w:type="pct"/>
            <w:vAlign w:val="center"/>
          </w:tcPr>
          <w:p w14:paraId="683B3195" w14:textId="77777777" w:rsidR="00DC7731" w:rsidRDefault="00DC7731">
            <w:pPr>
              <w:pStyle w:val="Tabletext"/>
            </w:pPr>
            <w:r>
              <w:t>Processed meats and cooked prawns</w:t>
            </w:r>
          </w:p>
        </w:tc>
      </w:tr>
      <w:tr w:rsidR="00DC7731" w14:paraId="060A8C6C" w14:textId="77777777" w:rsidTr="003C0FB0">
        <w:trPr>
          <w:cantSplit/>
          <w:tblHeader/>
          <w:jc w:val="center"/>
        </w:trPr>
        <w:tc>
          <w:tcPr>
            <w:tcW w:w="939" w:type="pct"/>
            <w:shd w:val="clear" w:color="auto" w:fill="auto"/>
            <w:vAlign w:val="center"/>
          </w:tcPr>
          <w:p w14:paraId="4D19368B" w14:textId="77777777" w:rsidR="00DC7731" w:rsidRDefault="00DC7731">
            <w:pPr>
              <w:pStyle w:val="Tabletext"/>
              <w:rPr>
                <w:i/>
              </w:rPr>
            </w:pPr>
            <w:r>
              <w:rPr>
                <w:i/>
              </w:rPr>
              <w:t xml:space="preserve">Vibrio </w:t>
            </w:r>
            <w:proofErr w:type="spellStart"/>
            <w:r>
              <w:rPr>
                <w:i/>
              </w:rPr>
              <w:t>cholerae</w:t>
            </w:r>
            <w:proofErr w:type="spellEnd"/>
          </w:p>
        </w:tc>
        <w:tc>
          <w:tcPr>
            <w:tcW w:w="683" w:type="pct"/>
            <w:vAlign w:val="center"/>
          </w:tcPr>
          <w:p w14:paraId="5B4E50E8" w14:textId="77777777" w:rsidR="00DC7731" w:rsidRDefault="00DC7731">
            <w:pPr>
              <w:pStyle w:val="Tabletext"/>
              <w:jc w:val="right"/>
            </w:pPr>
            <w:r>
              <w:t>123</w:t>
            </w:r>
          </w:p>
        </w:tc>
        <w:tc>
          <w:tcPr>
            <w:tcW w:w="684" w:type="pct"/>
            <w:shd w:val="clear" w:color="auto" w:fill="auto"/>
            <w:vAlign w:val="center"/>
          </w:tcPr>
          <w:p w14:paraId="6682A906" w14:textId="14E45C00" w:rsidR="00DC7731" w:rsidRDefault="009A7AE3">
            <w:pPr>
              <w:pStyle w:val="Tabletext"/>
              <w:jc w:val="right"/>
            </w:pPr>
            <w:r>
              <w:t>122</w:t>
            </w:r>
          </w:p>
        </w:tc>
        <w:tc>
          <w:tcPr>
            <w:tcW w:w="684" w:type="pct"/>
            <w:vAlign w:val="center"/>
          </w:tcPr>
          <w:p w14:paraId="1DC86D5C" w14:textId="10A7B502" w:rsidR="00DC7731" w:rsidRDefault="009A7AE3">
            <w:pPr>
              <w:pStyle w:val="Tabletext"/>
              <w:jc w:val="right"/>
            </w:pPr>
            <w:r>
              <w:t>1</w:t>
            </w:r>
          </w:p>
        </w:tc>
        <w:tc>
          <w:tcPr>
            <w:tcW w:w="683" w:type="pct"/>
            <w:vAlign w:val="center"/>
          </w:tcPr>
          <w:p w14:paraId="3D9B35BA" w14:textId="6EDFE105" w:rsidR="00DC7731" w:rsidRDefault="00DC7731">
            <w:pPr>
              <w:pStyle w:val="Tabletext"/>
              <w:jc w:val="right"/>
            </w:pPr>
            <w:r>
              <w:t>99.2</w:t>
            </w:r>
          </w:p>
        </w:tc>
        <w:tc>
          <w:tcPr>
            <w:tcW w:w="1328" w:type="pct"/>
            <w:vAlign w:val="center"/>
          </w:tcPr>
          <w:p w14:paraId="066905A7" w14:textId="77777777" w:rsidR="00DC7731" w:rsidRDefault="00DC7731">
            <w:pPr>
              <w:pStyle w:val="Tabletext"/>
            </w:pPr>
            <w:r>
              <w:t>Cooked prawns</w:t>
            </w:r>
          </w:p>
        </w:tc>
      </w:tr>
      <w:tr w:rsidR="00DC7731" w14:paraId="4682717C" w14:textId="77777777" w:rsidTr="003C0FB0">
        <w:trPr>
          <w:cantSplit/>
          <w:tblHeader/>
          <w:jc w:val="center"/>
        </w:trPr>
        <w:tc>
          <w:tcPr>
            <w:tcW w:w="939" w:type="pct"/>
            <w:shd w:val="clear" w:color="auto" w:fill="auto"/>
            <w:vAlign w:val="center"/>
          </w:tcPr>
          <w:p w14:paraId="5DB9B9EA" w14:textId="77777777" w:rsidR="00DC7731" w:rsidRDefault="00DC7731">
            <w:pPr>
              <w:pStyle w:val="Tabletext"/>
              <w:rPr>
                <w:b/>
              </w:rPr>
            </w:pPr>
            <w:r>
              <w:rPr>
                <w:b/>
              </w:rPr>
              <w:t>Total</w:t>
            </w:r>
          </w:p>
        </w:tc>
        <w:tc>
          <w:tcPr>
            <w:tcW w:w="683" w:type="pct"/>
            <w:vAlign w:val="center"/>
          </w:tcPr>
          <w:p w14:paraId="391E2611" w14:textId="77777777" w:rsidR="00DC7731" w:rsidRDefault="00DC7731">
            <w:pPr>
              <w:pStyle w:val="Tabletext"/>
              <w:jc w:val="right"/>
            </w:pPr>
            <w:r>
              <w:t>4 229</w:t>
            </w:r>
          </w:p>
        </w:tc>
        <w:tc>
          <w:tcPr>
            <w:tcW w:w="684" w:type="pct"/>
            <w:shd w:val="clear" w:color="auto" w:fill="auto"/>
            <w:vAlign w:val="center"/>
          </w:tcPr>
          <w:p w14:paraId="54A72EC5" w14:textId="6A444BD5" w:rsidR="00DC7731" w:rsidRDefault="009A7AE3">
            <w:pPr>
              <w:pStyle w:val="Tabletext"/>
              <w:jc w:val="right"/>
            </w:pPr>
            <w:r>
              <w:t>4 207</w:t>
            </w:r>
          </w:p>
        </w:tc>
        <w:tc>
          <w:tcPr>
            <w:tcW w:w="684" w:type="pct"/>
            <w:vAlign w:val="center"/>
          </w:tcPr>
          <w:p w14:paraId="14CFB365" w14:textId="750F6AE7" w:rsidR="00DC7731" w:rsidRDefault="009A7AE3">
            <w:pPr>
              <w:pStyle w:val="Tabletext"/>
              <w:jc w:val="right"/>
            </w:pPr>
            <w:r>
              <w:t>22</w:t>
            </w:r>
          </w:p>
        </w:tc>
        <w:tc>
          <w:tcPr>
            <w:tcW w:w="683" w:type="pct"/>
            <w:vAlign w:val="center"/>
          </w:tcPr>
          <w:p w14:paraId="2CBA182E" w14:textId="2D1835AB" w:rsidR="00DC7731" w:rsidRDefault="00DC7731">
            <w:pPr>
              <w:pStyle w:val="Tabletext"/>
              <w:jc w:val="right"/>
            </w:pPr>
            <w:r>
              <w:t>99.5</w:t>
            </w:r>
          </w:p>
        </w:tc>
        <w:tc>
          <w:tcPr>
            <w:tcW w:w="1328" w:type="pct"/>
            <w:vAlign w:val="center"/>
          </w:tcPr>
          <w:p w14:paraId="7A3E63AA" w14:textId="30B10089" w:rsidR="00DC7731" w:rsidRDefault="007741A1" w:rsidP="007741A1">
            <w:pPr>
              <w:pStyle w:val="Tabletext"/>
              <w:rPr>
                <w:b/>
              </w:rPr>
            </w:pPr>
            <w:r>
              <w:t>–</w:t>
            </w:r>
          </w:p>
        </w:tc>
      </w:tr>
    </w:tbl>
    <w:p w14:paraId="15487E49" w14:textId="77777777" w:rsidR="00A072D0" w:rsidRDefault="009576A5">
      <w:pPr>
        <w:pStyle w:val="Caption"/>
      </w:pPr>
      <w:bookmarkStart w:id="58" w:name="_Toc469062413"/>
      <w:bookmarkStart w:id="59" w:name="_Toc367781897"/>
      <w:bookmarkStart w:id="60" w:name="_Toc369764303"/>
      <w:r>
        <w:t xml:space="preserve">Table </w:t>
      </w:r>
      <w:r w:rsidR="00E70443">
        <w:fldChar w:fldCharType="begin"/>
      </w:r>
      <w:r w:rsidR="00E70443">
        <w:instrText xml:space="preserve"> SEQ Table \* ARABIC </w:instrText>
      </w:r>
      <w:r w:rsidR="00E70443">
        <w:fldChar w:fldCharType="separate"/>
      </w:r>
      <w:r w:rsidR="00E70443">
        <w:rPr>
          <w:noProof/>
        </w:rPr>
        <w:t>11</w:t>
      </w:r>
      <w:r w:rsidR="00E70443">
        <w:rPr>
          <w:noProof/>
        </w:rPr>
        <w:fldChar w:fldCharType="end"/>
      </w:r>
      <w:r>
        <w:t xml:space="preserve"> Compliance for composition analytical tests</w:t>
      </w:r>
      <w:bookmarkEnd w:id="58"/>
    </w:p>
    <w:tbl>
      <w:tblPr>
        <w:tblW w:w="5000" w:type="pct"/>
        <w:jc w:val="center"/>
        <w:tblBorders>
          <w:top w:val="single" w:sz="4" w:space="0" w:color="auto"/>
          <w:bottom w:val="single" w:sz="4" w:space="0" w:color="auto"/>
        </w:tblBorders>
        <w:tblLook w:val="04A0" w:firstRow="1" w:lastRow="0" w:firstColumn="1" w:lastColumn="0" w:noHBand="0" w:noVBand="1"/>
      </w:tblPr>
      <w:tblGrid>
        <w:gridCol w:w="1558"/>
        <w:gridCol w:w="1134"/>
        <w:gridCol w:w="1277"/>
        <w:gridCol w:w="1208"/>
        <w:gridCol w:w="1187"/>
        <w:gridCol w:w="1936"/>
      </w:tblGrid>
      <w:tr w:rsidR="009A7AE3" w14:paraId="4816965B" w14:textId="77777777" w:rsidTr="003C0FB0">
        <w:trPr>
          <w:cantSplit/>
          <w:tblHeader/>
          <w:jc w:val="center"/>
        </w:trPr>
        <w:tc>
          <w:tcPr>
            <w:tcW w:w="939" w:type="pct"/>
            <w:shd w:val="clear" w:color="auto" w:fill="auto"/>
          </w:tcPr>
          <w:p w14:paraId="19218100" w14:textId="77777777" w:rsidR="009A7AE3" w:rsidRDefault="009A7AE3">
            <w:pPr>
              <w:pStyle w:val="Tableheading"/>
            </w:pPr>
            <w:r>
              <w:t>Microbial agent</w:t>
            </w:r>
          </w:p>
        </w:tc>
        <w:tc>
          <w:tcPr>
            <w:tcW w:w="683" w:type="pct"/>
          </w:tcPr>
          <w:p w14:paraId="355EA59B" w14:textId="77777777" w:rsidR="009A7AE3" w:rsidRDefault="009A7AE3">
            <w:pPr>
              <w:pStyle w:val="Tableheading"/>
              <w:jc w:val="right"/>
            </w:pPr>
            <w:r>
              <w:t>No. of tests applied</w:t>
            </w:r>
          </w:p>
        </w:tc>
        <w:tc>
          <w:tcPr>
            <w:tcW w:w="769" w:type="pct"/>
            <w:shd w:val="clear" w:color="auto" w:fill="auto"/>
          </w:tcPr>
          <w:p w14:paraId="0B040587" w14:textId="34EE0B7F" w:rsidR="009A7AE3" w:rsidRDefault="009A7AE3" w:rsidP="009A7AE3">
            <w:pPr>
              <w:pStyle w:val="Tableheading"/>
              <w:jc w:val="right"/>
            </w:pPr>
            <w:r>
              <w:t>No. compliant</w:t>
            </w:r>
          </w:p>
        </w:tc>
        <w:tc>
          <w:tcPr>
            <w:tcW w:w="728" w:type="pct"/>
          </w:tcPr>
          <w:p w14:paraId="1AFA3035" w14:textId="4DD3C463" w:rsidR="009A7AE3" w:rsidRDefault="009A7AE3">
            <w:pPr>
              <w:pStyle w:val="Tableheading"/>
              <w:jc w:val="right"/>
            </w:pPr>
            <w:r>
              <w:t>No. non-compliant</w:t>
            </w:r>
          </w:p>
        </w:tc>
        <w:tc>
          <w:tcPr>
            <w:tcW w:w="715" w:type="pct"/>
          </w:tcPr>
          <w:p w14:paraId="3454B3D5" w14:textId="4F58C13D" w:rsidR="009A7AE3" w:rsidRDefault="009A7AE3">
            <w:pPr>
              <w:pStyle w:val="Tableheading"/>
              <w:jc w:val="right"/>
            </w:pPr>
            <w:r>
              <w:t>Compliance rate (%)</w:t>
            </w:r>
          </w:p>
        </w:tc>
        <w:tc>
          <w:tcPr>
            <w:tcW w:w="1166" w:type="pct"/>
          </w:tcPr>
          <w:p w14:paraId="3083B72A" w14:textId="77777777" w:rsidR="009A7AE3" w:rsidRDefault="009A7AE3">
            <w:pPr>
              <w:pStyle w:val="Tableheading"/>
              <w:jc w:val="center"/>
            </w:pPr>
            <w:r>
              <w:t>Types of food</w:t>
            </w:r>
          </w:p>
        </w:tc>
      </w:tr>
      <w:tr w:rsidR="009A7AE3" w14:paraId="3090669C" w14:textId="77777777" w:rsidTr="003C0FB0">
        <w:trPr>
          <w:cantSplit/>
          <w:tblHeader/>
          <w:jc w:val="center"/>
        </w:trPr>
        <w:tc>
          <w:tcPr>
            <w:tcW w:w="939" w:type="pct"/>
            <w:shd w:val="clear" w:color="auto" w:fill="auto"/>
            <w:vAlign w:val="center"/>
          </w:tcPr>
          <w:p w14:paraId="25930191" w14:textId="77777777" w:rsidR="009A7AE3" w:rsidRDefault="009A7AE3">
            <w:pPr>
              <w:pStyle w:val="Tabletext"/>
            </w:pPr>
            <w:r>
              <w:t>Allergen - Dairy</w:t>
            </w:r>
          </w:p>
        </w:tc>
        <w:tc>
          <w:tcPr>
            <w:tcW w:w="683" w:type="pct"/>
            <w:vAlign w:val="center"/>
          </w:tcPr>
          <w:p w14:paraId="13AFEFB8" w14:textId="77777777" w:rsidR="009A7AE3" w:rsidRDefault="009A7AE3">
            <w:pPr>
              <w:pStyle w:val="Tabletext"/>
              <w:jc w:val="right"/>
            </w:pPr>
            <w:r>
              <w:t>107</w:t>
            </w:r>
          </w:p>
        </w:tc>
        <w:tc>
          <w:tcPr>
            <w:tcW w:w="769" w:type="pct"/>
            <w:shd w:val="clear" w:color="auto" w:fill="auto"/>
            <w:vAlign w:val="center"/>
          </w:tcPr>
          <w:p w14:paraId="5F8C29BA" w14:textId="0995B1E1" w:rsidR="009A7AE3" w:rsidRDefault="005C7FAC">
            <w:pPr>
              <w:pStyle w:val="Tabletext"/>
              <w:jc w:val="right"/>
            </w:pPr>
            <w:r>
              <w:t>105</w:t>
            </w:r>
          </w:p>
        </w:tc>
        <w:tc>
          <w:tcPr>
            <w:tcW w:w="728" w:type="pct"/>
            <w:vAlign w:val="center"/>
          </w:tcPr>
          <w:p w14:paraId="36F9CEEF" w14:textId="4ED5B451" w:rsidR="009A7AE3" w:rsidRDefault="005C7FAC">
            <w:pPr>
              <w:pStyle w:val="Tabletext"/>
              <w:jc w:val="right"/>
            </w:pPr>
            <w:r>
              <w:t>2</w:t>
            </w:r>
          </w:p>
        </w:tc>
        <w:tc>
          <w:tcPr>
            <w:tcW w:w="715" w:type="pct"/>
            <w:vAlign w:val="center"/>
          </w:tcPr>
          <w:p w14:paraId="1F29B424" w14:textId="0B181C14" w:rsidR="009A7AE3" w:rsidRDefault="009A7AE3">
            <w:pPr>
              <w:pStyle w:val="Tabletext"/>
              <w:jc w:val="right"/>
            </w:pPr>
            <w:r>
              <w:t>98.1</w:t>
            </w:r>
          </w:p>
        </w:tc>
        <w:tc>
          <w:tcPr>
            <w:tcW w:w="1166" w:type="pct"/>
            <w:vAlign w:val="center"/>
          </w:tcPr>
          <w:p w14:paraId="1DF08E50" w14:textId="77777777" w:rsidR="009A7AE3" w:rsidRDefault="009A7AE3">
            <w:pPr>
              <w:pStyle w:val="Tabletext"/>
            </w:pPr>
            <w:r>
              <w:t>Coconut drinks and coconut powders</w:t>
            </w:r>
          </w:p>
        </w:tc>
      </w:tr>
      <w:tr w:rsidR="009A7AE3" w14:paraId="079D4DFC" w14:textId="77777777" w:rsidTr="003C0FB0">
        <w:trPr>
          <w:cantSplit/>
          <w:tblHeader/>
          <w:jc w:val="center"/>
        </w:trPr>
        <w:tc>
          <w:tcPr>
            <w:tcW w:w="939" w:type="pct"/>
            <w:shd w:val="clear" w:color="auto" w:fill="auto"/>
            <w:vAlign w:val="center"/>
          </w:tcPr>
          <w:p w14:paraId="2EBD3674" w14:textId="77777777" w:rsidR="009A7AE3" w:rsidRDefault="009A7AE3">
            <w:pPr>
              <w:pStyle w:val="Tabletext"/>
            </w:pPr>
            <w:r>
              <w:t>C4 adulteration</w:t>
            </w:r>
          </w:p>
        </w:tc>
        <w:tc>
          <w:tcPr>
            <w:tcW w:w="683" w:type="pct"/>
            <w:vAlign w:val="center"/>
          </w:tcPr>
          <w:p w14:paraId="2BDEDA6E" w14:textId="77777777" w:rsidR="009A7AE3" w:rsidRDefault="009A7AE3">
            <w:pPr>
              <w:pStyle w:val="Tabletext"/>
              <w:jc w:val="right"/>
            </w:pPr>
            <w:r>
              <w:t>9</w:t>
            </w:r>
          </w:p>
        </w:tc>
        <w:tc>
          <w:tcPr>
            <w:tcW w:w="769" w:type="pct"/>
            <w:shd w:val="clear" w:color="auto" w:fill="auto"/>
            <w:vAlign w:val="center"/>
          </w:tcPr>
          <w:p w14:paraId="1F6E8315" w14:textId="4DCF0653" w:rsidR="009A7AE3" w:rsidRDefault="005C7FAC">
            <w:pPr>
              <w:pStyle w:val="Tabletext"/>
              <w:jc w:val="right"/>
            </w:pPr>
            <w:r>
              <w:t>8</w:t>
            </w:r>
          </w:p>
        </w:tc>
        <w:tc>
          <w:tcPr>
            <w:tcW w:w="728" w:type="pct"/>
            <w:vAlign w:val="center"/>
          </w:tcPr>
          <w:p w14:paraId="7B2F6F1F" w14:textId="1A32773F" w:rsidR="009A7AE3" w:rsidRDefault="005C7FAC">
            <w:pPr>
              <w:pStyle w:val="Tabletext"/>
              <w:jc w:val="right"/>
            </w:pPr>
            <w:r>
              <w:t>1</w:t>
            </w:r>
          </w:p>
        </w:tc>
        <w:tc>
          <w:tcPr>
            <w:tcW w:w="715" w:type="pct"/>
            <w:vAlign w:val="center"/>
          </w:tcPr>
          <w:p w14:paraId="6DA77D4A" w14:textId="28846BFC" w:rsidR="009A7AE3" w:rsidRDefault="009A7AE3">
            <w:pPr>
              <w:pStyle w:val="Tabletext"/>
              <w:jc w:val="right"/>
            </w:pPr>
            <w:r>
              <w:t>88.9</w:t>
            </w:r>
          </w:p>
        </w:tc>
        <w:tc>
          <w:tcPr>
            <w:tcW w:w="1166" w:type="pct"/>
            <w:vAlign w:val="center"/>
          </w:tcPr>
          <w:p w14:paraId="4D7E76B8" w14:textId="77777777" w:rsidR="009A7AE3" w:rsidRDefault="009A7AE3">
            <w:pPr>
              <w:pStyle w:val="Tabletext"/>
            </w:pPr>
            <w:r>
              <w:t>Honey</w:t>
            </w:r>
          </w:p>
        </w:tc>
      </w:tr>
      <w:tr w:rsidR="009A7AE3" w14:paraId="1F598A22" w14:textId="77777777" w:rsidTr="003C0FB0">
        <w:trPr>
          <w:cantSplit/>
          <w:tblHeader/>
          <w:jc w:val="center"/>
        </w:trPr>
        <w:tc>
          <w:tcPr>
            <w:tcW w:w="939" w:type="pct"/>
            <w:shd w:val="clear" w:color="auto" w:fill="auto"/>
            <w:vAlign w:val="center"/>
          </w:tcPr>
          <w:p w14:paraId="38C5678E" w14:textId="77777777" w:rsidR="009A7AE3" w:rsidRDefault="009A7AE3">
            <w:pPr>
              <w:pStyle w:val="Tabletext"/>
            </w:pPr>
            <w:r>
              <w:t>Moisture content</w:t>
            </w:r>
          </w:p>
        </w:tc>
        <w:tc>
          <w:tcPr>
            <w:tcW w:w="683" w:type="pct"/>
            <w:vAlign w:val="center"/>
          </w:tcPr>
          <w:p w14:paraId="08229678" w14:textId="77777777" w:rsidR="009A7AE3" w:rsidRDefault="009A7AE3">
            <w:pPr>
              <w:pStyle w:val="Tabletext"/>
              <w:jc w:val="right"/>
            </w:pPr>
            <w:r>
              <w:t>8</w:t>
            </w:r>
          </w:p>
        </w:tc>
        <w:tc>
          <w:tcPr>
            <w:tcW w:w="769" w:type="pct"/>
            <w:shd w:val="clear" w:color="auto" w:fill="auto"/>
            <w:vAlign w:val="center"/>
          </w:tcPr>
          <w:p w14:paraId="31F331F1" w14:textId="147164DD" w:rsidR="009A7AE3" w:rsidRDefault="005C7FAC">
            <w:pPr>
              <w:pStyle w:val="Tabletext"/>
              <w:jc w:val="right"/>
            </w:pPr>
            <w:r>
              <w:t>8</w:t>
            </w:r>
          </w:p>
        </w:tc>
        <w:tc>
          <w:tcPr>
            <w:tcW w:w="728" w:type="pct"/>
            <w:vAlign w:val="center"/>
          </w:tcPr>
          <w:p w14:paraId="1B201709" w14:textId="5D37380B" w:rsidR="009A7AE3" w:rsidRDefault="005C7FAC">
            <w:pPr>
              <w:pStyle w:val="Tabletext"/>
              <w:jc w:val="right"/>
            </w:pPr>
            <w:r>
              <w:t>0</w:t>
            </w:r>
          </w:p>
        </w:tc>
        <w:tc>
          <w:tcPr>
            <w:tcW w:w="715" w:type="pct"/>
            <w:vAlign w:val="center"/>
          </w:tcPr>
          <w:p w14:paraId="59CFB4CE" w14:textId="65C6EA86" w:rsidR="009A7AE3" w:rsidRDefault="009A7AE3">
            <w:pPr>
              <w:pStyle w:val="Tabletext"/>
              <w:jc w:val="right"/>
            </w:pPr>
            <w:r>
              <w:t>100</w:t>
            </w:r>
          </w:p>
        </w:tc>
        <w:tc>
          <w:tcPr>
            <w:tcW w:w="1166" w:type="pct"/>
            <w:vAlign w:val="center"/>
          </w:tcPr>
          <w:p w14:paraId="10581CE7" w14:textId="77777777" w:rsidR="009A7AE3" w:rsidRDefault="009A7AE3">
            <w:pPr>
              <w:pStyle w:val="Tabletext"/>
            </w:pPr>
            <w:r>
              <w:t>Honey</w:t>
            </w:r>
          </w:p>
        </w:tc>
      </w:tr>
      <w:tr w:rsidR="009A7AE3" w14:paraId="4EB2F15E" w14:textId="77777777" w:rsidTr="003C0FB0">
        <w:trPr>
          <w:cantSplit/>
          <w:tblHeader/>
          <w:jc w:val="center"/>
        </w:trPr>
        <w:tc>
          <w:tcPr>
            <w:tcW w:w="939" w:type="pct"/>
            <w:shd w:val="clear" w:color="auto" w:fill="auto"/>
            <w:vAlign w:val="center"/>
          </w:tcPr>
          <w:p w14:paraId="49150761" w14:textId="77777777" w:rsidR="009A7AE3" w:rsidRDefault="009A7AE3">
            <w:pPr>
              <w:pStyle w:val="Tabletext"/>
            </w:pPr>
            <w:r>
              <w:t>Reducing sugar content</w:t>
            </w:r>
          </w:p>
        </w:tc>
        <w:tc>
          <w:tcPr>
            <w:tcW w:w="683" w:type="pct"/>
            <w:vAlign w:val="center"/>
          </w:tcPr>
          <w:p w14:paraId="46C8E396" w14:textId="77777777" w:rsidR="009A7AE3" w:rsidRDefault="009A7AE3">
            <w:pPr>
              <w:pStyle w:val="Tabletext"/>
              <w:jc w:val="right"/>
            </w:pPr>
            <w:r>
              <w:t>8</w:t>
            </w:r>
          </w:p>
        </w:tc>
        <w:tc>
          <w:tcPr>
            <w:tcW w:w="769" w:type="pct"/>
            <w:shd w:val="clear" w:color="auto" w:fill="auto"/>
            <w:vAlign w:val="center"/>
          </w:tcPr>
          <w:p w14:paraId="23CFD90C" w14:textId="1ED2B651" w:rsidR="009A7AE3" w:rsidRDefault="005C7FAC">
            <w:pPr>
              <w:pStyle w:val="Tabletext"/>
              <w:jc w:val="right"/>
            </w:pPr>
            <w:r>
              <w:t>8</w:t>
            </w:r>
          </w:p>
        </w:tc>
        <w:tc>
          <w:tcPr>
            <w:tcW w:w="728" w:type="pct"/>
            <w:vAlign w:val="center"/>
          </w:tcPr>
          <w:p w14:paraId="2C16321A" w14:textId="14A91307" w:rsidR="009A7AE3" w:rsidRDefault="005C7FAC">
            <w:pPr>
              <w:pStyle w:val="Tabletext"/>
              <w:jc w:val="right"/>
            </w:pPr>
            <w:r>
              <w:t>0</w:t>
            </w:r>
          </w:p>
        </w:tc>
        <w:tc>
          <w:tcPr>
            <w:tcW w:w="715" w:type="pct"/>
            <w:vAlign w:val="center"/>
          </w:tcPr>
          <w:p w14:paraId="77C655E2" w14:textId="39206D84" w:rsidR="009A7AE3" w:rsidRDefault="009A7AE3">
            <w:pPr>
              <w:pStyle w:val="Tabletext"/>
              <w:jc w:val="right"/>
            </w:pPr>
            <w:r>
              <w:t>100</w:t>
            </w:r>
          </w:p>
        </w:tc>
        <w:tc>
          <w:tcPr>
            <w:tcW w:w="1166" w:type="pct"/>
            <w:vAlign w:val="center"/>
          </w:tcPr>
          <w:p w14:paraId="0ED9A59B" w14:textId="77777777" w:rsidR="009A7AE3" w:rsidRDefault="009A7AE3">
            <w:pPr>
              <w:pStyle w:val="Tabletext"/>
            </w:pPr>
            <w:r>
              <w:t>Honey</w:t>
            </w:r>
          </w:p>
        </w:tc>
      </w:tr>
      <w:tr w:rsidR="009A7AE3" w14:paraId="56D5402E" w14:textId="77777777" w:rsidTr="003C0FB0">
        <w:trPr>
          <w:cantSplit/>
          <w:tblHeader/>
          <w:jc w:val="center"/>
        </w:trPr>
        <w:tc>
          <w:tcPr>
            <w:tcW w:w="939" w:type="pct"/>
            <w:shd w:val="clear" w:color="auto" w:fill="auto"/>
            <w:vAlign w:val="center"/>
          </w:tcPr>
          <w:p w14:paraId="41E2769E" w14:textId="77777777" w:rsidR="009A7AE3" w:rsidRDefault="009A7AE3">
            <w:pPr>
              <w:pStyle w:val="Tabletext"/>
              <w:rPr>
                <w:b/>
              </w:rPr>
            </w:pPr>
            <w:r>
              <w:rPr>
                <w:b/>
              </w:rPr>
              <w:t>Total</w:t>
            </w:r>
          </w:p>
        </w:tc>
        <w:tc>
          <w:tcPr>
            <w:tcW w:w="683" w:type="pct"/>
            <w:vAlign w:val="center"/>
          </w:tcPr>
          <w:p w14:paraId="27ED7294" w14:textId="77777777" w:rsidR="009A7AE3" w:rsidRDefault="009A7AE3">
            <w:pPr>
              <w:pStyle w:val="Tabletext"/>
              <w:jc w:val="right"/>
            </w:pPr>
            <w:r>
              <w:t>132</w:t>
            </w:r>
          </w:p>
        </w:tc>
        <w:tc>
          <w:tcPr>
            <w:tcW w:w="769" w:type="pct"/>
            <w:shd w:val="clear" w:color="auto" w:fill="auto"/>
            <w:vAlign w:val="center"/>
          </w:tcPr>
          <w:p w14:paraId="5B514FD0" w14:textId="075B2897" w:rsidR="009A7AE3" w:rsidRDefault="005C7FAC">
            <w:pPr>
              <w:pStyle w:val="Tabletext"/>
              <w:jc w:val="right"/>
            </w:pPr>
            <w:r>
              <w:t>129</w:t>
            </w:r>
          </w:p>
        </w:tc>
        <w:tc>
          <w:tcPr>
            <w:tcW w:w="728" w:type="pct"/>
            <w:vAlign w:val="center"/>
          </w:tcPr>
          <w:p w14:paraId="393D99F2" w14:textId="354B9F9A" w:rsidR="009A7AE3" w:rsidRDefault="005C7FAC">
            <w:pPr>
              <w:pStyle w:val="Tabletext"/>
              <w:jc w:val="right"/>
            </w:pPr>
            <w:r>
              <w:t>3</w:t>
            </w:r>
          </w:p>
        </w:tc>
        <w:tc>
          <w:tcPr>
            <w:tcW w:w="715" w:type="pct"/>
            <w:vAlign w:val="center"/>
          </w:tcPr>
          <w:p w14:paraId="596FB34E" w14:textId="6A8CDE6B" w:rsidR="009A7AE3" w:rsidRDefault="009A7AE3">
            <w:pPr>
              <w:pStyle w:val="Tabletext"/>
              <w:jc w:val="right"/>
            </w:pPr>
            <w:r>
              <w:t>97.7</w:t>
            </w:r>
          </w:p>
        </w:tc>
        <w:tc>
          <w:tcPr>
            <w:tcW w:w="1166" w:type="pct"/>
            <w:vAlign w:val="center"/>
          </w:tcPr>
          <w:p w14:paraId="2D3EA1E3" w14:textId="77777777" w:rsidR="009A7AE3" w:rsidRDefault="009A7AE3">
            <w:pPr>
              <w:pStyle w:val="Tabletext"/>
              <w:jc w:val="right"/>
              <w:rPr>
                <w:b/>
              </w:rPr>
            </w:pPr>
          </w:p>
        </w:tc>
      </w:tr>
    </w:tbl>
    <w:p w14:paraId="3D6216B2" w14:textId="77777777" w:rsidR="00A072D0" w:rsidRDefault="009576A5" w:rsidP="003E7444">
      <w:pPr>
        <w:pStyle w:val="Heading3"/>
      </w:pPr>
      <w:bookmarkStart w:id="61" w:name="_Toc469066618"/>
      <w:r>
        <w:t xml:space="preserve">Analytical testing data, </w:t>
      </w:r>
      <w:bookmarkEnd w:id="59"/>
      <w:bookmarkEnd w:id="60"/>
      <w:r>
        <w:t>China</w:t>
      </w:r>
      <w:bookmarkEnd w:id="61"/>
    </w:p>
    <w:p w14:paraId="770D8AB8" w14:textId="77777777" w:rsidR="00A072D0" w:rsidRDefault="009576A5">
      <w:r>
        <w:t>In the period January to June 2016, food from China was subject to the highest number of inspections in comparison with other countries inspected under the Imported Food Inspection Scheme; representing 10.0 per cent of all food lines inspected.</w:t>
      </w:r>
    </w:p>
    <w:p w14:paraId="5D8FAFCD" w14:textId="77777777" w:rsidR="00A072D0" w:rsidRDefault="009576A5">
      <w:r>
        <w:t>Of the 945 analytical tests applied to imported food from China, 27 were found to be non-compliant, giving a 97.1 per cent compliance rate for tests applied.</w:t>
      </w:r>
    </w:p>
    <w:p w14:paraId="6C582828" w14:textId="77777777" w:rsidR="00A072D0" w:rsidRDefault="009576A5">
      <w:proofErr w:type="gramStart"/>
      <w:r>
        <w:t>Microbiological  tests</w:t>
      </w:r>
      <w:proofErr w:type="gramEnd"/>
      <w:r>
        <w:t xml:space="preserve"> were the most frequently applied followed by tests for contaminants, chemical content and </w:t>
      </w:r>
      <w:proofErr w:type="spellStart"/>
      <w:r>
        <w:t>non permitted</w:t>
      </w:r>
      <w:proofErr w:type="spellEnd"/>
      <w:r>
        <w:t xml:space="preserve"> compositional content.</w:t>
      </w:r>
    </w:p>
    <w:p w14:paraId="0D097AD3" w14:textId="77777777" w:rsidR="00A072D0" w:rsidRDefault="009576A5">
      <w:pPr>
        <w:pStyle w:val="Caption"/>
      </w:pPr>
      <w:bookmarkStart w:id="62" w:name="_Toc369867489"/>
      <w:bookmarkStart w:id="63" w:name="_Toc469062414"/>
      <w:r>
        <w:lastRenderedPageBreak/>
        <w:t xml:space="preserve">Table </w:t>
      </w:r>
      <w:r w:rsidR="00E70443">
        <w:fldChar w:fldCharType="begin"/>
      </w:r>
      <w:r w:rsidR="00E70443">
        <w:instrText xml:space="preserve"> SEQ Table \* ARABIC </w:instrText>
      </w:r>
      <w:r w:rsidR="00E70443">
        <w:fldChar w:fldCharType="separate"/>
      </w:r>
      <w:r w:rsidR="00E70443">
        <w:rPr>
          <w:noProof/>
        </w:rPr>
        <w:t>12</w:t>
      </w:r>
      <w:r w:rsidR="00E70443">
        <w:rPr>
          <w:noProof/>
        </w:rPr>
        <w:fldChar w:fldCharType="end"/>
      </w:r>
      <w:r>
        <w:t xml:space="preserve"> Compliance for chemical tests, </w:t>
      </w:r>
      <w:bookmarkEnd w:id="62"/>
      <w:r>
        <w:t>China</w:t>
      </w:r>
      <w:bookmarkEnd w:id="63"/>
    </w:p>
    <w:tbl>
      <w:tblPr>
        <w:tblW w:w="5000" w:type="pct"/>
        <w:jc w:val="center"/>
        <w:tblBorders>
          <w:top w:val="single" w:sz="4" w:space="0" w:color="auto"/>
          <w:bottom w:val="single" w:sz="4" w:space="0" w:color="auto"/>
        </w:tblBorders>
        <w:tblLook w:val="04A0" w:firstRow="1" w:lastRow="0" w:firstColumn="1" w:lastColumn="0" w:noHBand="0" w:noVBand="1"/>
      </w:tblPr>
      <w:tblGrid>
        <w:gridCol w:w="1613"/>
        <w:gridCol w:w="1613"/>
        <w:gridCol w:w="1614"/>
        <w:gridCol w:w="1730"/>
        <w:gridCol w:w="1730"/>
      </w:tblGrid>
      <w:tr w:rsidR="001409A7" w14:paraId="466432ED" w14:textId="77777777" w:rsidTr="00110521">
        <w:trPr>
          <w:cantSplit/>
          <w:tblHeader/>
          <w:jc w:val="center"/>
        </w:trPr>
        <w:tc>
          <w:tcPr>
            <w:tcW w:w="972" w:type="pct"/>
            <w:shd w:val="clear" w:color="auto" w:fill="auto"/>
          </w:tcPr>
          <w:p w14:paraId="3FB9A088" w14:textId="77777777" w:rsidR="001409A7" w:rsidRDefault="001409A7">
            <w:pPr>
              <w:pStyle w:val="Tableheading"/>
            </w:pPr>
            <w:r>
              <w:t>Chemical</w:t>
            </w:r>
          </w:p>
        </w:tc>
        <w:tc>
          <w:tcPr>
            <w:tcW w:w="972" w:type="pct"/>
          </w:tcPr>
          <w:p w14:paraId="4F505DDE" w14:textId="77777777" w:rsidR="001409A7" w:rsidRDefault="001409A7">
            <w:pPr>
              <w:pStyle w:val="Tableheading"/>
              <w:jc w:val="right"/>
              <w:rPr>
                <w:rFonts w:eastAsiaTheme="majorEastAsia" w:cstheme="majorBidi"/>
                <w:bCs/>
                <w:color w:val="000000"/>
                <w:szCs w:val="28"/>
              </w:rPr>
            </w:pPr>
            <w:r>
              <w:t>No. of tests applied</w:t>
            </w:r>
          </w:p>
        </w:tc>
        <w:tc>
          <w:tcPr>
            <w:tcW w:w="972" w:type="pct"/>
            <w:shd w:val="clear" w:color="auto" w:fill="auto"/>
          </w:tcPr>
          <w:p w14:paraId="592DED08" w14:textId="00C927CC" w:rsidR="001409A7" w:rsidRDefault="001409A7" w:rsidP="001409A7">
            <w:pPr>
              <w:pStyle w:val="Tableheading"/>
              <w:jc w:val="right"/>
              <w:rPr>
                <w:rFonts w:eastAsiaTheme="majorEastAsia" w:cstheme="majorBidi"/>
                <w:bCs/>
                <w:color w:val="000000"/>
                <w:szCs w:val="28"/>
              </w:rPr>
            </w:pPr>
            <w:r>
              <w:t>No. compliant</w:t>
            </w:r>
          </w:p>
        </w:tc>
        <w:tc>
          <w:tcPr>
            <w:tcW w:w="1042" w:type="pct"/>
          </w:tcPr>
          <w:p w14:paraId="53E8DBEC" w14:textId="17E4F6B3" w:rsidR="001409A7" w:rsidRDefault="001409A7">
            <w:pPr>
              <w:pStyle w:val="Tableheading"/>
              <w:jc w:val="right"/>
            </w:pPr>
            <w:r>
              <w:t>No non-compliant</w:t>
            </w:r>
          </w:p>
        </w:tc>
        <w:tc>
          <w:tcPr>
            <w:tcW w:w="1042" w:type="pct"/>
          </w:tcPr>
          <w:p w14:paraId="51EB2E83" w14:textId="06ED2D20" w:rsidR="001409A7" w:rsidRDefault="001409A7">
            <w:pPr>
              <w:pStyle w:val="Tableheading"/>
              <w:jc w:val="right"/>
              <w:rPr>
                <w:rFonts w:eastAsiaTheme="majorEastAsia" w:cstheme="majorBidi"/>
                <w:bCs/>
                <w:color w:val="000000"/>
                <w:szCs w:val="28"/>
              </w:rPr>
            </w:pPr>
            <w:r>
              <w:t>Compliance rate (%)</w:t>
            </w:r>
          </w:p>
        </w:tc>
      </w:tr>
      <w:tr w:rsidR="001409A7" w14:paraId="4B2BB9F8" w14:textId="77777777" w:rsidTr="00110521">
        <w:trPr>
          <w:cantSplit/>
          <w:tblHeader/>
          <w:jc w:val="center"/>
        </w:trPr>
        <w:tc>
          <w:tcPr>
            <w:tcW w:w="972" w:type="pct"/>
            <w:shd w:val="clear" w:color="auto" w:fill="auto"/>
            <w:vAlign w:val="center"/>
          </w:tcPr>
          <w:p w14:paraId="0D02980D" w14:textId="77777777" w:rsidR="001409A7" w:rsidRPr="00110521" w:rsidRDefault="001409A7" w:rsidP="00110521">
            <w:pPr>
              <w:pStyle w:val="Tabletext"/>
            </w:pPr>
            <w:r>
              <w:t>Fluoroquinolones</w:t>
            </w:r>
          </w:p>
        </w:tc>
        <w:tc>
          <w:tcPr>
            <w:tcW w:w="972" w:type="pct"/>
            <w:vAlign w:val="center"/>
          </w:tcPr>
          <w:p w14:paraId="378FD80E" w14:textId="77777777" w:rsidR="001409A7" w:rsidRDefault="001409A7">
            <w:pPr>
              <w:pStyle w:val="Tabletext"/>
              <w:jc w:val="right"/>
              <w:rPr>
                <w:rFonts w:asciiTheme="minorHAnsi" w:hAnsiTheme="minorHAnsi"/>
                <w:szCs w:val="18"/>
              </w:rPr>
            </w:pPr>
            <w:r>
              <w:rPr>
                <w:rFonts w:asciiTheme="minorHAnsi" w:hAnsiTheme="minorHAnsi" w:cs="Arial"/>
                <w:szCs w:val="18"/>
              </w:rPr>
              <w:t>14</w:t>
            </w:r>
          </w:p>
        </w:tc>
        <w:tc>
          <w:tcPr>
            <w:tcW w:w="972" w:type="pct"/>
            <w:shd w:val="clear" w:color="auto" w:fill="auto"/>
            <w:vAlign w:val="center"/>
          </w:tcPr>
          <w:p w14:paraId="246066CE" w14:textId="7A7243F4"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14</w:t>
            </w:r>
          </w:p>
        </w:tc>
        <w:tc>
          <w:tcPr>
            <w:tcW w:w="1042" w:type="pct"/>
            <w:vAlign w:val="center"/>
          </w:tcPr>
          <w:p w14:paraId="549E83B6" w14:textId="0CA5F110" w:rsidR="001409A7" w:rsidRDefault="001409A7">
            <w:pPr>
              <w:pStyle w:val="Tabletext"/>
              <w:keepNext/>
              <w:jc w:val="right"/>
              <w:rPr>
                <w:rFonts w:asciiTheme="minorHAnsi" w:hAnsiTheme="minorHAnsi" w:cs="Arial"/>
                <w:szCs w:val="18"/>
              </w:rPr>
            </w:pPr>
            <w:r>
              <w:rPr>
                <w:rFonts w:asciiTheme="minorHAnsi" w:hAnsiTheme="minorHAnsi" w:cs="Arial"/>
                <w:szCs w:val="18"/>
              </w:rPr>
              <w:t>0</w:t>
            </w:r>
          </w:p>
        </w:tc>
        <w:tc>
          <w:tcPr>
            <w:tcW w:w="1042" w:type="pct"/>
            <w:vAlign w:val="center"/>
          </w:tcPr>
          <w:p w14:paraId="2154BEE2" w14:textId="2749C886"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100</w:t>
            </w:r>
          </w:p>
        </w:tc>
      </w:tr>
      <w:tr w:rsidR="001409A7" w14:paraId="61F9EF13" w14:textId="77777777" w:rsidTr="00110521">
        <w:trPr>
          <w:cantSplit/>
          <w:tblHeader/>
          <w:jc w:val="center"/>
        </w:trPr>
        <w:tc>
          <w:tcPr>
            <w:tcW w:w="972" w:type="pct"/>
            <w:shd w:val="clear" w:color="auto" w:fill="auto"/>
            <w:vAlign w:val="center"/>
          </w:tcPr>
          <w:p w14:paraId="678A3F13" w14:textId="7085292E" w:rsidR="001409A7" w:rsidRDefault="001409A7" w:rsidP="00110521">
            <w:pPr>
              <w:pStyle w:val="Tabletext"/>
            </w:pPr>
            <w:r>
              <w:t xml:space="preserve">Fruit </w:t>
            </w:r>
            <w:r w:rsidR="00110521">
              <w:t>and veg r</w:t>
            </w:r>
            <w:r>
              <w:t>esidue screen</w:t>
            </w:r>
          </w:p>
        </w:tc>
        <w:tc>
          <w:tcPr>
            <w:tcW w:w="972" w:type="pct"/>
            <w:vAlign w:val="center"/>
          </w:tcPr>
          <w:p w14:paraId="3DA2AFE4" w14:textId="77777777" w:rsidR="001409A7" w:rsidRDefault="001409A7">
            <w:pPr>
              <w:pStyle w:val="Tabletext"/>
              <w:jc w:val="right"/>
              <w:rPr>
                <w:rFonts w:asciiTheme="minorHAnsi" w:hAnsiTheme="minorHAnsi"/>
                <w:szCs w:val="18"/>
              </w:rPr>
            </w:pPr>
            <w:r>
              <w:rPr>
                <w:rFonts w:asciiTheme="minorHAnsi" w:hAnsiTheme="minorHAnsi" w:cs="Arial"/>
                <w:szCs w:val="18"/>
              </w:rPr>
              <w:t>96</w:t>
            </w:r>
          </w:p>
        </w:tc>
        <w:tc>
          <w:tcPr>
            <w:tcW w:w="972" w:type="pct"/>
            <w:shd w:val="clear" w:color="auto" w:fill="auto"/>
            <w:vAlign w:val="center"/>
          </w:tcPr>
          <w:p w14:paraId="25429E90" w14:textId="3079874B"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83</w:t>
            </w:r>
          </w:p>
        </w:tc>
        <w:tc>
          <w:tcPr>
            <w:tcW w:w="1042" w:type="pct"/>
            <w:vAlign w:val="center"/>
          </w:tcPr>
          <w:p w14:paraId="22AA19BF" w14:textId="046244EC" w:rsidR="001409A7" w:rsidRDefault="001409A7">
            <w:pPr>
              <w:pStyle w:val="Tabletext"/>
              <w:keepNext/>
              <w:jc w:val="right"/>
              <w:rPr>
                <w:rFonts w:asciiTheme="minorHAnsi" w:hAnsiTheme="minorHAnsi" w:cs="Arial"/>
                <w:szCs w:val="18"/>
              </w:rPr>
            </w:pPr>
            <w:r>
              <w:rPr>
                <w:rFonts w:asciiTheme="minorHAnsi" w:hAnsiTheme="minorHAnsi" w:cs="Arial"/>
                <w:szCs w:val="18"/>
              </w:rPr>
              <w:t>13</w:t>
            </w:r>
          </w:p>
        </w:tc>
        <w:tc>
          <w:tcPr>
            <w:tcW w:w="1042" w:type="pct"/>
            <w:vAlign w:val="center"/>
          </w:tcPr>
          <w:p w14:paraId="07C9C0E6" w14:textId="602FBE73"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86.5</w:t>
            </w:r>
          </w:p>
        </w:tc>
      </w:tr>
      <w:tr w:rsidR="001409A7" w14:paraId="2756885C" w14:textId="77777777" w:rsidTr="00110521">
        <w:trPr>
          <w:cantSplit/>
          <w:tblHeader/>
          <w:jc w:val="center"/>
        </w:trPr>
        <w:tc>
          <w:tcPr>
            <w:tcW w:w="972" w:type="pct"/>
            <w:shd w:val="clear" w:color="auto" w:fill="auto"/>
            <w:vAlign w:val="center"/>
          </w:tcPr>
          <w:p w14:paraId="4C559C98" w14:textId="77777777" w:rsidR="001409A7" w:rsidRPr="00110521" w:rsidRDefault="001409A7" w:rsidP="00110521">
            <w:pPr>
              <w:pStyle w:val="Tabletext"/>
            </w:pPr>
            <w:r>
              <w:t>Malachite Green</w:t>
            </w:r>
          </w:p>
        </w:tc>
        <w:tc>
          <w:tcPr>
            <w:tcW w:w="972" w:type="pct"/>
            <w:vAlign w:val="center"/>
          </w:tcPr>
          <w:p w14:paraId="0B655441" w14:textId="77777777" w:rsidR="001409A7" w:rsidRDefault="001409A7">
            <w:pPr>
              <w:pStyle w:val="Tabletext"/>
              <w:jc w:val="right"/>
              <w:rPr>
                <w:rFonts w:asciiTheme="minorHAnsi" w:hAnsiTheme="minorHAnsi"/>
                <w:szCs w:val="18"/>
              </w:rPr>
            </w:pPr>
            <w:r>
              <w:rPr>
                <w:rFonts w:asciiTheme="minorHAnsi" w:hAnsiTheme="minorHAnsi" w:cs="Arial"/>
                <w:szCs w:val="18"/>
              </w:rPr>
              <w:t>5</w:t>
            </w:r>
          </w:p>
        </w:tc>
        <w:tc>
          <w:tcPr>
            <w:tcW w:w="972" w:type="pct"/>
            <w:shd w:val="clear" w:color="auto" w:fill="auto"/>
            <w:vAlign w:val="center"/>
          </w:tcPr>
          <w:p w14:paraId="495DFDB5" w14:textId="32F6998D"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5</w:t>
            </w:r>
          </w:p>
        </w:tc>
        <w:tc>
          <w:tcPr>
            <w:tcW w:w="1042" w:type="pct"/>
            <w:vAlign w:val="center"/>
          </w:tcPr>
          <w:p w14:paraId="0FC98AAA" w14:textId="396D875F" w:rsidR="001409A7" w:rsidRDefault="001409A7">
            <w:pPr>
              <w:pStyle w:val="Tabletext"/>
              <w:keepNext/>
              <w:jc w:val="right"/>
              <w:rPr>
                <w:rFonts w:asciiTheme="minorHAnsi" w:hAnsiTheme="minorHAnsi" w:cs="Arial"/>
                <w:szCs w:val="18"/>
              </w:rPr>
            </w:pPr>
            <w:r>
              <w:rPr>
                <w:rFonts w:asciiTheme="minorHAnsi" w:hAnsiTheme="minorHAnsi" w:cs="Arial"/>
                <w:szCs w:val="18"/>
              </w:rPr>
              <w:t>0</w:t>
            </w:r>
          </w:p>
        </w:tc>
        <w:tc>
          <w:tcPr>
            <w:tcW w:w="1042" w:type="pct"/>
            <w:vAlign w:val="center"/>
          </w:tcPr>
          <w:p w14:paraId="35DAD628" w14:textId="72AA714D"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100</w:t>
            </w:r>
          </w:p>
        </w:tc>
      </w:tr>
      <w:tr w:rsidR="001409A7" w14:paraId="4FD20F73" w14:textId="77777777" w:rsidTr="00110521">
        <w:trPr>
          <w:cantSplit/>
          <w:tblHeader/>
          <w:jc w:val="center"/>
        </w:trPr>
        <w:tc>
          <w:tcPr>
            <w:tcW w:w="972" w:type="pct"/>
            <w:shd w:val="clear" w:color="auto" w:fill="auto"/>
            <w:vAlign w:val="center"/>
          </w:tcPr>
          <w:p w14:paraId="3DBA045E" w14:textId="77777777" w:rsidR="001409A7" w:rsidRPr="00110521" w:rsidRDefault="001409A7" w:rsidP="00110521">
            <w:pPr>
              <w:pStyle w:val="Tabletext"/>
            </w:pPr>
            <w:proofErr w:type="spellStart"/>
            <w:r>
              <w:t>Nitrofurans</w:t>
            </w:r>
            <w:proofErr w:type="spellEnd"/>
          </w:p>
        </w:tc>
        <w:tc>
          <w:tcPr>
            <w:tcW w:w="972" w:type="pct"/>
            <w:vAlign w:val="center"/>
          </w:tcPr>
          <w:p w14:paraId="244666E9" w14:textId="77777777" w:rsidR="001409A7" w:rsidRDefault="001409A7">
            <w:pPr>
              <w:pStyle w:val="Tabletext"/>
              <w:jc w:val="right"/>
              <w:rPr>
                <w:rFonts w:asciiTheme="minorHAnsi" w:hAnsiTheme="minorHAnsi"/>
                <w:szCs w:val="18"/>
              </w:rPr>
            </w:pPr>
            <w:r>
              <w:rPr>
                <w:rFonts w:asciiTheme="minorHAnsi" w:hAnsiTheme="minorHAnsi" w:cs="Arial"/>
                <w:szCs w:val="18"/>
              </w:rPr>
              <w:t>9</w:t>
            </w:r>
          </w:p>
        </w:tc>
        <w:tc>
          <w:tcPr>
            <w:tcW w:w="972" w:type="pct"/>
            <w:shd w:val="clear" w:color="auto" w:fill="auto"/>
            <w:vAlign w:val="center"/>
          </w:tcPr>
          <w:p w14:paraId="3BE6CD8A" w14:textId="20911CA2" w:rsidR="001409A7" w:rsidRDefault="001409A7">
            <w:pPr>
              <w:pStyle w:val="Tabletext"/>
              <w:keepNext/>
              <w:jc w:val="right"/>
              <w:rPr>
                <w:rFonts w:asciiTheme="minorHAnsi" w:eastAsiaTheme="majorEastAsia" w:hAnsiTheme="minorHAnsi" w:cstheme="majorBidi"/>
                <w:bCs/>
                <w:color w:val="000000"/>
                <w:szCs w:val="18"/>
              </w:rPr>
            </w:pPr>
            <w:r>
              <w:rPr>
                <w:rFonts w:asciiTheme="minorHAnsi" w:hAnsiTheme="minorHAnsi" w:cs="Arial"/>
                <w:szCs w:val="18"/>
              </w:rPr>
              <w:t>9</w:t>
            </w:r>
          </w:p>
        </w:tc>
        <w:tc>
          <w:tcPr>
            <w:tcW w:w="1042" w:type="pct"/>
            <w:vAlign w:val="center"/>
          </w:tcPr>
          <w:p w14:paraId="4B5C6477" w14:textId="7A04469E" w:rsidR="001409A7" w:rsidRDefault="001409A7">
            <w:pPr>
              <w:pStyle w:val="Tabletext"/>
              <w:keepNext/>
              <w:jc w:val="right"/>
              <w:rPr>
                <w:rFonts w:asciiTheme="minorHAnsi" w:hAnsiTheme="minorHAnsi" w:cs="Arial"/>
                <w:szCs w:val="18"/>
              </w:rPr>
            </w:pPr>
            <w:r>
              <w:rPr>
                <w:rFonts w:asciiTheme="minorHAnsi" w:hAnsiTheme="minorHAnsi" w:cs="Arial"/>
                <w:szCs w:val="18"/>
              </w:rPr>
              <w:t>0</w:t>
            </w:r>
          </w:p>
        </w:tc>
        <w:tc>
          <w:tcPr>
            <w:tcW w:w="1042" w:type="pct"/>
            <w:vAlign w:val="center"/>
          </w:tcPr>
          <w:p w14:paraId="2067F942" w14:textId="41D9609E" w:rsidR="001409A7" w:rsidRDefault="001409A7">
            <w:pPr>
              <w:pStyle w:val="Tabletext"/>
              <w:keepNext/>
              <w:jc w:val="right"/>
              <w:rPr>
                <w:rFonts w:asciiTheme="minorHAnsi" w:hAnsiTheme="minorHAnsi"/>
                <w:szCs w:val="18"/>
              </w:rPr>
            </w:pPr>
            <w:r>
              <w:rPr>
                <w:rFonts w:asciiTheme="minorHAnsi" w:hAnsiTheme="minorHAnsi" w:cs="Arial"/>
                <w:szCs w:val="18"/>
              </w:rPr>
              <w:t>100</w:t>
            </w:r>
          </w:p>
        </w:tc>
      </w:tr>
      <w:tr w:rsidR="001409A7" w14:paraId="3EC920A7" w14:textId="77777777" w:rsidTr="00110521">
        <w:trPr>
          <w:cantSplit/>
          <w:tblHeader/>
          <w:jc w:val="center"/>
        </w:trPr>
        <w:tc>
          <w:tcPr>
            <w:tcW w:w="972" w:type="pct"/>
            <w:shd w:val="clear" w:color="auto" w:fill="auto"/>
            <w:vAlign w:val="center"/>
          </w:tcPr>
          <w:p w14:paraId="48A78AA4" w14:textId="77777777" w:rsidR="001409A7" w:rsidRDefault="001409A7">
            <w:pPr>
              <w:pStyle w:val="Tabletext"/>
              <w:rPr>
                <w:b/>
              </w:rPr>
            </w:pPr>
            <w:r>
              <w:rPr>
                <w:b/>
              </w:rPr>
              <w:t>Total</w:t>
            </w:r>
          </w:p>
        </w:tc>
        <w:tc>
          <w:tcPr>
            <w:tcW w:w="972" w:type="pct"/>
            <w:vAlign w:val="center"/>
          </w:tcPr>
          <w:p w14:paraId="5E7E8394" w14:textId="77777777" w:rsidR="001409A7" w:rsidRDefault="001409A7">
            <w:pPr>
              <w:pStyle w:val="Tabletext"/>
              <w:jc w:val="right"/>
              <w:rPr>
                <w:rFonts w:asciiTheme="minorHAnsi" w:hAnsiTheme="minorHAnsi"/>
                <w:szCs w:val="18"/>
              </w:rPr>
            </w:pPr>
            <w:r>
              <w:rPr>
                <w:rFonts w:asciiTheme="minorHAnsi" w:hAnsiTheme="minorHAnsi" w:cs="Arial"/>
                <w:bCs/>
                <w:szCs w:val="18"/>
              </w:rPr>
              <w:t>124</w:t>
            </w:r>
          </w:p>
        </w:tc>
        <w:tc>
          <w:tcPr>
            <w:tcW w:w="972" w:type="pct"/>
            <w:shd w:val="clear" w:color="auto" w:fill="auto"/>
            <w:vAlign w:val="center"/>
          </w:tcPr>
          <w:p w14:paraId="368AA1FA" w14:textId="3E687EBC" w:rsidR="001409A7" w:rsidRDefault="001409A7">
            <w:pPr>
              <w:pStyle w:val="Tabletext"/>
              <w:jc w:val="right"/>
              <w:rPr>
                <w:rFonts w:asciiTheme="minorHAnsi" w:hAnsiTheme="minorHAnsi"/>
                <w:szCs w:val="18"/>
              </w:rPr>
            </w:pPr>
            <w:r>
              <w:rPr>
                <w:rFonts w:asciiTheme="minorHAnsi" w:hAnsiTheme="minorHAnsi" w:cs="Arial"/>
                <w:szCs w:val="18"/>
              </w:rPr>
              <w:t>111</w:t>
            </w:r>
          </w:p>
        </w:tc>
        <w:tc>
          <w:tcPr>
            <w:tcW w:w="1042" w:type="pct"/>
            <w:vAlign w:val="center"/>
          </w:tcPr>
          <w:p w14:paraId="00EF56D1" w14:textId="372D698B" w:rsidR="001409A7" w:rsidRDefault="001409A7">
            <w:pPr>
              <w:pStyle w:val="Tabletext"/>
              <w:jc w:val="right"/>
              <w:rPr>
                <w:rFonts w:asciiTheme="minorHAnsi" w:hAnsiTheme="minorHAnsi" w:cs="Arial"/>
                <w:szCs w:val="18"/>
              </w:rPr>
            </w:pPr>
            <w:r>
              <w:rPr>
                <w:rFonts w:asciiTheme="minorHAnsi" w:hAnsiTheme="minorHAnsi" w:cs="Arial"/>
                <w:szCs w:val="18"/>
              </w:rPr>
              <w:t>13</w:t>
            </w:r>
          </w:p>
        </w:tc>
        <w:tc>
          <w:tcPr>
            <w:tcW w:w="1042" w:type="pct"/>
            <w:vAlign w:val="center"/>
          </w:tcPr>
          <w:p w14:paraId="7F74CC28" w14:textId="3287059E" w:rsidR="001409A7" w:rsidRDefault="001409A7">
            <w:pPr>
              <w:pStyle w:val="Tabletext"/>
              <w:jc w:val="right"/>
              <w:rPr>
                <w:rFonts w:asciiTheme="minorHAnsi" w:hAnsiTheme="minorHAnsi"/>
                <w:szCs w:val="18"/>
              </w:rPr>
            </w:pPr>
            <w:r>
              <w:rPr>
                <w:rFonts w:asciiTheme="minorHAnsi" w:hAnsiTheme="minorHAnsi" w:cs="Arial"/>
                <w:szCs w:val="18"/>
              </w:rPr>
              <w:t>89.5</w:t>
            </w:r>
          </w:p>
        </w:tc>
      </w:tr>
    </w:tbl>
    <w:p w14:paraId="44F685E7" w14:textId="77777777" w:rsidR="00A072D0" w:rsidRDefault="009576A5">
      <w:pPr>
        <w:pStyle w:val="Caption"/>
      </w:pPr>
      <w:bookmarkStart w:id="64" w:name="_Toc369867490"/>
      <w:bookmarkStart w:id="65" w:name="_Toc469062415"/>
      <w:r>
        <w:t xml:space="preserve">Table </w:t>
      </w:r>
      <w:r w:rsidR="00E70443">
        <w:fldChar w:fldCharType="begin"/>
      </w:r>
      <w:r w:rsidR="00E70443">
        <w:instrText xml:space="preserve"> SEQ Table \* ARABIC </w:instrText>
      </w:r>
      <w:r w:rsidR="00E70443">
        <w:fldChar w:fldCharType="separate"/>
      </w:r>
      <w:r w:rsidR="00E70443">
        <w:rPr>
          <w:noProof/>
        </w:rPr>
        <w:t>13</w:t>
      </w:r>
      <w:r w:rsidR="00E70443">
        <w:rPr>
          <w:noProof/>
        </w:rPr>
        <w:fldChar w:fldCharType="end"/>
      </w:r>
      <w:r>
        <w:t xml:space="preserve"> Compliance for contaminant tests, </w:t>
      </w:r>
      <w:bookmarkEnd w:id="64"/>
      <w:r>
        <w:t>China</w:t>
      </w:r>
      <w:bookmarkEnd w:id="65"/>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1409A7" w14:paraId="730F369E" w14:textId="77777777" w:rsidTr="003C0FB0">
        <w:trPr>
          <w:cantSplit/>
          <w:tblHeader/>
          <w:jc w:val="center"/>
        </w:trPr>
        <w:tc>
          <w:tcPr>
            <w:tcW w:w="1000" w:type="pct"/>
            <w:shd w:val="clear" w:color="auto" w:fill="auto"/>
          </w:tcPr>
          <w:p w14:paraId="407BC396" w14:textId="77777777" w:rsidR="001409A7" w:rsidRDefault="001409A7">
            <w:pPr>
              <w:pStyle w:val="Tableheading"/>
            </w:pPr>
            <w:r>
              <w:t>Contaminant</w:t>
            </w:r>
          </w:p>
        </w:tc>
        <w:tc>
          <w:tcPr>
            <w:tcW w:w="1000" w:type="pct"/>
          </w:tcPr>
          <w:p w14:paraId="670B3512" w14:textId="77777777" w:rsidR="001409A7" w:rsidRDefault="001409A7">
            <w:pPr>
              <w:pStyle w:val="Tableheading"/>
              <w:jc w:val="right"/>
            </w:pPr>
            <w:r>
              <w:t>No. of tests applied</w:t>
            </w:r>
          </w:p>
        </w:tc>
        <w:tc>
          <w:tcPr>
            <w:tcW w:w="904" w:type="pct"/>
            <w:shd w:val="clear" w:color="auto" w:fill="auto"/>
          </w:tcPr>
          <w:p w14:paraId="33FFDCBD" w14:textId="478D8E4E" w:rsidR="001409A7" w:rsidRPr="001409A7" w:rsidRDefault="001409A7" w:rsidP="001409A7">
            <w:pPr>
              <w:pStyle w:val="Tableheading"/>
              <w:jc w:val="right"/>
            </w:pPr>
            <w:r w:rsidRPr="001409A7">
              <w:t>No. complia</w:t>
            </w:r>
            <w:r>
              <w:t>n</w:t>
            </w:r>
            <w:r w:rsidRPr="001409A7">
              <w:t>t</w:t>
            </w:r>
          </w:p>
        </w:tc>
        <w:tc>
          <w:tcPr>
            <w:tcW w:w="1096" w:type="pct"/>
          </w:tcPr>
          <w:p w14:paraId="15129597" w14:textId="3D72285D" w:rsidR="001409A7" w:rsidRPr="001409A7" w:rsidRDefault="001409A7">
            <w:pPr>
              <w:pStyle w:val="Tableheading"/>
              <w:jc w:val="right"/>
            </w:pPr>
            <w:r w:rsidRPr="001409A7">
              <w:t>No. non-compliant</w:t>
            </w:r>
          </w:p>
        </w:tc>
        <w:tc>
          <w:tcPr>
            <w:tcW w:w="1000" w:type="pct"/>
          </w:tcPr>
          <w:p w14:paraId="79C41965" w14:textId="2D3CEB10" w:rsidR="001409A7" w:rsidRDefault="001409A7">
            <w:pPr>
              <w:pStyle w:val="Tableheading"/>
              <w:jc w:val="right"/>
            </w:pPr>
            <w:r>
              <w:t>Compliance rate (%)</w:t>
            </w:r>
          </w:p>
        </w:tc>
      </w:tr>
      <w:tr w:rsidR="001409A7" w14:paraId="73E86D9D" w14:textId="77777777" w:rsidTr="003C0FB0">
        <w:trPr>
          <w:cantSplit/>
          <w:tblHeader/>
          <w:jc w:val="center"/>
        </w:trPr>
        <w:tc>
          <w:tcPr>
            <w:tcW w:w="1000" w:type="pct"/>
            <w:shd w:val="clear" w:color="auto" w:fill="auto"/>
          </w:tcPr>
          <w:p w14:paraId="29AF4037" w14:textId="77777777" w:rsidR="001409A7" w:rsidRDefault="001409A7">
            <w:pPr>
              <w:pStyle w:val="Tabletext"/>
            </w:pPr>
            <w:r>
              <w:t>Aflatoxins</w:t>
            </w:r>
          </w:p>
        </w:tc>
        <w:tc>
          <w:tcPr>
            <w:tcW w:w="1000" w:type="pct"/>
            <w:vAlign w:val="bottom"/>
          </w:tcPr>
          <w:p w14:paraId="433F385A" w14:textId="77777777" w:rsidR="001409A7" w:rsidRDefault="001409A7">
            <w:pPr>
              <w:pStyle w:val="Tabletext"/>
              <w:jc w:val="right"/>
              <w:rPr>
                <w:rFonts w:asciiTheme="minorHAnsi" w:hAnsiTheme="minorHAnsi"/>
                <w:szCs w:val="18"/>
              </w:rPr>
            </w:pPr>
            <w:r>
              <w:rPr>
                <w:rFonts w:asciiTheme="minorHAnsi" w:hAnsiTheme="minorHAnsi" w:cs="Arial"/>
                <w:bCs/>
                <w:szCs w:val="18"/>
              </w:rPr>
              <w:t>86</w:t>
            </w:r>
          </w:p>
        </w:tc>
        <w:tc>
          <w:tcPr>
            <w:tcW w:w="904" w:type="pct"/>
            <w:shd w:val="clear" w:color="auto" w:fill="auto"/>
            <w:vAlign w:val="bottom"/>
          </w:tcPr>
          <w:p w14:paraId="6B619B47" w14:textId="157AA836" w:rsidR="001409A7" w:rsidRDefault="001409A7">
            <w:pPr>
              <w:pStyle w:val="Tabletext"/>
              <w:jc w:val="right"/>
              <w:rPr>
                <w:rFonts w:asciiTheme="minorHAnsi" w:hAnsiTheme="minorHAnsi"/>
                <w:szCs w:val="18"/>
              </w:rPr>
            </w:pPr>
            <w:r>
              <w:rPr>
                <w:rFonts w:asciiTheme="minorHAnsi" w:hAnsiTheme="minorHAnsi" w:cs="Arial"/>
                <w:szCs w:val="18"/>
              </w:rPr>
              <w:t>80</w:t>
            </w:r>
          </w:p>
        </w:tc>
        <w:tc>
          <w:tcPr>
            <w:tcW w:w="1096" w:type="pct"/>
          </w:tcPr>
          <w:p w14:paraId="22E55C3A" w14:textId="1C992DD0" w:rsidR="001409A7" w:rsidRDefault="001409A7">
            <w:pPr>
              <w:pStyle w:val="Tabletext"/>
              <w:jc w:val="right"/>
              <w:rPr>
                <w:rFonts w:asciiTheme="minorHAnsi" w:hAnsiTheme="minorHAnsi" w:cs="Arial"/>
                <w:szCs w:val="18"/>
              </w:rPr>
            </w:pPr>
            <w:r>
              <w:rPr>
                <w:rFonts w:asciiTheme="minorHAnsi" w:hAnsiTheme="minorHAnsi" w:cs="Arial"/>
                <w:szCs w:val="18"/>
              </w:rPr>
              <w:t>6</w:t>
            </w:r>
          </w:p>
        </w:tc>
        <w:tc>
          <w:tcPr>
            <w:tcW w:w="1000" w:type="pct"/>
            <w:vAlign w:val="bottom"/>
          </w:tcPr>
          <w:p w14:paraId="1A8ED0AE" w14:textId="05016DFE" w:rsidR="001409A7" w:rsidRDefault="001409A7">
            <w:pPr>
              <w:pStyle w:val="Tabletext"/>
              <w:jc w:val="right"/>
              <w:rPr>
                <w:rFonts w:asciiTheme="minorHAnsi" w:hAnsiTheme="minorHAnsi"/>
                <w:szCs w:val="18"/>
              </w:rPr>
            </w:pPr>
            <w:r>
              <w:rPr>
                <w:rFonts w:asciiTheme="minorHAnsi" w:hAnsiTheme="minorHAnsi" w:cs="Arial"/>
                <w:szCs w:val="18"/>
              </w:rPr>
              <w:t>93.0</w:t>
            </w:r>
          </w:p>
        </w:tc>
      </w:tr>
      <w:tr w:rsidR="001409A7" w14:paraId="70F96F4F" w14:textId="77777777" w:rsidTr="003C0FB0">
        <w:trPr>
          <w:cantSplit/>
          <w:tblHeader/>
          <w:jc w:val="center"/>
        </w:trPr>
        <w:tc>
          <w:tcPr>
            <w:tcW w:w="1000" w:type="pct"/>
            <w:shd w:val="clear" w:color="auto" w:fill="auto"/>
          </w:tcPr>
          <w:p w14:paraId="36C20809" w14:textId="77777777" w:rsidR="001409A7" w:rsidRDefault="001409A7">
            <w:pPr>
              <w:pStyle w:val="Tabletext"/>
            </w:pPr>
            <w:r>
              <w:t>Arsenic total</w:t>
            </w:r>
          </w:p>
        </w:tc>
        <w:tc>
          <w:tcPr>
            <w:tcW w:w="1000" w:type="pct"/>
            <w:vAlign w:val="bottom"/>
          </w:tcPr>
          <w:p w14:paraId="4CBB1F9B" w14:textId="77777777" w:rsidR="001409A7" w:rsidRDefault="001409A7">
            <w:pPr>
              <w:pStyle w:val="Tabletext"/>
              <w:jc w:val="right"/>
              <w:rPr>
                <w:rFonts w:asciiTheme="minorHAnsi" w:hAnsiTheme="minorHAnsi"/>
                <w:szCs w:val="18"/>
              </w:rPr>
            </w:pPr>
            <w:r>
              <w:rPr>
                <w:rFonts w:asciiTheme="minorHAnsi" w:hAnsiTheme="minorHAnsi" w:cs="Arial"/>
                <w:bCs/>
                <w:szCs w:val="18"/>
              </w:rPr>
              <w:t>15</w:t>
            </w:r>
          </w:p>
        </w:tc>
        <w:tc>
          <w:tcPr>
            <w:tcW w:w="904" w:type="pct"/>
            <w:shd w:val="clear" w:color="auto" w:fill="auto"/>
            <w:vAlign w:val="bottom"/>
          </w:tcPr>
          <w:p w14:paraId="41B84B16" w14:textId="3E2D60F5" w:rsidR="001409A7" w:rsidRDefault="001409A7">
            <w:pPr>
              <w:pStyle w:val="Tabletext"/>
              <w:jc w:val="right"/>
              <w:rPr>
                <w:rFonts w:asciiTheme="minorHAnsi" w:hAnsiTheme="minorHAnsi"/>
                <w:szCs w:val="18"/>
              </w:rPr>
            </w:pPr>
            <w:r>
              <w:rPr>
                <w:rFonts w:asciiTheme="minorHAnsi" w:hAnsiTheme="minorHAnsi" w:cs="Arial"/>
                <w:szCs w:val="18"/>
              </w:rPr>
              <w:t>15</w:t>
            </w:r>
          </w:p>
        </w:tc>
        <w:tc>
          <w:tcPr>
            <w:tcW w:w="1096" w:type="pct"/>
          </w:tcPr>
          <w:p w14:paraId="00B73A65" w14:textId="6DED5976"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bottom"/>
          </w:tcPr>
          <w:p w14:paraId="5625534C" w14:textId="540FE454"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18649D2F" w14:textId="77777777" w:rsidTr="003C0FB0">
        <w:trPr>
          <w:cantSplit/>
          <w:tblHeader/>
          <w:jc w:val="center"/>
        </w:trPr>
        <w:tc>
          <w:tcPr>
            <w:tcW w:w="1000" w:type="pct"/>
            <w:shd w:val="clear" w:color="auto" w:fill="auto"/>
          </w:tcPr>
          <w:p w14:paraId="2C302EB3" w14:textId="77777777" w:rsidR="001409A7" w:rsidRDefault="001409A7">
            <w:pPr>
              <w:pStyle w:val="Tabletext"/>
            </w:pPr>
            <w:proofErr w:type="spellStart"/>
            <w:r>
              <w:t>Domoic</w:t>
            </w:r>
            <w:proofErr w:type="spellEnd"/>
            <w:r>
              <w:t xml:space="preserve"> acid</w:t>
            </w:r>
          </w:p>
        </w:tc>
        <w:tc>
          <w:tcPr>
            <w:tcW w:w="1000" w:type="pct"/>
            <w:vAlign w:val="bottom"/>
          </w:tcPr>
          <w:p w14:paraId="4F7C4C63" w14:textId="77777777" w:rsidR="001409A7" w:rsidRDefault="001409A7">
            <w:pPr>
              <w:pStyle w:val="Tabletext"/>
              <w:jc w:val="right"/>
              <w:rPr>
                <w:rFonts w:asciiTheme="minorHAnsi" w:hAnsiTheme="minorHAnsi"/>
                <w:szCs w:val="18"/>
              </w:rPr>
            </w:pPr>
            <w:r>
              <w:rPr>
                <w:rFonts w:asciiTheme="minorHAnsi" w:hAnsiTheme="minorHAnsi" w:cs="Arial"/>
                <w:bCs/>
                <w:szCs w:val="18"/>
              </w:rPr>
              <w:t>83</w:t>
            </w:r>
          </w:p>
        </w:tc>
        <w:tc>
          <w:tcPr>
            <w:tcW w:w="904" w:type="pct"/>
            <w:shd w:val="clear" w:color="auto" w:fill="auto"/>
            <w:vAlign w:val="bottom"/>
          </w:tcPr>
          <w:p w14:paraId="6E8B571E" w14:textId="1905304D" w:rsidR="001409A7" w:rsidRDefault="001409A7">
            <w:pPr>
              <w:pStyle w:val="Tabletext"/>
              <w:jc w:val="right"/>
              <w:rPr>
                <w:rFonts w:asciiTheme="minorHAnsi" w:hAnsiTheme="minorHAnsi"/>
                <w:szCs w:val="18"/>
              </w:rPr>
            </w:pPr>
            <w:r>
              <w:rPr>
                <w:rFonts w:asciiTheme="minorHAnsi" w:hAnsiTheme="minorHAnsi" w:cs="Arial"/>
                <w:szCs w:val="18"/>
              </w:rPr>
              <w:t>83</w:t>
            </w:r>
          </w:p>
        </w:tc>
        <w:tc>
          <w:tcPr>
            <w:tcW w:w="1096" w:type="pct"/>
          </w:tcPr>
          <w:p w14:paraId="2F8063DE" w14:textId="771AAFD8"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bottom"/>
          </w:tcPr>
          <w:p w14:paraId="7299FBFA" w14:textId="1047D9EF"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620AF0EA" w14:textId="77777777" w:rsidTr="003C0FB0">
        <w:trPr>
          <w:cantSplit/>
          <w:tblHeader/>
          <w:jc w:val="center"/>
        </w:trPr>
        <w:tc>
          <w:tcPr>
            <w:tcW w:w="1000" w:type="pct"/>
            <w:shd w:val="clear" w:color="auto" w:fill="auto"/>
          </w:tcPr>
          <w:p w14:paraId="66EED52F" w14:textId="77777777" w:rsidR="001409A7" w:rsidRDefault="001409A7">
            <w:pPr>
              <w:pStyle w:val="Tabletext"/>
            </w:pPr>
            <w:r>
              <w:t>Histamine</w:t>
            </w:r>
          </w:p>
        </w:tc>
        <w:tc>
          <w:tcPr>
            <w:tcW w:w="1000" w:type="pct"/>
            <w:vAlign w:val="bottom"/>
          </w:tcPr>
          <w:p w14:paraId="7375665B" w14:textId="77777777" w:rsidR="001409A7" w:rsidRDefault="001409A7">
            <w:pPr>
              <w:pStyle w:val="Tabletext"/>
              <w:jc w:val="right"/>
              <w:rPr>
                <w:rFonts w:asciiTheme="minorHAnsi" w:hAnsiTheme="minorHAnsi"/>
                <w:szCs w:val="18"/>
              </w:rPr>
            </w:pPr>
            <w:r>
              <w:rPr>
                <w:rFonts w:asciiTheme="minorHAnsi" w:hAnsiTheme="minorHAnsi" w:cs="Arial"/>
                <w:bCs/>
                <w:szCs w:val="18"/>
              </w:rPr>
              <w:t>41</w:t>
            </w:r>
          </w:p>
        </w:tc>
        <w:tc>
          <w:tcPr>
            <w:tcW w:w="904" w:type="pct"/>
            <w:shd w:val="clear" w:color="auto" w:fill="auto"/>
            <w:vAlign w:val="bottom"/>
          </w:tcPr>
          <w:p w14:paraId="79E49BAE" w14:textId="448D3D13" w:rsidR="001409A7" w:rsidRDefault="001409A7">
            <w:pPr>
              <w:pStyle w:val="Tabletext"/>
              <w:jc w:val="right"/>
              <w:rPr>
                <w:rFonts w:asciiTheme="minorHAnsi" w:hAnsiTheme="minorHAnsi"/>
                <w:szCs w:val="18"/>
              </w:rPr>
            </w:pPr>
            <w:r>
              <w:rPr>
                <w:rFonts w:asciiTheme="minorHAnsi" w:hAnsiTheme="minorHAnsi" w:cs="Arial"/>
                <w:szCs w:val="18"/>
              </w:rPr>
              <w:t>40</w:t>
            </w:r>
          </w:p>
        </w:tc>
        <w:tc>
          <w:tcPr>
            <w:tcW w:w="1096" w:type="pct"/>
          </w:tcPr>
          <w:p w14:paraId="437D1210" w14:textId="796CEE52" w:rsidR="001409A7" w:rsidRDefault="001409A7">
            <w:pPr>
              <w:pStyle w:val="Tabletext"/>
              <w:jc w:val="right"/>
              <w:rPr>
                <w:rFonts w:asciiTheme="minorHAnsi" w:hAnsiTheme="minorHAnsi" w:cs="Arial"/>
                <w:szCs w:val="18"/>
              </w:rPr>
            </w:pPr>
            <w:r>
              <w:rPr>
                <w:rFonts w:asciiTheme="minorHAnsi" w:hAnsiTheme="minorHAnsi" w:cs="Arial"/>
                <w:szCs w:val="18"/>
              </w:rPr>
              <w:t>1</w:t>
            </w:r>
          </w:p>
        </w:tc>
        <w:tc>
          <w:tcPr>
            <w:tcW w:w="1000" w:type="pct"/>
            <w:vAlign w:val="bottom"/>
          </w:tcPr>
          <w:p w14:paraId="52354E55" w14:textId="6B8409E9" w:rsidR="001409A7" w:rsidRDefault="001409A7">
            <w:pPr>
              <w:pStyle w:val="Tabletext"/>
              <w:jc w:val="right"/>
              <w:rPr>
                <w:rFonts w:asciiTheme="minorHAnsi" w:hAnsiTheme="minorHAnsi"/>
                <w:szCs w:val="18"/>
              </w:rPr>
            </w:pPr>
            <w:r>
              <w:rPr>
                <w:rFonts w:asciiTheme="minorHAnsi" w:hAnsiTheme="minorHAnsi" w:cs="Arial"/>
                <w:szCs w:val="18"/>
              </w:rPr>
              <w:t>97.6</w:t>
            </w:r>
          </w:p>
        </w:tc>
      </w:tr>
      <w:tr w:rsidR="001409A7" w14:paraId="1ABEDE1D" w14:textId="77777777" w:rsidTr="003C0FB0">
        <w:trPr>
          <w:cantSplit/>
          <w:tblHeader/>
          <w:jc w:val="center"/>
        </w:trPr>
        <w:tc>
          <w:tcPr>
            <w:tcW w:w="1000" w:type="pct"/>
            <w:shd w:val="clear" w:color="auto" w:fill="auto"/>
          </w:tcPr>
          <w:p w14:paraId="58C91946" w14:textId="77777777" w:rsidR="001409A7" w:rsidRDefault="001409A7">
            <w:pPr>
              <w:pStyle w:val="Tabletext"/>
            </w:pPr>
            <w:r>
              <w:t>Iodine</w:t>
            </w:r>
          </w:p>
        </w:tc>
        <w:tc>
          <w:tcPr>
            <w:tcW w:w="1000" w:type="pct"/>
            <w:vAlign w:val="bottom"/>
          </w:tcPr>
          <w:p w14:paraId="35DB6B38" w14:textId="77777777" w:rsidR="001409A7" w:rsidRDefault="001409A7">
            <w:pPr>
              <w:pStyle w:val="Tabletext"/>
              <w:jc w:val="right"/>
              <w:rPr>
                <w:rFonts w:asciiTheme="minorHAnsi" w:hAnsiTheme="minorHAnsi"/>
                <w:szCs w:val="18"/>
              </w:rPr>
            </w:pPr>
            <w:r>
              <w:rPr>
                <w:rFonts w:asciiTheme="minorHAnsi" w:hAnsiTheme="minorHAnsi" w:cs="Arial"/>
                <w:bCs/>
                <w:szCs w:val="18"/>
              </w:rPr>
              <w:t>15</w:t>
            </w:r>
          </w:p>
        </w:tc>
        <w:tc>
          <w:tcPr>
            <w:tcW w:w="904" w:type="pct"/>
            <w:shd w:val="clear" w:color="auto" w:fill="auto"/>
            <w:vAlign w:val="bottom"/>
          </w:tcPr>
          <w:p w14:paraId="3DAD268D" w14:textId="78876856" w:rsidR="001409A7" w:rsidRDefault="001409A7">
            <w:pPr>
              <w:pStyle w:val="Tabletext"/>
              <w:jc w:val="right"/>
              <w:rPr>
                <w:rFonts w:asciiTheme="minorHAnsi" w:hAnsiTheme="minorHAnsi"/>
                <w:szCs w:val="18"/>
              </w:rPr>
            </w:pPr>
            <w:r>
              <w:rPr>
                <w:rFonts w:asciiTheme="minorHAnsi" w:hAnsiTheme="minorHAnsi" w:cs="Arial"/>
                <w:szCs w:val="18"/>
              </w:rPr>
              <w:t>14</w:t>
            </w:r>
          </w:p>
        </w:tc>
        <w:tc>
          <w:tcPr>
            <w:tcW w:w="1096" w:type="pct"/>
          </w:tcPr>
          <w:p w14:paraId="750557A6" w14:textId="7DBA9E1B" w:rsidR="001409A7" w:rsidRDefault="001409A7">
            <w:pPr>
              <w:pStyle w:val="Tabletext"/>
              <w:jc w:val="right"/>
              <w:rPr>
                <w:rFonts w:asciiTheme="minorHAnsi" w:hAnsiTheme="minorHAnsi" w:cs="Arial"/>
                <w:szCs w:val="18"/>
              </w:rPr>
            </w:pPr>
            <w:r>
              <w:rPr>
                <w:rFonts w:asciiTheme="minorHAnsi" w:hAnsiTheme="minorHAnsi" w:cs="Arial"/>
                <w:szCs w:val="18"/>
              </w:rPr>
              <w:t>1</w:t>
            </w:r>
          </w:p>
        </w:tc>
        <w:tc>
          <w:tcPr>
            <w:tcW w:w="1000" w:type="pct"/>
            <w:vAlign w:val="bottom"/>
          </w:tcPr>
          <w:p w14:paraId="36ACB595" w14:textId="302ACCF3" w:rsidR="001409A7" w:rsidRDefault="001409A7">
            <w:pPr>
              <w:pStyle w:val="Tabletext"/>
              <w:jc w:val="right"/>
              <w:rPr>
                <w:rFonts w:asciiTheme="minorHAnsi" w:hAnsiTheme="minorHAnsi"/>
                <w:szCs w:val="18"/>
              </w:rPr>
            </w:pPr>
            <w:r>
              <w:rPr>
                <w:rFonts w:asciiTheme="minorHAnsi" w:hAnsiTheme="minorHAnsi" w:cs="Arial"/>
                <w:szCs w:val="18"/>
              </w:rPr>
              <w:t>93.3</w:t>
            </w:r>
          </w:p>
        </w:tc>
      </w:tr>
      <w:tr w:rsidR="001409A7" w14:paraId="1A4C99A8" w14:textId="77777777" w:rsidTr="003C0FB0">
        <w:trPr>
          <w:cantSplit/>
          <w:tblHeader/>
          <w:jc w:val="center"/>
        </w:trPr>
        <w:tc>
          <w:tcPr>
            <w:tcW w:w="1000" w:type="pct"/>
            <w:shd w:val="clear" w:color="auto" w:fill="auto"/>
          </w:tcPr>
          <w:p w14:paraId="275BAEDE" w14:textId="77777777" w:rsidR="001409A7" w:rsidRDefault="001409A7">
            <w:pPr>
              <w:pStyle w:val="Tabletext"/>
            </w:pPr>
            <w:r>
              <w:t>Lead</w:t>
            </w:r>
          </w:p>
        </w:tc>
        <w:tc>
          <w:tcPr>
            <w:tcW w:w="1000" w:type="pct"/>
            <w:vAlign w:val="bottom"/>
          </w:tcPr>
          <w:p w14:paraId="03503433" w14:textId="77777777" w:rsidR="001409A7" w:rsidRDefault="001409A7">
            <w:pPr>
              <w:pStyle w:val="Tabletext"/>
              <w:jc w:val="right"/>
              <w:rPr>
                <w:rFonts w:asciiTheme="minorHAnsi" w:hAnsiTheme="minorHAnsi"/>
                <w:szCs w:val="18"/>
              </w:rPr>
            </w:pPr>
            <w:r>
              <w:rPr>
                <w:rFonts w:asciiTheme="minorHAnsi" w:hAnsiTheme="minorHAnsi" w:cs="Arial"/>
                <w:bCs/>
                <w:szCs w:val="18"/>
              </w:rPr>
              <w:t>50</w:t>
            </w:r>
          </w:p>
        </w:tc>
        <w:tc>
          <w:tcPr>
            <w:tcW w:w="904" w:type="pct"/>
            <w:shd w:val="clear" w:color="auto" w:fill="auto"/>
            <w:vAlign w:val="bottom"/>
          </w:tcPr>
          <w:p w14:paraId="36EF28D3" w14:textId="4085B1F0" w:rsidR="001409A7" w:rsidRDefault="001409A7">
            <w:pPr>
              <w:pStyle w:val="Tabletext"/>
              <w:jc w:val="right"/>
              <w:rPr>
                <w:rFonts w:asciiTheme="minorHAnsi" w:hAnsiTheme="minorHAnsi"/>
                <w:szCs w:val="18"/>
              </w:rPr>
            </w:pPr>
            <w:r>
              <w:rPr>
                <w:rFonts w:asciiTheme="minorHAnsi" w:hAnsiTheme="minorHAnsi" w:cs="Arial"/>
                <w:szCs w:val="18"/>
              </w:rPr>
              <w:t>48</w:t>
            </w:r>
          </w:p>
        </w:tc>
        <w:tc>
          <w:tcPr>
            <w:tcW w:w="1096" w:type="pct"/>
          </w:tcPr>
          <w:p w14:paraId="4E506CDC" w14:textId="64081E53" w:rsidR="001409A7" w:rsidRDefault="001409A7">
            <w:pPr>
              <w:pStyle w:val="Tabletext"/>
              <w:jc w:val="right"/>
              <w:rPr>
                <w:rFonts w:asciiTheme="minorHAnsi" w:hAnsiTheme="minorHAnsi" w:cs="Arial"/>
                <w:szCs w:val="18"/>
              </w:rPr>
            </w:pPr>
            <w:r>
              <w:rPr>
                <w:rFonts w:asciiTheme="minorHAnsi" w:hAnsiTheme="minorHAnsi" w:cs="Arial"/>
                <w:szCs w:val="18"/>
              </w:rPr>
              <w:t>2</w:t>
            </w:r>
          </w:p>
        </w:tc>
        <w:tc>
          <w:tcPr>
            <w:tcW w:w="1000" w:type="pct"/>
            <w:vAlign w:val="bottom"/>
          </w:tcPr>
          <w:p w14:paraId="0FFDE526" w14:textId="69005F2F" w:rsidR="001409A7" w:rsidRDefault="001409A7">
            <w:pPr>
              <w:pStyle w:val="Tabletext"/>
              <w:jc w:val="right"/>
              <w:rPr>
                <w:rFonts w:asciiTheme="minorHAnsi" w:hAnsiTheme="minorHAnsi"/>
                <w:szCs w:val="18"/>
              </w:rPr>
            </w:pPr>
            <w:r>
              <w:rPr>
                <w:rFonts w:asciiTheme="minorHAnsi" w:hAnsiTheme="minorHAnsi" w:cs="Arial"/>
                <w:szCs w:val="18"/>
              </w:rPr>
              <w:t>96.0</w:t>
            </w:r>
          </w:p>
        </w:tc>
      </w:tr>
      <w:tr w:rsidR="001409A7" w14:paraId="1B8C9853" w14:textId="77777777" w:rsidTr="003C0FB0">
        <w:trPr>
          <w:cantSplit/>
          <w:tblHeader/>
          <w:jc w:val="center"/>
        </w:trPr>
        <w:tc>
          <w:tcPr>
            <w:tcW w:w="1000" w:type="pct"/>
            <w:shd w:val="clear" w:color="auto" w:fill="auto"/>
          </w:tcPr>
          <w:p w14:paraId="07AF7403" w14:textId="77777777" w:rsidR="001409A7" w:rsidRDefault="001409A7">
            <w:pPr>
              <w:pStyle w:val="Tabletext"/>
            </w:pPr>
            <w:r>
              <w:t>PSP toxin</w:t>
            </w:r>
          </w:p>
        </w:tc>
        <w:tc>
          <w:tcPr>
            <w:tcW w:w="1000" w:type="pct"/>
            <w:vAlign w:val="bottom"/>
          </w:tcPr>
          <w:p w14:paraId="7102507B" w14:textId="77777777" w:rsidR="001409A7" w:rsidRDefault="001409A7">
            <w:pPr>
              <w:pStyle w:val="Tabletext"/>
              <w:jc w:val="right"/>
              <w:rPr>
                <w:rFonts w:asciiTheme="minorHAnsi" w:hAnsiTheme="minorHAnsi"/>
                <w:szCs w:val="18"/>
              </w:rPr>
            </w:pPr>
            <w:r>
              <w:rPr>
                <w:rFonts w:asciiTheme="minorHAnsi" w:hAnsiTheme="minorHAnsi" w:cs="Arial"/>
                <w:bCs/>
                <w:szCs w:val="18"/>
              </w:rPr>
              <w:t>83</w:t>
            </w:r>
          </w:p>
        </w:tc>
        <w:tc>
          <w:tcPr>
            <w:tcW w:w="904" w:type="pct"/>
            <w:shd w:val="clear" w:color="auto" w:fill="auto"/>
            <w:vAlign w:val="bottom"/>
          </w:tcPr>
          <w:p w14:paraId="00D68423" w14:textId="42C18A8C" w:rsidR="001409A7" w:rsidRDefault="001409A7">
            <w:pPr>
              <w:pStyle w:val="Tabletext"/>
              <w:jc w:val="right"/>
              <w:rPr>
                <w:rFonts w:asciiTheme="minorHAnsi" w:hAnsiTheme="minorHAnsi"/>
                <w:szCs w:val="18"/>
              </w:rPr>
            </w:pPr>
            <w:r>
              <w:rPr>
                <w:rFonts w:asciiTheme="minorHAnsi" w:hAnsiTheme="minorHAnsi" w:cs="Arial"/>
                <w:szCs w:val="18"/>
              </w:rPr>
              <w:t>83</w:t>
            </w:r>
          </w:p>
        </w:tc>
        <w:tc>
          <w:tcPr>
            <w:tcW w:w="1096" w:type="pct"/>
          </w:tcPr>
          <w:p w14:paraId="376B3263" w14:textId="15ED00E4"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bottom"/>
          </w:tcPr>
          <w:p w14:paraId="4097D329" w14:textId="7E6D0524"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4EF5CD25" w14:textId="77777777" w:rsidTr="003C0FB0">
        <w:trPr>
          <w:cantSplit/>
          <w:tblHeader/>
          <w:jc w:val="center"/>
        </w:trPr>
        <w:tc>
          <w:tcPr>
            <w:tcW w:w="1000" w:type="pct"/>
            <w:shd w:val="clear" w:color="auto" w:fill="auto"/>
          </w:tcPr>
          <w:p w14:paraId="7BBC7194" w14:textId="77777777" w:rsidR="001409A7" w:rsidRDefault="001409A7">
            <w:pPr>
              <w:pStyle w:val="Tabletext"/>
            </w:pPr>
            <w:r>
              <w:t>Tin</w:t>
            </w:r>
          </w:p>
        </w:tc>
        <w:tc>
          <w:tcPr>
            <w:tcW w:w="1000" w:type="pct"/>
            <w:vAlign w:val="bottom"/>
          </w:tcPr>
          <w:p w14:paraId="075E3B45" w14:textId="77777777" w:rsidR="001409A7" w:rsidRDefault="001409A7">
            <w:pPr>
              <w:pStyle w:val="Tabletext"/>
              <w:jc w:val="right"/>
              <w:rPr>
                <w:rFonts w:asciiTheme="minorHAnsi" w:hAnsiTheme="minorHAnsi"/>
                <w:szCs w:val="18"/>
              </w:rPr>
            </w:pPr>
            <w:r>
              <w:rPr>
                <w:rFonts w:asciiTheme="minorHAnsi" w:hAnsiTheme="minorHAnsi" w:cs="Arial"/>
                <w:bCs/>
                <w:szCs w:val="18"/>
              </w:rPr>
              <w:t>18</w:t>
            </w:r>
          </w:p>
        </w:tc>
        <w:tc>
          <w:tcPr>
            <w:tcW w:w="904" w:type="pct"/>
            <w:shd w:val="clear" w:color="auto" w:fill="auto"/>
            <w:vAlign w:val="bottom"/>
          </w:tcPr>
          <w:p w14:paraId="45148D53" w14:textId="5E9D80AC" w:rsidR="001409A7" w:rsidRDefault="001409A7">
            <w:pPr>
              <w:pStyle w:val="Tabletext"/>
              <w:jc w:val="right"/>
              <w:rPr>
                <w:rFonts w:asciiTheme="minorHAnsi" w:hAnsiTheme="minorHAnsi"/>
                <w:szCs w:val="18"/>
              </w:rPr>
            </w:pPr>
            <w:r>
              <w:rPr>
                <w:rFonts w:asciiTheme="minorHAnsi" w:hAnsiTheme="minorHAnsi" w:cs="Arial"/>
                <w:szCs w:val="18"/>
              </w:rPr>
              <w:t>18</w:t>
            </w:r>
          </w:p>
        </w:tc>
        <w:tc>
          <w:tcPr>
            <w:tcW w:w="1096" w:type="pct"/>
          </w:tcPr>
          <w:p w14:paraId="0182B0F7" w14:textId="5B5E2604"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bottom"/>
          </w:tcPr>
          <w:p w14:paraId="407E7907" w14:textId="2678C0A1"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46CA5E95" w14:textId="77777777" w:rsidTr="003C0FB0">
        <w:trPr>
          <w:cantSplit/>
          <w:tblHeader/>
          <w:jc w:val="center"/>
        </w:trPr>
        <w:tc>
          <w:tcPr>
            <w:tcW w:w="1000" w:type="pct"/>
            <w:shd w:val="clear" w:color="auto" w:fill="auto"/>
          </w:tcPr>
          <w:p w14:paraId="46CBE8D8" w14:textId="77777777" w:rsidR="001409A7" w:rsidRDefault="001409A7">
            <w:pPr>
              <w:pStyle w:val="Tabletext"/>
              <w:rPr>
                <w:b/>
              </w:rPr>
            </w:pPr>
            <w:r>
              <w:rPr>
                <w:b/>
              </w:rPr>
              <w:t>Total</w:t>
            </w:r>
          </w:p>
        </w:tc>
        <w:tc>
          <w:tcPr>
            <w:tcW w:w="1000" w:type="pct"/>
            <w:vAlign w:val="bottom"/>
          </w:tcPr>
          <w:p w14:paraId="17B08F99" w14:textId="77777777" w:rsidR="001409A7" w:rsidRDefault="001409A7">
            <w:pPr>
              <w:pStyle w:val="Tabletext"/>
              <w:jc w:val="right"/>
              <w:rPr>
                <w:rFonts w:asciiTheme="minorHAnsi" w:hAnsiTheme="minorHAnsi"/>
                <w:szCs w:val="18"/>
              </w:rPr>
            </w:pPr>
            <w:r>
              <w:rPr>
                <w:rFonts w:asciiTheme="minorHAnsi" w:hAnsiTheme="minorHAnsi" w:cs="Arial"/>
                <w:bCs/>
                <w:szCs w:val="18"/>
              </w:rPr>
              <w:t>391</w:t>
            </w:r>
          </w:p>
        </w:tc>
        <w:tc>
          <w:tcPr>
            <w:tcW w:w="904" w:type="pct"/>
            <w:shd w:val="clear" w:color="auto" w:fill="auto"/>
            <w:vAlign w:val="bottom"/>
          </w:tcPr>
          <w:p w14:paraId="6B818DFC" w14:textId="0ACE0782" w:rsidR="001409A7" w:rsidRDefault="001409A7">
            <w:pPr>
              <w:pStyle w:val="Tabletext"/>
              <w:jc w:val="right"/>
              <w:rPr>
                <w:rFonts w:asciiTheme="minorHAnsi" w:hAnsiTheme="minorHAnsi"/>
                <w:szCs w:val="18"/>
              </w:rPr>
            </w:pPr>
            <w:r>
              <w:rPr>
                <w:rFonts w:asciiTheme="minorHAnsi" w:hAnsiTheme="minorHAnsi" w:cs="Arial"/>
                <w:szCs w:val="18"/>
              </w:rPr>
              <w:t>381</w:t>
            </w:r>
          </w:p>
        </w:tc>
        <w:tc>
          <w:tcPr>
            <w:tcW w:w="1096" w:type="pct"/>
          </w:tcPr>
          <w:p w14:paraId="5953287E" w14:textId="0B8FAC18" w:rsidR="001409A7" w:rsidRDefault="001409A7">
            <w:pPr>
              <w:pStyle w:val="Tabletext"/>
              <w:jc w:val="right"/>
              <w:rPr>
                <w:rFonts w:asciiTheme="minorHAnsi" w:hAnsiTheme="minorHAnsi" w:cs="Arial"/>
                <w:szCs w:val="18"/>
              </w:rPr>
            </w:pPr>
            <w:r>
              <w:rPr>
                <w:rFonts w:asciiTheme="minorHAnsi" w:hAnsiTheme="minorHAnsi" w:cs="Arial"/>
                <w:szCs w:val="18"/>
              </w:rPr>
              <w:t>10</w:t>
            </w:r>
          </w:p>
        </w:tc>
        <w:tc>
          <w:tcPr>
            <w:tcW w:w="1000" w:type="pct"/>
            <w:vAlign w:val="bottom"/>
          </w:tcPr>
          <w:p w14:paraId="6430FF98" w14:textId="0DCBAA5B" w:rsidR="001409A7" w:rsidRDefault="001409A7">
            <w:pPr>
              <w:pStyle w:val="Tabletext"/>
              <w:jc w:val="right"/>
              <w:rPr>
                <w:rFonts w:asciiTheme="minorHAnsi" w:hAnsiTheme="minorHAnsi"/>
                <w:szCs w:val="18"/>
              </w:rPr>
            </w:pPr>
            <w:r>
              <w:rPr>
                <w:rFonts w:asciiTheme="minorHAnsi" w:hAnsiTheme="minorHAnsi" w:cs="Arial"/>
                <w:szCs w:val="18"/>
              </w:rPr>
              <w:t>97.4</w:t>
            </w:r>
          </w:p>
        </w:tc>
      </w:tr>
    </w:tbl>
    <w:p w14:paraId="5C9B5757" w14:textId="77777777" w:rsidR="00A072D0" w:rsidRDefault="009576A5">
      <w:pPr>
        <w:pStyle w:val="Caption"/>
      </w:pPr>
      <w:bookmarkStart w:id="66" w:name="_Toc369867492"/>
      <w:bookmarkStart w:id="67" w:name="_Toc469062416"/>
      <w:r>
        <w:t xml:space="preserve">Table </w:t>
      </w:r>
      <w:r w:rsidR="00E70443">
        <w:fldChar w:fldCharType="begin"/>
      </w:r>
      <w:r w:rsidR="00E70443">
        <w:instrText xml:space="preserve"> SEQ Table \* ARABIC </w:instrText>
      </w:r>
      <w:r w:rsidR="00E70443">
        <w:fldChar w:fldCharType="separate"/>
      </w:r>
      <w:r w:rsidR="00E70443">
        <w:rPr>
          <w:noProof/>
        </w:rPr>
        <w:t>14</w:t>
      </w:r>
      <w:r w:rsidR="00E70443">
        <w:rPr>
          <w:noProof/>
        </w:rPr>
        <w:fldChar w:fldCharType="end"/>
      </w:r>
      <w:r>
        <w:t xml:space="preserve"> Compliance for microbiological testing, </w:t>
      </w:r>
      <w:bookmarkEnd w:id="66"/>
      <w:r>
        <w:t>China</w:t>
      </w:r>
      <w:bookmarkEnd w:id="67"/>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1409A7" w14:paraId="6F5C9463" w14:textId="77777777" w:rsidTr="003C0FB0">
        <w:trPr>
          <w:cantSplit/>
          <w:tblHeader/>
          <w:jc w:val="center"/>
        </w:trPr>
        <w:tc>
          <w:tcPr>
            <w:tcW w:w="1000" w:type="pct"/>
            <w:shd w:val="clear" w:color="auto" w:fill="auto"/>
          </w:tcPr>
          <w:p w14:paraId="4E727CF2" w14:textId="77777777" w:rsidR="001409A7" w:rsidRDefault="001409A7">
            <w:pPr>
              <w:pStyle w:val="Tableheading"/>
            </w:pPr>
            <w:r>
              <w:t>Microbial agent</w:t>
            </w:r>
          </w:p>
        </w:tc>
        <w:tc>
          <w:tcPr>
            <w:tcW w:w="1000" w:type="pct"/>
          </w:tcPr>
          <w:p w14:paraId="19302FAD" w14:textId="77777777" w:rsidR="001409A7" w:rsidRDefault="001409A7">
            <w:pPr>
              <w:pStyle w:val="Tableheading"/>
              <w:jc w:val="right"/>
            </w:pPr>
            <w:r>
              <w:t>No. of tests applied</w:t>
            </w:r>
          </w:p>
        </w:tc>
        <w:tc>
          <w:tcPr>
            <w:tcW w:w="904" w:type="pct"/>
            <w:shd w:val="clear" w:color="auto" w:fill="auto"/>
          </w:tcPr>
          <w:p w14:paraId="68A1B891" w14:textId="5ACBE3C2" w:rsidR="001409A7" w:rsidRDefault="001409A7" w:rsidP="001409A7">
            <w:pPr>
              <w:pStyle w:val="Tableheading"/>
              <w:jc w:val="right"/>
            </w:pPr>
            <w:r>
              <w:t>No. compliant</w:t>
            </w:r>
          </w:p>
        </w:tc>
        <w:tc>
          <w:tcPr>
            <w:tcW w:w="1096" w:type="pct"/>
          </w:tcPr>
          <w:p w14:paraId="7BC90331" w14:textId="4324FFD6" w:rsidR="001409A7" w:rsidRDefault="001409A7">
            <w:pPr>
              <w:pStyle w:val="Tableheading"/>
              <w:jc w:val="right"/>
            </w:pPr>
            <w:r>
              <w:t>No. non-compliant</w:t>
            </w:r>
          </w:p>
        </w:tc>
        <w:tc>
          <w:tcPr>
            <w:tcW w:w="1000" w:type="pct"/>
          </w:tcPr>
          <w:p w14:paraId="1F327FC6" w14:textId="6BF39C88" w:rsidR="001409A7" w:rsidRDefault="001409A7">
            <w:pPr>
              <w:pStyle w:val="Tableheading"/>
              <w:jc w:val="right"/>
            </w:pPr>
            <w:r>
              <w:t>Compliance rate (%)</w:t>
            </w:r>
          </w:p>
        </w:tc>
      </w:tr>
      <w:tr w:rsidR="001409A7" w14:paraId="56EC693C" w14:textId="77777777" w:rsidTr="003C0FB0">
        <w:trPr>
          <w:cantSplit/>
          <w:tblHeader/>
          <w:jc w:val="center"/>
        </w:trPr>
        <w:tc>
          <w:tcPr>
            <w:tcW w:w="1000" w:type="pct"/>
            <w:shd w:val="clear" w:color="auto" w:fill="auto"/>
            <w:vAlign w:val="center"/>
          </w:tcPr>
          <w:p w14:paraId="4DB5826A" w14:textId="77777777" w:rsidR="001409A7" w:rsidRDefault="001409A7">
            <w:pPr>
              <w:pStyle w:val="Tabletext"/>
              <w:rPr>
                <w:i/>
              </w:rPr>
            </w:pPr>
            <w:r>
              <w:rPr>
                <w:i/>
              </w:rPr>
              <w:t>Bacillus cereus</w:t>
            </w:r>
          </w:p>
        </w:tc>
        <w:tc>
          <w:tcPr>
            <w:tcW w:w="1000" w:type="pct"/>
            <w:vAlign w:val="center"/>
          </w:tcPr>
          <w:p w14:paraId="4758FE70" w14:textId="77777777" w:rsidR="001409A7" w:rsidRDefault="001409A7">
            <w:pPr>
              <w:pStyle w:val="Tabletext"/>
              <w:jc w:val="right"/>
              <w:rPr>
                <w:rFonts w:asciiTheme="minorHAnsi" w:hAnsiTheme="minorHAnsi"/>
                <w:szCs w:val="18"/>
              </w:rPr>
            </w:pPr>
            <w:r>
              <w:rPr>
                <w:rFonts w:asciiTheme="minorHAnsi" w:hAnsiTheme="minorHAnsi" w:cs="Arial"/>
                <w:bCs/>
                <w:szCs w:val="18"/>
              </w:rPr>
              <w:t>5</w:t>
            </w:r>
          </w:p>
        </w:tc>
        <w:tc>
          <w:tcPr>
            <w:tcW w:w="904" w:type="pct"/>
            <w:shd w:val="clear" w:color="auto" w:fill="auto"/>
            <w:vAlign w:val="center"/>
          </w:tcPr>
          <w:p w14:paraId="3C25F80A" w14:textId="2EBE0C22" w:rsidR="001409A7" w:rsidRDefault="001409A7">
            <w:pPr>
              <w:pStyle w:val="Tabletext"/>
              <w:jc w:val="right"/>
              <w:rPr>
                <w:rFonts w:asciiTheme="minorHAnsi" w:hAnsiTheme="minorHAnsi"/>
                <w:szCs w:val="18"/>
              </w:rPr>
            </w:pPr>
            <w:r>
              <w:rPr>
                <w:rFonts w:asciiTheme="minorHAnsi" w:hAnsiTheme="minorHAnsi" w:cs="Arial"/>
                <w:szCs w:val="18"/>
              </w:rPr>
              <w:t>5</w:t>
            </w:r>
          </w:p>
        </w:tc>
        <w:tc>
          <w:tcPr>
            <w:tcW w:w="1096" w:type="pct"/>
            <w:vAlign w:val="center"/>
          </w:tcPr>
          <w:p w14:paraId="48E4E9A1" w14:textId="4BE4475F"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17A959F2" w14:textId="698C5D51"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0FFABC91" w14:textId="77777777" w:rsidTr="003C0FB0">
        <w:trPr>
          <w:cantSplit/>
          <w:tblHeader/>
          <w:jc w:val="center"/>
        </w:trPr>
        <w:tc>
          <w:tcPr>
            <w:tcW w:w="1000" w:type="pct"/>
            <w:shd w:val="clear" w:color="auto" w:fill="auto"/>
            <w:vAlign w:val="center"/>
          </w:tcPr>
          <w:p w14:paraId="468E1836" w14:textId="77777777" w:rsidR="001409A7" w:rsidRDefault="001409A7">
            <w:pPr>
              <w:pStyle w:val="Tabletext"/>
            </w:pPr>
            <w:r>
              <w:t>Coagulase positive Staphylococcus</w:t>
            </w:r>
          </w:p>
        </w:tc>
        <w:tc>
          <w:tcPr>
            <w:tcW w:w="1000" w:type="pct"/>
            <w:vAlign w:val="center"/>
          </w:tcPr>
          <w:p w14:paraId="54439B4B" w14:textId="77777777" w:rsidR="001409A7" w:rsidRDefault="001409A7">
            <w:pPr>
              <w:pStyle w:val="Tabletext"/>
              <w:jc w:val="right"/>
              <w:rPr>
                <w:rFonts w:asciiTheme="minorHAnsi" w:hAnsiTheme="minorHAnsi"/>
                <w:szCs w:val="18"/>
              </w:rPr>
            </w:pPr>
            <w:r>
              <w:rPr>
                <w:rFonts w:asciiTheme="minorHAnsi" w:hAnsiTheme="minorHAnsi" w:cs="Arial"/>
                <w:bCs/>
                <w:szCs w:val="18"/>
              </w:rPr>
              <w:t>54</w:t>
            </w:r>
          </w:p>
        </w:tc>
        <w:tc>
          <w:tcPr>
            <w:tcW w:w="904" w:type="pct"/>
            <w:shd w:val="clear" w:color="auto" w:fill="auto"/>
            <w:vAlign w:val="center"/>
          </w:tcPr>
          <w:p w14:paraId="40A9779E" w14:textId="40FB881B" w:rsidR="001409A7" w:rsidRDefault="001409A7">
            <w:pPr>
              <w:pStyle w:val="Tabletext"/>
              <w:jc w:val="right"/>
              <w:rPr>
                <w:rFonts w:asciiTheme="minorHAnsi" w:hAnsiTheme="minorHAnsi"/>
                <w:szCs w:val="18"/>
              </w:rPr>
            </w:pPr>
            <w:r>
              <w:rPr>
                <w:rFonts w:asciiTheme="minorHAnsi" w:hAnsiTheme="minorHAnsi" w:cs="Arial"/>
                <w:szCs w:val="18"/>
              </w:rPr>
              <w:t>52</w:t>
            </w:r>
          </w:p>
        </w:tc>
        <w:tc>
          <w:tcPr>
            <w:tcW w:w="1096" w:type="pct"/>
            <w:vAlign w:val="center"/>
          </w:tcPr>
          <w:p w14:paraId="0A63A8A9" w14:textId="0CA14D20" w:rsidR="001409A7" w:rsidRDefault="001409A7">
            <w:pPr>
              <w:pStyle w:val="Tabletext"/>
              <w:jc w:val="right"/>
              <w:rPr>
                <w:rFonts w:asciiTheme="minorHAnsi" w:hAnsiTheme="minorHAnsi" w:cs="Arial"/>
                <w:szCs w:val="18"/>
              </w:rPr>
            </w:pPr>
            <w:r>
              <w:rPr>
                <w:rFonts w:asciiTheme="minorHAnsi" w:hAnsiTheme="minorHAnsi" w:cs="Arial"/>
                <w:szCs w:val="18"/>
              </w:rPr>
              <w:t>2</w:t>
            </w:r>
          </w:p>
        </w:tc>
        <w:tc>
          <w:tcPr>
            <w:tcW w:w="1000" w:type="pct"/>
            <w:vAlign w:val="center"/>
          </w:tcPr>
          <w:p w14:paraId="405ECD67" w14:textId="10E3B356" w:rsidR="001409A7" w:rsidRDefault="001409A7">
            <w:pPr>
              <w:pStyle w:val="Tabletext"/>
              <w:jc w:val="right"/>
              <w:rPr>
                <w:rFonts w:asciiTheme="minorHAnsi" w:hAnsiTheme="minorHAnsi"/>
                <w:szCs w:val="18"/>
              </w:rPr>
            </w:pPr>
            <w:r>
              <w:rPr>
                <w:rFonts w:asciiTheme="minorHAnsi" w:hAnsiTheme="minorHAnsi" w:cs="Arial"/>
                <w:szCs w:val="18"/>
              </w:rPr>
              <w:t>96.3</w:t>
            </w:r>
          </w:p>
        </w:tc>
      </w:tr>
      <w:tr w:rsidR="001409A7" w14:paraId="1BAA6738" w14:textId="77777777" w:rsidTr="003C0FB0">
        <w:trPr>
          <w:cantSplit/>
          <w:tblHeader/>
          <w:jc w:val="center"/>
        </w:trPr>
        <w:tc>
          <w:tcPr>
            <w:tcW w:w="1000" w:type="pct"/>
            <w:shd w:val="clear" w:color="auto" w:fill="auto"/>
            <w:vAlign w:val="center"/>
          </w:tcPr>
          <w:p w14:paraId="2120B97B" w14:textId="77777777" w:rsidR="001409A7" w:rsidRDefault="001409A7">
            <w:pPr>
              <w:pStyle w:val="Tabletext"/>
            </w:pPr>
            <w:r>
              <w:rPr>
                <w:i/>
              </w:rPr>
              <w:t>E. coli</w:t>
            </w:r>
          </w:p>
        </w:tc>
        <w:tc>
          <w:tcPr>
            <w:tcW w:w="1000" w:type="pct"/>
            <w:vAlign w:val="center"/>
          </w:tcPr>
          <w:p w14:paraId="7F785D00" w14:textId="77777777" w:rsidR="001409A7" w:rsidRDefault="001409A7">
            <w:pPr>
              <w:pStyle w:val="Tabletext"/>
              <w:jc w:val="right"/>
              <w:rPr>
                <w:rFonts w:asciiTheme="minorHAnsi" w:hAnsiTheme="minorHAnsi"/>
                <w:szCs w:val="18"/>
              </w:rPr>
            </w:pPr>
            <w:r>
              <w:rPr>
                <w:rFonts w:asciiTheme="minorHAnsi" w:hAnsiTheme="minorHAnsi" w:cs="Arial"/>
                <w:bCs/>
                <w:szCs w:val="18"/>
              </w:rPr>
              <w:t>1</w:t>
            </w:r>
          </w:p>
        </w:tc>
        <w:tc>
          <w:tcPr>
            <w:tcW w:w="904" w:type="pct"/>
            <w:shd w:val="clear" w:color="auto" w:fill="auto"/>
            <w:vAlign w:val="center"/>
          </w:tcPr>
          <w:p w14:paraId="4794C77B" w14:textId="7FBB2CF9" w:rsidR="001409A7" w:rsidRDefault="001409A7">
            <w:pPr>
              <w:pStyle w:val="Tabletext"/>
              <w:jc w:val="right"/>
              <w:rPr>
                <w:rFonts w:asciiTheme="minorHAnsi" w:hAnsiTheme="minorHAnsi"/>
                <w:szCs w:val="18"/>
              </w:rPr>
            </w:pPr>
            <w:r>
              <w:rPr>
                <w:rFonts w:asciiTheme="minorHAnsi" w:hAnsiTheme="minorHAnsi" w:cs="Arial"/>
                <w:szCs w:val="18"/>
              </w:rPr>
              <w:t>1</w:t>
            </w:r>
          </w:p>
        </w:tc>
        <w:tc>
          <w:tcPr>
            <w:tcW w:w="1096" w:type="pct"/>
            <w:vAlign w:val="center"/>
          </w:tcPr>
          <w:p w14:paraId="31EC9E61" w14:textId="4AB93E6C"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31B5848A" w14:textId="2C4A1AA3"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52D6114F" w14:textId="77777777" w:rsidTr="003C0FB0">
        <w:trPr>
          <w:cantSplit/>
          <w:tblHeader/>
          <w:jc w:val="center"/>
        </w:trPr>
        <w:tc>
          <w:tcPr>
            <w:tcW w:w="1000" w:type="pct"/>
            <w:shd w:val="clear" w:color="auto" w:fill="auto"/>
            <w:vAlign w:val="center"/>
          </w:tcPr>
          <w:p w14:paraId="734694F3" w14:textId="77777777" w:rsidR="001409A7" w:rsidRDefault="001409A7">
            <w:pPr>
              <w:pStyle w:val="Tabletext"/>
            </w:pPr>
            <w:r>
              <w:t>Hepatitis A</w:t>
            </w:r>
          </w:p>
        </w:tc>
        <w:tc>
          <w:tcPr>
            <w:tcW w:w="1000" w:type="pct"/>
            <w:vAlign w:val="center"/>
          </w:tcPr>
          <w:p w14:paraId="75CD24A9" w14:textId="77777777" w:rsidR="001409A7" w:rsidRDefault="001409A7">
            <w:pPr>
              <w:pStyle w:val="Tabletext"/>
              <w:jc w:val="right"/>
              <w:rPr>
                <w:rFonts w:asciiTheme="minorHAnsi" w:hAnsiTheme="minorHAnsi"/>
                <w:szCs w:val="18"/>
              </w:rPr>
            </w:pPr>
            <w:r>
              <w:rPr>
                <w:rFonts w:asciiTheme="minorHAnsi" w:hAnsiTheme="minorHAnsi" w:cs="Arial"/>
                <w:bCs/>
                <w:szCs w:val="18"/>
              </w:rPr>
              <w:t>33</w:t>
            </w:r>
          </w:p>
        </w:tc>
        <w:tc>
          <w:tcPr>
            <w:tcW w:w="904" w:type="pct"/>
            <w:shd w:val="clear" w:color="auto" w:fill="auto"/>
            <w:vAlign w:val="center"/>
          </w:tcPr>
          <w:p w14:paraId="5A04674C" w14:textId="269DA645" w:rsidR="001409A7" w:rsidRDefault="001409A7">
            <w:pPr>
              <w:pStyle w:val="Tabletext"/>
              <w:jc w:val="right"/>
              <w:rPr>
                <w:rFonts w:asciiTheme="minorHAnsi" w:hAnsiTheme="minorHAnsi"/>
                <w:szCs w:val="18"/>
              </w:rPr>
            </w:pPr>
            <w:r>
              <w:rPr>
                <w:rFonts w:asciiTheme="minorHAnsi" w:hAnsiTheme="minorHAnsi" w:cs="Arial"/>
                <w:szCs w:val="18"/>
              </w:rPr>
              <w:t>33</w:t>
            </w:r>
          </w:p>
        </w:tc>
        <w:tc>
          <w:tcPr>
            <w:tcW w:w="1096" w:type="pct"/>
            <w:vAlign w:val="center"/>
          </w:tcPr>
          <w:p w14:paraId="4AD7EDCA" w14:textId="09005BD8"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75FBAAD8" w14:textId="5D84CDCC"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1E697317" w14:textId="77777777" w:rsidTr="003C0FB0">
        <w:trPr>
          <w:cantSplit/>
          <w:tblHeader/>
          <w:jc w:val="center"/>
        </w:trPr>
        <w:tc>
          <w:tcPr>
            <w:tcW w:w="1000" w:type="pct"/>
            <w:shd w:val="clear" w:color="auto" w:fill="auto"/>
            <w:vAlign w:val="center"/>
          </w:tcPr>
          <w:p w14:paraId="7962F2D1" w14:textId="77777777" w:rsidR="001409A7" w:rsidRDefault="001409A7">
            <w:pPr>
              <w:pStyle w:val="Tabletext"/>
            </w:pPr>
            <w:r>
              <w:rPr>
                <w:i/>
              </w:rPr>
              <w:t>Listeria</w:t>
            </w:r>
            <w:r>
              <w:t xml:space="preserve"> </w:t>
            </w:r>
            <w:r>
              <w:rPr>
                <w:i/>
              </w:rPr>
              <w:t>monocytogenes</w:t>
            </w:r>
          </w:p>
        </w:tc>
        <w:tc>
          <w:tcPr>
            <w:tcW w:w="1000" w:type="pct"/>
            <w:vAlign w:val="center"/>
          </w:tcPr>
          <w:p w14:paraId="640A2413" w14:textId="77777777" w:rsidR="001409A7" w:rsidRDefault="001409A7">
            <w:pPr>
              <w:pStyle w:val="Tabletext"/>
              <w:jc w:val="right"/>
              <w:rPr>
                <w:rFonts w:asciiTheme="minorHAnsi" w:hAnsiTheme="minorHAnsi"/>
                <w:szCs w:val="18"/>
              </w:rPr>
            </w:pPr>
            <w:r>
              <w:rPr>
                <w:rFonts w:asciiTheme="minorHAnsi" w:hAnsiTheme="minorHAnsi" w:cs="Arial"/>
                <w:bCs/>
                <w:szCs w:val="18"/>
              </w:rPr>
              <w:t>221</w:t>
            </w:r>
          </w:p>
        </w:tc>
        <w:tc>
          <w:tcPr>
            <w:tcW w:w="904" w:type="pct"/>
            <w:shd w:val="clear" w:color="auto" w:fill="auto"/>
            <w:vAlign w:val="center"/>
          </w:tcPr>
          <w:p w14:paraId="7416D952" w14:textId="1FC46949" w:rsidR="001409A7" w:rsidRDefault="001409A7">
            <w:pPr>
              <w:pStyle w:val="Tabletext"/>
              <w:jc w:val="right"/>
              <w:rPr>
                <w:rFonts w:asciiTheme="minorHAnsi" w:hAnsiTheme="minorHAnsi"/>
                <w:szCs w:val="18"/>
              </w:rPr>
            </w:pPr>
            <w:r>
              <w:rPr>
                <w:rFonts w:asciiTheme="minorHAnsi" w:hAnsiTheme="minorHAnsi" w:cs="Arial"/>
                <w:szCs w:val="18"/>
              </w:rPr>
              <w:t>221</w:t>
            </w:r>
          </w:p>
        </w:tc>
        <w:tc>
          <w:tcPr>
            <w:tcW w:w="1096" w:type="pct"/>
            <w:vAlign w:val="center"/>
          </w:tcPr>
          <w:p w14:paraId="622085C3" w14:textId="4D07EB76"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2B9C18A0" w14:textId="58CA40B0"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7C1F27BB" w14:textId="77777777" w:rsidTr="003C0FB0">
        <w:trPr>
          <w:cantSplit/>
          <w:tblHeader/>
          <w:jc w:val="center"/>
        </w:trPr>
        <w:tc>
          <w:tcPr>
            <w:tcW w:w="1000" w:type="pct"/>
            <w:shd w:val="clear" w:color="auto" w:fill="auto"/>
            <w:vAlign w:val="center"/>
          </w:tcPr>
          <w:p w14:paraId="4E70FF57" w14:textId="77777777" w:rsidR="001409A7" w:rsidRDefault="001409A7">
            <w:pPr>
              <w:pStyle w:val="Tabletext"/>
            </w:pPr>
            <w:r>
              <w:rPr>
                <w:i/>
              </w:rPr>
              <w:t>Salmonella</w:t>
            </w:r>
          </w:p>
        </w:tc>
        <w:tc>
          <w:tcPr>
            <w:tcW w:w="1000" w:type="pct"/>
            <w:vAlign w:val="center"/>
          </w:tcPr>
          <w:p w14:paraId="6000791B" w14:textId="77777777" w:rsidR="001409A7" w:rsidRDefault="001409A7">
            <w:pPr>
              <w:pStyle w:val="Tabletext"/>
              <w:jc w:val="right"/>
              <w:rPr>
                <w:rFonts w:asciiTheme="minorHAnsi" w:hAnsiTheme="minorHAnsi"/>
                <w:szCs w:val="18"/>
              </w:rPr>
            </w:pPr>
            <w:r>
              <w:rPr>
                <w:rFonts w:asciiTheme="minorHAnsi" w:hAnsiTheme="minorHAnsi" w:cs="Arial"/>
                <w:bCs/>
                <w:szCs w:val="18"/>
              </w:rPr>
              <w:t>41</w:t>
            </w:r>
          </w:p>
        </w:tc>
        <w:tc>
          <w:tcPr>
            <w:tcW w:w="904" w:type="pct"/>
            <w:shd w:val="clear" w:color="auto" w:fill="auto"/>
            <w:vAlign w:val="center"/>
          </w:tcPr>
          <w:p w14:paraId="0D32EC1C" w14:textId="77A87DDA" w:rsidR="001409A7" w:rsidRDefault="001409A7">
            <w:pPr>
              <w:pStyle w:val="Tabletext"/>
              <w:jc w:val="right"/>
              <w:rPr>
                <w:rFonts w:asciiTheme="minorHAnsi" w:hAnsiTheme="minorHAnsi"/>
                <w:szCs w:val="18"/>
              </w:rPr>
            </w:pPr>
            <w:r>
              <w:rPr>
                <w:rFonts w:asciiTheme="minorHAnsi" w:hAnsiTheme="minorHAnsi" w:cs="Arial"/>
                <w:szCs w:val="18"/>
              </w:rPr>
              <w:t>40</w:t>
            </w:r>
          </w:p>
        </w:tc>
        <w:tc>
          <w:tcPr>
            <w:tcW w:w="1096" w:type="pct"/>
            <w:vAlign w:val="center"/>
          </w:tcPr>
          <w:p w14:paraId="05B743A1" w14:textId="15F0FD9F" w:rsidR="001409A7" w:rsidRDefault="001409A7">
            <w:pPr>
              <w:pStyle w:val="Tabletext"/>
              <w:jc w:val="right"/>
              <w:rPr>
                <w:rFonts w:asciiTheme="minorHAnsi" w:hAnsiTheme="minorHAnsi" w:cs="Arial"/>
                <w:szCs w:val="18"/>
              </w:rPr>
            </w:pPr>
            <w:r>
              <w:rPr>
                <w:rFonts w:asciiTheme="minorHAnsi" w:hAnsiTheme="minorHAnsi" w:cs="Arial"/>
                <w:szCs w:val="18"/>
              </w:rPr>
              <w:t>1</w:t>
            </w:r>
          </w:p>
        </w:tc>
        <w:tc>
          <w:tcPr>
            <w:tcW w:w="1000" w:type="pct"/>
            <w:vAlign w:val="center"/>
          </w:tcPr>
          <w:p w14:paraId="7598A5D7" w14:textId="14B88447" w:rsidR="001409A7" w:rsidRDefault="001409A7">
            <w:pPr>
              <w:pStyle w:val="Tabletext"/>
              <w:jc w:val="right"/>
              <w:rPr>
                <w:rFonts w:asciiTheme="minorHAnsi" w:hAnsiTheme="minorHAnsi"/>
                <w:szCs w:val="18"/>
              </w:rPr>
            </w:pPr>
            <w:r>
              <w:rPr>
                <w:rFonts w:asciiTheme="minorHAnsi" w:hAnsiTheme="minorHAnsi" w:cs="Arial"/>
                <w:szCs w:val="18"/>
              </w:rPr>
              <w:t>97.6</w:t>
            </w:r>
          </w:p>
        </w:tc>
      </w:tr>
      <w:tr w:rsidR="001409A7" w14:paraId="6B67B91F" w14:textId="77777777" w:rsidTr="003C0FB0">
        <w:trPr>
          <w:cantSplit/>
          <w:tblHeader/>
          <w:jc w:val="center"/>
        </w:trPr>
        <w:tc>
          <w:tcPr>
            <w:tcW w:w="1000" w:type="pct"/>
            <w:shd w:val="clear" w:color="auto" w:fill="auto"/>
            <w:vAlign w:val="center"/>
          </w:tcPr>
          <w:p w14:paraId="5244303C" w14:textId="77777777" w:rsidR="001409A7" w:rsidRDefault="001409A7">
            <w:pPr>
              <w:pStyle w:val="Tabletext"/>
            </w:pPr>
            <w:r>
              <w:t>Standard plate count</w:t>
            </w:r>
          </w:p>
        </w:tc>
        <w:tc>
          <w:tcPr>
            <w:tcW w:w="1000" w:type="pct"/>
            <w:vAlign w:val="center"/>
          </w:tcPr>
          <w:p w14:paraId="1CFB5F04" w14:textId="77777777" w:rsidR="001409A7" w:rsidRDefault="001409A7">
            <w:pPr>
              <w:pStyle w:val="Tabletext"/>
              <w:jc w:val="right"/>
              <w:rPr>
                <w:rFonts w:asciiTheme="minorHAnsi" w:hAnsiTheme="minorHAnsi"/>
                <w:szCs w:val="18"/>
              </w:rPr>
            </w:pPr>
            <w:r>
              <w:rPr>
                <w:rFonts w:asciiTheme="minorHAnsi" w:hAnsiTheme="minorHAnsi" w:cs="Arial"/>
                <w:bCs/>
                <w:szCs w:val="18"/>
              </w:rPr>
              <w:t>42</w:t>
            </w:r>
          </w:p>
        </w:tc>
        <w:tc>
          <w:tcPr>
            <w:tcW w:w="904" w:type="pct"/>
            <w:shd w:val="clear" w:color="auto" w:fill="auto"/>
            <w:vAlign w:val="center"/>
          </w:tcPr>
          <w:p w14:paraId="7278E189" w14:textId="378B7DD8" w:rsidR="001409A7" w:rsidRDefault="001409A7">
            <w:pPr>
              <w:pStyle w:val="Tabletext"/>
              <w:jc w:val="right"/>
              <w:rPr>
                <w:rFonts w:asciiTheme="minorHAnsi" w:hAnsiTheme="minorHAnsi"/>
                <w:szCs w:val="18"/>
              </w:rPr>
            </w:pPr>
            <w:r>
              <w:rPr>
                <w:rFonts w:asciiTheme="minorHAnsi" w:hAnsiTheme="minorHAnsi" w:cs="Arial"/>
                <w:szCs w:val="18"/>
              </w:rPr>
              <w:t>42</w:t>
            </w:r>
          </w:p>
        </w:tc>
        <w:tc>
          <w:tcPr>
            <w:tcW w:w="1096" w:type="pct"/>
            <w:vAlign w:val="center"/>
          </w:tcPr>
          <w:p w14:paraId="36BD6634" w14:textId="7D678FFF"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227130BE" w14:textId="62AA34ED"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4AD36D82" w14:textId="77777777" w:rsidTr="003C0FB0">
        <w:trPr>
          <w:cantSplit/>
          <w:tblHeader/>
          <w:jc w:val="center"/>
        </w:trPr>
        <w:tc>
          <w:tcPr>
            <w:tcW w:w="1000" w:type="pct"/>
            <w:shd w:val="clear" w:color="auto" w:fill="auto"/>
            <w:vAlign w:val="center"/>
          </w:tcPr>
          <w:p w14:paraId="0535BAC6" w14:textId="77777777" w:rsidR="001409A7" w:rsidRDefault="001409A7">
            <w:pPr>
              <w:pStyle w:val="Tabletext"/>
              <w:rPr>
                <w:i/>
              </w:rPr>
            </w:pPr>
            <w:r>
              <w:rPr>
                <w:i/>
              </w:rPr>
              <w:t xml:space="preserve">Vibrio </w:t>
            </w:r>
            <w:proofErr w:type="spellStart"/>
            <w:r>
              <w:rPr>
                <w:i/>
              </w:rPr>
              <w:t>cholerae</w:t>
            </w:r>
            <w:proofErr w:type="spellEnd"/>
          </w:p>
        </w:tc>
        <w:tc>
          <w:tcPr>
            <w:tcW w:w="1000" w:type="pct"/>
            <w:vAlign w:val="center"/>
          </w:tcPr>
          <w:p w14:paraId="794AEF9B" w14:textId="77777777" w:rsidR="001409A7" w:rsidRDefault="001409A7">
            <w:pPr>
              <w:pStyle w:val="Tabletext"/>
              <w:jc w:val="right"/>
              <w:rPr>
                <w:rFonts w:asciiTheme="minorHAnsi" w:hAnsiTheme="minorHAnsi"/>
                <w:szCs w:val="18"/>
              </w:rPr>
            </w:pPr>
            <w:r>
              <w:rPr>
                <w:rFonts w:asciiTheme="minorHAnsi" w:hAnsiTheme="minorHAnsi" w:cs="Arial"/>
                <w:bCs/>
                <w:szCs w:val="18"/>
              </w:rPr>
              <w:t>26</w:t>
            </w:r>
          </w:p>
        </w:tc>
        <w:tc>
          <w:tcPr>
            <w:tcW w:w="904" w:type="pct"/>
            <w:shd w:val="clear" w:color="auto" w:fill="auto"/>
            <w:vAlign w:val="center"/>
          </w:tcPr>
          <w:p w14:paraId="4AD6F78E" w14:textId="6D7C9B2C" w:rsidR="001409A7" w:rsidRDefault="001409A7">
            <w:pPr>
              <w:pStyle w:val="Tabletext"/>
              <w:jc w:val="right"/>
              <w:rPr>
                <w:rFonts w:asciiTheme="minorHAnsi" w:hAnsiTheme="minorHAnsi"/>
                <w:szCs w:val="18"/>
              </w:rPr>
            </w:pPr>
            <w:r>
              <w:rPr>
                <w:rFonts w:asciiTheme="minorHAnsi" w:hAnsiTheme="minorHAnsi" w:cs="Arial"/>
                <w:szCs w:val="18"/>
              </w:rPr>
              <w:t>26</w:t>
            </w:r>
          </w:p>
        </w:tc>
        <w:tc>
          <w:tcPr>
            <w:tcW w:w="1096" w:type="pct"/>
            <w:vAlign w:val="center"/>
          </w:tcPr>
          <w:p w14:paraId="694BB564" w14:textId="6059DCD8" w:rsidR="001409A7" w:rsidRDefault="001409A7">
            <w:pPr>
              <w:pStyle w:val="Tabletext"/>
              <w:jc w:val="right"/>
              <w:rPr>
                <w:rFonts w:asciiTheme="minorHAnsi" w:hAnsiTheme="minorHAnsi" w:cs="Arial"/>
                <w:szCs w:val="18"/>
              </w:rPr>
            </w:pPr>
            <w:r>
              <w:rPr>
                <w:rFonts w:asciiTheme="minorHAnsi" w:hAnsiTheme="minorHAnsi" w:cs="Arial"/>
                <w:szCs w:val="18"/>
              </w:rPr>
              <w:t>0</w:t>
            </w:r>
          </w:p>
        </w:tc>
        <w:tc>
          <w:tcPr>
            <w:tcW w:w="1000" w:type="pct"/>
            <w:vAlign w:val="center"/>
          </w:tcPr>
          <w:p w14:paraId="33E3F24E" w14:textId="1B06A745" w:rsidR="001409A7" w:rsidRDefault="001409A7">
            <w:pPr>
              <w:pStyle w:val="Tabletext"/>
              <w:jc w:val="right"/>
              <w:rPr>
                <w:rFonts w:asciiTheme="minorHAnsi" w:hAnsiTheme="minorHAnsi"/>
                <w:szCs w:val="18"/>
              </w:rPr>
            </w:pPr>
            <w:r>
              <w:rPr>
                <w:rFonts w:asciiTheme="minorHAnsi" w:hAnsiTheme="minorHAnsi" w:cs="Arial"/>
                <w:szCs w:val="18"/>
              </w:rPr>
              <w:t>100</w:t>
            </w:r>
          </w:p>
        </w:tc>
      </w:tr>
      <w:tr w:rsidR="001409A7" w14:paraId="24784BFE" w14:textId="77777777" w:rsidTr="003C0FB0">
        <w:trPr>
          <w:cantSplit/>
          <w:tblHeader/>
          <w:jc w:val="center"/>
        </w:trPr>
        <w:tc>
          <w:tcPr>
            <w:tcW w:w="1000" w:type="pct"/>
            <w:shd w:val="clear" w:color="auto" w:fill="auto"/>
            <w:vAlign w:val="center"/>
          </w:tcPr>
          <w:p w14:paraId="2C1CDF88" w14:textId="77777777" w:rsidR="001409A7" w:rsidRDefault="001409A7">
            <w:pPr>
              <w:pStyle w:val="Tabletext"/>
              <w:rPr>
                <w:b/>
              </w:rPr>
            </w:pPr>
            <w:r>
              <w:rPr>
                <w:b/>
              </w:rPr>
              <w:t>Total</w:t>
            </w:r>
          </w:p>
        </w:tc>
        <w:tc>
          <w:tcPr>
            <w:tcW w:w="1000" w:type="pct"/>
            <w:vAlign w:val="center"/>
          </w:tcPr>
          <w:p w14:paraId="6AB82CEF" w14:textId="77777777" w:rsidR="001409A7" w:rsidRDefault="001409A7">
            <w:pPr>
              <w:pStyle w:val="Tabletext"/>
              <w:jc w:val="right"/>
              <w:rPr>
                <w:rFonts w:asciiTheme="minorHAnsi" w:hAnsiTheme="minorHAnsi"/>
                <w:szCs w:val="18"/>
              </w:rPr>
            </w:pPr>
            <w:r>
              <w:rPr>
                <w:rFonts w:asciiTheme="minorHAnsi" w:hAnsiTheme="minorHAnsi" w:cs="Arial"/>
                <w:bCs/>
                <w:szCs w:val="18"/>
              </w:rPr>
              <w:t>423</w:t>
            </w:r>
          </w:p>
        </w:tc>
        <w:tc>
          <w:tcPr>
            <w:tcW w:w="904" w:type="pct"/>
            <w:shd w:val="clear" w:color="auto" w:fill="auto"/>
            <w:vAlign w:val="center"/>
          </w:tcPr>
          <w:p w14:paraId="36A0C66F" w14:textId="6456942A" w:rsidR="001409A7" w:rsidRDefault="001409A7">
            <w:pPr>
              <w:pStyle w:val="Tabletext"/>
              <w:jc w:val="right"/>
              <w:rPr>
                <w:rFonts w:asciiTheme="minorHAnsi" w:hAnsiTheme="minorHAnsi"/>
                <w:szCs w:val="18"/>
              </w:rPr>
            </w:pPr>
            <w:r>
              <w:rPr>
                <w:rFonts w:asciiTheme="minorHAnsi" w:hAnsiTheme="minorHAnsi" w:cs="Arial"/>
                <w:szCs w:val="18"/>
              </w:rPr>
              <w:t>420</w:t>
            </w:r>
          </w:p>
        </w:tc>
        <w:tc>
          <w:tcPr>
            <w:tcW w:w="1096" w:type="pct"/>
            <w:vAlign w:val="center"/>
          </w:tcPr>
          <w:p w14:paraId="3475E23B" w14:textId="687F02B8" w:rsidR="001409A7" w:rsidRDefault="001409A7">
            <w:pPr>
              <w:pStyle w:val="Tabletext"/>
              <w:jc w:val="right"/>
              <w:rPr>
                <w:rFonts w:asciiTheme="minorHAnsi" w:hAnsiTheme="minorHAnsi" w:cs="Arial"/>
                <w:szCs w:val="18"/>
              </w:rPr>
            </w:pPr>
            <w:r>
              <w:rPr>
                <w:rFonts w:asciiTheme="minorHAnsi" w:hAnsiTheme="minorHAnsi" w:cs="Arial"/>
                <w:szCs w:val="18"/>
              </w:rPr>
              <w:t>3</w:t>
            </w:r>
          </w:p>
        </w:tc>
        <w:tc>
          <w:tcPr>
            <w:tcW w:w="1000" w:type="pct"/>
            <w:vAlign w:val="center"/>
          </w:tcPr>
          <w:p w14:paraId="50E96298" w14:textId="187AA76E" w:rsidR="001409A7" w:rsidRDefault="001409A7">
            <w:pPr>
              <w:pStyle w:val="Tabletext"/>
              <w:jc w:val="right"/>
              <w:rPr>
                <w:rFonts w:asciiTheme="minorHAnsi" w:hAnsiTheme="minorHAnsi"/>
                <w:szCs w:val="18"/>
              </w:rPr>
            </w:pPr>
            <w:r>
              <w:rPr>
                <w:rFonts w:asciiTheme="minorHAnsi" w:hAnsiTheme="minorHAnsi" w:cs="Arial"/>
                <w:szCs w:val="18"/>
              </w:rPr>
              <w:t>99.3</w:t>
            </w:r>
          </w:p>
        </w:tc>
      </w:tr>
    </w:tbl>
    <w:p w14:paraId="360822E5" w14:textId="77777777" w:rsidR="00A072D0" w:rsidRDefault="009576A5">
      <w:pPr>
        <w:pStyle w:val="Caption"/>
      </w:pPr>
      <w:bookmarkStart w:id="68" w:name="_Toc469062417"/>
      <w:bookmarkStart w:id="69" w:name="_Toc367781898"/>
      <w:bookmarkStart w:id="70" w:name="_Toc369764304"/>
      <w:r>
        <w:t xml:space="preserve">Table </w:t>
      </w:r>
      <w:r w:rsidR="00E70443">
        <w:fldChar w:fldCharType="begin"/>
      </w:r>
      <w:r w:rsidR="00E70443">
        <w:instrText xml:space="preserve"> SEQ Table \* ARABIC </w:instrText>
      </w:r>
      <w:r w:rsidR="00E70443">
        <w:fldChar w:fldCharType="separate"/>
      </w:r>
      <w:r w:rsidR="00E70443">
        <w:rPr>
          <w:noProof/>
        </w:rPr>
        <w:t>15</w:t>
      </w:r>
      <w:r w:rsidR="00E70443">
        <w:rPr>
          <w:noProof/>
        </w:rPr>
        <w:fldChar w:fldCharType="end"/>
      </w:r>
      <w:r>
        <w:t xml:space="preserve"> Compliance for composition analytical testing, China</w:t>
      </w:r>
      <w:bookmarkEnd w:id="68"/>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1409A7" w14:paraId="1336738D" w14:textId="77777777" w:rsidTr="003C0FB0">
        <w:trPr>
          <w:cantSplit/>
          <w:tblHeader/>
          <w:jc w:val="center"/>
        </w:trPr>
        <w:tc>
          <w:tcPr>
            <w:tcW w:w="1000" w:type="pct"/>
            <w:shd w:val="clear" w:color="auto" w:fill="auto"/>
          </w:tcPr>
          <w:p w14:paraId="712F79F0" w14:textId="77777777" w:rsidR="001409A7" w:rsidRDefault="001409A7">
            <w:pPr>
              <w:pStyle w:val="Tableheading"/>
            </w:pPr>
            <w:r>
              <w:t>Microbial agent</w:t>
            </w:r>
          </w:p>
        </w:tc>
        <w:tc>
          <w:tcPr>
            <w:tcW w:w="1000" w:type="pct"/>
          </w:tcPr>
          <w:p w14:paraId="4565E8B8" w14:textId="77777777" w:rsidR="001409A7" w:rsidRDefault="001409A7">
            <w:pPr>
              <w:pStyle w:val="Tableheading"/>
              <w:jc w:val="right"/>
            </w:pPr>
            <w:r>
              <w:t>No. of tests applied</w:t>
            </w:r>
          </w:p>
        </w:tc>
        <w:tc>
          <w:tcPr>
            <w:tcW w:w="904" w:type="pct"/>
            <w:shd w:val="clear" w:color="auto" w:fill="auto"/>
          </w:tcPr>
          <w:p w14:paraId="719DB07C" w14:textId="1B24CF24" w:rsidR="001409A7" w:rsidRDefault="001409A7" w:rsidP="001409A7">
            <w:pPr>
              <w:pStyle w:val="Tableheading"/>
              <w:jc w:val="right"/>
            </w:pPr>
            <w:r>
              <w:t>No. compliant</w:t>
            </w:r>
          </w:p>
        </w:tc>
        <w:tc>
          <w:tcPr>
            <w:tcW w:w="1096" w:type="pct"/>
          </w:tcPr>
          <w:p w14:paraId="749E20B6" w14:textId="696B71AE" w:rsidR="001409A7" w:rsidRDefault="001409A7">
            <w:pPr>
              <w:pStyle w:val="Tableheading"/>
              <w:jc w:val="right"/>
            </w:pPr>
            <w:r>
              <w:t>No. non-compliant</w:t>
            </w:r>
          </w:p>
        </w:tc>
        <w:tc>
          <w:tcPr>
            <w:tcW w:w="1000" w:type="pct"/>
          </w:tcPr>
          <w:p w14:paraId="4988767D" w14:textId="3CE9E90B" w:rsidR="001409A7" w:rsidRDefault="001409A7">
            <w:pPr>
              <w:pStyle w:val="Tableheading"/>
              <w:jc w:val="right"/>
            </w:pPr>
            <w:r>
              <w:t>Compliance rate (%)</w:t>
            </w:r>
          </w:p>
        </w:tc>
      </w:tr>
      <w:tr w:rsidR="001409A7" w14:paraId="5A80B2E1" w14:textId="77777777" w:rsidTr="003C0FB0">
        <w:trPr>
          <w:cantSplit/>
          <w:tblHeader/>
          <w:jc w:val="center"/>
        </w:trPr>
        <w:tc>
          <w:tcPr>
            <w:tcW w:w="1000" w:type="pct"/>
            <w:shd w:val="clear" w:color="auto" w:fill="auto"/>
            <w:vAlign w:val="center"/>
          </w:tcPr>
          <w:p w14:paraId="2AFBAF68" w14:textId="77777777" w:rsidR="001409A7" w:rsidRDefault="001409A7">
            <w:pPr>
              <w:pStyle w:val="Tabletext"/>
            </w:pPr>
            <w:r>
              <w:t>Allergen – Dairy</w:t>
            </w:r>
          </w:p>
        </w:tc>
        <w:tc>
          <w:tcPr>
            <w:tcW w:w="1000" w:type="pct"/>
            <w:vAlign w:val="center"/>
          </w:tcPr>
          <w:p w14:paraId="1484F1B1" w14:textId="77777777" w:rsidR="001409A7" w:rsidRDefault="001409A7">
            <w:pPr>
              <w:pStyle w:val="Tabletext"/>
              <w:jc w:val="right"/>
              <w:rPr>
                <w:szCs w:val="18"/>
              </w:rPr>
            </w:pPr>
            <w:r>
              <w:rPr>
                <w:rFonts w:cs="Arial"/>
                <w:bCs/>
                <w:szCs w:val="18"/>
              </w:rPr>
              <w:t>1</w:t>
            </w:r>
          </w:p>
        </w:tc>
        <w:tc>
          <w:tcPr>
            <w:tcW w:w="904" w:type="pct"/>
            <w:shd w:val="clear" w:color="auto" w:fill="auto"/>
            <w:vAlign w:val="center"/>
          </w:tcPr>
          <w:p w14:paraId="4B38BCA9" w14:textId="741C186E" w:rsidR="001409A7" w:rsidRDefault="002A0F0C">
            <w:pPr>
              <w:pStyle w:val="Tabletext"/>
              <w:jc w:val="right"/>
              <w:rPr>
                <w:szCs w:val="18"/>
              </w:rPr>
            </w:pPr>
            <w:r>
              <w:rPr>
                <w:rFonts w:cs="Arial"/>
                <w:szCs w:val="18"/>
              </w:rPr>
              <w:t>0</w:t>
            </w:r>
          </w:p>
        </w:tc>
        <w:tc>
          <w:tcPr>
            <w:tcW w:w="1096" w:type="pct"/>
            <w:vAlign w:val="center"/>
          </w:tcPr>
          <w:p w14:paraId="1FBAB6FD" w14:textId="74E23476" w:rsidR="001409A7" w:rsidRDefault="002A0F0C">
            <w:pPr>
              <w:pStyle w:val="Tabletext"/>
              <w:jc w:val="right"/>
              <w:rPr>
                <w:rFonts w:cs="Arial"/>
                <w:szCs w:val="18"/>
              </w:rPr>
            </w:pPr>
            <w:r>
              <w:rPr>
                <w:rFonts w:cs="Arial"/>
                <w:szCs w:val="18"/>
              </w:rPr>
              <w:t>1</w:t>
            </w:r>
          </w:p>
        </w:tc>
        <w:tc>
          <w:tcPr>
            <w:tcW w:w="1000" w:type="pct"/>
            <w:vAlign w:val="center"/>
          </w:tcPr>
          <w:p w14:paraId="5AAA836C" w14:textId="7159DE86" w:rsidR="001409A7" w:rsidRDefault="001409A7">
            <w:pPr>
              <w:pStyle w:val="Tabletext"/>
              <w:jc w:val="right"/>
              <w:rPr>
                <w:szCs w:val="18"/>
              </w:rPr>
            </w:pPr>
            <w:r>
              <w:rPr>
                <w:rFonts w:cs="Arial"/>
                <w:szCs w:val="18"/>
              </w:rPr>
              <w:t>0</w:t>
            </w:r>
          </w:p>
        </w:tc>
      </w:tr>
      <w:tr w:rsidR="001409A7" w14:paraId="382BB41D" w14:textId="77777777" w:rsidTr="003C0FB0">
        <w:trPr>
          <w:cantSplit/>
          <w:tblHeader/>
          <w:jc w:val="center"/>
        </w:trPr>
        <w:tc>
          <w:tcPr>
            <w:tcW w:w="1000" w:type="pct"/>
            <w:shd w:val="clear" w:color="auto" w:fill="auto"/>
            <w:vAlign w:val="center"/>
          </w:tcPr>
          <w:p w14:paraId="165B4A1E" w14:textId="77777777" w:rsidR="001409A7" w:rsidRDefault="001409A7">
            <w:pPr>
              <w:pStyle w:val="Tabletext"/>
            </w:pPr>
            <w:r>
              <w:t>C4 adulteration</w:t>
            </w:r>
          </w:p>
        </w:tc>
        <w:tc>
          <w:tcPr>
            <w:tcW w:w="1000" w:type="pct"/>
            <w:vAlign w:val="center"/>
          </w:tcPr>
          <w:p w14:paraId="47371559" w14:textId="77777777" w:rsidR="001409A7" w:rsidRDefault="001409A7">
            <w:pPr>
              <w:pStyle w:val="Tabletext"/>
              <w:jc w:val="right"/>
              <w:rPr>
                <w:szCs w:val="18"/>
              </w:rPr>
            </w:pPr>
            <w:r>
              <w:rPr>
                <w:rFonts w:cs="Arial"/>
                <w:bCs/>
                <w:szCs w:val="18"/>
              </w:rPr>
              <w:t>2</w:t>
            </w:r>
          </w:p>
        </w:tc>
        <w:tc>
          <w:tcPr>
            <w:tcW w:w="904" w:type="pct"/>
            <w:shd w:val="clear" w:color="auto" w:fill="auto"/>
            <w:vAlign w:val="center"/>
          </w:tcPr>
          <w:p w14:paraId="273AD6DE" w14:textId="12650B5D" w:rsidR="001409A7" w:rsidRDefault="002A0F0C">
            <w:pPr>
              <w:pStyle w:val="Tabletext"/>
              <w:jc w:val="right"/>
              <w:rPr>
                <w:szCs w:val="18"/>
              </w:rPr>
            </w:pPr>
            <w:r>
              <w:rPr>
                <w:rFonts w:cs="Arial"/>
                <w:szCs w:val="18"/>
              </w:rPr>
              <w:t>2</w:t>
            </w:r>
          </w:p>
        </w:tc>
        <w:tc>
          <w:tcPr>
            <w:tcW w:w="1096" w:type="pct"/>
            <w:vAlign w:val="center"/>
          </w:tcPr>
          <w:p w14:paraId="0DBD7FE1" w14:textId="49719AFE" w:rsidR="001409A7" w:rsidRDefault="002A0F0C">
            <w:pPr>
              <w:pStyle w:val="Tabletext"/>
              <w:jc w:val="right"/>
              <w:rPr>
                <w:rFonts w:cs="Arial"/>
                <w:szCs w:val="18"/>
              </w:rPr>
            </w:pPr>
            <w:r>
              <w:rPr>
                <w:rFonts w:cs="Arial"/>
                <w:szCs w:val="18"/>
              </w:rPr>
              <w:t>0</w:t>
            </w:r>
          </w:p>
        </w:tc>
        <w:tc>
          <w:tcPr>
            <w:tcW w:w="1000" w:type="pct"/>
            <w:vAlign w:val="center"/>
          </w:tcPr>
          <w:p w14:paraId="1751CCD5" w14:textId="590AC892" w:rsidR="001409A7" w:rsidRDefault="001409A7">
            <w:pPr>
              <w:pStyle w:val="Tabletext"/>
              <w:jc w:val="right"/>
              <w:rPr>
                <w:szCs w:val="18"/>
              </w:rPr>
            </w:pPr>
            <w:r>
              <w:rPr>
                <w:rFonts w:cs="Arial"/>
                <w:szCs w:val="18"/>
              </w:rPr>
              <w:t>100</w:t>
            </w:r>
          </w:p>
        </w:tc>
      </w:tr>
      <w:tr w:rsidR="001409A7" w14:paraId="113DAA11" w14:textId="77777777" w:rsidTr="003C0FB0">
        <w:trPr>
          <w:cantSplit/>
          <w:tblHeader/>
          <w:jc w:val="center"/>
        </w:trPr>
        <w:tc>
          <w:tcPr>
            <w:tcW w:w="1000" w:type="pct"/>
            <w:shd w:val="clear" w:color="auto" w:fill="auto"/>
            <w:vAlign w:val="center"/>
          </w:tcPr>
          <w:p w14:paraId="7FA980DE" w14:textId="77777777" w:rsidR="001409A7" w:rsidRDefault="001409A7">
            <w:pPr>
              <w:pStyle w:val="Tabletext"/>
            </w:pPr>
            <w:r>
              <w:t>Moisture content</w:t>
            </w:r>
          </w:p>
        </w:tc>
        <w:tc>
          <w:tcPr>
            <w:tcW w:w="1000" w:type="pct"/>
            <w:vAlign w:val="center"/>
          </w:tcPr>
          <w:p w14:paraId="24C1B7AA" w14:textId="77777777" w:rsidR="001409A7" w:rsidRDefault="001409A7">
            <w:pPr>
              <w:pStyle w:val="Tabletext"/>
              <w:jc w:val="right"/>
              <w:rPr>
                <w:szCs w:val="18"/>
              </w:rPr>
            </w:pPr>
            <w:r>
              <w:rPr>
                <w:rFonts w:cs="Arial"/>
                <w:bCs/>
                <w:szCs w:val="18"/>
              </w:rPr>
              <w:t>2</w:t>
            </w:r>
          </w:p>
        </w:tc>
        <w:tc>
          <w:tcPr>
            <w:tcW w:w="904" w:type="pct"/>
            <w:shd w:val="clear" w:color="auto" w:fill="auto"/>
            <w:vAlign w:val="center"/>
          </w:tcPr>
          <w:p w14:paraId="36AFC7B4" w14:textId="7B274B15" w:rsidR="001409A7" w:rsidRDefault="002A0F0C">
            <w:pPr>
              <w:pStyle w:val="Tabletext"/>
              <w:jc w:val="right"/>
              <w:rPr>
                <w:szCs w:val="18"/>
              </w:rPr>
            </w:pPr>
            <w:r>
              <w:rPr>
                <w:rFonts w:cs="Arial"/>
                <w:szCs w:val="18"/>
              </w:rPr>
              <w:t>2</w:t>
            </w:r>
          </w:p>
        </w:tc>
        <w:tc>
          <w:tcPr>
            <w:tcW w:w="1096" w:type="pct"/>
            <w:vAlign w:val="center"/>
          </w:tcPr>
          <w:p w14:paraId="50D86038" w14:textId="2D785B3E" w:rsidR="001409A7" w:rsidRDefault="002A0F0C">
            <w:pPr>
              <w:pStyle w:val="Tabletext"/>
              <w:jc w:val="right"/>
              <w:rPr>
                <w:rFonts w:cs="Arial"/>
                <w:szCs w:val="18"/>
              </w:rPr>
            </w:pPr>
            <w:r>
              <w:rPr>
                <w:rFonts w:cs="Arial"/>
                <w:szCs w:val="18"/>
              </w:rPr>
              <w:t>0</w:t>
            </w:r>
          </w:p>
        </w:tc>
        <w:tc>
          <w:tcPr>
            <w:tcW w:w="1000" w:type="pct"/>
            <w:vAlign w:val="center"/>
          </w:tcPr>
          <w:p w14:paraId="108D2128" w14:textId="39DF915D" w:rsidR="001409A7" w:rsidRDefault="001409A7">
            <w:pPr>
              <w:pStyle w:val="Tabletext"/>
              <w:jc w:val="right"/>
              <w:rPr>
                <w:szCs w:val="18"/>
              </w:rPr>
            </w:pPr>
            <w:r>
              <w:rPr>
                <w:rFonts w:cs="Arial"/>
                <w:szCs w:val="18"/>
              </w:rPr>
              <w:t>100</w:t>
            </w:r>
          </w:p>
        </w:tc>
      </w:tr>
      <w:tr w:rsidR="001409A7" w14:paraId="6AFB3207" w14:textId="77777777" w:rsidTr="003C0FB0">
        <w:trPr>
          <w:cantSplit/>
          <w:tblHeader/>
          <w:jc w:val="center"/>
        </w:trPr>
        <w:tc>
          <w:tcPr>
            <w:tcW w:w="1000" w:type="pct"/>
            <w:shd w:val="clear" w:color="auto" w:fill="auto"/>
            <w:vAlign w:val="center"/>
          </w:tcPr>
          <w:p w14:paraId="05B1F9F0" w14:textId="77777777" w:rsidR="001409A7" w:rsidRDefault="001409A7">
            <w:pPr>
              <w:pStyle w:val="Tabletext"/>
            </w:pPr>
            <w:r>
              <w:t>Reducing sugar content</w:t>
            </w:r>
          </w:p>
        </w:tc>
        <w:tc>
          <w:tcPr>
            <w:tcW w:w="1000" w:type="pct"/>
            <w:vAlign w:val="center"/>
          </w:tcPr>
          <w:p w14:paraId="17CE22AA" w14:textId="77777777" w:rsidR="001409A7" w:rsidRDefault="001409A7">
            <w:pPr>
              <w:pStyle w:val="Tabletext"/>
              <w:jc w:val="right"/>
              <w:rPr>
                <w:szCs w:val="18"/>
              </w:rPr>
            </w:pPr>
            <w:r>
              <w:rPr>
                <w:rFonts w:cs="Arial"/>
                <w:bCs/>
                <w:szCs w:val="18"/>
              </w:rPr>
              <w:t>2</w:t>
            </w:r>
          </w:p>
        </w:tc>
        <w:tc>
          <w:tcPr>
            <w:tcW w:w="904" w:type="pct"/>
            <w:shd w:val="clear" w:color="auto" w:fill="auto"/>
            <w:vAlign w:val="center"/>
          </w:tcPr>
          <w:p w14:paraId="5A148941" w14:textId="2C85E6FB" w:rsidR="001409A7" w:rsidRDefault="002A0F0C">
            <w:pPr>
              <w:pStyle w:val="Tabletext"/>
              <w:jc w:val="right"/>
              <w:rPr>
                <w:szCs w:val="18"/>
              </w:rPr>
            </w:pPr>
            <w:r>
              <w:rPr>
                <w:rFonts w:cs="Arial"/>
                <w:szCs w:val="18"/>
              </w:rPr>
              <w:t>2</w:t>
            </w:r>
          </w:p>
        </w:tc>
        <w:tc>
          <w:tcPr>
            <w:tcW w:w="1096" w:type="pct"/>
            <w:vAlign w:val="center"/>
          </w:tcPr>
          <w:p w14:paraId="74802330" w14:textId="27FAEBD9" w:rsidR="001409A7" w:rsidRDefault="002A0F0C">
            <w:pPr>
              <w:pStyle w:val="Tabletext"/>
              <w:jc w:val="right"/>
              <w:rPr>
                <w:rFonts w:cs="Arial"/>
                <w:szCs w:val="18"/>
              </w:rPr>
            </w:pPr>
            <w:r>
              <w:rPr>
                <w:rFonts w:cs="Arial"/>
                <w:szCs w:val="18"/>
              </w:rPr>
              <w:t>0</w:t>
            </w:r>
          </w:p>
        </w:tc>
        <w:tc>
          <w:tcPr>
            <w:tcW w:w="1000" w:type="pct"/>
            <w:vAlign w:val="center"/>
          </w:tcPr>
          <w:p w14:paraId="60E276FA" w14:textId="17F03078" w:rsidR="001409A7" w:rsidRDefault="001409A7">
            <w:pPr>
              <w:pStyle w:val="Tabletext"/>
              <w:jc w:val="right"/>
              <w:rPr>
                <w:szCs w:val="18"/>
              </w:rPr>
            </w:pPr>
            <w:r>
              <w:rPr>
                <w:rFonts w:cs="Arial"/>
                <w:szCs w:val="18"/>
              </w:rPr>
              <w:t>100</w:t>
            </w:r>
          </w:p>
        </w:tc>
      </w:tr>
      <w:tr w:rsidR="001409A7" w14:paraId="3B4E5674" w14:textId="77777777" w:rsidTr="003C0FB0">
        <w:trPr>
          <w:cantSplit/>
          <w:tblHeader/>
          <w:jc w:val="center"/>
        </w:trPr>
        <w:tc>
          <w:tcPr>
            <w:tcW w:w="1000" w:type="pct"/>
            <w:shd w:val="clear" w:color="auto" w:fill="auto"/>
            <w:vAlign w:val="center"/>
          </w:tcPr>
          <w:p w14:paraId="41BB353F" w14:textId="77777777" w:rsidR="001409A7" w:rsidRDefault="001409A7">
            <w:pPr>
              <w:pStyle w:val="Tabletext"/>
              <w:rPr>
                <w:b/>
              </w:rPr>
            </w:pPr>
            <w:r>
              <w:rPr>
                <w:b/>
              </w:rPr>
              <w:t>Total</w:t>
            </w:r>
          </w:p>
        </w:tc>
        <w:tc>
          <w:tcPr>
            <w:tcW w:w="1000" w:type="pct"/>
            <w:vAlign w:val="center"/>
          </w:tcPr>
          <w:p w14:paraId="45F691B8" w14:textId="77777777" w:rsidR="001409A7" w:rsidRDefault="001409A7">
            <w:pPr>
              <w:pStyle w:val="Tabletext"/>
              <w:jc w:val="right"/>
              <w:rPr>
                <w:szCs w:val="18"/>
              </w:rPr>
            </w:pPr>
            <w:r>
              <w:rPr>
                <w:rFonts w:cs="Arial"/>
                <w:bCs/>
                <w:szCs w:val="18"/>
              </w:rPr>
              <w:t>7</w:t>
            </w:r>
          </w:p>
        </w:tc>
        <w:tc>
          <w:tcPr>
            <w:tcW w:w="904" w:type="pct"/>
            <w:shd w:val="clear" w:color="auto" w:fill="auto"/>
            <w:vAlign w:val="center"/>
          </w:tcPr>
          <w:p w14:paraId="1F4125E6" w14:textId="2DAFF153" w:rsidR="001409A7" w:rsidRDefault="002A0F0C">
            <w:pPr>
              <w:pStyle w:val="Tabletext"/>
              <w:jc w:val="right"/>
              <w:rPr>
                <w:szCs w:val="18"/>
              </w:rPr>
            </w:pPr>
            <w:r>
              <w:rPr>
                <w:rFonts w:cs="Arial"/>
                <w:szCs w:val="18"/>
              </w:rPr>
              <w:t>6</w:t>
            </w:r>
          </w:p>
        </w:tc>
        <w:tc>
          <w:tcPr>
            <w:tcW w:w="1096" w:type="pct"/>
            <w:vAlign w:val="center"/>
          </w:tcPr>
          <w:p w14:paraId="1EEBFC12" w14:textId="51C9C096" w:rsidR="001409A7" w:rsidRDefault="002A0F0C">
            <w:pPr>
              <w:pStyle w:val="Tabletext"/>
              <w:jc w:val="right"/>
              <w:rPr>
                <w:rFonts w:cs="Arial"/>
                <w:szCs w:val="18"/>
              </w:rPr>
            </w:pPr>
            <w:r>
              <w:rPr>
                <w:rFonts w:cs="Arial"/>
                <w:szCs w:val="18"/>
              </w:rPr>
              <w:t>1</w:t>
            </w:r>
          </w:p>
        </w:tc>
        <w:tc>
          <w:tcPr>
            <w:tcW w:w="1000" w:type="pct"/>
            <w:vAlign w:val="center"/>
          </w:tcPr>
          <w:p w14:paraId="2157AB2B" w14:textId="72D2E018" w:rsidR="001409A7" w:rsidRDefault="001409A7">
            <w:pPr>
              <w:pStyle w:val="Tabletext"/>
              <w:jc w:val="right"/>
              <w:rPr>
                <w:szCs w:val="18"/>
              </w:rPr>
            </w:pPr>
            <w:r>
              <w:rPr>
                <w:rFonts w:cs="Arial"/>
                <w:szCs w:val="18"/>
              </w:rPr>
              <w:t>85.7</w:t>
            </w:r>
          </w:p>
        </w:tc>
      </w:tr>
    </w:tbl>
    <w:p w14:paraId="0398D0B8" w14:textId="77777777" w:rsidR="00A072D0" w:rsidRDefault="009576A5" w:rsidP="003E7444">
      <w:pPr>
        <w:pStyle w:val="Heading3"/>
      </w:pPr>
      <w:bookmarkStart w:id="71" w:name="_Toc469066619"/>
      <w:r>
        <w:lastRenderedPageBreak/>
        <w:t xml:space="preserve">Analytical testing data, </w:t>
      </w:r>
      <w:bookmarkEnd w:id="69"/>
      <w:bookmarkEnd w:id="70"/>
      <w:r>
        <w:t>Thailand</w:t>
      </w:r>
      <w:bookmarkEnd w:id="71"/>
    </w:p>
    <w:p w14:paraId="188BD9C5" w14:textId="77777777" w:rsidR="00A072D0" w:rsidRDefault="009576A5">
      <w:r>
        <w:t>In the period January to June 2016, food from Thailand was subject to the second highest number of inspections in comparison with other countries inspected under the Imported Food Inspection Scheme; representing 9.6 per cent of all food lines inspected.</w:t>
      </w:r>
    </w:p>
    <w:p w14:paraId="482E1383" w14:textId="77777777" w:rsidR="00A072D0" w:rsidRDefault="009576A5">
      <w:r>
        <w:t>Of the 1 023 analytical tests applied to imported food from Thailand, five were found to be non-compliant, giving a 99.5 per cent compliance rate for tests applied.</w:t>
      </w:r>
    </w:p>
    <w:p w14:paraId="2AAF643B" w14:textId="77777777" w:rsidR="00A072D0" w:rsidRDefault="009576A5">
      <w:r>
        <w:t xml:space="preserve">Contaminant tests were the most frequently applied followed by tests for microbiological, chemical and </w:t>
      </w:r>
      <w:proofErr w:type="spellStart"/>
      <w:r>
        <w:t>non permitted</w:t>
      </w:r>
      <w:proofErr w:type="spellEnd"/>
      <w:r>
        <w:t xml:space="preserve"> compositional content. </w:t>
      </w:r>
    </w:p>
    <w:p w14:paraId="25A4E488" w14:textId="77777777" w:rsidR="00A072D0" w:rsidRDefault="009576A5">
      <w:pPr>
        <w:pStyle w:val="Caption"/>
      </w:pPr>
      <w:bookmarkStart w:id="72" w:name="_Toc369867495"/>
      <w:bookmarkStart w:id="73" w:name="_Toc469062418"/>
      <w:r>
        <w:t xml:space="preserve">Table </w:t>
      </w:r>
      <w:r w:rsidR="00E70443">
        <w:fldChar w:fldCharType="begin"/>
      </w:r>
      <w:r w:rsidR="00E70443">
        <w:instrText xml:space="preserve"> SEQ Table \* ARABIC </w:instrText>
      </w:r>
      <w:r w:rsidR="00E70443">
        <w:fldChar w:fldCharType="separate"/>
      </w:r>
      <w:r w:rsidR="00E70443">
        <w:rPr>
          <w:noProof/>
        </w:rPr>
        <w:t>16</w:t>
      </w:r>
      <w:r w:rsidR="00E70443">
        <w:rPr>
          <w:noProof/>
        </w:rPr>
        <w:fldChar w:fldCharType="end"/>
      </w:r>
      <w:r>
        <w:t xml:space="preserve"> Compliance for chemical tests, </w:t>
      </w:r>
      <w:bookmarkEnd w:id="72"/>
      <w:r>
        <w:t>Thailand</w:t>
      </w:r>
      <w:bookmarkEnd w:id="73"/>
    </w:p>
    <w:tbl>
      <w:tblPr>
        <w:tblW w:w="5000" w:type="pct"/>
        <w:jc w:val="center"/>
        <w:tblBorders>
          <w:top w:val="single" w:sz="4" w:space="0" w:color="auto"/>
          <w:bottom w:val="single" w:sz="4" w:space="0" w:color="auto"/>
        </w:tblBorders>
        <w:tblLook w:val="04A0" w:firstRow="1" w:lastRow="0" w:firstColumn="1" w:lastColumn="0" w:noHBand="0" w:noVBand="1"/>
      </w:tblPr>
      <w:tblGrid>
        <w:gridCol w:w="1656"/>
        <w:gridCol w:w="1461"/>
        <w:gridCol w:w="1418"/>
        <w:gridCol w:w="1985"/>
        <w:gridCol w:w="1780"/>
      </w:tblGrid>
      <w:tr w:rsidR="002A0F0C" w14:paraId="2C0508D9" w14:textId="77777777" w:rsidTr="003C0FB0">
        <w:trPr>
          <w:cantSplit/>
          <w:tblHeader/>
          <w:jc w:val="center"/>
        </w:trPr>
        <w:tc>
          <w:tcPr>
            <w:tcW w:w="998" w:type="pct"/>
            <w:shd w:val="clear" w:color="auto" w:fill="auto"/>
          </w:tcPr>
          <w:p w14:paraId="41DFF89E" w14:textId="77777777" w:rsidR="002A0F0C" w:rsidRDefault="002A0F0C">
            <w:pPr>
              <w:pStyle w:val="Tableheading"/>
            </w:pPr>
            <w:r>
              <w:t>Chemical</w:t>
            </w:r>
          </w:p>
        </w:tc>
        <w:tc>
          <w:tcPr>
            <w:tcW w:w="880" w:type="pct"/>
          </w:tcPr>
          <w:p w14:paraId="48519C9D" w14:textId="77777777" w:rsidR="002A0F0C" w:rsidRDefault="002A0F0C">
            <w:pPr>
              <w:pStyle w:val="Tableheading"/>
              <w:jc w:val="right"/>
            </w:pPr>
            <w:r>
              <w:t>No. of tests applied</w:t>
            </w:r>
          </w:p>
        </w:tc>
        <w:tc>
          <w:tcPr>
            <w:tcW w:w="854" w:type="pct"/>
            <w:shd w:val="clear" w:color="auto" w:fill="auto"/>
          </w:tcPr>
          <w:p w14:paraId="7DF21D5B" w14:textId="68D5AEB8" w:rsidR="002A0F0C" w:rsidRDefault="002A0F0C" w:rsidP="002A0F0C">
            <w:pPr>
              <w:pStyle w:val="Tableheading"/>
              <w:jc w:val="right"/>
            </w:pPr>
            <w:r>
              <w:t>No. compliant</w:t>
            </w:r>
          </w:p>
        </w:tc>
        <w:tc>
          <w:tcPr>
            <w:tcW w:w="1196" w:type="pct"/>
          </w:tcPr>
          <w:p w14:paraId="1D082C6D" w14:textId="4C3C8742" w:rsidR="002A0F0C" w:rsidRDefault="002A0F0C">
            <w:pPr>
              <w:pStyle w:val="Tableheading"/>
              <w:jc w:val="right"/>
            </w:pPr>
            <w:r>
              <w:t>No. non-compliant</w:t>
            </w:r>
          </w:p>
        </w:tc>
        <w:tc>
          <w:tcPr>
            <w:tcW w:w="1072" w:type="pct"/>
          </w:tcPr>
          <w:p w14:paraId="4C5D2298" w14:textId="372EE4B1" w:rsidR="002A0F0C" w:rsidRDefault="002A0F0C">
            <w:pPr>
              <w:pStyle w:val="Tableheading"/>
              <w:jc w:val="right"/>
            </w:pPr>
            <w:r>
              <w:t>Compliance rate (%)</w:t>
            </w:r>
          </w:p>
        </w:tc>
      </w:tr>
      <w:tr w:rsidR="002A0F0C" w14:paraId="43097CAD" w14:textId="77777777" w:rsidTr="003C0FB0">
        <w:trPr>
          <w:cantSplit/>
          <w:tblHeader/>
          <w:jc w:val="center"/>
        </w:trPr>
        <w:tc>
          <w:tcPr>
            <w:tcW w:w="998" w:type="pct"/>
            <w:shd w:val="clear" w:color="auto" w:fill="auto"/>
            <w:vAlign w:val="center"/>
          </w:tcPr>
          <w:p w14:paraId="58312853" w14:textId="77777777" w:rsidR="002A0F0C" w:rsidRDefault="002A0F0C">
            <w:pPr>
              <w:pStyle w:val="Tabletext"/>
            </w:pPr>
            <w:r>
              <w:t>Fluoroquinolones</w:t>
            </w:r>
          </w:p>
        </w:tc>
        <w:tc>
          <w:tcPr>
            <w:tcW w:w="880" w:type="pct"/>
            <w:vAlign w:val="center"/>
          </w:tcPr>
          <w:p w14:paraId="70E4DA88" w14:textId="77777777" w:rsidR="002A0F0C" w:rsidRDefault="002A0F0C">
            <w:pPr>
              <w:pStyle w:val="Tabletext"/>
              <w:jc w:val="right"/>
            </w:pPr>
            <w:r>
              <w:t>4</w:t>
            </w:r>
          </w:p>
        </w:tc>
        <w:tc>
          <w:tcPr>
            <w:tcW w:w="854" w:type="pct"/>
            <w:shd w:val="clear" w:color="auto" w:fill="auto"/>
            <w:vAlign w:val="center"/>
          </w:tcPr>
          <w:p w14:paraId="16A08034" w14:textId="61B164D7" w:rsidR="002A0F0C" w:rsidRDefault="002A0F0C">
            <w:pPr>
              <w:pStyle w:val="Tabletext"/>
              <w:jc w:val="right"/>
            </w:pPr>
            <w:r>
              <w:t>4</w:t>
            </w:r>
          </w:p>
        </w:tc>
        <w:tc>
          <w:tcPr>
            <w:tcW w:w="1196" w:type="pct"/>
            <w:vAlign w:val="center"/>
          </w:tcPr>
          <w:p w14:paraId="6C4B7666" w14:textId="6D7678D3" w:rsidR="002A0F0C" w:rsidRDefault="002A0F0C">
            <w:pPr>
              <w:pStyle w:val="Tabletext"/>
              <w:jc w:val="right"/>
            </w:pPr>
            <w:r>
              <w:t>0</w:t>
            </w:r>
          </w:p>
        </w:tc>
        <w:tc>
          <w:tcPr>
            <w:tcW w:w="1072" w:type="pct"/>
            <w:vAlign w:val="center"/>
          </w:tcPr>
          <w:p w14:paraId="26631AD7" w14:textId="5D9D0812" w:rsidR="002A0F0C" w:rsidRDefault="002A0F0C">
            <w:pPr>
              <w:pStyle w:val="Tabletext"/>
              <w:jc w:val="right"/>
            </w:pPr>
            <w:r>
              <w:t>100</w:t>
            </w:r>
          </w:p>
        </w:tc>
      </w:tr>
      <w:tr w:rsidR="002A0F0C" w14:paraId="1BCD7A45" w14:textId="77777777" w:rsidTr="003C0FB0">
        <w:trPr>
          <w:cantSplit/>
          <w:tblHeader/>
          <w:jc w:val="center"/>
        </w:trPr>
        <w:tc>
          <w:tcPr>
            <w:tcW w:w="998" w:type="pct"/>
            <w:shd w:val="clear" w:color="auto" w:fill="auto"/>
            <w:vAlign w:val="center"/>
          </w:tcPr>
          <w:p w14:paraId="5E00D921" w14:textId="77777777" w:rsidR="002A0F0C" w:rsidRDefault="002A0F0C">
            <w:pPr>
              <w:pStyle w:val="Tabletext"/>
            </w:pPr>
            <w:r>
              <w:t>Fruit &amp; veg residue screen</w:t>
            </w:r>
          </w:p>
        </w:tc>
        <w:tc>
          <w:tcPr>
            <w:tcW w:w="880" w:type="pct"/>
            <w:vAlign w:val="center"/>
          </w:tcPr>
          <w:p w14:paraId="6196B07C" w14:textId="77777777" w:rsidR="002A0F0C" w:rsidRDefault="002A0F0C">
            <w:pPr>
              <w:pStyle w:val="Tabletext"/>
              <w:jc w:val="right"/>
            </w:pPr>
            <w:r>
              <w:t>67</w:t>
            </w:r>
          </w:p>
        </w:tc>
        <w:tc>
          <w:tcPr>
            <w:tcW w:w="854" w:type="pct"/>
            <w:shd w:val="clear" w:color="auto" w:fill="auto"/>
            <w:vAlign w:val="center"/>
          </w:tcPr>
          <w:p w14:paraId="6CFD7BA8" w14:textId="16BCFC3E" w:rsidR="002A0F0C" w:rsidRDefault="002A0F0C">
            <w:pPr>
              <w:pStyle w:val="Tabletext"/>
              <w:jc w:val="right"/>
            </w:pPr>
            <w:r>
              <w:t>64</w:t>
            </w:r>
          </w:p>
        </w:tc>
        <w:tc>
          <w:tcPr>
            <w:tcW w:w="1196" w:type="pct"/>
            <w:vAlign w:val="center"/>
          </w:tcPr>
          <w:p w14:paraId="6CCAB528" w14:textId="6B259BE8" w:rsidR="002A0F0C" w:rsidRDefault="002A0F0C">
            <w:pPr>
              <w:pStyle w:val="Tabletext"/>
              <w:jc w:val="right"/>
            </w:pPr>
            <w:r>
              <w:t>3</w:t>
            </w:r>
          </w:p>
        </w:tc>
        <w:tc>
          <w:tcPr>
            <w:tcW w:w="1072" w:type="pct"/>
            <w:vAlign w:val="center"/>
          </w:tcPr>
          <w:p w14:paraId="537DCA7A" w14:textId="260A1B6C" w:rsidR="002A0F0C" w:rsidRDefault="002A0F0C">
            <w:pPr>
              <w:pStyle w:val="Tabletext"/>
              <w:jc w:val="right"/>
            </w:pPr>
            <w:r>
              <w:t>95.5</w:t>
            </w:r>
          </w:p>
        </w:tc>
      </w:tr>
      <w:tr w:rsidR="002A0F0C" w14:paraId="6FD0EB4F" w14:textId="77777777" w:rsidTr="003C0FB0">
        <w:trPr>
          <w:cantSplit/>
          <w:tblHeader/>
          <w:jc w:val="center"/>
        </w:trPr>
        <w:tc>
          <w:tcPr>
            <w:tcW w:w="998" w:type="pct"/>
            <w:shd w:val="clear" w:color="auto" w:fill="auto"/>
            <w:vAlign w:val="center"/>
          </w:tcPr>
          <w:p w14:paraId="34D87BA3" w14:textId="77777777" w:rsidR="002A0F0C" w:rsidRDefault="002A0F0C">
            <w:pPr>
              <w:pStyle w:val="Tabletext"/>
            </w:pPr>
            <w:r>
              <w:t>Malachite Green</w:t>
            </w:r>
          </w:p>
        </w:tc>
        <w:tc>
          <w:tcPr>
            <w:tcW w:w="880" w:type="pct"/>
            <w:vAlign w:val="center"/>
          </w:tcPr>
          <w:p w14:paraId="700BFC7F" w14:textId="77777777" w:rsidR="002A0F0C" w:rsidRDefault="002A0F0C">
            <w:pPr>
              <w:pStyle w:val="Tabletext"/>
              <w:jc w:val="right"/>
            </w:pPr>
            <w:r>
              <w:t>4</w:t>
            </w:r>
          </w:p>
        </w:tc>
        <w:tc>
          <w:tcPr>
            <w:tcW w:w="854" w:type="pct"/>
            <w:shd w:val="clear" w:color="auto" w:fill="auto"/>
            <w:vAlign w:val="center"/>
          </w:tcPr>
          <w:p w14:paraId="16E27DA3" w14:textId="16ECC2D2" w:rsidR="002A0F0C" w:rsidRDefault="002A0F0C">
            <w:pPr>
              <w:pStyle w:val="Tabletext"/>
              <w:jc w:val="right"/>
            </w:pPr>
            <w:r>
              <w:t>4</w:t>
            </w:r>
          </w:p>
        </w:tc>
        <w:tc>
          <w:tcPr>
            <w:tcW w:w="1196" w:type="pct"/>
            <w:vAlign w:val="center"/>
          </w:tcPr>
          <w:p w14:paraId="5B9E79BE" w14:textId="13FAADEF" w:rsidR="002A0F0C" w:rsidRDefault="002A0F0C">
            <w:pPr>
              <w:pStyle w:val="Tabletext"/>
              <w:jc w:val="right"/>
            </w:pPr>
            <w:r>
              <w:t>0</w:t>
            </w:r>
          </w:p>
        </w:tc>
        <w:tc>
          <w:tcPr>
            <w:tcW w:w="1072" w:type="pct"/>
            <w:vAlign w:val="center"/>
          </w:tcPr>
          <w:p w14:paraId="09FAA677" w14:textId="37949ED7" w:rsidR="002A0F0C" w:rsidRDefault="002A0F0C">
            <w:pPr>
              <w:pStyle w:val="Tabletext"/>
              <w:jc w:val="right"/>
            </w:pPr>
            <w:r>
              <w:t>100</w:t>
            </w:r>
          </w:p>
        </w:tc>
      </w:tr>
      <w:tr w:rsidR="002A0F0C" w14:paraId="6C8BD60B" w14:textId="77777777" w:rsidTr="003C0FB0">
        <w:trPr>
          <w:cantSplit/>
          <w:tblHeader/>
          <w:jc w:val="center"/>
        </w:trPr>
        <w:tc>
          <w:tcPr>
            <w:tcW w:w="998" w:type="pct"/>
            <w:shd w:val="clear" w:color="auto" w:fill="auto"/>
            <w:vAlign w:val="center"/>
          </w:tcPr>
          <w:p w14:paraId="3CE02BDD" w14:textId="77777777" w:rsidR="002A0F0C" w:rsidRDefault="002A0F0C">
            <w:pPr>
              <w:pStyle w:val="Tabletext"/>
            </w:pPr>
            <w:proofErr w:type="spellStart"/>
            <w:r>
              <w:t>Nitrofurans</w:t>
            </w:r>
            <w:proofErr w:type="spellEnd"/>
          </w:p>
        </w:tc>
        <w:tc>
          <w:tcPr>
            <w:tcW w:w="880" w:type="pct"/>
            <w:vAlign w:val="center"/>
          </w:tcPr>
          <w:p w14:paraId="7EFF81FE" w14:textId="77777777" w:rsidR="002A0F0C" w:rsidRDefault="002A0F0C">
            <w:pPr>
              <w:pStyle w:val="Tabletext"/>
              <w:jc w:val="right"/>
            </w:pPr>
            <w:r>
              <w:t>n/a</w:t>
            </w:r>
          </w:p>
        </w:tc>
        <w:tc>
          <w:tcPr>
            <w:tcW w:w="854" w:type="pct"/>
            <w:shd w:val="clear" w:color="auto" w:fill="auto"/>
            <w:vAlign w:val="center"/>
          </w:tcPr>
          <w:p w14:paraId="2B2ADCC5" w14:textId="77777777" w:rsidR="002A0F0C" w:rsidRDefault="002A0F0C">
            <w:pPr>
              <w:pStyle w:val="Tabletext"/>
              <w:jc w:val="right"/>
            </w:pPr>
            <w:r>
              <w:t>n/a</w:t>
            </w:r>
          </w:p>
        </w:tc>
        <w:tc>
          <w:tcPr>
            <w:tcW w:w="1196" w:type="pct"/>
            <w:vAlign w:val="center"/>
          </w:tcPr>
          <w:p w14:paraId="51F65142" w14:textId="439DBE88" w:rsidR="002A0F0C" w:rsidRDefault="002A0F0C">
            <w:pPr>
              <w:pStyle w:val="Tabletext"/>
              <w:jc w:val="right"/>
            </w:pPr>
            <w:r>
              <w:t>n/a</w:t>
            </w:r>
          </w:p>
        </w:tc>
        <w:tc>
          <w:tcPr>
            <w:tcW w:w="1072" w:type="pct"/>
            <w:vAlign w:val="center"/>
          </w:tcPr>
          <w:p w14:paraId="26642FD5" w14:textId="69B14D7B" w:rsidR="002A0F0C" w:rsidRDefault="002A0F0C">
            <w:pPr>
              <w:pStyle w:val="Tabletext"/>
              <w:jc w:val="right"/>
            </w:pPr>
            <w:r>
              <w:t>n/a</w:t>
            </w:r>
          </w:p>
        </w:tc>
      </w:tr>
      <w:tr w:rsidR="002A0F0C" w14:paraId="0B62FCC5" w14:textId="77777777" w:rsidTr="003C0FB0">
        <w:trPr>
          <w:cantSplit/>
          <w:tblHeader/>
          <w:jc w:val="center"/>
        </w:trPr>
        <w:tc>
          <w:tcPr>
            <w:tcW w:w="998" w:type="pct"/>
            <w:shd w:val="clear" w:color="auto" w:fill="auto"/>
            <w:vAlign w:val="center"/>
          </w:tcPr>
          <w:p w14:paraId="4B9F51C4" w14:textId="77777777" w:rsidR="002A0F0C" w:rsidRDefault="002A0F0C">
            <w:pPr>
              <w:pStyle w:val="Tabletext"/>
              <w:rPr>
                <w:b/>
              </w:rPr>
            </w:pPr>
            <w:r>
              <w:rPr>
                <w:b/>
              </w:rPr>
              <w:t>Total</w:t>
            </w:r>
          </w:p>
        </w:tc>
        <w:tc>
          <w:tcPr>
            <w:tcW w:w="880" w:type="pct"/>
            <w:vAlign w:val="center"/>
          </w:tcPr>
          <w:p w14:paraId="3A10AA17" w14:textId="77777777" w:rsidR="002A0F0C" w:rsidRDefault="002A0F0C">
            <w:pPr>
              <w:pStyle w:val="Tabletext"/>
              <w:jc w:val="right"/>
            </w:pPr>
            <w:r>
              <w:t>75</w:t>
            </w:r>
          </w:p>
        </w:tc>
        <w:tc>
          <w:tcPr>
            <w:tcW w:w="854" w:type="pct"/>
            <w:shd w:val="clear" w:color="auto" w:fill="auto"/>
            <w:vAlign w:val="center"/>
          </w:tcPr>
          <w:p w14:paraId="2C59FEB0" w14:textId="7CA64938" w:rsidR="002A0F0C" w:rsidRDefault="002A0F0C">
            <w:pPr>
              <w:pStyle w:val="Tabletext"/>
              <w:jc w:val="right"/>
            </w:pPr>
            <w:r>
              <w:t>72</w:t>
            </w:r>
          </w:p>
        </w:tc>
        <w:tc>
          <w:tcPr>
            <w:tcW w:w="1196" w:type="pct"/>
            <w:vAlign w:val="center"/>
          </w:tcPr>
          <w:p w14:paraId="754ACA1F" w14:textId="1253E31B" w:rsidR="002A0F0C" w:rsidRDefault="002A0F0C">
            <w:pPr>
              <w:pStyle w:val="Tabletext"/>
              <w:jc w:val="right"/>
            </w:pPr>
            <w:r>
              <w:t>3</w:t>
            </w:r>
          </w:p>
        </w:tc>
        <w:tc>
          <w:tcPr>
            <w:tcW w:w="1072" w:type="pct"/>
            <w:vAlign w:val="center"/>
          </w:tcPr>
          <w:p w14:paraId="138C609C" w14:textId="71982831" w:rsidR="002A0F0C" w:rsidRDefault="002A0F0C">
            <w:pPr>
              <w:pStyle w:val="Tabletext"/>
              <w:jc w:val="right"/>
            </w:pPr>
            <w:r>
              <w:t>96.0</w:t>
            </w:r>
          </w:p>
        </w:tc>
      </w:tr>
    </w:tbl>
    <w:p w14:paraId="6F87B89A" w14:textId="77777777" w:rsidR="00A072D0" w:rsidRDefault="009576A5">
      <w:pPr>
        <w:pStyle w:val="Caption"/>
      </w:pPr>
      <w:bookmarkStart w:id="74" w:name="_Toc369867496"/>
      <w:bookmarkStart w:id="75" w:name="_Toc469062419"/>
      <w:r>
        <w:t xml:space="preserve">Table </w:t>
      </w:r>
      <w:r w:rsidR="00E70443">
        <w:fldChar w:fldCharType="begin"/>
      </w:r>
      <w:r w:rsidR="00E70443">
        <w:instrText xml:space="preserve"> SEQ Table \* ARABIC </w:instrText>
      </w:r>
      <w:r w:rsidR="00E70443">
        <w:fldChar w:fldCharType="separate"/>
      </w:r>
      <w:r w:rsidR="00E70443">
        <w:rPr>
          <w:noProof/>
        </w:rPr>
        <w:t>17</w:t>
      </w:r>
      <w:r w:rsidR="00E70443">
        <w:rPr>
          <w:noProof/>
        </w:rPr>
        <w:fldChar w:fldCharType="end"/>
      </w:r>
      <w:r>
        <w:t xml:space="preserve"> Compliance for contaminant tests, </w:t>
      </w:r>
      <w:bookmarkEnd w:id="74"/>
      <w:r>
        <w:t>Thailand</w:t>
      </w:r>
      <w:bookmarkEnd w:id="75"/>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57"/>
        <w:gridCol w:w="1602"/>
        <w:gridCol w:w="1418"/>
        <w:gridCol w:w="1843"/>
        <w:gridCol w:w="1780"/>
      </w:tblGrid>
      <w:tr w:rsidR="002A0F0C" w14:paraId="18EC11B9" w14:textId="77777777" w:rsidTr="003C0FB0">
        <w:trPr>
          <w:cantSplit/>
          <w:tblHeader/>
          <w:jc w:val="center"/>
        </w:trPr>
        <w:tc>
          <w:tcPr>
            <w:tcW w:w="999" w:type="pct"/>
            <w:shd w:val="clear" w:color="auto" w:fill="auto"/>
          </w:tcPr>
          <w:p w14:paraId="44C1DE23" w14:textId="77777777" w:rsidR="002A0F0C" w:rsidRDefault="002A0F0C">
            <w:pPr>
              <w:pStyle w:val="Tableheading"/>
            </w:pPr>
            <w:r>
              <w:t>Contaminant</w:t>
            </w:r>
          </w:p>
        </w:tc>
        <w:tc>
          <w:tcPr>
            <w:tcW w:w="965" w:type="pct"/>
          </w:tcPr>
          <w:p w14:paraId="5C73B7A9" w14:textId="77777777" w:rsidR="002A0F0C" w:rsidRDefault="002A0F0C">
            <w:pPr>
              <w:pStyle w:val="Tableheading"/>
              <w:jc w:val="right"/>
            </w:pPr>
            <w:r>
              <w:t>No. of tests applied</w:t>
            </w:r>
          </w:p>
        </w:tc>
        <w:tc>
          <w:tcPr>
            <w:tcW w:w="854" w:type="pct"/>
            <w:shd w:val="clear" w:color="auto" w:fill="auto"/>
          </w:tcPr>
          <w:p w14:paraId="5E59AB27" w14:textId="05CA9D13" w:rsidR="002A0F0C" w:rsidRDefault="002A0F0C" w:rsidP="00DA48AE">
            <w:pPr>
              <w:pStyle w:val="Tableheading"/>
              <w:jc w:val="right"/>
            </w:pPr>
            <w:r>
              <w:t>No. compliant</w:t>
            </w:r>
          </w:p>
        </w:tc>
        <w:tc>
          <w:tcPr>
            <w:tcW w:w="1110" w:type="pct"/>
          </w:tcPr>
          <w:p w14:paraId="78F04C8A" w14:textId="2BCF06DE" w:rsidR="002A0F0C" w:rsidRDefault="00DA48AE">
            <w:pPr>
              <w:pStyle w:val="Tableheading"/>
              <w:jc w:val="right"/>
            </w:pPr>
            <w:r>
              <w:t>No. non-compliant</w:t>
            </w:r>
          </w:p>
        </w:tc>
        <w:tc>
          <w:tcPr>
            <w:tcW w:w="1072" w:type="pct"/>
          </w:tcPr>
          <w:p w14:paraId="3107F26D" w14:textId="71FC5907" w:rsidR="002A0F0C" w:rsidRDefault="002A0F0C">
            <w:pPr>
              <w:pStyle w:val="Tableheading"/>
              <w:jc w:val="right"/>
            </w:pPr>
            <w:r>
              <w:t>Compliance rate (%)</w:t>
            </w:r>
          </w:p>
        </w:tc>
      </w:tr>
      <w:tr w:rsidR="002A0F0C" w14:paraId="6B98ED54" w14:textId="77777777" w:rsidTr="003C0FB0">
        <w:trPr>
          <w:cantSplit/>
          <w:tblHeader/>
          <w:jc w:val="center"/>
        </w:trPr>
        <w:tc>
          <w:tcPr>
            <w:tcW w:w="999" w:type="pct"/>
            <w:shd w:val="clear" w:color="auto" w:fill="auto"/>
            <w:vAlign w:val="center"/>
          </w:tcPr>
          <w:p w14:paraId="33709CAE" w14:textId="77777777" w:rsidR="002A0F0C" w:rsidRDefault="002A0F0C">
            <w:pPr>
              <w:pStyle w:val="Tabletext"/>
            </w:pPr>
            <w:r>
              <w:t>Aflatoxins</w:t>
            </w:r>
          </w:p>
        </w:tc>
        <w:tc>
          <w:tcPr>
            <w:tcW w:w="965" w:type="pct"/>
            <w:vAlign w:val="bottom"/>
          </w:tcPr>
          <w:p w14:paraId="02379B14" w14:textId="77777777" w:rsidR="002A0F0C" w:rsidRDefault="002A0F0C">
            <w:pPr>
              <w:pStyle w:val="Tabletext"/>
              <w:jc w:val="right"/>
            </w:pPr>
            <w:r>
              <w:t>19</w:t>
            </w:r>
          </w:p>
        </w:tc>
        <w:tc>
          <w:tcPr>
            <w:tcW w:w="854" w:type="pct"/>
            <w:shd w:val="clear" w:color="auto" w:fill="auto"/>
            <w:vAlign w:val="bottom"/>
          </w:tcPr>
          <w:p w14:paraId="2A44F5E8" w14:textId="0E60B321" w:rsidR="002A0F0C" w:rsidRDefault="00DA48AE">
            <w:pPr>
              <w:pStyle w:val="Tabletext"/>
              <w:jc w:val="right"/>
            </w:pPr>
            <w:r>
              <w:t>19</w:t>
            </w:r>
          </w:p>
        </w:tc>
        <w:tc>
          <w:tcPr>
            <w:tcW w:w="1110" w:type="pct"/>
          </w:tcPr>
          <w:p w14:paraId="03653FDC" w14:textId="2EC4A8F2" w:rsidR="002A0F0C" w:rsidRDefault="00DA48AE">
            <w:pPr>
              <w:pStyle w:val="Tabletext"/>
              <w:jc w:val="right"/>
            </w:pPr>
            <w:r>
              <w:t>0</w:t>
            </w:r>
          </w:p>
        </w:tc>
        <w:tc>
          <w:tcPr>
            <w:tcW w:w="1072" w:type="pct"/>
          </w:tcPr>
          <w:p w14:paraId="329A7C22" w14:textId="35B532A9" w:rsidR="002A0F0C" w:rsidRDefault="002A0F0C">
            <w:pPr>
              <w:pStyle w:val="Tabletext"/>
              <w:jc w:val="right"/>
            </w:pPr>
            <w:r>
              <w:t>100</w:t>
            </w:r>
          </w:p>
        </w:tc>
      </w:tr>
      <w:tr w:rsidR="002A0F0C" w14:paraId="6C64C69E" w14:textId="77777777" w:rsidTr="003C0FB0">
        <w:trPr>
          <w:cantSplit/>
          <w:tblHeader/>
          <w:jc w:val="center"/>
        </w:trPr>
        <w:tc>
          <w:tcPr>
            <w:tcW w:w="999" w:type="pct"/>
            <w:shd w:val="clear" w:color="auto" w:fill="auto"/>
            <w:vAlign w:val="center"/>
          </w:tcPr>
          <w:p w14:paraId="64D5AC92" w14:textId="77777777" w:rsidR="002A0F0C" w:rsidRDefault="002A0F0C">
            <w:pPr>
              <w:pStyle w:val="Tabletext"/>
            </w:pPr>
            <w:r>
              <w:t>Arsenic total</w:t>
            </w:r>
          </w:p>
        </w:tc>
        <w:tc>
          <w:tcPr>
            <w:tcW w:w="965" w:type="pct"/>
            <w:vAlign w:val="bottom"/>
          </w:tcPr>
          <w:p w14:paraId="744A3D05" w14:textId="77777777" w:rsidR="002A0F0C" w:rsidRDefault="002A0F0C">
            <w:pPr>
              <w:pStyle w:val="Tabletext"/>
              <w:jc w:val="right"/>
            </w:pPr>
            <w:r>
              <w:t>95</w:t>
            </w:r>
          </w:p>
        </w:tc>
        <w:tc>
          <w:tcPr>
            <w:tcW w:w="854" w:type="pct"/>
            <w:shd w:val="clear" w:color="auto" w:fill="auto"/>
            <w:vAlign w:val="bottom"/>
          </w:tcPr>
          <w:p w14:paraId="5F13DCCE" w14:textId="05D3D866" w:rsidR="002A0F0C" w:rsidRDefault="00DA48AE">
            <w:pPr>
              <w:pStyle w:val="Tabletext"/>
              <w:jc w:val="right"/>
            </w:pPr>
            <w:r>
              <w:t>95</w:t>
            </w:r>
          </w:p>
        </w:tc>
        <w:tc>
          <w:tcPr>
            <w:tcW w:w="1110" w:type="pct"/>
          </w:tcPr>
          <w:p w14:paraId="2DC04919" w14:textId="2B217283" w:rsidR="002A0F0C" w:rsidRDefault="00DA48AE">
            <w:pPr>
              <w:pStyle w:val="Tabletext"/>
              <w:jc w:val="right"/>
            </w:pPr>
            <w:r>
              <w:t>0</w:t>
            </w:r>
          </w:p>
        </w:tc>
        <w:tc>
          <w:tcPr>
            <w:tcW w:w="1072" w:type="pct"/>
          </w:tcPr>
          <w:p w14:paraId="180AAB92" w14:textId="5E4F92D1" w:rsidR="002A0F0C" w:rsidRDefault="002A0F0C">
            <w:pPr>
              <w:pStyle w:val="Tabletext"/>
              <w:jc w:val="right"/>
            </w:pPr>
            <w:r>
              <w:t>100</w:t>
            </w:r>
          </w:p>
        </w:tc>
      </w:tr>
      <w:tr w:rsidR="002A0F0C" w14:paraId="41927572" w14:textId="77777777" w:rsidTr="003C0FB0">
        <w:trPr>
          <w:cantSplit/>
          <w:tblHeader/>
          <w:jc w:val="center"/>
        </w:trPr>
        <w:tc>
          <w:tcPr>
            <w:tcW w:w="999" w:type="pct"/>
            <w:shd w:val="clear" w:color="auto" w:fill="auto"/>
            <w:vAlign w:val="center"/>
          </w:tcPr>
          <w:p w14:paraId="71249FA5" w14:textId="77777777" w:rsidR="002A0F0C" w:rsidRDefault="002A0F0C">
            <w:pPr>
              <w:pStyle w:val="Tabletext"/>
            </w:pPr>
            <w:proofErr w:type="spellStart"/>
            <w:r>
              <w:t>Domoic</w:t>
            </w:r>
            <w:proofErr w:type="spellEnd"/>
            <w:r>
              <w:t xml:space="preserve"> acid</w:t>
            </w:r>
          </w:p>
        </w:tc>
        <w:tc>
          <w:tcPr>
            <w:tcW w:w="965" w:type="pct"/>
            <w:vAlign w:val="bottom"/>
          </w:tcPr>
          <w:p w14:paraId="250D6DB6" w14:textId="77777777" w:rsidR="002A0F0C" w:rsidRDefault="002A0F0C">
            <w:pPr>
              <w:pStyle w:val="Tabletext"/>
              <w:jc w:val="right"/>
            </w:pPr>
            <w:r>
              <w:t>15</w:t>
            </w:r>
          </w:p>
        </w:tc>
        <w:tc>
          <w:tcPr>
            <w:tcW w:w="854" w:type="pct"/>
            <w:shd w:val="clear" w:color="auto" w:fill="auto"/>
            <w:vAlign w:val="bottom"/>
          </w:tcPr>
          <w:p w14:paraId="0F36A0D5" w14:textId="1492D7EE" w:rsidR="002A0F0C" w:rsidRDefault="00DA48AE">
            <w:pPr>
              <w:pStyle w:val="Tabletext"/>
              <w:jc w:val="right"/>
            </w:pPr>
            <w:r>
              <w:t>15</w:t>
            </w:r>
          </w:p>
        </w:tc>
        <w:tc>
          <w:tcPr>
            <w:tcW w:w="1110" w:type="pct"/>
          </w:tcPr>
          <w:p w14:paraId="3DA32F8E" w14:textId="6072744A" w:rsidR="002A0F0C" w:rsidRDefault="00DA48AE">
            <w:pPr>
              <w:pStyle w:val="Tabletext"/>
              <w:jc w:val="right"/>
            </w:pPr>
            <w:r>
              <w:t>0</w:t>
            </w:r>
          </w:p>
        </w:tc>
        <w:tc>
          <w:tcPr>
            <w:tcW w:w="1072" w:type="pct"/>
          </w:tcPr>
          <w:p w14:paraId="3DC4CA52" w14:textId="44C11082" w:rsidR="002A0F0C" w:rsidRDefault="002A0F0C">
            <w:pPr>
              <w:pStyle w:val="Tabletext"/>
              <w:jc w:val="right"/>
            </w:pPr>
            <w:r>
              <w:t>100</w:t>
            </w:r>
          </w:p>
        </w:tc>
      </w:tr>
      <w:tr w:rsidR="002A0F0C" w14:paraId="4A497357" w14:textId="77777777" w:rsidTr="003C0FB0">
        <w:trPr>
          <w:cantSplit/>
          <w:tblHeader/>
          <w:jc w:val="center"/>
        </w:trPr>
        <w:tc>
          <w:tcPr>
            <w:tcW w:w="999" w:type="pct"/>
            <w:shd w:val="clear" w:color="auto" w:fill="auto"/>
            <w:vAlign w:val="center"/>
          </w:tcPr>
          <w:p w14:paraId="2AB05F19" w14:textId="77777777" w:rsidR="002A0F0C" w:rsidRDefault="002A0F0C">
            <w:pPr>
              <w:pStyle w:val="Tabletext"/>
            </w:pPr>
            <w:r>
              <w:t>Histamine</w:t>
            </w:r>
          </w:p>
        </w:tc>
        <w:tc>
          <w:tcPr>
            <w:tcW w:w="965" w:type="pct"/>
            <w:vAlign w:val="bottom"/>
          </w:tcPr>
          <w:p w14:paraId="4B3CFCE6" w14:textId="77777777" w:rsidR="002A0F0C" w:rsidRDefault="002A0F0C">
            <w:pPr>
              <w:pStyle w:val="Tabletext"/>
              <w:jc w:val="right"/>
            </w:pPr>
            <w:r>
              <w:t>368</w:t>
            </w:r>
          </w:p>
        </w:tc>
        <w:tc>
          <w:tcPr>
            <w:tcW w:w="854" w:type="pct"/>
            <w:shd w:val="clear" w:color="auto" w:fill="auto"/>
            <w:vAlign w:val="bottom"/>
          </w:tcPr>
          <w:p w14:paraId="7DBEF3F2" w14:textId="677D71C1" w:rsidR="002A0F0C" w:rsidRDefault="00DA48AE">
            <w:pPr>
              <w:pStyle w:val="Tabletext"/>
              <w:jc w:val="right"/>
            </w:pPr>
            <w:r>
              <w:t>367</w:t>
            </w:r>
          </w:p>
        </w:tc>
        <w:tc>
          <w:tcPr>
            <w:tcW w:w="1110" w:type="pct"/>
          </w:tcPr>
          <w:p w14:paraId="787B1CE9" w14:textId="50DA47DC" w:rsidR="002A0F0C" w:rsidRDefault="00DA48AE">
            <w:pPr>
              <w:pStyle w:val="Tabletext"/>
              <w:jc w:val="right"/>
            </w:pPr>
            <w:r>
              <w:t>1</w:t>
            </w:r>
          </w:p>
        </w:tc>
        <w:tc>
          <w:tcPr>
            <w:tcW w:w="1072" w:type="pct"/>
            <w:vAlign w:val="bottom"/>
          </w:tcPr>
          <w:p w14:paraId="21A17670" w14:textId="38643CBE" w:rsidR="002A0F0C" w:rsidRDefault="002A0F0C">
            <w:pPr>
              <w:pStyle w:val="Tabletext"/>
              <w:jc w:val="right"/>
            </w:pPr>
            <w:r>
              <w:t>99.7</w:t>
            </w:r>
          </w:p>
        </w:tc>
      </w:tr>
      <w:tr w:rsidR="002A0F0C" w14:paraId="68858057" w14:textId="77777777" w:rsidTr="003C0FB0">
        <w:trPr>
          <w:cantSplit/>
          <w:tblHeader/>
          <w:jc w:val="center"/>
        </w:trPr>
        <w:tc>
          <w:tcPr>
            <w:tcW w:w="999" w:type="pct"/>
            <w:shd w:val="clear" w:color="auto" w:fill="auto"/>
            <w:vAlign w:val="center"/>
          </w:tcPr>
          <w:p w14:paraId="7EDAA379" w14:textId="77777777" w:rsidR="002A0F0C" w:rsidRDefault="002A0F0C">
            <w:pPr>
              <w:pStyle w:val="Tabletext"/>
            </w:pPr>
            <w:r>
              <w:t>Hydrocyanic acid</w:t>
            </w:r>
          </w:p>
        </w:tc>
        <w:tc>
          <w:tcPr>
            <w:tcW w:w="965" w:type="pct"/>
            <w:vAlign w:val="bottom"/>
          </w:tcPr>
          <w:p w14:paraId="24BE551D" w14:textId="77777777" w:rsidR="002A0F0C" w:rsidRDefault="002A0F0C">
            <w:pPr>
              <w:pStyle w:val="Tabletext"/>
              <w:jc w:val="right"/>
            </w:pPr>
            <w:r>
              <w:t>1</w:t>
            </w:r>
          </w:p>
        </w:tc>
        <w:tc>
          <w:tcPr>
            <w:tcW w:w="854" w:type="pct"/>
            <w:shd w:val="clear" w:color="auto" w:fill="auto"/>
            <w:vAlign w:val="bottom"/>
          </w:tcPr>
          <w:p w14:paraId="34D412A0" w14:textId="64E65C63" w:rsidR="002A0F0C" w:rsidRDefault="00DA48AE">
            <w:pPr>
              <w:pStyle w:val="Tabletext"/>
              <w:jc w:val="right"/>
            </w:pPr>
            <w:r>
              <w:t>1</w:t>
            </w:r>
          </w:p>
        </w:tc>
        <w:tc>
          <w:tcPr>
            <w:tcW w:w="1110" w:type="pct"/>
          </w:tcPr>
          <w:p w14:paraId="7905303C" w14:textId="747326E4" w:rsidR="002A0F0C" w:rsidRDefault="00DA48AE">
            <w:pPr>
              <w:pStyle w:val="Tabletext"/>
              <w:jc w:val="right"/>
            </w:pPr>
            <w:r>
              <w:t>0</w:t>
            </w:r>
          </w:p>
        </w:tc>
        <w:tc>
          <w:tcPr>
            <w:tcW w:w="1072" w:type="pct"/>
          </w:tcPr>
          <w:p w14:paraId="46DB5CD7" w14:textId="26111952" w:rsidR="002A0F0C" w:rsidRDefault="002A0F0C">
            <w:pPr>
              <w:pStyle w:val="Tabletext"/>
              <w:jc w:val="right"/>
            </w:pPr>
            <w:r>
              <w:t>100</w:t>
            </w:r>
          </w:p>
        </w:tc>
      </w:tr>
      <w:tr w:rsidR="002A0F0C" w14:paraId="42B3A30D" w14:textId="77777777" w:rsidTr="003C0FB0">
        <w:trPr>
          <w:cantSplit/>
          <w:tblHeader/>
          <w:jc w:val="center"/>
        </w:trPr>
        <w:tc>
          <w:tcPr>
            <w:tcW w:w="999" w:type="pct"/>
            <w:shd w:val="clear" w:color="auto" w:fill="auto"/>
            <w:vAlign w:val="center"/>
          </w:tcPr>
          <w:p w14:paraId="64997A72" w14:textId="77777777" w:rsidR="002A0F0C" w:rsidRDefault="002A0F0C">
            <w:pPr>
              <w:pStyle w:val="Tabletext"/>
            </w:pPr>
            <w:r>
              <w:t>Lead</w:t>
            </w:r>
          </w:p>
        </w:tc>
        <w:tc>
          <w:tcPr>
            <w:tcW w:w="965" w:type="pct"/>
            <w:vAlign w:val="bottom"/>
          </w:tcPr>
          <w:p w14:paraId="6EFB5661" w14:textId="77777777" w:rsidR="002A0F0C" w:rsidRDefault="002A0F0C">
            <w:pPr>
              <w:pStyle w:val="Tabletext"/>
              <w:jc w:val="right"/>
            </w:pPr>
            <w:r>
              <w:t>134</w:t>
            </w:r>
          </w:p>
        </w:tc>
        <w:tc>
          <w:tcPr>
            <w:tcW w:w="854" w:type="pct"/>
            <w:shd w:val="clear" w:color="auto" w:fill="auto"/>
            <w:vAlign w:val="bottom"/>
          </w:tcPr>
          <w:p w14:paraId="3B2DC7D1" w14:textId="64C745BB" w:rsidR="002A0F0C" w:rsidRDefault="00DA48AE">
            <w:pPr>
              <w:pStyle w:val="Tabletext"/>
              <w:jc w:val="right"/>
            </w:pPr>
            <w:r>
              <w:t>134</w:t>
            </w:r>
          </w:p>
        </w:tc>
        <w:tc>
          <w:tcPr>
            <w:tcW w:w="1110" w:type="pct"/>
          </w:tcPr>
          <w:p w14:paraId="5C0D8CAE" w14:textId="4BCB157D" w:rsidR="002A0F0C" w:rsidRDefault="00DA48AE">
            <w:pPr>
              <w:pStyle w:val="Tabletext"/>
              <w:jc w:val="right"/>
            </w:pPr>
            <w:r>
              <w:t>0</w:t>
            </w:r>
          </w:p>
        </w:tc>
        <w:tc>
          <w:tcPr>
            <w:tcW w:w="1072" w:type="pct"/>
          </w:tcPr>
          <w:p w14:paraId="66576B13" w14:textId="571858A5" w:rsidR="002A0F0C" w:rsidRDefault="002A0F0C">
            <w:pPr>
              <w:pStyle w:val="Tabletext"/>
              <w:jc w:val="right"/>
            </w:pPr>
            <w:r>
              <w:t>100</w:t>
            </w:r>
          </w:p>
        </w:tc>
      </w:tr>
      <w:tr w:rsidR="002A0F0C" w14:paraId="1FC39595" w14:textId="77777777" w:rsidTr="003C0FB0">
        <w:trPr>
          <w:cantSplit/>
          <w:tblHeader/>
          <w:jc w:val="center"/>
        </w:trPr>
        <w:tc>
          <w:tcPr>
            <w:tcW w:w="999" w:type="pct"/>
            <w:shd w:val="clear" w:color="auto" w:fill="auto"/>
            <w:vAlign w:val="center"/>
          </w:tcPr>
          <w:p w14:paraId="0082F9D3" w14:textId="77777777" w:rsidR="002A0F0C" w:rsidRDefault="002A0F0C">
            <w:pPr>
              <w:pStyle w:val="Tabletext"/>
            </w:pPr>
            <w:r>
              <w:t>PSP Toxin</w:t>
            </w:r>
          </w:p>
        </w:tc>
        <w:tc>
          <w:tcPr>
            <w:tcW w:w="965" w:type="pct"/>
            <w:vAlign w:val="bottom"/>
          </w:tcPr>
          <w:p w14:paraId="3BB6CDCC" w14:textId="77777777" w:rsidR="002A0F0C" w:rsidRDefault="002A0F0C">
            <w:pPr>
              <w:pStyle w:val="Tabletext"/>
              <w:jc w:val="right"/>
            </w:pPr>
            <w:r>
              <w:t>15</w:t>
            </w:r>
          </w:p>
        </w:tc>
        <w:tc>
          <w:tcPr>
            <w:tcW w:w="854" w:type="pct"/>
            <w:shd w:val="clear" w:color="auto" w:fill="auto"/>
            <w:vAlign w:val="bottom"/>
          </w:tcPr>
          <w:p w14:paraId="6F01E326" w14:textId="688222D2" w:rsidR="002A0F0C" w:rsidRDefault="00DA48AE">
            <w:pPr>
              <w:pStyle w:val="Tabletext"/>
              <w:jc w:val="right"/>
            </w:pPr>
            <w:r>
              <w:t>15</w:t>
            </w:r>
          </w:p>
        </w:tc>
        <w:tc>
          <w:tcPr>
            <w:tcW w:w="1110" w:type="pct"/>
          </w:tcPr>
          <w:p w14:paraId="7A2EEB97" w14:textId="637EC527" w:rsidR="002A0F0C" w:rsidRDefault="00DA48AE">
            <w:pPr>
              <w:pStyle w:val="Tabletext"/>
              <w:jc w:val="right"/>
            </w:pPr>
            <w:r>
              <w:t>0</w:t>
            </w:r>
          </w:p>
        </w:tc>
        <w:tc>
          <w:tcPr>
            <w:tcW w:w="1072" w:type="pct"/>
          </w:tcPr>
          <w:p w14:paraId="36741E85" w14:textId="0EDAC7C8" w:rsidR="002A0F0C" w:rsidRDefault="002A0F0C">
            <w:pPr>
              <w:pStyle w:val="Tabletext"/>
              <w:jc w:val="right"/>
            </w:pPr>
            <w:r>
              <w:t>100</w:t>
            </w:r>
          </w:p>
        </w:tc>
      </w:tr>
      <w:tr w:rsidR="002A0F0C" w14:paraId="3D93D6B9" w14:textId="77777777" w:rsidTr="003C0FB0">
        <w:trPr>
          <w:cantSplit/>
          <w:tblHeader/>
          <w:jc w:val="center"/>
        </w:trPr>
        <w:tc>
          <w:tcPr>
            <w:tcW w:w="999" w:type="pct"/>
            <w:shd w:val="clear" w:color="auto" w:fill="auto"/>
            <w:vAlign w:val="center"/>
          </w:tcPr>
          <w:p w14:paraId="2D4E30A0" w14:textId="77777777" w:rsidR="002A0F0C" w:rsidRDefault="002A0F0C">
            <w:pPr>
              <w:pStyle w:val="Tabletext"/>
            </w:pPr>
            <w:r>
              <w:t>Tin</w:t>
            </w:r>
          </w:p>
        </w:tc>
        <w:tc>
          <w:tcPr>
            <w:tcW w:w="965" w:type="pct"/>
            <w:vAlign w:val="bottom"/>
          </w:tcPr>
          <w:p w14:paraId="2BAC2625" w14:textId="77777777" w:rsidR="002A0F0C" w:rsidRDefault="002A0F0C">
            <w:pPr>
              <w:pStyle w:val="Tabletext"/>
              <w:jc w:val="right"/>
            </w:pPr>
            <w:r>
              <w:t>39</w:t>
            </w:r>
          </w:p>
        </w:tc>
        <w:tc>
          <w:tcPr>
            <w:tcW w:w="854" w:type="pct"/>
            <w:shd w:val="clear" w:color="auto" w:fill="auto"/>
            <w:vAlign w:val="bottom"/>
          </w:tcPr>
          <w:p w14:paraId="06401FE1" w14:textId="76E403F7" w:rsidR="002A0F0C" w:rsidRDefault="00DA48AE">
            <w:pPr>
              <w:pStyle w:val="Tabletext"/>
              <w:jc w:val="right"/>
            </w:pPr>
            <w:r>
              <w:t>39</w:t>
            </w:r>
          </w:p>
        </w:tc>
        <w:tc>
          <w:tcPr>
            <w:tcW w:w="1110" w:type="pct"/>
          </w:tcPr>
          <w:p w14:paraId="272AFD69" w14:textId="24791A09" w:rsidR="002A0F0C" w:rsidRDefault="00DA48AE">
            <w:pPr>
              <w:pStyle w:val="Tabletext"/>
              <w:jc w:val="right"/>
            </w:pPr>
            <w:r>
              <w:t>0</w:t>
            </w:r>
          </w:p>
        </w:tc>
        <w:tc>
          <w:tcPr>
            <w:tcW w:w="1072" w:type="pct"/>
          </w:tcPr>
          <w:p w14:paraId="6513A452" w14:textId="7510F8F0" w:rsidR="002A0F0C" w:rsidRDefault="002A0F0C">
            <w:pPr>
              <w:pStyle w:val="Tabletext"/>
              <w:jc w:val="right"/>
            </w:pPr>
            <w:r>
              <w:t>100</w:t>
            </w:r>
          </w:p>
        </w:tc>
      </w:tr>
      <w:tr w:rsidR="002A0F0C" w14:paraId="682BA73A" w14:textId="77777777" w:rsidTr="003C0FB0">
        <w:trPr>
          <w:cantSplit/>
          <w:tblHeader/>
          <w:jc w:val="center"/>
        </w:trPr>
        <w:tc>
          <w:tcPr>
            <w:tcW w:w="999" w:type="pct"/>
            <w:shd w:val="clear" w:color="auto" w:fill="auto"/>
            <w:vAlign w:val="center"/>
          </w:tcPr>
          <w:p w14:paraId="6BA1577D" w14:textId="77777777" w:rsidR="002A0F0C" w:rsidRDefault="002A0F0C">
            <w:pPr>
              <w:pStyle w:val="Tabletext"/>
              <w:rPr>
                <w:b/>
              </w:rPr>
            </w:pPr>
            <w:r>
              <w:rPr>
                <w:b/>
              </w:rPr>
              <w:t>Total</w:t>
            </w:r>
          </w:p>
        </w:tc>
        <w:tc>
          <w:tcPr>
            <w:tcW w:w="965" w:type="pct"/>
            <w:vAlign w:val="bottom"/>
          </w:tcPr>
          <w:p w14:paraId="27A63FE9" w14:textId="77777777" w:rsidR="002A0F0C" w:rsidRDefault="002A0F0C">
            <w:pPr>
              <w:pStyle w:val="Tabletext"/>
              <w:jc w:val="right"/>
            </w:pPr>
            <w:r>
              <w:t>686</w:t>
            </w:r>
          </w:p>
        </w:tc>
        <w:tc>
          <w:tcPr>
            <w:tcW w:w="854" w:type="pct"/>
            <w:shd w:val="clear" w:color="auto" w:fill="auto"/>
            <w:vAlign w:val="bottom"/>
          </w:tcPr>
          <w:p w14:paraId="2FEE9DE5" w14:textId="122BACAC" w:rsidR="002A0F0C" w:rsidRDefault="00DA48AE">
            <w:pPr>
              <w:pStyle w:val="Tabletext"/>
              <w:jc w:val="right"/>
            </w:pPr>
            <w:r>
              <w:t>685</w:t>
            </w:r>
          </w:p>
        </w:tc>
        <w:tc>
          <w:tcPr>
            <w:tcW w:w="1110" w:type="pct"/>
          </w:tcPr>
          <w:p w14:paraId="6E9C1080" w14:textId="308BFCA1" w:rsidR="002A0F0C" w:rsidRDefault="00DA48AE">
            <w:pPr>
              <w:pStyle w:val="Tabletext"/>
              <w:jc w:val="right"/>
            </w:pPr>
            <w:r>
              <w:t>1</w:t>
            </w:r>
          </w:p>
        </w:tc>
        <w:tc>
          <w:tcPr>
            <w:tcW w:w="1072" w:type="pct"/>
          </w:tcPr>
          <w:p w14:paraId="702C2245" w14:textId="3748601D" w:rsidR="002A0F0C" w:rsidRDefault="002A0F0C">
            <w:pPr>
              <w:pStyle w:val="Tabletext"/>
              <w:jc w:val="right"/>
            </w:pPr>
            <w:r>
              <w:t>100</w:t>
            </w:r>
          </w:p>
        </w:tc>
      </w:tr>
    </w:tbl>
    <w:p w14:paraId="6DBB4724" w14:textId="77777777" w:rsidR="00A072D0" w:rsidRDefault="009576A5">
      <w:pPr>
        <w:pStyle w:val="Caption"/>
      </w:pPr>
      <w:bookmarkStart w:id="76" w:name="_Toc369867498"/>
      <w:bookmarkStart w:id="77" w:name="_Toc469062420"/>
      <w:r>
        <w:t xml:space="preserve">Table </w:t>
      </w:r>
      <w:r w:rsidR="00E70443">
        <w:fldChar w:fldCharType="begin"/>
      </w:r>
      <w:r w:rsidR="00E70443">
        <w:instrText xml:space="preserve"> SEQ Table \* ARABIC </w:instrText>
      </w:r>
      <w:r w:rsidR="00E70443">
        <w:fldChar w:fldCharType="separate"/>
      </w:r>
      <w:r w:rsidR="00E70443">
        <w:rPr>
          <w:noProof/>
        </w:rPr>
        <w:t>18</w:t>
      </w:r>
      <w:r w:rsidR="00E70443">
        <w:rPr>
          <w:noProof/>
        </w:rPr>
        <w:fldChar w:fldCharType="end"/>
      </w:r>
      <w:r>
        <w:t xml:space="preserve"> Compliance for microbiological tests, </w:t>
      </w:r>
      <w:bookmarkEnd w:id="76"/>
      <w:r>
        <w:t>Thailand</w:t>
      </w:r>
      <w:bookmarkEnd w:id="77"/>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660"/>
        <w:gridCol w:w="1501"/>
        <w:gridCol w:w="1819"/>
        <w:gridCol w:w="1660"/>
      </w:tblGrid>
      <w:tr w:rsidR="00DA48AE" w14:paraId="48821631" w14:textId="77777777" w:rsidTr="003C0FB0">
        <w:trPr>
          <w:cantSplit/>
          <w:tblHeader/>
          <w:jc w:val="center"/>
        </w:trPr>
        <w:tc>
          <w:tcPr>
            <w:tcW w:w="1000" w:type="pct"/>
            <w:shd w:val="clear" w:color="auto" w:fill="auto"/>
          </w:tcPr>
          <w:p w14:paraId="44A51F92" w14:textId="77777777" w:rsidR="00DA48AE" w:rsidRDefault="00DA48AE">
            <w:pPr>
              <w:pStyle w:val="Tableheading"/>
            </w:pPr>
            <w:r>
              <w:t>Microbial agent</w:t>
            </w:r>
          </w:p>
        </w:tc>
        <w:tc>
          <w:tcPr>
            <w:tcW w:w="1000" w:type="pct"/>
          </w:tcPr>
          <w:p w14:paraId="0DB908AC" w14:textId="77777777" w:rsidR="00DA48AE" w:rsidRDefault="00DA48AE">
            <w:pPr>
              <w:pStyle w:val="Tableheading"/>
              <w:jc w:val="right"/>
            </w:pPr>
            <w:r>
              <w:t>No. of tests applied</w:t>
            </w:r>
          </w:p>
        </w:tc>
        <w:tc>
          <w:tcPr>
            <w:tcW w:w="904" w:type="pct"/>
            <w:shd w:val="clear" w:color="auto" w:fill="auto"/>
          </w:tcPr>
          <w:p w14:paraId="0E8E5FCA" w14:textId="12DA2C80" w:rsidR="00DA48AE" w:rsidRDefault="00DA48AE" w:rsidP="00DA48AE">
            <w:pPr>
              <w:pStyle w:val="Tableheading"/>
              <w:jc w:val="right"/>
            </w:pPr>
            <w:r>
              <w:t>No. compliant</w:t>
            </w:r>
          </w:p>
        </w:tc>
        <w:tc>
          <w:tcPr>
            <w:tcW w:w="1096" w:type="pct"/>
          </w:tcPr>
          <w:p w14:paraId="2AA124E8" w14:textId="4F667AA0" w:rsidR="00DA48AE" w:rsidRDefault="00DA48AE">
            <w:pPr>
              <w:pStyle w:val="Tableheading"/>
              <w:jc w:val="right"/>
            </w:pPr>
            <w:r>
              <w:t>No. non-compliant</w:t>
            </w:r>
          </w:p>
        </w:tc>
        <w:tc>
          <w:tcPr>
            <w:tcW w:w="1000" w:type="pct"/>
          </w:tcPr>
          <w:p w14:paraId="06FD8FCB" w14:textId="6653744A" w:rsidR="00DA48AE" w:rsidRDefault="00DA48AE">
            <w:pPr>
              <w:pStyle w:val="Tableheading"/>
              <w:jc w:val="right"/>
            </w:pPr>
            <w:r>
              <w:t>Compliance rate (%)</w:t>
            </w:r>
          </w:p>
        </w:tc>
      </w:tr>
      <w:tr w:rsidR="00DA48AE" w14:paraId="5C1289D0" w14:textId="77777777" w:rsidTr="003C0FB0">
        <w:trPr>
          <w:cantSplit/>
          <w:tblHeader/>
          <w:jc w:val="center"/>
        </w:trPr>
        <w:tc>
          <w:tcPr>
            <w:tcW w:w="1000" w:type="pct"/>
            <w:shd w:val="clear" w:color="auto" w:fill="auto"/>
            <w:vAlign w:val="center"/>
          </w:tcPr>
          <w:p w14:paraId="419A3F86" w14:textId="77777777" w:rsidR="00DA48AE" w:rsidRDefault="00DA48AE">
            <w:pPr>
              <w:pStyle w:val="Tabletext"/>
            </w:pPr>
            <w:r>
              <w:rPr>
                <w:i/>
              </w:rPr>
              <w:t>E. coli</w:t>
            </w:r>
          </w:p>
        </w:tc>
        <w:tc>
          <w:tcPr>
            <w:tcW w:w="1000" w:type="pct"/>
            <w:vAlign w:val="center"/>
          </w:tcPr>
          <w:p w14:paraId="5583DCD5" w14:textId="77777777" w:rsidR="00DA48AE" w:rsidRDefault="00DA48AE">
            <w:pPr>
              <w:pStyle w:val="Tabletext"/>
              <w:jc w:val="right"/>
            </w:pPr>
            <w:r>
              <w:t>6</w:t>
            </w:r>
          </w:p>
        </w:tc>
        <w:tc>
          <w:tcPr>
            <w:tcW w:w="904" w:type="pct"/>
            <w:shd w:val="clear" w:color="auto" w:fill="auto"/>
            <w:vAlign w:val="center"/>
          </w:tcPr>
          <w:p w14:paraId="3EBBB976" w14:textId="701A1988" w:rsidR="00DA48AE" w:rsidRDefault="00DA48AE">
            <w:pPr>
              <w:pStyle w:val="Tabletext"/>
              <w:jc w:val="right"/>
            </w:pPr>
            <w:r>
              <w:t>6</w:t>
            </w:r>
          </w:p>
        </w:tc>
        <w:tc>
          <w:tcPr>
            <w:tcW w:w="1096" w:type="pct"/>
            <w:vAlign w:val="center"/>
          </w:tcPr>
          <w:p w14:paraId="590ABF83" w14:textId="34527CAE" w:rsidR="00DA48AE" w:rsidRDefault="00DA48AE">
            <w:pPr>
              <w:pStyle w:val="Tabletext"/>
              <w:jc w:val="right"/>
            </w:pPr>
            <w:r>
              <w:t>0</w:t>
            </w:r>
          </w:p>
        </w:tc>
        <w:tc>
          <w:tcPr>
            <w:tcW w:w="1000" w:type="pct"/>
            <w:vAlign w:val="center"/>
          </w:tcPr>
          <w:p w14:paraId="42C6B4CA" w14:textId="0311B2F3" w:rsidR="00DA48AE" w:rsidRDefault="00DA48AE">
            <w:pPr>
              <w:pStyle w:val="Tabletext"/>
              <w:jc w:val="right"/>
            </w:pPr>
            <w:r>
              <w:t>100</w:t>
            </w:r>
          </w:p>
        </w:tc>
      </w:tr>
      <w:tr w:rsidR="00DA48AE" w14:paraId="3FC24C8B" w14:textId="77777777" w:rsidTr="003C0FB0">
        <w:trPr>
          <w:cantSplit/>
          <w:tblHeader/>
          <w:jc w:val="center"/>
        </w:trPr>
        <w:tc>
          <w:tcPr>
            <w:tcW w:w="1000" w:type="pct"/>
            <w:shd w:val="clear" w:color="auto" w:fill="auto"/>
            <w:vAlign w:val="center"/>
          </w:tcPr>
          <w:p w14:paraId="4E3DE7FF" w14:textId="77777777" w:rsidR="00DA48AE" w:rsidRDefault="00DA48AE">
            <w:pPr>
              <w:pStyle w:val="Tabletext"/>
            </w:pPr>
            <w:r>
              <w:rPr>
                <w:i/>
              </w:rPr>
              <w:t>Listeria</w:t>
            </w:r>
            <w:r>
              <w:t xml:space="preserve"> </w:t>
            </w:r>
            <w:r>
              <w:rPr>
                <w:i/>
              </w:rPr>
              <w:t>monocytogenes</w:t>
            </w:r>
          </w:p>
        </w:tc>
        <w:tc>
          <w:tcPr>
            <w:tcW w:w="1000" w:type="pct"/>
            <w:vAlign w:val="center"/>
          </w:tcPr>
          <w:p w14:paraId="37FA1002" w14:textId="77777777" w:rsidR="00DA48AE" w:rsidRDefault="00DA48AE">
            <w:pPr>
              <w:pStyle w:val="Tabletext"/>
              <w:jc w:val="right"/>
            </w:pPr>
            <w:r>
              <w:t>16</w:t>
            </w:r>
          </w:p>
        </w:tc>
        <w:tc>
          <w:tcPr>
            <w:tcW w:w="904" w:type="pct"/>
            <w:shd w:val="clear" w:color="auto" w:fill="auto"/>
            <w:vAlign w:val="center"/>
          </w:tcPr>
          <w:p w14:paraId="0F44E58F" w14:textId="662CCD12" w:rsidR="00DA48AE" w:rsidRDefault="00DA48AE">
            <w:pPr>
              <w:pStyle w:val="Tabletext"/>
              <w:jc w:val="right"/>
            </w:pPr>
            <w:r>
              <w:t>15</w:t>
            </w:r>
          </w:p>
        </w:tc>
        <w:tc>
          <w:tcPr>
            <w:tcW w:w="1096" w:type="pct"/>
            <w:vAlign w:val="center"/>
          </w:tcPr>
          <w:p w14:paraId="20827771" w14:textId="5FC40CF2" w:rsidR="00DA48AE" w:rsidRDefault="00DA48AE">
            <w:pPr>
              <w:pStyle w:val="Tabletext"/>
              <w:jc w:val="right"/>
            </w:pPr>
            <w:r>
              <w:t>1</w:t>
            </w:r>
          </w:p>
        </w:tc>
        <w:tc>
          <w:tcPr>
            <w:tcW w:w="1000" w:type="pct"/>
            <w:vAlign w:val="center"/>
          </w:tcPr>
          <w:p w14:paraId="612767B4" w14:textId="0C61D704" w:rsidR="00DA48AE" w:rsidRDefault="00DA48AE">
            <w:pPr>
              <w:pStyle w:val="Tabletext"/>
              <w:jc w:val="right"/>
            </w:pPr>
            <w:r>
              <w:t>93.8</w:t>
            </w:r>
          </w:p>
        </w:tc>
      </w:tr>
      <w:tr w:rsidR="00DA48AE" w14:paraId="5548D0C1" w14:textId="77777777" w:rsidTr="003C0FB0">
        <w:trPr>
          <w:cantSplit/>
          <w:tblHeader/>
          <w:jc w:val="center"/>
        </w:trPr>
        <w:tc>
          <w:tcPr>
            <w:tcW w:w="1000" w:type="pct"/>
            <w:shd w:val="clear" w:color="auto" w:fill="auto"/>
            <w:vAlign w:val="center"/>
          </w:tcPr>
          <w:p w14:paraId="1BFF3668" w14:textId="77777777" w:rsidR="00DA48AE" w:rsidRDefault="00DA48AE">
            <w:pPr>
              <w:pStyle w:val="Tabletext"/>
            </w:pPr>
            <w:r>
              <w:rPr>
                <w:i/>
              </w:rPr>
              <w:t>Salmonella</w:t>
            </w:r>
          </w:p>
        </w:tc>
        <w:tc>
          <w:tcPr>
            <w:tcW w:w="1000" w:type="pct"/>
            <w:vAlign w:val="center"/>
          </w:tcPr>
          <w:p w14:paraId="28D6F951" w14:textId="77777777" w:rsidR="00DA48AE" w:rsidRDefault="00DA48AE">
            <w:pPr>
              <w:pStyle w:val="Tabletext"/>
              <w:jc w:val="right"/>
            </w:pPr>
            <w:r>
              <w:t>78</w:t>
            </w:r>
          </w:p>
        </w:tc>
        <w:tc>
          <w:tcPr>
            <w:tcW w:w="904" w:type="pct"/>
            <w:shd w:val="clear" w:color="auto" w:fill="auto"/>
            <w:vAlign w:val="center"/>
          </w:tcPr>
          <w:p w14:paraId="5A27617B" w14:textId="2143C320" w:rsidR="00DA48AE" w:rsidRDefault="00DA48AE">
            <w:pPr>
              <w:pStyle w:val="Tabletext"/>
              <w:jc w:val="right"/>
            </w:pPr>
            <w:r>
              <w:t>78</w:t>
            </w:r>
          </w:p>
        </w:tc>
        <w:tc>
          <w:tcPr>
            <w:tcW w:w="1096" w:type="pct"/>
            <w:vAlign w:val="center"/>
          </w:tcPr>
          <w:p w14:paraId="7E747C1B" w14:textId="3FA171E6" w:rsidR="00DA48AE" w:rsidRDefault="00DA48AE">
            <w:pPr>
              <w:pStyle w:val="Tabletext"/>
              <w:jc w:val="right"/>
            </w:pPr>
            <w:r>
              <w:t>0</w:t>
            </w:r>
          </w:p>
        </w:tc>
        <w:tc>
          <w:tcPr>
            <w:tcW w:w="1000" w:type="pct"/>
            <w:vAlign w:val="center"/>
          </w:tcPr>
          <w:p w14:paraId="33D38958" w14:textId="482CEC5D" w:rsidR="00DA48AE" w:rsidRDefault="00DA48AE">
            <w:pPr>
              <w:pStyle w:val="Tabletext"/>
              <w:jc w:val="right"/>
            </w:pPr>
            <w:r>
              <w:t>100</w:t>
            </w:r>
          </w:p>
        </w:tc>
      </w:tr>
      <w:tr w:rsidR="00DA48AE" w14:paraId="43B83A35" w14:textId="77777777" w:rsidTr="003C0FB0">
        <w:trPr>
          <w:cantSplit/>
          <w:tblHeader/>
          <w:jc w:val="center"/>
        </w:trPr>
        <w:tc>
          <w:tcPr>
            <w:tcW w:w="1000" w:type="pct"/>
            <w:shd w:val="clear" w:color="auto" w:fill="auto"/>
            <w:vAlign w:val="center"/>
          </w:tcPr>
          <w:p w14:paraId="657D6982" w14:textId="77777777" w:rsidR="00DA48AE" w:rsidRDefault="00DA48AE">
            <w:pPr>
              <w:pStyle w:val="Tabletext"/>
            </w:pPr>
            <w:r>
              <w:t>Standard plate count</w:t>
            </w:r>
          </w:p>
        </w:tc>
        <w:tc>
          <w:tcPr>
            <w:tcW w:w="1000" w:type="pct"/>
            <w:vAlign w:val="center"/>
          </w:tcPr>
          <w:p w14:paraId="17458190" w14:textId="77777777" w:rsidR="00DA48AE" w:rsidRDefault="00DA48AE">
            <w:pPr>
              <w:pStyle w:val="Tabletext"/>
              <w:jc w:val="right"/>
            </w:pPr>
            <w:r>
              <w:t>28</w:t>
            </w:r>
          </w:p>
        </w:tc>
        <w:tc>
          <w:tcPr>
            <w:tcW w:w="904" w:type="pct"/>
            <w:shd w:val="clear" w:color="auto" w:fill="auto"/>
            <w:vAlign w:val="center"/>
          </w:tcPr>
          <w:p w14:paraId="608822EA" w14:textId="396473FB" w:rsidR="00DA48AE" w:rsidRDefault="00DA48AE">
            <w:pPr>
              <w:pStyle w:val="Tabletext"/>
              <w:jc w:val="right"/>
            </w:pPr>
            <w:r>
              <w:t>28</w:t>
            </w:r>
          </w:p>
        </w:tc>
        <w:tc>
          <w:tcPr>
            <w:tcW w:w="1096" w:type="pct"/>
            <w:vAlign w:val="center"/>
          </w:tcPr>
          <w:p w14:paraId="436A0F76" w14:textId="5DC22E36" w:rsidR="00DA48AE" w:rsidRDefault="00DA48AE">
            <w:pPr>
              <w:pStyle w:val="Tabletext"/>
              <w:jc w:val="right"/>
            </w:pPr>
            <w:r>
              <w:t>0</w:t>
            </w:r>
          </w:p>
        </w:tc>
        <w:tc>
          <w:tcPr>
            <w:tcW w:w="1000" w:type="pct"/>
            <w:vAlign w:val="center"/>
          </w:tcPr>
          <w:p w14:paraId="61B04E49" w14:textId="55CA0D38" w:rsidR="00DA48AE" w:rsidRDefault="00DA48AE">
            <w:pPr>
              <w:pStyle w:val="Tabletext"/>
              <w:jc w:val="right"/>
            </w:pPr>
            <w:r>
              <w:t>100</w:t>
            </w:r>
          </w:p>
        </w:tc>
      </w:tr>
      <w:tr w:rsidR="00DA48AE" w14:paraId="32F084D8" w14:textId="77777777" w:rsidTr="003C0FB0">
        <w:trPr>
          <w:cantSplit/>
          <w:tblHeader/>
          <w:jc w:val="center"/>
        </w:trPr>
        <w:tc>
          <w:tcPr>
            <w:tcW w:w="1000" w:type="pct"/>
            <w:shd w:val="clear" w:color="auto" w:fill="auto"/>
            <w:vAlign w:val="center"/>
          </w:tcPr>
          <w:p w14:paraId="0D9DEE7B" w14:textId="77777777" w:rsidR="00DA48AE" w:rsidRDefault="00DA48AE">
            <w:pPr>
              <w:pStyle w:val="Tabletext"/>
            </w:pPr>
            <w:r>
              <w:t>Coagulase positive Staphylococcus</w:t>
            </w:r>
          </w:p>
        </w:tc>
        <w:tc>
          <w:tcPr>
            <w:tcW w:w="1000" w:type="pct"/>
            <w:vAlign w:val="center"/>
          </w:tcPr>
          <w:p w14:paraId="7ED29562" w14:textId="77777777" w:rsidR="00DA48AE" w:rsidRDefault="00DA48AE">
            <w:pPr>
              <w:pStyle w:val="Tabletext"/>
              <w:jc w:val="right"/>
            </w:pPr>
            <w:r>
              <w:t>32</w:t>
            </w:r>
          </w:p>
        </w:tc>
        <w:tc>
          <w:tcPr>
            <w:tcW w:w="904" w:type="pct"/>
            <w:shd w:val="clear" w:color="auto" w:fill="auto"/>
            <w:vAlign w:val="center"/>
          </w:tcPr>
          <w:p w14:paraId="6FB9D359" w14:textId="1A790716" w:rsidR="00DA48AE" w:rsidRDefault="00DA48AE">
            <w:pPr>
              <w:pStyle w:val="Tabletext"/>
              <w:jc w:val="right"/>
            </w:pPr>
            <w:r>
              <w:t>32</w:t>
            </w:r>
          </w:p>
        </w:tc>
        <w:tc>
          <w:tcPr>
            <w:tcW w:w="1096" w:type="pct"/>
            <w:vAlign w:val="center"/>
          </w:tcPr>
          <w:p w14:paraId="67B45859" w14:textId="3011987B" w:rsidR="00DA48AE" w:rsidRDefault="00DA48AE">
            <w:pPr>
              <w:pStyle w:val="Tabletext"/>
              <w:jc w:val="right"/>
            </w:pPr>
            <w:r>
              <w:t>0</w:t>
            </w:r>
          </w:p>
        </w:tc>
        <w:tc>
          <w:tcPr>
            <w:tcW w:w="1000" w:type="pct"/>
            <w:vAlign w:val="center"/>
          </w:tcPr>
          <w:p w14:paraId="46EDFC2F" w14:textId="56DFEDD8" w:rsidR="00DA48AE" w:rsidRDefault="00DA48AE">
            <w:pPr>
              <w:pStyle w:val="Tabletext"/>
              <w:jc w:val="right"/>
            </w:pPr>
            <w:r>
              <w:t>100</w:t>
            </w:r>
          </w:p>
        </w:tc>
      </w:tr>
      <w:tr w:rsidR="00DA48AE" w14:paraId="7C2DDABF" w14:textId="77777777" w:rsidTr="003C0FB0">
        <w:trPr>
          <w:cantSplit/>
          <w:tblHeader/>
          <w:jc w:val="center"/>
        </w:trPr>
        <w:tc>
          <w:tcPr>
            <w:tcW w:w="1000" w:type="pct"/>
            <w:shd w:val="clear" w:color="auto" w:fill="auto"/>
            <w:vAlign w:val="center"/>
          </w:tcPr>
          <w:p w14:paraId="50253047" w14:textId="77777777" w:rsidR="00DA48AE" w:rsidRDefault="00DA48AE">
            <w:pPr>
              <w:pStyle w:val="Tabletext"/>
              <w:rPr>
                <w:i/>
              </w:rPr>
            </w:pPr>
            <w:r>
              <w:rPr>
                <w:i/>
              </w:rPr>
              <w:t xml:space="preserve">Vibrio </w:t>
            </w:r>
            <w:proofErr w:type="spellStart"/>
            <w:r>
              <w:rPr>
                <w:i/>
              </w:rPr>
              <w:t>cholerae</w:t>
            </w:r>
            <w:proofErr w:type="spellEnd"/>
          </w:p>
        </w:tc>
        <w:tc>
          <w:tcPr>
            <w:tcW w:w="1000" w:type="pct"/>
            <w:vAlign w:val="center"/>
          </w:tcPr>
          <w:p w14:paraId="3DB9FD84" w14:textId="77777777" w:rsidR="00DA48AE" w:rsidRDefault="00DA48AE">
            <w:pPr>
              <w:pStyle w:val="Tabletext"/>
              <w:jc w:val="right"/>
            </w:pPr>
            <w:r>
              <w:t>29</w:t>
            </w:r>
          </w:p>
        </w:tc>
        <w:tc>
          <w:tcPr>
            <w:tcW w:w="904" w:type="pct"/>
            <w:shd w:val="clear" w:color="auto" w:fill="auto"/>
            <w:vAlign w:val="center"/>
          </w:tcPr>
          <w:p w14:paraId="233F961C" w14:textId="245945DD" w:rsidR="00DA48AE" w:rsidRDefault="00DA48AE">
            <w:pPr>
              <w:pStyle w:val="Tabletext"/>
              <w:jc w:val="right"/>
            </w:pPr>
            <w:r>
              <w:t>29</w:t>
            </w:r>
          </w:p>
        </w:tc>
        <w:tc>
          <w:tcPr>
            <w:tcW w:w="1096" w:type="pct"/>
            <w:vAlign w:val="center"/>
          </w:tcPr>
          <w:p w14:paraId="153B98A0" w14:textId="0FD9F4AC" w:rsidR="00DA48AE" w:rsidRDefault="00DA48AE">
            <w:pPr>
              <w:pStyle w:val="Tabletext"/>
              <w:jc w:val="right"/>
            </w:pPr>
            <w:r>
              <w:t>0</w:t>
            </w:r>
          </w:p>
        </w:tc>
        <w:tc>
          <w:tcPr>
            <w:tcW w:w="1000" w:type="pct"/>
            <w:vAlign w:val="center"/>
          </w:tcPr>
          <w:p w14:paraId="596E6BE3" w14:textId="0CAE4938" w:rsidR="00DA48AE" w:rsidRDefault="00DA48AE">
            <w:pPr>
              <w:pStyle w:val="Tabletext"/>
              <w:jc w:val="right"/>
            </w:pPr>
            <w:r>
              <w:t>100</w:t>
            </w:r>
          </w:p>
        </w:tc>
      </w:tr>
      <w:tr w:rsidR="00DA48AE" w14:paraId="0C0684A7" w14:textId="77777777" w:rsidTr="003C0FB0">
        <w:trPr>
          <w:cantSplit/>
          <w:tblHeader/>
          <w:jc w:val="center"/>
        </w:trPr>
        <w:tc>
          <w:tcPr>
            <w:tcW w:w="1000" w:type="pct"/>
            <w:shd w:val="clear" w:color="auto" w:fill="auto"/>
            <w:vAlign w:val="center"/>
          </w:tcPr>
          <w:p w14:paraId="062DD830" w14:textId="77777777" w:rsidR="00DA48AE" w:rsidRDefault="00DA48AE">
            <w:pPr>
              <w:pStyle w:val="Tabletext"/>
              <w:rPr>
                <w:b/>
              </w:rPr>
            </w:pPr>
            <w:r>
              <w:rPr>
                <w:b/>
              </w:rPr>
              <w:t>Total</w:t>
            </w:r>
          </w:p>
        </w:tc>
        <w:tc>
          <w:tcPr>
            <w:tcW w:w="1000" w:type="pct"/>
            <w:vAlign w:val="center"/>
          </w:tcPr>
          <w:p w14:paraId="27CB5439" w14:textId="77777777" w:rsidR="00DA48AE" w:rsidRDefault="00DA48AE">
            <w:pPr>
              <w:pStyle w:val="Tabletext"/>
              <w:jc w:val="right"/>
            </w:pPr>
            <w:r>
              <w:t>189</w:t>
            </w:r>
          </w:p>
        </w:tc>
        <w:tc>
          <w:tcPr>
            <w:tcW w:w="904" w:type="pct"/>
            <w:shd w:val="clear" w:color="auto" w:fill="auto"/>
            <w:vAlign w:val="center"/>
          </w:tcPr>
          <w:p w14:paraId="3E6ADDAF" w14:textId="6D7BF616" w:rsidR="00DA48AE" w:rsidRDefault="00DA48AE">
            <w:pPr>
              <w:pStyle w:val="Tabletext"/>
              <w:jc w:val="right"/>
            </w:pPr>
            <w:r>
              <w:t>188</w:t>
            </w:r>
          </w:p>
        </w:tc>
        <w:tc>
          <w:tcPr>
            <w:tcW w:w="1096" w:type="pct"/>
            <w:vAlign w:val="center"/>
          </w:tcPr>
          <w:p w14:paraId="7FB08DE0" w14:textId="479C8E52" w:rsidR="00DA48AE" w:rsidRDefault="00DA48AE">
            <w:pPr>
              <w:pStyle w:val="Tabletext"/>
              <w:jc w:val="right"/>
            </w:pPr>
            <w:r>
              <w:t>1</w:t>
            </w:r>
          </w:p>
        </w:tc>
        <w:tc>
          <w:tcPr>
            <w:tcW w:w="1000" w:type="pct"/>
            <w:vAlign w:val="center"/>
          </w:tcPr>
          <w:p w14:paraId="24C74749" w14:textId="2A5AFD34" w:rsidR="00DA48AE" w:rsidRDefault="00DA48AE">
            <w:pPr>
              <w:pStyle w:val="Tabletext"/>
              <w:jc w:val="right"/>
            </w:pPr>
            <w:r>
              <w:t>99.5</w:t>
            </w:r>
          </w:p>
        </w:tc>
      </w:tr>
    </w:tbl>
    <w:p w14:paraId="711BB8EE" w14:textId="77777777" w:rsidR="00A072D0" w:rsidRDefault="009576A5">
      <w:pPr>
        <w:pStyle w:val="Caption"/>
      </w:pPr>
      <w:bookmarkStart w:id="78" w:name="_Toc469062421"/>
      <w:r>
        <w:lastRenderedPageBreak/>
        <w:t xml:space="preserve">Table </w:t>
      </w:r>
      <w:r w:rsidR="00E70443">
        <w:fldChar w:fldCharType="begin"/>
      </w:r>
      <w:r w:rsidR="00E70443">
        <w:instrText xml:space="preserve"> SEQ Table \* ARABIC </w:instrText>
      </w:r>
      <w:r w:rsidR="00E70443">
        <w:fldChar w:fldCharType="separate"/>
      </w:r>
      <w:r w:rsidR="00E70443">
        <w:rPr>
          <w:noProof/>
        </w:rPr>
        <w:t>19</w:t>
      </w:r>
      <w:r w:rsidR="00E70443">
        <w:rPr>
          <w:noProof/>
        </w:rPr>
        <w:fldChar w:fldCharType="end"/>
      </w:r>
      <w:r>
        <w:t xml:space="preserve"> Compliance for composition analytical tests, Thailand</w:t>
      </w:r>
      <w:bookmarkEnd w:id="78"/>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459"/>
        <w:gridCol w:w="1559"/>
        <w:gridCol w:w="1962"/>
        <w:gridCol w:w="1660"/>
      </w:tblGrid>
      <w:tr w:rsidR="00DA48AE" w14:paraId="6A239C30" w14:textId="77777777" w:rsidTr="00DA48AE">
        <w:trPr>
          <w:tblHeader/>
          <w:jc w:val="center"/>
        </w:trPr>
        <w:tc>
          <w:tcPr>
            <w:tcW w:w="1000" w:type="pct"/>
            <w:shd w:val="clear" w:color="auto" w:fill="auto"/>
          </w:tcPr>
          <w:p w14:paraId="4F92807D" w14:textId="77777777" w:rsidR="00DA48AE" w:rsidRDefault="00DA48AE">
            <w:pPr>
              <w:pStyle w:val="Tableheading"/>
            </w:pPr>
            <w:r>
              <w:t>Microbial agent</w:t>
            </w:r>
          </w:p>
        </w:tc>
        <w:tc>
          <w:tcPr>
            <w:tcW w:w="879" w:type="pct"/>
          </w:tcPr>
          <w:p w14:paraId="42582955" w14:textId="77777777" w:rsidR="00DA48AE" w:rsidRDefault="00DA48AE">
            <w:pPr>
              <w:pStyle w:val="Tableheading"/>
              <w:jc w:val="right"/>
            </w:pPr>
            <w:r>
              <w:t>No. of tests applied</w:t>
            </w:r>
          </w:p>
        </w:tc>
        <w:tc>
          <w:tcPr>
            <w:tcW w:w="939" w:type="pct"/>
            <w:shd w:val="clear" w:color="auto" w:fill="auto"/>
          </w:tcPr>
          <w:p w14:paraId="4B366743" w14:textId="2A222CE7" w:rsidR="00DA48AE" w:rsidRDefault="00DA48AE" w:rsidP="00DA48AE">
            <w:pPr>
              <w:pStyle w:val="Tableheading"/>
              <w:jc w:val="right"/>
            </w:pPr>
            <w:r>
              <w:t>No. compliant</w:t>
            </w:r>
          </w:p>
        </w:tc>
        <w:tc>
          <w:tcPr>
            <w:tcW w:w="1182" w:type="pct"/>
          </w:tcPr>
          <w:p w14:paraId="14E7BA78" w14:textId="0146227E" w:rsidR="00DA48AE" w:rsidRDefault="00DA48AE">
            <w:pPr>
              <w:pStyle w:val="Tableheading"/>
              <w:jc w:val="right"/>
            </w:pPr>
            <w:r>
              <w:t>No. non-compliant</w:t>
            </w:r>
          </w:p>
        </w:tc>
        <w:tc>
          <w:tcPr>
            <w:tcW w:w="1000" w:type="pct"/>
          </w:tcPr>
          <w:p w14:paraId="012456D3" w14:textId="6868BB56" w:rsidR="00DA48AE" w:rsidRDefault="00DA48AE">
            <w:pPr>
              <w:pStyle w:val="Tableheading"/>
              <w:jc w:val="right"/>
            </w:pPr>
            <w:r>
              <w:t>Compliance rate (%)</w:t>
            </w:r>
          </w:p>
        </w:tc>
      </w:tr>
      <w:tr w:rsidR="00DA48AE" w14:paraId="04C3EC48" w14:textId="77777777" w:rsidTr="00DA48AE">
        <w:trPr>
          <w:jc w:val="center"/>
        </w:trPr>
        <w:tc>
          <w:tcPr>
            <w:tcW w:w="1000" w:type="pct"/>
            <w:shd w:val="clear" w:color="auto" w:fill="auto"/>
          </w:tcPr>
          <w:p w14:paraId="732BDED6" w14:textId="77777777" w:rsidR="00DA48AE" w:rsidRDefault="00DA48AE">
            <w:pPr>
              <w:pStyle w:val="Tabletext"/>
            </w:pPr>
            <w:r>
              <w:t>Allergen – Dairy</w:t>
            </w:r>
          </w:p>
        </w:tc>
        <w:tc>
          <w:tcPr>
            <w:tcW w:w="879" w:type="pct"/>
            <w:vAlign w:val="center"/>
          </w:tcPr>
          <w:p w14:paraId="7510B7A4" w14:textId="77777777" w:rsidR="00DA48AE" w:rsidRDefault="00DA48AE">
            <w:pPr>
              <w:pStyle w:val="Tabletext"/>
              <w:jc w:val="right"/>
            </w:pPr>
            <w:r>
              <w:t>73</w:t>
            </w:r>
          </w:p>
        </w:tc>
        <w:tc>
          <w:tcPr>
            <w:tcW w:w="939" w:type="pct"/>
            <w:shd w:val="clear" w:color="auto" w:fill="auto"/>
            <w:vAlign w:val="center"/>
          </w:tcPr>
          <w:p w14:paraId="1D62112E" w14:textId="06D1242B" w:rsidR="00DA48AE" w:rsidRDefault="00DA48AE">
            <w:pPr>
              <w:pStyle w:val="Tabletext"/>
              <w:jc w:val="right"/>
            </w:pPr>
            <w:r>
              <w:t>73</w:t>
            </w:r>
          </w:p>
        </w:tc>
        <w:tc>
          <w:tcPr>
            <w:tcW w:w="1182" w:type="pct"/>
          </w:tcPr>
          <w:p w14:paraId="4B40955E" w14:textId="206546F6" w:rsidR="00DA48AE" w:rsidRDefault="00DA48AE">
            <w:pPr>
              <w:pStyle w:val="Tabletext"/>
              <w:jc w:val="right"/>
            </w:pPr>
            <w:r>
              <w:t>0</w:t>
            </w:r>
          </w:p>
        </w:tc>
        <w:tc>
          <w:tcPr>
            <w:tcW w:w="1000" w:type="pct"/>
            <w:vAlign w:val="bottom"/>
          </w:tcPr>
          <w:p w14:paraId="5639DC43" w14:textId="18E95A79" w:rsidR="00DA48AE" w:rsidRDefault="00DA48AE">
            <w:pPr>
              <w:pStyle w:val="Tabletext"/>
              <w:jc w:val="right"/>
            </w:pPr>
            <w:r>
              <w:t>100</w:t>
            </w:r>
          </w:p>
        </w:tc>
      </w:tr>
      <w:tr w:rsidR="00DA48AE" w14:paraId="4E9579A8" w14:textId="77777777" w:rsidTr="00DA48AE">
        <w:trPr>
          <w:jc w:val="center"/>
        </w:trPr>
        <w:tc>
          <w:tcPr>
            <w:tcW w:w="1000" w:type="pct"/>
            <w:shd w:val="clear" w:color="auto" w:fill="auto"/>
          </w:tcPr>
          <w:p w14:paraId="6B4C35E2" w14:textId="77777777" w:rsidR="00DA48AE" w:rsidRDefault="00DA48AE">
            <w:pPr>
              <w:pStyle w:val="Tabletext"/>
              <w:rPr>
                <w:b/>
              </w:rPr>
            </w:pPr>
            <w:r>
              <w:rPr>
                <w:b/>
              </w:rPr>
              <w:t>Total</w:t>
            </w:r>
          </w:p>
        </w:tc>
        <w:tc>
          <w:tcPr>
            <w:tcW w:w="879" w:type="pct"/>
            <w:vAlign w:val="center"/>
          </w:tcPr>
          <w:p w14:paraId="65BC13FD" w14:textId="77777777" w:rsidR="00DA48AE" w:rsidRDefault="00DA48AE">
            <w:pPr>
              <w:pStyle w:val="Tabletext"/>
              <w:jc w:val="right"/>
            </w:pPr>
            <w:r>
              <w:t>73</w:t>
            </w:r>
          </w:p>
        </w:tc>
        <w:tc>
          <w:tcPr>
            <w:tcW w:w="939" w:type="pct"/>
            <w:shd w:val="clear" w:color="auto" w:fill="auto"/>
            <w:vAlign w:val="center"/>
          </w:tcPr>
          <w:p w14:paraId="7B57B888" w14:textId="2A83D69A" w:rsidR="00DA48AE" w:rsidRDefault="00DA48AE">
            <w:pPr>
              <w:pStyle w:val="Tabletext"/>
              <w:jc w:val="right"/>
            </w:pPr>
            <w:r>
              <w:t>73</w:t>
            </w:r>
          </w:p>
        </w:tc>
        <w:tc>
          <w:tcPr>
            <w:tcW w:w="1182" w:type="pct"/>
          </w:tcPr>
          <w:p w14:paraId="6575C5B0" w14:textId="1ECC9E60" w:rsidR="00DA48AE" w:rsidRDefault="00DA48AE">
            <w:pPr>
              <w:pStyle w:val="Tabletext"/>
              <w:jc w:val="right"/>
            </w:pPr>
            <w:r>
              <w:t>0</w:t>
            </w:r>
          </w:p>
        </w:tc>
        <w:tc>
          <w:tcPr>
            <w:tcW w:w="1000" w:type="pct"/>
            <w:vAlign w:val="bottom"/>
          </w:tcPr>
          <w:p w14:paraId="6F4F41A0" w14:textId="07AF26F2" w:rsidR="00DA48AE" w:rsidRDefault="00DA48AE">
            <w:pPr>
              <w:pStyle w:val="Tabletext"/>
              <w:jc w:val="right"/>
            </w:pPr>
            <w:r>
              <w:t>100</w:t>
            </w:r>
          </w:p>
        </w:tc>
      </w:tr>
    </w:tbl>
    <w:p w14:paraId="70C474FE" w14:textId="77777777" w:rsidR="00A072D0" w:rsidRDefault="009576A5" w:rsidP="00DA48AE">
      <w:pPr>
        <w:pStyle w:val="Heading3"/>
      </w:pPr>
      <w:bookmarkStart w:id="79" w:name="_Toc367781899"/>
      <w:bookmarkStart w:id="80" w:name="_Toc369764305"/>
      <w:bookmarkStart w:id="81" w:name="_Toc469066620"/>
      <w:r>
        <w:t xml:space="preserve">Analytical testing data, </w:t>
      </w:r>
      <w:bookmarkEnd w:id="79"/>
      <w:bookmarkEnd w:id="80"/>
      <w:r>
        <w:t>Italy</w:t>
      </w:r>
      <w:bookmarkEnd w:id="81"/>
    </w:p>
    <w:p w14:paraId="3BC929D6" w14:textId="77777777" w:rsidR="00A072D0" w:rsidRDefault="009576A5">
      <w:r>
        <w:t>In the period January to June 2016, food from Italy was subject to the third highest number of inspections in comparison with other countries inspected under the Imported Food Inspection Scheme; representing 7.2 per cent of all food lines inspected.</w:t>
      </w:r>
    </w:p>
    <w:p w14:paraId="2F56D06F" w14:textId="77777777" w:rsidR="00A072D0" w:rsidRDefault="009576A5">
      <w:r>
        <w:t>Of the 602 analytical tests applied to imported food from Italy, four were found to be non-compliant, giving a 99.3 per cent compliance rate for tests applied.</w:t>
      </w:r>
    </w:p>
    <w:p w14:paraId="3086F610" w14:textId="77777777" w:rsidR="00A072D0" w:rsidRDefault="009576A5">
      <w:r>
        <w:t xml:space="preserve">Microbiological tests were the most frequently applied followed by tests for contaminants, chemical and </w:t>
      </w:r>
      <w:proofErr w:type="spellStart"/>
      <w:proofErr w:type="gramStart"/>
      <w:r>
        <w:t>non</w:t>
      </w:r>
      <w:proofErr w:type="gramEnd"/>
      <w:r>
        <w:t xml:space="preserve"> permitted</w:t>
      </w:r>
      <w:proofErr w:type="spellEnd"/>
      <w:r>
        <w:t xml:space="preserve"> compositional content. </w:t>
      </w:r>
    </w:p>
    <w:p w14:paraId="449A7F15" w14:textId="77777777" w:rsidR="00A072D0" w:rsidRDefault="009576A5">
      <w:pPr>
        <w:pStyle w:val="Caption"/>
      </w:pPr>
      <w:bookmarkStart w:id="82" w:name="_Toc369867501"/>
      <w:bookmarkStart w:id="83" w:name="_Toc469062422"/>
      <w:r>
        <w:t xml:space="preserve">Table </w:t>
      </w:r>
      <w:r w:rsidR="00E70443">
        <w:fldChar w:fldCharType="begin"/>
      </w:r>
      <w:r w:rsidR="00E70443">
        <w:instrText xml:space="preserve"> SEQ Table \* ARABIC </w:instrText>
      </w:r>
      <w:r w:rsidR="00E70443">
        <w:fldChar w:fldCharType="separate"/>
      </w:r>
      <w:r w:rsidR="00E70443">
        <w:rPr>
          <w:noProof/>
        </w:rPr>
        <w:t>20</w:t>
      </w:r>
      <w:r w:rsidR="00E70443">
        <w:rPr>
          <w:noProof/>
        </w:rPr>
        <w:fldChar w:fldCharType="end"/>
      </w:r>
      <w:r>
        <w:t xml:space="preserve"> Compliance for chemical tests, </w:t>
      </w:r>
      <w:bookmarkEnd w:id="82"/>
      <w:r>
        <w:t>Italy</w:t>
      </w:r>
      <w:bookmarkEnd w:id="83"/>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1"/>
        <w:gridCol w:w="1316"/>
        <w:gridCol w:w="1844"/>
        <w:gridCol w:w="1819"/>
        <w:gridCol w:w="1660"/>
      </w:tblGrid>
      <w:tr w:rsidR="00265432" w14:paraId="0617349F" w14:textId="77777777" w:rsidTr="00265432">
        <w:trPr>
          <w:jc w:val="center"/>
        </w:trPr>
        <w:tc>
          <w:tcPr>
            <w:tcW w:w="1000" w:type="pct"/>
            <w:shd w:val="clear" w:color="auto" w:fill="auto"/>
          </w:tcPr>
          <w:p w14:paraId="760A161A" w14:textId="77777777" w:rsidR="00265432" w:rsidRDefault="00265432">
            <w:pPr>
              <w:pStyle w:val="Tableheading"/>
            </w:pPr>
            <w:r>
              <w:t>Chemical</w:t>
            </w:r>
          </w:p>
        </w:tc>
        <w:tc>
          <w:tcPr>
            <w:tcW w:w="793" w:type="pct"/>
          </w:tcPr>
          <w:p w14:paraId="7BFEDC9A" w14:textId="77777777" w:rsidR="00265432" w:rsidRDefault="00265432">
            <w:pPr>
              <w:pStyle w:val="Tableheading"/>
              <w:jc w:val="right"/>
            </w:pPr>
            <w:r>
              <w:t>No. of tests applied</w:t>
            </w:r>
          </w:p>
        </w:tc>
        <w:tc>
          <w:tcPr>
            <w:tcW w:w="1111" w:type="pct"/>
            <w:shd w:val="clear" w:color="auto" w:fill="auto"/>
          </w:tcPr>
          <w:p w14:paraId="7B61F534" w14:textId="6115DBA8" w:rsidR="00265432" w:rsidRDefault="00265432" w:rsidP="00265432">
            <w:pPr>
              <w:pStyle w:val="Tableheading"/>
              <w:jc w:val="right"/>
            </w:pPr>
            <w:r>
              <w:t xml:space="preserve">No. compliant / </w:t>
            </w:r>
          </w:p>
        </w:tc>
        <w:tc>
          <w:tcPr>
            <w:tcW w:w="1096" w:type="pct"/>
          </w:tcPr>
          <w:p w14:paraId="01EB422D" w14:textId="01714299" w:rsidR="00265432" w:rsidRDefault="00265432">
            <w:pPr>
              <w:pStyle w:val="Tableheading"/>
              <w:jc w:val="right"/>
            </w:pPr>
            <w:r>
              <w:t>No. non-compliant</w:t>
            </w:r>
          </w:p>
        </w:tc>
        <w:tc>
          <w:tcPr>
            <w:tcW w:w="1000" w:type="pct"/>
          </w:tcPr>
          <w:p w14:paraId="7808D66E" w14:textId="676DFF62" w:rsidR="00265432" w:rsidRDefault="00265432">
            <w:pPr>
              <w:pStyle w:val="Tableheading"/>
              <w:jc w:val="right"/>
            </w:pPr>
            <w:r>
              <w:t>Compliance rate (%)</w:t>
            </w:r>
          </w:p>
        </w:tc>
      </w:tr>
      <w:tr w:rsidR="00265432" w14:paraId="5B312654" w14:textId="77777777" w:rsidTr="00265432">
        <w:trPr>
          <w:jc w:val="center"/>
        </w:trPr>
        <w:tc>
          <w:tcPr>
            <w:tcW w:w="1000" w:type="pct"/>
            <w:shd w:val="clear" w:color="auto" w:fill="auto"/>
            <w:vAlign w:val="center"/>
          </w:tcPr>
          <w:p w14:paraId="434A7893" w14:textId="77777777" w:rsidR="00265432" w:rsidRDefault="00265432">
            <w:pPr>
              <w:pStyle w:val="Tabletext"/>
            </w:pPr>
            <w:r>
              <w:t>Fruit &amp; veg residue screen</w:t>
            </w:r>
          </w:p>
        </w:tc>
        <w:tc>
          <w:tcPr>
            <w:tcW w:w="793" w:type="pct"/>
            <w:vAlign w:val="center"/>
          </w:tcPr>
          <w:p w14:paraId="1B007DD1" w14:textId="77777777" w:rsidR="00265432" w:rsidRDefault="00265432">
            <w:pPr>
              <w:pStyle w:val="Tabletext"/>
              <w:jc w:val="right"/>
            </w:pPr>
            <w:r>
              <w:t>12</w:t>
            </w:r>
          </w:p>
        </w:tc>
        <w:tc>
          <w:tcPr>
            <w:tcW w:w="1111" w:type="pct"/>
            <w:shd w:val="clear" w:color="auto" w:fill="auto"/>
            <w:vAlign w:val="center"/>
          </w:tcPr>
          <w:p w14:paraId="7CE7694E" w14:textId="14AC18CE" w:rsidR="00265432" w:rsidRDefault="00265432">
            <w:pPr>
              <w:pStyle w:val="Tabletext"/>
              <w:jc w:val="right"/>
            </w:pPr>
            <w:r>
              <w:t>12</w:t>
            </w:r>
          </w:p>
        </w:tc>
        <w:tc>
          <w:tcPr>
            <w:tcW w:w="1096" w:type="pct"/>
            <w:vAlign w:val="center"/>
          </w:tcPr>
          <w:p w14:paraId="405CD2E4" w14:textId="29406224" w:rsidR="00265432" w:rsidRDefault="00265432">
            <w:pPr>
              <w:pStyle w:val="Tabletext"/>
              <w:jc w:val="right"/>
            </w:pPr>
            <w:r>
              <w:t>0</w:t>
            </w:r>
          </w:p>
        </w:tc>
        <w:tc>
          <w:tcPr>
            <w:tcW w:w="1000" w:type="pct"/>
            <w:vAlign w:val="center"/>
          </w:tcPr>
          <w:p w14:paraId="54BFBFE2" w14:textId="39565738" w:rsidR="00265432" w:rsidRDefault="00265432">
            <w:pPr>
              <w:pStyle w:val="Tabletext"/>
              <w:jc w:val="right"/>
            </w:pPr>
            <w:r>
              <w:t>100</w:t>
            </w:r>
          </w:p>
        </w:tc>
      </w:tr>
      <w:tr w:rsidR="00265432" w14:paraId="57209BF9" w14:textId="77777777" w:rsidTr="00265432">
        <w:trPr>
          <w:jc w:val="center"/>
        </w:trPr>
        <w:tc>
          <w:tcPr>
            <w:tcW w:w="1000" w:type="pct"/>
            <w:shd w:val="clear" w:color="auto" w:fill="auto"/>
            <w:vAlign w:val="center"/>
          </w:tcPr>
          <w:p w14:paraId="07984D92" w14:textId="77777777" w:rsidR="00265432" w:rsidRDefault="00265432">
            <w:pPr>
              <w:pStyle w:val="Tabletext"/>
              <w:rPr>
                <w:b/>
              </w:rPr>
            </w:pPr>
            <w:r>
              <w:rPr>
                <w:b/>
              </w:rPr>
              <w:t>Total</w:t>
            </w:r>
          </w:p>
        </w:tc>
        <w:tc>
          <w:tcPr>
            <w:tcW w:w="793" w:type="pct"/>
            <w:vAlign w:val="center"/>
          </w:tcPr>
          <w:p w14:paraId="78E48079" w14:textId="77777777" w:rsidR="00265432" w:rsidRDefault="00265432">
            <w:pPr>
              <w:pStyle w:val="Tabletext"/>
              <w:jc w:val="right"/>
            </w:pPr>
            <w:r>
              <w:t>12</w:t>
            </w:r>
          </w:p>
        </w:tc>
        <w:tc>
          <w:tcPr>
            <w:tcW w:w="1111" w:type="pct"/>
            <w:shd w:val="clear" w:color="auto" w:fill="auto"/>
            <w:vAlign w:val="center"/>
          </w:tcPr>
          <w:p w14:paraId="7121A920" w14:textId="7738CFA4" w:rsidR="00265432" w:rsidRDefault="00265432">
            <w:pPr>
              <w:pStyle w:val="Tabletext"/>
              <w:jc w:val="right"/>
            </w:pPr>
            <w:r>
              <w:t>12</w:t>
            </w:r>
          </w:p>
        </w:tc>
        <w:tc>
          <w:tcPr>
            <w:tcW w:w="1096" w:type="pct"/>
            <w:vAlign w:val="center"/>
          </w:tcPr>
          <w:p w14:paraId="347B7F42" w14:textId="5982B15A" w:rsidR="00265432" w:rsidRDefault="00265432">
            <w:pPr>
              <w:pStyle w:val="Tabletext"/>
              <w:jc w:val="right"/>
            </w:pPr>
            <w:r>
              <w:t>0</w:t>
            </w:r>
          </w:p>
        </w:tc>
        <w:tc>
          <w:tcPr>
            <w:tcW w:w="1000" w:type="pct"/>
            <w:vAlign w:val="center"/>
          </w:tcPr>
          <w:p w14:paraId="3362248A" w14:textId="4413539D" w:rsidR="00265432" w:rsidRDefault="00265432">
            <w:pPr>
              <w:pStyle w:val="Tabletext"/>
              <w:jc w:val="right"/>
            </w:pPr>
            <w:r>
              <w:t>100</w:t>
            </w:r>
          </w:p>
        </w:tc>
      </w:tr>
    </w:tbl>
    <w:p w14:paraId="190C7122" w14:textId="77777777" w:rsidR="00A072D0" w:rsidRDefault="009576A5">
      <w:pPr>
        <w:pStyle w:val="Caption"/>
      </w:pPr>
      <w:bookmarkStart w:id="84" w:name="_Toc369867502"/>
      <w:bookmarkStart w:id="85" w:name="_Toc469062423"/>
      <w:r>
        <w:t xml:space="preserve">Table </w:t>
      </w:r>
      <w:r w:rsidR="00E70443">
        <w:fldChar w:fldCharType="begin"/>
      </w:r>
      <w:r w:rsidR="00E70443">
        <w:instrText xml:space="preserve"> SEQ Table \* ARABIC </w:instrText>
      </w:r>
      <w:r w:rsidR="00E70443">
        <w:fldChar w:fldCharType="separate"/>
      </w:r>
      <w:r w:rsidR="00E70443">
        <w:rPr>
          <w:noProof/>
        </w:rPr>
        <w:t>21</w:t>
      </w:r>
      <w:r w:rsidR="00E70443">
        <w:rPr>
          <w:noProof/>
        </w:rPr>
        <w:fldChar w:fldCharType="end"/>
      </w:r>
      <w:r>
        <w:t xml:space="preserve"> Compliance for contaminant tests, </w:t>
      </w:r>
      <w:bookmarkEnd w:id="84"/>
      <w:r>
        <w:t>Italy</w:t>
      </w:r>
      <w:bookmarkEnd w:id="85"/>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0"/>
        <w:gridCol w:w="1459"/>
        <w:gridCol w:w="1559"/>
        <w:gridCol w:w="1962"/>
        <w:gridCol w:w="1660"/>
      </w:tblGrid>
      <w:tr w:rsidR="00265432" w14:paraId="21199390" w14:textId="77777777" w:rsidTr="00265432">
        <w:trPr>
          <w:tblHeader/>
          <w:jc w:val="center"/>
        </w:trPr>
        <w:tc>
          <w:tcPr>
            <w:tcW w:w="1000" w:type="pct"/>
            <w:shd w:val="clear" w:color="auto" w:fill="auto"/>
          </w:tcPr>
          <w:p w14:paraId="0D5CD862" w14:textId="77777777" w:rsidR="00265432" w:rsidRDefault="00265432">
            <w:pPr>
              <w:pStyle w:val="Tableheading"/>
            </w:pPr>
            <w:r>
              <w:t>Contaminant</w:t>
            </w:r>
          </w:p>
        </w:tc>
        <w:tc>
          <w:tcPr>
            <w:tcW w:w="879" w:type="pct"/>
          </w:tcPr>
          <w:p w14:paraId="3DE5CF77" w14:textId="77777777" w:rsidR="00265432" w:rsidRDefault="00265432">
            <w:pPr>
              <w:pStyle w:val="Tableheading"/>
              <w:jc w:val="right"/>
            </w:pPr>
            <w:r>
              <w:t>No. of tests applied</w:t>
            </w:r>
          </w:p>
        </w:tc>
        <w:tc>
          <w:tcPr>
            <w:tcW w:w="939" w:type="pct"/>
            <w:shd w:val="clear" w:color="auto" w:fill="auto"/>
          </w:tcPr>
          <w:p w14:paraId="3454D3FC" w14:textId="7BCC2A72" w:rsidR="00265432" w:rsidRDefault="00265432" w:rsidP="00265432">
            <w:pPr>
              <w:pStyle w:val="Tableheading"/>
              <w:jc w:val="right"/>
            </w:pPr>
            <w:r>
              <w:t>No. compliant</w:t>
            </w:r>
          </w:p>
        </w:tc>
        <w:tc>
          <w:tcPr>
            <w:tcW w:w="1182" w:type="pct"/>
          </w:tcPr>
          <w:p w14:paraId="183A8883" w14:textId="3EB8C5A6" w:rsidR="00265432" w:rsidRDefault="00265432">
            <w:pPr>
              <w:pStyle w:val="Tableheading"/>
              <w:jc w:val="right"/>
            </w:pPr>
            <w:r>
              <w:t>No. non-compliant</w:t>
            </w:r>
          </w:p>
        </w:tc>
        <w:tc>
          <w:tcPr>
            <w:tcW w:w="1000" w:type="pct"/>
          </w:tcPr>
          <w:p w14:paraId="35553686" w14:textId="4DBAF44A" w:rsidR="00265432" w:rsidRDefault="00265432">
            <w:pPr>
              <w:pStyle w:val="Tableheading"/>
              <w:jc w:val="right"/>
            </w:pPr>
            <w:r>
              <w:t>Compliance rate (%)</w:t>
            </w:r>
          </w:p>
        </w:tc>
      </w:tr>
      <w:tr w:rsidR="00265432" w14:paraId="106DB33C" w14:textId="77777777" w:rsidTr="00265432">
        <w:trPr>
          <w:jc w:val="center"/>
        </w:trPr>
        <w:tc>
          <w:tcPr>
            <w:tcW w:w="1000" w:type="pct"/>
            <w:shd w:val="clear" w:color="auto" w:fill="auto"/>
          </w:tcPr>
          <w:p w14:paraId="6D3ECFD4" w14:textId="77777777" w:rsidR="00265432" w:rsidRDefault="00265432">
            <w:pPr>
              <w:pStyle w:val="Tabletext"/>
            </w:pPr>
            <w:r>
              <w:t>Aflatoxins</w:t>
            </w:r>
          </w:p>
        </w:tc>
        <w:tc>
          <w:tcPr>
            <w:tcW w:w="879" w:type="pct"/>
            <w:vAlign w:val="bottom"/>
          </w:tcPr>
          <w:p w14:paraId="1DB7F406" w14:textId="77777777" w:rsidR="00265432" w:rsidRDefault="00265432">
            <w:pPr>
              <w:pStyle w:val="Tabletext"/>
              <w:jc w:val="right"/>
            </w:pPr>
            <w:r>
              <w:t>15</w:t>
            </w:r>
          </w:p>
        </w:tc>
        <w:tc>
          <w:tcPr>
            <w:tcW w:w="939" w:type="pct"/>
            <w:shd w:val="clear" w:color="auto" w:fill="auto"/>
            <w:vAlign w:val="bottom"/>
          </w:tcPr>
          <w:p w14:paraId="35195555" w14:textId="555B2907" w:rsidR="00265432" w:rsidRDefault="00265432">
            <w:pPr>
              <w:pStyle w:val="Tabletext"/>
              <w:jc w:val="right"/>
            </w:pPr>
            <w:r>
              <w:t>15</w:t>
            </w:r>
          </w:p>
        </w:tc>
        <w:tc>
          <w:tcPr>
            <w:tcW w:w="1182" w:type="pct"/>
          </w:tcPr>
          <w:p w14:paraId="77D17AF2" w14:textId="2541C264" w:rsidR="00265432" w:rsidRDefault="00265432">
            <w:pPr>
              <w:pStyle w:val="Tabletext"/>
              <w:jc w:val="right"/>
            </w:pPr>
            <w:r>
              <w:t>0</w:t>
            </w:r>
          </w:p>
        </w:tc>
        <w:tc>
          <w:tcPr>
            <w:tcW w:w="1000" w:type="pct"/>
          </w:tcPr>
          <w:p w14:paraId="27EB7ED7" w14:textId="1893C3F6" w:rsidR="00265432" w:rsidRDefault="00265432">
            <w:pPr>
              <w:pStyle w:val="Tabletext"/>
              <w:jc w:val="right"/>
            </w:pPr>
            <w:r>
              <w:t>100</w:t>
            </w:r>
          </w:p>
        </w:tc>
      </w:tr>
      <w:tr w:rsidR="00265432" w14:paraId="626287F6" w14:textId="77777777" w:rsidTr="00265432">
        <w:trPr>
          <w:jc w:val="center"/>
        </w:trPr>
        <w:tc>
          <w:tcPr>
            <w:tcW w:w="1000" w:type="pct"/>
            <w:shd w:val="clear" w:color="auto" w:fill="auto"/>
          </w:tcPr>
          <w:p w14:paraId="5B81AFF4" w14:textId="77777777" w:rsidR="00265432" w:rsidRDefault="00265432">
            <w:pPr>
              <w:pStyle w:val="Tabletext"/>
            </w:pPr>
            <w:r>
              <w:t>Arsenic total</w:t>
            </w:r>
          </w:p>
        </w:tc>
        <w:tc>
          <w:tcPr>
            <w:tcW w:w="879" w:type="pct"/>
            <w:vAlign w:val="bottom"/>
          </w:tcPr>
          <w:p w14:paraId="19481576" w14:textId="77777777" w:rsidR="00265432" w:rsidRDefault="00265432">
            <w:pPr>
              <w:pStyle w:val="Tabletext"/>
              <w:jc w:val="right"/>
            </w:pPr>
            <w:r>
              <w:t>27</w:t>
            </w:r>
          </w:p>
        </w:tc>
        <w:tc>
          <w:tcPr>
            <w:tcW w:w="939" w:type="pct"/>
            <w:shd w:val="clear" w:color="auto" w:fill="auto"/>
            <w:vAlign w:val="bottom"/>
          </w:tcPr>
          <w:p w14:paraId="7D6BFFF8" w14:textId="255B2C2F" w:rsidR="00265432" w:rsidRDefault="00265432">
            <w:pPr>
              <w:pStyle w:val="Tabletext"/>
              <w:jc w:val="right"/>
            </w:pPr>
            <w:r>
              <w:t>27</w:t>
            </w:r>
          </w:p>
        </w:tc>
        <w:tc>
          <w:tcPr>
            <w:tcW w:w="1182" w:type="pct"/>
          </w:tcPr>
          <w:p w14:paraId="0D3507AA" w14:textId="35BAD36D" w:rsidR="00265432" w:rsidRDefault="00265432">
            <w:pPr>
              <w:pStyle w:val="Tabletext"/>
              <w:jc w:val="right"/>
            </w:pPr>
            <w:r>
              <w:t>0</w:t>
            </w:r>
          </w:p>
        </w:tc>
        <w:tc>
          <w:tcPr>
            <w:tcW w:w="1000" w:type="pct"/>
          </w:tcPr>
          <w:p w14:paraId="3347BE76" w14:textId="3A669A2A" w:rsidR="00265432" w:rsidRDefault="00265432">
            <w:pPr>
              <w:pStyle w:val="Tabletext"/>
              <w:jc w:val="right"/>
            </w:pPr>
            <w:r>
              <w:t>100</w:t>
            </w:r>
          </w:p>
        </w:tc>
      </w:tr>
      <w:tr w:rsidR="00265432" w14:paraId="41BFE2E2" w14:textId="77777777" w:rsidTr="00265432">
        <w:trPr>
          <w:jc w:val="center"/>
        </w:trPr>
        <w:tc>
          <w:tcPr>
            <w:tcW w:w="1000" w:type="pct"/>
            <w:shd w:val="clear" w:color="auto" w:fill="auto"/>
          </w:tcPr>
          <w:p w14:paraId="7906D310" w14:textId="77777777" w:rsidR="00265432" w:rsidRDefault="00265432">
            <w:pPr>
              <w:pStyle w:val="Tabletext"/>
            </w:pPr>
            <w:proofErr w:type="spellStart"/>
            <w:r>
              <w:t>Domoic</w:t>
            </w:r>
            <w:proofErr w:type="spellEnd"/>
            <w:r>
              <w:t xml:space="preserve"> acid</w:t>
            </w:r>
          </w:p>
        </w:tc>
        <w:tc>
          <w:tcPr>
            <w:tcW w:w="879" w:type="pct"/>
            <w:vAlign w:val="bottom"/>
          </w:tcPr>
          <w:p w14:paraId="15DBFFD5" w14:textId="77777777" w:rsidR="00265432" w:rsidRDefault="00265432">
            <w:pPr>
              <w:pStyle w:val="Tabletext"/>
              <w:jc w:val="right"/>
            </w:pPr>
            <w:r>
              <w:t>22</w:t>
            </w:r>
          </w:p>
        </w:tc>
        <w:tc>
          <w:tcPr>
            <w:tcW w:w="939" w:type="pct"/>
            <w:shd w:val="clear" w:color="auto" w:fill="auto"/>
            <w:vAlign w:val="bottom"/>
          </w:tcPr>
          <w:p w14:paraId="33F23AF6" w14:textId="69C00BAC" w:rsidR="00265432" w:rsidRDefault="00265432">
            <w:pPr>
              <w:pStyle w:val="Tabletext"/>
              <w:jc w:val="right"/>
            </w:pPr>
            <w:r>
              <w:t>22</w:t>
            </w:r>
          </w:p>
        </w:tc>
        <w:tc>
          <w:tcPr>
            <w:tcW w:w="1182" w:type="pct"/>
          </w:tcPr>
          <w:p w14:paraId="628EEF06" w14:textId="078CA552" w:rsidR="00265432" w:rsidRDefault="00265432">
            <w:pPr>
              <w:pStyle w:val="Tabletext"/>
              <w:jc w:val="right"/>
            </w:pPr>
            <w:r>
              <w:t>0</w:t>
            </w:r>
          </w:p>
        </w:tc>
        <w:tc>
          <w:tcPr>
            <w:tcW w:w="1000" w:type="pct"/>
          </w:tcPr>
          <w:p w14:paraId="6ECCCC20" w14:textId="4673C665" w:rsidR="00265432" w:rsidRDefault="00265432">
            <w:pPr>
              <w:pStyle w:val="Tabletext"/>
              <w:jc w:val="right"/>
            </w:pPr>
            <w:r>
              <w:t>100</w:t>
            </w:r>
          </w:p>
        </w:tc>
      </w:tr>
      <w:tr w:rsidR="00265432" w14:paraId="6CA0DBD0" w14:textId="77777777" w:rsidTr="00265432">
        <w:trPr>
          <w:jc w:val="center"/>
        </w:trPr>
        <w:tc>
          <w:tcPr>
            <w:tcW w:w="1000" w:type="pct"/>
            <w:shd w:val="clear" w:color="auto" w:fill="auto"/>
          </w:tcPr>
          <w:p w14:paraId="796FCA4B" w14:textId="77777777" w:rsidR="00265432" w:rsidRDefault="00265432">
            <w:pPr>
              <w:pStyle w:val="Tabletext"/>
            </w:pPr>
            <w:r>
              <w:t>Histamine</w:t>
            </w:r>
          </w:p>
        </w:tc>
        <w:tc>
          <w:tcPr>
            <w:tcW w:w="879" w:type="pct"/>
            <w:vAlign w:val="bottom"/>
          </w:tcPr>
          <w:p w14:paraId="50B0A96A" w14:textId="77777777" w:rsidR="00265432" w:rsidRDefault="00265432">
            <w:pPr>
              <w:pStyle w:val="Tabletext"/>
              <w:jc w:val="right"/>
            </w:pPr>
            <w:r>
              <w:t>17</w:t>
            </w:r>
          </w:p>
        </w:tc>
        <w:tc>
          <w:tcPr>
            <w:tcW w:w="939" w:type="pct"/>
            <w:shd w:val="clear" w:color="auto" w:fill="auto"/>
            <w:vAlign w:val="bottom"/>
          </w:tcPr>
          <w:p w14:paraId="24601F40" w14:textId="15A74072" w:rsidR="00265432" w:rsidRDefault="00265432">
            <w:pPr>
              <w:pStyle w:val="Tabletext"/>
              <w:jc w:val="right"/>
            </w:pPr>
            <w:r>
              <w:t>17</w:t>
            </w:r>
          </w:p>
        </w:tc>
        <w:tc>
          <w:tcPr>
            <w:tcW w:w="1182" w:type="pct"/>
          </w:tcPr>
          <w:p w14:paraId="3729EB19" w14:textId="4C6013FB" w:rsidR="00265432" w:rsidRDefault="00265432">
            <w:pPr>
              <w:pStyle w:val="Tabletext"/>
              <w:jc w:val="right"/>
            </w:pPr>
            <w:r>
              <w:t>0</w:t>
            </w:r>
          </w:p>
        </w:tc>
        <w:tc>
          <w:tcPr>
            <w:tcW w:w="1000" w:type="pct"/>
          </w:tcPr>
          <w:p w14:paraId="169BA8A1" w14:textId="2074AD52" w:rsidR="00265432" w:rsidRDefault="00265432">
            <w:pPr>
              <w:pStyle w:val="Tabletext"/>
              <w:jc w:val="right"/>
            </w:pPr>
            <w:r>
              <w:t>100</w:t>
            </w:r>
          </w:p>
        </w:tc>
      </w:tr>
      <w:tr w:rsidR="00265432" w14:paraId="262FC0B3" w14:textId="77777777" w:rsidTr="00265432">
        <w:trPr>
          <w:jc w:val="center"/>
        </w:trPr>
        <w:tc>
          <w:tcPr>
            <w:tcW w:w="1000" w:type="pct"/>
            <w:shd w:val="clear" w:color="auto" w:fill="auto"/>
          </w:tcPr>
          <w:p w14:paraId="721DA4A9" w14:textId="77777777" w:rsidR="00265432" w:rsidRDefault="00265432">
            <w:pPr>
              <w:pStyle w:val="Tabletext"/>
            </w:pPr>
            <w:r>
              <w:t>Lead</w:t>
            </w:r>
          </w:p>
        </w:tc>
        <w:tc>
          <w:tcPr>
            <w:tcW w:w="879" w:type="pct"/>
            <w:vAlign w:val="bottom"/>
          </w:tcPr>
          <w:p w14:paraId="7642C906" w14:textId="77777777" w:rsidR="00265432" w:rsidRDefault="00265432">
            <w:pPr>
              <w:pStyle w:val="Tabletext"/>
              <w:jc w:val="right"/>
            </w:pPr>
            <w:r>
              <w:t>28</w:t>
            </w:r>
          </w:p>
        </w:tc>
        <w:tc>
          <w:tcPr>
            <w:tcW w:w="939" w:type="pct"/>
            <w:shd w:val="clear" w:color="auto" w:fill="auto"/>
            <w:vAlign w:val="bottom"/>
          </w:tcPr>
          <w:p w14:paraId="7B26DF17" w14:textId="4709E610" w:rsidR="00265432" w:rsidRDefault="00265432">
            <w:pPr>
              <w:pStyle w:val="Tabletext"/>
              <w:jc w:val="right"/>
            </w:pPr>
            <w:r>
              <w:t>28</w:t>
            </w:r>
          </w:p>
        </w:tc>
        <w:tc>
          <w:tcPr>
            <w:tcW w:w="1182" w:type="pct"/>
          </w:tcPr>
          <w:p w14:paraId="7A10F9DE" w14:textId="61CBCF73" w:rsidR="00265432" w:rsidRDefault="00265432">
            <w:pPr>
              <w:pStyle w:val="Tabletext"/>
              <w:jc w:val="right"/>
            </w:pPr>
            <w:r>
              <w:t>0</w:t>
            </w:r>
          </w:p>
        </w:tc>
        <w:tc>
          <w:tcPr>
            <w:tcW w:w="1000" w:type="pct"/>
          </w:tcPr>
          <w:p w14:paraId="1D49758F" w14:textId="5E2CDC6C" w:rsidR="00265432" w:rsidRDefault="00265432">
            <w:pPr>
              <w:pStyle w:val="Tabletext"/>
              <w:jc w:val="right"/>
            </w:pPr>
            <w:r>
              <w:t>100</w:t>
            </w:r>
          </w:p>
        </w:tc>
      </w:tr>
      <w:tr w:rsidR="00265432" w14:paraId="0734F632" w14:textId="77777777" w:rsidTr="00265432">
        <w:trPr>
          <w:jc w:val="center"/>
        </w:trPr>
        <w:tc>
          <w:tcPr>
            <w:tcW w:w="1000" w:type="pct"/>
            <w:shd w:val="clear" w:color="auto" w:fill="auto"/>
          </w:tcPr>
          <w:p w14:paraId="11004D06" w14:textId="77777777" w:rsidR="00265432" w:rsidRDefault="00265432">
            <w:pPr>
              <w:pStyle w:val="Tabletext"/>
            </w:pPr>
            <w:r>
              <w:t>PSP Toxin</w:t>
            </w:r>
          </w:p>
        </w:tc>
        <w:tc>
          <w:tcPr>
            <w:tcW w:w="879" w:type="pct"/>
            <w:vAlign w:val="bottom"/>
          </w:tcPr>
          <w:p w14:paraId="5397A948" w14:textId="77777777" w:rsidR="00265432" w:rsidRDefault="00265432">
            <w:pPr>
              <w:pStyle w:val="Tabletext"/>
              <w:jc w:val="right"/>
            </w:pPr>
            <w:r>
              <w:t>2</w:t>
            </w:r>
          </w:p>
        </w:tc>
        <w:tc>
          <w:tcPr>
            <w:tcW w:w="939" w:type="pct"/>
            <w:shd w:val="clear" w:color="auto" w:fill="auto"/>
            <w:vAlign w:val="bottom"/>
          </w:tcPr>
          <w:p w14:paraId="7C4621A5" w14:textId="1EE03D60" w:rsidR="00265432" w:rsidRDefault="00265432">
            <w:pPr>
              <w:pStyle w:val="Tabletext"/>
              <w:jc w:val="right"/>
            </w:pPr>
            <w:r>
              <w:t>2</w:t>
            </w:r>
          </w:p>
        </w:tc>
        <w:tc>
          <w:tcPr>
            <w:tcW w:w="1182" w:type="pct"/>
          </w:tcPr>
          <w:p w14:paraId="7BDB78F1" w14:textId="1B9F3CBB" w:rsidR="00265432" w:rsidRDefault="00265432">
            <w:pPr>
              <w:pStyle w:val="Tabletext"/>
              <w:jc w:val="right"/>
            </w:pPr>
            <w:r>
              <w:t>0</w:t>
            </w:r>
          </w:p>
        </w:tc>
        <w:tc>
          <w:tcPr>
            <w:tcW w:w="1000" w:type="pct"/>
          </w:tcPr>
          <w:p w14:paraId="2985A5C3" w14:textId="784EA34B" w:rsidR="00265432" w:rsidRDefault="00265432">
            <w:pPr>
              <w:pStyle w:val="Tabletext"/>
              <w:jc w:val="right"/>
            </w:pPr>
            <w:r>
              <w:t>100</w:t>
            </w:r>
          </w:p>
        </w:tc>
      </w:tr>
      <w:tr w:rsidR="00265432" w14:paraId="3E8119EF" w14:textId="77777777" w:rsidTr="00265432">
        <w:trPr>
          <w:jc w:val="center"/>
        </w:trPr>
        <w:tc>
          <w:tcPr>
            <w:tcW w:w="1000" w:type="pct"/>
            <w:shd w:val="clear" w:color="auto" w:fill="auto"/>
          </w:tcPr>
          <w:p w14:paraId="15D5932A" w14:textId="77777777" w:rsidR="00265432" w:rsidRDefault="00265432">
            <w:pPr>
              <w:pStyle w:val="Tabletext"/>
              <w:rPr>
                <w:b/>
              </w:rPr>
            </w:pPr>
            <w:r>
              <w:rPr>
                <w:b/>
              </w:rPr>
              <w:t>Total</w:t>
            </w:r>
          </w:p>
        </w:tc>
        <w:tc>
          <w:tcPr>
            <w:tcW w:w="879" w:type="pct"/>
            <w:vAlign w:val="bottom"/>
          </w:tcPr>
          <w:p w14:paraId="3D7B722C" w14:textId="77777777" w:rsidR="00265432" w:rsidRDefault="00265432">
            <w:pPr>
              <w:pStyle w:val="Tabletext"/>
              <w:jc w:val="right"/>
            </w:pPr>
            <w:r>
              <w:t>111</w:t>
            </w:r>
          </w:p>
        </w:tc>
        <w:tc>
          <w:tcPr>
            <w:tcW w:w="939" w:type="pct"/>
            <w:shd w:val="clear" w:color="auto" w:fill="auto"/>
            <w:vAlign w:val="bottom"/>
          </w:tcPr>
          <w:p w14:paraId="43D7D980" w14:textId="6016CB42" w:rsidR="00265432" w:rsidRDefault="00265432">
            <w:pPr>
              <w:pStyle w:val="Tabletext"/>
              <w:jc w:val="right"/>
            </w:pPr>
            <w:r>
              <w:t>111</w:t>
            </w:r>
          </w:p>
        </w:tc>
        <w:tc>
          <w:tcPr>
            <w:tcW w:w="1182" w:type="pct"/>
          </w:tcPr>
          <w:p w14:paraId="136C938E" w14:textId="65808D99" w:rsidR="00265432" w:rsidRDefault="00265432">
            <w:pPr>
              <w:pStyle w:val="Tabletext"/>
              <w:jc w:val="right"/>
            </w:pPr>
            <w:r>
              <w:t>0</w:t>
            </w:r>
          </w:p>
        </w:tc>
        <w:tc>
          <w:tcPr>
            <w:tcW w:w="1000" w:type="pct"/>
          </w:tcPr>
          <w:p w14:paraId="4ABFE355" w14:textId="2DBBA9C4" w:rsidR="00265432" w:rsidRDefault="00265432">
            <w:pPr>
              <w:pStyle w:val="Tabletext"/>
              <w:jc w:val="right"/>
            </w:pPr>
            <w:r>
              <w:t>100</w:t>
            </w:r>
          </w:p>
        </w:tc>
      </w:tr>
    </w:tbl>
    <w:p w14:paraId="79CCA86F" w14:textId="77777777" w:rsidR="00A072D0" w:rsidRDefault="009576A5">
      <w:pPr>
        <w:pStyle w:val="Caption"/>
      </w:pPr>
      <w:bookmarkStart w:id="86" w:name="_Toc369867504"/>
      <w:bookmarkStart w:id="87" w:name="_Toc469062424"/>
      <w:r>
        <w:t xml:space="preserve">Table </w:t>
      </w:r>
      <w:r w:rsidR="00E70443">
        <w:fldChar w:fldCharType="begin"/>
      </w:r>
      <w:r w:rsidR="00E70443">
        <w:instrText xml:space="preserve"> SEQ Table \* ARABIC </w:instrText>
      </w:r>
      <w:r w:rsidR="00E70443">
        <w:fldChar w:fldCharType="separate"/>
      </w:r>
      <w:r w:rsidR="00E70443">
        <w:rPr>
          <w:noProof/>
        </w:rPr>
        <w:t>22</w:t>
      </w:r>
      <w:r w:rsidR="00E70443">
        <w:rPr>
          <w:noProof/>
        </w:rPr>
        <w:fldChar w:fldCharType="end"/>
      </w:r>
      <w:r>
        <w:t xml:space="preserve"> Compliance for microbiological tests, </w:t>
      </w:r>
      <w:bookmarkEnd w:id="86"/>
      <w:r>
        <w:t>Italy</w:t>
      </w:r>
      <w:bookmarkEnd w:id="87"/>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1660"/>
        <w:gridCol w:w="1459"/>
        <w:gridCol w:w="1702"/>
        <w:gridCol w:w="1819"/>
        <w:gridCol w:w="1660"/>
      </w:tblGrid>
      <w:tr w:rsidR="00265432" w14:paraId="40613864" w14:textId="77777777" w:rsidTr="003C0FB0">
        <w:trPr>
          <w:cantSplit/>
          <w:tblHeader/>
          <w:jc w:val="center"/>
        </w:trPr>
        <w:tc>
          <w:tcPr>
            <w:tcW w:w="1000" w:type="pct"/>
            <w:shd w:val="clear" w:color="auto" w:fill="auto"/>
          </w:tcPr>
          <w:p w14:paraId="3B669685" w14:textId="77777777" w:rsidR="00265432" w:rsidRDefault="00265432">
            <w:pPr>
              <w:pStyle w:val="Tableheading"/>
            </w:pPr>
            <w:r>
              <w:t>Microbial agent</w:t>
            </w:r>
          </w:p>
        </w:tc>
        <w:tc>
          <w:tcPr>
            <w:tcW w:w="879" w:type="pct"/>
          </w:tcPr>
          <w:p w14:paraId="69A9513E" w14:textId="77777777" w:rsidR="00265432" w:rsidRDefault="00265432">
            <w:pPr>
              <w:pStyle w:val="Tableheading"/>
              <w:jc w:val="right"/>
            </w:pPr>
            <w:r>
              <w:t>No. of tests applied</w:t>
            </w:r>
          </w:p>
        </w:tc>
        <w:tc>
          <w:tcPr>
            <w:tcW w:w="1025" w:type="pct"/>
            <w:shd w:val="clear" w:color="auto" w:fill="auto"/>
          </w:tcPr>
          <w:p w14:paraId="1F9EAB11" w14:textId="0B96A36E" w:rsidR="00265432" w:rsidRDefault="00265432" w:rsidP="00265432">
            <w:pPr>
              <w:pStyle w:val="Tableheading"/>
              <w:jc w:val="right"/>
            </w:pPr>
            <w:r>
              <w:t>No. compliant</w:t>
            </w:r>
          </w:p>
        </w:tc>
        <w:tc>
          <w:tcPr>
            <w:tcW w:w="1096" w:type="pct"/>
          </w:tcPr>
          <w:p w14:paraId="11862B42" w14:textId="0815A6B7" w:rsidR="00265432" w:rsidRDefault="00265432">
            <w:pPr>
              <w:pStyle w:val="Tableheading"/>
              <w:jc w:val="right"/>
            </w:pPr>
            <w:r>
              <w:t>No. non-compliant</w:t>
            </w:r>
          </w:p>
        </w:tc>
        <w:tc>
          <w:tcPr>
            <w:tcW w:w="1000" w:type="pct"/>
          </w:tcPr>
          <w:p w14:paraId="2515621A" w14:textId="71818988" w:rsidR="00265432" w:rsidRDefault="00265432">
            <w:pPr>
              <w:pStyle w:val="Tableheading"/>
              <w:jc w:val="right"/>
            </w:pPr>
            <w:r>
              <w:t>Compliance rate (%)</w:t>
            </w:r>
          </w:p>
        </w:tc>
      </w:tr>
      <w:tr w:rsidR="00265432" w14:paraId="62DB5171" w14:textId="77777777" w:rsidTr="003C0FB0">
        <w:trPr>
          <w:cantSplit/>
          <w:tblHeader/>
          <w:jc w:val="center"/>
        </w:trPr>
        <w:tc>
          <w:tcPr>
            <w:tcW w:w="1000" w:type="pct"/>
            <w:shd w:val="clear" w:color="auto" w:fill="auto"/>
            <w:vAlign w:val="center"/>
          </w:tcPr>
          <w:p w14:paraId="6CBD2FF7" w14:textId="77777777" w:rsidR="00265432" w:rsidRDefault="00265432">
            <w:pPr>
              <w:pStyle w:val="Tabletext"/>
            </w:pPr>
            <w:r>
              <w:t>Coagulase positive Staphylococcus</w:t>
            </w:r>
          </w:p>
        </w:tc>
        <w:tc>
          <w:tcPr>
            <w:tcW w:w="879" w:type="pct"/>
            <w:vAlign w:val="center"/>
          </w:tcPr>
          <w:p w14:paraId="30E5F631" w14:textId="77777777" w:rsidR="00265432" w:rsidRDefault="00265432">
            <w:pPr>
              <w:pStyle w:val="Tabletext"/>
              <w:jc w:val="right"/>
            </w:pPr>
            <w:r>
              <w:t>30</w:t>
            </w:r>
          </w:p>
        </w:tc>
        <w:tc>
          <w:tcPr>
            <w:tcW w:w="1025" w:type="pct"/>
            <w:shd w:val="clear" w:color="auto" w:fill="auto"/>
            <w:vAlign w:val="center"/>
          </w:tcPr>
          <w:p w14:paraId="0122792A" w14:textId="539A40A6" w:rsidR="00265432" w:rsidRDefault="00265432">
            <w:pPr>
              <w:pStyle w:val="Tabletext"/>
              <w:jc w:val="right"/>
            </w:pPr>
            <w:r>
              <w:t>30</w:t>
            </w:r>
          </w:p>
        </w:tc>
        <w:tc>
          <w:tcPr>
            <w:tcW w:w="1096" w:type="pct"/>
            <w:vAlign w:val="center"/>
          </w:tcPr>
          <w:p w14:paraId="321E8E73" w14:textId="5FAEF772" w:rsidR="00265432" w:rsidRDefault="00265432">
            <w:pPr>
              <w:pStyle w:val="Tabletext"/>
              <w:jc w:val="right"/>
            </w:pPr>
            <w:r>
              <w:t>0</w:t>
            </w:r>
          </w:p>
        </w:tc>
        <w:tc>
          <w:tcPr>
            <w:tcW w:w="1000" w:type="pct"/>
            <w:vAlign w:val="center"/>
          </w:tcPr>
          <w:p w14:paraId="228EFF0D" w14:textId="63363866" w:rsidR="00265432" w:rsidRDefault="00265432">
            <w:pPr>
              <w:pStyle w:val="Tabletext"/>
              <w:jc w:val="right"/>
            </w:pPr>
            <w:r>
              <w:t>100</w:t>
            </w:r>
          </w:p>
        </w:tc>
      </w:tr>
      <w:tr w:rsidR="00265432" w14:paraId="7385E7F7" w14:textId="77777777" w:rsidTr="003C0FB0">
        <w:trPr>
          <w:cantSplit/>
          <w:tblHeader/>
          <w:jc w:val="center"/>
        </w:trPr>
        <w:tc>
          <w:tcPr>
            <w:tcW w:w="1000" w:type="pct"/>
            <w:shd w:val="clear" w:color="auto" w:fill="auto"/>
            <w:vAlign w:val="center"/>
          </w:tcPr>
          <w:p w14:paraId="12D0387A" w14:textId="77777777" w:rsidR="00265432" w:rsidRDefault="00265432">
            <w:pPr>
              <w:pStyle w:val="Tabletext"/>
            </w:pPr>
            <w:r>
              <w:rPr>
                <w:i/>
              </w:rPr>
              <w:t>E. coli</w:t>
            </w:r>
          </w:p>
        </w:tc>
        <w:tc>
          <w:tcPr>
            <w:tcW w:w="879" w:type="pct"/>
            <w:vAlign w:val="center"/>
          </w:tcPr>
          <w:p w14:paraId="59136900" w14:textId="77777777" w:rsidR="00265432" w:rsidRDefault="00265432">
            <w:pPr>
              <w:pStyle w:val="Tabletext"/>
              <w:jc w:val="right"/>
            </w:pPr>
            <w:r>
              <w:t>136</w:t>
            </w:r>
          </w:p>
        </w:tc>
        <w:tc>
          <w:tcPr>
            <w:tcW w:w="1025" w:type="pct"/>
            <w:shd w:val="clear" w:color="auto" w:fill="auto"/>
            <w:vAlign w:val="center"/>
          </w:tcPr>
          <w:p w14:paraId="58B0062E" w14:textId="055520A0" w:rsidR="00265432" w:rsidRDefault="00265432">
            <w:pPr>
              <w:pStyle w:val="Tabletext"/>
              <w:jc w:val="right"/>
            </w:pPr>
            <w:r>
              <w:t>133</w:t>
            </w:r>
          </w:p>
        </w:tc>
        <w:tc>
          <w:tcPr>
            <w:tcW w:w="1096" w:type="pct"/>
            <w:vAlign w:val="center"/>
          </w:tcPr>
          <w:p w14:paraId="48231123" w14:textId="2DD14CA1" w:rsidR="00265432" w:rsidRDefault="00265432">
            <w:pPr>
              <w:pStyle w:val="Tabletext"/>
              <w:jc w:val="right"/>
            </w:pPr>
            <w:r>
              <w:t>3</w:t>
            </w:r>
          </w:p>
        </w:tc>
        <w:tc>
          <w:tcPr>
            <w:tcW w:w="1000" w:type="pct"/>
            <w:vAlign w:val="center"/>
          </w:tcPr>
          <w:p w14:paraId="73EA031A" w14:textId="594BB31C" w:rsidR="00265432" w:rsidRDefault="00265432">
            <w:pPr>
              <w:pStyle w:val="Tabletext"/>
              <w:jc w:val="right"/>
            </w:pPr>
            <w:r>
              <w:t>97.8</w:t>
            </w:r>
          </w:p>
        </w:tc>
      </w:tr>
      <w:tr w:rsidR="00265432" w14:paraId="7EB831F7" w14:textId="77777777" w:rsidTr="003C0FB0">
        <w:trPr>
          <w:cantSplit/>
          <w:tblHeader/>
          <w:jc w:val="center"/>
        </w:trPr>
        <w:tc>
          <w:tcPr>
            <w:tcW w:w="1000" w:type="pct"/>
            <w:shd w:val="clear" w:color="auto" w:fill="auto"/>
            <w:vAlign w:val="center"/>
          </w:tcPr>
          <w:p w14:paraId="7320E1BE" w14:textId="77777777" w:rsidR="00265432" w:rsidRDefault="00265432">
            <w:pPr>
              <w:pStyle w:val="Tabletext"/>
            </w:pPr>
            <w:r>
              <w:rPr>
                <w:i/>
              </w:rPr>
              <w:t>Listeria</w:t>
            </w:r>
            <w:r>
              <w:t xml:space="preserve"> </w:t>
            </w:r>
            <w:r>
              <w:rPr>
                <w:i/>
              </w:rPr>
              <w:t>monocytogenes</w:t>
            </w:r>
          </w:p>
        </w:tc>
        <w:tc>
          <w:tcPr>
            <w:tcW w:w="879" w:type="pct"/>
            <w:vAlign w:val="center"/>
          </w:tcPr>
          <w:p w14:paraId="4F812F55" w14:textId="77777777" w:rsidR="00265432" w:rsidRDefault="00265432">
            <w:pPr>
              <w:pStyle w:val="Tabletext"/>
              <w:jc w:val="right"/>
            </w:pPr>
            <w:r>
              <w:t>182</w:t>
            </w:r>
          </w:p>
        </w:tc>
        <w:tc>
          <w:tcPr>
            <w:tcW w:w="1025" w:type="pct"/>
            <w:shd w:val="clear" w:color="auto" w:fill="auto"/>
            <w:vAlign w:val="center"/>
          </w:tcPr>
          <w:p w14:paraId="2A01ACB7" w14:textId="2FC3C7B0" w:rsidR="00265432" w:rsidRDefault="00265432">
            <w:pPr>
              <w:pStyle w:val="Tabletext"/>
              <w:jc w:val="right"/>
            </w:pPr>
            <w:r>
              <w:t>181</w:t>
            </w:r>
          </w:p>
        </w:tc>
        <w:tc>
          <w:tcPr>
            <w:tcW w:w="1096" w:type="pct"/>
            <w:vAlign w:val="center"/>
          </w:tcPr>
          <w:p w14:paraId="57C459F6" w14:textId="04D07D96" w:rsidR="00265432" w:rsidRDefault="00265432">
            <w:pPr>
              <w:pStyle w:val="Tabletext"/>
              <w:jc w:val="right"/>
            </w:pPr>
            <w:r>
              <w:t>1</w:t>
            </w:r>
          </w:p>
        </w:tc>
        <w:tc>
          <w:tcPr>
            <w:tcW w:w="1000" w:type="pct"/>
            <w:vAlign w:val="center"/>
          </w:tcPr>
          <w:p w14:paraId="1D4BC458" w14:textId="04554F00" w:rsidR="00265432" w:rsidRDefault="00265432">
            <w:pPr>
              <w:pStyle w:val="Tabletext"/>
              <w:jc w:val="right"/>
            </w:pPr>
            <w:r>
              <w:t>99.5</w:t>
            </w:r>
          </w:p>
        </w:tc>
      </w:tr>
      <w:tr w:rsidR="00265432" w14:paraId="4C2F302F" w14:textId="77777777" w:rsidTr="003C0FB0">
        <w:trPr>
          <w:cantSplit/>
          <w:tblHeader/>
          <w:jc w:val="center"/>
        </w:trPr>
        <w:tc>
          <w:tcPr>
            <w:tcW w:w="1000" w:type="pct"/>
            <w:shd w:val="clear" w:color="auto" w:fill="auto"/>
            <w:vAlign w:val="center"/>
          </w:tcPr>
          <w:p w14:paraId="7B61D44D" w14:textId="77777777" w:rsidR="00265432" w:rsidRDefault="00265432">
            <w:pPr>
              <w:pStyle w:val="Tabletext"/>
            </w:pPr>
            <w:r>
              <w:rPr>
                <w:i/>
              </w:rPr>
              <w:t>Salmonella</w:t>
            </w:r>
          </w:p>
        </w:tc>
        <w:tc>
          <w:tcPr>
            <w:tcW w:w="879" w:type="pct"/>
            <w:vAlign w:val="center"/>
          </w:tcPr>
          <w:p w14:paraId="731A8CAC" w14:textId="77777777" w:rsidR="00265432" w:rsidRDefault="00265432">
            <w:pPr>
              <w:pStyle w:val="Tabletext"/>
              <w:jc w:val="right"/>
            </w:pPr>
            <w:r>
              <w:t>131</w:t>
            </w:r>
          </w:p>
        </w:tc>
        <w:tc>
          <w:tcPr>
            <w:tcW w:w="1025" w:type="pct"/>
            <w:shd w:val="clear" w:color="auto" w:fill="auto"/>
            <w:vAlign w:val="center"/>
          </w:tcPr>
          <w:p w14:paraId="5C93A8AE" w14:textId="1C0C02BE" w:rsidR="00265432" w:rsidRDefault="00265432">
            <w:pPr>
              <w:pStyle w:val="Tabletext"/>
              <w:jc w:val="right"/>
            </w:pPr>
            <w:r>
              <w:t>131</w:t>
            </w:r>
          </w:p>
        </w:tc>
        <w:tc>
          <w:tcPr>
            <w:tcW w:w="1096" w:type="pct"/>
            <w:vAlign w:val="center"/>
          </w:tcPr>
          <w:p w14:paraId="25C800ED" w14:textId="13D1EE38" w:rsidR="00265432" w:rsidRDefault="00265432">
            <w:pPr>
              <w:pStyle w:val="Tabletext"/>
              <w:jc w:val="right"/>
            </w:pPr>
            <w:r>
              <w:t>0</w:t>
            </w:r>
          </w:p>
        </w:tc>
        <w:tc>
          <w:tcPr>
            <w:tcW w:w="1000" w:type="pct"/>
            <w:vAlign w:val="center"/>
          </w:tcPr>
          <w:p w14:paraId="27BB0157" w14:textId="22BC1D97" w:rsidR="00265432" w:rsidRDefault="00265432">
            <w:pPr>
              <w:pStyle w:val="Tabletext"/>
              <w:jc w:val="right"/>
            </w:pPr>
            <w:r>
              <w:t>100</w:t>
            </w:r>
          </w:p>
        </w:tc>
      </w:tr>
      <w:tr w:rsidR="00265432" w14:paraId="793B9FD8" w14:textId="77777777" w:rsidTr="003C0FB0">
        <w:trPr>
          <w:cantSplit/>
          <w:tblHeader/>
          <w:jc w:val="center"/>
        </w:trPr>
        <w:tc>
          <w:tcPr>
            <w:tcW w:w="1000" w:type="pct"/>
            <w:shd w:val="clear" w:color="auto" w:fill="auto"/>
            <w:vAlign w:val="center"/>
          </w:tcPr>
          <w:p w14:paraId="49586326" w14:textId="77777777" w:rsidR="00265432" w:rsidRDefault="00265432">
            <w:pPr>
              <w:pStyle w:val="Tabletext"/>
              <w:rPr>
                <w:b/>
              </w:rPr>
            </w:pPr>
            <w:r>
              <w:rPr>
                <w:b/>
              </w:rPr>
              <w:t>Total</w:t>
            </w:r>
          </w:p>
        </w:tc>
        <w:tc>
          <w:tcPr>
            <w:tcW w:w="879" w:type="pct"/>
            <w:vAlign w:val="center"/>
          </w:tcPr>
          <w:p w14:paraId="5EE08E1B" w14:textId="77777777" w:rsidR="00265432" w:rsidRDefault="00265432">
            <w:pPr>
              <w:pStyle w:val="Tabletext"/>
              <w:jc w:val="right"/>
            </w:pPr>
            <w:r>
              <w:t>479</w:t>
            </w:r>
          </w:p>
        </w:tc>
        <w:tc>
          <w:tcPr>
            <w:tcW w:w="1025" w:type="pct"/>
            <w:shd w:val="clear" w:color="auto" w:fill="auto"/>
            <w:vAlign w:val="center"/>
          </w:tcPr>
          <w:p w14:paraId="67B891D3" w14:textId="7D25A433" w:rsidR="00265432" w:rsidRDefault="00265432">
            <w:pPr>
              <w:spacing w:before="0" w:after="0"/>
              <w:jc w:val="right"/>
              <w:rPr>
                <w:sz w:val="18"/>
              </w:rPr>
            </w:pPr>
            <w:r>
              <w:rPr>
                <w:sz w:val="18"/>
              </w:rPr>
              <w:t>475</w:t>
            </w:r>
          </w:p>
        </w:tc>
        <w:tc>
          <w:tcPr>
            <w:tcW w:w="1096" w:type="pct"/>
            <w:vAlign w:val="center"/>
          </w:tcPr>
          <w:p w14:paraId="763A8FAD" w14:textId="281944DF" w:rsidR="00265432" w:rsidRDefault="00265432">
            <w:pPr>
              <w:pStyle w:val="Tabletext"/>
              <w:jc w:val="right"/>
            </w:pPr>
            <w:r>
              <w:t>4</w:t>
            </w:r>
          </w:p>
        </w:tc>
        <w:tc>
          <w:tcPr>
            <w:tcW w:w="1000" w:type="pct"/>
            <w:vAlign w:val="center"/>
          </w:tcPr>
          <w:p w14:paraId="2EBF3AB3" w14:textId="04D83A20" w:rsidR="00265432" w:rsidRDefault="00265432">
            <w:pPr>
              <w:pStyle w:val="Tabletext"/>
              <w:jc w:val="right"/>
            </w:pPr>
            <w:r>
              <w:t>99.2</w:t>
            </w:r>
          </w:p>
        </w:tc>
      </w:tr>
    </w:tbl>
    <w:p w14:paraId="7F7011DC" w14:textId="77777777" w:rsidR="00A072D0" w:rsidRDefault="009576A5">
      <w:pPr>
        <w:pStyle w:val="Caption"/>
      </w:pPr>
      <w:bookmarkStart w:id="88" w:name="_Toc469062425"/>
      <w:bookmarkStart w:id="89" w:name="_Toc369867505"/>
      <w:r>
        <w:t xml:space="preserve">Table </w:t>
      </w:r>
      <w:r w:rsidR="00E70443">
        <w:fldChar w:fldCharType="begin"/>
      </w:r>
      <w:r w:rsidR="00E70443">
        <w:instrText xml:space="preserve"> SEQ Table \* ARABIC </w:instrText>
      </w:r>
      <w:r w:rsidR="00E70443">
        <w:fldChar w:fldCharType="separate"/>
      </w:r>
      <w:r w:rsidR="00E70443">
        <w:rPr>
          <w:noProof/>
        </w:rPr>
        <w:t>23</w:t>
      </w:r>
      <w:r w:rsidR="00E70443">
        <w:rPr>
          <w:noProof/>
        </w:rPr>
        <w:fldChar w:fldCharType="end"/>
      </w:r>
      <w:r>
        <w:t xml:space="preserve"> Compliance for composition analytical tests, Italy</w:t>
      </w:r>
      <w:bookmarkEnd w:id="88"/>
    </w:p>
    <w:tbl>
      <w:tblPr>
        <w:tblW w:w="5000" w:type="pct"/>
        <w:jc w:val="center"/>
        <w:tblBorders>
          <w:top w:val="single" w:sz="4" w:space="0" w:color="auto"/>
          <w:bottom w:val="single" w:sz="4" w:space="0" w:color="auto"/>
        </w:tblBorders>
        <w:tblLook w:val="04A0" w:firstRow="1" w:lastRow="0" w:firstColumn="1" w:lastColumn="0" w:noHBand="0" w:noVBand="1"/>
      </w:tblPr>
      <w:tblGrid>
        <w:gridCol w:w="1660"/>
        <w:gridCol w:w="1459"/>
        <w:gridCol w:w="1702"/>
        <w:gridCol w:w="1819"/>
        <w:gridCol w:w="1660"/>
      </w:tblGrid>
      <w:tr w:rsidR="00265432" w14:paraId="16D09C30" w14:textId="77777777" w:rsidTr="003C0FB0">
        <w:trPr>
          <w:cantSplit/>
          <w:tblHeader/>
          <w:jc w:val="center"/>
        </w:trPr>
        <w:tc>
          <w:tcPr>
            <w:tcW w:w="1000" w:type="pct"/>
            <w:shd w:val="clear" w:color="auto" w:fill="auto"/>
          </w:tcPr>
          <w:p w14:paraId="096A1073" w14:textId="77777777" w:rsidR="00265432" w:rsidRDefault="00265432">
            <w:pPr>
              <w:pStyle w:val="Tableheading"/>
            </w:pPr>
            <w:r>
              <w:t>Microbial agent</w:t>
            </w:r>
          </w:p>
        </w:tc>
        <w:tc>
          <w:tcPr>
            <w:tcW w:w="879" w:type="pct"/>
          </w:tcPr>
          <w:p w14:paraId="4505B211" w14:textId="77777777" w:rsidR="00265432" w:rsidRDefault="00265432">
            <w:pPr>
              <w:pStyle w:val="Tableheading"/>
              <w:jc w:val="right"/>
            </w:pPr>
            <w:r>
              <w:t>No. of tests applied</w:t>
            </w:r>
          </w:p>
        </w:tc>
        <w:tc>
          <w:tcPr>
            <w:tcW w:w="1025" w:type="pct"/>
            <w:shd w:val="clear" w:color="auto" w:fill="auto"/>
          </w:tcPr>
          <w:p w14:paraId="068D090D" w14:textId="284DCD0F" w:rsidR="00265432" w:rsidRDefault="00265432" w:rsidP="00265432">
            <w:pPr>
              <w:pStyle w:val="Tableheading"/>
              <w:jc w:val="right"/>
            </w:pPr>
            <w:r>
              <w:t>No. compliant</w:t>
            </w:r>
          </w:p>
        </w:tc>
        <w:tc>
          <w:tcPr>
            <w:tcW w:w="1096" w:type="pct"/>
          </w:tcPr>
          <w:p w14:paraId="3D105E70" w14:textId="129AE915" w:rsidR="00265432" w:rsidRDefault="00265432">
            <w:pPr>
              <w:pStyle w:val="Tableheading"/>
              <w:jc w:val="right"/>
            </w:pPr>
            <w:r>
              <w:t>No. non-compliant</w:t>
            </w:r>
          </w:p>
        </w:tc>
        <w:tc>
          <w:tcPr>
            <w:tcW w:w="1000" w:type="pct"/>
          </w:tcPr>
          <w:p w14:paraId="6BA0E726" w14:textId="63CFFC56" w:rsidR="00265432" w:rsidRDefault="00265432">
            <w:pPr>
              <w:pStyle w:val="Tableheading"/>
              <w:jc w:val="right"/>
            </w:pPr>
            <w:r>
              <w:t>Compliance rate (%)</w:t>
            </w:r>
          </w:p>
        </w:tc>
      </w:tr>
      <w:tr w:rsidR="00265432" w14:paraId="4CC1E7E3" w14:textId="77777777" w:rsidTr="003C0FB0">
        <w:trPr>
          <w:cantSplit/>
          <w:tblHeader/>
          <w:jc w:val="center"/>
        </w:trPr>
        <w:tc>
          <w:tcPr>
            <w:tcW w:w="1000" w:type="pct"/>
            <w:shd w:val="clear" w:color="auto" w:fill="auto"/>
          </w:tcPr>
          <w:p w14:paraId="5C0488D2" w14:textId="77777777" w:rsidR="00265432" w:rsidRDefault="00265432">
            <w:pPr>
              <w:pStyle w:val="Tabletext"/>
            </w:pPr>
            <w:r>
              <w:t>Allergen – Dairy</w:t>
            </w:r>
          </w:p>
        </w:tc>
        <w:tc>
          <w:tcPr>
            <w:tcW w:w="879" w:type="pct"/>
            <w:vAlign w:val="center"/>
          </w:tcPr>
          <w:p w14:paraId="3501C0A6" w14:textId="77777777" w:rsidR="00265432" w:rsidRDefault="00265432">
            <w:pPr>
              <w:pStyle w:val="Tabletext"/>
              <w:jc w:val="right"/>
            </w:pPr>
            <w:r>
              <w:t>n/a</w:t>
            </w:r>
          </w:p>
        </w:tc>
        <w:tc>
          <w:tcPr>
            <w:tcW w:w="1025" w:type="pct"/>
            <w:shd w:val="clear" w:color="auto" w:fill="auto"/>
            <w:vAlign w:val="center"/>
          </w:tcPr>
          <w:p w14:paraId="1F486A69" w14:textId="77777777" w:rsidR="00265432" w:rsidRDefault="00265432">
            <w:pPr>
              <w:pStyle w:val="Tabletext"/>
              <w:jc w:val="right"/>
            </w:pPr>
            <w:r>
              <w:t>n/a</w:t>
            </w:r>
          </w:p>
        </w:tc>
        <w:tc>
          <w:tcPr>
            <w:tcW w:w="1096" w:type="pct"/>
          </w:tcPr>
          <w:p w14:paraId="01A15235" w14:textId="6E269BD1" w:rsidR="00265432" w:rsidRDefault="001D309E">
            <w:pPr>
              <w:pStyle w:val="Tabletext"/>
              <w:jc w:val="right"/>
            </w:pPr>
            <w:r>
              <w:t>n/a</w:t>
            </w:r>
          </w:p>
        </w:tc>
        <w:tc>
          <w:tcPr>
            <w:tcW w:w="1000" w:type="pct"/>
            <w:vAlign w:val="bottom"/>
          </w:tcPr>
          <w:p w14:paraId="38270A46" w14:textId="3803B772" w:rsidR="00265432" w:rsidRDefault="00265432">
            <w:pPr>
              <w:pStyle w:val="Tabletext"/>
              <w:jc w:val="right"/>
            </w:pPr>
            <w:r>
              <w:t>n/a</w:t>
            </w:r>
          </w:p>
        </w:tc>
      </w:tr>
      <w:tr w:rsidR="00265432" w14:paraId="3537C397" w14:textId="77777777" w:rsidTr="003C0FB0">
        <w:trPr>
          <w:cantSplit/>
          <w:tblHeader/>
          <w:jc w:val="center"/>
        </w:trPr>
        <w:tc>
          <w:tcPr>
            <w:tcW w:w="1000" w:type="pct"/>
            <w:shd w:val="clear" w:color="auto" w:fill="auto"/>
          </w:tcPr>
          <w:p w14:paraId="45E9BBBE" w14:textId="77777777" w:rsidR="00265432" w:rsidRDefault="00265432">
            <w:pPr>
              <w:pStyle w:val="Tabletext"/>
              <w:rPr>
                <w:b/>
              </w:rPr>
            </w:pPr>
            <w:r>
              <w:rPr>
                <w:b/>
              </w:rPr>
              <w:t>Total</w:t>
            </w:r>
          </w:p>
        </w:tc>
        <w:tc>
          <w:tcPr>
            <w:tcW w:w="879" w:type="pct"/>
            <w:vAlign w:val="center"/>
          </w:tcPr>
          <w:p w14:paraId="32D43E6B" w14:textId="77777777" w:rsidR="00265432" w:rsidRDefault="00265432">
            <w:pPr>
              <w:pStyle w:val="Tabletext"/>
              <w:jc w:val="right"/>
            </w:pPr>
            <w:r>
              <w:t>n/a</w:t>
            </w:r>
          </w:p>
        </w:tc>
        <w:tc>
          <w:tcPr>
            <w:tcW w:w="1025" w:type="pct"/>
            <w:shd w:val="clear" w:color="auto" w:fill="auto"/>
            <w:vAlign w:val="center"/>
          </w:tcPr>
          <w:p w14:paraId="136B52E9" w14:textId="77777777" w:rsidR="00265432" w:rsidRDefault="00265432">
            <w:pPr>
              <w:pStyle w:val="Tabletext"/>
              <w:jc w:val="right"/>
            </w:pPr>
            <w:r>
              <w:t>n/a</w:t>
            </w:r>
          </w:p>
        </w:tc>
        <w:tc>
          <w:tcPr>
            <w:tcW w:w="1096" w:type="pct"/>
          </w:tcPr>
          <w:p w14:paraId="0E373003" w14:textId="531398C2" w:rsidR="00265432" w:rsidRDefault="001D309E">
            <w:pPr>
              <w:pStyle w:val="Tabletext"/>
              <w:jc w:val="right"/>
            </w:pPr>
            <w:r>
              <w:t>n/a</w:t>
            </w:r>
          </w:p>
        </w:tc>
        <w:tc>
          <w:tcPr>
            <w:tcW w:w="1000" w:type="pct"/>
            <w:vAlign w:val="bottom"/>
          </w:tcPr>
          <w:p w14:paraId="1758656D" w14:textId="24DB5ACD" w:rsidR="00265432" w:rsidRDefault="00265432">
            <w:pPr>
              <w:pStyle w:val="Tabletext"/>
              <w:jc w:val="right"/>
            </w:pPr>
            <w:r>
              <w:t>n/a</w:t>
            </w:r>
          </w:p>
        </w:tc>
      </w:tr>
    </w:tbl>
    <w:p w14:paraId="5C5BB512" w14:textId="77777777" w:rsidR="00A072D0" w:rsidRDefault="009576A5">
      <w:pPr>
        <w:pStyle w:val="Heading2"/>
      </w:pPr>
      <w:bookmarkStart w:id="90" w:name="_Toc469066621"/>
      <w:bookmarkEnd w:id="89"/>
      <w:r>
        <w:lastRenderedPageBreak/>
        <w:t>Appendix 1: Analytical tests applied to food</w:t>
      </w:r>
      <w:bookmarkEnd w:id="90"/>
    </w:p>
    <w:tbl>
      <w:tblPr>
        <w:tblW w:w="5000" w:type="pct"/>
        <w:tblBorders>
          <w:top w:val="single" w:sz="4" w:space="0" w:color="auto"/>
          <w:bottom w:val="single" w:sz="4" w:space="0" w:color="auto"/>
        </w:tblBorders>
        <w:tblLook w:val="01E0" w:firstRow="1" w:lastRow="1" w:firstColumn="1" w:lastColumn="1" w:noHBand="0" w:noVBand="0"/>
      </w:tblPr>
      <w:tblGrid>
        <w:gridCol w:w="2041"/>
        <w:gridCol w:w="2624"/>
        <w:gridCol w:w="3635"/>
      </w:tblGrid>
      <w:tr w:rsidR="00A072D0" w14:paraId="7EC7D2B2" w14:textId="77777777" w:rsidTr="00110521">
        <w:trPr>
          <w:cantSplit/>
          <w:tblHeader/>
        </w:trPr>
        <w:tc>
          <w:tcPr>
            <w:tcW w:w="1229" w:type="pct"/>
            <w:shd w:val="clear" w:color="auto" w:fill="FFFFFF" w:themeFill="background1"/>
          </w:tcPr>
          <w:p w14:paraId="453E5DB6" w14:textId="77777777" w:rsidR="00A072D0" w:rsidRDefault="009576A5">
            <w:pPr>
              <w:pStyle w:val="Tableheading"/>
            </w:pPr>
            <w:r>
              <w:t>Food group</w:t>
            </w:r>
          </w:p>
        </w:tc>
        <w:tc>
          <w:tcPr>
            <w:tcW w:w="1581" w:type="pct"/>
            <w:shd w:val="clear" w:color="auto" w:fill="FFFFFF" w:themeFill="background1"/>
          </w:tcPr>
          <w:p w14:paraId="049DF7B9" w14:textId="77777777" w:rsidR="00A072D0" w:rsidRDefault="009576A5">
            <w:pPr>
              <w:pStyle w:val="Tableheading"/>
            </w:pPr>
            <w:r>
              <w:t>Risk / Surveillance test</w:t>
            </w:r>
          </w:p>
        </w:tc>
        <w:tc>
          <w:tcPr>
            <w:tcW w:w="2190" w:type="pct"/>
            <w:shd w:val="clear" w:color="auto" w:fill="FFFFFF" w:themeFill="background1"/>
          </w:tcPr>
          <w:p w14:paraId="3B351733" w14:textId="77777777" w:rsidR="00A072D0" w:rsidRDefault="009576A5">
            <w:pPr>
              <w:pStyle w:val="Tableheading"/>
            </w:pPr>
            <w:r>
              <w:t>Analytical test</w:t>
            </w:r>
          </w:p>
        </w:tc>
      </w:tr>
      <w:tr w:rsidR="00A072D0" w14:paraId="550D207D" w14:textId="77777777">
        <w:tc>
          <w:tcPr>
            <w:tcW w:w="1229" w:type="pct"/>
            <w:vMerge w:val="restart"/>
          </w:tcPr>
          <w:p w14:paraId="52EAE854" w14:textId="77777777" w:rsidR="00A072D0" w:rsidRDefault="009576A5">
            <w:pPr>
              <w:pStyle w:val="Tabletext"/>
            </w:pPr>
            <w:r>
              <w:t>Dairy products</w:t>
            </w:r>
          </w:p>
        </w:tc>
        <w:tc>
          <w:tcPr>
            <w:tcW w:w="1581" w:type="pct"/>
          </w:tcPr>
          <w:p w14:paraId="18DFCD7D" w14:textId="77777777" w:rsidR="00A072D0" w:rsidRDefault="009576A5">
            <w:pPr>
              <w:pStyle w:val="Tabletext"/>
            </w:pPr>
            <w:r>
              <w:t>Risk</w:t>
            </w:r>
          </w:p>
        </w:tc>
        <w:tc>
          <w:tcPr>
            <w:tcW w:w="2190" w:type="pct"/>
          </w:tcPr>
          <w:p w14:paraId="5CDAE842" w14:textId="77777777" w:rsidR="00A072D0" w:rsidRDefault="009576A5">
            <w:pPr>
              <w:pStyle w:val="Tabletext"/>
            </w:pPr>
            <w:r>
              <w:rPr>
                <w:i/>
              </w:rPr>
              <w:t>Listeria</w:t>
            </w:r>
            <w:r>
              <w:t xml:space="preserve"> </w:t>
            </w:r>
            <w:r>
              <w:rPr>
                <w:i/>
              </w:rPr>
              <w:t>monocytogenes</w:t>
            </w:r>
          </w:p>
        </w:tc>
      </w:tr>
      <w:tr w:rsidR="00A072D0" w14:paraId="3F9B8490" w14:textId="77777777">
        <w:tc>
          <w:tcPr>
            <w:tcW w:w="1229" w:type="pct"/>
            <w:vMerge/>
          </w:tcPr>
          <w:p w14:paraId="73A4468E" w14:textId="77777777" w:rsidR="00A072D0" w:rsidRDefault="00A072D0">
            <w:pPr>
              <w:pStyle w:val="Tabletext"/>
            </w:pPr>
          </w:p>
        </w:tc>
        <w:tc>
          <w:tcPr>
            <w:tcW w:w="1581" w:type="pct"/>
          </w:tcPr>
          <w:p w14:paraId="0033AC0D" w14:textId="77777777" w:rsidR="00A072D0" w:rsidRDefault="009576A5">
            <w:pPr>
              <w:pStyle w:val="Tabletext"/>
            </w:pPr>
            <w:r>
              <w:t>Surveillance</w:t>
            </w:r>
          </w:p>
        </w:tc>
        <w:tc>
          <w:tcPr>
            <w:tcW w:w="2190" w:type="pct"/>
          </w:tcPr>
          <w:p w14:paraId="4F41A452" w14:textId="77777777" w:rsidR="007741A1" w:rsidRDefault="009576A5">
            <w:pPr>
              <w:pStyle w:val="Tabletext"/>
            </w:pPr>
            <w:r>
              <w:rPr>
                <w:i/>
              </w:rPr>
              <w:t>Salmonella</w:t>
            </w:r>
          </w:p>
          <w:p w14:paraId="595C28F1" w14:textId="2449C737" w:rsidR="00A072D0" w:rsidRDefault="009576A5">
            <w:pPr>
              <w:pStyle w:val="Tabletext"/>
            </w:pPr>
            <w:r>
              <w:rPr>
                <w:i/>
              </w:rPr>
              <w:t>E. coli</w:t>
            </w:r>
          </w:p>
        </w:tc>
      </w:tr>
      <w:tr w:rsidR="00A072D0" w14:paraId="5F9EBEBB" w14:textId="77777777">
        <w:tc>
          <w:tcPr>
            <w:tcW w:w="1229" w:type="pct"/>
          </w:tcPr>
          <w:p w14:paraId="4C395676" w14:textId="77777777" w:rsidR="00A072D0" w:rsidRDefault="009576A5">
            <w:pPr>
              <w:pStyle w:val="Tabletext"/>
            </w:pPr>
            <w:r>
              <w:t>Edible plant oils</w:t>
            </w:r>
          </w:p>
        </w:tc>
        <w:tc>
          <w:tcPr>
            <w:tcW w:w="1581" w:type="pct"/>
          </w:tcPr>
          <w:p w14:paraId="4EB6D804" w14:textId="77777777" w:rsidR="00A072D0" w:rsidRDefault="009576A5">
            <w:pPr>
              <w:pStyle w:val="Tabletext"/>
            </w:pPr>
            <w:r>
              <w:t>Surveillance</w:t>
            </w:r>
          </w:p>
        </w:tc>
        <w:tc>
          <w:tcPr>
            <w:tcW w:w="2190" w:type="pct"/>
          </w:tcPr>
          <w:p w14:paraId="5789E18D" w14:textId="77777777" w:rsidR="00A072D0" w:rsidRDefault="009576A5">
            <w:pPr>
              <w:pStyle w:val="Tabletext"/>
            </w:pPr>
            <w:proofErr w:type="spellStart"/>
            <w:r>
              <w:t>Erucic</w:t>
            </w:r>
            <w:proofErr w:type="spellEnd"/>
            <w:r>
              <w:t xml:space="preserve"> acid</w:t>
            </w:r>
          </w:p>
        </w:tc>
      </w:tr>
      <w:tr w:rsidR="00A072D0" w14:paraId="5D3554E0" w14:textId="77777777">
        <w:tc>
          <w:tcPr>
            <w:tcW w:w="1229" w:type="pct"/>
          </w:tcPr>
          <w:p w14:paraId="6807E3F9" w14:textId="77777777" w:rsidR="00A072D0" w:rsidRDefault="009576A5">
            <w:pPr>
              <w:pStyle w:val="Tabletext"/>
            </w:pPr>
            <w:r>
              <w:t>Fruit</w:t>
            </w:r>
          </w:p>
        </w:tc>
        <w:tc>
          <w:tcPr>
            <w:tcW w:w="1581" w:type="pct"/>
          </w:tcPr>
          <w:p w14:paraId="4ECB35F5" w14:textId="05978759" w:rsidR="00A072D0" w:rsidRDefault="009576A5">
            <w:pPr>
              <w:pStyle w:val="Tabletext"/>
            </w:pPr>
            <w:r>
              <w:t>Surveillance</w:t>
            </w:r>
          </w:p>
        </w:tc>
        <w:tc>
          <w:tcPr>
            <w:tcW w:w="2190" w:type="pct"/>
          </w:tcPr>
          <w:p w14:paraId="64E1E399" w14:textId="77777777" w:rsidR="00A072D0" w:rsidRDefault="009576A5">
            <w:pPr>
              <w:pStyle w:val="Tabletext"/>
            </w:pPr>
            <w:r>
              <w:t>Fruit &amp; veg residue screen</w:t>
            </w:r>
          </w:p>
          <w:p w14:paraId="48E55E7D" w14:textId="77777777" w:rsidR="00A072D0" w:rsidRDefault="009576A5">
            <w:pPr>
              <w:pStyle w:val="Tabletext"/>
            </w:pPr>
            <w:r>
              <w:rPr>
                <w:i/>
              </w:rPr>
              <w:t>E. coli</w:t>
            </w:r>
            <w:r>
              <w:t xml:space="preserve"> (ready-to-eat frozen berries only)</w:t>
            </w:r>
          </w:p>
          <w:p w14:paraId="2266CF8F" w14:textId="77777777" w:rsidR="00A072D0" w:rsidRDefault="009576A5">
            <w:pPr>
              <w:pStyle w:val="Tabletext"/>
            </w:pPr>
            <w:r>
              <w:t>Hepatitis A (ready-to-eat frozen berries only)</w:t>
            </w:r>
          </w:p>
        </w:tc>
      </w:tr>
      <w:tr w:rsidR="00A072D0" w14:paraId="1336BB5B" w14:textId="77777777">
        <w:tc>
          <w:tcPr>
            <w:tcW w:w="1229" w:type="pct"/>
          </w:tcPr>
          <w:p w14:paraId="6205EA7E" w14:textId="77777777" w:rsidR="00A072D0" w:rsidRDefault="009576A5">
            <w:pPr>
              <w:pStyle w:val="Tabletext"/>
            </w:pPr>
            <w:r>
              <w:t>Fruit – canned and preserved</w:t>
            </w:r>
          </w:p>
        </w:tc>
        <w:tc>
          <w:tcPr>
            <w:tcW w:w="1581" w:type="pct"/>
          </w:tcPr>
          <w:p w14:paraId="1801CACD" w14:textId="77777777" w:rsidR="00A072D0" w:rsidRDefault="009576A5">
            <w:pPr>
              <w:pStyle w:val="Tabletext"/>
            </w:pPr>
            <w:r>
              <w:t>Surveillance</w:t>
            </w:r>
          </w:p>
        </w:tc>
        <w:tc>
          <w:tcPr>
            <w:tcW w:w="2190" w:type="pct"/>
          </w:tcPr>
          <w:p w14:paraId="17CDEAF3" w14:textId="77777777" w:rsidR="00A072D0" w:rsidRDefault="009576A5">
            <w:pPr>
              <w:pStyle w:val="Tabletext"/>
            </w:pPr>
            <w:r>
              <w:t>Lead</w:t>
            </w:r>
          </w:p>
          <w:p w14:paraId="51BB22E6" w14:textId="77777777" w:rsidR="00A072D0" w:rsidRDefault="009576A5">
            <w:pPr>
              <w:pStyle w:val="Tabletext"/>
            </w:pPr>
            <w:r>
              <w:t>Tin (canned only)</w:t>
            </w:r>
          </w:p>
        </w:tc>
      </w:tr>
      <w:tr w:rsidR="00A072D0" w14:paraId="69DF10C0" w14:textId="77777777">
        <w:tc>
          <w:tcPr>
            <w:tcW w:w="1229" w:type="pct"/>
            <w:tcBorders>
              <w:bottom w:val="nil"/>
            </w:tcBorders>
          </w:tcPr>
          <w:p w14:paraId="35BE57D1" w14:textId="77777777" w:rsidR="00A072D0" w:rsidRDefault="009576A5">
            <w:pPr>
              <w:pStyle w:val="Tabletext"/>
            </w:pPr>
            <w:r>
              <w:t>Fruit juices</w:t>
            </w:r>
          </w:p>
        </w:tc>
        <w:tc>
          <w:tcPr>
            <w:tcW w:w="1581" w:type="pct"/>
            <w:tcBorders>
              <w:bottom w:val="nil"/>
            </w:tcBorders>
          </w:tcPr>
          <w:p w14:paraId="623BCAE2" w14:textId="77777777" w:rsidR="00A072D0" w:rsidRDefault="009576A5">
            <w:pPr>
              <w:pStyle w:val="Tabletext"/>
            </w:pPr>
            <w:r>
              <w:t>Surveillance</w:t>
            </w:r>
          </w:p>
        </w:tc>
        <w:tc>
          <w:tcPr>
            <w:tcW w:w="2190" w:type="pct"/>
            <w:tcBorders>
              <w:bottom w:val="nil"/>
            </w:tcBorders>
          </w:tcPr>
          <w:p w14:paraId="2AE337C3" w14:textId="77777777" w:rsidR="00A072D0" w:rsidRDefault="009576A5">
            <w:pPr>
              <w:pStyle w:val="Tabletext"/>
            </w:pPr>
            <w:r>
              <w:t>Fruit &amp; veg residue screen</w:t>
            </w:r>
          </w:p>
        </w:tc>
      </w:tr>
      <w:tr w:rsidR="00A072D0" w14:paraId="3A71F9E2" w14:textId="77777777">
        <w:tc>
          <w:tcPr>
            <w:tcW w:w="1229" w:type="pct"/>
            <w:tcBorders>
              <w:top w:val="nil"/>
              <w:left w:val="nil"/>
              <w:bottom w:val="nil"/>
              <w:right w:val="nil"/>
            </w:tcBorders>
          </w:tcPr>
          <w:p w14:paraId="2D927895" w14:textId="77777777" w:rsidR="00A072D0" w:rsidRDefault="009576A5">
            <w:pPr>
              <w:pStyle w:val="Tabletext"/>
            </w:pPr>
            <w:r>
              <w:t>Herbs and spices</w:t>
            </w:r>
          </w:p>
        </w:tc>
        <w:tc>
          <w:tcPr>
            <w:tcW w:w="1581" w:type="pct"/>
            <w:tcBorders>
              <w:top w:val="nil"/>
              <w:left w:val="nil"/>
              <w:bottom w:val="nil"/>
              <w:right w:val="nil"/>
            </w:tcBorders>
          </w:tcPr>
          <w:p w14:paraId="6728B602" w14:textId="77777777" w:rsidR="00A072D0" w:rsidRDefault="009576A5">
            <w:pPr>
              <w:pStyle w:val="Tabletext"/>
            </w:pPr>
            <w:r>
              <w:t>Risk</w:t>
            </w:r>
          </w:p>
        </w:tc>
        <w:tc>
          <w:tcPr>
            <w:tcW w:w="2190" w:type="pct"/>
            <w:tcBorders>
              <w:top w:val="nil"/>
              <w:left w:val="nil"/>
              <w:bottom w:val="nil"/>
              <w:right w:val="nil"/>
            </w:tcBorders>
          </w:tcPr>
          <w:p w14:paraId="1FDB4850" w14:textId="77777777" w:rsidR="00A072D0" w:rsidRDefault="009576A5">
            <w:pPr>
              <w:pStyle w:val="Tabletext"/>
            </w:pPr>
            <w:r>
              <w:rPr>
                <w:i/>
              </w:rPr>
              <w:t>Salmonella</w:t>
            </w:r>
          </w:p>
        </w:tc>
      </w:tr>
      <w:tr w:rsidR="00A072D0" w14:paraId="4BA55288" w14:textId="77777777">
        <w:tc>
          <w:tcPr>
            <w:tcW w:w="1229" w:type="pct"/>
            <w:tcBorders>
              <w:top w:val="nil"/>
            </w:tcBorders>
          </w:tcPr>
          <w:p w14:paraId="418C1E41" w14:textId="77777777" w:rsidR="00A072D0" w:rsidRDefault="009576A5">
            <w:pPr>
              <w:pStyle w:val="Tabletext"/>
            </w:pPr>
            <w:r>
              <w:t>Honey</w:t>
            </w:r>
          </w:p>
        </w:tc>
        <w:tc>
          <w:tcPr>
            <w:tcW w:w="1581" w:type="pct"/>
            <w:tcBorders>
              <w:top w:val="nil"/>
            </w:tcBorders>
          </w:tcPr>
          <w:p w14:paraId="37718492" w14:textId="77777777" w:rsidR="00A072D0" w:rsidRDefault="009576A5">
            <w:pPr>
              <w:pStyle w:val="Tabletext"/>
            </w:pPr>
            <w:r>
              <w:t>Surveillance</w:t>
            </w:r>
          </w:p>
        </w:tc>
        <w:tc>
          <w:tcPr>
            <w:tcW w:w="2190" w:type="pct"/>
            <w:tcBorders>
              <w:top w:val="nil"/>
            </w:tcBorders>
          </w:tcPr>
          <w:p w14:paraId="18F7B087" w14:textId="77777777" w:rsidR="00A072D0" w:rsidRDefault="009576A5">
            <w:pPr>
              <w:pStyle w:val="Tabletext"/>
            </w:pPr>
            <w:r>
              <w:t>C4 Adulteration</w:t>
            </w:r>
          </w:p>
          <w:p w14:paraId="713BFC90" w14:textId="77777777" w:rsidR="00A072D0" w:rsidRDefault="009576A5">
            <w:pPr>
              <w:pStyle w:val="Tabletext"/>
            </w:pPr>
            <w:r>
              <w:t>Moisture content</w:t>
            </w:r>
          </w:p>
          <w:p w14:paraId="25551221" w14:textId="77777777" w:rsidR="00A072D0" w:rsidRDefault="009576A5">
            <w:pPr>
              <w:pStyle w:val="Tabletext"/>
            </w:pPr>
            <w:r>
              <w:t>Reducing sugar content</w:t>
            </w:r>
          </w:p>
        </w:tc>
      </w:tr>
      <w:tr w:rsidR="00A072D0" w14:paraId="48B2A88A" w14:textId="77777777">
        <w:tc>
          <w:tcPr>
            <w:tcW w:w="1229" w:type="pct"/>
            <w:vMerge w:val="restart"/>
          </w:tcPr>
          <w:p w14:paraId="205BFD61" w14:textId="77777777" w:rsidR="00A072D0" w:rsidRDefault="009576A5">
            <w:pPr>
              <w:pStyle w:val="Tabletext"/>
            </w:pPr>
            <w:r>
              <w:t>Meat</w:t>
            </w:r>
          </w:p>
        </w:tc>
        <w:tc>
          <w:tcPr>
            <w:tcW w:w="1581" w:type="pct"/>
          </w:tcPr>
          <w:p w14:paraId="04144124" w14:textId="77777777" w:rsidR="00A072D0" w:rsidRDefault="009576A5">
            <w:pPr>
              <w:pStyle w:val="Tabletext"/>
            </w:pPr>
            <w:r>
              <w:t>Risk</w:t>
            </w:r>
          </w:p>
        </w:tc>
        <w:tc>
          <w:tcPr>
            <w:tcW w:w="2190" w:type="pct"/>
          </w:tcPr>
          <w:p w14:paraId="5424B4F3" w14:textId="77777777" w:rsidR="007741A1" w:rsidRDefault="007741A1">
            <w:pPr>
              <w:pStyle w:val="Tabletext"/>
            </w:pPr>
            <w:r>
              <w:t>BSE government certification</w:t>
            </w:r>
          </w:p>
          <w:p w14:paraId="7B5B5570" w14:textId="77777777" w:rsidR="007741A1" w:rsidRDefault="007741A1">
            <w:pPr>
              <w:pStyle w:val="Tabletext"/>
            </w:pPr>
            <w:r>
              <w:t>Coagulase positive Staph</w:t>
            </w:r>
          </w:p>
          <w:p w14:paraId="3A6DCC74" w14:textId="77777777" w:rsidR="007741A1" w:rsidRDefault="009576A5">
            <w:pPr>
              <w:pStyle w:val="Tabletext"/>
            </w:pPr>
            <w:r>
              <w:rPr>
                <w:i/>
              </w:rPr>
              <w:t>E. coli</w:t>
            </w:r>
          </w:p>
          <w:p w14:paraId="240E60DE" w14:textId="77777777" w:rsidR="007741A1" w:rsidRDefault="009576A5">
            <w:pPr>
              <w:pStyle w:val="Tabletext"/>
            </w:pPr>
            <w:r>
              <w:rPr>
                <w:i/>
              </w:rPr>
              <w:t>Listeria</w:t>
            </w:r>
            <w:r>
              <w:t xml:space="preserve"> </w:t>
            </w:r>
            <w:r>
              <w:rPr>
                <w:i/>
              </w:rPr>
              <w:t>monocytogenes</w:t>
            </w:r>
          </w:p>
          <w:p w14:paraId="1813BFD2" w14:textId="56A6D86C" w:rsidR="00A072D0" w:rsidRDefault="009576A5">
            <w:pPr>
              <w:pStyle w:val="Tabletext"/>
            </w:pPr>
            <w:r>
              <w:rPr>
                <w:i/>
              </w:rPr>
              <w:t>Salmonella</w:t>
            </w:r>
          </w:p>
        </w:tc>
      </w:tr>
      <w:tr w:rsidR="00A072D0" w14:paraId="542D1FA6" w14:textId="77777777">
        <w:tc>
          <w:tcPr>
            <w:tcW w:w="1229" w:type="pct"/>
            <w:vMerge/>
          </w:tcPr>
          <w:p w14:paraId="08F89A64" w14:textId="77777777" w:rsidR="00A072D0" w:rsidRDefault="00A072D0">
            <w:pPr>
              <w:pStyle w:val="Tabletext"/>
            </w:pPr>
          </w:p>
        </w:tc>
        <w:tc>
          <w:tcPr>
            <w:tcW w:w="1581" w:type="pct"/>
          </w:tcPr>
          <w:p w14:paraId="4447A327" w14:textId="77777777" w:rsidR="00A072D0" w:rsidRDefault="009576A5">
            <w:pPr>
              <w:pStyle w:val="Tabletext"/>
            </w:pPr>
            <w:r>
              <w:t xml:space="preserve">Surveillance </w:t>
            </w:r>
          </w:p>
        </w:tc>
        <w:tc>
          <w:tcPr>
            <w:tcW w:w="2190" w:type="pct"/>
          </w:tcPr>
          <w:p w14:paraId="0B4AEB2F" w14:textId="77777777" w:rsidR="00A072D0" w:rsidRDefault="009576A5">
            <w:pPr>
              <w:pStyle w:val="Tabletext"/>
            </w:pPr>
            <w:r>
              <w:t>Pesticide screen</w:t>
            </w:r>
          </w:p>
        </w:tc>
      </w:tr>
      <w:tr w:rsidR="00A072D0" w14:paraId="69C4B824" w14:textId="77777777">
        <w:tc>
          <w:tcPr>
            <w:tcW w:w="1229" w:type="pct"/>
          </w:tcPr>
          <w:p w14:paraId="6223F846" w14:textId="77777777" w:rsidR="00A072D0" w:rsidRDefault="009576A5">
            <w:pPr>
              <w:pStyle w:val="Tabletext"/>
            </w:pPr>
            <w:r>
              <w:t>Nuts and nut products</w:t>
            </w:r>
          </w:p>
        </w:tc>
        <w:tc>
          <w:tcPr>
            <w:tcW w:w="1581" w:type="pct"/>
          </w:tcPr>
          <w:p w14:paraId="18F86E86" w14:textId="77777777" w:rsidR="00A072D0" w:rsidRDefault="009576A5">
            <w:pPr>
              <w:pStyle w:val="Tabletext"/>
            </w:pPr>
            <w:r>
              <w:t>Risk</w:t>
            </w:r>
          </w:p>
        </w:tc>
        <w:tc>
          <w:tcPr>
            <w:tcW w:w="2190" w:type="pct"/>
          </w:tcPr>
          <w:p w14:paraId="255D8590" w14:textId="77777777" w:rsidR="007741A1" w:rsidRDefault="009576A5">
            <w:pPr>
              <w:pStyle w:val="Tabletext"/>
            </w:pPr>
            <w:r>
              <w:rPr>
                <w:i/>
              </w:rPr>
              <w:t>Salmonella</w:t>
            </w:r>
          </w:p>
          <w:p w14:paraId="0DB4BD09" w14:textId="0FD9B50A" w:rsidR="00A072D0" w:rsidRDefault="009576A5">
            <w:pPr>
              <w:pStyle w:val="Tabletext"/>
            </w:pPr>
            <w:r>
              <w:t>Aflatoxin</w:t>
            </w:r>
          </w:p>
        </w:tc>
      </w:tr>
      <w:tr w:rsidR="00A072D0" w14:paraId="518AD7D6" w14:textId="77777777">
        <w:tc>
          <w:tcPr>
            <w:tcW w:w="1229" w:type="pct"/>
            <w:vMerge w:val="restart"/>
          </w:tcPr>
          <w:p w14:paraId="3AD92DEC" w14:textId="77777777" w:rsidR="00A072D0" w:rsidRDefault="009576A5">
            <w:pPr>
              <w:pStyle w:val="Tabletext"/>
            </w:pPr>
            <w:r>
              <w:t>Seafood</w:t>
            </w:r>
          </w:p>
        </w:tc>
        <w:tc>
          <w:tcPr>
            <w:tcW w:w="1581" w:type="pct"/>
            <w:tcBorders>
              <w:bottom w:val="nil"/>
            </w:tcBorders>
          </w:tcPr>
          <w:p w14:paraId="38C37F57" w14:textId="77777777" w:rsidR="00A072D0" w:rsidRDefault="009576A5">
            <w:pPr>
              <w:pStyle w:val="Tabletext"/>
            </w:pPr>
            <w:r>
              <w:t>Risk</w:t>
            </w:r>
          </w:p>
        </w:tc>
        <w:tc>
          <w:tcPr>
            <w:tcW w:w="2190" w:type="pct"/>
            <w:tcBorders>
              <w:bottom w:val="nil"/>
            </w:tcBorders>
          </w:tcPr>
          <w:p w14:paraId="66AB23FD" w14:textId="77777777" w:rsidR="007741A1" w:rsidRDefault="007741A1">
            <w:pPr>
              <w:pStyle w:val="Tabletext"/>
            </w:pPr>
            <w:r>
              <w:t>Histamine</w:t>
            </w:r>
          </w:p>
          <w:p w14:paraId="1EB80E34" w14:textId="77777777" w:rsidR="007741A1" w:rsidRDefault="009576A5">
            <w:pPr>
              <w:pStyle w:val="Tabletext"/>
            </w:pPr>
            <w:r>
              <w:rPr>
                <w:i/>
              </w:rPr>
              <w:t>Listeria</w:t>
            </w:r>
            <w:r>
              <w:t xml:space="preserve"> </w:t>
            </w:r>
            <w:r>
              <w:rPr>
                <w:i/>
              </w:rPr>
              <w:t>monocytogenes</w:t>
            </w:r>
          </w:p>
          <w:p w14:paraId="4178C714" w14:textId="77777777" w:rsidR="007741A1" w:rsidRDefault="007741A1">
            <w:pPr>
              <w:pStyle w:val="Tabletext"/>
            </w:pPr>
            <w:r>
              <w:t>Coagulase positive Staph</w:t>
            </w:r>
          </w:p>
          <w:p w14:paraId="3F41F6CF" w14:textId="77777777" w:rsidR="007741A1" w:rsidRDefault="009576A5">
            <w:pPr>
              <w:pStyle w:val="Tabletext"/>
            </w:pPr>
            <w:r>
              <w:rPr>
                <w:i/>
              </w:rPr>
              <w:t>E. coli</w:t>
            </w:r>
          </w:p>
          <w:p w14:paraId="6AE1675A" w14:textId="77777777" w:rsidR="007741A1" w:rsidRDefault="009576A5">
            <w:pPr>
              <w:pStyle w:val="Tabletext"/>
            </w:pPr>
            <w:r>
              <w:rPr>
                <w:i/>
              </w:rPr>
              <w:t>Salmonella</w:t>
            </w:r>
          </w:p>
          <w:p w14:paraId="17172467" w14:textId="77777777" w:rsidR="007741A1" w:rsidRDefault="007741A1">
            <w:pPr>
              <w:pStyle w:val="Tabletext"/>
            </w:pPr>
            <w:r>
              <w:t>Standard plate count</w:t>
            </w:r>
          </w:p>
          <w:p w14:paraId="50BB9A0E" w14:textId="77777777" w:rsidR="007741A1" w:rsidRDefault="009576A5">
            <w:pPr>
              <w:pStyle w:val="Tabletext"/>
            </w:pPr>
            <w:r>
              <w:t>P</w:t>
            </w:r>
            <w:r w:rsidR="007741A1">
              <w:t>aralytic shellfish poison (PSP)</w:t>
            </w:r>
          </w:p>
          <w:p w14:paraId="6A5D33AC" w14:textId="77777777" w:rsidR="007741A1" w:rsidRDefault="009576A5">
            <w:pPr>
              <w:pStyle w:val="Tabletext"/>
            </w:pPr>
            <w:proofErr w:type="spellStart"/>
            <w:r>
              <w:t>Domoic</w:t>
            </w:r>
            <w:proofErr w:type="spellEnd"/>
            <w:r>
              <w:t xml:space="preserve"> acid</w:t>
            </w:r>
          </w:p>
          <w:p w14:paraId="72877470" w14:textId="1494356A" w:rsidR="00A072D0" w:rsidRDefault="009576A5">
            <w:pPr>
              <w:pStyle w:val="Tabletext"/>
            </w:pPr>
            <w:r>
              <w:rPr>
                <w:i/>
              </w:rPr>
              <w:t xml:space="preserve">Vibrio </w:t>
            </w:r>
            <w:proofErr w:type="spellStart"/>
            <w:r>
              <w:rPr>
                <w:i/>
              </w:rPr>
              <w:t>cholerae</w:t>
            </w:r>
            <w:proofErr w:type="spellEnd"/>
          </w:p>
        </w:tc>
      </w:tr>
      <w:tr w:rsidR="00A072D0" w14:paraId="469BAA8E" w14:textId="77777777">
        <w:tc>
          <w:tcPr>
            <w:tcW w:w="1229" w:type="pct"/>
            <w:vMerge/>
            <w:tcBorders>
              <w:right w:val="nil"/>
            </w:tcBorders>
          </w:tcPr>
          <w:p w14:paraId="5686FCFD" w14:textId="77777777" w:rsidR="00A072D0" w:rsidRDefault="00A072D0">
            <w:pPr>
              <w:pStyle w:val="Tabletext"/>
            </w:pPr>
          </w:p>
        </w:tc>
        <w:tc>
          <w:tcPr>
            <w:tcW w:w="1581" w:type="pct"/>
            <w:tcBorders>
              <w:top w:val="nil"/>
              <w:left w:val="nil"/>
              <w:bottom w:val="nil"/>
              <w:right w:val="nil"/>
            </w:tcBorders>
          </w:tcPr>
          <w:p w14:paraId="13A4645C" w14:textId="77777777" w:rsidR="00A072D0" w:rsidRDefault="009576A5">
            <w:pPr>
              <w:pStyle w:val="Tabletext"/>
            </w:pPr>
            <w:r>
              <w:t>Surveillance</w:t>
            </w:r>
          </w:p>
        </w:tc>
        <w:tc>
          <w:tcPr>
            <w:tcW w:w="2190" w:type="pct"/>
            <w:tcBorders>
              <w:top w:val="nil"/>
              <w:left w:val="nil"/>
              <w:bottom w:val="nil"/>
              <w:right w:val="nil"/>
            </w:tcBorders>
          </w:tcPr>
          <w:p w14:paraId="353EBE58" w14:textId="77777777" w:rsidR="007741A1" w:rsidRDefault="007741A1">
            <w:pPr>
              <w:pStyle w:val="Tabletext"/>
            </w:pPr>
            <w:r>
              <w:t>Histamine</w:t>
            </w:r>
          </w:p>
          <w:p w14:paraId="563D01C2" w14:textId="77777777" w:rsidR="007741A1" w:rsidRDefault="007741A1">
            <w:pPr>
              <w:pStyle w:val="Tabletext"/>
            </w:pPr>
            <w:r>
              <w:t>Malachite green</w:t>
            </w:r>
          </w:p>
          <w:p w14:paraId="51CCF2BC" w14:textId="77777777" w:rsidR="007741A1" w:rsidRDefault="007741A1">
            <w:pPr>
              <w:pStyle w:val="Tabletext"/>
            </w:pPr>
            <w:proofErr w:type="spellStart"/>
            <w:r>
              <w:t>Nitrofurans</w:t>
            </w:r>
            <w:proofErr w:type="spellEnd"/>
          </w:p>
          <w:p w14:paraId="24AAC6DC" w14:textId="3E88F216" w:rsidR="00A072D0" w:rsidRDefault="009576A5">
            <w:pPr>
              <w:pStyle w:val="Tabletext"/>
            </w:pPr>
            <w:r>
              <w:t>Fluoroquinolones</w:t>
            </w:r>
          </w:p>
        </w:tc>
      </w:tr>
      <w:tr w:rsidR="00A072D0" w14:paraId="1B28467D" w14:textId="77777777">
        <w:tc>
          <w:tcPr>
            <w:tcW w:w="1229" w:type="pct"/>
            <w:vMerge w:val="restart"/>
          </w:tcPr>
          <w:p w14:paraId="1135C695" w14:textId="6DA31E92" w:rsidR="00A072D0" w:rsidRDefault="009576A5">
            <w:pPr>
              <w:pStyle w:val="Tabletext"/>
            </w:pPr>
            <w:r>
              <w:t>Vegetables</w:t>
            </w:r>
          </w:p>
        </w:tc>
        <w:tc>
          <w:tcPr>
            <w:tcW w:w="1581" w:type="pct"/>
            <w:tcBorders>
              <w:top w:val="nil"/>
            </w:tcBorders>
          </w:tcPr>
          <w:p w14:paraId="570FEC50" w14:textId="77777777" w:rsidR="00A072D0" w:rsidRDefault="009576A5">
            <w:pPr>
              <w:pStyle w:val="Tabletext"/>
            </w:pPr>
            <w:r>
              <w:t>Risk</w:t>
            </w:r>
          </w:p>
        </w:tc>
        <w:tc>
          <w:tcPr>
            <w:tcW w:w="2190" w:type="pct"/>
            <w:tcBorders>
              <w:top w:val="nil"/>
            </w:tcBorders>
          </w:tcPr>
          <w:p w14:paraId="710E698E" w14:textId="77777777" w:rsidR="007741A1" w:rsidRDefault="009576A5">
            <w:pPr>
              <w:pStyle w:val="Tabletext"/>
            </w:pPr>
            <w:r>
              <w:rPr>
                <w:i/>
              </w:rPr>
              <w:t>Salmonella</w:t>
            </w:r>
            <w:r w:rsidR="007741A1">
              <w:t xml:space="preserve"> (Sesame seeds, dried coconut)</w:t>
            </w:r>
          </w:p>
          <w:p w14:paraId="77A4A72A" w14:textId="77777777" w:rsidR="007741A1" w:rsidRDefault="009576A5">
            <w:pPr>
              <w:pStyle w:val="Tabletext"/>
            </w:pPr>
            <w:r>
              <w:t>Ino</w:t>
            </w:r>
            <w:r w:rsidR="007741A1">
              <w:t>rganic arsenic (</w:t>
            </w:r>
            <w:proofErr w:type="spellStart"/>
            <w:r w:rsidR="007741A1">
              <w:t>Hijiki</w:t>
            </w:r>
            <w:proofErr w:type="spellEnd"/>
            <w:r w:rsidR="007741A1">
              <w:t xml:space="preserve"> seaweed)</w:t>
            </w:r>
          </w:p>
          <w:p w14:paraId="5C2A0F00" w14:textId="77777777" w:rsidR="007741A1" w:rsidRDefault="009576A5">
            <w:pPr>
              <w:pStyle w:val="Tabletext"/>
            </w:pPr>
            <w:r>
              <w:t>Iodine (Seaweed (brown algae))</w:t>
            </w:r>
          </w:p>
          <w:p w14:paraId="55398821" w14:textId="548E5E99" w:rsidR="00A072D0" w:rsidRDefault="009576A5">
            <w:pPr>
              <w:pStyle w:val="Tabletext"/>
            </w:pPr>
            <w:r>
              <w:t>Hydrocyanic acid (Cassava chips)</w:t>
            </w:r>
          </w:p>
        </w:tc>
      </w:tr>
      <w:tr w:rsidR="00A072D0" w14:paraId="61EA4639" w14:textId="77777777">
        <w:tc>
          <w:tcPr>
            <w:tcW w:w="1229" w:type="pct"/>
            <w:vMerge/>
          </w:tcPr>
          <w:p w14:paraId="7324DD7C" w14:textId="77777777" w:rsidR="00A072D0" w:rsidRDefault="00A072D0">
            <w:pPr>
              <w:pStyle w:val="Tabletext"/>
            </w:pPr>
          </w:p>
        </w:tc>
        <w:tc>
          <w:tcPr>
            <w:tcW w:w="1581" w:type="pct"/>
          </w:tcPr>
          <w:p w14:paraId="5DBF87C1" w14:textId="25D8B4A9" w:rsidR="00A072D0" w:rsidRDefault="009576A5" w:rsidP="00DB2496">
            <w:pPr>
              <w:pStyle w:val="Tabletext"/>
            </w:pPr>
            <w:r>
              <w:t>Surveillance</w:t>
            </w:r>
          </w:p>
        </w:tc>
        <w:tc>
          <w:tcPr>
            <w:tcW w:w="2190" w:type="pct"/>
          </w:tcPr>
          <w:p w14:paraId="1FD7F402" w14:textId="77777777" w:rsidR="007741A1" w:rsidRDefault="007741A1">
            <w:pPr>
              <w:pStyle w:val="Tabletext"/>
            </w:pPr>
            <w:r>
              <w:t>Fruit &amp; veg residue screen</w:t>
            </w:r>
          </w:p>
          <w:p w14:paraId="44A8BE41" w14:textId="77777777" w:rsidR="007741A1" w:rsidRDefault="009576A5">
            <w:pPr>
              <w:pStyle w:val="Tabletext"/>
            </w:pPr>
            <w:r>
              <w:rPr>
                <w:i/>
              </w:rPr>
              <w:t>Bacillus cereus</w:t>
            </w:r>
            <w:r>
              <w:t xml:space="preserve"> (tofu, soy bean / milk curd)</w:t>
            </w:r>
          </w:p>
          <w:p w14:paraId="69BBBA63" w14:textId="1897998F" w:rsidR="00A072D0" w:rsidRDefault="009576A5">
            <w:pPr>
              <w:pStyle w:val="Tabletext"/>
            </w:pPr>
            <w:r>
              <w:t>Arsenic total (Cereal grains, ready-to-eat cereal flours and processed cereals)</w:t>
            </w:r>
          </w:p>
        </w:tc>
      </w:tr>
      <w:tr w:rsidR="00A072D0" w14:paraId="48DF8CA6" w14:textId="77777777">
        <w:tc>
          <w:tcPr>
            <w:tcW w:w="1229" w:type="pct"/>
          </w:tcPr>
          <w:p w14:paraId="7394E5E0" w14:textId="77777777" w:rsidR="00A072D0" w:rsidRDefault="009576A5">
            <w:pPr>
              <w:pStyle w:val="Tabletext"/>
            </w:pPr>
            <w:r>
              <w:lastRenderedPageBreak/>
              <w:t>Coconut drinks and coconut powders</w:t>
            </w:r>
          </w:p>
        </w:tc>
        <w:tc>
          <w:tcPr>
            <w:tcW w:w="1581" w:type="pct"/>
          </w:tcPr>
          <w:p w14:paraId="3243B52B" w14:textId="77777777" w:rsidR="00A072D0" w:rsidRDefault="009576A5">
            <w:pPr>
              <w:pStyle w:val="Tabletext"/>
            </w:pPr>
            <w:r>
              <w:t>Risk</w:t>
            </w:r>
          </w:p>
        </w:tc>
        <w:tc>
          <w:tcPr>
            <w:tcW w:w="2190" w:type="pct"/>
          </w:tcPr>
          <w:p w14:paraId="6A89F096" w14:textId="0AEAC38A" w:rsidR="00A072D0" w:rsidRDefault="009576A5">
            <w:pPr>
              <w:pStyle w:val="Tabletext"/>
            </w:pPr>
            <w:r>
              <w:t>Dairy allergen (</w:t>
            </w:r>
            <w:proofErr w:type="spellStart"/>
            <w:r>
              <w:t>betalactoglobulin</w:t>
            </w:r>
            <w:proofErr w:type="spellEnd"/>
            <w:r>
              <w:t xml:space="preserve">, casein, and total milk) </w:t>
            </w:r>
            <w:r w:rsidRPr="00DB2496">
              <w:rPr>
                <w:rStyle w:val="Strong"/>
              </w:rPr>
              <w:t>a</w:t>
            </w:r>
          </w:p>
        </w:tc>
      </w:tr>
    </w:tbl>
    <w:p w14:paraId="43239432" w14:textId="66E35043" w:rsidR="00A072D0" w:rsidRDefault="009576A5" w:rsidP="00DB2496">
      <w:pPr>
        <w:pStyle w:val="Figuretablenotesource"/>
        <w:rPr>
          <w:rFonts w:asciiTheme="majorHAnsi" w:eastAsiaTheme="majorEastAsia" w:hAnsiTheme="majorHAnsi" w:cstheme="majorBidi"/>
          <w:color w:val="632423" w:themeColor="accent2" w:themeShade="80"/>
          <w:sz w:val="36"/>
          <w:szCs w:val="26"/>
        </w:rPr>
      </w:pPr>
      <w:proofErr w:type="spellStart"/>
      <w:proofErr w:type="gramStart"/>
      <w:r w:rsidRPr="00DB2496">
        <w:rPr>
          <w:rStyle w:val="Strong"/>
        </w:rPr>
        <w:t>a</w:t>
      </w:r>
      <w:proofErr w:type="spellEnd"/>
      <w:proofErr w:type="gramEnd"/>
      <w:r>
        <w:rPr>
          <w:rStyle w:val="CommentReference"/>
        </w:rPr>
        <w:t xml:space="preserve"> Introduced in September 2015 at the risk rate. Testing was removed in March 2016 due to good compliance</w:t>
      </w:r>
      <w:r>
        <w:t>.</w:t>
      </w:r>
      <w:r>
        <w:br w:type="page"/>
      </w:r>
    </w:p>
    <w:p w14:paraId="46F91E7A" w14:textId="77777777" w:rsidR="00A072D0" w:rsidRDefault="009576A5">
      <w:pPr>
        <w:pStyle w:val="Heading2"/>
      </w:pPr>
      <w:bookmarkStart w:id="91" w:name="_Toc469066622"/>
      <w:r>
        <w:lastRenderedPageBreak/>
        <w:t>Appendix 2: Tariff codes included in each food commodity group</w:t>
      </w:r>
      <w:bookmarkEnd w:id="91"/>
    </w:p>
    <w:tbl>
      <w:tblPr>
        <w:tblW w:w="5000" w:type="pct"/>
        <w:jc w:val="center"/>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4150"/>
        <w:gridCol w:w="4150"/>
      </w:tblGrid>
      <w:tr w:rsidR="00A072D0" w14:paraId="6494E64F" w14:textId="77777777" w:rsidTr="00110521">
        <w:trPr>
          <w:cantSplit/>
          <w:tblHeader/>
          <w:jc w:val="center"/>
        </w:trPr>
        <w:tc>
          <w:tcPr>
            <w:tcW w:w="2500" w:type="pct"/>
            <w:shd w:val="clear" w:color="auto" w:fill="FFFFFF" w:themeFill="background1"/>
          </w:tcPr>
          <w:p w14:paraId="5E12FFC4" w14:textId="77777777" w:rsidR="00A072D0" w:rsidRDefault="009576A5">
            <w:pPr>
              <w:pStyle w:val="Tableheading"/>
            </w:pPr>
            <w:r>
              <w:t>Commodity group</w:t>
            </w:r>
          </w:p>
        </w:tc>
        <w:tc>
          <w:tcPr>
            <w:tcW w:w="2500" w:type="pct"/>
            <w:shd w:val="clear" w:color="auto" w:fill="FFFFFF" w:themeFill="background1"/>
          </w:tcPr>
          <w:p w14:paraId="19EAED0E" w14:textId="77777777" w:rsidR="00A072D0" w:rsidRDefault="009576A5">
            <w:pPr>
              <w:pStyle w:val="Tableheading"/>
            </w:pPr>
            <w:r>
              <w:t>Tariff code</w:t>
            </w:r>
          </w:p>
        </w:tc>
      </w:tr>
      <w:tr w:rsidR="00A072D0" w14:paraId="37195971" w14:textId="77777777" w:rsidTr="00110521">
        <w:trPr>
          <w:jc w:val="center"/>
        </w:trPr>
        <w:tc>
          <w:tcPr>
            <w:tcW w:w="2500" w:type="pct"/>
            <w:shd w:val="clear" w:color="auto" w:fill="FFFFFF" w:themeFill="background1"/>
          </w:tcPr>
          <w:p w14:paraId="3F5455B1" w14:textId="77777777" w:rsidR="00A072D0" w:rsidRDefault="009576A5">
            <w:pPr>
              <w:pStyle w:val="Tabletext"/>
            </w:pPr>
            <w:r>
              <w:t>Beverages</w:t>
            </w:r>
          </w:p>
        </w:tc>
        <w:tc>
          <w:tcPr>
            <w:tcW w:w="2500" w:type="pct"/>
            <w:shd w:val="clear" w:color="auto" w:fill="FFFFFF" w:themeFill="background1"/>
          </w:tcPr>
          <w:p w14:paraId="0D6CABE0" w14:textId="77777777" w:rsidR="00110521" w:rsidRDefault="00110521">
            <w:pPr>
              <w:pStyle w:val="Tabletext"/>
            </w:pPr>
            <w:r>
              <w:t>2009</w:t>
            </w:r>
          </w:p>
          <w:p w14:paraId="21683DD8" w14:textId="1D0A68A6" w:rsidR="00A072D0" w:rsidRDefault="009576A5">
            <w:pPr>
              <w:pStyle w:val="Tabletext"/>
            </w:pPr>
            <w:r>
              <w:t>2201 – 2208</w:t>
            </w:r>
          </w:p>
        </w:tc>
      </w:tr>
      <w:tr w:rsidR="00A072D0" w14:paraId="4B81F4DA" w14:textId="77777777" w:rsidTr="00110521">
        <w:trPr>
          <w:jc w:val="center"/>
        </w:trPr>
        <w:tc>
          <w:tcPr>
            <w:tcW w:w="2500" w:type="pct"/>
            <w:shd w:val="clear" w:color="auto" w:fill="FFFFFF" w:themeFill="background1"/>
          </w:tcPr>
          <w:p w14:paraId="628912F3" w14:textId="77777777" w:rsidR="00A072D0" w:rsidRDefault="009576A5">
            <w:pPr>
              <w:pStyle w:val="Tabletext"/>
            </w:pPr>
            <w:r>
              <w:t>Cereals</w:t>
            </w:r>
          </w:p>
        </w:tc>
        <w:tc>
          <w:tcPr>
            <w:tcW w:w="2500" w:type="pct"/>
            <w:shd w:val="clear" w:color="auto" w:fill="FFFFFF" w:themeFill="background1"/>
          </w:tcPr>
          <w:p w14:paraId="5D258BD5" w14:textId="77777777" w:rsidR="00110521" w:rsidRDefault="00110521">
            <w:pPr>
              <w:pStyle w:val="Tabletext"/>
            </w:pPr>
            <w:r>
              <w:t>1001 – 1008</w:t>
            </w:r>
          </w:p>
          <w:p w14:paraId="3FA8D862" w14:textId="0472614B" w:rsidR="00A072D0" w:rsidRDefault="009576A5">
            <w:pPr>
              <w:pStyle w:val="Tabletext"/>
            </w:pPr>
            <w:r>
              <w:t>1101 – 1109</w:t>
            </w:r>
          </w:p>
        </w:tc>
      </w:tr>
      <w:tr w:rsidR="00A072D0" w14:paraId="32E5E8BE" w14:textId="77777777" w:rsidTr="00110521">
        <w:trPr>
          <w:jc w:val="center"/>
        </w:trPr>
        <w:tc>
          <w:tcPr>
            <w:tcW w:w="2500" w:type="pct"/>
            <w:shd w:val="clear" w:color="auto" w:fill="FFFFFF" w:themeFill="background1"/>
          </w:tcPr>
          <w:p w14:paraId="539B3373" w14:textId="77777777" w:rsidR="00A072D0" w:rsidRDefault="009576A5">
            <w:pPr>
              <w:pStyle w:val="Tabletext"/>
            </w:pPr>
            <w:r>
              <w:t>Dairy</w:t>
            </w:r>
          </w:p>
        </w:tc>
        <w:tc>
          <w:tcPr>
            <w:tcW w:w="2500" w:type="pct"/>
            <w:shd w:val="clear" w:color="auto" w:fill="FFFFFF" w:themeFill="background1"/>
          </w:tcPr>
          <w:p w14:paraId="04119DF8" w14:textId="77777777" w:rsidR="00A072D0" w:rsidRDefault="009576A5">
            <w:pPr>
              <w:pStyle w:val="Tabletext"/>
            </w:pPr>
            <w:r>
              <w:t>0401 – 0406</w:t>
            </w:r>
          </w:p>
        </w:tc>
      </w:tr>
      <w:tr w:rsidR="00A072D0" w14:paraId="32C7E255" w14:textId="77777777" w:rsidTr="00110521">
        <w:trPr>
          <w:jc w:val="center"/>
        </w:trPr>
        <w:tc>
          <w:tcPr>
            <w:tcW w:w="2500" w:type="pct"/>
            <w:shd w:val="clear" w:color="auto" w:fill="FFFFFF" w:themeFill="background1"/>
          </w:tcPr>
          <w:p w14:paraId="391E9CF6" w14:textId="77777777" w:rsidR="00A072D0" w:rsidRDefault="009576A5">
            <w:pPr>
              <w:pStyle w:val="Tabletext"/>
            </w:pPr>
            <w:r>
              <w:t>Eggs</w:t>
            </w:r>
          </w:p>
        </w:tc>
        <w:tc>
          <w:tcPr>
            <w:tcW w:w="2500" w:type="pct"/>
            <w:shd w:val="clear" w:color="auto" w:fill="FFFFFF" w:themeFill="background1"/>
          </w:tcPr>
          <w:p w14:paraId="66785E55" w14:textId="77777777" w:rsidR="00A072D0" w:rsidRDefault="009576A5">
            <w:pPr>
              <w:pStyle w:val="Tabletext"/>
            </w:pPr>
            <w:r>
              <w:t>0407 – 0408</w:t>
            </w:r>
          </w:p>
        </w:tc>
      </w:tr>
      <w:tr w:rsidR="00A072D0" w14:paraId="02D0F0FD" w14:textId="77777777" w:rsidTr="00110521">
        <w:trPr>
          <w:jc w:val="center"/>
        </w:trPr>
        <w:tc>
          <w:tcPr>
            <w:tcW w:w="2500" w:type="pct"/>
            <w:shd w:val="clear" w:color="auto" w:fill="FFFFFF" w:themeFill="background1"/>
          </w:tcPr>
          <w:p w14:paraId="3942AF98" w14:textId="77777777" w:rsidR="00A072D0" w:rsidRDefault="009576A5">
            <w:pPr>
              <w:pStyle w:val="Tabletext"/>
            </w:pPr>
            <w:r>
              <w:t>Honey</w:t>
            </w:r>
          </w:p>
        </w:tc>
        <w:tc>
          <w:tcPr>
            <w:tcW w:w="2500" w:type="pct"/>
            <w:shd w:val="clear" w:color="auto" w:fill="FFFFFF" w:themeFill="background1"/>
          </w:tcPr>
          <w:p w14:paraId="4E573674" w14:textId="77777777" w:rsidR="00A072D0" w:rsidRDefault="009576A5">
            <w:pPr>
              <w:pStyle w:val="Tabletext"/>
            </w:pPr>
            <w:r>
              <w:t>0409</w:t>
            </w:r>
          </w:p>
        </w:tc>
      </w:tr>
      <w:tr w:rsidR="00A072D0" w14:paraId="70F2DAC1" w14:textId="77777777" w:rsidTr="00110521">
        <w:trPr>
          <w:jc w:val="center"/>
        </w:trPr>
        <w:tc>
          <w:tcPr>
            <w:tcW w:w="2500" w:type="pct"/>
            <w:shd w:val="clear" w:color="auto" w:fill="FFFFFF" w:themeFill="background1"/>
          </w:tcPr>
          <w:p w14:paraId="24B9BC28" w14:textId="77777777" w:rsidR="00A072D0" w:rsidRDefault="009576A5">
            <w:pPr>
              <w:pStyle w:val="Tabletext"/>
            </w:pPr>
            <w:r>
              <w:t>Horticulture</w:t>
            </w:r>
          </w:p>
        </w:tc>
        <w:tc>
          <w:tcPr>
            <w:tcW w:w="2500" w:type="pct"/>
            <w:shd w:val="clear" w:color="auto" w:fill="FFFFFF" w:themeFill="background1"/>
          </w:tcPr>
          <w:p w14:paraId="5069F26B" w14:textId="77777777" w:rsidR="00110521" w:rsidRDefault="009576A5">
            <w:pPr>
              <w:pStyle w:val="Tabletext"/>
            </w:pPr>
            <w:r>
              <w:t>0701 – 0714</w:t>
            </w:r>
          </w:p>
          <w:p w14:paraId="0EF46DA6" w14:textId="77777777" w:rsidR="00110521" w:rsidRDefault="00110521">
            <w:pPr>
              <w:pStyle w:val="Tabletext"/>
            </w:pPr>
            <w:r>
              <w:t>0801 – 0814</w:t>
            </w:r>
          </w:p>
          <w:p w14:paraId="19555431" w14:textId="77777777" w:rsidR="00110521" w:rsidRDefault="00110521">
            <w:pPr>
              <w:pStyle w:val="Tabletext"/>
            </w:pPr>
            <w:r>
              <w:t>0904 – 0910</w:t>
            </w:r>
          </w:p>
          <w:p w14:paraId="6948C399" w14:textId="77777777" w:rsidR="00110521" w:rsidRDefault="00110521">
            <w:pPr>
              <w:pStyle w:val="Tabletext"/>
            </w:pPr>
            <w:r>
              <w:t>1201 – 1208</w:t>
            </w:r>
          </w:p>
          <w:p w14:paraId="2611770C" w14:textId="77777777" w:rsidR="00110521" w:rsidRDefault="00110521">
            <w:pPr>
              <w:pStyle w:val="Tabletext"/>
            </w:pPr>
            <w:r>
              <w:t>1210 – 1212</w:t>
            </w:r>
          </w:p>
          <w:p w14:paraId="0473FE63" w14:textId="0710DD88" w:rsidR="00A072D0" w:rsidRDefault="009576A5">
            <w:pPr>
              <w:pStyle w:val="Tabletext"/>
            </w:pPr>
            <w:r>
              <w:t>1801 – 1802</w:t>
            </w:r>
          </w:p>
        </w:tc>
      </w:tr>
      <w:tr w:rsidR="00A072D0" w14:paraId="25E8C3C5" w14:textId="77777777" w:rsidTr="00110521">
        <w:trPr>
          <w:jc w:val="center"/>
        </w:trPr>
        <w:tc>
          <w:tcPr>
            <w:tcW w:w="2500" w:type="pct"/>
            <w:shd w:val="clear" w:color="auto" w:fill="FFFFFF" w:themeFill="background1"/>
          </w:tcPr>
          <w:p w14:paraId="2FBF0032" w14:textId="77777777" w:rsidR="00A072D0" w:rsidRDefault="009576A5">
            <w:pPr>
              <w:pStyle w:val="Tabletext"/>
            </w:pPr>
            <w:r>
              <w:t>Meat</w:t>
            </w:r>
          </w:p>
        </w:tc>
        <w:tc>
          <w:tcPr>
            <w:tcW w:w="2500" w:type="pct"/>
            <w:shd w:val="clear" w:color="auto" w:fill="FFFFFF" w:themeFill="background1"/>
          </w:tcPr>
          <w:p w14:paraId="4D774F29" w14:textId="77777777" w:rsidR="00A072D0" w:rsidRDefault="009576A5">
            <w:pPr>
              <w:pStyle w:val="Tabletext"/>
            </w:pPr>
            <w:r>
              <w:t>0201 – 0212</w:t>
            </w:r>
          </w:p>
          <w:p w14:paraId="7524BF4B" w14:textId="77777777" w:rsidR="00A072D0" w:rsidRDefault="009576A5">
            <w:pPr>
              <w:pStyle w:val="Tabletext"/>
            </w:pPr>
            <w:r>
              <w:t>0504</w:t>
            </w:r>
          </w:p>
          <w:p w14:paraId="1DCB9390" w14:textId="398AF707" w:rsidR="00A072D0" w:rsidRDefault="009576A5">
            <w:pPr>
              <w:pStyle w:val="Tabletext"/>
            </w:pPr>
            <w:r>
              <w:t>1601 – 1602</w:t>
            </w:r>
          </w:p>
        </w:tc>
      </w:tr>
      <w:tr w:rsidR="00A072D0" w14:paraId="003C2E66" w14:textId="77777777" w:rsidTr="00110521">
        <w:trPr>
          <w:jc w:val="center"/>
        </w:trPr>
        <w:tc>
          <w:tcPr>
            <w:tcW w:w="2500" w:type="pct"/>
            <w:shd w:val="clear" w:color="auto" w:fill="FFFFFF" w:themeFill="background1"/>
          </w:tcPr>
          <w:p w14:paraId="6DAB28D7" w14:textId="77777777" w:rsidR="00A072D0" w:rsidRDefault="009576A5">
            <w:pPr>
              <w:pStyle w:val="Tabletext"/>
            </w:pPr>
            <w:r>
              <w:t>Seafood</w:t>
            </w:r>
          </w:p>
        </w:tc>
        <w:tc>
          <w:tcPr>
            <w:tcW w:w="2500" w:type="pct"/>
            <w:shd w:val="clear" w:color="auto" w:fill="FFFFFF" w:themeFill="background1"/>
          </w:tcPr>
          <w:p w14:paraId="08DF1FAA" w14:textId="77777777" w:rsidR="00110521" w:rsidRDefault="00110521">
            <w:pPr>
              <w:pStyle w:val="Tabletext"/>
            </w:pPr>
            <w:r>
              <w:t>0302 – 0307</w:t>
            </w:r>
          </w:p>
          <w:p w14:paraId="5A4ABCDC" w14:textId="72CE7540" w:rsidR="00A072D0" w:rsidRDefault="009576A5">
            <w:pPr>
              <w:pStyle w:val="Tabletext"/>
            </w:pPr>
            <w:r>
              <w:t>1603 – 1605</w:t>
            </w:r>
          </w:p>
        </w:tc>
      </w:tr>
      <w:tr w:rsidR="00A072D0" w14:paraId="5680C3CF" w14:textId="77777777" w:rsidTr="00110521">
        <w:trPr>
          <w:jc w:val="center"/>
        </w:trPr>
        <w:tc>
          <w:tcPr>
            <w:tcW w:w="2500" w:type="pct"/>
            <w:shd w:val="clear" w:color="auto" w:fill="FFFFFF" w:themeFill="background1"/>
          </w:tcPr>
          <w:p w14:paraId="1FCCB6CE" w14:textId="2333AC79" w:rsidR="00A072D0" w:rsidRDefault="009576A5">
            <w:pPr>
              <w:pStyle w:val="Tabletext"/>
            </w:pPr>
            <w:r>
              <w:t>Other (including processed food)</w:t>
            </w:r>
          </w:p>
        </w:tc>
        <w:tc>
          <w:tcPr>
            <w:tcW w:w="2500" w:type="pct"/>
            <w:shd w:val="clear" w:color="auto" w:fill="FFFFFF" w:themeFill="background1"/>
          </w:tcPr>
          <w:p w14:paraId="0A542A4E" w14:textId="77777777" w:rsidR="00110521" w:rsidRDefault="00110521">
            <w:pPr>
              <w:pStyle w:val="Tabletext"/>
            </w:pPr>
            <w:r>
              <w:t>0410</w:t>
            </w:r>
          </w:p>
          <w:p w14:paraId="27A34274" w14:textId="77777777" w:rsidR="00110521" w:rsidRDefault="00110521">
            <w:pPr>
              <w:pStyle w:val="Tabletext"/>
            </w:pPr>
            <w:r>
              <w:t>0901 – 0903</w:t>
            </w:r>
          </w:p>
          <w:p w14:paraId="01DBCAC2" w14:textId="77777777" w:rsidR="00110521" w:rsidRDefault="00110521">
            <w:pPr>
              <w:pStyle w:val="Tabletext"/>
            </w:pPr>
            <w:r>
              <w:t>1301 – 1302</w:t>
            </w:r>
          </w:p>
          <w:p w14:paraId="10B4270F" w14:textId="77777777" w:rsidR="00110521" w:rsidRDefault="00110521">
            <w:pPr>
              <w:pStyle w:val="Tabletext"/>
            </w:pPr>
            <w:r>
              <w:t>1501 – 1504</w:t>
            </w:r>
          </w:p>
          <w:p w14:paraId="6FDA8A3E" w14:textId="77777777" w:rsidR="00110521" w:rsidRDefault="00110521">
            <w:pPr>
              <w:pStyle w:val="Tabletext"/>
            </w:pPr>
            <w:r>
              <w:t>1506 – 1517</w:t>
            </w:r>
          </w:p>
          <w:p w14:paraId="23242577" w14:textId="77777777" w:rsidR="00110521" w:rsidRDefault="00110521">
            <w:pPr>
              <w:pStyle w:val="Tabletext"/>
            </w:pPr>
            <w:r>
              <w:t>1520 – 1521</w:t>
            </w:r>
          </w:p>
          <w:p w14:paraId="4ACDC431" w14:textId="77777777" w:rsidR="00110521" w:rsidRDefault="00110521">
            <w:pPr>
              <w:pStyle w:val="Tabletext"/>
            </w:pPr>
            <w:r>
              <w:t>1701 – 1704</w:t>
            </w:r>
          </w:p>
          <w:p w14:paraId="4A979B07" w14:textId="77777777" w:rsidR="00110521" w:rsidRDefault="00110521">
            <w:pPr>
              <w:pStyle w:val="Tabletext"/>
            </w:pPr>
            <w:r>
              <w:t>1803 – 1806</w:t>
            </w:r>
          </w:p>
          <w:p w14:paraId="37D691B4" w14:textId="77777777" w:rsidR="00110521" w:rsidRDefault="00110521">
            <w:pPr>
              <w:pStyle w:val="Tabletext"/>
            </w:pPr>
            <w:r>
              <w:t>1901 – 1905</w:t>
            </w:r>
          </w:p>
          <w:p w14:paraId="6A57AD10" w14:textId="77777777" w:rsidR="00110521" w:rsidRDefault="00110521">
            <w:pPr>
              <w:pStyle w:val="Tabletext"/>
            </w:pPr>
            <w:r>
              <w:t>2001 – 2008</w:t>
            </w:r>
          </w:p>
          <w:p w14:paraId="05AF9919" w14:textId="77777777" w:rsidR="00110521" w:rsidRDefault="00110521">
            <w:pPr>
              <w:pStyle w:val="Tabletext"/>
            </w:pPr>
            <w:r>
              <w:t>2101 – 2106</w:t>
            </w:r>
          </w:p>
          <w:p w14:paraId="56FCA316" w14:textId="77777777" w:rsidR="00110521" w:rsidRDefault="00110521">
            <w:pPr>
              <w:pStyle w:val="Tabletext"/>
            </w:pPr>
            <w:r>
              <w:t>2209</w:t>
            </w:r>
          </w:p>
          <w:p w14:paraId="3F5F9C07" w14:textId="77777777" w:rsidR="00110521" w:rsidRDefault="00110521">
            <w:pPr>
              <w:pStyle w:val="Tabletext"/>
            </w:pPr>
            <w:r>
              <w:t>2501</w:t>
            </w:r>
          </w:p>
          <w:p w14:paraId="64EFE6BD" w14:textId="77777777" w:rsidR="00110521" w:rsidRDefault="00110521">
            <w:pPr>
              <w:pStyle w:val="Tabletext"/>
            </w:pPr>
            <w:r>
              <w:t>3501 – 3503</w:t>
            </w:r>
          </w:p>
          <w:p w14:paraId="2FF41402" w14:textId="77777777" w:rsidR="00110521" w:rsidRDefault="00110521">
            <w:pPr>
              <w:pStyle w:val="Tabletext"/>
            </w:pPr>
            <w:r>
              <w:t>3505</w:t>
            </w:r>
          </w:p>
          <w:p w14:paraId="0B8DB5B6" w14:textId="41B06FA9" w:rsidR="00A072D0" w:rsidRDefault="009576A5">
            <w:pPr>
              <w:pStyle w:val="Tabletext"/>
            </w:pPr>
            <w:r>
              <w:t>3507</w:t>
            </w:r>
          </w:p>
        </w:tc>
      </w:tr>
    </w:tbl>
    <w:p w14:paraId="75E626C4" w14:textId="77777777" w:rsidR="00A072D0" w:rsidRDefault="009576A5">
      <w:pPr>
        <w:pStyle w:val="Heading2"/>
      </w:pPr>
      <w:bookmarkStart w:id="92" w:name="_Toc469066623"/>
      <w:r>
        <w:lastRenderedPageBreak/>
        <w:t>Appendix 3: Number of lines inspected per country</w:t>
      </w:r>
      <w:bookmarkEnd w:id="92"/>
    </w:p>
    <w:tbl>
      <w:tblPr>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5503"/>
        <w:gridCol w:w="2797"/>
      </w:tblGrid>
      <w:tr w:rsidR="00A072D0" w14:paraId="30055916" w14:textId="77777777" w:rsidTr="00110521">
        <w:trPr>
          <w:cantSplit/>
          <w:tblHeader/>
          <w:jc w:val="center"/>
        </w:trPr>
        <w:tc>
          <w:tcPr>
            <w:tcW w:w="3315" w:type="pct"/>
            <w:shd w:val="clear" w:color="auto" w:fill="auto"/>
            <w:noWrap/>
            <w:hideMark/>
          </w:tcPr>
          <w:p w14:paraId="196A2983" w14:textId="77777777" w:rsidR="00A072D0" w:rsidRDefault="009576A5">
            <w:pPr>
              <w:pStyle w:val="Tableheading"/>
            </w:pPr>
            <w:r>
              <w:t>Country</w:t>
            </w:r>
          </w:p>
        </w:tc>
        <w:tc>
          <w:tcPr>
            <w:tcW w:w="1685" w:type="pct"/>
            <w:shd w:val="clear" w:color="auto" w:fill="auto"/>
            <w:noWrap/>
            <w:hideMark/>
          </w:tcPr>
          <w:p w14:paraId="18C74741" w14:textId="77777777" w:rsidR="00A072D0" w:rsidRDefault="009576A5">
            <w:pPr>
              <w:pStyle w:val="Tableheading"/>
              <w:jc w:val="right"/>
            </w:pPr>
            <w:r>
              <w:t>Lines inspected</w:t>
            </w:r>
          </w:p>
        </w:tc>
      </w:tr>
      <w:tr w:rsidR="00A072D0" w14:paraId="748B9E84" w14:textId="77777777">
        <w:trPr>
          <w:jc w:val="center"/>
        </w:trPr>
        <w:tc>
          <w:tcPr>
            <w:tcW w:w="3315" w:type="pct"/>
            <w:tcBorders>
              <w:top w:val="single" w:sz="4" w:space="0" w:color="auto"/>
            </w:tcBorders>
            <w:shd w:val="clear" w:color="auto" w:fill="auto"/>
            <w:noWrap/>
            <w:vAlign w:val="bottom"/>
          </w:tcPr>
          <w:p w14:paraId="58377DFA" w14:textId="77777777" w:rsidR="00A072D0" w:rsidRDefault="009576A5">
            <w:pPr>
              <w:pStyle w:val="Tabletext"/>
              <w:rPr>
                <w:rFonts w:asciiTheme="minorHAnsi" w:hAnsiTheme="minorHAnsi"/>
                <w:szCs w:val="18"/>
              </w:rPr>
            </w:pPr>
            <w:r>
              <w:rPr>
                <w:rFonts w:asciiTheme="minorHAnsi" w:hAnsiTheme="minorHAnsi" w:cs="Arial"/>
                <w:szCs w:val="18"/>
              </w:rPr>
              <w:t>Albania</w:t>
            </w:r>
          </w:p>
        </w:tc>
        <w:tc>
          <w:tcPr>
            <w:tcW w:w="1685" w:type="pct"/>
            <w:tcBorders>
              <w:top w:val="single" w:sz="4" w:space="0" w:color="auto"/>
            </w:tcBorders>
            <w:shd w:val="clear" w:color="auto" w:fill="auto"/>
            <w:noWrap/>
            <w:vAlign w:val="bottom"/>
          </w:tcPr>
          <w:p w14:paraId="63E8C99E" w14:textId="2F4A7C12"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397FD202" w14:textId="77777777">
        <w:trPr>
          <w:jc w:val="center"/>
        </w:trPr>
        <w:tc>
          <w:tcPr>
            <w:tcW w:w="3315" w:type="pct"/>
            <w:shd w:val="clear" w:color="auto" w:fill="auto"/>
            <w:noWrap/>
            <w:vAlign w:val="bottom"/>
          </w:tcPr>
          <w:p w14:paraId="2B4D3247" w14:textId="77777777" w:rsidR="00A072D0" w:rsidRDefault="009576A5">
            <w:pPr>
              <w:pStyle w:val="Tabletext"/>
              <w:rPr>
                <w:rFonts w:asciiTheme="minorHAnsi" w:hAnsiTheme="minorHAnsi"/>
                <w:szCs w:val="18"/>
              </w:rPr>
            </w:pPr>
            <w:r>
              <w:rPr>
                <w:rFonts w:asciiTheme="minorHAnsi" w:hAnsiTheme="minorHAnsi" w:cs="Arial"/>
                <w:szCs w:val="18"/>
              </w:rPr>
              <w:t>Argentina</w:t>
            </w:r>
          </w:p>
        </w:tc>
        <w:tc>
          <w:tcPr>
            <w:tcW w:w="1685" w:type="pct"/>
            <w:shd w:val="clear" w:color="auto" w:fill="auto"/>
            <w:noWrap/>
            <w:vAlign w:val="bottom"/>
          </w:tcPr>
          <w:p w14:paraId="4B8E9F3D" w14:textId="57869D2C" w:rsidR="00A072D0" w:rsidRDefault="009576A5">
            <w:pPr>
              <w:pStyle w:val="Tabletext"/>
              <w:jc w:val="right"/>
              <w:rPr>
                <w:rFonts w:asciiTheme="minorHAnsi" w:hAnsiTheme="minorHAnsi"/>
                <w:szCs w:val="18"/>
              </w:rPr>
            </w:pPr>
            <w:r>
              <w:rPr>
                <w:rFonts w:asciiTheme="minorHAnsi" w:hAnsiTheme="minorHAnsi" w:cs="Arial"/>
                <w:szCs w:val="18"/>
              </w:rPr>
              <w:t>41</w:t>
            </w:r>
          </w:p>
        </w:tc>
      </w:tr>
      <w:tr w:rsidR="00A072D0" w14:paraId="441F1EA1" w14:textId="77777777">
        <w:trPr>
          <w:jc w:val="center"/>
        </w:trPr>
        <w:tc>
          <w:tcPr>
            <w:tcW w:w="3315" w:type="pct"/>
            <w:shd w:val="clear" w:color="auto" w:fill="auto"/>
            <w:noWrap/>
            <w:vAlign w:val="bottom"/>
          </w:tcPr>
          <w:p w14:paraId="77A87150" w14:textId="77777777" w:rsidR="00A072D0" w:rsidRDefault="009576A5">
            <w:pPr>
              <w:pStyle w:val="Tabletext"/>
              <w:rPr>
                <w:rFonts w:asciiTheme="minorHAnsi" w:hAnsiTheme="minorHAnsi"/>
                <w:szCs w:val="18"/>
              </w:rPr>
            </w:pPr>
            <w:r>
              <w:rPr>
                <w:rFonts w:asciiTheme="minorHAnsi" w:hAnsiTheme="minorHAnsi" w:cs="Arial"/>
                <w:szCs w:val="18"/>
              </w:rPr>
              <w:t>Australia</w:t>
            </w:r>
          </w:p>
        </w:tc>
        <w:tc>
          <w:tcPr>
            <w:tcW w:w="1685" w:type="pct"/>
            <w:shd w:val="clear" w:color="auto" w:fill="auto"/>
            <w:noWrap/>
            <w:vAlign w:val="bottom"/>
          </w:tcPr>
          <w:p w14:paraId="140FFB0F" w14:textId="62488AA2" w:rsidR="00A072D0" w:rsidRDefault="009576A5">
            <w:pPr>
              <w:pStyle w:val="Tabletext"/>
              <w:jc w:val="right"/>
              <w:rPr>
                <w:rFonts w:asciiTheme="minorHAnsi" w:hAnsiTheme="minorHAnsi"/>
                <w:szCs w:val="18"/>
              </w:rPr>
            </w:pPr>
            <w:r>
              <w:rPr>
                <w:rFonts w:asciiTheme="minorHAnsi" w:hAnsiTheme="minorHAnsi" w:cs="Arial"/>
                <w:szCs w:val="18"/>
              </w:rPr>
              <w:t>6</w:t>
            </w:r>
          </w:p>
        </w:tc>
      </w:tr>
      <w:tr w:rsidR="00A072D0" w14:paraId="7E834461" w14:textId="77777777">
        <w:trPr>
          <w:jc w:val="center"/>
        </w:trPr>
        <w:tc>
          <w:tcPr>
            <w:tcW w:w="3315" w:type="pct"/>
            <w:shd w:val="clear" w:color="auto" w:fill="auto"/>
            <w:noWrap/>
            <w:vAlign w:val="bottom"/>
          </w:tcPr>
          <w:p w14:paraId="78E6D875" w14:textId="77777777" w:rsidR="00A072D0" w:rsidRDefault="009576A5">
            <w:pPr>
              <w:pStyle w:val="Tabletext"/>
              <w:rPr>
                <w:rFonts w:asciiTheme="minorHAnsi" w:hAnsiTheme="minorHAnsi"/>
                <w:szCs w:val="18"/>
              </w:rPr>
            </w:pPr>
            <w:r>
              <w:rPr>
                <w:rFonts w:asciiTheme="minorHAnsi" w:hAnsiTheme="minorHAnsi" w:cs="Arial"/>
                <w:szCs w:val="18"/>
              </w:rPr>
              <w:t>Austria</w:t>
            </w:r>
          </w:p>
        </w:tc>
        <w:tc>
          <w:tcPr>
            <w:tcW w:w="1685" w:type="pct"/>
            <w:shd w:val="clear" w:color="auto" w:fill="auto"/>
            <w:noWrap/>
            <w:vAlign w:val="bottom"/>
          </w:tcPr>
          <w:p w14:paraId="4B0AF5C4" w14:textId="13FB470A" w:rsidR="00A072D0" w:rsidRDefault="009576A5">
            <w:pPr>
              <w:pStyle w:val="Tabletext"/>
              <w:jc w:val="right"/>
              <w:rPr>
                <w:rFonts w:asciiTheme="minorHAnsi" w:hAnsiTheme="minorHAnsi"/>
                <w:szCs w:val="18"/>
              </w:rPr>
            </w:pPr>
            <w:r>
              <w:rPr>
                <w:rFonts w:asciiTheme="minorHAnsi" w:hAnsiTheme="minorHAnsi" w:cs="Arial"/>
                <w:szCs w:val="18"/>
              </w:rPr>
              <w:t>50</w:t>
            </w:r>
          </w:p>
        </w:tc>
      </w:tr>
      <w:tr w:rsidR="00A072D0" w14:paraId="764A31CB" w14:textId="77777777">
        <w:trPr>
          <w:jc w:val="center"/>
        </w:trPr>
        <w:tc>
          <w:tcPr>
            <w:tcW w:w="3315" w:type="pct"/>
            <w:shd w:val="clear" w:color="auto" w:fill="auto"/>
            <w:noWrap/>
            <w:vAlign w:val="bottom"/>
          </w:tcPr>
          <w:p w14:paraId="0CE337D3" w14:textId="77777777" w:rsidR="00A072D0" w:rsidRDefault="009576A5">
            <w:pPr>
              <w:pStyle w:val="Tabletext"/>
              <w:rPr>
                <w:rFonts w:asciiTheme="minorHAnsi" w:hAnsiTheme="minorHAnsi"/>
                <w:szCs w:val="18"/>
              </w:rPr>
            </w:pPr>
            <w:r>
              <w:rPr>
                <w:rFonts w:asciiTheme="minorHAnsi" w:hAnsiTheme="minorHAnsi" w:cs="Arial"/>
                <w:szCs w:val="18"/>
              </w:rPr>
              <w:t>Bangladesh</w:t>
            </w:r>
          </w:p>
        </w:tc>
        <w:tc>
          <w:tcPr>
            <w:tcW w:w="1685" w:type="pct"/>
            <w:shd w:val="clear" w:color="auto" w:fill="auto"/>
            <w:noWrap/>
            <w:vAlign w:val="bottom"/>
          </w:tcPr>
          <w:p w14:paraId="03E1536D" w14:textId="29E10A79" w:rsidR="00A072D0" w:rsidRDefault="009576A5">
            <w:pPr>
              <w:pStyle w:val="Tabletext"/>
              <w:jc w:val="right"/>
              <w:rPr>
                <w:rFonts w:asciiTheme="minorHAnsi" w:hAnsiTheme="minorHAnsi"/>
                <w:szCs w:val="18"/>
              </w:rPr>
            </w:pPr>
            <w:r>
              <w:rPr>
                <w:rFonts w:asciiTheme="minorHAnsi" w:hAnsiTheme="minorHAnsi" w:cs="Arial"/>
                <w:szCs w:val="18"/>
              </w:rPr>
              <w:t>39</w:t>
            </w:r>
          </w:p>
        </w:tc>
      </w:tr>
      <w:tr w:rsidR="00A072D0" w14:paraId="6AB61881" w14:textId="77777777">
        <w:trPr>
          <w:jc w:val="center"/>
        </w:trPr>
        <w:tc>
          <w:tcPr>
            <w:tcW w:w="3315" w:type="pct"/>
            <w:shd w:val="clear" w:color="auto" w:fill="auto"/>
            <w:noWrap/>
            <w:vAlign w:val="bottom"/>
          </w:tcPr>
          <w:p w14:paraId="1765379A" w14:textId="77777777" w:rsidR="00A072D0" w:rsidRDefault="009576A5">
            <w:pPr>
              <w:pStyle w:val="Tabletext"/>
              <w:rPr>
                <w:rFonts w:asciiTheme="minorHAnsi" w:hAnsiTheme="minorHAnsi"/>
                <w:szCs w:val="18"/>
              </w:rPr>
            </w:pPr>
            <w:r>
              <w:rPr>
                <w:rFonts w:asciiTheme="minorHAnsi" w:hAnsiTheme="minorHAnsi" w:cs="Arial"/>
                <w:szCs w:val="18"/>
              </w:rPr>
              <w:t>Barbados</w:t>
            </w:r>
          </w:p>
        </w:tc>
        <w:tc>
          <w:tcPr>
            <w:tcW w:w="1685" w:type="pct"/>
            <w:shd w:val="clear" w:color="auto" w:fill="auto"/>
            <w:noWrap/>
            <w:vAlign w:val="bottom"/>
          </w:tcPr>
          <w:p w14:paraId="2112D65B" w14:textId="395B9481"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337E4506" w14:textId="77777777">
        <w:trPr>
          <w:jc w:val="center"/>
        </w:trPr>
        <w:tc>
          <w:tcPr>
            <w:tcW w:w="3315" w:type="pct"/>
            <w:shd w:val="clear" w:color="auto" w:fill="auto"/>
            <w:noWrap/>
            <w:vAlign w:val="bottom"/>
          </w:tcPr>
          <w:p w14:paraId="66D6F696" w14:textId="77777777" w:rsidR="00A072D0" w:rsidRDefault="009576A5">
            <w:pPr>
              <w:pStyle w:val="Tabletext"/>
              <w:rPr>
                <w:rFonts w:asciiTheme="minorHAnsi" w:hAnsiTheme="minorHAnsi"/>
                <w:szCs w:val="18"/>
              </w:rPr>
            </w:pPr>
            <w:r>
              <w:rPr>
                <w:rFonts w:asciiTheme="minorHAnsi" w:hAnsiTheme="minorHAnsi" w:cs="Arial"/>
                <w:szCs w:val="18"/>
              </w:rPr>
              <w:t>Belgium</w:t>
            </w:r>
          </w:p>
        </w:tc>
        <w:tc>
          <w:tcPr>
            <w:tcW w:w="1685" w:type="pct"/>
            <w:shd w:val="clear" w:color="auto" w:fill="auto"/>
            <w:noWrap/>
            <w:vAlign w:val="bottom"/>
          </w:tcPr>
          <w:p w14:paraId="5FBEBDA5" w14:textId="095CFCD2" w:rsidR="00A072D0" w:rsidRDefault="009576A5">
            <w:pPr>
              <w:pStyle w:val="Tabletext"/>
              <w:jc w:val="right"/>
              <w:rPr>
                <w:rFonts w:asciiTheme="minorHAnsi" w:hAnsiTheme="minorHAnsi"/>
                <w:szCs w:val="18"/>
              </w:rPr>
            </w:pPr>
            <w:r>
              <w:rPr>
                <w:rFonts w:asciiTheme="minorHAnsi" w:hAnsiTheme="minorHAnsi" w:cs="Arial"/>
                <w:szCs w:val="18"/>
              </w:rPr>
              <w:t>136</w:t>
            </w:r>
          </w:p>
        </w:tc>
      </w:tr>
      <w:tr w:rsidR="00A072D0" w14:paraId="5AC321CF" w14:textId="77777777">
        <w:trPr>
          <w:jc w:val="center"/>
        </w:trPr>
        <w:tc>
          <w:tcPr>
            <w:tcW w:w="3315" w:type="pct"/>
            <w:shd w:val="clear" w:color="auto" w:fill="auto"/>
            <w:noWrap/>
            <w:vAlign w:val="bottom"/>
          </w:tcPr>
          <w:p w14:paraId="0E2AC81B" w14:textId="77777777" w:rsidR="00A072D0" w:rsidRDefault="009576A5">
            <w:pPr>
              <w:pStyle w:val="Tabletext"/>
              <w:rPr>
                <w:rFonts w:asciiTheme="minorHAnsi" w:hAnsiTheme="minorHAnsi"/>
                <w:szCs w:val="18"/>
              </w:rPr>
            </w:pPr>
            <w:r>
              <w:rPr>
                <w:rFonts w:asciiTheme="minorHAnsi" w:hAnsiTheme="minorHAnsi" w:cs="Arial"/>
                <w:szCs w:val="18"/>
              </w:rPr>
              <w:t>Bolivia</w:t>
            </w:r>
          </w:p>
        </w:tc>
        <w:tc>
          <w:tcPr>
            <w:tcW w:w="1685" w:type="pct"/>
            <w:shd w:val="clear" w:color="auto" w:fill="auto"/>
            <w:noWrap/>
            <w:vAlign w:val="bottom"/>
          </w:tcPr>
          <w:p w14:paraId="1A4B6DE1" w14:textId="4F5BC39A" w:rsidR="00A072D0" w:rsidRDefault="009576A5">
            <w:pPr>
              <w:pStyle w:val="Tabletext"/>
              <w:jc w:val="right"/>
              <w:rPr>
                <w:rFonts w:asciiTheme="minorHAnsi" w:hAnsiTheme="minorHAnsi"/>
                <w:szCs w:val="18"/>
              </w:rPr>
            </w:pPr>
            <w:r>
              <w:rPr>
                <w:rFonts w:asciiTheme="minorHAnsi" w:hAnsiTheme="minorHAnsi" w:cs="Arial"/>
                <w:szCs w:val="18"/>
              </w:rPr>
              <w:t>3</w:t>
            </w:r>
          </w:p>
        </w:tc>
      </w:tr>
      <w:tr w:rsidR="00A072D0" w14:paraId="1B5C08C5" w14:textId="77777777">
        <w:trPr>
          <w:jc w:val="center"/>
        </w:trPr>
        <w:tc>
          <w:tcPr>
            <w:tcW w:w="3315" w:type="pct"/>
            <w:shd w:val="clear" w:color="auto" w:fill="auto"/>
            <w:noWrap/>
            <w:vAlign w:val="bottom"/>
          </w:tcPr>
          <w:p w14:paraId="0AF4F092" w14:textId="77777777" w:rsidR="00A072D0" w:rsidRDefault="009576A5">
            <w:pPr>
              <w:pStyle w:val="Tabletext"/>
              <w:rPr>
                <w:rFonts w:asciiTheme="minorHAnsi" w:hAnsiTheme="minorHAnsi"/>
                <w:szCs w:val="18"/>
              </w:rPr>
            </w:pPr>
            <w:r>
              <w:rPr>
                <w:rFonts w:asciiTheme="minorHAnsi" w:hAnsiTheme="minorHAnsi" w:cs="Arial"/>
                <w:szCs w:val="18"/>
              </w:rPr>
              <w:t xml:space="preserve">Bosnia and </w:t>
            </w:r>
            <w:proofErr w:type="spellStart"/>
            <w:r>
              <w:rPr>
                <w:rFonts w:asciiTheme="minorHAnsi" w:hAnsiTheme="minorHAnsi" w:cs="Arial"/>
                <w:szCs w:val="18"/>
              </w:rPr>
              <w:t>Herzegowina</w:t>
            </w:r>
            <w:proofErr w:type="spellEnd"/>
          </w:p>
        </w:tc>
        <w:tc>
          <w:tcPr>
            <w:tcW w:w="1685" w:type="pct"/>
            <w:shd w:val="clear" w:color="auto" w:fill="auto"/>
            <w:noWrap/>
            <w:vAlign w:val="bottom"/>
          </w:tcPr>
          <w:p w14:paraId="71BDD9DE" w14:textId="0E6BD772" w:rsidR="00A072D0" w:rsidRDefault="009576A5">
            <w:pPr>
              <w:pStyle w:val="Tabletext"/>
              <w:jc w:val="right"/>
              <w:rPr>
                <w:rFonts w:asciiTheme="minorHAnsi" w:hAnsiTheme="minorHAnsi"/>
                <w:szCs w:val="18"/>
              </w:rPr>
            </w:pPr>
            <w:r>
              <w:rPr>
                <w:rFonts w:asciiTheme="minorHAnsi" w:hAnsiTheme="minorHAnsi" w:cs="Arial"/>
                <w:szCs w:val="18"/>
              </w:rPr>
              <w:t>13</w:t>
            </w:r>
          </w:p>
        </w:tc>
      </w:tr>
      <w:tr w:rsidR="00A072D0" w14:paraId="58290884" w14:textId="77777777">
        <w:trPr>
          <w:jc w:val="center"/>
        </w:trPr>
        <w:tc>
          <w:tcPr>
            <w:tcW w:w="3315" w:type="pct"/>
            <w:shd w:val="clear" w:color="auto" w:fill="auto"/>
            <w:noWrap/>
            <w:vAlign w:val="bottom"/>
          </w:tcPr>
          <w:p w14:paraId="34C92F6E" w14:textId="77777777" w:rsidR="00A072D0" w:rsidRDefault="009576A5">
            <w:pPr>
              <w:pStyle w:val="Tabletext"/>
              <w:rPr>
                <w:rFonts w:asciiTheme="minorHAnsi" w:hAnsiTheme="minorHAnsi"/>
                <w:szCs w:val="18"/>
              </w:rPr>
            </w:pPr>
            <w:r>
              <w:rPr>
                <w:rFonts w:asciiTheme="minorHAnsi" w:hAnsiTheme="minorHAnsi" w:cs="Arial"/>
                <w:szCs w:val="18"/>
              </w:rPr>
              <w:t>Brazil</w:t>
            </w:r>
          </w:p>
        </w:tc>
        <w:tc>
          <w:tcPr>
            <w:tcW w:w="1685" w:type="pct"/>
            <w:shd w:val="clear" w:color="auto" w:fill="auto"/>
            <w:noWrap/>
            <w:vAlign w:val="bottom"/>
          </w:tcPr>
          <w:p w14:paraId="252D5BD7" w14:textId="5A34E47D" w:rsidR="00A072D0" w:rsidRDefault="009576A5">
            <w:pPr>
              <w:pStyle w:val="Tabletext"/>
              <w:jc w:val="right"/>
              <w:rPr>
                <w:rFonts w:asciiTheme="minorHAnsi" w:hAnsiTheme="minorHAnsi"/>
                <w:szCs w:val="18"/>
              </w:rPr>
            </w:pPr>
            <w:r>
              <w:rPr>
                <w:rFonts w:asciiTheme="minorHAnsi" w:hAnsiTheme="minorHAnsi" w:cs="Arial"/>
                <w:szCs w:val="18"/>
              </w:rPr>
              <w:t>59</w:t>
            </w:r>
          </w:p>
        </w:tc>
      </w:tr>
      <w:tr w:rsidR="00A072D0" w14:paraId="7CFFCE39" w14:textId="77777777">
        <w:trPr>
          <w:jc w:val="center"/>
        </w:trPr>
        <w:tc>
          <w:tcPr>
            <w:tcW w:w="3315" w:type="pct"/>
            <w:shd w:val="clear" w:color="auto" w:fill="auto"/>
            <w:noWrap/>
            <w:vAlign w:val="bottom"/>
          </w:tcPr>
          <w:p w14:paraId="39389FBF" w14:textId="77777777" w:rsidR="00A072D0" w:rsidRDefault="009576A5">
            <w:pPr>
              <w:pStyle w:val="Tabletext"/>
              <w:rPr>
                <w:rFonts w:asciiTheme="minorHAnsi" w:hAnsiTheme="minorHAnsi"/>
                <w:szCs w:val="18"/>
              </w:rPr>
            </w:pPr>
            <w:r>
              <w:rPr>
                <w:rFonts w:asciiTheme="minorHAnsi" w:hAnsiTheme="minorHAnsi" w:cs="Arial"/>
                <w:szCs w:val="18"/>
              </w:rPr>
              <w:t>Brunei Darussalam</w:t>
            </w:r>
          </w:p>
        </w:tc>
        <w:tc>
          <w:tcPr>
            <w:tcW w:w="1685" w:type="pct"/>
            <w:shd w:val="clear" w:color="auto" w:fill="auto"/>
            <w:noWrap/>
            <w:vAlign w:val="bottom"/>
          </w:tcPr>
          <w:p w14:paraId="4C553C86" w14:textId="3A2E7277"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6BEC0D78" w14:textId="77777777">
        <w:trPr>
          <w:jc w:val="center"/>
        </w:trPr>
        <w:tc>
          <w:tcPr>
            <w:tcW w:w="3315" w:type="pct"/>
            <w:shd w:val="clear" w:color="auto" w:fill="auto"/>
            <w:noWrap/>
            <w:vAlign w:val="bottom"/>
          </w:tcPr>
          <w:p w14:paraId="7C974FF9" w14:textId="77777777" w:rsidR="00A072D0" w:rsidRDefault="009576A5">
            <w:pPr>
              <w:pStyle w:val="Tabletext"/>
              <w:rPr>
                <w:rFonts w:asciiTheme="minorHAnsi" w:hAnsiTheme="minorHAnsi"/>
                <w:szCs w:val="18"/>
              </w:rPr>
            </w:pPr>
            <w:r>
              <w:rPr>
                <w:rFonts w:asciiTheme="minorHAnsi" w:hAnsiTheme="minorHAnsi" w:cs="Arial"/>
                <w:szCs w:val="18"/>
              </w:rPr>
              <w:t>Bulgaria</w:t>
            </w:r>
          </w:p>
        </w:tc>
        <w:tc>
          <w:tcPr>
            <w:tcW w:w="1685" w:type="pct"/>
            <w:shd w:val="clear" w:color="auto" w:fill="auto"/>
            <w:noWrap/>
            <w:vAlign w:val="bottom"/>
          </w:tcPr>
          <w:p w14:paraId="53E3F99E" w14:textId="22EA1E04" w:rsidR="00A072D0" w:rsidRDefault="009576A5">
            <w:pPr>
              <w:pStyle w:val="Tabletext"/>
              <w:jc w:val="right"/>
              <w:rPr>
                <w:rFonts w:asciiTheme="minorHAnsi" w:hAnsiTheme="minorHAnsi"/>
                <w:szCs w:val="18"/>
              </w:rPr>
            </w:pPr>
            <w:r>
              <w:rPr>
                <w:rFonts w:asciiTheme="minorHAnsi" w:hAnsiTheme="minorHAnsi" w:cs="Arial"/>
                <w:szCs w:val="18"/>
              </w:rPr>
              <w:t>18</w:t>
            </w:r>
          </w:p>
        </w:tc>
      </w:tr>
      <w:tr w:rsidR="00A072D0" w14:paraId="07AFDF6E" w14:textId="77777777">
        <w:trPr>
          <w:jc w:val="center"/>
        </w:trPr>
        <w:tc>
          <w:tcPr>
            <w:tcW w:w="3315" w:type="pct"/>
            <w:shd w:val="clear" w:color="auto" w:fill="auto"/>
            <w:noWrap/>
            <w:vAlign w:val="bottom"/>
          </w:tcPr>
          <w:p w14:paraId="59CDA416" w14:textId="77777777" w:rsidR="00A072D0" w:rsidRDefault="009576A5">
            <w:pPr>
              <w:pStyle w:val="Tabletext"/>
              <w:rPr>
                <w:rFonts w:asciiTheme="minorHAnsi" w:hAnsiTheme="minorHAnsi"/>
                <w:szCs w:val="18"/>
              </w:rPr>
            </w:pPr>
            <w:r>
              <w:rPr>
                <w:rFonts w:asciiTheme="minorHAnsi" w:hAnsiTheme="minorHAnsi" w:cs="Arial"/>
                <w:szCs w:val="18"/>
              </w:rPr>
              <w:t>Cambodia</w:t>
            </w:r>
          </w:p>
        </w:tc>
        <w:tc>
          <w:tcPr>
            <w:tcW w:w="1685" w:type="pct"/>
            <w:shd w:val="clear" w:color="auto" w:fill="auto"/>
            <w:noWrap/>
            <w:vAlign w:val="bottom"/>
          </w:tcPr>
          <w:p w14:paraId="411CC49F" w14:textId="0A8E50AE"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2F25DDBB" w14:textId="77777777">
        <w:trPr>
          <w:jc w:val="center"/>
        </w:trPr>
        <w:tc>
          <w:tcPr>
            <w:tcW w:w="3315" w:type="pct"/>
            <w:shd w:val="clear" w:color="auto" w:fill="auto"/>
            <w:noWrap/>
            <w:vAlign w:val="bottom"/>
          </w:tcPr>
          <w:p w14:paraId="011B465F" w14:textId="77777777" w:rsidR="00A072D0" w:rsidRDefault="009576A5">
            <w:pPr>
              <w:pStyle w:val="Tabletext"/>
              <w:rPr>
                <w:rFonts w:asciiTheme="minorHAnsi" w:hAnsiTheme="minorHAnsi"/>
                <w:szCs w:val="18"/>
              </w:rPr>
            </w:pPr>
            <w:r>
              <w:rPr>
                <w:rFonts w:asciiTheme="minorHAnsi" w:hAnsiTheme="minorHAnsi" w:cs="Arial"/>
                <w:szCs w:val="18"/>
              </w:rPr>
              <w:t>Canada</w:t>
            </w:r>
          </w:p>
        </w:tc>
        <w:tc>
          <w:tcPr>
            <w:tcW w:w="1685" w:type="pct"/>
            <w:shd w:val="clear" w:color="auto" w:fill="auto"/>
            <w:noWrap/>
            <w:vAlign w:val="bottom"/>
          </w:tcPr>
          <w:p w14:paraId="0E6761F6" w14:textId="10B9D2CB" w:rsidR="00A072D0" w:rsidRDefault="009576A5">
            <w:pPr>
              <w:pStyle w:val="Tabletext"/>
              <w:jc w:val="right"/>
              <w:rPr>
                <w:rFonts w:asciiTheme="minorHAnsi" w:hAnsiTheme="minorHAnsi"/>
                <w:szCs w:val="18"/>
              </w:rPr>
            </w:pPr>
            <w:r>
              <w:rPr>
                <w:rFonts w:asciiTheme="minorHAnsi" w:hAnsiTheme="minorHAnsi" w:cs="Arial"/>
                <w:szCs w:val="18"/>
              </w:rPr>
              <w:t>99</w:t>
            </w:r>
          </w:p>
        </w:tc>
      </w:tr>
      <w:tr w:rsidR="00A072D0" w14:paraId="6E2DEA0F" w14:textId="77777777">
        <w:trPr>
          <w:jc w:val="center"/>
        </w:trPr>
        <w:tc>
          <w:tcPr>
            <w:tcW w:w="3315" w:type="pct"/>
            <w:shd w:val="clear" w:color="auto" w:fill="auto"/>
            <w:noWrap/>
            <w:vAlign w:val="bottom"/>
          </w:tcPr>
          <w:p w14:paraId="5AB81939" w14:textId="77777777" w:rsidR="00A072D0" w:rsidRDefault="009576A5">
            <w:pPr>
              <w:pStyle w:val="Tabletext"/>
              <w:rPr>
                <w:rFonts w:asciiTheme="minorHAnsi" w:hAnsiTheme="minorHAnsi"/>
                <w:szCs w:val="18"/>
              </w:rPr>
            </w:pPr>
            <w:r>
              <w:rPr>
                <w:rFonts w:asciiTheme="minorHAnsi" w:hAnsiTheme="minorHAnsi" w:cs="Arial"/>
                <w:szCs w:val="18"/>
              </w:rPr>
              <w:t>Chile</w:t>
            </w:r>
          </w:p>
        </w:tc>
        <w:tc>
          <w:tcPr>
            <w:tcW w:w="1685" w:type="pct"/>
            <w:shd w:val="clear" w:color="auto" w:fill="auto"/>
            <w:noWrap/>
            <w:vAlign w:val="bottom"/>
          </w:tcPr>
          <w:p w14:paraId="63AC906F" w14:textId="43D87656" w:rsidR="00A072D0" w:rsidRDefault="009576A5">
            <w:pPr>
              <w:pStyle w:val="Tabletext"/>
              <w:jc w:val="right"/>
              <w:rPr>
                <w:rFonts w:asciiTheme="minorHAnsi" w:hAnsiTheme="minorHAnsi"/>
                <w:szCs w:val="18"/>
              </w:rPr>
            </w:pPr>
            <w:r>
              <w:rPr>
                <w:rFonts w:asciiTheme="minorHAnsi" w:hAnsiTheme="minorHAnsi" w:cs="Arial"/>
                <w:szCs w:val="18"/>
              </w:rPr>
              <w:t>74</w:t>
            </w:r>
          </w:p>
        </w:tc>
      </w:tr>
      <w:tr w:rsidR="00A072D0" w14:paraId="2724E946" w14:textId="77777777">
        <w:trPr>
          <w:jc w:val="center"/>
        </w:trPr>
        <w:tc>
          <w:tcPr>
            <w:tcW w:w="3315" w:type="pct"/>
            <w:shd w:val="clear" w:color="auto" w:fill="auto"/>
            <w:noWrap/>
            <w:vAlign w:val="bottom"/>
          </w:tcPr>
          <w:p w14:paraId="72792553" w14:textId="77777777" w:rsidR="00A072D0" w:rsidRDefault="009576A5">
            <w:pPr>
              <w:pStyle w:val="Tabletext"/>
              <w:rPr>
                <w:rFonts w:asciiTheme="minorHAnsi" w:hAnsiTheme="minorHAnsi"/>
                <w:szCs w:val="18"/>
              </w:rPr>
            </w:pPr>
            <w:r>
              <w:rPr>
                <w:rFonts w:asciiTheme="minorHAnsi" w:hAnsiTheme="minorHAnsi" w:cs="Arial"/>
                <w:szCs w:val="18"/>
              </w:rPr>
              <w:t>China</w:t>
            </w:r>
          </w:p>
        </w:tc>
        <w:tc>
          <w:tcPr>
            <w:tcW w:w="1685" w:type="pct"/>
            <w:shd w:val="clear" w:color="auto" w:fill="auto"/>
            <w:noWrap/>
            <w:vAlign w:val="bottom"/>
          </w:tcPr>
          <w:p w14:paraId="2C99E64D" w14:textId="77777777" w:rsidR="00A072D0" w:rsidRDefault="009576A5">
            <w:pPr>
              <w:pStyle w:val="Tabletext"/>
              <w:jc w:val="right"/>
              <w:rPr>
                <w:rFonts w:asciiTheme="minorHAnsi" w:hAnsiTheme="minorHAnsi"/>
                <w:szCs w:val="18"/>
              </w:rPr>
            </w:pPr>
            <w:r>
              <w:rPr>
                <w:rFonts w:asciiTheme="minorHAnsi" w:hAnsiTheme="minorHAnsi" w:cs="Arial"/>
                <w:szCs w:val="18"/>
              </w:rPr>
              <w:t>1 448</w:t>
            </w:r>
          </w:p>
        </w:tc>
      </w:tr>
      <w:tr w:rsidR="00A072D0" w14:paraId="0D44BD8D" w14:textId="77777777">
        <w:trPr>
          <w:jc w:val="center"/>
        </w:trPr>
        <w:tc>
          <w:tcPr>
            <w:tcW w:w="3315" w:type="pct"/>
            <w:shd w:val="clear" w:color="auto" w:fill="auto"/>
            <w:noWrap/>
            <w:vAlign w:val="bottom"/>
          </w:tcPr>
          <w:p w14:paraId="4E15D8FA" w14:textId="77777777" w:rsidR="00A072D0" w:rsidRDefault="009576A5">
            <w:pPr>
              <w:pStyle w:val="Tabletext"/>
              <w:rPr>
                <w:rFonts w:asciiTheme="minorHAnsi" w:hAnsiTheme="minorHAnsi"/>
                <w:szCs w:val="18"/>
              </w:rPr>
            </w:pPr>
            <w:r>
              <w:rPr>
                <w:rFonts w:asciiTheme="minorHAnsi" w:hAnsiTheme="minorHAnsi" w:cs="Arial"/>
                <w:szCs w:val="18"/>
              </w:rPr>
              <w:t>Colombia</w:t>
            </w:r>
          </w:p>
        </w:tc>
        <w:tc>
          <w:tcPr>
            <w:tcW w:w="1685" w:type="pct"/>
            <w:shd w:val="clear" w:color="auto" w:fill="auto"/>
            <w:noWrap/>
            <w:vAlign w:val="bottom"/>
          </w:tcPr>
          <w:p w14:paraId="3731D1A7" w14:textId="62408ABF" w:rsidR="00A072D0" w:rsidRDefault="009576A5">
            <w:pPr>
              <w:pStyle w:val="Tabletext"/>
              <w:jc w:val="right"/>
              <w:rPr>
                <w:rFonts w:asciiTheme="minorHAnsi" w:hAnsiTheme="minorHAnsi"/>
                <w:szCs w:val="18"/>
              </w:rPr>
            </w:pPr>
            <w:r>
              <w:rPr>
                <w:rFonts w:asciiTheme="minorHAnsi" w:hAnsiTheme="minorHAnsi" w:cs="Arial"/>
                <w:szCs w:val="18"/>
              </w:rPr>
              <w:t>20</w:t>
            </w:r>
          </w:p>
        </w:tc>
      </w:tr>
      <w:tr w:rsidR="00A072D0" w14:paraId="14BA13F4" w14:textId="77777777">
        <w:trPr>
          <w:jc w:val="center"/>
        </w:trPr>
        <w:tc>
          <w:tcPr>
            <w:tcW w:w="3315" w:type="pct"/>
            <w:shd w:val="clear" w:color="auto" w:fill="auto"/>
            <w:noWrap/>
            <w:vAlign w:val="bottom"/>
          </w:tcPr>
          <w:p w14:paraId="21288172" w14:textId="77777777" w:rsidR="00A072D0" w:rsidRDefault="009576A5">
            <w:pPr>
              <w:pStyle w:val="Tabletext"/>
              <w:rPr>
                <w:rFonts w:asciiTheme="minorHAnsi" w:hAnsiTheme="minorHAnsi"/>
                <w:szCs w:val="18"/>
              </w:rPr>
            </w:pPr>
            <w:r>
              <w:rPr>
                <w:rFonts w:asciiTheme="minorHAnsi" w:hAnsiTheme="minorHAnsi" w:cs="Arial"/>
                <w:szCs w:val="18"/>
              </w:rPr>
              <w:t>Costa Rica</w:t>
            </w:r>
          </w:p>
        </w:tc>
        <w:tc>
          <w:tcPr>
            <w:tcW w:w="1685" w:type="pct"/>
            <w:shd w:val="clear" w:color="auto" w:fill="auto"/>
            <w:noWrap/>
            <w:vAlign w:val="bottom"/>
          </w:tcPr>
          <w:p w14:paraId="29FAC73C" w14:textId="6117A27E"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52CAD90A" w14:textId="77777777">
        <w:trPr>
          <w:jc w:val="center"/>
        </w:trPr>
        <w:tc>
          <w:tcPr>
            <w:tcW w:w="3315" w:type="pct"/>
            <w:shd w:val="clear" w:color="auto" w:fill="auto"/>
            <w:noWrap/>
            <w:vAlign w:val="bottom"/>
          </w:tcPr>
          <w:p w14:paraId="419C323C" w14:textId="77777777" w:rsidR="00A072D0" w:rsidRDefault="009576A5">
            <w:pPr>
              <w:pStyle w:val="Tabletext"/>
              <w:rPr>
                <w:rFonts w:asciiTheme="minorHAnsi" w:hAnsiTheme="minorHAnsi"/>
                <w:szCs w:val="18"/>
              </w:rPr>
            </w:pPr>
            <w:r>
              <w:rPr>
                <w:rFonts w:asciiTheme="minorHAnsi" w:hAnsiTheme="minorHAnsi" w:cs="Arial"/>
                <w:szCs w:val="18"/>
              </w:rPr>
              <w:t xml:space="preserve">Cote </w:t>
            </w:r>
            <w:proofErr w:type="spellStart"/>
            <w:r>
              <w:rPr>
                <w:rFonts w:asciiTheme="minorHAnsi" w:hAnsiTheme="minorHAnsi" w:cs="Arial"/>
                <w:szCs w:val="18"/>
              </w:rPr>
              <w:t>Divoire</w:t>
            </w:r>
            <w:proofErr w:type="spellEnd"/>
          </w:p>
        </w:tc>
        <w:tc>
          <w:tcPr>
            <w:tcW w:w="1685" w:type="pct"/>
            <w:shd w:val="clear" w:color="auto" w:fill="auto"/>
            <w:noWrap/>
            <w:vAlign w:val="bottom"/>
          </w:tcPr>
          <w:p w14:paraId="20400349" w14:textId="62C1A532" w:rsidR="00A072D0" w:rsidRDefault="009576A5">
            <w:pPr>
              <w:pStyle w:val="Tabletext"/>
              <w:jc w:val="right"/>
              <w:rPr>
                <w:rFonts w:asciiTheme="minorHAnsi" w:hAnsiTheme="minorHAnsi"/>
                <w:szCs w:val="18"/>
              </w:rPr>
            </w:pPr>
            <w:r>
              <w:rPr>
                <w:rFonts w:asciiTheme="minorHAnsi" w:hAnsiTheme="minorHAnsi" w:cs="Arial"/>
                <w:szCs w:val="18"/>
              </w:rPr>
              <w:t>9</w:t>
            </w:r>
          </w:p>
        </w:tc>
      </w:tr>
      <w:tr w:rsidR="00A072D0" w14:paraId="14F0BBE5" w14:textId="77777777">
        <w:trPr>
          <w:jc w:val="center"/>
        </w:trPr>
        <w:tc>
          <w:tcPr>
            <w:tcW w:w="3315" w:type="pct"/>
            <w:shd w:val="clear" w:color="auto" w:fill="auto"/>
            <w:noWrap/>
            <w:vAlign w:val="bottom"/>
          </w:tcPr>
          <w:p w14:paraId="4AF54673" w14:textId="77777777" w:rsidR="00A072D0" w:rsidRDefault="009576A5">
            <w:pPr>
              <w:pStyle w:val="Tabletext"/>
              <w:rPr>
                <w:rFonts w:asciiTheme="minorHAnsi" w:hAnsiTheme="minorHAnsi"/>
                <w:szCs w:val="18"/>
              </w:rPr>
            </w:pPr>
            <w:r>
              <w:rPr>
                <w:rFonts w:asciiTheme="minorHAnsi" w:hAnsiTheme="minorHAnsi" w:cs="Arial"/>
                <w:szCs w:val="18"/>
              </w:rPr>
              <w:t xml:space="preserve">Croatia </w:t>
            </w:r>
          </w:p>
        </w:tc>
        <w:tc>
          <w:tcPr>
            <w:tcW w:w="1685" w:type="pct"/>
            <w:shd w:val="clear" w:color="auto" w:fill="auto"/>
            <w:noWrap/>
            <w:vAlign w:val="bottom"/>
          </w:tcPr>
          <w:p w14:paraId="3E9C803F" w14:textId="39EB5ECF" w:rsidR="00A072D0" w:rsidRDefault="009576A5">
            <w:pPr>
              <w:pStyle w:val="Tabletext"/>
              <w:jc w:val="right"/>
              <w:rPr>
                <w:rFonts w:asciiTheme="minorHAnsi" w:hAnsiTheme="minorHAnsi"/>
                <w:szCs w:val="18"/>
              </w:rPr>
            </w:pPr>
            <w:r>
              <w:rPr>
                <w:rFonts w:asciiTheme="minorHAnsi" w:hAnsiTheme="minorHAnsi" w:cs="Arial"/>
                <w:szCs w:val="18"/>
              </w:rPr>
              <w:t>59</w:t>
            </w:r>
          </w:p>
        </w:tc>
      </w:tr>
      <w:tr w:rsidR="00A072D0" w14:paraId="1F8A792A" w14:textId="77777777">
        <w:trPr>
          <w:jc w:val="center"/>
        </w:trPr>
        <w:tc>
          <w:tcPr>
            <w:tcW w:w="3315" w:type="pct"/>
            <w:shd w:val="clear" w:color="auto" w:fill="auto"/>
            <w:noWrap/>
            <w:vAlign w:val="bottom"/>
          </w:tcPr>
          <w:p w14:paraId="7264ECD9" w14:textId="77777777" w:rsidR="00A072D0" w:rsidRDefault="009576A5">
            <w:pPr>
              <w:pStyle w:val="Tabletext"/>
              <w:rPr>
                <w:rFonts w:asciiTheme="minorHAnsi" w:hAnsiTheme="minorHAnsi"/>
                <w:szCs w:val="18"/>
              </w:rPr>
            </w:pPr>
            <w:r>
              <w:rPr>
                <w:rFonts w:asciiTheme="minorHAnsi" w:hAnsiTheme="minorHAnsi" w:cs="Arial"/>
                <w:szCs w:val="18"/>
              </w:rPr>
              <w:t>Cuba</w:t>
            </w:r>
          </w:p>
        </w:tc>
        <w:tc>
          <w:tcPr>
            <w:tcW w:w="1685" w:type="pct"/>
            <w:shd w:val="clear" w:color="auto" w:fill="auto"/>
            <w:noWrap/>
            <w:vAlign w:val="bottom"/>
          </w:tcPr>
          <w:p w14:paraId="24DF2490" w14:textId="15A0F767" w:rsidR="00A072D0" w:rsidRDefault="009576A5">
            <w:pPr>
              <w:pStyle w:val="Tabletext"/>
              <w:jc w:val="right"/>
              <w:rPr>
                <w:rFonts w:asciiTheme="minorHAnsi" w:hAnsiTheme="minorHAnsi"/>
                <w:szCs w:val="18"/>
              </w:rPr>
            </w:pPr>
            <w:r>
              <w:rPr>
                <w:rFonts w:asciiTheme="minorHAnsi" w:hAnsiTheme="minorHAnsi" w:cs="Arial"/>
                <w:szCs w:val="18"/>
              </w:rPr>
              <w:t>4</w:t>
            </w:r>
          </w:p>
        </w:tc>
      </w:tr>
      <w:tr w:rsidR="00A072D0" w14:paraId="37EFA608" w14:textId="77777777">
        <w:trPr>
          <w:jc w:val="center"/>
        </w:trPr>
        <w:tc>
          <w:tcPr>
            <w:tcW w:w="3315" w:type="pct"/>
            <w:shd w:val="clear" w:color="auto" w:fill="auto"/>
            <w:noWrap/>
            <w:vAlign w:val="bottom"/>
          </w:tcPr>
          <w:p w14:paraId="1E56F35C" w14:textId="77777777" w:rsidR="00A072D0" w:rsidRDefault="009576A5">
            <w:pPr>
              <w:pStyle w:val="Tabletext"/>
              <w:rPr>
                <w:rFonts w:asciiTheme="minorHAnsi" w:hAnsiTheme="minorHAnsi"/>
                <w:szCs w:val="18"/>
              </w:rPr>
            </w:pPr>
            <w:r>
              <w:rPr>
                <w:rFonts w:asciiTheme="minorHAnsi" w:hAnsiTheme="minorHAnsi" w:cs="Arial"/>
                <w:szCs w:val="18"/>
              </w:rPr>
              <w:t>Cyprus</w:t>
            </w:r>
          </w:p>
        </w:tc>
        <w:tc>
          <w:tcPr>
            <w:tcW w:w="1685" w:type="pct"/>
            <w:shd w:val="clear" w:color="auto" w:fill="auto"/>
            <w:noWrap/>
            <w:vAlign w:val="bottom"/>
          </w:tcPr>
          <w:p w14:paraId="08C2E59E" w14:textId="5B3FF9D7" w:rsidR="00A072D0" w:rsidRDefault="009576A5">
            <w:pPr>
              <w:pStyle w:val="Tabletext"/>
              <w:jc w:val="right"/>
              <w:rPr>
                <w:rFonts w:asciiTheme="minorHAnsi" w:hAnsiTheme="minorHAnsi"/>
                <w:szCs w:val="18"/>
              </w:rPr>
            </w:pPr>
            <w:r>
              <w:rPr>
                <w:rFonts w:asciiTheme="minorHAnsi" w:hAnsiTheme="minorHAnsi" w:cs="Arial"/>
                <w:szCs w:val="18"/>
              </w:rPr>
              <w:t>7</w:t>
            </w:r>
          </w:p>
        </w:tc>
      </w:tr>
      <w:tr w:rsidR="00A072D0" w14:paraId="4AA25BAB" w14:textId="77777777">
        <w:trPr>
          <w:jc w:val="center"/>
        </w:trPr>
        <w:tc>
          <w:tcPr>
            <w:tcW w:w="3315" w:type="pct"/>
            <w:shd w:val="clear" w:color="auto" w:fill="auto"/>
            <w:noWrap/>
            <w:vAlign w:val="bottom"/>
          </w:tcPr>
          <w:p w14:paraId="7FC14D41" w14:textId="77777777" w:rsidR="00A072D0" w:rsidRDefault="009576A5">
            <w:pPr>
              <w:pStyle w:val="Tabletext"/>
              <w:rPr>
                <w:rFonts w:asciiTheme="minorHAnsi" w:hAnsiTheme="minorHAnsi"/>
                <w:szCs w:val="18"/>
              </w:rPr>
            </w:pPr>
            <w:r>
              <w:rPr>
                <w:rFonts w:asciiTheme="minorHAnsi" w:hAnsiTheme="minorHAnsi" w:cs="Arial"/>
                <w:szCs w:val="18"/>
              </w:rPr>
              <w:t>Czech Republic</w:t>
            </w:r>
          </w:p>
        </w:tc>
        <w:tc>
          <w:tcPr>
            <w:tcW w:w="1685" w:type="pct"/>
            <w:shd w:val="clear" w:color="auto" w:fill="auto"/>
            <w:noWrap/>
            <w:vAlign w:val="bottom"/>
          </w:tcPr>
          <w:p w14:paraId="35BDBA57" w14:textId="13665C09" w:rsidR="00A072D0" w:rsidRDefault="009576A5">
            <w:pPr>
              <w:pStyle w:val="Tabletext"/>
              <w:jc w:val="right"/>
              <w:rPr>
                <w:rFonts w:asciiTheme="minorHAnsi" w:hAnsiTheme="minorHAnsi"/>
                <w:szCs w:val="18"/>
              </w:rPr>
            </w:pPr>
            <w:r>
              <w:rPr>
                <w:rFonts w:asciiTheme="minorHAnsi" w:hAnsiTheme="minorHAnsi" w:cs="Arial"/>
                <w:szCs w:val="18"/>
              </w:rPr>
              <w:t>13</w:t>
            </w:r>
          </w:p>
        </w:tc>
      </w:tr>
      <w:tr w:rsidR="00A072D0" w14:paraId="6D84D113" w14:textId="77777777">
        <w:trPr>
          <w:jc w:val="center"/>
        </w:trPr>
        <w:tc>
          <w:tcPr>
            <w:tcW w:w="3315" w:type="pct"/>
            <w:shd w:val="clear" w:color="auto" w:fill="auto"/>
            <w:noWrap/>
            <w:vAlign w:val="bottom"/>
          </w:tcPr>
          <w:p w14:paraId="51A39493" w14:textId="77777777" w:rsidR="00A072D0" w:rsidRDefault="009576A5">
            <w:pPr>
              <w:pStyle w:val="Tabletext"/>
              <w:rPr>
                <w:rFonts w:asciiTheme="minorHAnsi" w:hAnsiTheme="minorHAnsi"/>
                <w:szCs w:val="18"/>
              </w:rPr>
            </w:pPr>
            <w:r>
              <w:rPr>
                <w:rFonts w:asciiTheme="minorHAnsi" w:hAnsiTheme="minorHAnsi" w:cs="Arial"/>
                <w:szCs w:val="18"/>
              </w:rPr>
              <w:t>Denmark</w:t>
            </w:r>
          </w:p>
        </w:tc>
        <w:tc>
          <w:tcPr>
            <w:tcW w:w="1685" w:type="pct"/>
            <w:shd w:val="clear" w:color="auto" w:fill="auto"/>
            <w:noWrap/>
            <w:vAlign w:val="bottom"/>
          </w:tcPr>
          <w:p w14:paraId="0B87A2FF" w14:textId="58E592D2" w:rsidR="00A072D0" w:rsidRDefault="009576A5">
            <w:pPr>
              <w:pStyle w:val="Tabletext"/>
              <w:jc w:val="right"/>
              <w:rPr>
                <w:rFonts w:asciiTheme="minorHAnsi" w:hAnsiTheme="minorHAnsi"/>
                <w:szCs w:val="18"/>
              </w:rPr>
            </w:pPr>
            <w:r>
              <w:rPr>
                <w:rFonts w:asciiTheme="minorHAnsi" w:hAnsiTheme="minorHAnsi" w:cs="Arial"/>
                <w:szCs w:val="18"/>
              </w:rPr>
              <w:t>158</w:t>
            </w:r>
          </w:p>
        </w:tc>
      </w:tr>
      <w:tr w:rsidR="00A072D0" w14:paraId="6D77CB1D" w14:textId="77777777">
        <w:trPr>
          <w:jc w:val="center"/>
        </w:trPr>
        <w:tc>
          <w:tcPr>
            <w:tcW w:w="3315" w:type="pct"/>
            <w:shd w:val="clear" w:color="auto" w:fill="auto"/>
            <w:noWrap/>
            <w:vAlign w:val="bottom"/>
          </w:tcPr>
          <w:p w14:paraId="1B55A7D6" w14:textId="77777777" w:rsidR="00A072D0" w:rsidRDefault="009576A5">
            <w:pPr>
              <w:pStyle w:val="Tabletext"/>
              <w:rPr>
                <w:rFonts w:asciiTheme="minorHAnsi" w:hAnsiTheme="minorHAnsi"/>
                <w:szCs w:val="18"/>
              </w:rPr>
            </w:pPr>
            <w:r>
              <w:rPr>
                <w:rFonts w:asciiTheme="minorHAnsi" w:hAnsiTheme="minorHAnsi" w:cs="Arial"/>
                <w:szCs w:val="18"/>
              </w:rPr>
              <w:t>Ecuador</w:t>
            </w:r>
          </w:p>
        </w:tc>
        <w:tc>
          <w:tcPr>
            <w:tcW w:w="1685" w:type="pct"/>
            <w:shd w:val="clear" w:color="auto" w:fill="auto"/>
            <w:noWrap/>
            <w:vAlign w:val="bottom"/>
          </w:tcPr>
          <w:p w14:paraId="40147FCE" w14:textId="7A3E5C0D" w:rsidR="00A072D0" w:rsidRDefault="009576A5">
            <w:pPr>
              <w:pStyle w:val="Tabletext"/>
              <w:jc w:val="right"/>
              <w:rPr>
                <w:rFonts w:asciiTheme="minorHAnsi" w:hAnsiTheme="minorHAnsi"/>
                <w:szCs w:val="18"/>
              </w:rPr>
            </w:pPr>
            <w:r>
              <w:rPr>
                <w:rFonts w:asciiTheme="minorHAnsi" w:hAnsiTheme="minorHAnsi" w:cs="Arial"/>
                <w:szCs w:val="18"/>
              </w:rPr>
              <w:t>6</w:t>
            </w:r>
          </w:p>
        </w:tc>
      </w:tr>
      <w:tr w:rsidR="00A072D0" w14:paraId="6FDC5109" w14:textId="77777777">
        <w:trPr>
          <w:jc w:val="center"/>
        </w:trPr>
        <w:tc>
          <w:tcPr>
            <w:tcW w:w="3315" w:type="pct"/>
            <w:shd w:val="clear" w:color="auto" w:fill="auto"/>
            <w:noWrap/>
            <w:vAlign w:val="bottom"/>
          </w:tcPr>
          <w:p w14:paraId="27B80A1A" w14:textId="77777777" w:rsidR="00A072D0" w:rsidRDefault="009576A5">
            <w:pPr>
              <w:pStyle w:val="Tabletext"/>
              <w:rPr>
                <w:rFonts w:asciiTheme="minorHAnsi" w:hAnsiTheme="minorHAnsi"/>
                <w:szCs w:val="18"/>
              </w:rPr>
            </w:pPr>
            <w:r>
              <w:rPr>
                <w:rFonts w:asciiTheme="minorHAnsi" w:hAnsiTheme="minorHAnsi" w:cs="Arial"/>
                <w:szCs w:val="18"/>
              </w:rPr>
              <w:t>Egypt</w:t>
            </w:r>
          </w:p>
        </w:tc>
        <w:tc>
          <w:tcPr>
            <w:tcW w:w="1685" w:type="pct"/>
            <w:shd w:val="clear" w:color="auto" w:fill="auto"/>
            <w:noWrap/>
            <w:vAlign w:val="bottom"/>
          </w:tcPr>
          <w:p w14:paraId="5A6856F1" w14:textId="455E4FCA" w:rsidR="00A072D0" w:rsidRDefault="009576A5">
            <w:pPr>
              <w:pStyle w:val="Tabletext"/>
              <w:jc w:val="right"/>
              <w:rPr>
                <w:rFonts w:asciiTheme="minorHAnsi" w:hAnsiTheme="minorHAnsi"/>
                <w:szCs w:val="18"/>
              </w:rPr>
            </w:pPr>
            <w:r>
              <w:rPr>
                <w:rFonts w:asciiTheme="minorHAnsi" w:hAnsiTheme="minorHAnsi" w:cs="Arial"/>
                <w:szCs w:val="18"/>
              </w:rPr>
              <w:t>37</w:t>
            </w:r>
          </w:p>
        </w:tc>
      </w:tr>
      <w:tr w:rsidR="00A072D0" w14:paraId="019EE153" w14:textId="77777777">
        <w:trPr>
          <w:jc w:val="center"/>
        </w:trPr>
        <w:tc>
          <w:tcPr>
            <w:tcW w:w="3315" w:type="pct"/>
            <w:shd w:val="clear" w:color="auto" w:fill="auto"/>
            <w:noWrap/>
            <w:vAlign w:val="bottom"/>
          </w:tcPr>
          <w:p w14:paraId="721DBF47" w14:textId="77777777" w:rsidR="00A072D0" w:rsidRDefault="009576A5">
            <w:pPr>
              <w:pStyle w:val="Tabletext"/>
              <w:rPr>
                <w:rFonts w:asciiTheme="minorHAnsi" w:hAnsiTheme="minorHAnsi"/>
                <w:szCs w:val="18"/>
              </w:rPr>
            </w:pPr>
            <w:r>
              <w:rPr>
                <w:rFonts w:asciiTheme="minorHAnsi" w:hAnsiTheme="minorHAnsi" w:cs="Arial"/>
                <w:szCs w:val="18"/>
              </w:rPr>
              <w:t>El Salvador</w:t>
            </w:r>
          </w:p>
        </w:tc>
        <w:tc>
          <w:tcPr>
            <w:tcW w:w="1685" w:type="pct"/>
            <w:shd w:val="clear" w:color="auto" w:fill="auto"/>
            <w:noWrap/>
            <w:vAlign w:val="bottom"/>
          </w:tcPr>
          <w:p w14:paraId="7A3FEE1E" w14:textId="4E27D5F8"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51C614EE" w14:textId="77777777">
        <w:trPr>
          <w:jc w:val="center"/>
        </w:trPr>
        <w:tc>
          <w:tcPr>
            <w:tcW w:w="3315" w:type="pct"/>
            <w:shd w:val="clear" w:color="auto" w:fill="auto"/>
            <w:noWrap/>
            <w:vAlign w:val="bottom"/>
          </w:tcPr>
          <w:p w14:paraId="4736DA56" w14:textId="77777777" w:rsidR="00A072D0" w:rsidRDefault="009576A5">
            <w:pPr>
              <w:pStyle w:val="Tabletext"/>
              <w:rPr>
                <w:rFonts w:asciiTheme="minorHAnsi" w:hAnsiTheme="minorHAnsi"/>
                <w:szCs w:val="18"/>
              </w:rPr>
            </w:pPr>
            <w:r>
              <w:rPr>
                <w:rFonts w:asciiTheme="minorHAnsi" w:hAnsiTheme="minorHAnsi" w:cs="Arial"/>
                <w:szCs w:val="18"/>
              </w:rPr>
              <w:t>Estonia</w:t>
            </w:r>
          </w:p>
        </w:tc>
        <w:tc>
          <w:tcPr>
            <w:tcW w:w="1685" w:type="pct"/>
            <w:shd w:val="clear" w:color="auto" w:fill="auto"/>
            <w:noWrap/>
            <w:vAlign w:val="bottom"/>
          </w:tcPr>
          <w:p w14:paraId="1E62DD07" w14:textId="6D6ED408" w:rsidR="00A072D0" w:rsidRDefault="009576A5">
            <w:pPr>
              <w:pStyle w:val="Tabletext"/>
              <w:jc w:val="right"/>
              <w:rPr>
                <w:rFonts w:asciiTheme="minorHAnsi" w:hAnsiTheme="minorHAnsi"/>
                <w:szCs w:val="18"/>
              </w:rPr>
            </w:pPr>
            <w:r>
              <w:rPr>
                <w:rFonts w:asciiTheme="minorHAnsi" w:hAnsiTheme="minorHAnsi" w:cs="Arial"/>
                <w:szCs w:val="18"/>
              </w:rPr>
              <w:t>4</w:t>
            </w:r>
          </w:p>
        </w:tc>
      </w:tr>
      <w:tr w:rsidR="00A072D0" w14:paraId="5D9C20F0" w14:textId="77777777">
        <w:trPr>
          <w:jc w:val="center"/>
        </w:trPr>
        <w:tc>
          <w:tcPr>
            <w:tcW w:w="3315" w:type="pct"/>
            <w:shd w:val="clear" w:color="auto" w:fill="auto"/>
            <w:noWrap/>
            <w:vAlign w:val="bottom"/>
          </w:tcPr>
          <w:p w14:paraId="371DE1ED" w14:textId="77777777" w:rsidR="00A072D0" w:rsidRDefault="009576A5">
            <w:pPr>
              <w:pStyle w:val="Tabletext"/>
              <w:rPr>
                <w:rFonts w:asciiTheme="minorHAnsi" w:hAnsiTheme="minorHAnsi"/>
                <w:szCs w:val="18"/>
              </w:rPr>
            </w:pPr>
            <w:r>
              <w:rPr>
                <w:rFonts w:asciiTheme="minorHAnsi" w:hAnsiTheme="minorHAnsi" w:cs="Arial"/>
                <w:szCs w:val="18"/>
              </w:rPr>
              <w:t>Ethiopia</w:t>
            </w:r>
          </w:p>
        </w:tc>
        <w:tc>
          <w:tcPr>
            <w:tcW w:w="1685" w:type="pct"/>
            <w:shd w:val="clear" w:color="auto" w:fill="auto"/>
            <w:noWrap/>
            <w:vAlign w:val="bottom"/>
          </w:tcPr>
          <w:p w14:paraId="1071176B" w14:textId="4FC92C51" w:rsidR="00A072D0" w:rsidRDefault="009576A5">
            <w:pPr>
              <w:pStyle w:val="Tabletext"/>
              <w:jc w:val="right"/>
              <w:rPr>
                <w:rFonts w:asciiTheme="minorHAnsi" w:hAnsiTheme="minorHAnsi"/>
                <w:szCs w:val="18"/>
              </w:rPr>
            </w:pPr>
            <w:r>
              <w:rPr>
                <w:rFonts w:asciiTheme="minorHAnsi" w:hAnsiTheme="minorHAnsi" w:cs="Arial"/>
                <w:szCs w:val="18"/>
              </w:rPr>
              <w:t>12</w:t>
            </w:r>
          </w:p>
        </w:tc>
      </w:tr>
      <w:tr w:rsidR="00A072D0" w14:paraId="2CFA524B" w14:textId="77777777">
        <w:trPr>
          <w:jc w:val="center"/>
        </w:trPr>
        <w:tc>
          <w:tcPr>
            <w:tcW w:w="3315" w:type="pct"/>
            <w:shd w:val="clear" w:color="auto" w:fill="auto"/>
            <w:noWrap/>
            <w:vAlign w:val="bottom"/>
          </w:tcPr>
          <w:p w14:paraId="49A87273" w14:textId="77777777" w:rsidR="00A072D0" w:rsidRDefault="009576A5">
            <w:pPr>
              <w:pStyle w:val="Tabletext"/>
              <w:rPr>
                <w:rFonts w:asciiTheme="minorHAnsi" w:hAnsiTheme="minorHAnsi"/>
                <w:szCs w:val="18"/>
              </w:rPr>
            </w:pPr>
            <w:r>
              <w:rPr>
                <w:rFonts w:asciiTheme="minorHAnsi" w:hAnsiTheme="minorHAnsi" w:cs="Arial"/>
                <w:szCs w:val="18"/>
              </w:rPr>
              <w:t>Fiji</w:t>
            </w:r>
          </w:p>
        </w:tc>
        <w:tc>
          <w:tcPr>
            <w:tcW w:w="1685" w:type="pct"/>
            <w:shd w:val="clear" w:color="auto" w:fill="auto"/>
            <w:noWrap/>
            <w:vAlign w:val="bottom"/>
          </w:tcPr>
          <w:p w14:paraId="5E3B88C2" w14:textId="73B6118A" w:rsidR="00A072D0" w:rsidRDefault="009576A5">
            <w:pPr>
              <w:pStyle w:val="Tabletext"/>
              <w:jc w:val="right"/>
              <w:rPr>
                <w:rFonts w:asciiTheme="minorHAnsi" w:hAnsiTheme="minorHAnsi"/>
                <w:szCs w:val="18"/>
              </w:rPr>
            </w:pPr>
            <w:r>
              <w:rPr>
                <w:rFonts w:asciiTheme="minorHAnsi" w:hAnsiTheme="minorHAnsi" w:cs="Arial"/>
                <w:szCs w:val="18"/>
              </w:rPr>
              <w:t>51</w:t>
            </w:r>
          </w:p>
        </w:tc>
      </w:tr>
      <w:tr w:rsidR="00A072D0" w14:paraId="3AA6B3B5" w14:textId="77777777">
        <w:trPr>
          <w:jc w:val="center"/>
        </w:trPr>
        <w:tc>
          <w:tcPr>
            <w:tcW w:w="3315" w:type="pct"/>
            <w:shd w:val="clear" w:color="auto" w:fill="auto"/>
            <w:noWrap/>
            <w:vAlign w:val="bottom"/>
          </w:tcPr>
          <w:p w14:paraId="1A33DC98" w14:textId="77777777" w:rsidR="00A072D0" w:rsidRDefault="009576A5">
            <w:pPr>
              <w:pStyle w:val="Tabletext"/>
              <w:rPr>
                <w:rFonts w:asciiTheme="minorHAnsi" w:hAnsiTheme="minorHAnsi"/>
                <w:szCs w:val="18"/>
              </w:rPr>
            </w:pPr>
            <w:r>
              <w:rPr>
                <w:rFonts w:asciiTheme="minorHAnsi" w:hAnsiTheme="minorHAnsi" w:cs="Arial"/>
                <w:szCs w:val="18"/>
              </w:rPr>
              <w:t>Finland</w:t>
            </w:r>
          </w:p>
        </w:tc>
        <w:tc>
          <w:tcPr>
            <w:tcW w:w="1685" w:type="pct"/>
            <w:shd w:val="clear" w:color="auto" w:fill="auto"/>
            <w:noWrap/>
            <w:vAlign w:val="bottom"/>
          </w:tcPr>
          <w:p w14:paraId="52A2626C" w14:textId="2ACBCD7A" w:rsidR="00A072D0" w:rsidRDefault="009576A5">
            <w:pPr>
              <w:pStyle w:val="Tabletext"/>
              <w:jc w:val="right"/>
              <w:rPr>
                <w:rFonts w:asciiTheme="minorHAnsi" w:hAnsiTheme="minorHAnsi"/>
                <w:szCs w:val="18"/>
              </w:rPr>
            </w:pPr>
            <w:r>
              <w:rPr>
                <w:rFonts w:asciiTheme="minorHAnsi" w:hAnsiTheme="minorHAnsi" w:cs="Arial"/>
                <w:szCs w:val="18"/>
              </w:rPr>
              <w:t>3</w:t>
            </w:r>
          </w:p>
        </w:tc>
      </w:tr>
      <w:tr w:rsidR="00A072D0" w14:paraId="53ABCFFC" w14:textId="77777777">
        <w:trPr>
          <w:jc w:val="center"/>
        </w:trPr>
        <w:tc>
          <w:tcPr>
            <w:tcW w:w="3315" w:type="pct"/>
            <w:shd w:val="clear" w:color="auto" w:fill="auto"/>
            <w:noWrap/>
            <w:vAlign w:val="bottom"/>
          </w:tcPr>
          <w:p w14:paraId="284904DE" w14:textId="77777777" w:rsidR="00A072D0" w:rsidRDefault="009576A5">
            <w:pPr>
              <w:pStyle w:val="Tabletext"/>
              <w:rPr>
                <w:rFonts w:asciiTheme="minorHAnsi" w:hAnsiTheme="minorHAnsi"/>
                <w:szCs w:val="18"/>
              </w:rPr>
            </w:pPr>
            <w:r>
              <w:rPr>
                <w:rFonts w:asciiTheme="minorHAnsi" w:hAnsiTheme="minorHAnsi" w:cs="Arial"/>
                <w:szCs w:val="18"/>
              </w:rPr>
              <w:t>France</w:t>
            </w:r>
          </w:p>
        </w:tc>
        <w:tc>
          <w:tcPr>
            <w:tcW w:w="1685" w:type="pct"/>
            <w:shd w:val="clear" w:color="auto" w:fill="auto"/>
            <w:noWrap/>
            <w:vAlign w:val="bottom"/>
          </w:tcPr>
          <w:p w14:paraId="144C7186" w14:textId="67967BFD" w:rsidR="00A072D0" w:rsidRDefault="009576A5">
            <w:pPr>
              <w:pStyle w:val="Tabletext"/>
              <w:jc w:val="right"/>
              <w:rPr>
                <w:rFonts w:asciiTheme="minorHAnsi" w:hAnsiTheme="minorHAnsi"/>
                <w:szCs w:val="18"/>
              </w:rPr>
            </w:pPr>
            <w:r>
              <w:rPr>
                <w:rFonts w:asciiTheme="minorHAnsi" w:hAnsiTheme="minorHAnsi" w:cs="Arial"/>
                <w:szCs w:val="18"/>
              </w:rPr>
              <w:t>548</w:t>
            </w:r>
          </w:p>
        </w:tc>
      </w:tr>
      <w:tr w:rsidR="00A072D0" w14:paraId="63760764" w14:textId="77777777">
        <w:trPr>
          <w:jc w:val="center"/>
        </w:trPr>
        <w:tc>
          <w:tcPr>
            <w:tcW w:w="3315" w:type="pct"/>
            <w:shd w:val="clear" w:color="auto" w:fill="auto"/>
            <w:noWrap/>
            <w:vAlign w:val="bottom"/>
          </w:tcPr>
          <w:p w14:paraId="0156DA21" w14:textId="77777777" w:rsidR="00A072D0" w:rsidRDefault="009576A5">
            <w:pPr>
              <w:pStyle w:val="Tabletext"/>
              <w:rPr>
                <w:rFonts w:asciiTheme="minorHAnsi" w:hAnsiTheme="minorHAnsi"/>
                <w:szCs w:val="18"/>
              </w:rPr>
            </w:pPr>
            <w:r>
              <w:rPr>
                <w:rFonts w:asciiTheme="minorHAnsi" w:hAnsiTheme="minorHAnsi" w:cs="Arial"/>
                <w:szCs w:val="18"/>
              </w:rPr>
              <w:t>French Polynesia</w:t>
            </w:r>
          </w:p>
        </w:tc>
        <w:tc>
          <w:tcPr>
            <w:tcW w:w="1685" w:type="pct"/>
            <w:shd w:val="clear" w:color="auto" w:fill="auto"/>
            <w:noWrap/>
            <w:vAlign w:val="bottom"/>
          </w:tcPr>
          <w:p w14:paraId="7BFAE6D2" w14:textId="131F7B5E"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2A9DAB8C" w14:textId="77777777">
        <w:trPr>
          <w:jc w:val="center"/>
        </w:trPr>
        <w:tc>
          <w:tcPr>
            <w:tcW w:w="3315" w:type="pct"/>
            <w:shd w:val="clear" w:color="auto" w:fill="auto"/>
            <w:noWrap/>
            <w:vAlign w:val="bottom"/>
          </w:tcPr>
          <w:p w14:paraId="42066B82" w14:textId="77777777" w:rsidR="00A072D0" w:rsidRDefault="009576A5">
            <w:pPr>
              <w:pStyle w:val="Tabletext"/>
              <w:rPr>
                <w:rFonts w:asciiTheme="minorHAnsi" w:hAnsiTheme="minorHAnsi"/>
                <w:szCs w:val="18"/>
              </w:rPr>
            </w:pPr>
            <w:r>
              <w:rPr>
                <w:rFonts w:asciiTheme="minorHAnsi" w:hAnsiTheme="minorHAnsi" w:cs="Arial"/>
                <w:szCs w:val="18"/>
              </w:rPr>
              <w:t>Georgia</w:t>
            </w:r>
          </w:p>
        </w:tc>
        <w:tc>
          <w:tcPr>
            <w:tcW w:w="1685" w:type="pct"/>
            <w:shd w:val="clear" w:color="auto" w:fill="auto"/>
            <w:noWrap/>
            <w:vAlign w:val="bottom"/>
          </w:tcPr>
          <w:p w14:paraId="0B572E73" w14:textId="39CC928D"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29F98EFB" w14:textId="77777777">
        <w:trPr>
          <w:jc w:val="center"/>
        </w:trPr>
        <w:tc>
          <w:tcPr>
            <w:tcW w:w="3315" w:type="pct"/>
            <w:shd w:val="clear" w:color="auto" w:fill="auto"/>
            <w:noWrap/>
            <w:vAlign w:val="bottom"/>
          </w:tcPr>
          <w:p w14:paraId="7DCAF56B" w14:textId="77777777" w:rsidR="00A072D0" w:rsidRDefault="009576A5">
            <w:pPr>
              <w:pStyle w:val="Tabletext"/>
              <w:rPr>
                <w:rFonts w:asciiTheme="minorHAnsi" w:hAnsiTheme="minorHAnsi"/>
                <w:szCs w:val="18"/>
              </w:rPr>
            </w:pPr>
            <w:r>
              <w:rPr>
                <w:rFonts w:asciiTheme="minorHAnsi" w:hAnsiTheme="minorHAnsi" w:cs="Arial"/>
                <w:szCs w:val="18"/>
              </w:rPr>
              <w:t>Germany</w:t>
            </w:r>
          </w:p>
        </w:tc>
        <w:tc>
          <w:tcPr>
            <w:tcW w:w="1685" w:type="pct"/>
            <w:shd w:val="clear" w:color="auto" w:fill="auto"/>
            <w:noWrap/>
            <w:vAlign w:val="bottom"/>
          </w:tcPr>
          <w:p w14:paraId="6E3608B9" w14:textId="781EF70C" w:rsidR="00A072D0" w:rsidRDefault="009576A5">
            <w:pPr>
              <w:pStyle w:val="Tabletext"/>
              <w:jc w:val="right"/>
              <w:rPr>
                <w:rFonts w:asciiTheme="minorHAnsi" w:hAnsiTheme="minorHAnsi"/>
                <w:szCs w:val="18"/>
              </w:rPr>
            </w:pPr>
            <w:r>
              <w:rPr>
                <w:rFonts w:asciiTheme="minorHAnsi" w:hAnsiTheme="minorHAnsi" w:cs="Arial"/>
                <w:szCs w:val="18"/>
              </w:rPr>
              <w:t>334</w:t>
            </w:r>
          </w:p>
        </w:tc>
      </w:tr>
      <w:tr w:rsidR="00A072D0" w14:paraId="66A3C2A9" w14:textId="77777777">
        <w:trPr>
          <w:jc w:val="center"/>
        </w:trPr>
        <w:tc>
          <w:tcPr>
            <w:tcW w:w="3315" w:type="pct"/>
            <w:shd w:val="clear" w:color="auto" w:fill="auto"/>
            <w:noWrap/>
            <w:vAlign w:val="bottom"/>
          </w:tcPr>
          <w:p w14:paraId="65EEEAB4" w14:textId="77777777" w:rsidR="00A072D0" w:rsidRDefault="009576A5">
            <w:pPr>
              <w:pStyle w:val="Tabletext"/>
              <w:rPr>
                <w:rFonts w:asciiTheme="minorHAnsi" w:hAnsiTheme="minorHAnsi"/>
                <w:szCs w:val="18"/>
              </w:rPr>
            </w:pPr>
            <w:r>
              <w:rPr>
                <w:rFonts w:asciiTheme="minorHAnsi" w:hAnsiTheme="minorHAnsi" w:cs="Arial"/>
                <w:szCs w:val="18"/>
              </w:rPr>
              <w:t>Ghana</w:t>
            </w:r>
          </w:p>
        </w:tc>
        <w:tc>
          <w:tcPr>
            <w:tcW w:w="1685" w:type="pct"/>
            <w:shd w:val="clear" w:color="auto" w:fill="auto"/>
            <w:noWrap/>
            <w:vAlign w:val="bottom"/>
          </w:tcPr>
          <w:p w14:paraId="19AEEC16" w14:textId="56F880AB" w:rsidR="00A072D0" w:rsidRDefault="009576A5">
            <w:pPr>
              <w:pStyle w:val="Tabletext"/>
              <w:jc w:val="right"/>
              <w:rPr>
                <w:rFonts w:asciiTheme="minorHAnsi" w:hAnsiTheme="minorHAnsi"/>
                <w:szCs w:val="18"/>
              </w:rPr>
            </w:pPr>
            <w:r>
              <w:rPr>
                <w:rFonts w:asciiTheme="minorHAnsi" w:hAnsiTheme="minorHAnsi" w:cs="Arial"/>
                <w:szCs w:val="18"/>
              </w:rPr>
              <w:t>16</w:t>
            </w:r>
          </w:p>
        </w:tc>
      </w:tr>
      <w:tr w:rsidR="00A072D0" w14:paraId="225BB869" w14:textId="77777777">
        <w:trPr>
          <w:jc w:val="center"/>
        </w:trPr>
        <w:tc>
          <w:tcPr>
            <w:tcW w:w="3315" w:type="pct"/>
            <w:shd w:val="clear" w:color="auto" w:fill="auto"/>
            <w:noWrap/>
            <w:vAlign w:val="bottom"/>
          </w:tcPr>
          <w:p w14:paraId="336FAFDA" w14:textId="77777777" w:rsidR="00A072D0" w:rsidRDefault="009576A5">
            <w:pPr>
              <w:pStyle w:val="Tabletext"/>
              <w:rPr>
                <w:rFonts w:asciiTheme="minorHAnsi" w:hAnsiTheme="minorHAnsi"/>
                <w:szCs w:val="18"/>
              </w:rPr>
            </w:pPr>
            <w:r>
              <w:rPr>
                <w:rFonts w:asciiTheme="minorHAnsi" w:hAnsiTheme="minorHAnsi" w:cs="Arial"/>
                <w:szCs w:val="18"/>
              </w:rPr>
              <w:t>Greece</w:t>
            </w:r>
          </w:p>
        </w:tc>
        <w:tc>
          <w:tcPr>
            <w:tcW w:w="1685" w:type="pct"/>
            <w:shd w:val="clear" w:color="auto" w:fill="auto"/>
            <w:noWrap/>
            <w:vAlign w:val="bottom"/>
          </w:tcPr>
          <w:p w14:paraId="5EBA0B98" w14:textId="166CFCF6" w:rsidR="00A072D0" w:rsidRDefault="009576A5">
            <w:pPr>
              <w:pStyle w:val="Tabletext"/>
              <w:jc w:val="right"/>
              <w:rPr>
                <w:rFonts w:asciiTheme="minorHAnsi" w:hAnsiTheme="minorHAnsi"/>
                <w:szCs w:val="18"/>
              </w:rPr>
            </w:pPr>
            <w:r>
              <w:rPr>
                <w:rFonts w:asciiTheme="minorHAnsi" w:hAnsiTheme="minorHAnsi" w:cs="Arial"/>
                <w:szCs w:val="18"/>
              </w:rPr>
              <w:t>120</w:t>
            </w:r>
          </w:p>
        </w:tc>
      </w:tr>
      <w:tr w:rsidR="00A072D0" w14:paraId="6741E5CA" w14:textId="77777777">
        <w:trPr>
          <w:jc w:val="center"/>
        </w:trPr>
        <w:tc>
          <w:tcPr>
            <w:tcW w:w="3315" w:type="pct"/>
            <w:shd w:val="clear" w:color="auto" w:fill="auto"/>
            <w:noWrap/>
            <w:vAlign w:val="bottom"/>
          </w:tcPr>
          <w:p w14:paraId="33BE6717" w14:textId="77777777" w:rsidR="00A072D0" w:rsidRDefault="009576A5">
            <w:pPr>
              <w:pStyle w:val="Tabletext"/>
              <w:rPr>
                <w:rFonts w:asciiTheme="minorHAnsi" w:hAnsiTheme="minorHAnsi"/>
                <w:szCs w:val="18"/>
              </w:rPr>
            </w:pPr>
            <w:r>
              <w:rPr>
                <w:rFonts w:asciiTheme="minorHAnsi" w:hAnsiTheme="minorHAnsi" w:cs="Arial"/>
                <w:szCs w:val="18"/>
              </w:rPr>
              <w:t>Guatemala</w:t>
            </w:r>
          </w:p>
        </w:tc>
        <w:tc>
          <w:tcPr>
            <w:tcW w:w="1685" w:type="pct"/>
            <w:shd w:val="clear" w:color="auto" w:fill="auto"/>
            <w:noWrap/>
            <w:vAlign w:val="bottom"/>
          </w:tcPr>
          <w:p w14:paraId="2A85BA1E" w14:textId="6E311EDD" w:rsidR="00A072D0" w:rsidRDefault="009576A5">
            <w:pPr>
              <w:pStyle w:val="Tabletext"/>
              <w:jc w:val="right"/>
              <w:rPr>
                <w:rFonts w:asciiTheme="minorHAnsi" w:hAnsiTheme="minorHAnsi"/>
                <w:szCs w:val="18"/>
              </w:rPr>
            </w:pPr>
            <w:r>
              <w:rPr>
                <w:rFonts w:asciiTheme="minorHAnsi" w:hAnsiTheme="minorHAnsi" w:cs="Arial"/>
                <w:szCs w:val="18"/>
              </w:rPr>
              <w:t>7</w:t>
            </w:r>
          </w:p>
        </w:tc>
      </w:tr>
      <w:tr w:rsidR="00A072D0" w14:paraId="55F4CBE8" w14:textId="77777777">
        <w:trPr>
          <w:jc w:val="center"/>
        </w:trPr>
        <w:tc>
          <w:tcPr>
            <w:tcW w:w="3315" w:type="pct"/>
            <w:shd w:val="clear" w:color="auto" w:fill="auto"/>
            <w:noWrap/>
            <w:vAlign w:val="bottom"/>
          </w:tcPr>
          <w:p w14:paraId="66196EDE" w14:textId="77777777" w:rsidR="00A072D0" w:rsidRDefault="009576A5">
            <w:pPr>
              <w:pStyle w:val="Tabletext"/>
              <w:rPr>
                <w:rFonts w:asciiTheme="minorHAnsi" w:hAnsiTheme="minorHAnsi"/>
                <w:szCs w:val="18"/>
              </w:rPr>
            </w:pPr>
            <w:r>
              <w:rPr>
                <w:rFonts w:asciiTheme="minorHAnsi" w:hAnsiTheme="minorHAnsi" w:cs="Arial"/>
                <w:szCs w:val="18"/>
              </w:rPr>
              <w:t>Honduras</w:t>
            </w:r>
          </w:p>
        </w:tc>
        <w:tc>
          <w:tcPr>
            <w:tcW w:w="1685" w:type="pct"/>
            <w:shd w:val="clear" w:color="auto" w:fill="auto"/>
            <w:noWrap/>
            <w:vAlign w:val="bottom"/>
          </w:tcPr>
          <w:p w14:paraId="78BF177B" w14:textId="55B876B3" w:rsidR="00A072D0" w:rsidRDefault="009576A5">
            <w:pPr>
              <w:pStyle w:val="Tabletext"/>
              <w:jc w:val="right"/>
              <w:rPr>
                <w:rFonts w:asciiTheme="minorHAnsi" w:hAnsiTheme="minorHAnsi"/>
                <w:szCs w:val="18"/>
              </w:rPr>
            </w:pPr>
            <w:r>
              <w:rPr>
                <w:rFonts w:asciiTheme="minorHAnsi" w:hAnsiTheme="minorHAnsi" w:cs="Arial"/>
                <w:szCs w:val="18"/>
              </w:rPr>
              <w:t>8</w:t>
            </w:r>
          </w:p>
        </w:tc>
      </w:tr>
      <w:tr w:rsidR="00A072D0" w14:paraId="0160CE4B" w14:textId="77777777">
        <w:trPr>
          <w:jc w:val="center"/>
        </w:trPr>
        <w:tc>
          <w:tcPr>
            <w:tcW w:w="3315" w:type="pct"/>
            <w:shd w:val="clear" w:color="auto" w:fill="auto"/>
            <w:noWrap/>
            <w:vAlign w:val="bottom"/>
          </w:tcPr>
          <w:p w14:paraId="2B3F77CC" w14:textId="77777777" w:rsidR="00A072D0" w:rsidRDefault="009576A5">
            <w:pPr>
              <w:pStyle w:val="Tabletext"/>
              <w:rPr>
                <w:rFonts w:asciiTheme="minorHAnsi" w:hAnsiTheme="minorHAnsi"/>
                <w:szCs w:val="18"/>
              </w:rPr>
            </w:pPr>
            <w:r>
              <w:rPr>
                <w:rFonts w:asciiTheme="minorHAnsi" w:hAnsiTheme="minorHAnsi" w:cs="Arial"/>
                <w:szCs w:val="18"/>
              </w:rPr>
              <w:t>Hong Kong</w:t>
            </w:r>
          </w:p>
        </w:tc>
        <w:tc>
          <w:tcPr>
            <w:tcW w:w="1685" w:type="pct"/>
            <w:shd w:val="clear" w:color="auto" w:fill="auto"/>
            <w:noWrap/>
            <w:vAlign w:val="bottom"/>
          </w:tcPr>
          <w:p w14:paraId="3CE391E5" w14:textId="20AE91E9" w:rsidR="00A072D0" w:rsidRDefault="009576A5">
            <w:pPr>
              <w:pStyle w:val="Tabletext"/>
              <w:jc w:val="right"/>
              <w:rPr>
                <w:rFonts w:asciiTheme="minorHAnsi" w:hAnsiTheme="minorHAnsi"/>
                <w:szCs w:val="18"/>
              </w:rPr>
            </w:pPr>
            <w:r>
              <w:rPr>
                <w:rFonts w:asciiTheme="minorHAnsi" w:hAnsiTheme="minorHAnsi" w:cs="Arial"/>
                <w:szCs w:val="18"/>
              </w:rPr>
              <w:t>81</w:t>
            </w:r>
          </w:p>
        </w:tc>
      </w:tr>
      <w:tr w:rsidR="00A072D0" w14:paraId="47AF0503" w14:textId="77777777">
        <w:trPr>
          <w:jc w:val="center"/>
        </w:trPr>
        <w:tc>
          <w:tcPr>
            <w:tcW w:w="3315" w:type="pct"/>
            <w:shd w:val="clear" w:color="auto" w:fill="auto"/>
            <w:noWrap/>
            <w:vAlign w:val="bottom"/>
          </w:tcPr>
          <w:p w14:paraId="79D6CD63" w14:textId="77777777" w:rsidR="00A072D0" w:rsidRDefault="009576A5">
            <w:pPr>
              <w:pStyle w:val="Tabletext"/>
              <w:rPr>
                <w:rFonts w:asciiTheme="minorHAnsi" w:hAnsiTheme="minorHAnsi"/>
                <w:szCs w:val="18"/>
              </w:rPr>
            </w:pPr>
            <w:r>
              <w:rPr>
                <w:rFonts w:asciiTheme="minorHAnsi" w:hAnsiTheme="minorHAnsi" w:cs="Arial"/>
                <w:szCs w:val="18"/>
              </w:rPr>
              <w:t>Hungary</w:t>
            </w:r>
          </w:p>
        </w:tc>
        <w:tc>
          <w:tcPr>
            <w:tcW w:w="1685" w:type="pct"/>
            <w:shd w:val="clear" w:color="auto" w:fill="auto"/>
            <w:noWrap/>
            <w:vAlign w:val="bottom"/>
          </w:tcPr>
          <w:p w14:paraId="40924D5F" w14:textId="64206C29" w:rsidR="00A072D0" w:rsidRDefault="009576A5">
            <w:pPr>
              <w:pStyle w:val="Tabletext"/>
              <w:jc w:val="right"/>
              <w:rPr>
                <w:rFonts w:asciiTheme="minorHAnsi" w:hAnsiTheme="minorHAnsi"/>
                <w:szCs w:val="18"/>
              </w:rPr>
            </w:pPr>
            <w:r>
              <w:rPr>
                <w:rFonts w:asciiTheme="minorHAnsi" w:hAnsiTheme="minorHAnsi" w:cs="Arial"/>
                <w:szCs w:val="18"/>
              </w:rPr>
              <w:t>10</w:t>
            </w:r>
          </w:p>
        </w:tc>
      </w:tr>
      <w:tr w:rsidR="00A072D0" w14:paraId="18A19C61" w14:textId="77777777">
        <w:trPr>
          <w:jc w:val="center"/>
        </w:trPr>
        <w:tc>
          <w:tcPr>
            <w:tcW w:w="3315" w:type="pct"/>
            <w:shd w:val="clear" w:color="auto" w:fill="auto"/>
            <w:noWrap/>
            <w:vAlign w:val="bottom"/>
          </w:tcPr>
          <w:p w14:paraId="20601337" w14:textId="77777777" w:rsidR="00A072D0" w:rsidRDefault="009576A5">
            <w:pPr>
              <w:pStyle w:val="Tabletext"/>
              <w:rPr>
                <w:rFonts w:asciiTheme="minorHAnsi" w:hAnsiTheme="minorHAnsi"/>
                <w:szCs w:val="18"/>
              </w:rPr>
            </w:pPr>
            <w:r>
              <w:rPr>
                <w:rFonts w:asciiTheme="minorHAnsi" w:hAnsiTheme="minorHAnsi" w:cs="Arial"/>
                <w:szCs w:val="18"/>
              </w:rPr>
              <w:lastRenderedPageBreak/>
              <w:t>Iceland</w:t>
            </w:r>
          </w:p>
        </w:tc>
        <w:tc>
          <w:tcPr>
            <w:tcW w:w="1685" w:type="pct"/>
            <w:shd w:val="clear" w:color="auto" w:fill="auto"/>
            <w:noWrap/>
            <w:vAlign w:val="bottom"/>
          </w:tcPr>
          <w:p w14:paraId="20CDF7A1" w14:textId="6CA78671"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40F712B8" w14:textId="77777777">
        <w:trPr>
          <w:jc w:val="center"/>
        </w:trPr>
        <w:tc>
          <w:tcPr>
            <w:tcW w:w="3315" w:type="pct"/>
            <w:shd w:val="clear" w:color="auto" w:fill="auto"/>
            <w:noWrap/>
            <w:vAlign w:val="bottom"/>
          </w:tcPr>
          <w:p w14:paraId="0AF8F442" w14:textId="77777777" w:rsidR="00A072D0" w:rsidRDefault="009576A5">
            <w:pPr>
              <w:pStyle w:val="Tabletext"/>
              <w:rPr>
                <w:rFonts w:asciiTheme="minorHAnsi" w:hAnsiTheme="minorHAnsi"/>
                <w:szCs w:val="18"/>
              </w:rPr>
            </w:pPr>
            <w:r>
              <w:rPr>
                <w:rFonts w:asciiTheme="minorHAnsi" w:hAnsiTheme="minorHAnsi" w:cs="Arial"/>
                <w:szCs w:val="18"/>
              </w:rPr>
              <w:t>India</w:t>
            </w:r>
          </w:p>
        </w:tc>
        <w:tc>
          <w:tcPr>
            <w:tcW w:w="1685" w:type="pct"/>
            <w:shd w:val="clear" w:color="auto" w:fill="auto"/>
            <w:noWrap/>
            <w:vAlign w:val="bottom"/>
          </w:tcPr>
          <w:p w14:paraId="0BBF323D" w14:textId="71DD9263" w:rsidR="00A072D0" w:rsidRDefault="009576A5">
            <w:pPr>
              <w:pStyle w:val="Tabletext"/>
              <w:jc w:val="right"/>
              <w:rPr>
                <w:rFonts w:asciiTheme="minorHAnsi" w:hAnsiTheme="minorHAnsi"/>
                <w:szCs w:val="18"/>
              </w:rPr>
            </w:pPr>
            <w:r>
              <w:rPr>
                <w:rFonts w:asciiTheme="minorHAnsi" w:hAnsiTheme="minorHAnsi" w:cs="Arial"/>
                <w:szCs w:val="18"/>
              </w:rPr>
              <w:t>950</w:t>
            </w:r>
          </w:p>
        </w:tc>
      </w:tr>
      <w:tr w:rsidR="00A072D0" w14:paraId="01980A05" w14:textId="77777777">
        <w:trPr>
          <w:jc w:val="center"/>
        </w:trPr>
        <w:tc>
          <w:tcPr>
            <w:tcW w:w="3315" w:type="pct"/>
            <w:shd w:val="clear" w:color="auto" w:fill="auto"/>
            <w:noWrap/>
            <w:vAlign w:val="bottom"/>
          </w:tcPr>
          <w:p w14:paraId="6195FE66" w14:textId="77777777" w:rsidR="00A072D0" w:rsidRDefault="009576A5">
            <w:pPr>
              <w:pStyle w:val="Tabletext"/>
              <w:rPr>
                <w:rFonts w:asciiTheme="minorHAnsi" w:hAnsiTheme="minorHAnsi"/>
                <w:szCs w:val="18"/>
              </w:rPr>
            </w:pPr>
            <w:r>
              <w:rPr>
                <w:rFonts w:asciiTheme="minorHAnsi" w:hAnsiTheme="minorHAnsi" w:cs="Arial"/>
                <w:szCs w:val="18"/>
              </w:rPr>
              <w:t>Indonesia</w:t>
            </w:r>
          </w:p>
        </w:tc>
        <w:tc>
          <w:tcPr>
            <w:tcW w:w="1685" w:type="pct"/>
            <w:shd w:val="clear" w:color="auto" w:fill="auto"/>
            <w:noWrap/>
            <w:vAlign w:val="bottom"/>
          </w:tcPr>
          <w:p w14:paraId="524D7BED" w14:textId="5C45CB30" w:rsidR="00A072D0" w:rsidRDefault="009576A5">
            <w:pPr>
              <w:pStyle w:val="Tabletext"/>
              <w:jc w:val="right"/>
              <w:rPr>
                <w:rFonts w:asciiTheme="minorHAnsi" w:hAnsiTheme="minorHAnsi"/>
                <w:szCs w:val="18"/>
              </w:rPr>
            </w:pPr>
            <w:r>
              <w:rPr>
                <w:rFonts w:asciiTheme="minorHAnsi" w:hAnsiTheme="minorHAnsi" w:cs="Arial"/>
                <w:szCs w:val="18"/>
              </w:rPr>
              <w:t>336</w:t>
            </w:r>
          </w:p>
        </w:tc>
      </w:tr>
      <w:tr w:rsidR="00A072D0" w14:paraId="1170CFD9" w14:textId="77777777">
        <w:trPr>
          <w:jc w:val="center"/>
        </w:trPr>
        <w:tc>
          <w:tcPr>
            <w:tcW w:w="3315" w:type="pct"/>
            <w:shd w:val="clear" w:color="auto" w:fill="auto"/>
            <w:noWrap/>
            <w:vAlign w:val="bottom"/>
          </w:tcPr>
          <w:p w14:paraId="40C509E7" w14:textId="77777777" w:rsidR="00A072D0" w:rsidRDefault="009576A5">
            <w:pPr>
              <w:pStyle w:val="Tabletext"/>
              <w:rPr>
                <w:rFonts w:asciiTheme="minorHAnsi" w:hAnsiTheme="minorHAnsi"/>
                <w:szCs w:val="18"/>
              </w:rPr>
            </w:pPr>
            <w:r>
              <w:rPr>
                <w:rFonts w:asciiTheme="minorHAnsi" w:hAnsiTheme="minorHAnsi" w:cs="Arial"/>
                <w:szCs w:val="18"/>
              </w:rPr>
              <w:t xml:space="preserve">Iran </w:t>
            </w:r>
          </w:p>
        </w:tc>
        <w:tc>
          <w:tcPr>
            <w:tcW w:w="1685" w:type="pct"/>
            <w:shd w:val="clear" w:color="auto" w:fill="auto"/>
            <w:noWrap/>
            <w:vAlign w:val="bottom"/>
          </w:tcPr>
          <w:p w14:paraId="6219C393" w14:textId="7C90C793" w:rsidR="00A072D0" w:rsidRDefault="009576A5">
            <w:pPr>
              <w:pStyle w:val="Tabletext"/>
              <w:jc w:val="right"/>
              <w:rPr>
                <w:rFonts w:asciiTheme="minorHAnsi" w:hAnsiTheme="minorHAnsi"/>
                <w:szCs w:val="18"/>
              </w:rPr>
            </w:pPr>
            <w:r>
              <w:rPr>
                <w:rFonts w:asciiTheme="minorHAnsi" w:hAnsiTheme="minorHAnsi" w:cs="Arial"/>
                <w:szCs w:val="18"/>
              </w:rPr>
              <w:t>80</w:t>
            </w:r>
          </w:p>
        </w:tc>
      </w:tr>
      <w:tr w:rsidR="00A072D0" w14:paraId="0F51F4B0" w14:textId="77777777">
        <w:trPr>
          <w:jc w:val="center"/>
        </w:trPr>
        <w:tc>
          <w:tcPr>
            <w:tcW w:w="3315" w:type="pct"/>
            <w:shd w:val="clear" w:color="auto" w:fill="auto"/>
            <w:noWrap/>
            <w:vAlign w:val="bottom"/>
          </w:tcPr>
          <w:p w14:paraId="2FE26B75" w14:textId="77777777" w:rsidR="00A072D0" w:rsidRDefault="009576A5">
            <w:pPr>
              <w:pStyle w:val="Tabletext"/>
              <w:rPr>
                <w:rFonts w:asciiTheme="minorHAnsi" w:hAnsiTheme="minorHAnsi"/>
                <w:szCs w:val="18"/>
              </w:rPr>
            </w:pPr>
            <w:r>
              <w:rPr>
                <w:rFonts w:asciiTheme="minorHAnsi" w:hAnsiTheme="minorHAnsi" w:cs="Arial"/>
                <w:szCs w:val="18"/>
              </w:rPr>
              <w:t>Ireland</w:t>
            </w:r>
          </w:p>
        </w:tc>
        <w:tc>
          <w:tcPr>
            <w:tcW w:w="1685" w:type="pct"/>
            <w:shd w:val="clear" w:color="auto" w:fill="auto"/>
            <w:noWrap/>
            <w:vAlign w:val="bottom"/>
          </w:tcPr>
          <w:p w14:paraId="1C41471D" w14:textId="67DA62DD" w:rsidR="00A072D0" w:rsidRDefault="009576A5">
            <w:pPr>
              <w:pStyle w:val="Tabletext"/>
              <w:jc w:val="right"/>
              <w:rPr>
                <w:rFonts w:asciiTheme="minorHAnsi" w:hAnsiTheme="minorHAnsi"/>
                <w:szCs w:val="18"/>
              </w:rPr>
            </w:pPr>
            <w:r>
              <w:rPr>
                <w:rFonts w:asciiTheme="minorHAnsi" w:hAnsiTheme="minorHAnsi" w:cs="Arial"/>
                <w:szCs w:val="18"/>
              </w:rPr>
              <w:t>47</w:t>
            </w:r>
          </w:p>
        </w:tc>
      </w:tr>
      <w:tr w:rsidR="00A072D0" w14:paraId="0845D6F5" w14:textId="77777777">
        <w:trPr>
          <w:jc w:val="center"/>
        </w:trPr>
        <w:tc>
          <w:tcPr>
            <w:tcW w:w="3315" w:type="pct"/>
            <w:shd w:val="clear" w:color="auto" w:fill="auto"/>
            <w:noWrap/>
            <w:vAlign w:val="bottom"/>
          </w:tcPr>
          <w:p w14:paraId="5624AC8C" w14:textId="77777777" w:rsidR="00A072D0" w:rsidRDefault="009576A5">
            <w:pPr>
              <w:pStyle w:val="Tabletext"/>
              <w:rPr>
                <w:rFonts w:asciiTheme="minorHAnsi" w:hAnsiTheme="minorHAnsi"/>
                <w:szCs w:val="18"/>
              </w:rPr>
            </w:pPr>
            <w:r>
              <w:rPr>
                <w:rFonts w:asciiTheme="minorHAnsi" w:hAnsiTheme="minorHAnsi" w:cs="Arial"/>
                <w:szCs w:val="18"/>
              </w:rPr>
              <w:t>Israel</w:t>
            </w:r>
          </w:p>
        </w:tc>
        <w:tc>
          <w:tcPr>
            <w:tcW w:w="1685" w:type="pct"/>
            <w:shd w:val="clear" w:color="auto" w:fill="auto"/>
            <w:noWrap/>
            <w:vAlign w:val="bottom"/>
          </w:tcPr>
          <w:p w14:paraId="57FC61EE" w14:textId="400FB172" w:rsidR="00A072D0" w:rsidRDefault="009576A5">
            <w:pPr>
              <w:pStyle w:val="Tabletext"/>
              <w:jc w:val="right"/>
              <w:rPr>
                <w:rFonts w:asciiTheme="minorHAnsi" w:hAnsiTheme="minorHAnsi"/>
                <w:szCs w:val="18"/>
              </w:rPr>
            </w:pPr>
            <w:r>
              <w:rPr>
                <w:rFonts w:asciiTheme="minorHAnsi" w:hAnsiTheme="minorHAnsi" w:cs="Arial"/>
                <w:szCs w:val="18"/>
              </w:rPr>
              <w:t>36</w:t>
            </w:r>
          </w:p>
        </w:tc>
      </w:tr>
      <w:tr w:rsidR="00A072D0" w14:paraId="262BB4DB" w14:textId="77777777">
        <w:trPr>
          <w:jc w:val="center"/>
        </w:trPr>
        <w:tc>
          <w:tcPr>
            <w:tcW w:w="3315" w:type="pct"/>
            <w:shd w:val="clear" w:color="auto" w:fill="auto"/>
            <w:noWrap/>
            <w:vAlign w:val="bottom"/>
          </w:tcPr>
          <w:p w14:paraId="7A543344" w14:textId="77777777" w:rsidR="00A072D0" w:rsidRDefault="009576A5">
            <w:pPr>
              <w:pStyle w:val="Tabletext"/>
              <w:rPr>
                <w:rFonts w:asciiTheme="minorHAnsi" w:hAnsiTheme="minorHAnsi"/>
                <w:szCs w:val="18"/>
              </w:rPr>
            </w:pPr>
            <w:r>
              <w:rPr>
                <w:rFonts w:asciiTheme="minorHAnsi" w:hAnsiTheme="minorHAnsi" w:cs="Arial"/>
                <w:szCs w:val="18"/>
              </w:rPr>
              <w:t>Italy</w:t>
            </w:r>
          </w:p>
        </w:tc>
        <w:tc>
          <w:tcPr>
            <w:tcW w:w="1685" w:type="pct"/>
            <w:shd w:val="clear" w:color="auto" w:fill="auto"/>
            <w:noWrap/>
            <w:vAlign w:val="bottom"/>
          </w:tcPr>
          <w:p w14:paraId="0B3FB5BC" w14:textId="77777777" w:rsidR="00A072D0" w:rsidRDefault="009576A5">
            <w:pPr>
              <w:pStyle w:val="Tabletext"/>
              <w:jc w:val="right"/>
              <w:rPr>
                <w:rFonts w:asciiTheme="minorHAnsi" w:hAnsiTheme="minorHAnsi"/>
                <w:szCs w:val="18"/>
              </w:rPr>
            </w:pPr>
            <w:r>
              <w:rPr>
                <w:rFonts w:asciiTheme="minorHAnsi" w:hAnsiTheme="minorHAnsi" w:cs="Arial"/>
                <w:szCs w:val="18"/>
              </w:rPr>
              <w:t>1 034</w:t>
            </w:r>
          </w:p>
        </w:tc>
      </w:tr>
      <w:tr w:rsidR="00A072D0" w14:paraId="69B805E2" w14:textId="77777777">
        <w:trPr>
          <w:jc w:val="center"/>
        </w:trPr>
        <w:tc>
          <w:tcPr>
            <w:tcW w:w="3315" w:type="pct"/>
            <w:shd w:val="clear" w:color="auto" w:fill="auto"/>
            <w:noWrap/>
            <w:vAlign w:val="bottom"/>
          </w:tcPr>
          <w:p w14:paraId="75C5FAF0" w14:textId="77777777" w:rsidR="00A072D0" w:rsidRDefault="009576A5">
            <w:pPr>
              <w:pStyle w:val="Tabletext"/>
              <w:rPr>
                <w:rFonts w:asciiTheme="minorHAnsi" w:hAnsiTheme="minorHAnsi"/>
                <w:szCs w:val="18"/>
              </w:rPr>
            </w:pPr>
            <w:r>
              <w:rPr>
                <w:rFonts w:asciiTheme="minorHAnsi" w:hAnsiTheme="minorHAnsi" w:cs="Arial"/>
                <w:szCs w:val="18"/>
              </w:rPr>
              <w:t>Jamaica</w:t>
            </w:r>
          </w:p>
        </w:tc>
        <w:tc>
          <w:tcPr>
            <w:tcW w:w="1685" w:type="pct"/>
            <w:shd w:val="clear" w:color="auto" w:fill="auto"/>
            <w:noWrap/>
            <w:vAlign w:val="bottom"/>
          </w:tcPr>
          <w:p w14:paraId="4738D108" w14:textId="3517313D" w:rsidR="00A072D0" w:rsidRDefault="009576A5">
            <w:pPr>
              <w:pStyle w:val="Tabletext"/>
              <w:jc w:val="right"/>
              <w:rPr>
                <w:rFonts w:asciiTheme="minorHAnsi" w:hAnsiTheme="minorHAnsi"/>
                <w:szCs w:val="18"/>
              </w:rPr>
            </w:pPr>
            <w:r>
              <w:rPr>
                <w:rFonts w:asciiTheme="minorHAnsi" w:hAnsiTheme="minorHAnsi" w:cs="Arial"/>
                <w:szCs w:val="18"/>
              </w:rPr>
              <w:t>4</w:t>
            </w:r>
          </w:p>
        </w:tc>
      </w:tr>
      <w:tr w:rsidR="00A072D0" w14:paraId="049A152F" w14:textId="77777777">
        <w:trPr>
          <w:jc w:val="center"/>
        </w:trPr>
        <w:tc>
          <w:tcPr>
            <w:tcW w:w="3315" w:type="pct"/>
            <w:shd w:val="clear" w:color="auto" w:fill="auto"/>
            <w:noWrap/>
            <w:vAlign w:val="bottom"/>
          </w:tcPr>
          <w:p w14:paraId="53C6911B" w14:textId="77777777" w:rsidR="00A072D0" w:rsidRDefault="009576A5">
            <w:pPr>
              <w:pStyle w:val="Tabletext"/>
              <w:rPr>
                <w:rFonts w:asciiTheme="minorHAnsi" w:hAnsiTheme="minorHAnsi"/>
                <w:szCs w:val="18"/>
              </w:rPr>
            </w:pPr>
            <w:r>
              <w:rPr>
                <w:rFonts w:asciiTheme="minorHAnsi" w:hAnsiTheme="minorHAnsi" w:cs="Arial"/>
                <w:szCs w:val="18"/>
              </w:rPr>
              <w:t>Japan</w:t>
            </w:r>
          </w:p>
        </w:tc>
        <w:tc>
          <w:tcPr>
            <w:tcW w:w="1685" w:type="pct"/>
            <w:shd w:val="clear" w:color="auto" w:fill="auto"/>
            <w:noWrap/>
            <w:vAlign w:val="bottom"/>
          </w:tcPr>
          <w:p w14:paraId="03B9A921" w14:textId="55C8CE4C" w:rsidR="00A072D0" w:rsidRDefault="009576A5">
            <w:pPr>
              <w:pStyle w:val="Tabletext"/>
              <w:jc w:val="right"/>
              <w:rPr>
                <w:rFonts w:asciiTheme="minorHAnsi" w:hAnsiTheme="minorHAnsi"/>
                <w:szCs w:val="18"/>
              </w:rPr>
            </w:pPr>
            <w:r>
              <w:rPr>
                <w:rFonts w:asciiTheme="minorHAnsi" w:hAnsiTheme="minorHAnsi" w:cs="Arial"/>
                <w:szCs w:val="18"/>
              </w:rPr>
              <w:t>836</w:t>
            </w:r>
          </w:p>
        </w:tc>
      </w:tr>
      <w:tr w:rsidR="00A072D0" w14:paraId="511234EB" w14:textId="77777777">
        <w:trPr>
          <w:jc w:val="center"/>
        </w:trPr>
        <w:tc>
          <w:tcPr>
            <w:tcW w:w="3315" w:type="pct"/>
            <w:shd w:val="clear" w:color="auto" w:fill="auto"/>
            <w:noWrap/>
            <w:vAlign w:val="bottom"/>
          </w:tcPr>
          <w:p w14:paraId="262B5669" w14:textId="77777777" w:rsidR="00A072D0" w:rsidRDefault="009576A5">
            <w:pPr>
              <w:pStyle w:val="Tabletext"/>
              <w:rPr>
                <w:rFonts w:asciiTheme="minorHAnsi" w:hAnsiTheme="minorHAnsi"/>
                <w:szCs w:val="18"/>
              </w:rPr>
            </w:pPr>
            <w:r>
              <w:rPr>
                <w:rFonts w:asciiTheme="minorHAnsi" w:hAnsiTheme="minorHAnsi" w:cs="Arial"/>
                <w:szCs w:val="18"/>
              </w:rPr>
              <w:t>Jordan</w:t>
            </w:r>
          </w:p>
        </w:tc>
        <w:tc>
          <w:tcPr>
            <w:tcW w:w="1685" w:type="pct"/>
            <w:shd w:val="clear" w:color="auto" w:fill="auto"/>
            <w:noWrap/>
            <w:vAlign w:val="bottom"/>
          </w:tcPr>
          <w:p w14:paraId="679EC5AC" w14:textId="139F0AFC" w:rsidR="00A072D0" w:rsidRDefault="009576A5">
            <w:pPr>
              <w:pStyle w:val="Tabletext"/>
              <w:jc w:val="right"/>
              <w:rPr>
                <w:rFonts w:asciiTheme="minorHAnsi" w:hAnsiTheme="minorHAnsi"/>
                <w:szCs w:val="18"/>
              </w:rPr>
            </w:pPr>
            <w:r>
              <w:rPr>
                <w:rFonts w:asciiTheme="minorHAnsi" w:hAnsiTheme="minorHAnsi" w:cs="Arial"/>
                <w:szCs w:val="18"/>
              </w:rPr>
              <w:t>14</w:t>
            </w:r>
          </w:p>
        </w:tc>
      </w:tr>
      <w:tr w:rsidR="00A072D0" w14:paraId="4BC913F4" w14:textId="77777777">
        <w:trPr>
          <w:jc w:val="center"/>
        </w:trPr>
        <w:tc>
          <w:tcPr>
            <w:tcW w:w="3315" w:type="pct"/>
            <w:shd w:val="clear" w:color="auto" w:fill="auto"/>
            <w:noWrap/>
            <w:vAlign w:val="bottom"/>
          </w:tcPr>
          <w:p w14:paraId="4285089E" w14:textId="77777777" w:rsidR="00A072D0" w:rsidRDefault="009576A5">
            <w:pPr>
              <w:pStyle w:val="Tabletext"/>
              <w:rPr>
                <w:rFonts w:asciiTheme="minorHAnsi" w:hAnsiTheme="minorHAnsi"/>
                <w:szCs w:val="18"/>
              </w:rPr>
            </w:pPr>
            <w:r>
              <w:rPr>
                <w:rFonts w:asciiTheme="minorHAnsi" w:hAnsiTheme="minorHAnsi" w:cs="Arial"/>
                <w:szCs w:val="18"/>
              </w:rPr>
              <w:t>Kenya</w:t>
            </w:r>
          </w:p>
        </w:tc>
        <w:tc>
          <w:tcPr>
            <w:tcW w:w="1685" w:type="pct"/>
            <w:shd w:val="clear" w:color="auto" w:fill="auto"/>
            <w:noWrap/>
            <w:vAlign w:val="bottom"/>
          </w:tcPr>
          <w:p w14:paraId="04A868CC" w14:textId="57752310" w:rsidR="00A072D0" w:rsidRDefault="009576A5">
            <w:pPr>
              <w:pStyle w:val="Tabletext"/>
              <w:jc w:val="right"/>
              <w:rPr>
                <w:rFonts w:asciiTheme="minorHAnsi" w:hAnsiTheme="minorHAnsi"/>
                <w:szCs w:val="18"/>
              </w:rPr>
            </w:pPr>
            <w:r>
              <w:rPr>
                <w:rFonts w:asciiTheme="minorHAnsi" w:hAnsiTheme="minorHAnsi" w:cs="Arial"/>
                <w:szCs w:val="18"/>
              </w:rPr>
              <w:t>7</w:t>
            </w:r>
          </w:p>
        </w:tc>
      </w:tr>
      <w:tr w:rsidR="00A072D0" w14:paraId="36B050EA" w14:textId="77777777">
        <w:trPr>
          <w:jc w:val="center"/>
        </w:trPr>
        <w:tc>
          <w:tcPr>
            <w:tcW w:w="3315" w:type="pct"/>
            <w:shd w:val="clear" w:color="auto" w:fill="auto"/>
            <w:noWrap/>
            <w:vAlign w:val="bottom"/>
          </w:tcPr>
          <w:p w14:paraId="7C0F5A2B" w14:textId="77777777" w:rsidR="00A072D0" w:rsidRDefault="009576A5">
            <w:pPr>
              <w:pStyle w:val="Tabletext"/>
              <w:rPr>
                <w:rFonts w:asciiTheme="minorHAnsi" w:hAnsiTheme="minorHAnsi"/>
                <w:szCs w:val="18"/>
              </w:rPr>
            </w:pPr>
            <w:r>
              <w:rPr>
                <w:rFonts w:asciiTheme="minorHAnsi" w:hAnsiTheme="minorHAnsi" w:cs="Arial"/>
                <w:szCs w:val="18"/>
              </w:rPr>
              <w:t>Korea republic of</w:t>
            </w:r>
          </w:p>
        </w:tc>
        <w:tc>
          <w:tcPr>
            <w:tcW w:w="1685" w:type="pct"/>
            <w:shd w:val="clear" w:color="auto" w:fill="auto"/>
            <w:noWrap/>
            <w:vAlign w:val="bottom"/>
          </w:tcPr>
          <w:p w14:paraId="74031E5A" w14:textId="43CEFB86" w:rsidR="00A072D0" w:rsidRDefault="009576A5">
            <w:pPr>
              <w:pStyle w:val="Tabletext"/>
              <w:jc w:val="right"/>
              <w:rPr>
                <w:rFonts w:asciiTheme="minorHAnsi" w:hAnsiTheme="minorHAnsi"/>
                <w:szCs w:val="18"/>
              </w:rPr>
            </w:pPr>
            <w:r>
              <w:rPr>
                <w:rFonts w:asciiTheme="minorHAnsi" w:hAnsiTheme="minorHAnsi" w:cs="Arial"/>
                <w:szCs w:val="18"/>
              </w:rPr>
              <w:t>764</w:t>
            </w:r>
          </w:p>
        </w:tc>
      </w:tr>
      <w:tr w:rsidR="00A072D0" w14:paraId="57301351" w14:textId="77777777">
        <w:trPr>
          <w:jc w:val="center"/>
        </w:trPr>
        <w:tc>
          <w:tcPr>
            <w:tcW w:w="3315" w:type="pct"/>
            <w:shd w:val="clear" w:color="auto" w:fill="auto"/>
            <w:noWrap/>
            <w:vAlign w:val="bottom"/>
          </w:tcPr>
          <w:p w14:paraId="251D0257" w14:textId="77777777" w:rsidR="00A072D0" w:rsidRDefault="009576A5">
            <w:pPr>
              <w:pStyle w:val="Tabletext"/>
              <w:rPr>
                <w:rFonts w:asciiTheme="minorHAnsi" w:hAnsiTheme="minorHAnsi"/>
                <w:szCs w:val="18"/>
              </w:rPr>
            </w:pPr>
            <w:r>
              <w:rPr>
                <w:rFonts w:asciiTheme="minorHAnsi" w:hAnsiTheme="minorHAnsi" w:cs="Arial"/>
                <w:szCs w:val="18"/>
              </w:rPr>
              <w:t>Latvia</w:t>
            </w:r>
          </w:p>
        </w:tc>
        <w:tc>
          <w:tcPr>
            <w:tcW w:w="1685" w:type="pct"/>
            <w:shd w:val="clear" w:color="auto" w:fill="auto"/>
            <w:noWrap/>
            <w:vAlign w:val="bottom"/>
          </w:tcPr>
          <w:p w14:paraId="64EF9B92" w14:textId="76940DEE" w:rsidR="00A072D0" w:rsidRDefault="009576A5">
            <w:pPr>
              <w:pStyle w:val="Tabletext"/>
              <w:jc w:val="right"/>
              <w:rPr>
                <w:rFonts w:asciiTheme="minorHAnsi" w:hAnsiTheme="minorHAnsi"/>
                <w:szCs w:val="18"/>
              </w:rPr>
            </w:pPr>
            <w:r>
              <w:rPr>
                <w:rFonts w:asciiTheme="minorHAnsi" w:hAnsiTheme="minorHAnsi" w:cs="Arial"/>
                <w:szCs w:val="18"/>
              </w:rPr>
              <w:t>8</w:t>
            </w:r>
          </w:p>
        </w:tc>
      </w:tr>
      <w:tr w:rsidR="00A072D0" w14:paraId="61D7AE8B" w14:textId="77777777">
        <w:trPr>
          <w:jc w:val="center"/>
        </w:trPr>
        <w:tc>
          <w:tcPr>
            <w:tcW w:w="3315" w:type="pct"/>
            <w:shd w:val="clear" w:color="auto" w:fill="auto"/>
            <w:noWrap/>
            <w:vAlign w:val="bottom"/>
          </w:tcPr>
          <w:p w14:paraId="6A61FE1D" w14:textId="77777777" w:rsidR="00A072D0" w:rsidRDefault="009576A5">
            <w:pPr>
              <w:pStyle w:val="Tabletext"/>
              <w:rPr>
                <w:rFonts w:asciiTheme="minorHAnsi" w:hAnsiTheme="minorHAnsi"/>
                <w:szCs w:val="18"/>
              </w:rPr>
            </w:pPr>
            <w:r>
              <w:rPr>
                <w:rFonts w:asciiTheme="minorHAnsi" w:hAnsiTheme="minorHAnsi" w:cs="Arial"/>
                <w:szCs w:val="18"/>
              </w:rPr>
              <w:t>Lebanon</w:t>
            </w:r>
          </w:p>
        </w:tc>
        <w:tc>
          <w:tcPr>
            <w:tcW w:w="1685" w:type="pct"/>
            <w:shd w:val="clear" w:color="auto" w:fill="auto"/>
            <w:noWrap/>
            <w:vAlign w:val="bottom"/>
          </w:tcPr>
          <w:p w14:paraId="4C5E89C2" w14:textId="28E763E4" w:rsidR="00A072D0" w:rsidRDefault="009576A5">
            <w:pPr>
              <w:pStyle w:val="Tabletext"/>
              <w:jc w:val="right"/>
              <w:rPr>
                <w:rFonts w:asciiTheme="minorHAnsi" w:hAnsiTheme="minorHAnsi"/>
                <w:szCs w:val="18"/>
              </w:rPr>
            </w:pPr>
            <w:r>
              <w:rPr>
                <w:rFonts w:asciiTheme="minorHAnsi" w:hAnsiTheme="minorHAnsi" w:cs="Arial"/>
                <w:szCs w:val="18"/>
              </w:rPr>
              <w:t>75</w:t>
            </w:r>
          </w:p>
        </w:tc>
      </w:tr>
      <w:tr w:rsidR="00A072D0" w14:paraId="39A662AE" w14:textId="77777777">
        <w:trPr>
          <w:jc w:val="center"/>
        </w:trPr>
        <w:tc>
          <w:tcPr>
            <w:tcW w:w="3315" w:type="pct"/>
            <w:shd w:val="clear" w:color="auto" w:fill="auto"/>
            <w:noWrap/>
            <w:vAlign w:val="bottom"/>
          </w:tcPr>
          <w:p w14:paraId="2A4FE6E2" w14:textId="77777777" w:rsidR="00A072D0" w:rsidRDefault="009576A5">
            <w:pPr>
              <w:pStyle w:val="Tabletext"/>
              <w:rPr>
                <w:rFonts w:asciiTheme="minorHAnsi" w:hAnsiTheme="minorHAnsi"/>
                <w:szCs w:val="18"/>
              </w:rPr>
            </w:pPr>
            <w:r>
              <w:rPr>
                <w:rFonts w:asciiTheme="minorHAnsi" w:hAnsiTheme="minorHAnsi" w:cs="Arial"/>
                <w:szCs w:val="18"/>
              </w:rPr>
              <w:t>Liberia</w:t>
            </w:r>
          </w:p>
        </w:tc>
        <w:tc>
          <w:tcPr>
            <w:tcW w:w="1685" w:type="pct"/>
            <w:shd w:val="clear" w:color="auto" w:fill="auto"/>
            <w:noWrap/>
            <w:vAlign w:val="bottom"/>
          </w:tcPr>
          <w:p w14:paraId="56594484" w14:textId="4FEFE231"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5B0A6371" w14:textId="77777777">
        <w:trPr>
          <w:jc w:val="center"/>
        </w:trPr>
        <w:tc>
          <w:tcPr>
            <w:tcW w:w="3315" w:type="pct"/>
            <w:shd w:val="clear" w:color="auto" w:fill="auto"/>
            <w:noWrap/>
            <w:vAlign w:val="bottom"/>
          </w:tcPr>
          <w:p w14:paraId="3F24882D" w14:textId="77777777" w:rsidR="00A072D0" w:rsidRDefault="009576A5">
            <w:pPr>
              <w:pStyle w:val="Tabletext"/>
              <w:rPr>
                <w:rFonts w:asciiTheme="minorHAnsi" w:hAnsiTheme="minorHAnsi"/>
                <w:szCs w:val="18"/>
              </w:rPr>
            </w:pPr>
            <w:r>
              <w:rPr>
                <w:rFonts w:asciiTheme="minorHAnsi" w:hAnsiTheme="minorHAnsi" w:cs="Arial"/>
                <w:szCs w:val="18"/>
              </w:rPr>
              <w:t>Lithuania</w:t>
            </w:r>
          </w:p>
        </w:tc>
        <w:tc>
          <w:tcPr>
            <w:tcW w:w="1685" w:type="pct"/>
            <w:shd w:val="clear" w:color="auto" w:fill="auto"/>
            <w:noWrap/>
            <w:vAlign w:val="bottom"/>
          </w:tcPr>
          <w:p w14:paraId="7788ED74" w14:textId="40C54CC4" w:rsidR="00A072D0" w:rsidRDefault="009576A5">
            <w:pPr>
              <w:pStyle w:val="Tabletext"/>
              <w:jc w:val="right"/>
              <w:rPr>
                <w:rFonts w:asciiTheme="minorHAnsi" w:hAnsiTheme="minorHAnsi"/>
                <w:szCs w:val="18"/>
              </w:rPr>
            </w:pPr>
            <w:r>
              <w:rPr>
                <w:rFonts w:asciiTheme="minorHAnsi" w:hAnsiTheme="minorHAnsi" w:cs="Arial"/>
                <w:szCs w:val="18"/>
              </w:rPr>
              <w:t>3</w:t>
            </w:r>
          </w:p>
        </w:tc>
      </w:tr>
      <w:tr w:rsidR="00A072D0" w14:paraId="7B2E73A2" w14:textId="77777777">
        <w:trPr>
          <w:jc w:val="center"/>
        </w:trPr>
        <w:tc>
          <w:tcPr>
            <w:tcW w:w="3315" w:type="pct"/>
            <w:shd w:val="clear" w:color="auto" w:fill="auto"/>
            <w:noWrap/>
            <w:vAlign w:val="bottom"/>
          </w:tcPr>
          <w:p w14:paraId="3895B9E5" w14:textId="77777777" w:rsidR="00A072D0" w:rsidRDefault="009576A5">
            <w:pPr>
              <w:pStyle w:val="Tabletext"/>
              <w:rPr>
                <w:rFonts w:asciiTheme="minorHAnsi" w:hAnsiTheme="minorHAnsi"/>
                <w:szCs w:val="18"/>
              </w:rPr>
            </w:pPr>
            <w:r>
              <w:rPr>
                <w:rFonts w:asciiTheme="minorHAnsi" w:hAnsiTheme="minorHAnsi" w:cs="Arial"/>
                <w:szCs w:val="18"/>
              </w:rPr>
              <w:t xml:space="preserve">Macedonia </w:t>
            </w:r>
          </w:p>
        </w:tc>
        <w:tc>
          <w:tcPr>
            <w:tcW w:w="1685" w:type="pct"/>
            <w:shd w:val="clear" w:color="auto" w:fill="auto"/>
            <w:noWrap/>
            <w:vAlign w:val="bottom"/>
          </w:tcPr>
          <w:p w14:paraId="630969D8" w14:textId="6C1EC24F" w:rsidR="00A072D0" w:rsidRDefault="009576A5">
            <w:pPr>
              <w:pStyle w:val="Tabletext"/>
              <w:jc w:val="right"/>
              <w:rPr>
                <w:rFonts w:asciiTheme="minorHAnsi" w:hAnsiTheme="minorHAnsi"/>
                <w:szCs w:val="18"/>
              </w:rPr>
            </w:pPr>
            <w:r>
              <w:rPr>
                <w:rFonts w:asciiTheme="minorHAnsi" w:hAnsiTheme="minorHAnsi" w:cs="Arial"/>
                <w:szCs w:val="18"/>
              </w:rPr>
              <w:t>34</w:t>
            </w:r>
          </w:p>
        </w:tc>
      </w:tr>
      <w:tr w:rsidR="00A072D0" w14:paraId="69ED2291" w14:textId="77777777">
        <w:trPr>
          <w:jc w:val="center"/>
        </w:trPr>
        <w:tc>
          <w:tcPr>
            <w:tcW w:w="3315" w:type="pct"/>
            <w:shd w:val="clear" w:color="auto" w:fill="auto"/>
            <w:noWrap/>
            <w:vAlign w:val="bottom"/>
          </w:tcPr>
          <w:p w14:paraId="40170AD5" w14:textId="77777777" w:rsidR="00A072D0" w:rsidRDefault="009576A5">
            <w:pPr>
              <w:pStyle w:val="Tabletext"/>
              <w:rPr>
                <w:rFonts w:asciiTheme="minorHAnsi" w:hAnsiTheme="minorHAnsi"/>
                <w:szCs w:val="18"/>
              </w:rPr>
            </w:pPr>
            <w:r>
              <w:rPr>
                <w:rFonts w:asciiTheme="minorHAnsi" w:hAnsiTheme="minorHAnsi" w:cs="Arial"/>
                <w:szCs w:val="18"/>
              </w:rPr>
              <w:t>Madagascar</w:t>
            </w:r>
          </w:p>
        </w:tc>
        <w:tc>
          <w:tcPr>
            <w:tcW w:w="1685" w:type="pct"/>
            <w:shd w:val="clear" w:color="auto" w:fill="auto"/>
            <w:noWrap/>
            <w:vAlign w:val="bottom"/>
          </w:tcPr>
          <w:p w14:paraId="4F076651" w14:textId="731138FF"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135D02FE" w14:textId="77777777">
        <w:trPr>
          <w:jc w:val="center"/>
        </w:trPr>
        <w:tc>
          <w:tcPr>
            <w:tcW w:w="3315" w:type="pct"/>
            <w:shd w:val="clear" w:color="auto" w:fill="auto"/>
            <w:noWrap/>
            <w:vAlign w:val="bottom"/>
          </w:tcPr>
          <w:p w14:paraId="4953F928" w14:textId="77777777" w:rsidR="00A072D0" w:rsidRDefault="009576A5">
            <w:pPr>
              <w:pStyle w:val="Tabletext"/>
              <w:rPr>
                <w:rFonts w:asciiTheme="minorHAnsi" w:hAnsiTheme="minorHAnsi"/>
                <w:szCs w:val="18"/>
              </w:rPr>
            </w:pPr>
            <w:r>
              <w:rPr>
                <w:rFonts w:asciiTheme="minorHAnsi" w:hAnsiTheme="minorHAnsi" w:cs="Arial"/>
                <w:szCs w:val="18"/>
              </w:rPr>
              <w:t>Malaysia</w:t>
            </w:r>
          </w:p>
        </w:tc>
        <w:tc>
          <w:tcPr>
            <w:tcW w:w="1685" w:type="pct"/>
            <w:shd w:val="clear" w:color="auto" w:fill="auto"/>
            <w:noWrap/>
            <w:vAlign w:val="bottom"/>
          </w:tcPr>
          <w:p w14:paraId="358A3D43" w14:textId="76C488D7" w:rsidR="00A072D0" w:rsidRDefault="009576A5">
            <w:pPr>
              <w:pStyle w:val="Tabletext"/>
              <w:jc w:val="right"/>
              <w:rPr>
                <w:rFonts w:asciiTheme="minorHAnsi" w:hAnsiTheme="minorHAnsi"/>
                <w:szCs w:val="18"/>
              </w:rPr>
            </w:pPr>
            <w:r>
              <w:rPr>
                <w:rFonts w:asciiTheme="minorHAnsi" w:hAnsiTheme="minorHAnsi" w:cs="Arial"/>
                <w:szCs w:val="18"/>
              </w:rPr>
              <w:t>586</w:t>
            </w:r>
          </w:p>
        </w:tc>
      </w:tr>
      <w:tr w:rsidR="00A072D0" w14:paraId="2DA9D200" w14:textId="77777777">
        <w:trPr>
          <w:jc w:val="center"/>
        </w:trPr>
        <w:tc>
          <w:tcPr>
            <w:tcW w:w="3315" w:type="pct"/>
            <w:shd w:val="clear" w:color="auto" w:fill="auto"/>
            <w:noWrap/>
            <w:vAlign w:val="bottom"/>
          </w:tcPr>
          <w:p w14:paraId="724880F8" w14:textId="77777777" w:rsidR="00A072D0" w:rsidRDefault="009576A5">
            <w:pPr>
              <w:pStyle w:val="Tabletext"/>
              <w:rPr>
                <w:rFonts w:asciiTheme="minorHAnsi" w:hAnsiTheme="minorHAnsi"/>
                <w:szCs w:val="18"/>
              </w:rPr>
            </w:pPr>
            <w:r>
              <w:rPr>
                <w:rFonts w:asciiTheme="minorHAnsi" w:hAnsiTheme="minorHAnsi" w:cs="Arial"/>
                <w:szCs w:val="18"/>
              </w:rPr>
              <w:t>Maldives</w:t>
            </w:r>
          </w:p>
        </w:tc>
        <w:tc>
          <w:tcPr>
            <w:tcW w:w="1685" w:type="pct"/>
            <w:shd w:val="clear" w:color="auto" w:fill="auto"/>
            <w:noWrap/>
            <w:vAlign w:val="bottom"/>
          </w:tcPr>
          <w:p w14:paraId="62889ADC" w14:textId="6CC2AA32"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4BCAECEF" w14:textId="77777777">
        <w:trPr>
          <w:jc w:val="center"/>
        </w:trPr>
        <w:tc>
          <w:tcPr>
            <w:tcW w:w="3315" w:type="pct"/>
            <w:shd w:val="clear" w:color="auto" w:fill="auto"/>
            <w:noWrap/>
            <w:vAlign w:val="bottom"/>
          </w:tcPr>
          <w:p w14:paraId="66EA08F0" w14:textId="77777777" w:rsidR="00A072D0" w:rsidRDefault="009576A5">
            <w:pPr>
              <w:pStyle w:val="Tabletext"/>
              <w:rPr>
                <w:rFonts w:asciiTheme="minorHAnsi" w:hAnsiTheme="minorHAnsi"/>
                <w:szCs w:val="18"/>
              </w:rPr>
            </w:pPr>
            <w:r>
              <w:rPr>
                <w:rFonts w:asciiTheme="minorHAnsi" w:hAnsiTheme="minorHAnsi" w:cs="Arial"/>
                <w:szCs w:val="18"/>
              </w:rPr>
              <w:t>Malta</w:t>
            </w:r>
          </w:p>
        </w:tc>
        <w:tc>
          <w:tcPr>
            <w:tcW w:w="1685" w:type="pct"/>
            <w:shd w:val="clear" w:color="auto" w:fill="auto"/>
            <w:noWrap/>
            <w:vAlign w:val="bottom"/>
          </w:tcPr>
          <w:p w14:paraId="3B65CF35" w14:textId="03083761" w:rsidR="00A072D0" w:rsidRDefault="009576A5">
            <w:pPr>
              <w:pStyle w:val="Tabletext"/>
              <w:jc w:val="right"/>
              <w:rPr>
                <w:rFonts w:asciiTheme="minorHAnsi" w:hAnsiTheme="minorHAnsi"/>
                <w:szCs w:val="18"/>
              </w:rPr>
            </w:pPr>
            <w:r>
              <w:rPr>
                <w:rFonts w:asciiTheme="minorHAnsi" w:hAnsiTheme="minorHAnsi" w:cs="Arial"/>
                <w:szCs w:val="18"/>
              </w:rPr>
              <w:t>8</w:t>
            </w:r>
          </w:p>
        </w:tc>
      </w:tr>
      <w:tr w:rsidR="00A072D0" w14:paraId="022B33A4" w14:textId="77777777">
        <w:trPr>
          <w:jc w:val="center"/>
        </w:trPr>
        <w:tc>
          <w:tcPr>
            <w:tcW w:w="3315" w:type="pct"/>
            <w:shd w:val="clear" w:color="auto" w:fill="auto"/>
            <w:noWrap/>
            <w:vAlign w:val="bottom"/>
          </w:tcPr>
          <w:p w14:paraId="42F06E02" w14:textId="77777777" w:rsidR="00A072D0" w:rsidRDefault="009576A5">
            <w:pPr>
              <w:pStyle w:val="Tabletext"/>
              <w:rPr>
                <w:rFonts w:asciiTheme="minorHAnsi" w:hAnsiTheme="minorHAnsi"/>
                <w:szCs w:val="18"/>
              </w:rPr>
            </w:pPr>
            <w:r>
              <w:rPr>
                <w:rFonts w:asciiTheme="minorHAnsi" w:hAnsiTheme="minorHAnsi" w:cs="Arial"/>
                <w:szCs w:val="18"/>
              </w:rPr>
              <w:t>Mauritius</w:t>
            </w:r>
          </w:p>
        </w:tc>
        <w:tc>
          <w:tcPr>
            <w:tcW w:w="1685" w:type="pct"/>
            <w:shd w:val="clear" w:color="auto" w:fill="auto"/>
            <w:noWrap/>
            <w:vAlign w:val="bottom"/>
          </w:tcPr>
          <w:p w14:paraId="1CB90CC2" w14:textId="6D413769"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0A018C3A" w14:textId="77777777">
        <w:trPr>
          <w:jc w:val="center"/>
        </w:trPr>
        <w:tc>
          <w:tcPr>
            <w:tcW w:w="3315" w:type="pct"/>
            <w:shd w:val="clear" w:color="auto" w:fill="auto"/>
            <w:noWrap/>
            <w:vAlign w:val="bottom"/>
          </w:tcPr>
          <w:p w14:paraId="4E68C0CA" w14:textId="77777777" w:rsidR="00A072D0" w:rsidRDefault="009576A5">
            <w:pPr>
              <w:pStyle w:val="Tabletext"/>
              <w:rPr>
                <w:rFonts w:asciiTheme="minorHAnsi" w:hAnsiTheme="minorHAnsi"/>
                <w:szCs w:val="18"/>
              </w:rPr>
            </w:pPr>
            <w:r>
              <w:rPr>
                <w:rFonts w:asciiTheme="minorHAnsi" w:hAnsiTheme="minorHAnsi" w:cs="Arial"/>
                <w:szCs w:val="18"/>
              </w:rPr>
              <w:t>Mexico</w:t>
            </w:r>
          </w:p>
        </w:tc>
        <w:tc>
          <w:tcPr>
            <w:tcW w:w="1685" w:type="pct"/>
            <w:shd w:val="clear" w:color="auto" w:fill="auto"/>
            <w:noWrap/>
            <w:vAlign w:val="bottom"/>
          </w:tcPr>
          <w:p w14:paraId="23B8F7A7" w14:textId="79F7B9AB" w:rsidR="00A072D0" w:rsidRDefault="009576A5">
            <w:pPr>
              <w:pStyle w:val="Tabletext"/>
              <w:jc w:val="right"/>
              <w:rPr>
                <w:rFonts w:asciiTheme="minorHAnsi" w:hAnsiTheme="minorHAnsi"/>
                <w:szCs w:val="18"/>
              </w:rPr>
            </w:pPr>
            <w:r>
              <w:rPr>
                <w:rFonts w:asciiTheme="minorHAnsi" w:hAnsiTheme="minorHAnsi" w:cs="Arial"/>
                <w:szCs w:val="18"/>
              </w:rPr>
              <w:t>132</w:t>
            </w:r>
          </w:p>
        </w:tc>
      </w:tr>
      <w:tr w:rsidR="00A072D0" w14:paraId="6D08EBD9" w14:textId="77777777">
        <w:trPr>
          <w:jc w:val="center"/>
        </w:trPr>
        <w:tc>
          <w:tcPr>
            <w:tcW w:w="3315" w:type="pct"/>
            <w:shd w:val="clear" w:color="auto" w:fill="auto"/>
            <w:noWrap/>
            <w:vAlign w:val="bottom"/>
          </w:tcPr>
          <w:p w14:paraId="786D3647" w14:textId="77777777" w:rsidR="00A072D0" w:rsidRDefault="009576A5">
            <w:pPr>
              <w:pStyle w:val="Tabletext"/>
              <w:rPr>
                <w:rFonts w:asciiTheme="minorHAnsi" w:hAnsiTheme="minorHAnsi"/>
                <w:szCs w:val="18"/>
              </w:rPr>
            </w:pPr>
            <w:r>
              <w:rPr>
                <w:rFonts w:asciiTheme="minorHAnsi" w:hAnsiTheme="minorHAnsi" w:cs="Arial"/>
                <w:szCs w:val="18"/>
              </w:rPr>
              <w:t>Morocco</w:t>
            </w:r>
          </w:p>
        </w:tc>
        <w:tc>
          <w:tcPr>
            <w:tcW w:w="1685" w:type="pct"/>
            <w:shd w:val="clear" w:color="auto" w:fill="auto"/>
            <w:noWrap/>
            <w:vAlign w:val="bottom"/>
          </w:tcPr>
          <w:p w14:paraId="10C83E41" w14:textId="2F9AD613" w:rsidR="00A072D0" w:rsidRDefault="009576A5">
            <w:pPr>
              <w:pStyle w:val="Tabletext"/>
              <w:jc w:val="right"/>
              <w:rPr>
                <w:rFonts w:asciiTheme="minorHAnsi" w:hAnsiTheme="minorHAnsi"/>
                <w:szCs w:val="18"/>
              </w:rPr>
            </w:pPr>
            <w:r>
              <w:rPr>
                <w:rFonts w:asciiTheme="minorHAnsi" w:hAnsiTheme="minorHAnsi" w:cs="Arial"/>
                <w:szCs w:val="18"/>
              </w:rPr>
              <w:t>5</w:t>
            </w:r>
          </w:p>
        </w:tc>
      </w:tr>
      <w:tr w:rsidR="00A072D0" w14:paraId="45A208A2" w14:textId="77777777">
        <w:trPr>
          <w:jc w:val="center"/>
        </w:trPr>
        <w:tc>
          <w:tcPr>
            <w:tcW w:w="3315" w:type="pct"/>
            <w:shd w:val="clear" w:color="auto" w:fill="auto"/>
            <w:noWrap/>
            <w:vAlign w:val="bottom"/>
          </w:tcPr>
          <w:p w14:paraId="0A4CD26E" w14:textId="77777777" w:rsidR="00A072D0" w:rsidRDefault="009576A5">
            <w:pPr>
              <w:pStyle w:val="Tabletext"/>
              <w:rPr>
                <w:rFonts w:asciiTheme="minorHAnsi" w:hAnsiTheme="minorHAnsi"/>
                <w:szCs w:val="18"/>
              </w:rPr>
            </w:pPr>
            <w:r>
              <w:rPr>
                <w:rFonts w:asciiTheme="minorHAnsi" w:hAnsiTheme="minorHAnsi" w:cs="Arial"/>
                <w:szCs w:val="18"/>
              </w:rPr>
              <w:t>Myanmar</w:t>
            </w:r>
          </w:p>
        </w:tc>
        <w:tc>
          <w:tcPr>
            <w:tcW w:w="1685" w:type="pct"/>
            <w:shd w:val="clear" w:color="auto" w:fill="auto"/>
            <w:noWrap/>
            <w:vAlign w:val="bottom"/>
          </w:tcPr>
          <w:p w14:paraId="40317D55" w14:textId="6213619B" w:rsidR="00A072D0" w:rsidRDefault="009576A5">
            <w:pPr>
              <w:pStyle w:val="Tabletext"/>
              <w:jc w:val="right"/>
              <w:rPr>
                <w:rFonts w:asciiTheme="minorHAnsi" w:hAnsiTheme="minorHAnsi"/>
                <w:szCs w:val="18"/>
              </w:rPr>
            </w:pPr>
            <w:r>
              <w:rPr>
                <w:rFonts w:asciiTheme="minorHAnsi" w:hAnsiTheme="minorHAnsi" w:cs="Arial"/>
                <w:szCs w:val="18"/>
              </w:rPr>
              <w:t>41</w:t>
            </w:r>
          </w:p>
        </w:tc>
      </w:tr>
      <w:tr w:rsidR="00A072D0" w14:paraId="2F404253" w14:textId="77777777">
        <w:trPr>
          <w:jc w:val="center"/>
        </w:trPr>
        <w:tc>
          <w:tcPr>
            <w:tcW w:w="3315" w:type="pct"/>
            <w:shd w:val="clear" w:color="auto" w:fill="auto"/>
            <w:noWrap/>
            <w:vAlign w:val="bottom"/>
          </w:tcPr>
          <w:p w14:paraId="7432181F" w14:textId="77777777" w:rsidR="00A072D0" w:rsidRDefault="009576A5">
            <w:pPr>
              <w:pStyle w:val="Tabletext"/>
              <w:rPr>
                <w:rFonts w:asciiTheme="minorHAnsi" w:hAnsiTheme="minorHAnsi"/>
                <w:szCs w:val="18"/>
              </w:rPr>
            </w:pPr>
            <w:r>
              <w:rPr>
                <w:rFonts w:asciiTheme="minorHAnsi" w:hAnsiTheme="minorHAnsi" w:cs="Arial"/>
                <w:szCs w:val="18"/>
              </w:rPr>
              <w:t>Namibia</w:t>
            </w:r>
          </w:p>
        </w:tc>
        <w:tc>
          <w:tcPr>
            <w:tcW w:w="1685" w:type="pct"/>
            <w:shd w:val="clear" w:color="auto" w:fill="auto"/>
            <w:noWrap/>
            <w:vAlign w:val="bottom"/>
          </w:tcPr>
          <w:p w14:paraId="40D46555" w14:textId="1C9454D2" w:rsidR="00A072D0" w:rsidRDefault="009576A5">
            <w:pPr>
              <w:pStyle w:val="Tabletext"/>
              <w:jc w:val="right"/>
              <w:rPr>
                <w:rFonts w:asciiTheme="minorHAnsi" w:hAnsiTheme="minorHAnsi"/>
                <w:szCs w:val="18"/>
              </w:rPr>
            </w:pPr>
            <w:r>
              <w:rPr>
                <w:rFonts w:asciiTheme="minorHAnsi" w:hAnsiTheme="minorHAnsi" w:cs="Arial"/>
                <w:szCs w:val="18"/>
              </w:rPr>
              <w:t>6</w:t>
            </w:r>
          </w:p>
        </w:tc>
      </w:tr>
      <w:tr w:rsidR="00A072D0" w14:paraId="49A7D398" w14:textId="77777777">
        <w:trPr>
          <w:jc w:val="center"/>
        </w:trPr>
        <w:tc>
          <w:tcPr>
            <w:tcW w:w="3315" w:type="pct"/>
            <w:shd w:val="clear" w:color="auto" w:fill="auto"/>
            <w:noWrap/>
            <w:vAlign w:val="bottom"/>
          </w:tcPr>
          <w:p w14:paraId="4F3D38D4" w14:textId="77777777" w:rsidR="00A072D0" w:rsidRDefault="009576A5">
            <w:pPr>
              <w:pStyle w:val="Tabletext"/>
              <w:rPr>
                <w:rFonts w:asciiTheme="minorHAnsi" w:hAnsiTheme="minorHAnsi"/>
                <w:szCs w:val="18"/>
              </w:rPr>
            </w:pPr>
            <w:r>
              <w:rPr>
                <w:rFonts w:asciiTheme="minorHAnsi" w:hAnsiTheme="minorHAnsi" w:cs="Arial"/>
                <w:szCs w:val="18"/>
              </w:rPr>
              <w:t>Nepal</w:t>
            </w:r>
          </w:p>
        </w:tc>
        <w:tc>
          <w:tcPr>
            <w:tcW w:w="1685" w:type="pct"/>
            <w:shd w:val="clear" w:color="auto" w:fill="auto"/>
            <w:noWrap/>
            <w:vAlign w:val="bottom"/>
          </w:tcPr>
          <w:p w14:paraId="7AB9EC36" w14:textId="0186CA25" w:rsidR="00A072D0" w:rsidRDefault="009576A5">
            <w:pPr>
              <w:pStyle w:val="Tabletext"/>
              <w:jc w:val="right"/>
              <w:rPr>
                <w:rFonts w:asciiTheme="minorHAnsi" w:hAnsiTheme="minorHAnsi"/>
                <w:szCs w:val="18"/>
              </w:rPr>
            </w:pPr>
            <w:r>
              <w:rPr>
                <w:rFonts w:asciiTheme="minorHAnsi" w:hAnsiTheme="minorHAnsi" w:cs="Arial"/>
                <w:szCs w:val="18"/>
              </w:rPr>
              <w:t>16</w:t>
            </w:r>
          </w:p>
        </w:tc>
      </w:tr>
      <w:tr w:rsidR="00A072D0" w14:paraId="48217E18" w14:textId="77777777">
        <w:trPr>
          <w:jc w:val="center"/>
        </w:trPr>
        <w:tc>
          <w:tcPr>
            <w:tcW w:w="3315" w:type="pct"/>
            <w:shd w:val="clear" w:color="auto" w:fill="auto"/>
            <w:noWrap/>
            <w:vAlign w:val="bottom"/>
          </w:tcPr>
          <w:p w14:paraId="466D5159" w14:textId="77777777" w:rsidR="00A072D0" w:rsidRDefault="009576A5">
            <w:pPr>
              <w:pStyle w:val="Tabletext"/>
              <w:rPr>
                <w:rFonts w:asciiTheme="minorHAnsi" w:hAnsiTheme="minorHAnsi"/>
                <w:szCs w:val="18"/>
              </w:rPr>
            </w:pPr>
            <w:r>
              <w:rPr>
                <w:rFonts w:asciiTheme="minorHAnsi" w:hAnsiTheme="minorHAnsi" w:cs="Arial"/>
                <w:szCs w:val="18"/>
              </w:rPr>
              <w:t>Netherlands</w:t>
            </w:r>
          </w:p>
        </w:tc>
        <w:tc>
          <w:tcPr>
            <w:tcW w:w="1685" w:type="pct"/>
            <w:shd w:val="clear" w:color="auto" w:fill="auto"/>
            <w:noWrap/>
            <w:vAlign w:val="bottom"/>
          </w:tcPr>
          <w:p w14:paraId="6AD6A915" w14:textId="2B05965B" w:rsidR="00A072D0" w:rsidRDefault="009576A5">
            <w:pPr>
              <w:pStyle w:val="Tabletext"/>
              <w:jc w:val="right"/>
              <w:rPr>
                <w:rFonts w:asciiTheme="minorHAnsi" w:hAnsiTheme="minorHAnsi"/>
                <w:szCs w:val="18"/>
              </w:rPr>
            </w:pPr>
            <w:r>
              <w:rPr>
                <w:rFonts w:asciiTheme="minorHAnsi" w:hAnsiTheme="minorHAnsi" w:cs="Arial"/>
                <w:szCs w:val="18"/>
              </w:rPr>
              <w:t>273</w:t>
            </w:r>
          </w:p>
        </w:tc>
      </w:tr>
      <w:tr w:rsidR="00A072D0" w14:paraId="1A73812F" w14:textId="77777777">
        <w:trPr>
          <w:jc w:val="center"/>
        </w:trPr>
        <w:tc>
          <w:tcPr>
            <w:tcW w:w="3315" w:type="pct"/>
            <w:shd w:val="clear" w:color="auto" w:fill="auto"/>
            <w:noWrap/>
            <w:vAlign w:val="bottom"/>
          </w:tcPr>
          <w:p w14:paraId="47EF351C" w14:textId="77777777" w:rsidR="00A072D0" w:rsidRDefault="009576A5">
            <w:pPr>
              <w:pStyle w:val="Tabletext"/>
              <w:rPr>
                <w:rFonts w:asciiTheme="minorHAnsi" w:hAnsiTheme="minorHAnsi"/>
                <w:szCs w:val="18"/>
              </w:rPr>
            </w:pPr>
            <w:r>
              <w:rPr>
                <w:rFonts w:asciiTheme="minorHAnsi" w:hAnsiTheme="minorHAnsi" w:cs="Arial"/>
                <w:szCs w:val="18"/>
              </w:rPr>
              <w:t>New Caledonia</w:t>
            </w:r>
          </w:p>
        </w:tc>
        <w:tc>
          <w:tcPr>
            <w:tcW w:w="1685" w:type="pct"/>
            <w:shd w:val="clear" w:color="auto" w:fill="auto"/>
            <w:noWrap/>
            <w:vAlign w:val="bottom"/>
          </w:tcPr>
          <w:p w14:paraId="3ED55D92" w14:textId="1065DB48"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612E4FB2" w14:textId="77777777">
        <w:trPr>
          <w:jc w:val="center"/>
        </w:trPr>
        <w:tc>
          <w:tcPr>
            <w:tcW w:w="3315" w:type="pct"/>
            <w:shd w:val="clear" w:color="auto" w:fill="auto"/>
            <w:noWrap/>
            <w:vAlign w:val="bottom"/>
          </w:tcPr>
          <w:p w14:paraId="5C2FA511" w14:textId="77777777" w:rsidR="00A072D0" w:rsidRDefault="009576A5">
            <w:pPr>
              <w:pStyle w:val="Tabletext"/>
              <w:rPr>
                <w:rFonts w:asciiTheme="minorHAnsi" w:hAnsiTheme="minorHAnsi"/>
                <w:szCs w:val="18"/>
              </w:rPr>
            </w:pPr>
            <w:r>
              <w:rPr>
                <w:rFonts w:asciiTheme="minorHAnsi" w:hAnsiTheme="minorHAnsi" w:cs="Arial"/>
                <w:szCs w:val="18"/>
              </w:rPr>
              <w:t>New Zealand</w:t>
            </w:r>
          </w:p>
        </w:tc>
        <w:tc>
          <w:tcPr>
            <w:tcW w:w="1685" w:type="pct"/>
            <w:shd w:val="clear" w:color="auto" w:fill="auto"/>
            <w:noWrap/>
            <w:vAlign w:val="bottom"/>
          </w:tcPr>
          <w:p w14:paraId="2ADC5179" w14:textId="2E9A1D4E" w:rsidR="00A072D0" w:rsidRDefault="009576A5">
            <w:pPr>
              <w:pStyle w:val="Tabletext"/>
              <w:jc w:val="right"/>
              <w:rPr>
                <w:rFonts w:asciiTheme="minorHAnsi" w:hAnsiTheme="minorHAnsi"/>
                <w:szCs w:val="18"/>
              </w:rPr>
            </w:pPr>
            <w:r>
              <w:rPr>
                <w:rFonts w:asciiTheme="minorHAnsi" w:hAnsiTheme="minorHAnsi" w:cs="Arial"/>
                <w:szCs w:val="18"/>
              </w:rPr>
              <w:t>149</w:t>
            </w:r>
          </w:p>
        </w:tc>
      </w:tr>
      <w:tr w:rsidR="00A072D0" w14:paraId="1D3BB3A9" w14:textId="77777777">
        <w:trPr>
          <w:jc w:val="center"/>
        </w:trPr>
        <w:tc>
          <w:tcPr>
            <w:tcW w:w="3315" w:type="pct"/>
            <w:shd w:val="clear" w:color="auto" w:fill="auto"/>
            <w:noWrap/>
            <w:vAlign w:val="bottom"/>
          </w:tcPr>
          <w:p w14:paraId="48B4371B" w14:textId="77777777" w:rsidR="00A072D0" w:rsidRDefault="009576A5">
            <w:pPr>
              <w:pStyle w:val="Tabletext"/>
              <w:rPr>
                <w:rFonts w:asciiTheme="minorHAnsi" w:hAnsiTheme="minorHAnsi"/>
                <w:szCs w:val="18"/>
              </w:rPr>
            </w:pPr>
            <w:r>
              <w:rPr>
                <w:rFonts w:asciiTheme="minorHAnsi" w:hAnsiTheme="minorHAnsi" w:cs="Arial"/>
                <w:szCs w:val="18"/>
              </w:rPr>
              <w:t>Nicaragua</w:t>
            </w:r>
          </w:p>
        </w:tc>
        <w:tc>
          <w:tcPr>
            <w:tcW w:w="1685" w:type="pct"/>
            <w:shd w:val="clear" w:color="auto" w:fill="auto"/>
            <w:noWrap/>
            <w:vAlign w:val="bottom"/>
          </w:tcPr>
          <w:p w14:paraId="44B2DFAC" w14:textId="696307BF" w:rsidR="00A072D0" w:rsidRDefault="009576A5">
            <w:pPr>
              <w:pStyle w:val="Tabletext"/>
              <w:jc w:val="right"/>
              <w:rPr>
                <w:rFonts w:asciiTheme="minorHAnsi" w:hAnsiTheme="minorHAnsi"/>
                <w:szCs w:val="18"/>
              </w:rPr>
            </w:pPr>
            <w:r>
              <w:rPr>
                <w:rFonts w:asciiTheme="minorHAnsi" w:hAnsiTheme="minorHAnsi" w:cs="Arial"/>
                <w:szCs w:val="18"/>
              </w:rPr>
              <w:t>5</w:t>
            </w:r>
          </w:p>
        </w:tc>
      </w:tr>
      <w:tr w:rsidR="00A072D0" w14:paraId="5055906C" w14:textId="77777777">
        <w:trPr>
          <w:jc w:val="center"/>
        </w:trPr>
        <w:tc>
          <w:tcPr>
            <w:tcW w:w="3315" w:type="pct"/>
            <w:shd w:val="clear" w:color="auto" w:fill="auto"/>
            <w:noWrap/>
            <w:vAlign w:val="bottom"/>
          </w:tcPr>
          <w:p w14:paraId="16681CA2" w14:textId="77777777" w:rsidR="00A072D0" w:rsidRDefault="009576A5">
            <w:pPr>
              <w:pStyle w:val="Tabletext"/>
              <w:rPr>
                <w:rFonts w:asciiTheme="minorHAnsi" w:hAnsiTheme="minorHAnsi"/>
                <w:szCs w:val="18"/>
              </w:rPr>
            </w:pPr>
            <w:r>
              <w:rPr>
                <w:rFonts w:asciiTheme="minorHAnsi" w:hAnsiTheme="minorHAnsi" w:cs="Arial"/>
                <w:szCs w:val="18"/>
              </w:rPr>
              <w:t>Nigeria</w:t>
            </w:r>
          </w:p>
        </w:tc>
        <w:tc>
          <w:tcPr>
            <w:tcW w:w="1685" w:type="pct"/>
            <w:shd w:val="clear" w:color="auto" w:fill="auto"/>
            <w:noWrap/>
            <w:vAlign w:val="bottom"/>
          </w:tcPr>
          <w:p w14:paraId="331F3C35" w14:textId="172D1ABF" w:rsidR="00A072D0" w:rsidRDefault="009576A5">
            <w:pPr>
              <w:pStyle w:val="Tabletext"/>
              <w:jc w:val="right"/>
              <w:rPr>
                <w:rFonts w:asciiTheme="minorHAnsi" w:hAnsiTheme="minorHAnsi"/>
                <w:szCs w:val="18"/>
              </w:rPr>
            </w:pPr>
            <w:r>
              <w:rPr>
                <w:rFonts w:asciiTheme="minorHAnsi" w:hAnsiTheme="minorHAnsi" w:cs="Arial"/>
                <w:szCs w:val="18"/>
              </w:rPr>
              <w:t>11</w:t>
            </w:r>
          </w:p>
        </w:tc>
      </w:tr>
      <w:tr w:rsidR="00A072D0" w14:paraId="49240D06" w14:textId="77777777">
        <w:trPr>
          <w:jc w:val="center"/>
        </w:trPr>
        <w:tc>
          <w:tcPr>
            <w:tcW w:w="3315" w:type="pct"/>
            <w:shd w:val="clear" w:color="auto" w:fill="auto"/>
            <w:noWrap/>
            <w:vAlign w:val="bottom"/>
          </w:tcPr>
          <w:p w14:paraId="7D9270E6" w14:textId="77777777" w:rsidR="00A072D0" w:rsidRDefault="009576A5">
            <w:pPr>
              <w:pStyle w:val="Tabletext"/>
              <w:rPr>
                <w:rFonts w:asciiTheme="minorHAnsi" w:hAnsiTheme="minorHAnsi"/>
                <w:szCs w:val="18"/>
              </w:rPr>
            </w:pPr>
            <w:r>
              <w:rPr>
                <w:rFonts w:asciiTheme="minorHAnsi" w:hAnsiTheme="minorHAnsi" w:cs="Arial"/>
                <w:szCs w:val="18"/>
              </w:rPr>
              <w:t>Norway</w:t>
            </w:r>
          </w:p>
        </w:tc>
        <w:tc>
          <w:tcPr>
            <w:tcW w:w="1685" w:type="pct"/>
            <w:shd w:val="clear" w:color="auto" w:fill="auto"/>
            <w:noWrap/>
            <w:vAlign w:val="bottom"/>
          </w:tcPr>
          <w:p w14:paraId="76021672" w14:textId="3867BFD8" w:rsidR="00A072D0" w:rsidRDefault="009576A5">
            <w:pPr>
              <w:pStyle w:val="Tabletext"/>
              <w:jc w:val="right"/>
              <w:rPr>
                <w:rFonts w:asciiTheme="minorHAnsi" w:hAnsiTheme="minorHAnsi"/>
                <w:szCs w:val="18"/>
              </w:rPr>
            </w:pPr>
            <w:r>
              <w:rPr>
                <w:rFonts w:asciiTheme="minorHAnsi" w:hAnsiTheme="minorHAnsi" w:cs="Arial"/>
                <w:szCs w:val="18"/>
              </w:rPr>
              <w:t>62</w:t>
            </w:r>
          </w:p>
        </w:tc>
      </w:tr>
      <w:tr w:rsidR="00A072D0" w14:paraId="5279E5BC" w14:textId="77777777">
        <w:trPr>
          <w:jc w:val="center"/>
        </w:trPr>
        <w:tc>
          <w:tcPr>
            <w:tcW w:w="3315" w:type="pct"/>
            <w:shd w:val="clear" w:color="auto" w:fill="auto"/>
            <w:noWrap/>
            <w:vAlign w:val="bottom"/>
          </w:tcPr>
          <w:p w14:paraId="07147188" w14:textId="77777777" w:rsidR="00A072D0" w:rsidRDefault="009576A5">
            <w:pPr>
              <w:pStyle w:val="Tabletext"/>
              <w:rPr>
                <w:rFonts w:asciiTheme="minorHAnsi" w:hAnsiTheme="minorHAnsi"/>
                <w:szCs w:val="18"/>
              </w:rPr>
            </w:pPr>
            <w:r>
              <w:rPr>
                <w:rFonts w:asciiTheme="minorHAnsi" w:hAnsiTheme="minorHAnsi" w:cs="Arial"/>
                <w:szCs w:val="18"/>
              </w:rPr>
              <w:t>Pakistan</w:t>
            </w:r>
          </w:p>
        </w:tc>
        <w:tc>
          <w:tcPr>
            <w:tcW w:w="1685" w:type="pct"/>
            <w:shd w:val="clear" w:color="auto" w:fill="auto"/>
            <w:noWrap/>
            <w:vAlign w:val="bottom"/>
          </w:tcPr>
          <w:p w14:paraId="3654136C" w14:textId="7F378C9E" w:rsidR="00A072D0" w:rsidRDefault="009576A5">
            <w:pPr>
              <w:pStyle w:val="Tabletext"/>
              <w:jc w:val="right"/>
              <w:rPr>
                <w:rFonts w:asciiTheme="minorHAnsi" w:hAnsiTheme="minorHAnsi"/>
                <w:szCs w:val="18"/>
              </w:rPr>
            </w:pPr>
            <w:r>
              <w:rPr>
                <w:rFonts w:asciiTheme="minorHAnsi" w:hAnsiTheme="minorHAnsi" w:cs="Arial"/>
                <w:szCs w:val="18"/>
              </w:rPr>
              <w:t>77</w:t>
            </w:r>
          </w:p>
        </w:tc>
      </w:tr>
      <w:tr w:rsidR="00A072D0" w14:paraId="32A387FE" w14:textId="77777777">
        <w:trPr>
          <w:jc w:val="center"/>
        </w:trPr>
        <w:tc>
          <w:tcPr>
            <w:tcW w:w="3315" w:type="pct"/>
            <w:shd w:val="clear" w:color="auto" w:fill="auto"/>
            <w:noWrap/>
            <w:vAlign w:val="bottom"/>
          </w:tcPr>
          <w:p w14:paraId="296F2C6C" w14:textId="77777777" w:rsidR="00A072D0" w:rsidRDefault="009576A5">
            <w:pPr>
              <w:pStyle w:val="Tabletext"/>
              <w:rPr>
                <w:rFonts w:asciiTheme="minorHAnsi" w:hAnsiTheme="minorHAnsi"/>
                <w:szCs w:val="18"/>
              </w:rPr>
            </w:pPr>
            <w:r>
              <w:rPr>
                <w:rFonts w:asciiTheme="minorHAnsi" w:hAnsiTheme="minorHAnsi" w:cs="Arial"/>
                <w:szCs w:val="18"/>
              </w:rPr>
              <w:t>Papua New Guinea</w:t>
            </w:r>
          </w:p>
        </w:tc>
        <w:tc>
          <w:tcPr>
            <w:tcW w:w="1685" w:type="pct"/>
            <w:shd w:val="clear" w:color="auto" w:fill="auto"/>
            <w:noWrap/>
            <w:vAlign w:val="bottom"/>
          </w:tcPr>
          <w:p w14:paraId="2907FDE2" w14:textId="111A90B9" w:rsidR="00A072D0" w:rsidRDefault="009576A5">
            <w:pPr>
              <w:pStyle w:val="Tabletext"/>
              <w:jc w:val="right"/>
              <w:rPr>
                <w:rFonts w:asciiTheme="minorHAnsi" w:hAnsiTheme="minorHAnsi"/>
                <w:szCs w:val="18"/>
              </w:rPr>
            </w:pPr>
            <w:r>
              <w:rPr>
                <w:rFonts w:asciiTheme="minorHAnsi" w:hAnsiTheme="minorHAnsi" w:cs="Arial"/>
                <w:szCs w:val="18"/>
              </w:rPr>
              <w:t>10</w:t>
            </w:r>
          </w:p>
        </w:tc>
      </w:tr>
      <w:tr w:rsidR="00A072D0" w14:paraId="517A54C9" w14:textId="77777777">
        <w:trPr>
          <w:jc w:val="center"/>
        </w:trPr>
        <w:tc>
          <w:tcPr>
            <w:tcW w:w="3315" w:type="pct"/>
            <w:shd w:val="clear" w:color="auto" w:fill="auto"/>
            <w:noWrap/>
            <w:vAlign w:val="bottom"/>
          </w:tcPr>
          <w:p w14:paraId="46A4DA4A" w14:textId="77777777" w:rsidR="00A072D0" w:rsidRDefault="009576A5">
            <w:pPr>
              <w:pStyle w:val="Tabletext"/>
              <w:rPr>
                <w:rFonts w:asciiTheme="minorHAnsi" w:hAnsiTheme="minorHAnsi"/>
                <w:szCs w:val="18"/>
              </w:rPr>
            </w:pPr>
            <w:r>
              <w:rPr>
                <w:rFonts w:asciiTheme="minorHAnsi" w:hAnsiTheme="minorHAnsi" w:cs="Arial"/>
                <w:szCs w:val="18"/>
              </w:rPr>
              <w:t>Peru</w:t>
            </w:r>
          </w:p>
        </w:tc>
        <w:tc>
          <w:tcPr>
            <w:tcW w:w="1685" w:type="pct"/>
            <w:shd w:val="clear" w:color="auto" w:fill="auto"/>
            <w:noWrap/>
            <w:vAlign w:val="bottom"/>
          </w:tcPr>
          <w:p w14:paraId="3D571982" w14:textId="432EBE7B" w:rsidR="00A072D0" w:rsidRDefault="009576A5">
            <w:pPr>
              <w:pStyle w:val="Tabletext"/>
              <w:jc w:val="right"/>
              <w:rPr>
                <w:rFonts w:asciiTheme="minorHAnsi" w:hAnsiTheme="minorHAnsi"/>
                <w:szCs w:val="18"/>
              </w:rPr>
            </w:pPr>
            <w:r>
              <w:rPr>
                <w:rFonts w:asciiTheme="minorHAnsi" w:hAnsiTheme="minorHAnsi" w:cs="Arial"/>
                <w:szCs w:val="18"/>
              </w:rPr>
              <w:t>28</w:t>
            </w:r>
          </w:p>
        </w:tc>
      </w:tr>
      <w:tr w:rsidR="00A072D0" w14:paraId="1FC89C59" w14:textId="77777777">
        <w:trPr>
          <w:jc w:val="center"/>
        </w:trPr>
        <w:tc>
          <w:tcPr>
            <w:tcW w:w="3315" w:type="pct"/>
            <w:shd w:val="clear" w:color="auto" w:fill="auto"/>
            <w:noWrap/>
            <w:vAlign w:val="bottom"/>
          </w:tcPr>
          <w:p w14:paraId="5D138493" w14:textId="77777777" w:rsidR="00A072D0" w:rsidRDefault="009576A5">
            <w:pPr>
              <w:pStyle w:val="Tabletext"/>
              <w:rPr>
                <w:rFonts w:asciiTheme="minorHAnsi" w:hAnsiTheme="minorHAnsi"/>
                <w:szCs w:val="18"/>
              </w:rPr>
            </w:pPr>
            <w:r>
              <w:rPr>
                <w:rFonts w:asciiTheme="minorHAnsi" w:hAnsiTheme="minorHAnsi" w:cs="Arial"/>
                <w:szCs w:val="18"/>
              </w:rPr>
              <w:t>Philippines</w:t>
            </w:r>
          </w:p>
        </w:tc>
        <w:tc>
          <w:tcPr>
            <w:tcW w:w="1685" w:type="pct"/>
            <w:shd w:val="clear" w:color="auto" w:fill="auto"/>
            <w:noWrap/>
            <w:vAlign w:val="bottom"/>
          </w:tcPr>
          <w:p w14:paraId="50D1E846" w14:textId="734E5424" w:rsidR="00A072D0" w:rsidRDefault="009576A5">
            <w:pPr>
              <w:pStyle w:val="Tabletext"/>
              <w:jc w:val="right"/>
              <w:rPr>
                <w:rFonts w:asciiTheme="minorHAnsi" w:hAnsiTheme="minorHAnsi"/>
                <w:szCs w:val="18"/>
              </w:rPr>
            </w:pPr>
            <w:r>
              <w:rPr>
                <w:rFonts w:asciiTheme="minorHAnsi" w:hAnsiTheme="minorHAnsi" w:cs="Arial"/>
                <w:szCs w:val="18"/>
              </w:rPr>
              <w:t>222</w:t>
            </w:r>
          </w:p>
        </w:tc>
      </w:tr>
      <w:tr w:rsidR="00A072D0" w14:paraId="32C50831" w14:textId="77777777">
        <w:trPr>
          <w:jc w:val="center"/>
        </w:trPr>
        <w:tc>
          <w:tcPr>
            <w:tcW w:w="3315" w:type="pct"/>
            <w:shd w:val="clear" w:color="auto" w:fill="auto"/>
            <w:noWrap/>
            <w:vAlign w:val="bottom"/>
          </w:tcPr>
          <w:p w14:paraId="6E22D0C8" w14:textId="77777777" w:rsidR="00A072D0" w:rsidRDefault="009576A5">
            <w:pPr>
              <w:pStyle w:val="Tabletext"/>
              <w:rPr>
                <w:rFonts w:asciiTheme="minorHAnsi" w:hAnsiTheme="minorHAnsi"/>
                <w:szCs w:val="18"/>
              </w:rPr>
            </w:pPr>
            <w:r>
              <w:rPr>
                <w:rFonts w:asciiTheme="minorHAnsi" w:hAnsiTheme="minorHAnsi" w:cs="Arial"/>
                <w:szCs w:val="18"/>
              </w:rPr>
              <w:t>Poland</w:t>
            </w:r>
          </w:p>
        </w:tc>
        <w:tc>
          <w:tcPr>
            <w:tcW w:w="1685" w:type="pct"/>
            <w:shd w:val="clear" w:color="auto" w:fill="auto"/>
            <w:noWrap/>
            <w:vAlign w:val="bottom"/>
          </w:tcPr>
          <w:p w14:paraId="48B06950" w14:textId="1EFED2A8" w:rsidR="00A072D0" w:rsidRDefault="009576A5">
            <w:pPr>
              <w:pStyle w:val="Tabletext"/>
              <w:jc w:val="right"/>
              <w:rPr>
                <w:rFonts w:asciiTheme="minorHAnsi" w:hAnsiTheme="minorHAnsi"/>
                <w:szCs w:val="18"/>
              </w:rPr>
            </w:pPr>
            <w:r>
              <w:rPr>
                <w:rFonts w:asciiTheme="minorHAnsi" w:hAnsiTheme="minorHAnsi" w:cs="Arial"/>
                <w:szCs w:val="18"/>
              </w:rPr>
              <w:t>68</w:t>
            </w:r>
          </w:p>
        </w:tc>
      </w:tr>
      <w:tr w:rsidR="00A072D0" w14:paraId="491B005E" w14:textId="77777777">
        <w:trPr>
          <w:jc w:val="center"/>
        </w:trPr>
        <w:tc>
          <w:tcPr>
            <w:tcW w:w="3315" w:type="pct"/>
            <w:shd w:val="clear" w:color="auto" w:fill="auto"/>
            <w:noWrap/>
            <w:vAlign w:val="bottom"/>
          </w:tcPr>
          <w:p w14:paraId="4BD80961" w14:textId="77777777" w:rsidR="00A072D0" w:rsidRDefault="009576A5">
            <w:pPr>
              <w:pStyle w:val="Tabletext"/>
              <w:rPr>
                <w:rFonts w:asciiTheme="minorHAnsi" w:hAnsiTheme="minorHAnsi"/>
                <w:szCs w:val="18"/>
              </w:rPr>
            </w:pPr>
            <w:r>
              <w:rPr>
                <w:rFonts w:asciiTheme="minorHAnsi" w:hAnsiTheme="minorHAnsi" w:cs="Arial"/>
                <w:szCs w:val="18"/>
              </w:rPr>
              <w:t>Portugal</w:t>
            </w:r>
          </w:p>
        </w:tc>
        <w:tc>
          <w:tcPr>
            <w:tcW w:w="1685" w:type="pct"/>
            <w:shd w:val="clear" w:color="auto" w:fill="auto"/>
            <w:noWrap/>
            <w:vAlign w:val="bottom"/>
          </w:tcPr>
          <w:p w14:paraId="39ECB650" w14:textId="30E427F6" w:rsidR="00A072D0" w:rsidRDefault="009576A5">
            <w:pPr>
              <w:pStyle w:val="Tabletext"/>
              <w:jc w:val="right"/>
              <w:rPr>
                <w:rFonts w:asciiTheme="minorHAnsi" w:hAnsiTheme="minorHAnsi"/>
                <w:szCs w:val="18"/>
              </w:rPr>
            </w:pPr>
            <w:r>
              <w:rPr>
                <w:rFonts w:asciiTheme="minorHAnsi" w:hAnsiTheme="minorHAnsi" w:cs="Arial"/>
                <w:szCs w:val="18"/>
              </w:rPr>
              <w:t>41</w:t>
            </w:r>
          </w:p>
        </w:tc>
      </w:tr>
      <w:tr w:rsidR="00A072D0" w14:paraId="7A096B22" w14:textId="77777777">
        <w:trPr>
          <w:jc w:val="center"/>
        </w:trPr>
        <w:tc>
          <w:tcPr>
            <w:tcW w:w="3315" w:type="pct"/>
            <w:shd w:val="clear" w:color="auto" w:fill="auto"/>
            <w:noWrap/>
            <w:vAlign w:val="bottom"/>
          </w:tcPr>
          <w:p w14:paraId="2BE9DFCE" w14:textId="77777777" w:rsidR="00A072D0" w:rsidRDefault="009576A5">
            <w:pPr>
              <w:pStyle w:val="Tabletext"/>
              <w:rPr>
                <w:rFonts w:asciiTheme="minorHAnsi" w:hAnsiTheme="minorHAnsi"/>
                <w:szCs w:val="18"/>
              </w:rPr>
            </w:pPr>
            <w:r>
              <w:rPr>
                <w:rFonts w:asciiTheme="minorHAnsi" w:hAnsiTheme="minorHAnsi" w:cs="Arial"/>
                <w:szCs w:val="18"/>
              </w:rPr>
              <w:t>Puerto Rico</w:t>
            </w:r>
          </w:p>
        </w:tc>
        <w:tc>
          <w:tcPr>
            <w:tcW w:w="1685" w:type="pct"/>
            <w:shd w:val="clear" w:color="auto" w:fill="auto"/>
            <w:noWrap/>
            <w:vAlign w:val="bottom"/>
          </w:tcPr>
          <w:p w14:paraId="463BAA84" w14:textId="3BDDD34C" w:rsidR="00A072D0" w:rsidRDefault="009576A5">
            <w:pPr>
              <w:pStyle w:val="Tabletext"/>
              <w:jc w:val="right"/>
              <w:rPr>
                <w:rFonts w:asciiTheme="minorHAnsi" w:hAnsiTheme="minorHAnsi"/>
                <w:szCs w:val="18"/>
              </w:rPr>
            </w:pPr>
            <w:r>
              <w:rPr>
                <w:rFonts w:asciiTheme="minorHAnsi" w:hAnsiTheme="minorHAnsi" w:cs="Arial"/>
                <w:szCs w:val="18"/>
              </w:rPr>
              <w:t>6</w:t>
            </w:r>
          </w:p>
        </w:tc>
      </w:tr>
      <w:tr w:rsidR="00A072D0" w14:paraId="15DA7A70" w14:textId="77777777">
        <w:trPr>
          <w:jc w:val="center"/>
        </w:trPr>
        <w:tc>
          <w:tcPr>
            <w:tcW w:w="3315" w:type="pct"/>
            <w:shd w:val="clear" w:color="auto" w:fill="auto"/>
            <w:noWrap/>
            <w:vAlign w:val="bottom"/>
          </w:tcPr>
          <w:p w14:paraId="565FE7BE" w14:textId="77777777" w:rsidR="00A072D0" w:rsidRDefault="009576A5">
            <w:pPr>
              <w:pStyle w:val="Tabletext"/>
              <w:rPr>
                <w:rFonts w:asciiTheme="minorHAnsi" w:hAnsiTheme="minorHAnsi"/>
                <w:szCs w:val="18"/>
              </w:rPr>
            </w:pPr>
            <w:r>
              <w:rPr>
                <w:rFonts w:asciiTheme="minorHAnsi" w:hAnsiTheme="minorHAnsi" w:cs="Arial"/>
                <w:szCs w:val="18"/>
              </w:rPr>
              <w:t>Romania</w:t>
            </w:r>
          </w:p>
        </w:tc>
        <w:tc>
          <w:tcPr>
            <w:tcW w:w="1685" w:type="pct"/>
            <w:shd w:val="clear" w:color="auto" w:fill="auto"/>
            <w:noWrap/>
            <w:vAlign w:val="bottom"/>
          </w:tcPr>
          <w:p w14:paraId="384A4F8C" w14:textId="47FFD6A9" w:rsidR="00A072D0" w:rsidRDefault="009576A5">
            <w:pPr>
              <w:pStyle w:val="Tabletext"/>
              <w:jc w:val="right"/>
              <w:rPr>
                <w:rFonts w:asciiTheme="minorHAnsi" w:hAnsiTheme="minorHAnsi"/>
                <w:szCs w:val="18"/>
              </w:rPr>
            </w:pPr>
            <w:r>
              <w:rPr>
                <w:rFonts w:asciiTheme="minorHAnsi" w:hAnsiTheme="minorHAnsi" w:cs="Arial"/>
                <w:szCs w:val="18"/>
              </w:rPr>
              <w:t>4</w:t>
            </w:r>
          </w:p>
        </w:tc>
      </w:tr>
      <w:tr w:rsidR="00A072D0" w14:paraId="723B4634" w14:textId="77777777">
        <w:trPr>
          <w:jc w:val="center"/>
        </w:trPr>
        <w:tc>
          <w:tcPr>
            <w:tcW w:w="3315" w:type="pct"/>
            <w:shd w:val="clear" w:color="auto" w:fill="auto"/>
            <w:noWrap/>
            <w:vAlign w:val="bottom"/>
          </w:tcPr>
          <w:p w14:paraId="7997E696" w14:textId="77777777" w:rsidR="00A072D0" w:rsidRDefault="009576A5">
            <w:pPr>
              <w:pStyle w:val="Tabletext"/>
              <w:rPr>
                <w:rFonts w:asciiTheme="minorHAnsi" w:hAnsiTheme="minorHAnsi"/>
                <w:szCs w:val="18"/>
              </w:rPr>
            </w:pPr>
            <w:r>
              <w:rPr>
                <w:rFonts w:asciiTheme="minorHAnsi" w:hAnsiTheme="minorHAnsi" w:cs="Arial"/>
                <w:szCs w:val="18"/>
              </w:rPr>
              <w:t>Russian Federation</w:t>
            </w:r>
          </w:p>
        </w:tc>
        <w:tc>
          <w:tcPr>
            <w:tcW w:w="1685" w:type="pct"/>
            <w:shd w:val="clear" w:color="auto" w:fill="auto"/>
            <w:noWrap/>
            <w:vAlign w:val="bottom"/>
          </w:tcPr>
          <w:p w14:paraId="537608C5" w14:textId="3CDAF93F" w:rsidR="00A072D0" w:rsidRDefault="009576A5">
            <w:pPr>
              <w:pStyle w:val="Tabletext"/>
              <w:jc w:val="right"/>
              <w:rPr>
                <w:rFonts w:asciiTheme="minorHAnsi" w:hAnsiTheme="minorHAnsi"/>
                <w:szCs w:val="18"/>
              </w:rPr>
            </w:pPr>
            <w:r>
              <w:rPr>
                <w:rFonts w:asciiTheme="minorHAnsi" w:hAnsiTheme="minorHAnsi" w:cs="Arial"/>
                <w:szCs w:val="18"/>
              </w:rPr>
              <w:t>12</w:t>
            </w:r>
          </w:p>
        </w:tc>
      </w:tr>
      <w:tr w:rsidR="00A072D0" w14:paraId="67179D20" w14:textId="77777777">
        <w:trPr>
          <w:jc w:val="center"/>
        </w:trPr>
        <w:tc>
          <w:tcPr>
            <w:tcW w:w="3315" w:type="pct"/>
            <w:shd w:val="clear" w:color="auto" w:fill="auto"/>
            <w:noWrap/>
            <w:vAlign w:val="bottom"/>
          </w:tcPr>
          <w:p w14:paraId="67013485" w14:textId="77777777" w:rsidR="00A072D0" w:rsidRDefault="009576A5">
            <w:pPr>
              <w:pStyle w:val="Tabletext"/>
              <w:rPr>
                <w:rFonts w:asciiTheme="minorHAnsi" w:hAnsiTheme="minorHAnsi"/>
                <w:szCs w:val="18"/>
              </w:rPr>
            </w:pPr>
            <w:r>
              <w:rPr>
                <w:rFonts w:asciiTheme="minorHAnsi" w:hAnsiTheme="minorHAnsi" w:cs="Arial"/>
                <w:szCs w:val="18"/>
              </w:rPr>
              <w:t>Saudi Arabia</w:t>
            </w:r>
          </w:p>
        </w:tc>
        <w:tc>
          <w:tcPr>
            <w:tcW w:w="1685" w:type="pct"/>
            <w:shd w:val="clear" w:color="auto" w:fill="auto"/>
            <w:noWrap/>
            <w:vAlign w:val="bottom"/>
          </w:tcPr>
          <w:p w14:paraId="3448C76E" w14:textId="3798B649" w:rsidR="00A072D0" w:rsidRDefault="009576A5">
            <w:pPr>
              <w:pStyle w:val="Tabletext"/>
              <w:jc w:val="right"/>
              <w:rPr>
                <w:rFonts w:asciiTheme="minorHAnsi" w:hAnsiTheme="minorHAnsi"/>
                <w:szCs w:val="18"/>
              </w:rPr>
            </w:pPr>
            <w:r>
              <w:rPr>
                <w:rFonts w:asciiTheme="minorHAnsi" w:hAnsiTheme="minorHAnsi" w:cs="Arial"/>
                <w:szCs w:val="18"/>
              </w:rPr>
              <w:t>6</w:t>
            </w:r>
          </w:p>
        </w:tc>
      </w:tr>
      <w:tr w:rsidR="00A072D0" w14:paraId="529F2DAB" w14:textId="77777777">
        <w:trPr>
          <w:jc w:val="center"/>
        </w:trPr>
        <w:tc>
          <w:tcPr>
            <w:tcW w:w="3315" w:type="pct"/>
            <w:shd w:val="clear" w:color="auto" w:fill="auto"/>
            <w:noWrap/>
            <w:vAlign w:val="bottom"/>
          </w:tcPr>
          <w:p w14:paraId="0FF3D07C" w14:textId="77777777" w:rsidR="00A072D0" w:rsidRDefault="009576A5">
            <w:pPr>
              <w:pStyle w:val="Tabletext"/>
              <w:rPr>
                <w:rFonts w:asciiTheme="minorHAnsi" w:hAnsiTheme="minorHAnsi"/>
                <w:szCs w:val="18"/>
              </w:rPr>
            </w:pPr>
            <w:r>
              <w:rPr>
                <w:rFonts w:asciiTheme="minorHAnsi" w:hAnsiTheme="minorHAnsi" w:cs="Arial"/>
                <w:szCs w:val="18"/>
              </w:rPr>
              <w:t>Serbia</w:t>
            </w:r>
          </w:p>
        </w:tc>
        <w:tc>
          <w:tcPr>
            <w:tcW w:w="1685" w:type="pct"/>
            <w:shd w:val="clear" w:color="auto" w:fill="auto"/>
            <w:noWrap/>
            <w:vAlign w:val="bottom"/>
          </w:tcPr>
          <w:p w14:paraId="1791E231" w14:textId="7895E489" w:rsidR="00A072D0" w:rsidRDefault="009576A5">
            <w:pPr>
              <w:pStyle w:val="Tabletext"/>
              <w:jc w:val="right"/>
              <w:rPr>
                <w:rFonts w:asciiTheme="minorHAnsi" w:hAnsiTheme="minorHAnsi"/>
                <w:szCs w:val="18"/>
              </w:rPr>
            </w:pPr>
            <w:r>
              <w:rPr>
                <w:rFonts w:asciiTheme="minorHAnsi" w:hAnsiTheme="minorHAnsi" w:cs="Arial"/>
                <w:szCs w:val="18"/>
              </w:rPr>
              <w:t>46</w:t>
            </w:r>
          </w:p>
        </w:tc>
      </w:tr>
      <w:tr w:rsidR="00A072D0" w14:paraId="475084B2" w14:textId="77777777">
        <w:trPr>
          <w:jc w:val="center"/>
        </w:trPr>
        <w:tc>
          <w:tcPr>
            <w:tcW w:w="3315" w:type="pct"/>
            <w:shd w:val="clear" w:color="auto" w:fill="auto"/>
            <w:noWrap/>
            <w:vAlign w:val="bottom"/>
          </w:tcPr>
          <w:p w14:paraId="3FA7D7FB" w14:textId="77777777" w:rsidR="00A072D0" w:rsidRDefault="009576A5">
            <w:pPr>
              <w:pStyle w:val="Tabletext"/>
              <w:rPr>
                <w:rFonts w:asciiTheme="minorHAnsi" w:hAnsiTheme="minorHAnsi"/>
                <w:szCs w:val="18"/>
              </w:rPr>
            </w:pPr>
            <w:r>
              <w:rPr>
                <w:rFonts w:asciiTheme="minorHAnsi" w:hAnsiTheme="minorHAnsi" w:cs="Arial"/>
                <w:szCs w:val="18"/>
              </w:rPr>
              <w:t>Singapore</w:t>
            </w:r>
          </w:p>
        </w:tc>
        <w:tc>
          <w:tcPr>
            <w:tcW w:w="1685" w:type="pct"/>
            <w:shd w:val="clear" w:color="auto" w:fill="auto"/>
            <w:noWrap/>
            <w:vAlign w:val="bottom"/>
          </w:tcPr>
          <w:p w14:paraId="25159060" w14:textId="296D49B1" w:rsidR="00A072D0" w:rsidRDefault="009576A5">
            <w:pPr>
              <w:pStyle w:val="Tabletext"/>
              <w:jc w:val="right"/>
              <w:rPr>
                <w:rFonts w:asciiTheme="minorHAnsi" w:hAnsiTheme="minorHAnsi"/>
                <w:szCs w:val="18"/>
              </w:rPr>
            </w:pPr>
            <w:r>
              <w:rPr>
                <w:rFonts w:asciiTheme="minorHAnsi" w:hAnsiTheme="minorHAnsi" w:cs="Arial"/>
                <w:szCs w:val="18"/>
              </w:rPr>
              <w:t>188</w:t>
            </w:r>
          </w:p>
        </w:tc>
      </w:tr>
      <w:tr w:rsidR="00A072D0" w14:paraId="569E6DA1" w14:textId="77777777">
        <w:trPr>
          <w:jc w:val="center"/>
        </w:trPr>
        <w:tc>
          <w:tcPr>
            <w:tcW w:w="3315" w:type="pct"/>
            <w:shd w:val="clear" w:color="auto" w:fill="auto"/>
            <w:noWrap/>
            <w:vAlign w:val="bottom"/>
          </w:tcPr>
          <w:p w14:paraId="76FF87FD" w14:textId="77777777" w:rsidR="00A072D0" w:rsidRDefault="009576A5">
            <w:pPr>
              <w:pStyle w:val="Tabletext"/>
              <w:rPr>
                <w:rFonts w:asciiTheme="minorHAnsi" w:hAnsiTheme="minorHAnsi"/>
                <w:szCs w:val="18"/>
              </w:rPr>
            </w:pPr>
            <w:r>
              <w:rPr>
                <w:rFonts w:asciiTheme="minorHAnsi" w:hAnsiTheme="minorHAnsi" w:cs="Arial"/>
                <w:szCs w:val="18"/>
              </w:rPr>
              <w:t>Slovakia Slovak republic</w:t>
            </w:r>
          </w:p>
        </w:tc>
        <w:tc>
          <w:tcPr>
            <w:tcW w:w="1685" w:type="pct"/>
            <w:shd w:val="clear" w:color="auto" w:fill="auto"/>
            <w:noWrap/>
            <w:vAlign w:val="bottom"/>
          </w:tcPr>
          <w:p w14:paraId="4410E142" w14:textId="60B0D0C2"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1904C5FF" w14:textId="77777777">
        <w:trPr>
          <w:jc w:val="center"/>
        </w:trPr>
        <w:tc>
          <w:tcPr>
            <w:tcW w:w="3315" w:type="pct"/>
            <w:shd w:val="clear" w:color="auto" w:fill="auto"/>
            <w:noWrap/>
            <w:vAlign w:val="bottom"/>
          </w:tcPr>
          <w:p w14:paraId="16E08C5D" w14:textId="77777777" w:rsidR="00A072D0" w:rsidRDefault="009576A5">
            <w:pPr>
              <w:pStyle w:val="Tabletext"/>
              <w:rPr>
                <w:rFonts w:asciiTheme="minorHAnsi" w:hAnsiTheme="minorHAnsi"/>
                <w:szCs w:val="18"/>
              </w:rPr>
            </w:pPr>
            <w:r>
              <w:rPr>
                <w:rFonts w:asciiTheme="minorHAnsi" w:hAnsiTheme="minorHAnsi" w:cs="Arial"/>
                <w:szCs w:val="18"/>
              </w:rPr>
              <w:lastRenderedPageBreak/>
              <w:t>Slovenia</w:t>
            </w:r>
          </w:p>
        </w:tc>
        <w:tc>
          <w:tcPr>
            <w:tcW w:w="1685" w:type="pct"/>
            <w:shd w:val="clear" w:color="auto" w:fill="auto"/>
            <w:noWrap/>
            <w:vAlign w:val="bottom"/>
          </w:tcPr>
          <w:p w14:paraId="3F757B37" w14:textId="7A458AEC" w:rsidR="00A072D0" w:rsidRDefault="009576A5">
            <w:pPr>
              <w:pStyle w:val="Tabletext"/>
              <w:jc w:val="right"/>
              <w:rPr>
                <w:rFonts w:asciiTheme="minorHAnsi" w:hAnsiTheme="minorHAnsi"/>
                <w:szCs w:val="18"/>
              </w:rPr>
            </w:pPr>
            <w:r>
              <w:rPr>
                <w:rFonts w:asciiTheme="minorHAnsi" w:hAnsiTheme="minorHAnsi" w:cs="Arial"/>
                <w:szCs w:val="18"/>
              </w:rPr>
              <w:t>8</w:t>
            </w:r>
          </w:p>
        </w:tc>
      </w:tr>
      <w:tr w:rsidR="00A072D0" w14:paraId="2167BB79" w14:textId="77777777">
        <w:trPr>
          <w:jc w:val="center"/>
        </w:trPr>
        <w:tc>
          <w:tcPr>
            <w:tcW w:w="3315" w:type="pct"/>
            <w:shd w:val="clear" w:color="auto" w:fill="auto"/>
            <w:noWrap/>
            <w:vAlign w:val="bottom"/>
          </w:tcPr>
          <w:p w14:paraId="672C9962" w14:textId="77777777" w:rsidR="00A072D0" w:rsidRDefault="009576A5">
            <w:pPr>
              <w:pStyle w:val="Tabletext"/>
              <w:rPr>
                <w:rFonts w:asciiTheme="minorHAnsi" w:hAnsiTheme="minorHAnsi"/>
                <w:szCs w:val="18"/>
              </w:rPr>
            </w:pPr>
            <w:r>
              <w:rPr>
                <w:rFonts w:asciiTheme="minorHAnsi" w:hAnsiTheme="minorHAnsi" w:cs="Arial"/>
                <w:szCs w:val="18"/>
              </w:rPr>
              <w:t>Solomon Islands</w:t>
            </w:r>
          </w:p>
        </w:tc>
        <w:tc>
          <w:tcPr>
            <w:tcW w:w="1685" w:type="pct"/>
            <w:shd w:val="clear" w:color="auto" w:fill="auto"/>
            <w:noWrap/>
            <w:vAlign w:val="bottom"/>
          </w:tcPr>
          <w:p w14:paraId="350524F6" w14:textId="58EF87E1"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580AD10E" w14:textId="77777777">
        <w:trPr>
          <w:jc w:val="center"/>
        </w:trPr>
        <w:tc>
          <w:tcPr>
            <w:tcW w:w="3315" w:type="pct"/>
            <w:shd w:val="clear" w:color="auto" w:fill="auto"/>
            <w:noWrap/>
            <w:vAlign w:val="bottom"/>
          </w:tcPr>
          <w:p w14:paraId="238FDD16" w14:textId="77777777" w:rsidR="00A072D0" w:rsidRDefault="009576A5">
            <w:pPr>
              <w:pStyle w:val="Tabletext"/>
              <w:rPr>
                <w:rFonts w:asciiTheme="minorHAnsi" w:hAnsiTheme="minorHAnsi"/>
                <w:szCs w:val="18"/>
              </w:rPr>
            </w:pPr>
            <w:r>
              <w:rPr>
                <w:rFonts w:asciiTheme="minorHAnsi" w:hAnsiTheme="minorHAnsi" w:cs="Arial"/>
                <w:szCs w:val="18"/>
              </w:rPr>
              <w:t>South Africa</w:t>
            </w:r>
          </w:p>
        </w:tc>
        <w:tc>
          <w:tcPr>
            <w:tcW w:w="1685" w:type="pct"/>
            <w:shd w:val="clear" w:color="auto" w:fill="auto"/>
            <w:noWrap/>
            <w:vAlign w:val="bottom"/>
          </w:tcPr>
          <w:p w14:paraId="61215D72" w14:textId="783C9E39" w:rsidR="00A072D0" w:rsidRDefault="009576A5">
            <w:pPr>
              <w:pStyle w:val="Tabletext"/>
              <w:jc w:val="right"/>
              <w:rPr>
                <w:rFonts w:asciiTheme="minorHAnsi" w:hAnsiTheme="minorHAnsi"/>
                <w:szCs w:val="18"/>
              </w:rPr>
            </w:pPr>
            <w:r>
              <w:rPr>
                <w:rFonts w:asciiTheme="minorHAnsi" w:hAnsiTheme="minorHAnsi" w:cs="Arial"/>
                <w:szCs w:val="18"/>
              </w:rPr>
              <w:t>195</w:t>
            </w:r>
          </w:p>
        </w:tc>
      </w:tr>
      <w:tr w:rsidR="00A072D0" w14:paraId="1B944FFD" w14:textId="77777777">
        <w:trPr>
          <w:jc w:val="center"/>
        </w:trPr>
        <w:tc>
          <w:tcPr>
            <w:tcW w:w="3315" w:type="pct"/>
            <w:shd w:val="clear" w:color="auto" w:fill="auto"/>
            <w:noWrap/>
            <w:vAlign w:val="bottom"/>
          </w:tcPr>
          <w:p w14:paraId="3202DC7B" w14:textId="77777777" w:rsidR="00A072D0" w:rsidRDefault="009576A5">
            <w:pPr>
              <w:pStyle w:val="Tabletext"/>
              <w:rPr>
                <w:rFonts w:asciiTheme="minorHAnsi" w:hAnsiTheme="minorHAnsi"/>
                <w:szCs w:val="18"/>
              </w:rPr>
            </w:pPr>
            <w:r>
              <w:rPr>
                <w:rFonts w:asciiTheme="minorHAnsi" w:hAnsiTheme="minorHAnsi" w:cs="Arial"/>
                <w:szCs w:val="18"/>
              </w:rPr>
              <w:t>Spain</w:t>
            </w:r>
          </w:p>
        </w:tc>
        <w:tc>
          <w:tcPr>
            <w:tcW w:w="1685" w:type="pct"/>
            <w:shd w:val="clear" w:color="auto" w:fill="auto"/>
            <w:noWrap/>
            <w:vAlign w:val="bottom"/>
          </w:tcPr>
          <w:p w14:paraId="32D11EB8" w14:textId="488EE898" w:rsidR="00A072D0" w:rsidRDefault="009576A5">
            <w:pPr>
              <w:pStyle w:val="Tabletext"/>
              <w:jc w:val="right"/>
              <w:rPr>
                <w:rFonts w:asciiTheme="minorHAnsi" w:hAnsiTheme="minorHAnsi"/>
                <w:szCs w:val="18"/>
              </w:rPr>
            </w:pPr>
            <w:r>
              <w:rPr>
                <w:rFonts w:asciiTheme="minorHAnsi" w:hAnsiTheme="minorHAnsi" w:cs="Arial"/>
                <w:szCs w:val="18"/>
              </w:rPr>
              <w:t>285</w:t>
            </w:r>
          </w:p>
        </w:tc>
      </w:tr>
      <w:tr w:rsidR="00A072D0" w14:paraId="242D49B8" w14:textId="77777777">
        <w:trPr>
          <w:jc w:val="center"/>
        </w:trPr>
        <w:tc>
          <w:tcPr>
            <w:tcW w:w="3315" w:type="pct"/>
            <w:shd w:val="clear" w:color="auto" w:fill="auto"/>
            <w:noWrap/>
            <w:vAlign w:val="bottom"/>
          </w:tcPr>
          <w:p w14:paraId="23CD59E7" w14:textId="77777777" w:rsidR="00A072D0" w:rsidRDefault="009576A5">
            <w:pPr>
              <w:pStyle w:val="Tabletext"/>
              <w:rPr>
                <w:rFonts w:asciiTheme="minorHAnsi" w:hAnsiTheme="minorHAnsi"/>
                <w:szCs w:val="18"/>
              </w:rPr>
            </w:pPr>
            <w:r>
              <w:rPr>
                <w:rFonts w:asciiTheme="minorHAnsi" w:hAnsiTheme="minorHAnsi" w:cs="Arial"/>
                <w:szCs w:val="18"/>
              </w:rPr>
              <w:t>Sri Lanka</w:t>
            </w:r>
          </w:p>
        </w:tc>
        <w:tc>
          <w:tcPr>
            <w:tcW w:w="1685" w:type="pct"/>
            <w:shd w:val="clear" w:color="auto" w:fill="auto"/>
            <w:noWrap/>
            <w:vAlign w:val="bottom"/>
          </w:tcPr>
          <w:p w14:paraId="17FEC737" w14:textId="2D7DDAAC" w:rsidR="00A072D0" w:rsidRDefault="009576A5">
            <w:pPr>
              <w:pStyle w:val="Tabletext"/>
              <w:jc w:val="right"/>
              <w:rPr>
                <w:rFonts w:asciiTheme="minorHAnsi" w:hAnsiTheme="minorHAnsi"/>
                <w:szCs w:val="18"/>
              </w:rPr>
            </w:pPr>
            <w:r>
              <w:rPr>
                <w:rFonts w:asciiTheme="minorHAnsi" w:hAnsiTheme="minorHAnsi" w:cs="Arial"/>
                <w:szCs w:val="18"/>
              </w:rPr>
              <w:t>256</w:t>
            </w:r>
          </w:p>
        </w:tc>
      </w:tr>
      <w:tr w:rsidR="00A072D0" w14:paraId="7A7D45EC" w14:textId="77777777">
        <w:trPr>
          <w:jc w:val="center"/>
        </w:trPr>
        <w:tc>
          <w:tcPr>
            <w:tcW w:w="3315" w:type="pct"/>
            <w:shd w:val="clear" w:color="auto" w:fill="auto"/>
            <w:noWrap/>
            <w:vAlign w:val="bottom"/>
          </w:tcPr>
          <w:p w14:paraId="7871EF48" w14:textId="77777777" w:rsidR="00A072D0" w:rsidRDefault="009576A5">
            <w:pPr>
              <w:pStyle w:val="Tabletext"/>
              <w:rPr>
                <w:rFonts w:asciiTheme="minorHAnsi" w:hAnsiTheme="minorHAnsi"/>
                <w:szCs w:val="18"/>
              </w:rPr>
            </w:pPr>
            <w:r>
              <w:rPr>
                <w:rFonts w:asciiTheme="minorHAnsi" w:hAnsiTheme="minorHAnsi" w:cs="Arial"/>
                <w:szCs w:val="18"/>
              </w:rPr>
              <w:t>St Helena</w:t>
            </w:r>
          </w:p>
        </w:tc>
        <w:tc>
          <w:tcPr>
            <w:tcW w:w="1685" w:type="pct"/>
            <w:shd w:val="clear" w:color="auto" w:fill="auto"/>
            <w:noWrap/>
            <w:vAlign w:val="bottom"/>
          </w:tcPr>
          <w:p w14:paraId="45F59C62" w14:textId="503ACEF3"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3A1D3B28" w14:textId="77777777">
        <w:trPr>
          <w:jc w:val="center"/>
        </w:trPr>
        <w:tc>
          <w:tcPr>
            <w:tcW w:w="3315" w:type="pct"/>
            <w:shd w:val="clear" w:color="auto" w:fill="auto"/>
            <w:noWrap/>
            <w:vAlign w:val="bottom"/>
          </w:tcPr>
          <w:p w14:paraId="32F06546" w14:textId="77777777" w:rsidR="00A072D0" w:rsidRDefault="009576A5">
            <w:pPr>
              <w:pStyle w:val="Tabletext"/>
              <w:rPr>
                <w:rFonts w:asciiTheme="minorHAnsi" w:hAnsiTheme="minorHAnsi"/>
                <w:szCs w:val="18"/>
              </w:rPr>
            </w:pPr>
            <w:r>
              <w:rPr>
                <w:rFonts w:asciiTheme="minorHAnsi" w:hAnsiTheme="minorHAnsi" w:cs="Arial"/>
                <w:szCs w:val="18"/>
              </w:rPr>
              <w:t>Swaziland</w:t>
            </w:r>
          </w:p>
        </w:tc>
        <w:tc>
          <w:tcPr>
            <w:tcW w:w="1685" w:type="pct"/>
            <w:shd w:val="clear" w:color="auto" w:fill="auto"/>
            <w:noWrap/>
            <w:vAlign w:val="bottom"/>
          </w:tcPr>
          <w:p w14:paraId="4B69EFB1" w14:textId="7B2231A4" w:rsidR="00A072D0" w:rsidRDefault="009576A5">
            <w:pPr>
              <w:pStyle w:val="Tabletext"/>
              <w:jc w:val="right"/>
              <w:rPr>
                <w:rFonts w:asciiTheme="minorHAnsi" w:hAnsiTheme="minorHAnsi"/>
                <w:szCs w:val="18"/>
              </w:rPr>
            </w:pPr>
            <w:r>
              <w:rPr>
                <w:rFonts w:asciiTheme="minorHAnsi" w:hAnsiTheme="minorHAnsi" w:cs="Arial"/>
                <w:szCs w:val="18"/>
              </w:rPr>
              <w:t>10</w:t>
            </w:r>
          </w:p>
        </w:tc>
      </w:tr>
      <w:tr w:rsidR="00A072D0" w14:paraId="0044E101" w14:textId="77777777">
        <w:trPr>
          <w:jc w:val="center"/>
        </w:trPr>
        <w:tc>
          <w:tcPr>
            <w:tcW w:w="3315" w:type="pct"/>
            <w:shd w:val="clear" w:color="auto" w:fill="auto"/>
            <w:noWrap/>
            <w:vAlign w:val="bottom"/>
          </w:tcPr>
          <w:p w14:paraId="0E734FEA" w14:textId="77777777" w:rsidR="00A072D0" w:rsidRDefault="009576A5">
            <w:pPr>
              <w:pStyle w:val="Tabletext"/>
              <w:rPr>
                <w:rFonts w:asciiTheme="minorHAnsi" w:hAnsiTheme="minorHAnsi"/>
                <w:szCs w:val="18"/>
              </w:rPr>
            </w:pPr>
            <w:r>
              <w:rPr>
                <w:rFonts w:asciiTheme="minorHAnsi" w:hAnsiTheme="minorHAnsi" w:cs="Arial"/>
                <w:szCs w:val="18"/>
              </w:rPr>
              <w:t>Sweden</w:t>
            </w:r>
          </w:p>
        </w:tc>
        <w:tc>
          <w:tcPr>
            <w:tcW w:w="1685" w:type="pct"/>
            <w:shd w:val="clear" w:color="auto" w:fill="auto"/>
            <w:noWrap/>
            <w:vAlign w:val="bottom"/>
          </w:tcPr>
          <w:p w14:paraId="78CD8A70" w14:textId="69D759F6" w:rsidR="00A072D0" w:rsidRDefault="009576A5">
            <w:pPr>
              <w:pStyle w:val="Tabletext"/>
              <w:jc w:val="right"/>
              <w:rPr>
                <w:rFonts w:asciiTheme="minorHAnsi" w:hAnsiTheme="minorHAnsi"/>
                <w:szCs w:val="18"/>
              </w:rPr>
            </w:pPr>
            <w:r>
              <w:rPr>
                <w:rFonts w:asciiTheme="minorHAnsi" w:hAnsiTheme="minorHAnsi" w:cs="Arial"/>
                <w:szCs w:val="18"/>
              </w:rPr>
              <w:t>49</w:t>
            </w:r>
          </w:p>
        </w:tc>
      </w:tr>
      <w:tr w:rsidR="00A072D0" w14:paraId="33E10F91" w14:textId="77777777">
        <w:trPr>
          <w:jc w:val="center"/>
        </w:trPr>
        <w:tc>
          <w:tcPr>
            <w:tcW w:w="3315" w:type="pct"/>
            <w:shd w:val="clear" w:color="auto" w:fill="auto"/>
            <w:noWrap/>
            <w:vAlign w:val="bottom"/>
          </w:tcPr>
          <w:p w14:paraId="6D788FA5" w14:textId="77777777" w:rsidR="00A072D0" w:rsidRDefault="009576A5">
            <w:pPr>
              <w:pStyle w:val="Tabletext"/>
              <w:rPr>
                <w:rFonts w:asciiTheme="minorHAnsi" w:hAnsiTheme="minorHAnsi"/>
                <w:szCs w:val="18"/>
              </w:rPr>
            </w:pPr>
            <w:r>
              <w:rPr>
                <w:rFonts w:asciiTheme="minorHAnsi" w:hAnsiTheme="minorHAnsi" w:cs="Arial"/>
                <w:szCs w:val="18"/>
              </w:rPr>
              <w:t>Switzerland</w:t>
            </w:r>
          </w:p>
        </w:tc>
        <w:tc>
          <w:tcPr>
            <w:tcW w:w="1685" w:type="pct"/>
            <w:shd w:val="clear" w:color="auto" w:fill="auto"/>
            <w:noWrap/>
            <w:vAlign w:val="bottom"/>
          </w:tcPr>
          <w:p w14:paraId="452B9432" w14:textId="05A3161A" w:rsidR="00A072D0" w:rsidRDefault="009576A5">
            <w:pPr>
              <w:pStyle w:val="Tabletext"/>
              <w:jc w:val="right"/>
              <w:rPr>
                <w:rFonts w:asciiTheme="minorHAnsi" w:hAnsiTheme="minorHAnsi"/>
                <w:szCs w:val="18"/>
              </w:rPr>
            </w:pPr>
            <w:r>
              <w:rPr>
                <w:rFonts w:asciiTheme="minorHAnsi" w:hAnsiTheme="minorHAnsi" w:cs="Arial"/>
                <w:szCs w:val="18"/>
              </w:rPr>
              <w:t>95</w:t>
            </w:r>
          </w:p>
        </w:tc>
      </w:tr>
      <w:tr w:rsidR="00A072D0" w14:paraId="34CA8DF6" w14:textId="77777777">
        <w:trPr>
          <w:jc w:val="center"/>
        </w:trPr>
        <w:tc>
          <w:tcPr>
            <w:tcW w:w="3315" w:type="pct"/>
            <w:shd w:val="clear" w:color="auto" w:fill="auto"/>
            <w:noWrap/>
            <w:vAlign w:val="bottom"/>
          </w:tcPr>
          <w:p w14:paraId="5C1EF980" w14:textId="77777777" w:rsidR="00A072D0" w:rsidRDefault="009576A5">
            <w:pPr>
              <w:pStyle w:val="Tabletext"/>
              <w:rPr>
                <w:rFonts w:asciiTheme="minorHAnsi" w:hAnsiTheme="minorHAnsi"/>
                <w:szCs w:val="18"/>
              </w:rPr>
            </w:pPr>
            <w:r>
              <w:rPr>
                <w:rFonts w:asciiTheme="minorHAnsi" w:hAnsiTheme="minorHAnsi" w:cs="Arial"/>
                <w:szCs w:val="18"/>
              </w:rPr>
              <w:t>Syrian Arab republic</w:t>
            </w:r>
          </w:p>
        </w:tc>
        <w:tc>
          <w:tcPr>
            <w:tcW w:w="1685" w:type="pct"/>
            <w:shd w:val="clear" w:color="auto" w:fill="auto"/>
            <w:noWrap/>
            <w:vAlign w:val="bottom"/>
          </w:tcPr>
          <w:p w14:paraId="2B569CCF" w14:textId="5C938DDA" w:rsidR="00A072D0" w:rsidRDefault="009576A5">
            <w:pPr>
              <w:pStyle w:val="Tabletext"/>
              <w:jc w:val="right"/>
              <w:rPr>
                <w:rFonts w:asciiTheme="minorHAnsi" w:hAnsiTheme="minorHAnsi"/>
                <w:szCs w:val="18"/>
              </w:rPr>
            </w:pPr>
            <w:r>
              <w:rPr>
                <w:rFonts w:asciiTheme="minorHAnsi" w:hAnsiTheme="minorHAnsi" w:cs="Arial"/>
                <w:szCs w:val="18"/>
              </w:rPr>
              <w:t>8</w:t>
            </w:r>
          </w:p>
        </w:tc>
      </w:tr>
      <w:tr w:rsidR="00A072D0" w14:paraId="2C9FFAB4" w14:textId="77777777">
        <w:trPr>
          <w:jc w:val="center"/>
        </w:trPr>
        <w:tc>
          <w:tcPr>
            <w:tcW w:w="3315" w:type="pct"/>
            <w:shd w:val="clear" w:color="auto" w:fill="auto"/>
            <w:noWrap/>
            <w:vAlign w:val="bottom"/>
          </w:tcPr>
          <w:p w14:paraId="59B4EB42" w14:textId="77777777" w:rsidR="00A072D0" w:rsidRDefault="009576A5">
            <w:pPr>
              <w:pStyle w:val="Tabletext"/>
              <w:rPr>
                <w:rFonts w:asciiTheme="minorHAnsi" w:hAnsiTheme="minorHAnsi"/>
                <w:szCs w:val="18"/>
              </w:rPr>
            </w:pPr>
            <w:r>
              <w:rPr>
                <w:rFonts w:asciiTheme="minorHAnsi" w:hAnsiTheme="minorHAnsi" w:cs="Arial"/>
                <w:szCs w:val="18"/>
              </w:rPr>
              <w:t>Taiwan</w:t>
            </w:r>
          </w:p>
        </w:tc>
        <w:tc>
          <w:tcPr>
            <w:tcW w:w="1685" w:type="pct"/>
            <w:shd w:val="clear" w:color="auto" w:fill="auto"/>
            <w:noWrap/>
            <w:vAlign w:val="bottom"/>
          </w:tcPr>
          <w:p w14:paraId="0CB23B77" w14:textId="23B5DD0F" w:rsidR="00A072D0" w:rsidRDefault="009576A5">
            <w:pPr>
              <w:pStyle w:val="Tabletext"/>
              <w:jc w:val="right"/>
              <w:rPr>
                <w:rFonts w:asciiTheme="minorHAnsi" w:hAnsiTheme="minorHAnsi"/>
                <w:szCs w:val="18"/>
              </w:rPr>
            </w:pPr>
            <w:r>
              <w:rPr>
                <w:rFonts w:asciiTheme="minorHAnsi" w:hAnsiTheme="minorHAnsi" w:cs="Arial"/>
                <w:szCs w:val="18"/>
              </w:rPr>
              <w:t>475</w:t>
            </w:r>
          </w:p>
        </w:tc>
      </w:tr>
      <w:tr w:rsidR="00A072D0" w14:paraId="58EE023F" w14:textId="77777777">
        <w:trPr>
          <w:jc w:val="center"/>
        </w:trPr>
        <w:tc>
          <w:tcPr>
            <w:tcW w:w="3315" w:type="pct"/>
            <w:shd w:val="clear" w:color="auto" w:fill="auto"/>
            <w:noWrap/>
            <w:vAlign w:val="bottom"/>
          </w:tcPr>
          <w:p w14:paraId="1061A742" w14:textId="77777777" w:rsidR="00A072D0" w:rsidRDefault="009576A5">
            <w:pPr>
              <w:pStyle w:val="Tabletext"/>
              <w:rPr>
                <w:rFonts w:asciiTheme="minorHAnsi" w:hAnsiTheme="minorHAnsi"/>
                <w:szCs w:val="18"/>
              </w:rPr>
            </w:pPr>
            <w:r>
              <w:rPr>
                <w:rFonts w:asciiTheme="minorHAnsi" w:hAnsiTheme="minorHAnsi" w:cs="Arial"/>
                <w:szCs w:val="18"/>
              </w:rPr>
              <w:t>Tajikistan</w:t>
            </w:r>
          </w:p>
        </w:tc>
        <w:tc>
          <w:tcPr>
            <w:tcW w:w="1685" w:type="pct"/>
            <w:shd w:val="clear" w:color="auto" w:fill="auto"/>
            <w:noWrap/>
            <w:vAlign w:val="bottom"/>
          </w:tcPr>
          <w:p w14:paraId="0D5A369E" w14:textId="12EE3B67"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28FC4F1A" w14:textId="77777777">
        <w:trPr>
          <w:jc w:val="center"/>
        </w:trPr>
        <w:tc>
          <w:tcPr>
            <w:tcW w:w="3315" w:type="pct"/>
            <w:shd w:val="clear" w:color="auto" w:fill="auto"/>
            <w:noWrap/>
            <w:vAlign w:val="bottom"/>
          </w:tcPr>
          <w:p w14:paraId="3DD9033A" w14:textId="77777777" w:rsidR="00A072D0" w:rsidRDefault="009576A5">
            <w:pPr>
              <w:pStyle w:val="Tabletext"/>
              <w:rPr>
                <w:rFonts w:asciiTheme="minorHAnsi" w:hAnsiTheme="minorHAnsi"/>
                <w:szCs w:val="18"/>
              </w:rPr>
            </w:pPr>
            <w:r>
              <w:rPr>
                <w:rFonts w:asciiTheme="minorHAnsi" w:hAnsiTheme="minorHAnsi" w:cs="Arial"/>
                <w:szCs w:val="18"/>
              </w:rPr>
              <w:t>Tanzania un</w:t>
            </w:r>
          </w:p>
        </w:tc>
        <w:tc>
          <w:tcPr>
            <w:tcW w:w="1685" w:type="pct"/>
            <w:shd w:val="clear" w:color="auto" w:fill="auto"/>
            <w:noWrap/>
            <w:vAlign w:val="bottom"/>
          </w:tcPr>
          <w:p w14:paraId="495DA7D4" w14:textId="5869A5AC" w:rsidR="00A072D0" w:rsidRDefault="009576A5">
            <w:pPr>
              <w:pStyle w:val="Tabletext"/>
              <w:jc w:val="right"/>
              <w:rPr>
                <w:rFonts w:asciiTheme="minorHAnsi" w:hAnsiTheme="minorHAnsi"/>
                <w:szCs w:val="18"/>
              </w:rPr>
            </w:pPr>
            <w:r>
              <w:rPr>
                <w:rFonts w:asciiTheme="minorHAnsi" w:hAnsiTheme="minorHAnsi" w:cs="Arial"/>
                <w:szCs w:val="18"/>
              </w:rPr>
              <w:t>3</w:t>
            </w:r>
          </w:p>
        </w:tc>
      </w:tr>
      <w:tr w:rsidR="00A072D0" w14:paraId="472CB325" w14:textId="77777777">
        <w:trPr>
          <w:jc w:val="center"/>
        </w:trPr>
        <w:tc>
          <w:tcPr>
            <w:tcW w:w="3315" w:type="pct"/>
            <w:shd w:val="clear" w:color="auto" w:fill="auto"/>
            <w:noWrap/>
            <w:vAlign w:val="bottom"/>
          </w:tcPr>
          <w:p w14:paraId="72735F2D" w14:textId="77777777" w:rsidR="00A072D0" w:rsidRDefault="009576A5">
            <w:pPr>
              <w:pStyle w:val="Tabletext"/>
              <w:rPr>
                <w:rFonts w:asciiTheme="minorHAnsi" w:hAnsiTheme="minorHAnsi"/>
                <w:szCs w:val="18"/>
              </w:rPr>
            </w:pPr>
            <w:r>
              <w:rPr>
                <w:rFonts w:asciiTheme="minorHAnsi" w:hAnsiTheme="minorHAnsi" w:cs="Arial"/>
                <w:szCs w:val="18"/>
              </w:rPr>
              <w:t>Thailand</w:t>
            </w:r>
          </w:p>
        </w:tc>
        <w:tc>
          <w:tcPr>
            <w:tcW w:w="1685" w:type="pct"/>
            <w:shd w:val="clear" w:color="auto" w:fill="auto"/>
            <w:noWrap/>
            <w:vAlign w:val="bottom"/>
          </w:tcPr>
          <w:p w14:paraId="4F172D2B" w14:textId="77777777" w:rsidR="00A072D0" w:rsidRDefault="009576A5">
            <w:pPr>
              <w:pStyle w:val="Tabletext"/>
              <w:jc w:val="right"/>
              <w:rPr>
                <w:rFonts w:asciiTheme="minorHAnsi" w:hAnsiTheme="minorHAnsi"/>
                <w:szCs w:val="18"/>
              </w:rPr>
            </w:pPr>
            <w:r>
              <w:rPr>
                <w:rFonts w:asciiTheme="minorHAnsi" w:hAnsiTheme="minorHAnsi" w:cs="Arial"/>
                <w:szCs w:val="18"/>
              </w:rPr>
              <w:t>1 379</w:t>
            </w:r>
          </w:p>
        </w:tc>
      </w:tr>
      <w:tr w:rsidR="00A072D0" w14:paraId="363809A6" w14:textId="77777777">
        <w:trPr>
          <w:jc w:val="center"/>
        </w:trPr>
        <w:tc>
          <w:tcPr>
            <w:tcW w:w="3315" w:type="pct"/>
            <w:shd w:val="clear" w:color="auto" w:fill="auto"/>
            <w:noWrap/>
            <w:vAlign w:val="bottom"/>
          </w:tcPr>
          <w:p w14:paraId="18E17B32" w14:textId="77777777" w:rsidR="00A072D0" w:rsidRDefault="009576A5">
            <w:pPr>
              <w:pStyle w:val="Tabletext"/>
              <w:rPr>
                <w:rFonts w:asciiTheme="minorHAnsi" w:hAnsiTheme="minorHAnsi"/>
                <w:szCs w:val="18"/>
              </w:rPr>
            </w:pPr>
            <w:r>
              <w:rPr>
                <w:rFonts w:asciiTheme="minorHAnsi" w:hAnsiTheme="minorHAnsi" w:cs="Arial"/>
                <w:szCs w:val="18"/>
              </w:rPr>
              <w:t>Tonga</w:t>
            </w:r>
          </w:p>
        </w:tc>
        <w:tc>
          <w:tcPr>
            <w:tcW w:w="1685" w:type="pct"/>
            <w:shd w:val="clear" w:color="auto" w:fill="auto"/>
            <w:noWrap/>
            <w:vAlign w:val="bottom"/>
          </w:tcPr>
          <w:p w14:paraId="1D3FDE18" w14:textId="6805ADB8" w:rsidR="00A072D0" w:rsidRDefault="009576A5">
            <w:pPr>
              <w:pStyle w:val="Tabletext"/>
              <w:jc w:val="right"/>
              <w:rPr>
                <w:rFonts w:asciiTheme="minorHAnsi" w:hAnsiTheme="minorHAnsi"/>
                <w:szCs w:val="18"/>
              </w:rPr>
            </w:pPr>
            <w:r>
              <w:rPr>
                <w:rFonts w:asciiTheme="minorHAnsi" w:hAnsiTheme="minorHAnsi" w:cs="Arial"/>
                <w:szCs w:val="18"/>
              </w:rPr>
              <w:t>2</w:t>
            </w:r>
          </w:p>
        </w:tc>
      </w:tr>
      <w:tr w:rsidR="00A072D0" w14:paraId="1A00160C" w14:textId="77777777">
        <w:trPr>
          <w:jc w:val="center"/>
        </w:trPr>
        <w:tc>
          <w:tcPr>
            <w:tcW w:w="3315" w:type="pct"/>
            <w:shd w:val="clear" w:color="auto" w:fill="auto"/>
            <w:noWrap/>
            <w:vAlign w:val="bottom"/>
          </w:tcPr>
          <w:p w14:paraId="1ED6F15C" w14:textId="77777777" w:rsidR="00A072D0" w:rsidRDefault="009576A5">
            <w:pPr>
              <w:pStyle w:val="Tabletext"/>
              <w:rPr>
                <w:rFonts w:asciiTheme="minorHAnsi" w:hAnsiTheme="minorHAnsi"/>
                <w:szCs w:val="18"/>
              </w:rPr>
            </w:pPr>
            <w:r>
              <w:rPr>
                <w:rFonts w:asciiTheme="minorHAnsi" w:hAnsiTheme="minorHAnsi" w:cs="Arial"/>
                <w:szCs w:val="18"/>
              </w:rPr>
              <w:t>Turkey</w:t>
            </w:r>
          </w:p>
        </w:tc>
        <w:tc>
          <w:tcPr>
            <w:tcW w:w="1685" w:type="pct"/>
            <w:shd w:val="clear" w:color="auto" w:fill="auto"/>
            <w:noWrap/>
            <w:vAlign w:val="bottom"/>
          </w:tcPr>
          <w:p w14:paraId="36F617E9" w14:textId="3CE65DCF" w:rsidR="00A072D0" w:rsidRDefault="009576A5">
            <w:pPr>
              <w:pStyle w:val="Tabletext"/>
              <w:jc w:val="right"/>
              <w:rPr>
                <w:rFonts w:asciiTheme="minorHAnsi" w:hAnsiTheme="minorHAnsi"/>
                <w:szCs w:val="18"/>
              </w:rPr>
            </w:pPr>
            <w:r>
              <w:rPr>
                <w:rFonts w:asciiTheme="minorHAnsi" w:hAnsiTheme="minorHAnsi" w:cs="Arial"/>
                <w:szCs w:val="18"/>
              </w:rPr>
              <w:t>127</w:t>
            </w:r>
          </w:p>
        </w:tc>
      </w:tr>
      <w:tr w:rsidR="00A072D0" w14:paraId="146B3F7A" w14:textId="77777777">
        <w:trPr>
          <w:jc w:val="center"/>
        </w:trPr>
        <w:tc>
          <w:tcPr>
            <w:tcW w:w="3315" w:type="pct"/>
            <w:shd w:val="clear" w:color="auto" w:fill="auto"/>
            <w:noWrap/>
            <w:vAlign w:val="bottom"/>
          </w:tcPr>
          <w:p w14:paraId="105A7A04" w14:textId="77777777" w:rsidR="00A072D0" w:rsidRDefault="009576A5">
            <w:pPr>
              <w:pStyle w:val="Tabletext"/>
              <w:rPr>
                <w:rFonts w:asciiTheme="minorHAnsi" w:hAnsiTheme="minorHAnsi"/>
                <w:szCs w:val="18"/>
              </w:rPr>
            </w:pPr>
            <w:r>
              <w:rPr>
                <w:rFonts w:asciiTheme="minorHAnsi" w:hAnsiTheme="minorHAnsi" w:cs="Arial"/>
                <w:szCs w:val="18"/>
              </w:rPr>
              <w:t>Ukraine</w:t>
            </w:r>
          </w:p>
        </w:tc>
        <w:tc>
          <w:tcPr>
            <w:tcW w:w="1685" w:type="pct"/>
            <w:shd w:val="clear" w:color="auto" w:fill="auto"/>
            <w:noWrap/>
            <w:vAlign w:val="bottom"/>
          </w:tcPr>
          <w:p w14:paraId="7A07B302" w14:textId="6CA9B29A" w:rsidR="00A072D0" w:rsidRDefault="009576A5">
            <w:pPr>
              <w:pStyle w:val="Tabletext"/>
              <w:jc w:val="right"/>
              <w:rPr>
                <w:rFonts w:asciiTheme="minorHAnsi" w:hAnsiTheme="minorHAnsi"/>
                <w:szCs w:val="18"/>
              </w:rPr>
            </w:pPr>
            <w:r>
              <w:rPr>
                <w:rFonts w:asciiTheme="minorHAnsi" w:hAnsiTheme="minorHAnsi" w:cs="Arial"/>
                <w:szCs w:val="18"/>
              </w:rPr>
              <w:t>7</w:t>
            </w:r>
          </w:p>
        </w:tc>
      </w:tr>
      <w:tr w:rsidR="00A072D0" w14:paraId="432D1BD3" w14:textId="77777777">
        <w:trPr>
          <w:jc w:val="center"/>
        </w:trPr>
        <w:tc>
          <w:tcPr>
            <w:tcW w:w="3315" w:type="pct"/>
            <w:shd w:val="clear" w:color="auto" w:fill="auto"/>
            <w:noWrap/>
            <w:vAlign w:val="bottom"/>
          </w:tcPr>
          <w:p w14:paraId="716EE696" w14:textId="77777777" w:rsidR="00A072D0" w:rsidRDefault="009576A5">
            <w:pPr>
              <w:pStyle w:val="Tabletext"/>
              <w:rPr>
                <w:rFonts w:asciiTheme="minorHAnsi" w:hAnsiTheme="minorHAnsi"/>
                <w:szCs w:val="18"/>
              </w:rPr>
            </w:pPr>
            <w:r>
              <w:rPr>
                <w:rFonts w:asciiTheme="minorHAnsi" w:hAnsiTheme="minorHAnsi" w:cs="Arial"/>
                <w:szCs w:val="18"/>
              </w:rPr>
              <w:t>United Arab Emirates</w:t>
            </w:r>
          </w:p>
        </w:tc>
        <w:tc>
          <w:tcPr>
            <w:tcW w:w="1685" w:type="pct"/>
            <w:shd w:val="clear" w:color="auto" w:fill="auto"/>
            <w:noWrap/>
            <w:vAlign w:val="bottom"/>
          </w:tcPr>
          <w:p w14:paraId="4690FC55" w14:textId="4535A712" w:rsidR="00A072D0" w:rsidRDefault="009576A5">
            <w:pPr>
              <w:pStyle w:val="Tabletext"/>
              <w:jc w:val="right"/>
              <w:rPr>
                <w:rFonts w:asciiTheme="minorHAnsi" w:hAnsiTheme="minorHAnsi"/>
                <w:szCs w:val="18"/>
              </w:rPr>
            </w:pPr>
            <w:r>
              <w:rPr>
                <w:rFonts w:asciiTheme="minorHAnsi" w:hAnsiTheme="minorHAnsi" w:cs="Arial"/>
                <w:szCs w:val="18"/>
              </w:rPr>
              <w:t>22</w:t>
            </w:r>
          </w:p>
        </w:tc>
      </w:tr>
      <w:tr w:rsidR="00A072D0" w14:paraId="7769D689" w14:textId="77777777">
        <w:trPr>
          <w:jc w:val="center"/>
        </w:trPr>
        <w:tc>
          <w:tcPr>
            <w:tcW w:w="3315" w:type="pct"/>
            <w:shd w:val="clear" w:color="auto" w:fill="auto"/>
            <w:noWrap/>
            <w:vAlign w:val="bottom"/>
          </w:tcPr>
          <w:p w14:paraId="34914A6A" w14:textId="77777777" w:rsidR="00A072D0" w:rsidRDefault="009576A5">
            <w:pPr>
              <w:pStyle w:val="Tabletext"/>
              <w:rPr>
                <w:rFonts w:asciiTheme="minorHAnsi" w:hAnsiTheme="minorHAnsi"/>
                <w:szCs w:val="18"/>
              </w:rPr>
            </w:pPr>
            <w:r>
              <w:rPr>
                <w:rFonts w:asciiTheme="minorHAnsi" w:hAnsiTheme="minorHAnsi" w:cs="Arial"/>
                <w:szCs w:val="18"/>
              </w:rPr>
              <w:t>United Kingdom</w:t>
            </w:r>
          </w:p>
        </w:tc>
        <w:tc>
          <w:tcPr>
            <w:tcW w:w="1685" w:type="pct"/>
            <w:shd w:val="clear" w:color="auto" w:fill="auto"/>
            <w:noWrap/>
            <w:vAlign w:val="bottom"/>
          </w:tcPr>
          <w:p w14:paraId="44E09967" w14:textId="36573162" w:rsidR="00A072D0" w:rsidRDefault="009576A5">
            <w:pPr>
              <w:pStyle w:val="Tabletext"/>
              <w:jc w:val="right"/>
              <w:rPr>
                <w:rFonts w:asciiTheme="minorHAnsi" w:hAnsiTheme="minorHAnsi"/>
                <w:szCs w:val="18"/>
              </w:rPr>
            </w:pPr>
            <w:r>
              <w:rPr>
                <w:rFonts w:asciiTheme="minorHAnsi" w:hAnsiTheme="minorHAnsi" w:cs="Arial"/>
                <w:szCs w:val="18"/>
              </w:rPr>
              <w:t>364</w:t>
            </w:r>
          </w:p>
        </w:tc>
      </w:tr>
      <w:tr w:rsidR="00A072D0" w14:paraId="5596BDE0" w14:textId="77777777">
        <w:trPr>
          <w:jc w:val="center"/>
        </w:trPr>
        <w:tc>
          <w:tcPr>
            <w:tcW w:w="3315" w:type="pct"/>
            <w:shd w:val="clear" w:color="auto" w:fill="auto"/>
            <w:noWrap/>
            <w:vAlign w:val="bottom"/>
          </w:tcPr>
          <w:p w14:paraId="325848F8" w14:textId="77777777" w:rsidR="00A072D0" w:rsidRDefault="009576A5">
            <w:pPr>
              <w:pStyle w:val="Tabletext"/>
              <w:rPr>
                <w:rFonts w:asciiTheme="minorHAnsi" w:hAnsiTheme="minorHAnsi"/>
                <w:szCs w:val="18"/>
              </w:rPr>
            </w:pPr>
            <w:r>
              <w:rPr>
                <w:rFonts w:asciiTheme="minorHAnsi" w:hAnsiTheme="minorHAnsi" w:cs="Arial"/>
                <w:szCs w:val="18"/>
              </w:rPr>
              <w:t>United States</w:t>
            </w:r>
          </w:p>
        </w:tc>
        <w:tc>
          <w:tcPr>
            <w:tcW w:w="1685" w:type="pct"/>
            <w:shd w:val="clear" w:color="auto" w:fill="auto"/>
            <w:noWrap/>
            <w:vAlign w:val="bottom"/>
          </w:tcPr>
          <w:p w14:paraId="7FF42E07" w14:textId="4A0E6042" w:rsidR="00A072D0" w:rsidRDefault="009576A5">
            <w:pPr>
              <w:pStyle w:val="Tabletext"/>
              <w:jc w:val="right"/>
              <w:rPr>
                <w:rFonts w:asciiTheme="minorHAnsi" w:hAnsiTheme="minorHAnsi"/>
                <w:szCs w:val="18"/>
              </w:rPr>
            </w:pPr>
            <w:r>
              <w:rPr>
                <w:rFonts w:asciiTheme="minorHAnsi" w:hAnsiTheme="minorHAnsi" w:cs="Arial"/>
                <w:szCs w:val="18"/>
              </w:rPr>
              <w:t>962</w:t>
            </w:r>
          </w:p>
        </w:tc>
      </w:tr>
      <w:tr w:rsidR="00A072D0" w14:paraId="47DDB7EF" w14:textId="77777777">
        <w:trPr>
          <w:jc w:val="center"/>
        </w:trPr>
        <w:tc>
          <w:tcPr>
            <w:tcW w:w="3315" w:type="pct"/>
            <w:shd w:val="clear" w:color="auto" w:fill="auto"/>
            <w:noWrap/>
            <w:vAlign w:val="bottom"/>
          </w:tcPr>
          <w:p w14:paraId="12FF139E" w14:textId="77777777" w:rsidR="00A072D0" w:rsidRDefault="009576A5">
            <w:pPr>
              <w:pStyle w:val="Tabletext"/>
              <w:rPr>
                <w:rFonts w:asciiTheme="minorHAnsi" w:hAnsiTheme="minorHAnsi"/>
                <w:szCs w:val="18"/>
              </w:rPr>
            </w:pPr>
            <w:r>
              <w:rPr>
                <w:rFonts w:asciiTheme="minorHAnsi" w:hAnsiTheme="minorHAnsi" w:cs="Arial"/>
                <w:szCs w:val="18"/>
              </w:rPr>
              <w:t>Uruguay</w:t>
            </w:r>
          </w:p>
        </w:tc>
        <w:tc>
          <w:tcPr>
            <w:tcW w:w="1685" w:type="pct"/>
            <w:shd w:val="clear" w:color="auto" w:fill="auto"/>
            <w:noWrap/>
            <w:vAlign w:val="bottom"/>
          </w:tcPr>
          <w:p w14:paraId="5EA054AF" w14:textId="248F8DC8"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3789F8AC" w14:textId="77777777">
        <w:trPr>
          <w:jc w:val="center"/>
        </w:trPr>
        <w:tc>
          <w:tcPr>
            <w:tcW w:w="3315" w:type="pct"/>
            <w:shd w:val="clear" w:color="auto" w:fill="auto"/>
            <w:noWrap/>
            <w:vAlign w:val="bottom"/>
          </w:tcPr>
          <w:p w14:paraId="1FE6170E" w14:textId="77777777" w:rsidR="00A072D0" w:rsidRDefault="009576A5">
            <w:pPr>
              <w:pStyle w:val="Tabletext"/>
              <w:rPr>
                <w:rFonts w:asciiTheme="minorHAnsi" w:hAnsiTheme="minorHAnsi"/>
                <w:szCs w:val="18"/>
              </w:rPr>
            </w:pPr>
            <w:r>
              <w:rPr>
                <w:rFonts w:asciiTheme="minorHAnsi" w:hAnsiTheme="minorHAnsi" w:cs="Arial"/>
                <w:szCs w:val="18"/>
              </w:rPr>
              <w:t>Vanuatu</w:t>
            </w:r>
          </w:p>
        </w:tc>
        <w:tc>
          <w:tcPr>
            <w:tcW w:w="1685" w:type="pct"/>
            <w:shd w:val="clear" w:color="auto" w:fill="auto"/>
            <w:noWrap/>
            <w:vAlign w:val="bottom"/>
          </w:tcPr>
          <w:p w14:paraId="590F35A6" w14:textId="323F0846"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06BCB4A3" w14:textId="77777777">
        <w:trPr>
          <w:jc w:val="center"/>
        </w:trPr>
        <w:tc>
          <w:tcPr>
            <w:tcW w:w="3315" w:type="pct"/>
            <w:shd w:val="clear" w:color="auto" w:fill="auto"/>
            <w:noWrap/>
            <w:vAlign w:val="bottom"/>
          </w:tcPr>
          <w:p w14:paraId="4315B062" w14:textId="77777777" w:rsidR="00A072D0" w:rsidRDefault="009576A5">
            <w:pPr>
              <w:pStyle w:val="Tabletext"/>
              <w:rPr>
                <w:rFonts w:asciiTheme="minorHAnsi" w:hAnsiTheme="minorHAnsi"/>
                <w:szCs w:val="18"/>
              </w:rPr>
            </w:pPr>
            <w:r>
              <w:rPr>
                <w:rFonts w:asciiTheme="minorHAnsi" w:hAnsiTheme="minorHAnsi" w:cs="Arial"/>
                <w:szCs w:val="18"/>
              </w:rPr>
              <w:t>Vietnam</w:t>
            </w:r>
          </w:p>
        </w:tc>
        <w:tc>
          <w:tcPr>
            <w:tcW w:w="1685" w:type="pct"/>
            <w:shd w:val="clear" w:color="auto" w:fill="auto"/>
            <w:noWrap/>
            <w:vAlign w:val="bottom"/>
          </w:tcPr>
          <w:p w14:paraId="321C6789" w14:textId="372D3E5F" w:rsidR="00A072D0" w:rsidRDefault="009576A5">
            <w:pPr>
              <w:pStyle w:val="Tabletext"/>
              <w:jc w:val="right"/>
              <w:rPr>
                <w:rFonts w:asciiTheme="minorHAnsi" w:hAnsiTheme="minorHAnsi"/>
                <w:szCs w:val="18"/>
              </w:rPr>
            </w:pPr>
            <w:r>
              <w:rPr>
                <w:rFonts w:asciiTheme="minorHAnsi" w:hAnsiTheme="minorHAnsi" w:cs="Arial"/>
                <w:szCs w:val="18"/>
              </w:rPr>
              <w:t>426</w:t>
            </w:r>
          </w:p>
        </w:tc>
      </w:tr>
      <w:tr w:rsidR="00A072D0" w14:paraId="4CE6D9C3" w14:textId="77777777">
        <w:trPr>
          <w:jc w:val="center"/>
        </w:trPr>
        <w:tc>
          <w:tcPr>
            <w:tcW w:w="3315" w:type="pct"/>
            <w:tcBorders>
              <w:bottom w:val="single" w:sz="4" w:space="0" w:color="auto"/>
            </w:tcBorders>
            <w:shd w:val="clear" w:color="auto" w:fill="auto"/>
            <w:noWrap/>
            <w:vAlign w:val="bottom"/>
          </w:tcPr>
          <w:p w14:paraId="106A77BB" w14:textId="77777777" w:rsidR="00A072D0" w:rsidRDefault="009576A5">
            <w:pPr>
              <w:pStyle w:val="Tabletext"/>
              <w:rPr>
                <w:rFonts w:asciiTheme="minorHAnsi" w:hAnsiTheme="minorHAnsi"/>
                <w:szCs w:val="18"/>
              </w:rPr>
            </w:pPr>
            <w:r>
              <w:rPr>
                <w:rFonts w:asciiTheme="minorHAnsi" w:hAnsiTheme="minorHAnsi" w:cs="Arial"/>
                <w:szCs w:val="18"/>
              </w:rPr>
              <w:t>Zimbabwe</w:t>
            </w:r>
          </w:p>
        </w:tc>
        <w:tc>
          <w:tcPr>
            <w:tcW w:w="1685" w:type="pct"/>
            <w:tcBorders>
              <w:bottom w:val="single" w:sz="4" w:space="0" w:color="auto"/>
            </w:tcBorders>
            <w:shd w:val="clear" w:color="auto" w:fill="auto"/>
            <w:noWrap/>
            <w:vAlign w:val="bottom"/>
          </w:tcPr>
          <w:p w14:paraId="5F800258" w14:textId="5DBE8D4A" w:rsidR="00A072D0" w:rsidRDefault="009576A5">
            <w:pPr>
              <w:pStyle w:val="Tabletext"/>
              <w:jc w:val="right"/>
              <w:rPr>
                <w:rFonts w:asciiTheme="minorHAnsi" w:hAnsiTheme="minorHAnsi"/>
                <w:szCs w:val="18"/>
              </w:rPr>
            </w:pPr>
            <w:r>
              <w:rPr>
                <w:rFonts w:asciiTheme="minorHAnsi" w:hAnsiTheme="minorHAnsi" w:cs="Arial"/>
                <w:szCs w:val="18"/>
              </w:rPr>
              <w:t>1</w:t>
            </w:r>
          </w:p>
        </w:tc>
      </w:tr>
      <w:tr w:rsidR="00A072D0" w14:paraId="7D9D920D" w14:textId="77777777">
        <w:trPr>
          <w:jc w:val="center"/>
        </w:trPr>
        <w:tc>
          <w:tcPr>
            <w:tcW w:w="3315" w:type="pct"/>
            <w:shd w:val="clear" w:color="auto" w:fill="auto"/>
            <w:noWrap/>
            <w:vAlign w:val="bottom"/>
          </w:tcPr>
          <w:p w14:paraId="4F3CE7FA" w14:textId="77777777" w:rsidR="00A072D0" w:rsidRDefault="009576A5">
            <w:pPr>
              <w:pStyle w:val="Tabletext"/>
              <w:rPr>
                <w:rFonts w:asciiTheme="minorHAnsi" w:hAnsiTheme="minorHAnsi"/>
                <w:b/>
                <w:szCs w:val="18"/>
              </w:rPr>
            </w:pPr>
            <w:r>
              <w:rPr>
                <w:rFonts w:asciiTheme="minorHAnsi" w:hAnsiTheme="minorHAnsi" w:cs="Arial"/>
                <w:b/>
                <w:szCs w:val="18"/>
              </w:rPr>
              <w:t>Grand total</w:t>
            </w:r>
          </w:p>
        </w:tc>
        <w:tc>
          <w:tcPr>
            <w:tcW w:w="1685" w:type="pct"/>
            <w:shd w:val="clear" w:color="auto" w:fill="auto"/>
            <w:noWrap/>
            <w:vAlign w:val="bottom"/>
          </w:tcPr>
          <w:p w14:paraId="6E9C4F5D" w14:textId="77777777" w:rsidR="00A072D0" w:rsidRDefault="009576A5">
            <w:pPr>
              <w:pStyle w:val="Tabletext"/>
              <w:jc w:val="right"/>
              <w:rPr>
                <w:rFonts w:asciiTheme="minorHAnsi" w:hAnsiTheme="minorHAnsi"/>
                <w:b/>
                <w:szCs w:val="18"/>
              </w:rPr>
            </w:pPr>
            <w:r>
              <w:rPr>
                <w:rFonts w:asciiTheme="minorHAnsi" w:hAnsiTheme="minorHAnsi" w:cs="Arial"/>
                <w:b/>
                <w:szCs w:val="18"/>
              </w:rPr>
              <w:t>14 427</w:t>
            </w:r>
          </w:p>
        </w:tc>
      </w:tr>
    </w:tbl>
    <w:p w14:paraId="20F8F2E3" w14:textId="77777777" w:rsidR="00A072D0" w:rsidRDefault="009576A5" w:rsidP="004F4DD0">
      <w:pPr>
        <w:pStyle w:val="Heading2"/>
      </w:pPr>
      <w:bookmarkStart w:id="93" w:name="_Glossary"/>
      <w:bookmarkStart w:id="94" w:name="_Toc347323958"/>
      <w:bookmarkStart w:id="95" w:name="_Toc369764307"/>
      <w:bookmarkStart w:id="96" w:name="_Toc469066624"/>
      <w:bookmarkEnd w:id="20"/>
      <w:bookmarkEnd w:id="93"/>
      <w:r>
        <w:lastRenderedPageBreak/>
        <w:t>Glossary</w:t>
      </w:r>
      <w:bookmarkEnd w:id="94"/>
      <w:bookmarkEnd w:id="95"/>
      <w:bookmarkEnd w:id="96"/>
    </w:p>
    <w:p w14:paraId="098AB32E" w14:textId="77777777" w:rsidR="00A072D0" w:rsidRDefault="009576A5">
      <w:pPr>
        <w:rPr>
          <w:rStyle w:val="Strong"/>
        </w:rPr>
      </w:pPr>
      <w:r>
        <w:rPr>
          <w:rStyle w:val="Strong"/>
        </w:rPr>
        <w:t>AIMS</w:t>
      </w:r>
    </w:p>
    <w:p w14:paraId="29088E7B" w14:textId="68892400" w:rsidR="00A072D0" w:rsidRDefault="009576A5">
      <w:r>
        <w:t>The computer system that receives data on imported goods from the Integrated Cargo System (ICS) and processes entries for both imported food and quarantine purposes.</w:t>
      </w:r>
    </w:p>
    <w:p w14:paraId="484EC2F3" w14:textId="77777777" w:rsidR="00A072D0" w:rsidRDefault="009576A5">
      <w:pPr>
        <w:rPr>
          <w:rStyle w:val="Strong"/>
        </w:rPr>
      </w:pPr>
      <w:r>
        <w:rPr>
          <w:rStyle w:val="Strong"/>
        </w:rPr>
        <w:t>Australia New Zealand Food Standards Code</w:t>
      </w:r>
    </w:p>
    <w:p w14:paraId="1099BBF2" w14:textId="77777777" w:rsidR="00A072D0" w:rsidRDefault="009576A5">
      <w:r>
        <w:t>The Code details food standards applicable to food for human consumption in Australia and is available from the FSANZ website.</w:t>
      </w:r>
    </w:p>
    <w:p w14:paraId="74CBFA51" w14:textId="77777777" w:rsidR="00A072D0" w:rsidRDefault="009576A5">
      <w:pPr>
        <w:rPr>
          <w:rStyle w:val="Strong"/>
        </w:rPr>
      </w:pPr>
      <w:r>
        <w:rPr>
          <w:rStyle w:val="Strong"/>
        </w:rPr>
        <w:t>Batch</w:t>
      </w:r>
    </w:p>
    <w:p w14:paraId="504EF999" w14:textId="7036F7E0" w:rsidR="00A072D0" w:rsidRDefault="009576A5">
      <w:r>
        <w:t>Food of a particular kind made or packed in a distinct manner which may include one or more lots.</w:t>
      </w:r>
    </w:p>
    <w:p w14:paraId="00CA4C4F" w14:textId="77777777" w:rsidR="00A072D0" w:rsidRDefault="009576A5">
      <w:pPr>
        <w:rPr>
          <w:rStyle w:val="Strong"/>
        </w:rPr>
      </w:pPr>
      <w:r>
        <w:rPr>
          <w:rStyle w:val="Strong"/>
        </w:rPr>
        <w:t>Entry</w:t>
      </w:r>
    </w:p>
    <w:p w14:paraId="6BDE317D" w14:textId="77777777" w:rsidR="00A072D0" w:rsidRDefault="009576A5">
      <w:r>
        <w:t>A Customs and Border Protection Services electronic document generated using the ICS. An entry may contain one or more lines/food.</w:t>
      </w:r>
    </w:p>
    <w:p w14:paraId="461D6A7E" w14:textId="77777777" w:rsidR="00A072D0" w:rsidRDefault="009576A5">
      <w:pPr>
        <w:rPr>
          <w:rStyle w:val="Strong"/>
        </w:rPr>
      </w:pPr>
      <w:r>
        <w:rPr>
          <w:rStyle w:val="Strong"/>
        </w:rPr>
        <w:t>Food</w:t>
      </w:r>
    </w:p>
    <w:p w14:paraId="718B404F" w14:textId="77777777" w:rsidR="00A072D0" w:rsidRDefault="009576A5">
      <w:r>
        <w:t xml:space="preserve">Section 3 of the </w:t>
      </w:r>
      <w:r>
        <w:rPr>
          <w:i/>
        </w:rPr>
        <w:t>Imported Food Control Act 1992</w:t>
      </w:r>
      <w:r>
        <w:t xml:space="preserve"> describes food as:</w:t>
      </w:r>
    </w:p>
    <w:p w14:paraId="062EFD0E" w14:textId="77777777" w:rsidR="00A072D0" w:rsidRDefault="009576A5">
      <w:r>
        <w:t>(a) Any substance or thing of a kind used or capable of being used as food or drink by human beings; or</w:t>
      </w:r>
    </w:p>
    <w:p w14:paraId="53AEBA5B" w14:textId="77777777" w:rsidR="00A072D0" w:rsidRDefault="009576A5">
      <w:r>
        <w:t>(b) any substance or thing of a kind used or capable of being used as an ingredient or additive in, or substance used in the preparation of, a substance or thing referred to in paragraph (a); or</w:t>
      </w:r>
    </w:p>
    <w:p w14:paraId="71301EB4" w14:textId="77777777" w:rsidR="00A072D0" w:rsidRDefault="009576A5">
      <w:r>
        <w:t xml:space="preserve">(c) any other substance or thing that is prescribed; whether or not it is in a condition fit for human consumption, but does not include a therapeutic good within the meaning of the </w:t>
      </w:r>
      <w:r>
        <w:rPr>
          <w:i/>
        </w:rPr>
        <w:t>Therapeutic Goods Act 1989.</w:t>
      </w:r>
    </w:p>
    <w:p w14:paraId="5E16E3F0" w14:textId="77777777" w:rsidR="00A072D0" w:rsidRDefault="009576A5">
      <w:pPr>
        <w:rPr>
          <w:rStyle w:val="Strong"/>
        </w:rPr>
      </w:pPr>
      <w:r>
        <w:rPr>
          <w:rStyle w:val="Strong"/>
        </w:rPr>
        <w:t>FSANZ</w:t>
      </w:r>
    </w:p>
    <w:p w14:paraId="2F335477" w14:textId="77777777" w:rsidR="00A072D0" w:rsidRDefault="009576A5">
      <w:r>
        <w:t>Food Standards Australia New Zealand is a bi-national government agency responsible for developing food standards and administering the Australia New Zealand Food Standards Code. FSANZ conducts the food risk assessment and advises the Department of Agriculture and Water Resources about food that poses a medium to high risk to human health and safety.</w:t>
      </w:r>
    </w:p>
    <w:p w14:paraId="5F3C30BF" w14:textId="77777777" w:rsidR="00A072D0" w:rsidRDefault="009576A5">
      <w:pPr>
        <w:rPr>
          <w:rStyle w:val="Strong"/>
        </w:rPr>
      </w:pPr>
      <w:r>
        <w:rPr>
          <w:rStyle w:val="Strong"/>
        </w:rPr>
        <w:t>Holding Order</w:t>
      </w:r>
    </w:p>
    <w:p w14:paraId="2326EF39" w14:textId="77777777" w:rsidR="00A072D0" w:rsidRDefault="009576A5">
      <w:r>
        <w:t xml:space="preserve">An order made under the </w:t>
      </w:r>
      <w:r>
        <w:rPr>
          <w:i/>
        </w:rPr>
        <w:t>Imported Food Control Act 1992</w:t>
      </w:r>
      <w:r>
        <w:t xml:space="preserve"> increasing the rate of inspection of a surveillance food that has failed an imported food inspection. This targets the specific food from the specific manufacturer in a specific country at a rate of 100 per cent of consignments.</w:t>
      </w:r>
    </w:p>
    <w:p w14:paraId="27B41D66" w14:textId="77777777" w:rsidR="00A072D0" w:rsidRDefault="009576A5">
      <w:pPr>
        <w:rPr>
          <w:rStyle w:val="Strong"/>
        </w:rPr>
      </w:pPr>
      <w:r>
        <w:rPr>
          <w:rStyle w:val="Strong"/>
        </w:rPr>
        <w:t>Imported Food Inspection Scheme</w:t>
      </w:r>
    </w:p>
    <w:p w14:paraId="43D894AB" w14:textId="77777777" w:rsidR="00A072D0" w:rsidRDefault="009576A5">
      <w:r>
        <w:t>The inspection scheme, established under the Imported Food Control Regulations 1993, provides for inspection of food at the border to assess importer compliance with sourcing food that meets Australian food standards.</w:t>
      </w:r>
    </w:p>
    <w:p w14:paraId="66CC29F4" w14:textId="77777777" w:rsidR="00A072D0" w:rsidRDefault="009576A5">
      <w:pPr>
        <w:rPr>
          <w:rStyle w:val="Strong"/>
        </w:rPr>
      </w:pPr>
      <w:r>
        <w:rPr>
          <w:rStyle w:val="Strong"/>
        </w:rPr>
        <w:t>Inspection</w:t>
      </w:r>
    </w:p>
    <w:p w14:paraId="41725A92" w14:textId="77777777" w:rsidR="00A072D0" w:rsidRDefault="009576A5">
      <w:r>
        <w:t>Includes inspection (visual and label assessment), or inspection and analysis (samples taken and sent for analysis), as the case requires.</w:t>
      </w:r>
    </w:p>
    <w:p w14:paraId="5B096037" w14:textId="77777777" w:rsidR="00A072D0" w:rsidRDefault="009576A5">
      <w:pPr>
        <w:rPr>
          <w:rStyle w:val="Strong"/>
        </w:rPr>
      </w:pPr>
      <w:r>
        <w:rPr>
          <w:rStyle w:val="Strong"/>
        </w:rPr>
        <w:lastRenderedPageBreak/>
        <w:t>Line</w:t>
      </w:r>
    </w:p>
    <w:p w14:paraId="11BCFB45" w14:textId="77777777" w:rsidR="00A072D0" w:rsidRDefault="009576A5">
      <w:r>
        <w:t>Items of food being imported are recorded within the ICS as lines within the import entry. An import entry may consist of one line or many lines of products.</w:t>
      </w:r>
    </w:p>
    <w:p w14:paraId="1A003F04" w14:textId="77777777" w:rsidR="00A072D0" w:rsidRDefault="009576A5">
      <w:pPr>
        <w:rPr>
          <w:rStyle w:val="Strong"/>
        </w:rPr>
      </w:pPr>
      <w:r>
        <w:rPr>
          <w:rStyle w:val="Strong"/>
        </w:rPr>
        <w:t>Lot</w:t>
      </w:r>
    </w:p>
    <w:p w14:paraId="167E31BB" w14:textId="77777777" w:rsidR="00A072D0" w:rsidRDefault="009576A5">
      <w:r>
        <w:t>A quantity of a food prepared or packed under essentially the same conditions (ordinarily from a particular preparation or packing unit and during a particular time ordinarily not exceeding 24 hours).</w:t>
      </w:r>
    </w:p>
    <w:p w14:paraId="02468C08" w14:textId="77777777" w:rsidR="00A072D0" w:rsidRDefault="009576A5">
      <w:pPr>
        <w:rPr>
          <w:rStyle w:val="Strong"/>
        </w:rPr>
      </w:pPr>
      <w:r>
        <w:rPr>
          <w:rStyle w:val="Strong"/>
        </w:rPr>
        <w:t>Lot Code</w:t>
      </w:r>
    </w:p>
    <w:p w14:paraId="6776D21D" w14:textId="77777777" w:rsidR="00A072D0" w:rsidRDefault="009576A5">
      <w:r>
        <w:t>A unique code that identifies a lot and can be used for recall purposes if necessary.</w:t>
      </w:r>
    </w:p>
    <w:p w14:paraId="5467A01E" w14:textId="77777777" w:rsidR="00A072D0" w:rsidRDefault="009576A5">
      <w:pPr>
        <w:rPr>
          <w:rStyle w:val="Strong"/>
        </w:rPr>
      </w:pPr>
      <w:r>
        <w:rPr>
          <w:rStyle w:val="Strong"/>
        </w:rPr>
        <w:t>Risk food</w:t>
      </w:r>
    </w:p>
    <w:p w14:paraId="267679DD" w14:textId="77777777" w:rsidR="00A072D0" w:rsidRDefault="009576A5">
      <w:r>
        <w:t>Food that FSANZ has assessed as representing a medium to high potential risk to consumer health are referred to AIMS by the ICS for inspection at the rate of 100 per cent of imports, reducing with a history of compliance.</w:t>
      </w:r>
    </w:p>
    <w:p w14:paraId="2A2DDA65" w14:textId="77777777" w:rsidR="00A072D0" w:rsidRDefault="009576A5">
      <w:pPr>
        <w:rPr>
          <w:rStyle w:val="Strong"/>
        </w:rPr>
      </w:pPr>
      <w:r>
        <w:rPr>
          <w:rStyle w:val="Strong"/>
        </w:rPr>
        <w:t>Surveillance food</w:t>
      </w:r>
    </w:p>
    <w:p w14:paraId="3C2016A1" w14:textId="77777777" w:rsidR="00A072D0" w:rsidRDefault="009576A5">
      <w:r>
        <w:t xml:space="preserve">All other food not classified as risk. Referred to AIMS by the ICS for inspection at the rate of 5 per cent of consignments. </w:t>
      </w:r>
    </w:p>
    <w:p w14:paraId="3610F255" w14:textId="77777777" w:rsidR="00A072D0" w:rsidRDefault="009576A5">
      <w:pPr>
        <w:rPr>
          <w:rStyle w:val="Strong"/>
        </w:rPr>
      </w:pPr>
      <w:r>
        <w:rPr>
          <w:rStyle w:val="Strong"/>
        </w:rPr>
        <w:t>Trans-Tasman Mutual Recognition Arrangement</w:t>
      </w:r>
    </w:p>
    <w:p w14:paraId="432D8A89" w14:textId="77777777" w:rsidR="00A072D0" w:rsidRDefault="009576A5">
      <w:r>
        <w:t>This is an arrangement between the Australian, state and territory governments and the government of New Zealand. It allows goods (including food) to be traded freely between New Zealand and Australia and enhances the freedom of individuals to work in both countries.</w:t>
      </w:r>
    </w:p>
    <w:sectPr w:rsidR="00A072D0" w:rsidSect="001A3E99">
      <w:footerReference w:type="default" r:id="rId31"/>
      <w:pgSz w:w="11900" w:h="16840"/>
      <w:pgMar w:top="1440" w:right="1800" w:bottom="1440" w:left="1800" w:header="708" w:footer="56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A93E4" w14:textId="77777777" w:rsidR="003D575C" w:rsidRDefault="003D575C">
      <w:pPr>
        <w:spacing w:after="0"/>
      </w:pPr>
      <w:r>
        <w:separator/>
      </w:r>
    </w:p>
    <w:p w14:paraId="4D9878C7" w14:textId="77777777" w:rsidR="003D575C" w:rsidRDefault="003D575C"/>
  </w:endnote>
  <w:endnote w:type="continuationSeparator" w:id="0">
    <w:p w14:paraId="57B5B800" w14:textId="77777777" w:rsidR="003D575C" w:rsidRDefault="003D575C">
      <w:pPr>
        <w:spacing w:after="0"/>
      </w:pPr>
      <w:r>
        <w:continuationSeparator/>
      </w:r>
    </w:p>
    <w:p w14:paraId="7160C16C" w14:textId="77777777" w:rsidR="003D575C" w:rsidRDefault="003D5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C4FB" w14:textId="77777777" w:rsidR="003D575C" w:rsidRDefault="003D575C">
    <w:pPr>
      <w:tabs>
        <w:tab w:val="center" w:pos="4513"/>
        <w:tab w:val="left" w:pos="7305"/>
      </w:tabs>
      <w:ind w:left="8206" w:hanging="8206"/>
      <w:jc w:val="right"/>
    </w:pPr>
    <w:r>
      <w:fldChar w:fldCharType="begin"/>
    </w:r>
    <w:r>
      <w:instrText xml:space="preserve"> PAGE </w:instrText>
    </w:r>
    <w:r>
      <w:fldChar w:fldCharType="separate"/>
    </w:r>
    <w:r>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78B19" w14:textId="77777777" w:rsidR="003D575C" w:rsidRDefault="003D575C">
    <w:pPr>
      <w:tabs>
        <w:tab w:val="center" w:pos="4513"/>
        <w:tab w:val="left" w:pos="7305"/>
      </w:tabs>
      <w:ind w:left="8206" w:hanging="820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E8540" w14:textId="77777777" w:rsidR="003D575C" w:rsidRDefault="003D575C">
    <w:pPr>
      <w:framePr w:wrap="around" w:vAnchor="text" w:hAnchor="margin" w:xAlign="center" w:y="1"/>
    </w:pPr>
    <w:r>
      <w:fldChar w:fldCharType="begin"/>
    </w:r>
    <w:r>
      <w:instrText xml:space="preserve">PAGE  </w:instrText>
    </w:r>
    <w:r>
      <w:fldChar w:fldCharType="separate"/>
    </w:r>
    <w:r>
      <w:rPr>
        <w:noProof/>
      </w:rPr>
      <w:t>19</w:t>
    </w:r>
    <w:r>
      <w:rPr>
        <w:noProof/>
      </w:rPr>
      <w:fldChar w:fldCharType="end"/>
    </w:r>
  </w:p>
  <w:p w14:paraId="04FAADA3" w14:textId="77777777" w:rsidR="003D575C" w:rsidRDefault="003D575C">
    <w:pPr>
      <w:tabs>
        <w:tab w:val="center" w:pos="4513"/>
        <w:tab w:val="left" w:pos="7305"/>
      </w:tabs>
      <w:ind w:left="8206" w:hanging="8206"/>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534597"/>
      <w:docPartObj>
        <w:docPartGallery w:val="Page Numbers (Bottom of Page)"/>
        <w:docPartUnique/>
      </w:docPartObj>
    </w:sdtPr>
    <w:sdtEndPr/>
    <w:sdtContent>
      <w:p w14:paraId="0913FFC9" w14:textId="77777777" w:rsidR="003D575C" w:rsidRDefault="003D575C">
        <w:pPr>
          <w:pStyle w:val="Footer"/>
        </w:pPr>
        <w:r>
          <w:t>Department of Agriculture and Water Resources</w:t>
        </w:r>
      </w:p>
      <w:p w14:paraId="79FE58BC" w14:textId="68B8AB00" w:rsidR="003D575C" w:rsidRPr="0041363D" w:rsidRDefault="003D575C">
        <w:pPr>
          <w:pStyle w:val="Footer"/>
          <w:rPr>
            <w:rFonts w:ascii="Cambria" w:hAnsi="Cambria"/>
            <w:sz w:val="22"/>
          </w:rPr>
        </w:pPr>
        <w:r>
          <w:fldChar w:fldCharType="begin"/>
        </w:r>
        <w:r>
          <w:instrText xml:space="preserve"> PAGE   \* MERGEFORMAT </w:instrText>
        </w:r>
        <w:r>
          <w:fldChar w:fldCharType="separate"/>
        </w:r>
        <w:r w:rsidR="00E70443">
          <w:rPr>
            <w:noProof/>
          </w:rPr>
          <w:t>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393362"/>
      <w:docPartObj>
        <w:docPartGallery w:val="Page Numbers (Bottom of Page)"/>
        <w:docPartUnique/>
      </w:docPartObj>
    </w:sdtPr>
    <w:sdtEndPr/>
    <w:sdtContent>
      <w:p w14:paraId="4ED4C266" w14:textId="77777777" w:rsidR="003D575C" w:rsidRDefault="003D575C" w:rsidP="0041363D">
        <w:pPr>
          <w:pStyle w:val="Footer"/>
        </w:pPr>
        <w:r>
          <w:t>Department of Agriculture and Water Resources</w:t>
        </w:r>
      </w:p>
      <w:p w14:paraId="5332AA28" w14:textId="447C6764" w:rsidR="003D575C" w:rsidRDefault="003D575C" w:rsidP="0041363D">
        <w:pPr>
          <w:pStyle w:val="Footer"/>
        </w:pPr>
        <w:r>
          <w:fldChar w:fldCharType="begin"/>
        </w:r>
        <w:r>
          <w:instrText xml:space="preserve"> PAGE   \* MERGEFORMAT </w:instrText>
        </w:r>
        <w:r>
          <w:fldChar w:fldCharType="separate"/>
        </w:r>
        <w:r w:rsidR="00E70443">
          <w:rPr>
            <w:noProof/>
          </w:rPr>
          <w:t>16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906E6" w14:textId="77777777" w:rsidR="003D575C" w:rsidRDefault="003D575C">
      <w:pPr>
        <w:spacing w:after="0"/>
      </w:pPr>
      <w:r>
        <w:separator/>
      </w:r>
    </w:p>
    <w:p w14:paraId="620A93B3" w14:textId="77777777" w:rsidR="003D575C" w:rsidRDefault="003D575C"/>
  </w:footnote>
  <w:footnote w:type="continuationSeparator" w:id="0">
    <w:p w14:paraId="520AFC49" w14:textId="77777777" w:rsidR="003D575C" w:rsidRDefault="003D575C">
      <w:pPr>
        <w:spacing w:after="0"/>
      </w:pPr>
      <w:r>
        <w:continuationSeparator/>
      </w:r>
    </w:p>
    <w:p w14:paraId="0A7D5B4F" w14:textId="77777777" w:rsidR="003D575C" w:rsidRDefault="003D57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F317" w14:textId="77777777" w:rsidR="003D575C" w:rsidRDefault="003D575C">
    <w:pPr>
      <w:tabs>
        <w:tab w:val="center" w:pos="4513"/>
        <w:tab w:val="left" w:pos="7305"/>
      </w:tabs>
      <w:ind w:left="8206" w:hanging="8206"/>
      <w:jc w:val="cent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D0C2" w14:textId="52FD9665" w:rsidR="003D575C" w:rsidRDefault="003D575C" w:rsidP="0041363D">
    <w:pPr>
      <w:pStyle w:val="Header"/>
    </w:pPr>
    <w:r>
      <w:t>Imported food inspection data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BB0E0" w14:textId="77777777" w:rsidR="003D575C" w:rsidRDefault="003D575C">
    <w:pPr>
      <w:pStyle w:val="Header"/>
      <w:jc w:val="left"/>
    </w:pPr>
    <w:r>
      <w:rPr>
        <w:noProof/>
        <w:lang w:eastAsia="en-AU"/>
      </w:rPr>
      <w:drawing>
        <wp:inline distT="0" distB="0" distL="0" distR="0" wp14:anchorId="553FA7F6" wp14:editId="061B70F9">
          <wp:extent cx="2319655" cy="741045"/>
          <wp:effectExtent l="0" t="0" r="4445" b="1905"/>
          <wp:docPr id="5" name="Picture 5" descr="\\act001cl04fs02\ParliamentMedia$\ParliamentMedia\Corporate Communications\Production\Temp\Lawrence\DoA crest\Inline\CMYK\DAWR_Master Brandmark_Inline_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001cl04fs02\ParliamentMedia$\ParliamentMedia\Corporate Communications\Production\Temp\Lawrence\DoA crest\Inline\CMYK\DAWR_Master Brandmark_Inline_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7410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AAB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167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3" w15:restartNumberingAfterBreak="0">
    <w:nsid w:val="FFFFFF7F"/>
    <w:multiLevelType w:val="singleLevel"/>
    <w:tmpl w:val="F2CAD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588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35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A68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9AC8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542CE2"/>
    <w:lvl w:ilvl="0">
      <w:start w:val="1"/>
      <w:numFmt w:val="bullet"/>
      <w:pStyle w:val="ListBullet"/>
      <w:lvlText w:val=""/>
      <w:lvlJc w:val="left"/>
      <w:pPr>
        <w:tabs>
          <w:tab w:val="num" w:pos="360"/>
        </w:tabs>
        <w:ind w:left="360" w:hanging="360"/>
      </w:pPr>
      <w:rPr>
        <w:rFonts w:ascii="Symbol" w:hAnsi="Symbol" w:hint="default"/>
        <w:color w:val="003150"/>
      </w:rPr>
    </w:lvl>
  </w:abstractNum>
  <w:abstractNum w:abstractNumId="10" w15:restartNumberingAfterBreak="0">
    <w:nsid w:val="196B606F"/>
    <w:multiLevelType w:val="hybridMultilevel"/>
    <w:tmpl w:val="E0560262"/>
    <w:lvl w:ilvl="0" w:tplc="A9884604">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9802CB"/>
    <w:multiLevelType w:val="multilevel"/>
    <w:tmpl w:val="142C62F4"/>
    <w:lvl w:ilvl="0">
      <w:start w:val="1"/>
      <w:numFmt w:val="decimal"/>
      <w:pStyle w:val="Heading1numbered"/>
      <w:lvlText w:val="%1"/>
      <w:lvlJc w:val="left"/>
      <w:pPr>
        <w:ind w:left="720" w:hanging="360"/>
      </w:pPr>
      <w:rPr>
        <w:rFonts w:hint="default"/>
      </w:rPr>
    </w:lvl>
    <w:lvl w:ilvl="1">
      <w:start w:val="3"/>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D78AA"/>
    <w:multiLevelType w:val="hybridMultilevel"/>
    <w:tmpl w:val="E29ABE9C"/>
    <w:lvl w:ilvl="0" w:tplc="F95CDB74">
      <w:numFmt w:val="bullet"/>
      <w:lvlText w:val="-"/>
      <w:lvlJc w:val="left"/>
      <w:pPr>
        <w:tabs>
          <w:tab w:val="num" w:pos="1080"/>
        </w:tabs>
        <w:ind w:left="1080" w:hanging="360"/>
      </w:pPr>
      <w:rPr>
        <w:rFonts w:ascii="Times" w:eastAsia="Times" w:hAnsi="Times" w:cs="Time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B0F6519"/>
    <w:multiLevelType w:val="hybridMultilevel"/>
    <w:tmpl w:val="7666AEA2"/>
    <w:lvl w:ilvl="0" w:tplc="1C7C04F4">
      <w:start w:val="1"/>
      <w:numFmt w:val="decimal"/>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DD470D"/>
    <w:multiLevelType w:val="singleLevel"/>
    <w:tmpl w:val="ABD6C086"/>
    <w:lvl w:ilvl="0">
      <w:start w:val="1"/>
      <w:numFmt w:val="decimal"/>
      <w:pStyle w:val="ListNumber"/>
      <w:lvlText w:val="%1."/>
      <w:lvlJc w:val="left"/>
      <w:pPr>
        <w:ind w:left="360" w:hanging="360"/>
      </w:pPr>
      <w:rPr>
        <w:rFonts w:hint="default"/>
        <w:b/>
        <w:i w:val="0"/>
        <w:color w:val="003150"/>
      </w:rPr>
    </w:lvl>
  </w:abstractNum>
  <w:abstractNum w:abstractNumId="1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8233F9"/>
    <w:multiLevelType w:val="hybridMultilevel"/>
    <w:tmpl w:val="B75E39E6"/>
    <w:lvl w:ilvl="0" w:tplc="6E4CB26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6EF85F91"/>
    <w:multiLevelType w:val="hybridMultilevel"/>
    <w:tmpl w:val="F62450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330FE"/>
    <w:multiLevelType w:val="singleLevel"/>
    <w:tmpl w:val="39FE37CA"/>
    <w:lvl w:ilvl="0">
      <w:start w:val="1"/>
      <w:numFmt w:val="lowerLetter"/>
      <w:pStyle w:val="ListNumber2"/>
      <w:lvlText w:val="%1)"/>
      <w:lvlJc w:val="left"/>
      <w:pPr>
        <w:ind w:left="709" w:hanging="426"/>
      </w:pPr>
      <w:rPr>
        <w:rFonts w:hint="default"/>
      </w:rPr>
    </w:lvl>
  </w:abstractNum>
  <w:abstractNum w:abstractNumId="20" w15:restartNumberingAfterBreak="0">
    <w:nsid w:val="73EF5933"/>
    <w:multiLevelType w:val="multilevel"/>
    <w:tmpl w:val="0EF0678E"/>
    <w:lvl w:ilvl="0">
      <w:start w:val="1"/>
      <w:numFmt w:val="decimal"/>
      <w:lvlText w:val="%1)"/>
      <w:lvlJc w:val="left"/>
      <w:pPr>
        <w:ind w:left="360" w:hanging="360"/>
      </w:pPr>
      <w:rPr>
        <w:rFonts w:hint="default"/>
        <w:color w:val="FF79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6FC6811"/>
    <w:multiLevelType w:val="multilevel"/>
    <w:tmpl w:val="5276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12"/>
  </w:num>
  <w:num w:numId="16">
    <w:abstractNumId w:val="17"/>
  </w:num>
  <w:num w:numId="17">
    <w:abstractNumId w:val="16"/>
  </w:num>
  <w:num w:numId="18">
    <w:abstractNumId w:val="11"/>
  </w:num>
  <w:num w:numId="19">
    <w:abstractNumId w:val="9"/>
  </w:num>
  <w:num w:numId="20">
    <w:abstractNumId w:val="7"/>
  </w:num>
  <w:num w:numId="21">
    <w:abstractNumId w:val="15"/>
  </w:num>
  <w:num w:numId="22">
    <w:abstractNumId w:val="19"/>
  </w:num>
  <w:num w:numId="23">
    <w:abstractNumId w:val="2"/>
    <w:lvlOverride w:ilvl="0">
      <w:startOverride w:val="1"/>
    </w:lvlOverride>
  </w:num>
  <w:num w:numId="24">
    <w:abstractNumId w:val="10"/>
  </w:num>
  <w:num w:numId="25">
    <w:abstractNumId w:val="13"/>
  </w:num>
  <w:num w:numId="26">
    <w:abstractNumId w:val="1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2D0"/>
    <w:rsid w:val="00083DB7"/>
    <w:rsid w:val="00110521"/>
    <w:rsid w:val="001409A7"/>
    <w:rsid w:val="0016103E"/>
    <w:rsid w:val="001A3E99"/>
    <w:rsid w:val="001D309E"/>
    <w:rsid w:val="00265432"/>
    <w:rsid w:val="002A0F0C"/>
    <w:rsid w:val="00311C7F"/>
    <w:rsid w:val="00361D6E"/>
    <w:rsid w:val="003908CD"/>
    <w:rsid w:val="003C0FB0"/>
    <w:rsid w:val="003C6F31"/>
    <w:rsid w:val="003D575C"/>
    <w:rsid w:val="003E7444"/>
    <w:rsid w:val="0041363D"/>
    <w:rsid w:val="004C6B48"/>
    <w:rsid w:val="004F4DD0"/>
    <w:rsid w:val="005968CA"/>
    <w:rsid w:val="005C7FAC"/>
    <w:rsid w:val="006C00F3"/>
    <w:rsid w:val="006C0DFC"/>
    <w:rsid w:val="006E27D0"/>
    <w:rsid w:val="007741A1"/>
    <w:rsid w:val="0081235D"/>
    <w:rsid w:val="008A6044"/>
    <w:rsid w:val="00952670"/>
    <w:rsid w:val="009576A5"/>
    <w:rsid w:val="00957936"/>
    <w:rsid w:val="009A7AE3"/>
    <w:rsid w:val="00A072D0"/>
    <w:rsid w:val="00AF7E51"/>
    <w:rsid w:val="00D32174"/>
    <w:rsid w:val="00D51D67"/>
    <w:rsid w:val="00D60E1A"/>
    <w:rsid w:val="00D71B82"/>
    <w:rsid w:val="00DA48AE"/>
    <w:rsid w:val="00DB2496"/>
    <w:rsid w:val="00DC7731"/>
    <w:rsid w:val="00E70443"/>
    <w:rsid w:val="00ED0340"/>
    <w:rsid w:val="00F67C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4192AF4"/>
  <w15:docId w15:val="{94A9B4C8-2B48-454F-8A1C-1529D24D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Cambria" w:hAnsi="Cambria"/>
      <w:sz w:val="22"/>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b/>
      <w:bCs/>
      <w:color w:val="000000"/>
      <w:spacing w:val="5"/>
      <w:kern w:val="28"/>
      <w:sz w:val="72"/>
      <w:szCs w:val="28"/>
    </w:rPr>
  </w:style>
  <w:style w:type="paragraph" w:styleId="Heading2">
    <w:name w:val="heading 2"/>
    <w:basedOn w:val="Normal"/>
    <w:next w:val="Normal"/>
    <w:link w:val="Heading2Char"/>
    <w:uiPriority w:val="3"/>
    <w:pPr>
      <w:keepNext/>
      <w:keepLines/>
      <w:pageBreakBefore/>
      <w:spacing w:before="0" w:after="240"/>
      <w:outlineLvl w:val="1"/>
    </w:pPr>
    <w:rPr>
      <w:rFonts w:ascii="Calibri" w:hAnsi="Calibri"/>
      <w:bCs/>
      <w:color w:val="000000"/>
      <w:sz w:val="56"/>
      <w:szCs w:val="28"/>
      <w:lang w:eastAsia="ja-JP"/>
    </w:rPr>
  </w:style>
  <w:style w:type="paragraph" w:styleId="Heading3">
    <w:name w:val="heading 3"/>
    <w:next w:val="Normal"/>
    <w:link w:val="Heading3Char"/>
    <w:uiPriority w:val="4"/>
    <w:qFormat/>
    <w:pPr>
      <w:keepNext/>
      <w:keepLines/>
      <w:outlineLvl w:val="2"/>
    </w:pPr>
    <w:rPr>
      <w:rFonts w:ascii="Calibri" w:eastAsia="Times New Roman" w:hAnsi="Calibri" w:cs="Times New Roman"/>
      <w:b/>
      <w:bCs/>
      <w:color w:val="632423" w:themeColor="accent2" w:themeShade="80"/>
      <w:sz w:val="36"/>
    </w:rPr>
  </w:style>
  <w:style w:type="paragraph" w:styleId="Heading4">
    <w:name w:val="heading 4"/>
    <w:next w:val="Normal"/>
    <w:link w:val="Heading4Char"/>
    <w:uiPriority w:val="5"/>
    <w:qFormat/>
    <w:pPr>
      <w:numPr>
        <w:ilvl w:val="2"/>
        <w:numId w:val="27"/>
      </w:numPr>
      <w:outlineLvl w:val="3"/>
    </w:pPr>
    <w:rPr>
      <w:rFonts w:ascii="Calibri" w:eastAsia="Times New Roman" w:hAnsi="Calibri" w:cs="Times New Roman"/>
      <w:b/>
      <w:bCs/>
      <w:color w:val="943634" w:themeColor="accent2" w:themeShade="BF"/>
      <w:sz w:val="28"/>
    </w:rPr>
  </w:style>
  <w:style w:type="paragraph" w:styleId="Heading5">
    <w:name w:val="heading 5"/>
    <w:basedOn w:val="Normal"/>
    <w:next w:val="Normal"/>
    <w:link w:val="Heading5Char"/>
    <w:uiPriority w:val="6"/>
    <w:pPr>
      <w:keepNext/>
      <w:keepLines/>
      <w:spacing w:before="0" w:after="200"/>
      <w:outlineLvl w:val="4"/>
    </w:pPr>
    <w:rPr>
      <w:rFonts w:ascii="Calibri" w:eastAsiaTheme="minorHAnsi" w:hAnsi="Calibri"/>
      <w:b/>
      <w:szCs w:val="22"/>
    </w:rPr>
  </w:style>
  <w:style w:type="paragraph" w:styleId="Heading6">
    <w:name w:val="heading 6"/>
    <w:basedOn w:val="Normal"/>
    <w:next w:val="Normal"/>
    <w:link w:val="Heading6Char"/>
    <w:qFormat/>
    <w:pPr>
      <w:spacing w:before="240" w:after="60"/>
      <w:outlineLvl w:val="5"/>
    </w:pPr>
    <w:rPr>
      <w:b/>
      <w:bCs/>
      <w:szCs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uiPriority w:val="9"/>
    <w:semiHidden/>
    <w:unhideWhenUse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Calibri" w:eastAsiaTheme="minorHAnsi" w:hAnsi="Calibri"/>
      <w:b/>
      <w:bCs/>
      <w:color w:val="000000"/>
      <w:spacing w:val="5"/>
      <w:kern w:val="28"/>
      <w:sz w:val="72"/>
      <w:szCs w:val="28"/>
    </w:rPr>
  </w:style>
  <w:style w:type="character" w:customStyle="1" w:styleId="Heading2Char">
    <w:name w:val="Heading 2 Char"/>
    <w:basedOn w:val="DefaultParagraphFont"/>
    <w:link w:val="Heading2"/>
    <w:uiPriority w:val="3"/>
    <w:rPr>
      <w:rFonts w:ascii="Calibri" w:hAnsi="Calibr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cs="Times New Roman"/>
      <w:b/>
      <w:bCs/>
      <w:color w:val="632423" w:themeColor="accent2" w:themeShade="80"/>
      <w:sz w:val="36"/>
    </w:rPr>
  </w:style>
  <w:style w:type="character" w:customStyle="1" w:styleId="Heading4Char">
    <w:name w:val="Heading 4 Char"/>
    <w:basedOn w:val="DefaultParagraphFont"/>
    <w:link w:val="Heading4"/>
    <w:uiPriority w:val="5"/>
    <w:rPr>
      <w:rFonts w:ascii="Calibri" w:eastAsia="Times New Roman" w:hAnsi="Calibri" w:cs="Times New Roman"/>
      <w:b/>
      <w:bCs/>
      <w:color w:val="943634" w:themeColor="accent2" w:themeShade="BF"/>
      <w:sz w:val="28"/>
    </w:rPr>
  </w:style>
  <w:style w:type="paragraph" w:customStyle="1" w:styleId="Author">
    <w:name w:val="Author"/>
    <w:basedOn w:val="Normal"/>
    <w:next w:val="Normal"/>
    <w:uiPriority w:val="24"/>
    <w:qFormat/>
    <w:pPr>
      <w:spacing w:before="0" w:after="60" w:line="276" w:lineRule="auto"/>
    </w:pPr>
    <w:rPr>
      <w:rFonts w:eastAsiaTheme="minorHAnsi"/>
      <w:b/>
      <w:sz w:val="28"/>
      <w:szCs w:val="28"/>
    </w:rPr>
  </w:style>
  <w:style w:type="paragraph" w:customStyle="1" w:styleId="Boxtext">
    <w:name w:val="Box text"/>
    <w:basedOn w:val="Normal"/>
    <w:qFormat/>
    <w:pPr>
      <w:pBdr>
        <w:top w:val="single" w:sz="4" w:space="10" w:color="auto"/>
        <w:left w:val="single" w:sz="4" w:space="10" w:color="auto"/>
        <w:bottom w:val="single" w:sz="4" w:space="10" w:color="auto"/>
        <w:right w:val="single" w:sz="4" w:space="10" w:color="auto"/>
      </w:pBdr>
      <w:spacing w:line="264" w:lineRule="auto"/>
    </w:pPr>
    <w:rPr>
      <w:sz w:val="20"/>
    </w:rPr>
  </w:style>
  <w:style w:type="paragraph" w:customStyle="1" w:styleId="Boxtextbullet">
    <w:name w:val="Box text bullet"/>
    <w:basedOn w:val="Boxtext"/>
    <w:qFormat/>
    <w:pPr>
      <w:numPr>
        <w:numId w:val="17"/>
      </w:numPr>
    </w:pPr>
  </w:style>
  <w:style w:type="paragraph" w:styleId="Caption">
    <w:name w:val="caption"/>
    <w:basedOn w:val="Normal"/>
    <w:next w:val="Normal"/>
    <w:qFormat/>
    <w:pPr>
      <w:keepNext/>
    </w:pPr>
    <w:rPr>
      <w:rFonts w:ascii="Calibri" w:hAnsi="Calibri"/>
      <w:b/>
      <w:bCs/>
      <w:color w:val="943634" w:themeColor="accent2" w:themeShade="BF"/>
      <w:sz w:val="24"/>
      <w:szCs w:val="18"/>
    </w:rPr>
  </w:style>
  <w:style w:type="paragraph" w:styleId="BalloonText">
    <w:name w:val="Balloon Text"/>
    <w:basedOn w:val="Normal"/>
    <w:link w:val="BalloonTextChar"/>
    <w:uiPriority w:val="99"/>
    <w:semiHidden/>
    <w:unhideWhenUsed/>
    <w:rPr>
      <w:rFonts w:ascii="Lucida Grande" w:hAnsi="Lucida Grande"/>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hAnsi="Cambria"/>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hAnsi="Cambria"/>
      <w:b/>
      <w:bCs/>
      <w:sz w:val="20"/>
      <w:szCs w:val="20"/>
    </w:rPr>
  </w:style>
  <w:style w:type="character" w:styleId="Emphasis">
    <w:name w:val="Emphasis"/>
    <w:basedOn w:val="DefaultParagraphFont"/>
    <w:qFormat/>
    <w:rPr>
      <w:i/>
      <w:iCs/>
    </w:rPr>
  </w:style>
  <w:style w:type="paragraph" w:customStyle="1" w:styleId="Figuretablenotesource">
    <w:name w:val="Figure/table note/source"/>
    <w:basedOn w:val="Normal"/>
    <w:next w:val="Normal"/>
    <w:qFormat/>
    <w:pPr>
      <w:contextualSpacing/>
    </w:pPr>
    <w:rPr>
      <w:rFonts w:ascii="Calibri" w:hAnsi="Calibri"/>
      <w:sz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styleId="FollowedHyperlink">
    <w:name w:val="FollowedHyperlink"/>
    <w:basedOn w:val="DefaultParagraphFont"/>
    <w:semiHidden/>
    <w:unhideWhenUsed/>
    <w:rPr>
      <w:color w:val="800080" w:themeColor="followedHyperlink"/>
      <w:u w:val="single"/>
    </w:rPr>
  </w:style>
  <w:style w:type="paragraph" w:styleId="Footer">
    <w:name w:val="footer"/>
    <w:basedOn w:val="Normal"/>
    <w:link w:val="FooterChar"/>
    <w:uiPriority w:val="99"/>
    <w:pPr>
      <w:tabs>
        <w:tab w:val="center" w:pos="4536"/>
      </w:tabs>
      <w:spacing w:before="0"/>
      <w:jc w:val="center"/>
    </w:pPr>
    <w:rPr>
      <w:rFonts w:ascii="Calibri" w:hAnsi="Calibri"/>
      <w:sz w:val="20"/>
    </w:rPr>
  </w:style>
  <w:style w:type="character" w:customStyle="1" w:styleId="FooterChar">
    <w:name w:val="Footer Char"/>
    <w:basedOn w:val="DefaultParagraphFont"/>
    <w:link w:val="Footer"/>
    <w:uiPriority w:val="99"/>
    <w:rPr>
      <w:rFonts w:ascii="Calibri" w:hAnsi="Calibri"/>
      <w:sz w:val="20"/>
    </w:rPr>
  </w:style>
  <w:style w:type="paragraph" w:customStyle="1" w:styleId="Footeraddress">
    <w:name w:val="Footer address"/>
    <w:basedOn w:val="Footer"/>
    <w:semiHidden/>
    <w:qFormat/>
    <w:rPr>
      <w:rFonts w:asciiTheme="majorHAnsi" w:hAnsiTheme="majorHAnsi"/>
      <w:sz w:val="16"/>
    </w:rPr>
  </w:style>
  <w:style w:type="paragraph" w:customStyle="1" w:styleId="Glossary">
    <w:name w:val="Glossary"/>
    <w:basedOn w:val="Normal"/>
    <w:qFormat/>
    <w:pPr>
      <w:ind w:left="2126" w:hanging="2126"/>
    </w:pPr>
    <w:rPr>
      <w:rFonts w:eastAsia="Calibri" w:cs="Times New Roman"/>
      <w:color w:val="000000" w:themeColor="text1"/>
      <w:szCs w:val="22"/>
    </w:rPr>
  </w:style>
  <w:style w:type="paragraph" w:styleId="Header">
    <w:name w:val="header"/>
    <w:basedOn w:val="Normal"/>
    <w:link w:val="HeaderChar"/>
    <w:uiPriority w:val="26"/>
    <w:pPr>
      <w:tabs>
        <w:tab w:val="center" w:pos="4820"/>
      </w:tabs>
      <w:spacing w:before="0" w:after="200"/>
      <w:jc w:val="center"/>
    </w:pPr>
    <w:rPr>
      <w:rFonts w:ascii="Calibri" w:eastAsiaTheme="minorHAnsi" w:hAnsi="Calibri"/>
      <w:sz w:val="20"/>
      <w:szCs w:val="22"/>
    </w:rPr>
  </w:style>
  <w:style w:type="character" w:customStyle="1" w:styleId="HeaderChar">
    <w:name w:val="Header Char"/>
    <w:basedOn w:val="DefaultParagraphFont"/>
    <w:link w:val="Header"/>
    <w:uiPriority w:val="26"/>
    <w:rPr>
      <w:rFonts w:ascii="Calibri" w:eastAsiaTheme="minorHAnsi" w:hAnsi="Calibri"/>
      <w:sz w:val="20"/>
      <w:szCs w:val="22"/>
    </w:rPr>
  </w:style>
  <w:style w:type="paragraph" w:customStyle="1" w:styleId="Heading1numbered">
    <w:name w:val="Heading 1 numbered"/>
    <w:basedOn w:val="Heading1"/>
    <w:next w:val="Normal"/>
    <w:pPr>
      <w:numPr>
        <w:numId w:val="18"/>
      </w:numPr>
    </w:pPr>
  </w:style>
  <w:style w:type="character" w:customStyle="1" w:styleId="Heading5Char">
    <w:name w:val="Heading 5 Char"/>
    <w:basedOn w:val="DefaultParagraphFont"/>
    <w:link w:val="Heading5"/>
    <w:uiPriority w:val="6"/>
    <w:rPr>
      <w:rFonts w:ascii="Calibri" w:eastAsiaTheme="minorHAnsi" w:hAnsi="Calibri"/>
      <w:b/>
      <w:sz w:val="22"/>
      <w:szCs w:val="22"/>
    </w:rPr>
  </w:style>
  <w:style w:type="character" w:customStyle="1" w:styleId="Heading6Char">
    <w:name w:val="Heading 6 Char"/>
    <w:basedOn w:val="DefaultParagraphFont"/>
    <w:link w:val="Heading6"/>
    <w:rPr>
      <w:rFonts w:ascii="Cambria" w:hAnsi="Cambria"/>
      <w:b/>
      <w:bCs/>
      <w:sz w:val="22"/>
      <w:szCs w:val="22"/>
    </w:rPr>
  </w:style>
  <w:style w:type="character" w:customStyle="1" w:styleId="Heading7Char">
    <w:name w:val="Heading 7 Char"/>
    <w:basedOn w:val="DefaultParagraphFont"/>
    <w:link w:val="Heading7"/>
    <w:rPr>
      <w:rFonts w:ascii="Cambria" w:hAnsi="Cambria"/>
      <w:sz w:val="22"/>
    </w:rPr>
  </w:style>
  <w:style w:type="character" w:styleId="Hyperlink">
    <w:name w:val="Hyperlink"/>
    <w:basedOn w:val="DefaultParagraphFont"/>
    <w:uiPriority w:val="99"/>
    <w:qFormat/>
    <w:rPr>
      <w:color w:val="165788"/>
      <w:u w:val="single"/>
    </w:rPr>
  </w:style>
  <w:style w:type="table" w:styleId="TableGrid1">
    <w:name w:val="Table Grid 1"/>
    <w:basedOn w:val="TableNormal"/>
    <w:uiPriority w:val="99"/>
    <w:semiHidden/>
    <w:unhideWhenUsed/>
    <w:pPr>
      <w:spacing w:after="200" w:line="280" w:lineRule="atLeast"/>
    </w:pPr>
    <w:rPr>
      <w:rFonts w:eastAsia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Shading-Accent6">
    <w:name w:val="Light Shading Accent 6"/>
    <w:basedOn w:val="TableGrid1"/>
    <w:uiPriority w:val="60"/>
    <w:rPr>
      <w:color w:val="E36C0A" w:themeColor="accent6" w:themeShade="BF"/>
      <w:sz w:val="20"/>
      <w:szCs w:val="20"/>
      <w:lang w:eastAsia="en-AU"/>
    </w:rPr>
    <w:tblPr>
      <w:tblStyleRowBandSize w:val="1"/>
      <w:tblStyleColBandSize w:val="1"/>
      <w:tblBorders>
        <w:top w:val="single" w:sz="8" w:space="0" w:color="F79646" w:themeColor="accent6"/>
        <w:left w:val="none" w:sz="0" w:space="0" w:color="auto"/>
        <w:bottom w:val="single" w:sz="8" w:space="0" w:color="F79646" w:themeColor="accent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i/>
        <w:iCs/>
      </w:rPr>
      <w:tblPr/>
      <w:tcPr>
        <w:tcBorders>
          <w:top w:val="single" w:sz="8" w:space="0" w:color="F79646" w:themeColor="accent6"/>
          <w:left w:val="nil"/>
          <w:bottom w:val="single" w:sz="8" w:space="0" w:color="F79646" w:themeColor="accent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pPr>
      <w:numPr>
        <w:numId w:val="19"/>
      </w:numPr>
    </w:pPr>
  </w:style>
  <w:style w:type="paragraph" w:styleId="ListBullet2">
    <w:name w:val="List Bullet 2"/>
    <w:basedOn w:val="Normal"/>
    <w:pPr>
      <w:numPr>
        <w:numId w:val="20"/>
      </w:numPr>
    </w:pPr>
  </w:style>
  <w:style w:type="paragraph" w:styleId="ListNumber">
    <w:name w:val="List Number"/>
    <w:basedOn w:val="Normal"/>
    <w:pPr>
      <w:numPr>
        <w:numId w:val="21"/>
      </w:numPr>
      <w:tabs>
        <w:tab w:val="left" w:pos="284"/>
      </w:tabs>
    </w:pPr>
  </w:style>
  <w:style w:type="paragraph" w:styleId="ListNumber2">
    <w:name w:val="List Number 2"/>
    <w:pPr>
      <w:numPr>
        <w:numId w:val="22"/>
      </w:numPr>
      <w:tabs>
        <w:tab w:val="left" w:pos="567"/>
      </w:tabs>
      <w:spacing w:before="120" w:after="120" w:line="280" w:lineRule="atLeast"/>
      <w:contextualSpacing/>
    </w:pPr>
    <w:rPr>
      <w:rFonts w:ascii="Cambria" w:hAnsi="Cambria"/>
      <w:sz w:val="22"/>
    </w:rPr>
  </w:style>
  <w:style w:type="paragraph" w:styleId="ListNumber3">
    <w:name w:val="List Number 3"/>
    <w:pPr>
      <w:numPr>
        <w:numId w:val="23"/>
      </w:numPr>
      <w:spacing w:after="120"/>
    </w:pPr>
    <w:rPr>
      <w:rFonts w:ascii="Cambria" w:hAnsi="Cambria"/>
      <w:sz w:val="2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0" w:after="168" w:line="168" w:lineRule="atLeast"/>
      <w:jc w:val="both"/>
    </w:pPr>
    <w:rPr>
      <w:rFonts w:ascii="Times New Roman" w:eastAsia="Times New Roman" w:hAnsi="Times New Roman" w:cs="Times New Roman"/>
      <w:sz w:val="13"/>
      <w:szCs w:val="13"/>
      <w:lang w:eastAsia="en-AU"/>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qFormat/>
    <w:pPr>
      <w:spacing w:line="240" w:lineRule="atLeast"/>
      <w:ind w:left="709" w:right="567"/>
    </w:pPr>
    <w:rPr>
      <w:iCs/>
      <w:color w:val="000000" w:themeColor="text1"/>
      <w:sz w:val="20"/>
    </w:rPr>
  </w:style>
  <w:style w:type="character" w:customStyle="1" w:styleId="QuoteChar">
    <w:name w:val="Quote Char"/>
    <w:basedOn w:val="DefaultParagraphFont"/>
    <w:link w:val="Quote"/>
    <w:rPr>
      <w:rFonts w:ascii="Cambria" w:hAnsi="Cambria"/>
      <w:iCs/>
      <w:color w:val="000000" w:themeColor="text1"/>
      <w:sz w:val="20"/>
    </w:rPr>
  </w:style>
  <w:style w:type="character" w:styleId="Strong">
    <w:name w:val="Strong"/>
    <w:basedOn w:val="DefaultParagraphFont"/>
    <w:uiPriority w:val="99"/>
    <w:qFormat/>
    <w:rPr>
      <w:b/>
      <w:bCs/>
    </w:rPr>
  </w:style>
  <w:style w:type="paragraph" w:styleId="Subtitle">
    <w:name w:val="Subtitle"/>
    <w:aliases w:val="Supplementary document title"/>
    <w:basedOn w:val="Normal"/>
    <w:next w:val="Normal"/>
    <w:link w:val="SubtitleChar"/>
    <w:uiPriority w:val="52"/>
    <w:qFormat/>
    <w:pPr>
      <w:spacing w:before="0" w:after="720"/>
    </w:pPr>
    <w:rPr>
      <w:rFonts w:ascii="Calibri" w:hAnsi="Calibri" w:cs="Calibri"/>
      <w:sz w:val="68"/>
      <w:szCs w:val="72"/>
    </w:rPr>
  </w:style>
  <w:style w:type="character" w:customStyle="1" w:styleId="SubtitleChar">
    <w:name w:val="Subtitle Char"/>
    <w:aliases w:val="Supplementary document title Char"/>
    <w:basedOn w:val="DefaultParagraphFont"/>
    <w:link w:val="Subtitle"/>
    <w:uiPriority w:val="52"/>
    <w:rPr>
      <w:rFonts w:ascii="Calibri" w:hAnsi="Calibri" w:cs="Calibri"/>
      <w:sz w:val="68"/>
      <w:szCs w:val="72"/>
    </w:rPr>
  </w:style>
  <w:style w:type="table" w:styleId="TableGrid">
    <w:name w:val="Table Grid"/>
    <w:basedOn w:val="TableNormal"/>
    <w:uiPriority w:val="59"/>
    <w:pPr>
      <w:spacing w:before="60" w:after="60"/>
    </w:pPr>
    <w:rPr>
      <w:rFonts w:ascii="Cambria" w:hAnsi="Cambri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pPr>
      <w:spacing w:before="40" w:after="40"/>
    </w:pPr>
    <w:rPr>
      <w:sz w:val="18"/>
    </w:rPr>
  </w:style>
  <w:style w:type="paragraph" w:customStyle="1" w:styleId="Tableheading">
    <w:name w:val="Table heading"/>
    <w:basedOn w:val="Tabletext"/>
    <w:qFormat/>
    <w:pPr>
      <w:keepNext/>
    </w:pPr>
    <w:rPr>
      <w:b/>
    </w:rPr>
  </w:style>
  <w:style w:type="paragraph" w:styleId="TableofFigures">
    <w:name w:val="table of figures"/>
    <w:basedOn w:val="Normal"/>
    <w:next w:val="Normal"/>
    <w:uiPriority w:val="99"/>
    <w:pPr>
      <w:spacing w:before="0" w:after="0"/>
    </w:pPr>
  </w:style>
  <w:style w:type="paragraph" w:customStyle="1" w:styleId="Tabletextbullet">
    <w:name w:val="Table text bullet"/>
    <w:basedOn w:val="Tabletext"/>
    <w:qFormat/>
    <w:pPr>
      <w:numPr>
        <w:numId w:val="24"/>
      </w:numPr>
    </w:pPr>
  </w:style>
  <w:style w:type="paragraph" w:styleId="Title">
    <w:name w:val="Title"/>
    <w:basedOn w:val="Normal"/>
    <w:next w:val="Normal"/>
    <w:link w:val="TitleChar"/>
    <w:qFormat/>
    <w:pPr>
      <w:spacing w:before="480" w:after="0"/>
    </w:pPr>
    <w:rPr>
      <w:rFonts w:ascii="Calibri" w:hAnsi="Calibri"/>
      <w:b/>
      <w:color w:val="003150"/>
      <w:sz w:val="72"/>
      <w:szCs w:val="72"/>
    </w:rPr>
  </w:style>
  <w:style w:type="character" w:customStyle="1" w:styleId="TitleChar">
    <w:name w:val="Title Char"/>
    <w:basedOn w:val="DefaultParagraphFont"/>
    <w:link w:val="Title"/>
    <w:rPr>
      <w:rFonts w:ascii="Calibri" w:hAnsi="Calibri"/>
      <w:b/>
      <w:color w:val="003150"/>
      <w:sz w:val="72"/>
      <w:szCs w:val="72"/>
    </w:rPr>
  </w:style>
  <w:style w:type="paragraph" w:styleId="TOAHeading">
    <w:name w:val="toa heading"/>
    <w:basedOn w:val="Heading1"/>
    <w:next w:val="Normal"/>
    <w:uiPriority w:val="99"/>
    <w:semiHidden/>
    <w:unhideWhenUsed/>
    <w:pPr>
      <w:spacing w:before="120"/>
    </w:pPr>
    <w:rPr>
      <w:bCs w:val="0"/>
      <w:sz w:val="24"/>
    </w:rPr>
  </w:style>
  <w:style w:type="paragraph" w:styleId="TOC1">
    <w:name w:val="toc 1"/>
    <w:basedOn w:val="Normal"/>
    <w:next w:val="Normal"/>
    <w:uiPriority w:val="39"/>
    <w:unhideWhenUsed/>
    <w:qFormat/>
    <w:pPr>
      <w:tabs>
        <w:tab w:val="left" w:pos="426"/>
        <w:tab w:val="right" w:leader="dot" w:pos="9072"/>
      </w:tabs>
    </w:pPr>
    <w:rPr>
      <w:rFonts w:eastAsiaTheme="minorHAnsi"/>
      <w:b/>
      <w:noProof/>
      <w:szCs w:val="22"/>
    </w:rPr>
  </w:style>
  <w:style w:type="paragraph" w:styleId="TOC2">
    <w:name w:val="toc 2"/>
    <w:basedOn w:val="Normal"/>
    <w:next w:val="Normal"/>
    <w:uiPriority w:val="39"/>
    <w:unhideWhenUsed/>
    <w:qFormat/>
    <w:pPr>
      <w:tabs>
        <w:tab w:val="right" w:leader="dot" w:pos="9060"/>
      </w:tabs>
      <w:ind w:firstLine="425"/>
    </w:pPr>
    <w:rPr>
      <w:rFonts w:eastAsiaTheme="minorHAnsi"/>
      <w:noProof/>
      <w:szCs w:val="22"/>
    </w:rPr>
  </w:style>
  <w:style w:type="paragraph" w:styleId="TOC3">
    <w:name w:val="toc 3"/>
    <w:basedOn w:val="Normal"/>
    <w:next w:val="Normal"/>
    <w:uiPriority w:val="39"/>
    <w:unhideWhenUsed/>
    <w:qFormat/>
    <w:pPr>
      <w:tabs>
        <w:tab w:val="right" w:leader="dot" w:pos="9072"/>
      </w:tabs>
      <w:ind w:firstLine="851"/>
    </w:pPr>
    <w:rPr>
      <w:rFonts w:eastAsiaTheme="minorHAnsi"/>
      <w:noProof/>
      <w:szCs w:val="22"/>
    </w:rPr>
  </w:style>
  <w:style w:type="paragraph" w:styleId="TOCHeading">
    <w:name w:val="TOC Heading"/>
    <w:next w:val="Normal"/>
    <w:uiPriority w:val="39"/>
    <w:qFormat/>
    <w:pPr>
      <w:spacing w:before="480" w:line="276" w:lineRule="auto"/>
    </w:pPr>
    <w:rPr>
      <w:rFonts w:ascii="Calibri" w:hAnsi="Calibri"/>
      <w:bCs/>
      <w:color w:val="000000"/>
      <w:sz w:val="56"/>
      <w:szCs w:val="28"/>
      <w:lang w:eastAsia="ja-JP"/>
    </w:rPr>
  </w:style>
  <w:style w:type="paragraph" w:customStyle="1" w:styleId="TOCheading2">
    <w:name w:val="TOC heading 2"/>
    <w:basedOn w:val="TOCHeading"/>
    <w:qFormat/>
    <w:pPr>
      <w:spacing w:before="120" w:after="120" w:line="240" w:lineRule="auto"/>
    </w:pPr>
  </w:style>
  <w:style w:type="paragraph" w:styleId="BodyText">
    <w:name w:val="Body Text"/>
    <w:basedOn w:val="Normal"/>
    <w:link w:val="BodyTextChar"/>
    <w:uiPriority w:val="99"/>
    <w:semiHidden/>
    <w:unhideWhenUsed/>
  </w:style>
  <w:style w:type="character" w:customStyle="1" w:styleId="BodyTextChar">
    <w:name w:val="Body Text Char"/>
    <w:basedOn w:val="DefaultParagraphFont"/>
    <w:link w:val="BodyText"/>
    <w:uiPriority w:val="99"/>
    <w:semiHidden/>
    <w:rPr>
      <w:rFonts w:ascii="Cambria" w:hAnsi="Cambria"/>
      <w:sz w:val="22"/>
    </w:rPr>
  </w:style>
  <w:style w:type="paragraph" w:customStyle="1" w:styleId="Titlepageheading1">
    <w:name w:val="Title page heading 1"/>
    <w:basedOn w:val="Normal"/>
    <w:pPr>
      <w:spacing w:before="0" w:after="240"/>
      <w:ind w:left="1418"/>
      <w:contextualSpacing/>
    </w:pPr>
    <w:rPr>
      <w:rFonts w:eastAsia="Times New Roman" w:cs="Times New Roman"/>
      <w:b/>
      <w:bCs/>
      <w:color w:val="000000"/>
      <w:spacing w:val="5"/>
      <w:kern w:val="28"/>
      <w:sz w:val="48"/>
      <w:szCs w:val="20"/>
    </w:rPr>
  </w:style>
  <w:style w:type="paragraph" w:customStyle="1" w:styleId="Titlepageauthor">
    <w:name w:val="Title page author"/>
    <w:uiPriority w:val="51"/>
    <w:qFormat/>
    <w:pPr>
      <w:spacing w:before="120"/>
      <w:ind w:left="1418"/>
    </w:pPr>
    <w:rPr>
      <w:rFonts w:ascii="Cambria" w:eastAsia="Calibri" w:hAnsi="Cambria" w:cs="Times New Roman"/>
      <w:sz w:val="26"/>
      <w:szCs w:val="26"/>
    </w:rPr>
  </w:style>
  <w:style w:type="character" w:customStyle="1" w:styleId="Titlepageheading2">
    <w:name w:val="Title page heading 2"/>
    <w:basedOn w:val="PlaceholderText"/>
    <w:rPr>
      <w:rFonts w:ascii="Calibri" w:hAnsi="Calibri"/>
      <w:color w:val="808080"/>
      <w:spacing w:val="15"/>
      <w:sz w:val="44"/>
    </w:rPr>
  </w:style>
  <w:style w:type="paragraph" w:customStyle="1" w:styleId="Biosecuritytagline">
    <w:name w:val="Biosecurity tagline"/>
    <w:next w:val="Normal"/>
    <w:pPr>
      <w:pBdr>
        <w:bottom w:val="single" w:sz="4" w:space="1" w:color="auto"/>
      </w:pBdr>
      <w:spacing w:after="120"/>
      <w:jc w:val="right"/>
    </w:pPr>
    <w:rPr>
      <w:rFonts w:eastAsia="Times New Roman" w:cs="Times New Roman"/>
      <w:b/>
      <w:bCs/>
      <w:color w:val="000000"/>
      <w:sz w:val="22"/>
      <w:szCs w:val="20"/>
    </w:rPr>
  </w:style>
  <w:style w:type="paragraph" w:styleId="Revision">
    <w:name w:val="Revision"/>
    <w:hidden/>
    <w:uiPriority w:val="99"/>
    <w:semiHidden/>
    <w:rPr>
      <w:rFonts w:ascii="Cambria" w:hAnsi="Cambria"/>
      <w:sz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paragraph" w:customStyle="1" w:styleId="AuthorOrganisationAffiliation">
    <w:name w:val="Author Organisation/Affiliation"/>
    <w:basedOn w:val="Normal"/>
    <w:next w:val="Normal"/>
    <w:uiPriority w:val="25"/>
    <w:qFormat/>
    <w:pPr>
      <w:spacing w:before="0" w:after="720" w:line="276" w:lineRule="auto"/>
    </w:pPr>
    <w:rPr>
      <w:rFonts w:eastAsiaTheme="minorHAnsi"/>
      <w:szCs w:val="22"/>
    </w:rPr>
  </w:style>
  <w:style w:type="paragraph" w:customStyle="1" w:styleId="TOCHeading20">
    <w:name w:val="TOC Heading 2"/>
    <w:next w:val="Normal"/>
    <w:qFormat/>
    <w:rPr>
      <w:rFonts w:ascii="Calibri Light" w:eastAsiaTheme="minorHAnsi" w:hAnsi="Calibri Light"/>
      <w:sz w:val="36"/>
      <w:szCs w:val="22"/>
    </w:rPr>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18">
      <w:bodyDiv w:val="1"/>
      <w:marLeft w:val="0"/>
      <w:marRight w:val="0"/>
      <w:marTop w:val="0"/>
      <w:marBottom w:val="0"/>
      <w:divBdr>
        <w:top w:val="none" w:sz="0" w:space="0" w:color="auto"/>
        <w:left w:val="none" w:sz="0" w:space="0" w:color="auto"/>
        <w:bottom w:val="none" w:sz="0" w:space="0" w:color="auto"/>
        <w:right w:val="none" w:sz="0" w:space="0" w:color="auto"/>
      </w:divBdr>
    </w:div>
    <w:div w:id="44723753">
      <w:bodyDiv w:val="1"/>
      <w:marLeft w:val="0"/>
      <w:marRight w:val="0"/>
      <w:marTop w:val="0"/>
      <w:marBottom w:val="0"/>
      <w:divBdr>
        <w:top w:val="none" w:sz="0" w:space="0" w:color="auto"/>
        <w:left w:val="none" w:sz="0" w:space="0" w:color="auto"/>
        <w:bottom w:val="none" w:sz="0" w:space="0" w:color="auto"/>
        <w:right w:val="none" w:sz="0" w:space="0" w:color="auto"/>
      </w:divBdr>
      <w:divsChild>
        <w:div w:id="1149051236">
          <w:marLeft w:val="0"/>
          <w:marRight w:val="0"/>
          <w:marTop w:val="0"/>
          <w:marBottom w:val="0"/>
          <w:divBdr>
            <w:top w:val="none" w:sz="0" w:space="0" w:color="auto"/>
            <w:left w:val="none" w:sz="0" w:space="0" w:color="auto"/>
            <w:bottom w:val="none" w:sz="0" w:space="0" w:color="auto"/>
            <w:right w:val="none" w:sz="0" w:space="0" w:color="auto"/>
          </w:divBdr>
          <w:divsChild>
            <w:div w:id="1352218573">
              <w:marLeft w:val="0"/>
              <w:marRight w:val="0"/>
              <w:marTop w:val="0"/>
              <w:marBottom w:val="0"/>
              <w:divBdr>
                <w:top w:val="none" w:sz="0" w:space="0" w:color="auto"/>
                <w:left w:val="none" w:sz="0" w:space="0" w:color="auto"/>
                <w:bottom w:val="none" w:sz="0" w:space="0" w:color="auto"/>
                <w:right w:val="none" w:sz="0" w:space="0" w:color="auto"/>
              </w:divBdr>
              <w:divsChild>
                <w:div w:id="635719297">
                  <w:marLeft w:val="3870"/>
                  <w:marRight w:val="0"/>
                  <w:marTop w:val="0"/>
                  <w:marBottom w:val="0"/>
                  <w:divBdr>
                    <w:top w:val="none" w:sz="0" w:space="0" w:color="auto"/>
                    <w:left w:val="none" w:sz="0" w:space="0" w:color="auto"/>
                    <w:bottom w:val="none" w:sz="0" w:space="0" w:color="auto"/>
                    <w:right w:val="none" w:sz="0" w:space="0" w:color="auto"/>
                  </w:divBdr>
                  <w:divsChild>
                    <w:div w:id="2131197224">
                      <w:marLeft w:val="0"/>
                      <w:marRight w:val="0"/>
                      <w:marTop w:val="0"/>
                      <w:marBottom w:val="300"/>
                      <w:divBdr>
                        <w:top w:val="none" w:sz="0" w:space="0" w:color="auto"/>
                        <w:left w:val="none" w:sz="0" w:space="0" w:color="auto"/>
                        <w:bottom w:val="none" w:sz="0" w:space="0" w:color="auto"/>
                        <w:right w:val="none" w:sz="0" w:space="0" w:color="auto"/>
                      </w:divBdr>
                      <w:divsChild>
                        <w:div w:id="9949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02573">
      <w:bodyDiv w:val="1"/>
      <w:marLeft w:val="0"/>
      <w:marRight w:val="0"/>
      <w:marTop w:val="0"/>
      <w:marBottom w:val="0"/>
      <w:divBdr>
        <w:top w:val="none" w:sz="0" w:space="0" w:color="auto"/>
        <w:left w:val="none" w:sz="0" w:space="0" w:color="auto"/>
        <w:bottom w:val="none" w:sz="0" w:space="0" w:color="auto"/>
        <w:right w:val="none" w:sz="0" w:space="0" w:color="auto"/>
      </w:divBdr>
    </w:div>
    <w:div w:id="77019350">
      <w:bodyDiv w:val="1"/>
      <w:marLeft w:val="0"/>
      <w:marRight w:val="0"/>
      <w:marTop w:val="0"/>
      <w:marBottom w:val="0"/>
      <w:divBdr>
        <w:top w:val="none" w:sz="0" w:space="0" w:color="auto"/>
        <w:left w:val="none" w:sz="0" w:space="0" w:color="auto"/>
        <w:bottom w:val="none" w:sz="0" w:space="0" w:color="auto"/>
        <w:right w:val="none" w:sz="0" w:space="0" w:color="auto"/>
      </w:divBdr>
    </w:div>
    <w:div w:id="77757204">
      <w:bodyDiv w:val="1"/>
      <w:marLeft w:val="0"/>
      <w:marRight w:val="0"/>
      <w:marTop w:val="0"/>
      <w:marBottom w:val="0"/>
      <w:divBdr>
        <w:top w:val="none" w:sz="0" w:space="0" w:color="auto"/>
        <w:left w:val="none" w:sz="0" w:space="0" w:color="auto"/>
        <w:bottom w:val="none" w:sz="0" w:space="0" w:color="auto"/>
        <w:right w:val="none" w:sz="0" w:space="0" w:color="auto"/>
      </w:divBdr>
    </w:div>
    <w:div w:id="218445166">
      <w:bodyDiv w:val="1"/>
      <w:marLeft w:val="0"/>
      <w:marRight w:val="0"/>
      <w:marTop w:val="0"/>
      <w:marBottom w:val="0"/>
      <w:divBdr>
        <w:top w:val="none" w:sz="0" w:space="0" w:color="auto"/>
        <w:left w:val="none" w:sz="0" w:space="0" w:color="auto"/>
        <w:bottom w:val="none" w:sz="0" w:space="0" w:color="auto"/>
        <w:right w:val="none" w:sz="0" w:space="0" w:color="auto"/>
      </w:divBdr>
    </w:div>
    <w:div w:id="348264433">
      <w:bodyDiv w:val="1"/>
      <w:marLeft w:val="0"/>
      <w:marRight w:val="0"/>
      <w:marTop w:val="0"/>
      <w:marBottom w:val="0"/>
      <w:divBdr>
        <w:top w:val="none" w:sz="0" w:space="0" w:color="auto"/>
        <w:left w:val="none" w:sz="0" w:space="0" w:color="auto"/>
        <w:bottom w:val="none" w:sz="0" w:space="0" w:color="auto"/>
        <w:right w:val="none" w:sz="0" w:space="0" w:color="auto"/>
      </w:divBdr>
    </w:div>
    <w:div w:id="362438584">
      <w:bodyDiv w:val="1"/>
      <w:marLeft w:val="0"/>
      <w:marRight w:val="0"/>
      <w:marTop w:val="0"/>
      <w:marBottom w:val="0"/>
      <w:divBdr>
        <w:top w:val="none" w:sz="0" w:space="0" w:color="auto"/>
        <w:left w:val="none" w:sz="0" w:space="0" w:color="auto"/>
        <w:bottom w:val="none" w:sz="0" w:space="0" w:color="auto"/>
        <w:right w:val="none" w:sz="0" w:space="0" w:color="auto"/>
      </w:divBdr>
    </w:div>
    <w:div w:id="364328864">
      <w:bodyDiv w:val="1"/>
      <w:marLeft w:val="0"/>
      <w:marRight w:val="0"/>
      <w:marTop w:val="0"/>
      <w:marBottom w:val="0"/>
      <w:divBdr>
        <w:top w:val="none" w:sz="0" w:space="0" w:color="auto"/>
        <w:left w:val="none" w:sz="0" w:space="0" w:color="auto"/>
        <w:bottom w:val="none" w:sz="0" w:space="0" w:color="auto"/>
        <w:right w:val="none" w:sz="0" w:space="0" w:color="auto"/>
      </w:divBdr>
    </w:div>
    <w:div w:id="389764760">
      <w:bodyDiv w:val="1"/>
      <w:marLeft w:val="0"/>
      <w:marRight w:val="0"/>
      <w:marTop w:val="0"/>
      <w:marBottom w:val="0"/>
      <w:divBdr>
        <w:top w:val="none" w:sz="0" w:space="0" w:color="auto"/>
        <w:left w:val="none" w:sz="0" w:space="0" w:color="auto"/>
        <w:bottom w:val="none" w:sz="0" w:space="0" w:color="auto"/>
        <w:right w:val="none" w:sz="0" w:space="0" w:color="auto"/>
      </w:divBdr>
    </w:div>
    <w:div w:id="428814421">
      <w:bodyDiv w:val="1"/>
      <w:marLeft w:val="0"/>
      <w:marRight w:val="0"/>
      <w:marTop w:val="0"/>
      <w:marBottom w:val="0"/>
      <w:divBdr>
        <w:top w:val="none" w:sz="0" w:space="0" w:color="auto"/>
        <w:left w:val="none" w:sz="0" w:space="0" w:color="auto"/>
        <w:bottom w:val="none" w:sz="0" w:space="0" w:color="auto"/>
        <w:right w:val="none" w:sz="0" w:space="0" w:color="auto"/>
      </w:divBdr>
    </w:div>
    <w:div w:id="464810482">
      <w:bodyDiv w:val="1"/>
      <w:marLeft w:val="0"/>
      <w:marRight w:val="0"/>
      <w:marTop w:val="0"/>
      <w:marBottom w:val="0"/>
      <w:divBdr>
        <w:top w:val="none" w:sz="0" w:space="0" w:color="auto"/>
        <w:left w:val="none" w:sz="0" w:space="0" w:color="auto"/>
        <w:bottom w:val="none" w:sz="0" w:space="0" w:color="auto"/>
        <w:right w:val="none" w:sz="0" w:space="0" w:color="auto"/>
      </w:divBdr>
    </w:div>
    <w:div w:id="539586621">
      <w:bodyDiv w:val="1"/>
      <w:marLeft w:val="0"/>
      <w:marRight w:val="0"/>
      <w:marTop w:val="0"/>
      <w:marBottom w:val="0"/>
      <w:divBdr>
        <w:top w:val="none" w:sz="0" w:space="0" w:color="auto"/>
        <w:left w:val="none" w:sz="0" w:space="0" w:color="auto"/>
        <w:bottom w:val="none" w:sz="0" w:space="0" w:color="auto"/>
        <w:right w:val="none" w:sz="0" w:space="0" w:color="auto"/>
      </w:divBdr>
    </w:div>
    <w:div w:id="545944928">
      <w:bodyDiv w:val="1"/>
      <w:marLeft w:val="0"/>
      <w:marRight w:val="0"/>
      <w:marTop w:val="0"/>
      <w:marBottom w:val="0"/>
      <w:divBdr>
        <w:top w:val="none" w:sz="0" w:space="0" w:color="auto"/>
        <w:left w:val="none" w:sz="0" w:space="0" w:color="auto"/>
        <w:bottom w:val="none" w:sz="0" w:space="0" w:color="auto"/>
        <w:right w:val="none" w:sz="0" w:space="0" w:color="auto"/>
      </w:divBdr>
    </w:div>
    <w:div w:id="550314919">
      <w:bodyDiv w:val="1"/>
      <w:marLeft w:val="0"/>
      <w:marRight w:val="0"/>
      <w:marTop w:val="0"/>
      <w:marBottom w:val="0"/>
      <w:divBdr>
        <w:top w:val="none" w:sz="0" w:space="0" w:color="auto"/>
        <w:left w:val="none" w:sz="0" w:space="0" w:color="auto"/>
        <w:bottom w:val="none" w:sz="0" w:space="0" w:color="auto"/>
        <w:right w:val="none" w:sz="0" w:space="0" w:color="auto"/>
      </w:divBdr>
    </w:div>
    <w:div w:id="668364405">
      <w:bodyDiv w:val="1"/>
      <w:marLeft w:val="0"/>
      <w:marRight w:val="0"/>
      <w:marTop w:val="0"/>
      <w:marBottom w:val="0"/>
      <w:divBdr>
        <w:top w:val="none" w:sz="0" w:space="0" w:color="auto"/>
        <w:left w:val="none" w:sz="0" w:space="0" w:color="auto"/>
        <w:bottom w:val="none" w:sz="0" w:space="0" w:color="auto"/>
        <w:right w:val="none" w:sz="0" w:space="0" w:color="auto"/>
      </w:divBdr>
    </w:div>
    <w:div w:id="732781108">
      <w:bodyDiv w:val="1"/>
      <w:marLeft w:val="0"/>
      <w:marRight w:val="0"/>
      <w:marTop w:val="0"/>
      <w:marBottom w:val="0"/>
      <w:divBdr>
        <w:top w:val="none" w:sz="0" w:space="0" w:color="auto"/>
        <w:left w:val="none" w:sz="0" w:space="0" w:color="auto"/>
        <w:bottom w:val="none" w:sz="0" w:space="0" w:color="auto"/>
        <w:right w:val="none" w:sz="0" w:space="0" w:color="auto"/>
      </w:divBdr>
    </w:div>
    <w:div w:id="745347774">
      <w:bodyDiv w:val="1"/>
      <w:marLeft w:val="0"/>
      <w:marRight w:val="0"/>
      <w:marTop w:val="0"/>
      <w:marBottom w:val="0"/>
      <w:divBdr>
        <w:top w:val="none" w:sz="0" w:space="0" w:color="auto"/>
        <w:left w:val="none" w:sz="0" w:space="0" w:color="auto"/>
        <w:bottom w:val="none" w:sz="0" w:space="0" w:color="auto"/>
        <w:right w:val="none" w:sz="0" w:space="0" w:color="auto"/>
      </w:divBdr>
    </w:div>
    <w:div w:id="762065635">
      <w:bodyDiv w:val="1"/>
      <w:marLeft w:val="0"/>
      <w:marRight w:val="0"/>
      <w:marTop w:val="0"/>
      <w:marBottom w:val="0"/>
      <w:divBdr>
        <w:top w:val="none" w:sz="0" w:space="0" w:color="auto"/>
        <w:left w:val="none" w:sz="0" w:space="0" w:color="auto"/>
        <w:bottom w:val="none" w:sz="0" w:space="0" w:color="auto"/>
        <w:right w:val="none" w:sz="0" w:space="0" w:color="auto"/>
      </w:divBdr>
    </w:div>
    <w:div w:id="826749803">
      <w:bodyDiv w:val="1"/>
      <w:marLeft w:val="0"/>
      <w:marRight w:val="0"/>
      <w:marTop w:val="0"/>
      <w:marBottom w:val="0"/>
      <w:divBdr>
        <w:top w:val="none" w:sz="0" w:space="0" w:color="auto"/>
        <w:left w:val="none" w:sz="0" w:space="0" w:color="auto"/>
        <w:bottom w:val="none" w:sz="0" w:space="0" w:color="auto"/>
        <w:right w:val="none" w:sz="0" w:space="0" w:color="auto"/>
      </w:divBdr>
    </w:div>
    <w:div w:id="909004036">
      <w:bodyDiv w:val="1"/>
      <w:marLeft w:val="0"/>
      <w:marRight w:val="0"/>
      <w:marTop w:val="0"/>
      <w:marBottom w:val="0"/>
      <w:divBdr>
        <w:top w:val="none" w:sz="0" w:space="0" w:color="auto"/>
        <w:left w:val="none" w:sz="0" w:space="0" w:color="auto"/>
        <w:bottom w:val="none" w:sz="0" w:space="0" w:color="auto"/>
        <w:right w:val="none" w:sz="0" w:space="0" w:color="auto"/>
      </w:divBdr>
    </w:div>
    <w:div w:id="956764387">
      <w:bodyDiv w:val="1"/>
      <w:marLeft w:val="0"/>
      <w:marRight w:val="0"/>
      <w:marTop w:val="0"/>
      <w:marBottom w:val="0"/>
      <w:divBdr>
        <w:top w:val="none" w:sz="0" w:space="0" w:color="auto"/>
        <w:left w:val="none" w:sz="0" w:space="0" w:color="auto"/>
        <w:bottom w:val="none" w:sz="0" w:space="0" w:color="auto"/>
        <w:right w:val="none" w:sz="0" w:space="0" w:color="auto"/>
      </w:divBdr>
    </w:div>
    <w:div w:id="1002702742">
      <w:bodyDiv w:val="1"/>
      <w:marLeft w:val="0"/>
      <w:marRight w:val="0"/>
      <w:marTop w:val="0"/>
      <w:marBottom w:val="0"/>
      <w:divBdr>
        <w:top w:val="none" w:sz="0" w:space="0" w:color="auto"/>
        <w:left w:val="none" w:sz="0" w:space="0" w:color="auto"/>
        <w:bottom w:val="none" w:sz="0" w:space="0" w:color="auto"/>
        <w:right w:val="none" w:sz="0" w:space="0" w:color="auto"/>
      </w:divBdr>
    </w:div>
    <w:div w:id="1028800581">
      <w:bodyDiv w:val="1"/>
      <w:marLeft w:val="0"/>
      <w:marRight w:val="0"/>
      <w:marTop w:val="0"/>
      <w:marBottom w:val="0"/>
      <w:divBdr>
        <w:top w:val="none" w:sz="0" w:space="0" w:color="auto"/>
        <w:left w:val="none" w:sz="0" w:space="0" w:color="auto"/>
        <w:bottom w:val="none" w:sz="0" w:space="0" w:color="auto"/>
        <w:right w:val="none" w:sz="0" w:space="0" w:color="auto"/>
      </w:divBdr>
    </w:div>
    <w:div w:id="1049574169">
      <w:bodyDiv w:val="1"/>
      <w:marLeft w:val="0"/>
      <w:marRight w:val="0"/>
      <w:marTop w:val="0"/>
      <w:marBottom w:val="0"/>
      <w:divBdr>
        <w:top w:val="none" w:sz="0" w:space="0" w:color="auto"/>
        <w:left w:val="none" w:sz="0" w:space="0" w:color="auto"/>
        <w:bottom w:val="none" w:sz="0" w:space="0" w:color="auto"/>
        <w:right w:val="none" w:sz="0" w:space="0" w:color="auto"/>
      </w:divBdr>
    </w:div>
    <w:div w:id="1105617798">
      <w:bodyDiv w:val="1"/>
      <w:marLeft w:val="0"/>
      <w:marRight w:val="0"/>
      <w:marTop w:val="0"/>
      <w:marBottom w:val="0"/>
      <w:divBdr>
        <w:top w:val="none" w:sz="0" w:space="0" w:color="auto"/>
        <w:left w:val="none" w:sz="0" w:space="0" w:color="auto"/>
        <w:bottom w:val="none" w:sz="0" w:space="0" w:color="auto"/>
        <w:right w:val="none" w:sz="0" w:space="0" w:color="auto"/>
      </w:divBdr>
    </w:div>
    <w:div w:id="1111582493">
      <w:bodyDiv w:val="1"/>
      <w:marLeft w:val="0"/>
      <w:marRight w:val="0"/>
      <w:marTop w:val="0"/>
      <w:marBottom w:val="0"/>
      <w:divBdr>
        <w:top w:val="none" w:sz="0" w:space="0" w:color="auto"/>
        <w:left w:val="none" w:sz="0" w:space="0" w:color="auto"/>
        <w:bottom w:val="none" w:sz="0" w:space="0" w:color="auto"/>
        <w:right w:val="none" w:sz="0" w:space="0" w:color="auto"/>
      </w:divBdr>
    </w:div>
    <w:div w:id="1180314356">
      <w:bodyDiv w:val="1"/>
      <w:marLeft w:val="0"/>
      <w:marRight w:val="0"/>
      <w:marTop w:val="0"/>
      <w:marBottom w:val="0"/>
      <w:divBdr>
        <w:top w:val="none" w:sz="0" w:space="0" w:color="auto"/>
        <w:left w:val="none" w:sz="0" w:space="0" w:color="auto"/>
        <w:bottom w:val="none" w:sz="0" w:space="0" w:color="auto"/>
        <w:right w:val="none" w:sz="0" w:space="0" w:color="auto"/>
      </w:divBdr>
    </w:div>
    <w:div w:id="1195656602">
      <w:bodyDiv w:val="1"/>
      <w:marLeft w:val="0"/>
      <w:marRight w:val="0"/>
      <w:marTop w:val="0"/>
      <w:marBottom w:val="0"/>
      <w:divBdr>
        <w:top w:val="none" w:sz="0" w:space="0" w:color="auto"/>
        <w:left w:val="none" w:sz="0" w:space="0" w:color="auto"/>
        <w:bottom w:val="none" w:sz="0" w:space="0" w:color="auto"/>
        <w:right w:val="none" w:sz="0" w:space="0" w:color="auto"/>
      </w:divBdr>
    </w:div>
    <w:div w:id="1221987466">
      <w:bodyDiv w:val="1"/>
      <w:marLeft w:val="0"/>
      <w:marRight w:val="0"/>
      <w:marTop w:val="0"/>
      <w:marBottom w:val="0"/>
      <w:divBdr>
        <w:top w:val="none" w:sz="0" w:space="0" w:color="auto"/>
        <w:left w:val="none" w:sz="0" w:space="0" w:color="auto"/>
        <w:bottom w:val="none" w:sz="0" w:space="0" w:color="auto"/>
        <w:right w:val="none" w:sz="0" w:space="0" w:color="auto"/>
      </w:divBdr>
    </w:div>
    <w:div w:id="1234316362">
      <w:bodyDiv w:val="1"/>
      <w:marLeft w:val="0"/>
      <w:marRight w:val="0"/>
      <w:marTop w:val="0"/>
      <w:marBottom w:val="0"/>
      <w:divBdr>
        <w:top w:val="none" w:sz="0" w:space="0" w:color="auto"/>
        <w:left w:val="none" w:sz="0" w:space="0" w:color="auto"/>
        <w:bottom w:val="none" w:sz="0" w:space="0" w:color="auto"/>
        <w:right w:val="none" w:sz="0" w:space="0" w:color="auto"/>
      </w:divBdr>
    </w:div>
    <w:div w:id="12469158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83269150">
      <w:bodyDiv w:val="1"/>
      <w:marLeft w:val="0"/>
      <w:marRight w:val="0"/>
      <w:marTop w:val="0"/>
      <w:marBottom w:val="0"/>
      <w:divBdr>
        <w:top w:val="none" w:sz="0" w:space="0" w:color="auto"/>
        <w:left w:val="none" w:sz="0" w:space="0" w:color="auto"/>
        <w:bottom w:val="none" w:sz="0" w:space="0" w:color="auto"/>
        <w:right w:val="none" w:sz="0" w:space="0" w:color="auto"/>
      </w:divBdr>
    </w:div>
    <w:div w:id="1330869144">
      <w:bodyDiv w:val="1"/>
      <w:marLeft w:val="0"/>
      <w:marRight w:val="0"/>
      <w:marTop w:val="0"/>
      <w:marBottom w:val="0"/>
      <w:divBdr>
        <w:top w:val="none" w:sz="0" w:space="0" w:color="auto"/>
        <w:left w:val="none" w:sz="0" w:space="0" w:color="auto"/>
        <w:bottom w:val="none" w:sz="0" w:space="0" w:color="auto"/>
        <w:right w:val="none" w:sz="0" w:space="0" w:color="auto"/>
      </w:divBdr>
    </w:div>
    <w:div w:id="1390883528">
      <w:bodyDiv w:val="1"/>
      <w:marLeft w:val="0"/>
      <w:marRight w:val="0"/>
      <w:marTop w:val="0"/>
      <w:marBottom w:val="0"/>
      <w:divBdr>
        <w:top w:val="none" w:sz="0" w:space="0" w:color="auto"/>
        <w:left w:val="none" w:sz="0" w:space="0" w:color="auto"/>
        <w:bottom w:val="none" w:sz="0" w:space="0" w:color="auto"/>
        <w:right w:val="none" w:sz="0" w:space="0" w:color="auto"/>
      </w:divBdr>
    </w:div>
    <w:div w:id="1498501724">
      <w:bodyDiv w:val="1"/>
      <w:marLeft w:val="0"/>
      <w:marRight w:val="0"/>
      <w:marTop w:val="0"/>
      <w:marBottom w:val="0"/>
      <w:divBdr>
        <w:top w:val="none" w:sz="0" w:space="0" w:color="auto"/>
        <w:left w:val="none" w:sz="0" w:space="0" w:color="auto"/>
        <w:bottom w:val="none" w:sz="0" w:space="0" w:color="auto"/>
        <w:right w:val="none" w:sz="0" w:space="0" w:color="auto"/>
      </w:divBdr>
    </w:div>
    <w:div w:id="1518080973">
      <w:bodyDiv w:val="1"/>
      <w:marLeft w:val="0"/>
      <w:marRight w:val="0"/>
      <w:marTop w:val="0"/>
      <w:marBottom w:val="0"/>
      <w:divBdr>
        <w:top w:val="none" w:sz="0" w:space="0" w:color="auto"/>
        <w:left w:val="none" w:sz="0" w:space="0" w:color="auto"/>
        <w:bottom w:val="none" w:sz="0" w:space="0" w:color="auto"/>
        <w:right w:val="none" w:sz="0" w:space="0" w:color="auto"/>
      </w:divBdr>
    </w:div>
    <w:div w:id="1539316789">
      <w:bodyDiv w:val="1"/>
      <w:marLeft w:val="0"/>
      <w:marRight w:val="0"/>
      <w:marTop w:val="0"/>
      <w:marBottom w:val="0"/>
      <w:divBdr>
        <w:top w:val="none" w:sz="0" w:space="0" w:color="auto"/>
        <w:left w:val="none" w:sz="0" w:space="0" w:color="auto"/>
        <w:bottom w:val="none" w:sz="0" w:space="0" w:color="auto"/>
        <w:right w:val="none" w:sz="0" w:space="0" w:color="auto"/>
      </w:divBdr>
    </w:div>
    <w:div w:id="1622498075">
      <w:bodyDiv w:val="1"/>
      <w:marLeft w:val="0"/>
      <w:marRight w:val="0"/>
      <w:marTop w:val="0"/>
      <w:marBottom w:val="0"/>
      <w:divBdr>
        <w:top w:val="none" w:sz="0" w:space="0" w:color="auto"/>
        <w:left w:val="none" w:sz="0" w:space="0" w:color="auto"/>
        <w:bottom w:val="none" w:sz="0" w:space="0" w:color="auto"/>
        <w:right w:val="none" w:sz="0" w:space="0" w:color="auto"/>
      </w:divBdr>
    </w:div>
    <w:div w:id="1665356560">
      <w:bodyDiv w:val="1"/>
      <w:marLeft w:val="0"/>
      <w:marRight w:val="0"/>
      <w:marTop w:val="0"/>
      <w:marBottom w:val="0"/>
      <w:divBdr>
        <w:top w:val="none" w:sz="0" w:space="0" w:color="auto"/>
        <w:left w:val="none" w:sz="0" w:space="0" w:color="auto"/>
        <w:bottom w:val="none" w:sz="0" w:space="0" w:color="auto"/>
        <w:right w:val="none" w:sz="0" w:space="0" w:color="auto"/>
      </w:divBdr>
    </w:div>
    <w:div w:id="1686783097">
      <w:bodyDiv w:val="1"/>
      <w:marLeft w:val="0"/>
      <w:marRight w:val="0"/>
      <w:marTop w:val="0"/>
      <w:marBottom w:val="0"/>
      <w:divBdr>
        <w:top w:val="none" w:sz="0" w:space="0" w:color="auto"/>
        <w:left w:val="none" w:sz="0" w:space="0" w:color="auto"/>
        <w:bottom w:val="none" w:sz="0" w:space="0" w:color="auto"/>
        <w:right w:val="none" w:sz="0" w:space="0" w:color="auto"/>
      </w:divBdr>
    </w:div>
    <w:div w:id="1768430468">
      <w:bodyDiv w:val="1"/>
      <w:marLeft w:val="0"/>
      <w:marRight w:val="0"/>
      <w:marTop w:val="0"/>
      <w:marBottom w:val="0"/>
      <w:divBdr>
        <w:top w:val="none" w:sz="0" w:space="0" w:color="auto"/>
        <w:left w:val="none" w:sz="0" w:space="0" w:color="auto"/>
        <w:bottom w:val="none" w:sz="0" w:space="0" w:color="auto"/>
        <w:right w:val="none" w:sz="0" w:space="0" w:color="auto"/>
      </w:divBdr>
    </w:div>
    <w:div w:id="1795633140">
      <w:bodyDiv w:val="1"/>
      <w:marLeft w:val="0"/>
      <w:marRight w:val="0"/>
      <w:marTop w:val="0"/>
      <w:marBottom w:val="0"/>
      <w:divBdr>
        <w:top w:val="none" w:sz="0" w:space="0" w:color="auto"/>
        <w:left w:val="none" w:sz="0" w:space="0" w:color="auto"/>
        <w:bottom w:val="none" w:sz="0" w:space="0" w:color="auto"/>
        <w:right w:val="none" w:sz="0" w:space="0" w:color="auto"/>
      </w:divBdr>
    </w:div>
    <w:div w:id="1812097421">
      <w:bodyDiv w:val="1"/>
      <w:marLeft w:val="0"/>
      <w:marRight w:val="0"/>
      <w:marTop w:val="0"/>
      <w:marBottom w:val="0"/>
      <w:divBdr>
        <w:top w:val="none" w:sz="0" w:space="0" w:color="auto"/>
        <w:left w:val="none" w:sz="0" w:space="0" w:color="auto"/>
        <w:bottom w:val="none" w:sz="0" w:space="0" w:color="auto"/>
        <w:right w:val="none" w:sz="0" w:space="0" w:color="auto"/>
      </w:divBdr>
    </w:div>
    <w:div w:id="1858498354">
      <w:bodyDiv w:val="1"/>
      <w:marLeft w:val="0"/>
      <w:marRight w:val="0"/>
      <w:marTop w:val="0"/>
      <w:marBottom w:val="0"/>
      <w:divBdr>
        <w:top w:val="none" w:sz="0" w:space="0" w:color="auto"/>
        <w:left w:val="none" w:sz="0" w:space="0" w:color="auto"/>
        <w:bottom w:val="none" w:sz="0" w:space="0" w:color="auto"/>
        <w:right w:val="none" w:sz="0" w:space="0" w:color="auto"/>
      </w:divBdr>
    </w:div>
    <w:div w:id="1859587668">
      <w:bodyDiv w:val="1"/>
      <w:marLeft w:val="0"/>
      <w:marRight w:val="0"/>
      <w:marTop w:val="0"/>
      <w:marBottom w:val="0"/>
      <w:divBdr>
        <w:top w:val="none" w:sz="0" w:space="0" w:color="auto"/>
        <w:left w:val="none" w:sz="0" w:space="0" w:color="auto"/>
        <w:bottom w:val="none" w:sz="0" w:space="0" w:color="auto"/>
        <w:right w:val="none" w:sz="0" w:space="0" w:color="auto"/>
      </w:divBdr>
    </w:div>
    <w:div w:id="1898545037">
      <w:bodyDiv w:val="1"/>
      <w:marLeft w:val="0"/>
      <w:marRight w:val="0"/>
      <w:marTop w:val="0"/>
      <w:marBottom w:val="0"/>
      <w:divBdr>
        <w:top w:val="none" w:sz="0" w:space="0" w:color="auto"/>
        <w:left w:val="none" w:sz="0" w:space="0" w:color="auto"/>
        <w:bottom w:val="none" w:sz="0" w:space="0" w:color="auto"/>
        <w:right w:val="none" w:sz="0" w:space="0" w:color="auto"/>
      </w:divBdr>
    </w:div>
    <w:div w:id="1919558176">
      <w:bodyDiv w:val="1"/>
      <w:marLeft w:val="0"/>
      <w:marRight w:val="0"/>
      <w:marTop w:val="0"/>
      <w:marBottom w:val="0"/>
      <w:divBdr>
        <w:top w:val="none" w:sz="0" w:space="0" w:color="auto"/>
        <w:left w:val="none" w:sz="0" w:space="0" w:color="auto"/>
        <w:bottom w:val="none" w:sz="0" w:space="0" w:color="auto"/>
        <w:right w:val="none" w:sz="0" w:space="0" w:color="auto"/>
      </w:divBdr>
    </w:div>
    <w:div w:id="2057390473">
      <w:bodyDiv w:val="1"/>
      <w:marLeft w:val="0"/>
      <w:marRight w:val="0"/>
      <w:marTop w:val="0"/>
      <w:marBottom w:val="0"/>
      <w:divBdr>
        <w:top w:val="none" w:sz="0" w:space="0" w:color="auto"/>
        <w:left w:val="none" w:sz="0" w:space="0" w:color="auto"/>
        <w:bottom w:val="none" w:sz="0" w:space="0" w:color="auto"/>
        <w:right w:val="none" w:sz="0" w:space="0" w:color="auto"/>
      </w:divBdr>
    </w:div>
    <w:div w:id="2068334473">
      <w:bodyDiv w:val="1"/>
      <w:marLeft w:val="0"/>
      <w:marRight w:val="0"/>
      <w:marTop w:val="0"/>
      <w:marBottom w:val="0"/>
      <w:divBdr>
        <w:top w:val="none" w:sz="0" w:space="0" w:color="auto"/>
        <w:left w:val="none" w:sz="0" w:space="0" w:color="auto"/>
        <w:bottom w:val="none" w:sz="0" w:space="0" w:color="auto"/>
        <w:right w:val="none" w:sz="0" w:space="0" w:color="auto"/>
      </w:divBdr>
    </w:div>
    <w:div w:id="2111731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agriculture.gov.au/import/goods/food/inspection-compliance/inspection-data" TargetMode="External"/><Relationship Id="rId26" Type="http://schemas.openxmlformats.org/officeDocument/2006/relationships/hyperlink" Target="http://www.agriculture.gov.au/import/goods/food/inspection-compliance/inspection-scheme"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opyright@agriculture.gov.au" TargetMode="External"/><Relationship Id="rId25" Type="http://schemas.openxmlformats.org/officeDocument/2006/relationships/chart" Target="charts/char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0" Type="http://schemas.openxmlformats.org/officeDocument/2006/relationships/footer" Target="footer3.xm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yperlink" Target="http://www.agriculture.gov.au/import/goods/food/reform" TargetMode="External"/><Relationship Id="rId28" Type="http://schemas.openxmlformats.org/officeDocument/2006/relationships/chart" Target="charts/chart4.xm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agriculture.gov.a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yperlink" Target="http://www.foodstandards.gov.au/consumer/importedfoods/Pages/FSANZ-advice-on-imported-food.aspx."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ustomXml" Target="../customXml/item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an%20-%20Jun\Copy%20of%20Inspection%20data%20summary_updated%20Jan-Jun%20201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an%20-%20Jun\Copy%20of%20Inspection%20data%20summary_updated%20Jan-Jun%2020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ACT001CL01FS05\AQISData$\CD\Compliance%20Arrangements%20Branch\IF\Data%20for%20website\2016%20Jan%20-%20Jun\2987%20Summary%20IFID%20Jan-Jun%202016.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an%20-%20Jun\2987%20Summary%20IFID%20Jan-Jun%202016.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ACT001CL01FS05\AQISData$\CD\Compliance%20Arrangements%20Branch\IF\Data%20for%20website\2016%20Jan%20-%20Jun\2987%20Summary%20IFID%20Jan-Jun%202016.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ACT001CL01FS05\AQISData$\CD\Compliance%20Arrangements%20Branch\IF\Data%20for%20website\2016%20Jan%20-%20Jun\Label%20fails%20Jan%20-%20Jun%20201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'Inspection data summary'!$A$5</c:f>
              <c:strCache>
                <c:ptCount val="1"/>
                <c:pt idx="0">
                  <c:v>No. of entries referred in calendar year</c:v>
                </c:pt>
              </c:strCache>
            </c:strRef>
          </c:tx>
          <c:spPr>
            <a:solidFill>
              <a:schemeClr val="tx2">
                <a:lumMod val="60000"/>
                <a:lumOff val="40000"/>
              </a:schemeClr>
            </a:solidFill>
            <a:ln>
              <a:noFill/>
            </a:ln>
            <a:effectLst/>
          </c:spPr>
          <c:invertIfNegative val="0"/>
          <c:cat>
            <c:strRef>
              <c:f>'Inspection data summary'!$B$4:$L$4</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summary'!$B$5:$L$5</c:f>
              <c:numCache>
                <c:formatCode>General</c:formatCode>
                <c:ptCount val="11"/>
                <c:pt idx="1">
                  <c:v>16827</c:v>
                </c:pt>
                <c:pt idx="3">
                  <c:v>18334</c:v>
                </c:pt>
                <c:pt idx="5">
                  <c:v>17923</c:v>
                </c:pt>
                <c:pt idx="7">
                  <c:v>18713</c:v>
                </c:pt>
                <c:pt idx="9">
                  <c:v>18615</c:v>
                </c:pt>
              </c:numCache>
            </c:numRef>
          </c:val>
        </c:ser>
        <c:ser>
          <c:idx val="1"/>
          <c:order val="1"/>
          <c:tx>
            <c:strRef>
              <c:f>'Inspection data summary'!$A$6</c:f>
              <c:strCache>
                <c:ptCount val="1"/>
                <c:pt idx="0">
                  <c:v>No. of lines inspected in calendar year</c:v>
                </c:pt>
              </c:strCache>
            </c:strRef>
          </c:tx>
          <c:spPr>
            <a:solidFill>
              <a:schemeClr val="accent2">
                <a:lumMod val="75000"/>
              </a:schemeClr>
            </a:solidFill>
            <a:ln>
              <a:noFill/>
            </a:ln>
            <a:effectLst/>
          </c:spPr>
          <c:invertIfNegative val="0"/>
          <c:cat>
            <c:strRef>
              <c:f>'Inspection data summary'!$B$4:$L$4</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summary'!$B$6:$L$6</c:f>
              <c:numCache>
                <c:formatCode>General</c:formatCode>
                <c:ptCount val="11"/>
                <c:pt idx="1">
                  <c:v>28008</c:v>
                </c:pt>
                <c:pt idx="3">
                  <c:v>30095</c:v>
                </c:pt>
                <c:pt idx="5">
                  <c:v>28453</c:v>
                </c:pt>
                <c:pt idx="7">
                  <c:v>30012</c:v>
                </c:pt>
                <c:pt idx="9">
                  <c:v>29715</c:v>
                </c:pt>
              </c:numCache>
            </c:numRef>
          </c:val>
        </c:ser>
        <c:dLbls>
          <c:showLegendKey val="0"/>
          <c:showVal val="0"/>
          <c:showCatName val="0"/>
          <c:showSerName val="0"/>
          <c:showPercent val="0"/>
          <c:showBubbleSize val="0"/>
        </c:dLbls>
        <c:gapWidth val="75"/>
        <c:overlap val="-25"/>
        <c:axId val="328284240"/>
        <c:axId val="328279536"/>
      </c:barChart>
      <c:lineChart>
        <c:grouping val="standard"/>
        <c:varyColors val="0"/>
        <c:ser>
          <c:idx val="2"/>
          <c:order val="2"/>
          <c:tx>
            <c:strRef>
              <c:f>'Inspection data summary'!$A$7</c:f>
              <c:strCache>
                <c:ptCount val="1"/>
                <c:pt idx="0">
                  <c:v>No. of entries referred</c:v>
                </c:pt>
              </c:strCache>
            </c:strRef>
          </c:tx>
          <c:spPr>
            <a:ln w="28575" cap="rnd">
              <a:solidFill>
                <a:schemeClr val="accent4"/>
              </a:solidFill>
              <a:round/>
            </a:ln>
            <a:effectLst/>
          </c:spPr>
          <c:marker>
            <c:symbol val="none"/>
          </c:marker>
          <c:cat>
            <c:strRef>
              <c:f>'Inspection data summary'!$B$4:$L$4</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summary'!$B$7:$L$7</c:f>
              <c:numCache>
                <c:formatCode>General</c:formatCode>
                <c:ptCount val="11"/>
                <c:pt idx="0">
                  <c:v>7680</c:v>
                </c:pt>
                <c:pt idx="1">
                  <c:v>9147</c:v>
                </c:pt>
                <c:pt idx="2">
                  <c:v>8539</c:v>
                </c:pt>
                <c:pt idx="3">
                  <c:v>9795</c:v>
                </c:pt>
                <c:pt idx="4">
                  <c:v>8240</c:v>
                </c:pt>
                <c:pt idx="5">
                  <c:v>9683</c:v>
                </c:pt>
                <c:pt idx="6">
                  <c:v>8687</c:v>
                </c:pt>
                <c:pt idx="7">
                  <c:v>10026</c:v>
                </c:pt>
                <c:pt idx="8">
                  <c:v>8819</c:v>
                </c:pt>
                <c:pt idx="9">
                  <c:v>9796</c:v>
                </c:pt>
                <c:pt idx="10">
                  <c:v>9030</c:v>
                </c:pt>
              </c:numCache>
            </c:numRef>
          </c:val>
          <c:smooth val="0"/>
        </c:ser>
        <c:ser>
          <c:idx val="3"/>
          <c:order val="3"/>
          <c:tx>
            <c:strRef>
              <c:f>'Inspection data summary'!$A$8</c:f>
              <c:strCache>
                <c:ptCount val="1"/>
                <c:pt idx="0">
                  <c:v>No. of lines inspected</c:v>
                </c:pt>
              </c:strCache>
            </c:strRef>
          </c:tx>
          <c:spPr>
            <a:ln w="28575" cap="rnd">
              <a:solidFill>
                <a:srgbClr val="92D050"/>
              </a:solidFill>
              <a:round/>
            </a:ln>
            <a:effectLst/>
          </c:spPr>
          <c:marker>
            <c:symbol val="none"/>
          </c:marker>
          <c:cat>
            <c:strRef>
              <c:f>'Inspection data summary'!$B$4:$L$4</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summary'!$B$8:$L$8</c:f>
              <c:numCache>
                <c:formatCode>General</c:formatCode>
                <c:ptCount val="11"/>
                <c:pt idx="0">
                  <c:v>12647</c:v>
                </c:pt>
                <c:pt idx="1">
                  <c:v>15361</c:v>
                </c:pt>
                <c:pt idx="2">
                  <c:v>13959</c:v>
                </c:pt>
                <c:pt idx="3">
                  <c:v>16136</c:v>
                </c:pt>
                <c:pt idx="4">
                  <c:v>13195</c:v>
                </c:pt>
                <c:pt idx="5">
                  <c:v>15258</c:v>
                </c:pt>
                <c:pt idx="6">
                  <c:v>13844</c:v>
                </c:pt>
                <c:pt idx="7">
                  <c:v>16168</c:v>
                </c:pt>
                <c:pt idx="8">
                  <c:v>13882</c:v>
                </c:pt>
                <c:pt idx="9">
                  <c:v>15833</c:v>
                </c:pt>
                <c:pt idx="10">
                  <c:v>14427</c:v>
                </c:pt>
              </c:numCache>
            </c:numRef>
          </c:val>
          <c:smooth val="0"/>
        </c:ser>
        <c:dLbls>
          <c:showLegendKey val="0"/>
          <c:showVal val="0"/>
          <c:showCatName val="0"/>
          <c:showSerName val="0"/>
          <c:showPercent val="0"/>
          <c:showBubbleSize val="0"/>
        </c:dLbls>
        <c:marker val="1"/>
        <c:smooth val="0"/>
        <c:axId val="328284240"/>
        <c:axId val="328279536"/>
      </c:lineChart>
      <c:catAx>
        <c:axId val="32828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79536"/>
        <c:crosses val="autoZero"/>
        <c:auto val="1"/>
        <c:lblAlgn val="ctr"/>
        <c:lblOffset val="100"/>
        <c:noMultiLvlLbl val="0"/>
      </c:catAx>
      <c:valAx>
        <c:axId val="328279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284240"/>
        <c:crosses val="autoZero"/>
        <c:crossBetween val="between"/>
      </c:valAx>
      <c:spPr>
        <a:noFill/>
        <a:ln>
          <a:noFill/>
        </a:ln>
        <a:effectLst/>
      </c:spPr>
    </c:plotArea>
    <c:legend>
      <c:legendPos val="b"/>
      <c:layout>
        <c:manualLayout>
          <c:xMode val="edge"/>
          <c:yMode val="edge"/>
          <c:x val="1.8070771274072667E-2"/>
          <c:y val="0.86231331652499432"/>
          <c:w val="0.95421990323498718"/>
          <c:h val="0.115591305091650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18010967723286E-2"/>
          <c:y val="3.2917940277451208E-2"/>
          <c:w val="0.88359814570302331"/>
          <c:h val="0.64459140467775411"/>
        </c:manualLayout>
      </c:layout>
      <c:barChart>
        <c:barDir val="col"/>
        <c:grouping val="clustered"/>
        <c:varyColors val="0"/>
        <c:ser>
          <c:idx val="0"/>
          <c:order val="0"/>
          <c:tx>
            <c:strRef>
              <c:f>'Inspection data summary'!$A$11</c:f>
              <c:strCache>
                <c:ptCount val="1"/>
                <c:pt idx="0">
                  <c:v>No. of analytical tests applied in calendar year</c:v>
                </c:pt>
              </c:strCache>
            </c:strRef>
          </c:tx>
          <c:spPr>
            <a:solidFill>
              <a:schemeClr val="accent1"/>
            </a:solidFill>
            <a:ln>
              <a:noFill/>
            </a:ln>
            <a:effectLst/>
          </c:spPr>
          <c:invertIfNegative val="0"/>
          <c:cat>
            <c:strRef>
              <c:f>'Inspection data summary'!$B$10:$L$10</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summary'!$B$11:$L$11</c:f>
              <c:numCache>
                <c:formatCode>General</c:formatCode>
                <c:ptCount val="11"/>
                <c:pt idx="1">
                  <c:v>31539</c:v>
                </c:pt>
                <c:pt idx="3">
                  <c:v>33955</c:v>
                </c:pt>
                <c:pt idx="5">
                  <c:v>23230</c:v>
                </c:pt>
                <c:pt idx="7">
                  <c:v>21514</c:v>
                </c:pt>
                <c:pt idx="9">
                  <c:v>20933</c:v>
                </c:pt>
              </c:numCache>
            </c:numRef>
          </c:val>
        </c:ser>
        <c:ser>
          <c:idx val="1"/>
          <c:order val="1"/>
          <c:tx>
            <c:strRef>
              <c:f>'Inspection data summary'!$A$12</c:f>
              <c:strCache>
                <c:ptCount val="1"/>
                <c:pt idx="0">
                  <c:v>No. of labelling tests applied in calendar year</c:v>
                </c:pt>
              </c:strCache>
            </c:strRef>
          </c:tx>
          <c:spPr>
            <a:solidFill>
              <a:schemeClr val="accent2"/>
            </a:solidFill>
            <a:ln>
              <a:noFill/>
            </a:ln>
            <a:effectLst/>
          </c:spPr>
          <c:invertIfNegative val="0"/>
          <c:cat>
            <c:strRef>
              <c:f>'Inspection data summary'!$B$10:$L$10</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summary'!$B$12:$L$12</c:f>
              <c:numCache>
                <c:formatCode>General</c:formatCode>
                <c:ptCount val="11"/>
                <c:pt idx="1">
                  <c:v>36689</c:v>
                </c:pt>
                <c:pt idx="3">
                  <c:v>38722</c:v>
                </c:pt>
                <c:pt idx="5">
                  <c:v>36285</c:v>
                </c:pt>
                <c:pt idx="7">
                  <c:v>37820</c:v>
                </c:pt>
                <c:pt idx="9">
                  <c:v>36816</c:v>
                </c:pt>
              </c:numCache>
            </c:numRef>
          </c:val>
        </c:ser>
        <c:dLbls>
          <c:showLegendKey val="0"/>
          <c:showVal val="0"/>
          <c:showCatName val="0"/>
          <c:showSerName val="0"/>
          <c:showPercent val="0"/>
          <c:showBubbleSize val="0"/>
        </c:dLbls>
        <c:gapWidth val="75"/>
        <c:overlap val="-25"/>
        <c:axId val="297424808"/>
        <c:axId val="297422848"/>
      </c:barChart>
      <c:lineChart>
        <c:grouping val="standard"/>
        <c:varyColors val="0"/>
        <c:ser>
          <c:idx val="2"/>
          <c:order val="2"/>
          <c:tx>
            <c:strRef>
              <c:f>'Inspection data summary'!$A$13</c:f>
              <c:strCache>
                <c:ptCount val="1"/>
                <c:pt idx="0">
                  <c:v>No. of analytical tests applied</c:v>
                </c:pt>
              </c:strCache>
            </c:strRef>
          </c:tx>
          <c:spPr>
            <a:ln w="28575" cap="rnd">
              <a:solidFill>
                <a:schemeClr val="accent3"/>
              </a:solidFill>
              <a:round/>
            </a:ln>
            <a:effectLst/>
          </c:spPr>
          <c:marker>
            <c:symbol val="none"/>
          </c:marker>
          <c:cat>
            <c:strRef>
              <c:f>'Inspection data summary'!$B$10:$L$10</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summary'!$B$13:$L$13</c:f>
              <c:numCache>
                <c:formatCode>General</c:formatCode>
                <c:ptCount val="11"/>
                <c:pt idx="0">
                  <c:v>13990</c:v>
                </c:pt>
                <c:pt idx="1">
                  <c:v>17549</c:v>
                </c:pt>
                <c:pt idx="2">
                  <c:v>16049</c:v>
                </c:pt>
                <c:pt idx="3">
                  <c:v>17906</c:v>
                </c:pt>
                <c:pt idx="4">
                  <c:v>11721</c:v>
                </c:pt>
                <c:pt idx="5">
                  <c:v>11509</c:v>
                </c:pt>
                <c:pt idx="6">
                  <c:v>10009</c:v>
                </c:pt>
                <c:pt idx="7">
                  <c:v>11505</c:v>
                </c:pt>
                <c:pt idx="8">
                  <c:v>9850</c:v>
                </c:pt>
                <c:pt idx="9">
                  <c:v>11083</c:v>
                </c:pt>
                <c:pt idx="10">
                  <c:v>9288</c:v>
                </c:pt>
              </c:numCache>
            </c:numRef>
          </c:val>
          <c:smooth val="0"/>
        </c:ser>
        <c:ser>
          <c:idx val="3"/>
          <c:order val="3"/>
          <c:tx>
            <c:strRef>
              <c:f>'Inspection data summary'!$A$14</c:f>
              <c:strCache>
                <c:ptCount val="1"/>
                <c:pt idx="0">
                  <c:v>No. of labelling tests applied</c:v>
                </c:pt>
              </c:strCache>
            </c:strRef>
          </c:tx>
          <c:spPr>
            <a:ln w="28575" cap="rnd">
              <a:solidFill>
                <a:schemeClr val="accent4"/>
              </a:solidFill>
              <a:round/>
            </a:ln>
            <a:effectLst/>
          </c:spPr>
          <c:marker>
            <c:symbol val="none"/>
          </c:marker>
          <c:cat>
            <c:strRef>
              <c:f>'Inspection data summary'!$B$10:$L$10</c:f>
              <c:strCache>
                <c:ptCount val="11"/>
                <c:pt idx="0">
                  <c:v>Jan-Jun 11</c:v>
                </c:pt>
                <c:pt idx="1">
                  <c:v>Jul-Dec 11</c:v>
                </c:pt>
                <c:pt idx="2">
                  <c:v>Jan-Jun 12</c:v>
                </c:pt>
                <c:pt idx="3">
                  <c:v>Jul-Dec 12</c:v>
                </c:pt>
                <c:pt idx="4">
                  <c:v>Jan-Jun 13</c:v>
                </c:pt>
                <c:pt idx="5">
                  <c:v>Jul-Dec 13</c:v>
                </c:pt>
                <c:pt idx="6">
                  <c:v>Jan-Jun 14</c:v>
                </c:pt>
                <c:pt idx="7">
                  <c:v>Jul-Dec 14</c:v>
                </c:pt>
                <c:pt idx="8">
                  <c:v>Jan-Jun 15</c:v>
                </c:pt>
                <c:pt idx="9">
                  <c:v>Jul-Dec 15</c:v>
                </c:pt>
                <c:pt idx="10">
                  <c:v>Jan-Jun 16</c:v>
                </c:pt>
              </c:strCache>
            </c:strRef>
          </c:cat>
          <c:val>
            <c:numRef>
              <c:f>'Inspection data summary'!$B$14:$L$14</c:f>
              <c:numCache>
                <c:formatCode>General</c:formatCode>
                <c:ptCount val="11"/>
                <c:pt idx="0">
                  <c:v>16703</c:v>
                </c:pt>
                <c:pt idx="1">
                  <c:v>19986</c:v>
                </c:pt>
                <c:pt idx="2">
                  <c:v>17822</c:v>
                </c:pt>
                <c:pt idx="3">
                  <c:v>20900</c:v>
                </c:pt>
                <c:pt idx="4">
                  <c:v>16726</c:v>
                </c:pt>
                <c:pt idx="5">
                  <c:v>19559</c:v>
                </c:pt>
                <c:pt idx="6">
                  <c:v>17484</c:v>
                </c:pt>
                <c:pt idx="7">
                  <c:v>20336</c:v>
                </c:pt>
                <c:pt idx="8">
                  <c:v>17136</c:v>
                </c:pt>
                <c:pt idx="9">
                  <c:v>19680</c:v>
                </c:pt>
                <c:pt idx="10">
                  <c:v>17464</c:v>
                </c:pt>
              </c:numCache>
            </c:numRef>
          </c:val>
          <c:smooth val="0"/>
        </c:ser>
        <c:dLbls>
          <c:showLegendKey val="0"/>
          <c:showVal val="0"/>
          <c:showCatName val="0"/>
          <c:showSerName val="0"/>
          <c:showPercent val="0"/>
          <c:showBubbleSize val="0"/>
        </c:dLbls>
        <c:marker val="1"/>
        <c:smooth val="0"/>
        <c:axId val="297424808"/>
        <c:axId val="297422848"/>
      </c:lineChart>
      <c:catAx>
        <c:axId val="29742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422848"/>
        <c:crosses val="autoZero"/>
        <c:auto val="1"/>
        <c:lblAlgn val="ctr"/>
        <c:lblOffset val="100"/>
        <c:noMultiLvlLbl val="0"/>
      </c:catAx>
      <c:valAx>
        <c:axId val="29742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424808"/>
        <c:crosses val="autoZero"/>
        <c:crossBetween val="between"/>
      </c:valAx>
      <c:spPr>
        <a:noFill/>
        <a:ln>
          <a:noFill/>
        </a:ln>
        <a:effectLst/>
      </c:spPr>
    </c:plotArea>
    <c:legend>
      <c:legendPos val="b"/>
      <c:layout>
        <c:manualLayout>
          <c:xMode val="edge"/>
          <c:yMode val="edge"/>
          <c:x val="5.0039032758604073E-4"/>
          <c:y val="0.81727025480855575"/>
          <c:w val="0.99410306575815111"/>
          <c:h val="0.157479204119000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7339472397188189"/>
          <c:y val="0.14157404236219095"/>
          <c:w val="0.31644418377250105"/>
          <c:h val="0.60137062822849541"/>
        </c:manualLayout>
      </c:layout>
      <c:pieChart>
        <c:varyColors val="1"/>
        <c:ser>
          <c:idx val="0"/>
          <c:order val="0"/>
          <c:spPr>
            <a:scene3d>
              <a:camera prst="orthographicFront"/>
              <a:lightRig rig="balanced" dir="t">
                <a:rot lat="0" lon="0" rev="1800000"/>
              </a:lightRig>
            </a:scene3d>
            <a:sp3d>
              <a:bevelT/>
            </a:sp3d>
          </c:spPr>
          <c:dPt>
            <c:idx val="0"/>
            <c:bubble3D val="0"/>
            <c:spPr>
              <a:solidFill>
                <a:schemeClr val="accent4">
                  <a:lumMod val="75000"/>
                </a:schemeClr>
              </a:solidFill>
              <a:scene3d>
                <a:camera prst="orthographicFront"/>
                <a:lightRig rig="balanced" dir="t">
                  <a:rot lat="0" lon="0" rev="1800000"/>
                </a:lightRig>
              </a:scene3d>
              <a:sp3d>
                <a:bevelT/>
              </a:sp3d>
            </c:spPr>
          </c:dPt>
          <c:dLbls>
            <c:dLbl>
              <c:idx val="0"/>
              <c:layout>
                <c:manualLayout>
                  <c:x val="7.9009623797025433E-2"/>
                  <c:y val="4.3623505395158746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1713674618190019"/>
                  <c:y val="-3.310692230620158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6.588195706305941E-2"/>
                  <c:y val="3.603495898091281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1.8179778809700085E-2"/>
                  <c:y val="5.1858020365255386E-2"/>
                </c:manualLayout>
              </c:layout>
              <c:tx>
                <c:rich>
                  <a:bodyPr/>
                  <a:lstStyle/>
                  <a:p>
                    <a:r>
                      <a:rPr lang="en-US"/>
                      <a:t>Eggs
&lt;0.1%</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0.19097225026358794"/>
                  <c:y val="-8.1015789256709408E-3"/>
                </c:manualLayout>
              </c:layout>
              <c:tx>
                <c:rich>
                  <a:bodyPr/>
                  <a:lstStyle/>
                  <a:p>
                    <a:r>
                      <a:rPr lang="en-US"/>
                      <a:t>Honey
&lt;0.1%</a:t>
                    </a:r>
                  </a:p>
                </c:rich>
              </c:tx>
              <c:dLblPos val="bestFit"/>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4.2337303990847668E-2"/>
                  <c:y val="-9.914292781465143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14810844157300945"/>
                  <c:y val="-7.529496640145112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2.8639881553267396E-2"/>
                  <c:y val="-8.991012903491771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1.9546402853489481E-2"/>
                  <c:y val="1.234365337840623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a:lstStyle/>
              <a:p>
                <a:pPr>
                  <a:defRPr sz="900" b="0" i="0" u="none" strike="noStrike" baseline="0">
                    <a:solidFill>
                      <a:srgbClr val="000000"/>
                    </a:solidFill>
                    <a:latin typeface="Calibri"/>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Commodity!$F$3:$F$11</c:f>
              <c:strCache>
                <c:ptCount val="9"/>
                <c:pt idx="0">
                  <c:v>Other</c:v>
                </c:pt>
                <c:pt idx="1">
                  <c:v>Cereals</c:v>
                </c:pt>
                <c:pt idx="2">
                  <c:v>Dairy</c:v>
                </c:pt>
                <c:pt idx="3">
                  <c:v>Eggs</c:v>
                </c:pt>
                <c:pt idx="4">
                  <c:v>Honey</c:v>
                </c:pt>
                <c:pt idx="5">
                  <c:v>Horticulture</c:v>
                </c:pt>
                <c:pt idx="6">
                  <c:v>Meat</c:v>
                </c:pt>
                <c:pt idx="7">
                  <c:v>Beverages</c:v>
                </c:pt>
                <c:pt idx="8">
                  <c:v>Seafood</c:v>
                </c:pt>
              </c:strCache>
            </c:strRef>
          </c:cat>
          <c:val>
            <c:numRef>
              <c:f>Commodity!$G$3:$G$11</c:f>
              <c:numCache>
                <c:formatCode>0.0%</c:formatCode>
                <c:ptCount val="9"/>
                <c:pt idx="0">
                  <c:v>0.43971679488052284</c:v>
                </c:pt>
                <c:pt idx="1">
                  <c:v>4.1141897565071368E-2</c:v>
                </c:pt>
                <c:pt idx="2">
                  <c:v>7.1096285202078655E-2</c:v>
                </c:pt>
                <c:pt idx="3">
                  <c:v>2.26927179068237E-4</c:v>
                </c:pt>
                <c:pt idx="4">
                  <c:v>9.7578686999341907E-4</c:v>
                </c:pt>
                <c:pt idx="5">
                  <c:v>0.14532416547529897</c:v>
                </c:pt>
                <c:pt idx="6">
                  <c:v>4.9810515805478024E-2</c:v>
                </c:pt>
                <c:pt idx="7">
                  <c:v>9.4061315723784233E-2</c:v>
                </c:pt>
                <c:pt idx="8">
                  <c:v>0.15764631129870424</c:v>
                </c:pt>
              </c:numCache>
            </c:numRef>
          </c:val>
        </c:ser>
        <c:dLbls>
          <c:showLegendKey val="0"/>
          <c:showVal val="0"/>
          <c:showCatName val="1"/>
          <c:showSerName val="0"/>
          <c:showPercent val="1"/>
          <c:showBubbleSize val="0"/>
          <c:showLeaderLines val="1"/>
        </c:dLbls>
        <c:firstSliceAng val="0"/>
      </c:pie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905675636926874"/>
          <c:y val="9.9975371314340547E-2"/>
          <c:w val="0.427977727318961"/>
          <c:h val="0.81404837322481571"/>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3432703207818894E-2"/>
                  <c:y val="0.1063947749364201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6.9869991931942363E-2"/>
                  <c:y val="1.882035580043634E-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2.1011264642503344E-2"/>
                  <c:y val="1.8235022952624167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4.9389176547484093E-2"/>
                  <c:y val="-6.126483945432523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1.6327533800542974E-2"/>
                  <c:y val="-5.52041288956528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5.3085572474646896E-2"/>
                  <c:y val="-0.1146031798893296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3.5577157236788594E-2"/>
                  <c:y val="-0.1219149076953616"/>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970217640320733"/>
                      <c:h val="0.126890756302521"/>
                    </c:manualLayout>
                  </c15:layout>
                </c:ext>
              </c:extLst>
            </c:dLbl>
            <c:dLbl>
              <c:idx val="7"/>
              <c:layout>
                <c:manualLayout>
                  <c:x val="0.17200823479539284"/>
                  <c:y val="-8.2933015725975431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13246723669850546"/>
                  <c:y val="-4.643684245351694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4.994679167049644E-2"/>
                  <c:y val="-1.5450297358739365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0"/>
              <c:layout>
                <c:manualLayout>
                  <c:x val="-9.6837321404863327E-2"/>
                  <c:y val="-5.2558942072823793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'Overall country data'!$H$6:$H$16</c:f>
              <c:strCache>
                <c:ptCount val="11"/>
                <c:pt idx="0">
                  <c:v>China</c:v>
                </c:pt>
                <c:pt idx="1">
                  <c:v>Thailand</c:v>
                </c:pt>
                <c:pt idx="2">
                  <c:v>Italy</c:v>
                </c:pt>
                <c:pt idx="3">
                  <c:v>United States</c:v>
                </c:pt>
                <c:pt idx="4">
                  <c:v>India</c:v>
                </c:pt>
                <c:pt idx="5">
                  <c:v>Japan</c:v>
                </c:pt>
                <c:pt idx="6">
                  <c:v>Korea Republic Of</c:v>
                </c:pt>
                <c:pt idx="7">
                  <c:v>Malaysia</c:v>
                </c:pt>
                <c:pt idx="8">
                  <c:v>France</c:v>
                </c:pt>
                <c:pt idx="9">
                  <c:v>Taiwan</c:v>
                </c:pt>
                <c:pt idx="10">
                  <c:v>Other</c:v>
                </c:pt>
              </c:strCache>
            </c:strRef>
          </c:cat>
          <c:val>
            <c:numRef>
              <c:f>'Overall country data'!$J$6:$J$16</c:f>
              <c:numCache>
                <c:formatCode>0.0%</c:formatCode>
                <c:ptCount val="11"/>
                <c:pt idx="0">
                  <c:v>0.10036736674291259</c:v>
                </c:pt>
                <c:pt idx="1">
                  <c:v>9.5584667637069382E-2</c:v>
                </c:pt>
                <c:pt idx="2">
                  <c:v>7.1671172107853329E-2</c:v>
                </c:pt>
                <c:pt idx="3">
                  <c:v>6.6680529562625629E-2</c:v>
                </c:pt>
                <c:pt idx="4">
                  <c:v>6.5848755805087686E-2</c:v>
                </c:pt>
                <c:pt idx="5">
                  <c:v>5.7946905108477158E-2</c:v>
                </c:pt>
                <c:pt idx="6">
                  <c:v>5.2956262563249465E-2</c:v>
                </c:pt>
                <c:pt idx="7">
                  <c:v>4.0618285159769875E-2</c:v>
                </c:pt>
                <c:pt idx="8">
                  <c:v>3.7984334927566366E-2</c:v>
                </c:pt>
                <c:pt idx="9">
                  <c:v>3.2924377902543843E-2</c:v>
                </c:pt>
                <c:pt idx="10">
                  <c:v>0.37741734248284464</c:v>
                </c:pt>
              </c:numCache>
            </c:numRef>
          </c:val>
        </c:ser>
        <c:dLbls>
          <c:dLblPos val="inEnd"/>
          <c:showLegendKey val="0"/>
          <c:showVal val="0"/>
          <c:showCatName val="0"/>
          <c:showSerName val="0"/>
          <c:showPercent val="1"/>
          <c:showBubbleSize val="0"/>
          <c:showLeaderLines val="1"/>
        </c:dLbls>
        <c:firstSliceAng val="30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116593512594555"/>
          <c:y val="0.15968308507812418"/>
          <c:w val="0.44743372703412077"/>
          <c:h val="0.74542261155374756"/>
        </c:manualLayout>
      </c:layout>
      <c:pieChart>
        <c:varyColors val="1"/>
        <c:ser>
          <c:idx val="0"/>
          <c:order val="0"/>
          <c:spPr>
            <a:scene3d>
              <a:camera prst="orthographicFront"/>
              <a:lightRig rig="threePt" dir="t"/>
            </a:scene3d>
            <a:sp3d>
              <a:bevelT/>
              <a:bevelB/>
            </a:sp3d>
          </c:spPr>
          <c:dPt>
            <c:idx val="0"/>
            <c:bubble3D val="0"/>
            <c:spPr>
              <a:solidFill>
                <a:srgbClr val="FFFF99"/>
              </a:solidFill>
              <a:scene3d>
                <a:camera prst="orthographicFront"/>
                <a:lightRig rig="threePt" dir="t"/>
              </a:scene3d>
              <a:sp3d>
                <a:bevelT/>
                <a:bevelB/>
              </a:sp3d>
            </c:spPr>
          </c:dPt>
          <c:dPt>
            <c:idx val="2"/>
            <c:bubble3D val="0"/>
            <c:spPr>
              <a:solidFill>
                <a:schemeClr val="accent2">
                  <a:lumMod val="75000"/>
                </a:schemeClr>
              </a:solidFill>
              <a:scene3d>
                <a:camera prst="orthographicFront"/>
                <a:lightRig rig="threePt" dir="t"/>
              </a:scene3d>
              <a:sp3d>
                <a:bevelT/>
                <a:bevelB/>
              </a:sp3d>
            </c:spPr>
          </c:dPt>
          <c:dPt>
            <c:idx val="6"/>
            <c:bubble3D val="0"/>
            <c:spPr>
              <a:solidFill>
                <a:schemeClr val="accent2">
                  <a:lumMod val="60000"/>
                  <a:lumOff val="40000"/>
                </a:schemeClr>
              </a:solidFill>
              <a:scene3d>
                <a:camera prst="orthographicFront"/>
                <a:lightRig rig="threePt" dir="t"/>
              </a:scene3d>
              <a:sp3d>
                <a:bevelT/>
                <a:bevelB/>
              </a:sp3d>
            </c:spPr>
          </c:dPt>
          <c:dLbls>
            <c:dLbl>
              <c:idx val="0"/>
              <c:layout>
                <c:manualLayout>
                  <c:x val="4.0257814346974764E-2"/>
                  <c:y val="-0.41275452813296298"/>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6.1252095854284816E-2"/>
                  <c:y val="0.22288056790550473"/>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7.1121827843278584E-2"/>
                  <c:y val="5.8363490602282464E-2"/>
                </c:manualLayout>
              </c:layout>
              <c:spPr>
                <a:noFill/>
                <a:ln>
                  <a:noFill/>
                </a:ln>
                <a:effectLst/>
              </c:spPr>
              <c:txPr>
                <a:bodyPr wrap="square" lIns="38100" tIns="19050" rIns="38100" bIns="19050" anchor="ctr">
                  <a:noAutofit/>
                </a:bodyPr>
                <a:lstStyle/>
                <a:p>
                  <a:pPr>
                    <a:defRPr sz="800"/>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3887720231457699"/>
                      <c:h val="0.22654706163110991"/>
                    </c:manualLayout>
                  </c15:layout>
                </c:ext>
              </c:extLst>
            </c:dLbl>
            <c:dLbl>
              <c:idx val="3"/>
              <c:layout>
                <c:manualLayout>
                  <c:x val="-8.1275090577763415E-2"/>
                  <c:y val="3.415398678133688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0.16667462250310222"/>
                  <c:y val="9.9122025331249156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8.7049444203758403E-2"/>
                  <c:y val="1.0093682631044033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17702022630018541"/>
                  <c:y val="-2.1685369106227214E-2"/>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wrap="square" lIns="38100" tIns="19050" rIns="38100" bIns="19050" anchor="ctr">
                <a:spAutoFit/>
              </a:bodyPr>
              <a:lstStyle/>
              <a:p>
                <a:pPr>
                  <a:defRPr sz="800"/>
                </a:pPr>
                <a:endParaRPr lang="en-US"/>
              </a:p>
            </c:txPr>
            <c:showLegendKey val="0"/>
            <c:showVal val="1"/>
            <c:showCatName val="1"/>
            <c:showSerName val="0"/>
            <c:showPercent val="0"/>
            <c:showBubbleSize val="0"/>
            <c:showLeaderLines val="1"/>
            <c:extLst>
              <c:ext xmlns:c15="http://schemas.microsoft.com/office/drawing/2012/chart" uri="{CE6537A1-D6FC-4f65-9D91-7224C49458BB}"/>
            </c:extLst>
          </c:dLbls>
          <c:cat>
            <c:strRef>
              <c:f>'All Tests'!$N$20:$N$26</c:f>
              <c:strCache>
                <c:ptCount val="7"/>
                <c:pt idx="0">
                  <c:v>Labelling</c:v>
                </c:pt>
                <c:pt idx="1">
                  <c:v>BSE Certificate</c:v>
                </c:pt>
                <c:pt idx="2">
                  <c:v>Composition - label assessment</c:v>
                </c:pt>
                <c:pt idx="3">
                  <c:v>Chemicals</c:v>
                </c:pt>
                <c:pt idx="4">
                  <c:v>Contaminants</c:v>
                </c:pt>
                <c:pt idx="5">
                  <c:v>Composition - analytical</c:v>
                </c:pt>
                <c:pt idx="6">
                  <c:v>Microbiological</c:v>
                </c:pt>
              </c:strCache>
            </c:strRef>
          </c:cat>
          <c:val>
            <c:numRef>
              <c:f>'All Tests'!$P$20:$P$26</c:f>
              <c:numCache>
                <c:formatCode>0.0%</c:formatCode>
                <c:ptCount val="7"/>
                <c:pt idx="0">
                  <c:v>0.70613107822410148</c:v>
                </c:pt>
                <c:pt idx="1">
                  <c:v>2.1141649048625794E-3</c:v>
                </c:pt>
                <c:pt idx="2">
                  <c:v>6.765327695560254E-2</c:v>
                </c:pt>
                <c:pt idx="3">
                  <c:v>8.4566596194503171E-2</c:v>
                </c:pt>
                <c:pt idx="4">
                  <c:v>8.6680761099365747E-2</c:v>
                </c:pt>
                <c:pt idx="5">
                  <c:v>6.3424947145877377E-3</c:v>
                </c:pt>
                <c:pt idx="6">
                  <c:v>4.6511627906976744E-2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cene3d>
              <a:camera prst="orthographicFront"/>
              <a:lightRig rig="threePt" dir="t"/>
            </a:scene3d>
            <a:sp3d>
              <a:bevelT/>
              <a:bevelB/>
            </a:sp3d>
          </c:spPr>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cene3d>
                <a:camera prst="orthographicFront"/>
                <a:lightRig rig="threePt" dir="t"/>
              </a:scene3d>
              <a:sp3d>
                <a:bevelT/>
                <a:bevelB/>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cene3d>
                <a:camera prst="orthographicFront"/>
                <a:lightRig rig="threePt" dir="t"/>
              </a:scene3d>
              <a:sp3d>
                <a:bevelT/>
                <a:bevelB/>
              </a:sp3d>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cene3d>
                <a:camera prst="orthographicFront"/>
                <a:lightRig rig="threePt" dir="t"/>
              </a:scene3d>
              <a:sp3d>
                <a:bevelT/>
                <a:bevelB/>
              </a:sp3d>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cene3d>
                <a:camera prst="orthographicFront"/>
                <a:lightRig rig="threePt" dir="t"/>
              </a:scene3d>
              <a:sp3d>
                <a:bevelT/>
                <a:bevelB/>
              </a:sp3d>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cene3d>
                <a:camera prst="orthographicFront"/>
                <a:lightRig rig="threePt" dir="t"/>
              </a:scene3d>
              <a:sp3d>
                <a:bevelT/>
                <a:bevelB/>
              </a:sp3d>
            </c:spPr>
          </c:dPt>
          <c:dPt>
            <c:idx val="5"/>
            <c:bubble3D val="0"/>
            <c:spPr>
              <a:solidFill>
                <a:srgbClr val="FFCCCC"/>
              </a:solidFill>
              <a:ln>
                <a:noFill/>
              </a:ln>
              <a:effectLst/>
              <a:scene3d>
                <a:camera prst="orthographicFront"/>
                <a:lightRig rig="threePt" dir="t"/>
              </a:scene3d>
              <a:sp3d>
                <a:bevelT/>
                <a:bevelB/>
              </a:sp3d>
            </c:spPr>
          </c:dPt>
          <c:dPt>
            <c:idx val="6"/>
            <c:bubble3D val="0"/>
            <c:spPr>
              <a:solidFill>
                <a:srgbClr val="CCFF99"/>
              </a:solidFill>
              <a:ln>
                <a:noFill/>
              </a:ln>
              <a:effectLst/>
              <a:scene3d>
                <a:camera prst="orthographicFront"/>
                <a:lightRig rig="threePt" dir="t"/>
              </a:scene3d>
              <a:sp3d>
                <a:bevelT/>
                <a:bevelB/>
              </a:sp3d>
            </c:spPr>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cene3d>
                <a:camera prst="orthographicFront"/>
                <a:lightRig rig="threePt" dir="t"/>
              </a:scene3d>
              <a:sp3d>
                <a:bevelT/>
                <a:bevelB/>
              </a:sp3d>
            </c:spPr>
          </c:dPt>
          <c:dPt>
            <c:idx val="8"/>
            <c:bubble3D val="0"/>
            <c:spPr>
              <a:solidFill>
                <a:srgbClr val="7030A0"/>
              </a:solidFill>
              <a:ln>
                <a:noFill/>
              </a:ln>
              <a:effectLst/>
              <a:scene3d>
                <a:camera prst="orthographicFront"/>
                <a:lightRig rig="threePt" dir="t"/>
              </a:scene3d>
              <a:sp3d>
                <a:bevelT/>
                <a:bevelB/>
              </a:sp3d>
            </c:spPr>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cene3d>
                <a:camera prst="orthographicFront"/>
                <a:lightRig rig="threePt" dir="t"/>
              </a:scene3d>
              <a:sp3d>
                <a:bevelT/>
                <a:bevelB/>
              </a:sp3d>
            </c:spPr>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cene3d>
                <a:camera prst="orthographicFront"/>
                <a:lightRig rig="threePt" dir="t"/>
              </a:scene3d>
              <a:sp3d>
                <a:bevelT/>
                <a:bevelB/>
              </a:sp3d>
            </c:spPr>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cene3d>
                <a:camera prst="orthographicFront"/>
                <a:lightRig rig="threePt" dir="t"/>
              </a:scene3d>
              <a:sp3d>
                <a:bevelT/>
                <a:bevelB/>
              </a:sp3d>
            </c:spPr>
          </c:dPt>
          <c:dLbls>
            <c:dLbl>
              <c:idx val="0"/>
              <c:layout>
                <c:manualLayout>
                  <c:x val="3.8499015748031495E-2"/>
                  <c:y val="1.1682706328375619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5.1626093613298341E-2"/>
                  <c:y val="-9.6955380577427822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5.1529308836395352E-2"/>
                  <c:y val="-4.2839020122484688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7.0044838145231852E-2"/>
                  <c:y val="-2.5521289005541823E-3"/>
                </c:manualLayout>
              </c:layou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4.09838145231846E-2"/>
                  <c:y val="-2.2763196267133277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0.11415923009623798"/>
                  <c:y val="-1.9537037037037037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6"/>
              <c:layout>
                <c:manualLayout>
                  <c:x val="-0.24284383202099738"/>
                  <c:y val="-0.13446741032370954"/>
                </c:manualLayout>
              </c:layout>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ln>
                        <a:noFill/>
                      </a:ln>
                      <a:solidFill>
                        <a:sysClr val="windowText" lastClr="000000"/>
                      </a:solidFill>
                      <a:latin typeface="+mn-lt"/>
                      <a:ea typeface="+mn-ea"/>
                      <a:cs typeface="+mn-cs"/>
                    </a:defRPr>
                  </a:pPr>
                  <a:endParaRPr lang="en-US"/>
                </a:p>
              </c:txPr>
              <c:showLegendKey val="0"/>
              <c:showVal val="1"/>
              <c:showCatName val="1"/>
              <c:showSerName val="0"/>
              <c:showPercent val="0"/>
              <c:showBubbleSize val="0"/>
              <c:extLst>
                <c:ext xmlns:c15="http://schemas.microsoft.com/office/drawing/2012/chart" uri="{CE6537A1-D6FC-4f65-9D91-7224C49458BB}">
                  <c15:layout>
                    <c:manualLayout>
                      <c:w val="0.22656933508311461"/>
                      <c:h val="0.14488444152814231"/>
                    </c:manualLayout>
                  </c15:layout>
                </c:ext>
              </c:extLst>
            </c:dLbl>
            <c:dLbl>
              <c:idx val="7"/>
              <c:layout>
                <c:manualLayout>
                  <c:x val="-5.2148293963254599E-2"/>
                  <c:y val="-0.13504447360746574"/>
                </c:manualLayout>
              </c:layout>
              <c:showLegendKey val="0"/>
              <c:showVal val="1"/>
              <c:showCatName val="1"/>
              <c:showSerName val="0"/>
              <c:showPercent val="0"/>
              <c:showBubbleSize val="0"/>
              <c:extLst>
                <c:ext xmlns:c15="http://schemas.microsoft.com/office/drawing/2012/chart" uri="{CE6537A1-D6FC-4f65-9D91-7224C49458BB}">
                  <c15:layout/>
                </c:ext>
              </c:extLst>
            </c:dLbl>
            <c:dLbl>
              <c:idx val="8"/>
              <c:layout>
                <c:manualLayout>
                  <c:x val="-2.7499781277340332E-2"/>
                  <c:y val="4.478382910469525E-2"/>
                </c:manualLayout>
              </c:layout>
              <c:showLegendKey val="0"/>
              <c:showVal val="1"/>
              <c:showCatName val="1"/>
              <c:showSerName val="0"/>
              <c:showPercent val="0"/>
              <c:showBubbleSize val="0"/>
              <c:extLst>
                <c:ext xmlns:c15="http://schemas.microsoft.com/office/drawing/2012/chart" uri="{CE6537A1-D6FC-4f65-9D91-7224C49458BB}">
                  <c15:layout/>
                </c:ext>
              </c:extLst>
            </c:dLbl>
            <c:dLbl>
              <c:idx val="9"/>
              <c:layout>
                <c:manualLayout>
                  <c:x val="-4.1726377952755904E-2"/>
                  <c:y val="2.3476232137649459E-3"/>
                </c:manualLayout>
              </c:layout>
              <c:showLegendKey val="0"/>
              <c:showVal val="1"/>
              <c:showCatName val="1"/>
              <c:showSerName val="0"/>
              <c:showPercent val="0"/>
              <c:showBubbleSize val="0"/>
              <c:extLst>
                <c:ext xmlns:c15="http://schemas.microsoft.com/office/drawing/2012/chart" uri="{CE6537A1-D6FC-4f65-9D91-7224C49458BB}">
                  <c15:layout/>
                </c:ext>
              </c:extLst>
            </c:dLbl>
            <c:dLbl>
              <c:idx val="10"/>
              <c:layout>
                <c:manualLayout>
                  <c:x val="-2.5367672790901137E-2"/>
                  <c:y val="8.7445319335083121E-3"/>
                </c:manualLayout>
              </c:layou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ln>
                      <a:noFill/>
                    </a:ln>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Summary!$B$4:$B$15</c:f>
              <c:strCache>
                <c:ptCount val="12"/>
                <c:pt idx="0">
                  <c:v>Importer details</c:v>
                </c:pt>
                <c:pt idx="1">
                  <c:v>Product description</c:v>
                </c:pt>
                <c:pt idx="2">
                  <c:v>Lot code</c:v>
                </c:pt>
                <c:pt idx="3">
                  <c:v>Mandatory warning statement</c:v>
                </c:pt>
                <c:pt idx="4">
                  <c:v>Ingredients list </c:v>
                </c:pt>
                <c:pt idx="5">
                  <c:v>Date marking of food </c:v>
                </c:pt>
                <c:pt idx="6">
                  <c:v>Direction for storage and use</c:v>
                </c:pt>
                <c:pt idx="7">
                  <c:v>Nutrition information</c:v>
                </c:pt>
                <c:pt idx="8">
                  <c:v>Not in English/not legible</c:v>
                </c:pt>
                <c:pt idx="9">
                  <c:v>Characterising ingredient</c:v>
                </c:pt>
                <c:pt idx="10">
                  <c:v>Country of origin </c:v>
                </c:pt>
                <c:pt idx="11">
                  <c:v>Alcohol labelling </c:v>
                </c:pt>
              </c:strCache>
            </c:strRef>
          </c:cat>
          <c:val>
            <c:numRef>
              <c:f>Summary!$D$4:$D$15</c:f>
              <c:numCache>
                <c:formatCode>0.0%</c:formatCode>
                <c:ptCount val="12"/>
                <c:pt idx="0">
                  <c:v>0.24662162162162163</c:v>
                </c:pt>
                <c:pt idx="1">
                  <c:v>5.0675675675675678E-2</c:v>
                </c:pt>
                <c:pt idx="2">
                  <c:v>2.364864864864865E-2</c:v>
                </c:pt>
                <c:pt idx="3">
                  <c:v>4.72972972972973E-2</c:v>
                </c:pt>
                <c:pt idx="4">
                  <c:v>0.14527027027027026</c:v>
                </c:pt>
                <c:pt idx="5">
                  <c:v>1.0135135135135136E-2</c:v>
                </c:pt>
                <c:pt idx="6">
                  <c:v>1.0135135135135136E-2</c:v>
                </c:pt>
                <c:pt idx="7">
                  <c:v>0.2533783783783784</c:v>
                </c:pt>
                <c:pt idx="8">
                  <c:v>4.0540540540540543E-2</c:v>
                </c:pt>
                <c:pt idx="9">
                  <c:v>3.3783783783783786E-2</c:v>
                </c:pt>
                <c:pt idx="10">
                  <c:v>0.11148648648648649</c:v>
                </c:pt>
                <c:pt idx="11">
                  <c:v>2.7027027027027029E-2</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EF5AFAF-0859-47A3-9E52-F14F30307471}"/>
</file>

<file path=customXml/itemProps2.xml><?xml version="1.0" encoding="utf-8"?>
<ds:datastoreItem xmlns:ds="http://schemas.openxmlformats.org/officeDocument/2006/customXml" ds:itemID="{BABA79A4-0E38-4A6E-BD42-5BBF37B2F145}"/>
</file>

<file path=customXml/itemProps3.xml><?xml version="1.0" encoding="utf-8"?>
<ds:datastoreItem xmlns:ds="http://schemas.openxmlformats.org/officeDocument/2006/customXml" ds:itemID="{F860B4AE-CDDD-4848-BAA6-F3FCD14E0A4A}"/>
</file>

<file path=customXml/itemProps4.xml><?xml version="1.0" encoding="utf-8"?>
<ds:datastoreItem xmlns:ds="http://schemas.openxmlformats.org/officeDocument/2006/customXml" ds:itemID="{AB0BF545-F024-44C4-99CE-AA6DB141F9C1}"/>
</file>

<file path=docProps/app.xml><?xml version="1.0" encoding="utf-8"?>
<Properties xmlns="http://schemas.openxmlformats.org/officeDocument/2006/extended-properties" xmlns:vt="http://schemas.openxmlformats.org/officeDocument/2006/docPropsVTypes">
  <Template>Normal</Template>
  <TotalTime>1</TotalTime>
  <Pages>27</Pages>
  <Words>6309</Words>
  <Characters>35965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Imported food inspection data report for January to June 2016</vt:lpstr>
    </vt:vector>
  </TitlesOfParts>
  <Company>Department of Agriculture</Company>
  <LinksUpToDate>false</LinksUpToDate>
  <CharactersWithSpaces>42190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Imported food inspection data report for January to June 2016</dc:title>
  <dc:creator>Department of Agriculture and Water Resources</dc:creator>
  <cp:lastModifiedBy>Flynn, Naomi</cp:lastModifiedBy>
  <cp:revision>2</cp:revision>
  <cp:lastPrinted>2016-12-22T05:53:00Z</cp:lastPrinted>
  <dcterms:created xsi:type="dcterms:W3CDTF">2016-12-22T05:54:00Z</dcterms:created>
  <dcterms:modified xsi:type="dcterms:W3CDTF">2016-12-22T05:54:00Z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