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FD74D" w14:textId="77777777" w:rsidR="00B21462" w:rsidRPr="00EB6182" w:rsidRDefault="00CC29B4" w:rsidP="00143B5F">
      <w:pPr>
        <w:pStyle w:val="Heading1"/>
      </w:pPr>
      <w:r>
        <w:t>Minimum documentary and import declaration requirements policy</w:t>
      </w:r>
    </w:p>
    <w:p w14:paraId="362383FC" w14:textId="77777777" w:rsidR="0003507A" w:rsidRPr="00A65731" w:rsidRDefault="00CC29B4" w:rsidP="00267841">
      <w:pPr>
        <w:pStyle w:val="Author"/>
        <w:rPr>
          <w:lang w:val="es-ES"/>
        </w:rPr>
      </w:pPr>
      <w:r>
        <w:rPr>
          <w:lang w:val="es-ES"/>
        </w:rPr>
        <w:t>Compliance Assessment and Management</w:t>
      </w:r>
    </w:p>
    <w:p w14:paraId="0B8B1A50" w14:textId="0505FC22" w:rsidR="0003507A" w:rsidRDefault="00CC29B4" w:rsidP="007A55F1">
      <w:pPr>
        <w:pStyle w:val="AuthorOrganisationAffiliation"/>
        <w:tabs>
          <w:tab w:val="left" w:pos="7995"/>
        </w:tabs>
      </w:pPr>
      <w:r>
        <w:t>Compliance Division</w:t>
      </w:r>
      <w:r w:rsidR="002A210C">
        <w:br/>
      </w:r>
      <w:r w:rsidR="00360AB8" w:rsidRPr="00232A5E">
        <w:rPr>
          <w:rStyle w:val="NoteHeadingChar"/>
        </w:rPr>
        <w:t xml:space="preserve">Version </w:t>
      </w:r>
      <w:r w:rsidR="009F390C" w:rsidRPr="00232A5E">
        <w:rPr>
          <w:rStyle w:val="NoteHeadingChar"/>
        </w:rPr>
        <w:t>3</w:t>
      </w:r>
      <w:r w:rsidR="00C923D9" w:rsidRPr="00232A5E">
        <w:rPr>
          <w:rStyle w:val="NoteHeadingChar"/>
        </w:rPr>
        <w:t>.0</w:t>
      </w:r>
    </w:p>
    <w:p w14:paraId="62223AF0" w14:textId="537B69F6" w:rsidR="00ED75BE" w:rsidRDefault="005F18A6" w:rsidP="00ED75BE">
      <w:pPr>
        <w:pStyle w:val="Picture"/>
        <w:rPr>
          <w:sz w:val="18"/>
          <w:szCs w:val="18"/>
        </w:rPr>
      </w:pPr>
      <w:r>
        <w:drawing>
          <wp:inline distT="0" distB="0" distL="0" distR="0" wp14:anchorId="173C4A0E" wp14:editId="7EF1C9D5">
            <wp:extent cx="5675803" cy="5430741"/>
            <wp:effectExtent l="19050" t="0" r="1097"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678413" cy="5433238"/>
                    </a:xfrm>
                    <a:prstGeom prst="rect">
                      <a:avLst/>
                    </a:prstGeom>
                    <a:noFill/>
                    <a:ln w="9525">
                      <a:noFill/>
                      <a:miter lim="800000"/>
                      <a:headEnd/>
                      <a:tailEnd/>
                    </a:ln>
                  </pic:spPr>
                </pic:pic>
              </a:graphicData>
            </a:graphic>
          </wp:inline>
        </w:drawing>
      </w:r>
    </w:p>
    <w:p w14:paraId="409CF4DC" w14:textId="77777777" w:rsidR="00ED75BE" w:rsidRDefault="00ED75BE" w:rsidP="00ED75BE">
      <w:pPr>
        <w:pStyle w:val="Picture"/>
        <w:rPr>
          <w:sz w:val="18"/>
          <w:szCs w:val="18"/>
        </w:rPr>
      </w:pPr>
    </w:p>
    <w:p w14:paraId="51A64C23" w14:textId="77777777" w:rsidR="00232A5E" w:rsidRDefault="00232A5E" w:rsidP="00ED75BE">
      <w:pPr>
        <w:pStyle w:val="Picture"/>
        <w:rPr>
          <w:sz w:val="18"/>
          <w:szCs w:val="18"/>
        </w:rPr>
      </w:pPr>
    </w:p>
    <w:p w14:paraId="070902B8" w14:textId="2BC5EADD" w:rsidR="00CB4516" w:rsidRPr="00CF3FB0" w:rsidRDefault="00ED75BE" w:rsidP="00CB4516">
      <w:pPr>
        <w:rPr>
          <w:sz w:val="18"/>
          <w:szCs w:val="18"/>
        </w:rPr>
      </w:pPr>
      <w:r>
        <w:rPr>
          <w:sz w:val="18"/>
          <w:szCs w:val="18"/>
        </w:rPr>
        <w:lastRenderedPageBreak/>
        <w:t>© Commonwealth of Australia 2017</w:t>
      </w:r>
    </w:p>
    <w:p w14:paraId="326C302A" w14:textId="77777777" w:rsidR="00ED75BE" w:rsidRPr="00ED75BE" w:rsidRDefault="00ED75BE" w:rsidP="00ED75BE">
      <w:pPr>
        <w:spacing w:after="0"/>
        <w:rPr>
          <w:b/>
          <w:bCs/>
          <w:sz w:val="18"/>
          <w:szCs w:val="18"/>
        </w:rPr>
      </w:pPr>
      <w:r w:rsidRPr="00ED75BE">
        <w:rPr>
          <w:b/>
          <w:bCs/>
          <w:sz w:val="18"/>
          <w:szCs w:val="18"/>
        </w:rPr>
        <w:t>Ownership of intellectual property rights</w:t>
      </w:r>
    </w:p>
    <w:p w14:paraId="7B808343" w14:textId="77777777" w:rsidR="00ED75BE" w:rsidRPr="00ED75BE" w:rsidRDefault="00ED75BE" w:rsidP="00ED75BE">
      <w:pPr>
        <w:rPr>
          <w:sz w:val="18"/>
          <w:szCs w:val="18"/>
        </w:rPr>
      </w:pPr>
      <w:r w:rsidRPr="00ED75BE">
        <w:rPr>
          <w:sz w:val="18"/>
          <w:szCs w:val="18"/>
        </w:rPr>
        <w:t>Unless otherwise noted, copyright (and any other intellectual property rights, if any) in this publication is owned by the Commonwealth of Australia (referred to as the Commonwealth).</w:t>
      </w:r>
    </w:p>
    <w:p w14:paraId="0C389089" w14:textId="77777777" w:rsidR="00ED75BE" w:rsidRPr="00ED75BE" w:rsidRDefault="00ED75BE" w:rsidP="00ED75BE">
      <w:pPr>
        <w:spacing w:after="0"/>
        <w:rPr>
          <w:b/>
          <w:bCs/>
          <w:sz w:val="18"/>
          <w:szCs w:val="18"/>
        </w:rPr>
      </w:pPr>
      <w:proofErr w:type="gramStart"/>
      <w:r w:rsidRPr="00ED75BE">
        <w:rPr>
          <w:b/>
          <w:bCs/>
          <w:sz w:val="18"/>
          <w:szCs w:val="18"/>
        </w:rPr>
        <w:t>Creative Commons</w:t>
      </w:r>
      <w:proofErr w:type="gramEnd"/>
      <w:r w:rsidRPr="00ED75BE">
        <w:rPr>
          <w:b/>
          <w:bCs/>
          <w:sz w:val="18"/>
          <w:szCs w:val="18"/>
        </w:rPr>
        <w:t xml:space="preserve"> licence</w:t>
      </w:r>
    </w:p>
    <w:p w14:paraId="710DA086" w14:textId="77777777" w:rsidR="00ED75BE" w:rsidRPr="00ED75BE" w:rsidRDefault="00ED75BE" w:rsidP="00ED75BE">
      <w:pPr>
        <w:rPr>
          <w:sz w:val="18"/>
          <w:szCs w:val="18"/>
        </w:rPr>
      </w:pPr>
      <w:r w:rsidRPr="00ED75BE">
        <w:rPr>
          <w:sz w:val="18"/>
          <w:szCs w:val="18"/>
        </w:rPr>
        <w:t xml:space="preserve">All material in this publication is licensed under a Creative </w:t>
      </w:r>
      <w:hyperlink r:id="rId12" w:history="1">
        <w:r w:rsidRPr="00ED75BE">
          <w:rPr>
            <w:color w:val="165788"/>
            <w:sz w:val="18"/>
            <w:szCs w:val="18"/>
            <w:u w:val="single"/>
          </w:rPr>
          <w:t>Commons Attribution 4.0 International Licence</w:t>
        </w:r>
      </w:hyperlink>
      <w:r w:rsidRPr="00ED75BE">
        <w:rPr>
          <w:sz w:val="18"/>
          <w:szCs w:val="18"/>
        </w:rPr>
        <w:t xml:space="preserve"> except content supplied by third parties, logos and the Commonwealth Coat of Arms.</w:t>
      </w:r>
    </w:p>
    <w:p w14:paraId="32D41CD5" w14:textId="77777777" w:rsidR="00ED75BE" w:rsidRPr="00ED75BE" w:rsidRDefault="00ED75BE" w:rsidP="00ED75BE">
      <w:pPr>
        <w:rPr>
          <w:sz w:val="18"/>
          <w:szCs w:val="18"/>
        </w:rPr>
      </w:pPr>
      <w:r w:rsidRPr="00ED75BE">
        <w:rPr>
          <w:sz w:val="18"/>
          <w:szCs w:val="18"/>
        </w:rPr>
        <w:t xml:space="preserve">Inquiries about the licence and any use of this document should be emailed to </w:t>
      </w:r>
      <w:hyperlink r:id="rId13" w:history="1">
        <w:r w:rsidRPr="00ED75BE">
          <w:rPr>
            <w:color w:val="165788"/>
            <w:sz w:val="18"/>
            <w:szCs w:val="18"/>
            <w:u w:val="single"/>
          </w:rPr>
          <w:t>copyright@agriculture.gov.au</w:t>
        </w:r>
      </w:hyperlink>
      <w:r w:rsidRPr="00ED75BE">
        <w:rPr>
          <w:sz w:val="18"/>
          <w:szCs w:val="18"/>
        </w:rPr>
        <w:t>.</w:t>
      </w:r>
    </w:p>
    <w:p w14:paraId="161B86AE" w14:textId="77777777" w:rsidR="00CB4516" w:rsidRPr="00CF3FB0" w:rsidRDefault="00CB4516" w:rsidP="00CB4516">
      <w:pPr>
        <w:rPr>
          <w:sz w:val="18"/>
          <w:szCs w:val="18"/>
        </w:rPr>
      </w:pPr>
      <w:r w:rsidRPr="00CF3FB0">
        <w:rPr>
          <w:noProof/>
          <w:sz w:val="18"/>
          <w:szCs w:val="18"/>
          <w:lang w:eastAsia="en-AU"/>
        </w:rPr>
        <w:drawing>
          <wp:inline distT="0" distB="0" distL="0" distR="0" wp14:anchorId="5352508C" wp14:editId="17E8EF91">
            <wp:extent cx="724535" cy="255270"/>
            <wp:effectExtent l="19050" t="0" r="0" b="0"/>
            <wp:docPr id="5"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62A29D4E" w14:textId="77777777" w:rsidR="00ED75BE" w:rsidRPr="00ED75BE" w:rsidRDefault="00ED75BE" w:rsidP="00ED75BE">
      <w:pPr>
        <w:spacing w:after="0"/>
        <w:rPr>
          <w:b/>
          <w:bCs/>
          <w:sz w:val="18"/>
          <w:szCs w:val="18"/>
        </w:rPr>
      </w:pPr>
      <w:r w:rsidRPr="00ED75BE">
        <w:rPr>
          <w:b/>
          <w:bCs/>
          <w:sz w:val="18"/>
          <w:szCs w:val="18"/>
        </w:rPr>
        <w:t>Cataloguing data</w:t>
      </w:r>
    </w:p>
    <w:p w14:paraId="13799EB8" w14:textId="77777777" w:rsidR="00ED75BE" w:rsidRPr="00ED75BE" w:rsidRDefault="00ED75BE" w:rsidP="00ED75BE">
      <w:pPr>
        <w:rPr>
          <w:sz w:val="18"/>
          <w:szCs w:val="18"/>
        </w:rPr>
      </w:pPr>
      <w:r w:rsidRPr="00ED75BE">
        <w:rPr>
          <w:sz w:val="18"/>
          <w:szCs w:val="18"/>
        </w:rPr>
        <w:t xml:space="preserve">This publication (and any material sourced from it) should be attributed as: </w:t>
      </w:r>
      <w:r w:rsidRPr="00ED75BE">
        <w:rPr>
          <w:i/>
          <w:iCs/>
          <w:sz w:val="18"/>
        </w:rPr>
        <w:t>Minimum documentary and import declaration requirements policy</w:t>
      </w:r>
      <w:r w:rsidRPr="00ED75BE">
        <w:rPr>
          <w:sz w:val="18"/>
          <w:szCs w:val="18"/>
        </w:rPr>
        <w:t>, Department of Agriculture and Water Resources, Canberra, July. CC BY 4.0.</w:t>
      </w:r>
    </w:p>
    <w:p w14:paraId="3BCAA31B" w14:textId="77777777" w:rsidR="00ED75BE" w:rsidRPr="00ED75BE" w:rsidRDefault="00ED75BE" w:rsidP="00ED75BE">
      <w:pPr>
        <w:rPr>
          <w:sz w:val="18"/>
          <w:szCs w:val="18"/>
        </w:rPr>
      </w:pPr>
      <w:r w:rsidRPr="00ED75BE">
        <w:rPr>
          <w:sz w:val="18"/>
          <w:szCs w:val="18"/>
        </w:rPr>
        <w:t>This publication is available at</w:t>
      </w:r>
      <w:r w:rsidRPr="00ED75BE">
        <w:rPr>
          <w:sz w:val="14"/>
          <w:szCs w:val="18"/>
        </w:rPr>
        <w:t xml:space="preserve"> </w:t>
      </w:r>
      <w:hyperlink r:id="rId15" w:history="1">
        <w:r w:rsidRPr="00ED75BE">
          <w:rPr>
            <w:color w:val="165788"/>
            <w:sz w:val="16"/>
            <w:szCs w:val="18"/>
            <w:u w:val="single"/>
          </w:rPr>
          <w:t>http://www.agriculture.gov.au/import/arrival/clearance-inspection/documentary-requirements</w:t>
        </w:r>
      </w:hyperlink>
    </w:p>
    <w:p w14:paraId="67E0075E" w14:textId="77777777" w:rsidR="00ED75BE" w:rsidRPr="00ED75BE" w:rsidRDefault="00ED75BE" w:rsidP="00ED75BE">
      <w:pPr>
        <w:spacing w:after="0"/>
        <w:rPr>
          <w:sz w:val="18"/>
          <w:szCs w:val="18"/>
        </w:rPr>
      </w:pPr>
      <w:r w:rsidRPr="00ED75BE">
        <w:rPr>
          <w:sz w:val="18"/>
          <w:szCs w:val="18"/>
        </w:rPr>
        <w:t>Department of Agriculture and Water Resources</w:t>
      </w:r>
    </w:p>
    <w:p w14:paraId="188782B5" w14:textId="77777777" w:rsidR="00ED75BE" w:rsidRPr="00ED75BE" w:rsidRDefault="00ED75BE" w:rsidP="00ED75BE">
      <w:pPr>
        <w:spacing w:after="0"/>
        <w:rPr>
          <w:sz w:val="18"/>
          <w:szCs w:val="18"/>
        </w:rPr>
      </w:pPr>
      <w:r w:rsidRPr="00ED75BE">
        <w:rPr>
          <w:sz w:val="18"/>
          <w:szCs w:val="18"/>
        </w:rPr>
        <w:t>Postal address GPO Box 858 Canberra ACT 2601</w:t>
      </w:r>
    </w:p>
    <w:p w14:paraId="21AE2043" w14:textId="77777777" w:rsidR="00ED75BE" w:rsidRPr="00ED75BE" w:rsidRDefault="00ED75BE" w:rsidP="00ED75BE">
      <w:pPr>
        <w:spacing w:after="0"/>
        <w:rPr>
          <w:sz w:val="18"/>
          <w:szCs w:val="18"/>
        </w:rPr>
      </w:pPr>
      <w:r w:rsidRPr="00ED75BE">
        <w:rPr>
          <w:sz w:val="18"/>
          <w:szCs w:val="18"/>
        </w:rPr>
        <w:t>Telephone 1800 900 090</w:t>
      </w:r>
    </w:p>
    <w:p w14:paraId="30188142" w14:textId="77777777" w:rsidR="00ED75BE" w:rsidRPr="00ED75BE" w:rsidRDefault="00ED75BE" w:rsidP="00ED75BE">
      <w:pPr>
        <w:spacing w:after="120"/>
        <w:rPr>
          <w:sz w:val="18"/>
          <w:szCs w:val="18"/>
        </w:rPr>
      </w:pPr>
      <w:r w:rsidRPr="00ED75BE">
        <w:rPr>
          <w:sz w:val="18"/>
          <w:szCs w:val="18"/>
        </w:rPr>
        <w:t xml:space="preserve">Web </w:t>
      </w:r>
      <w:hyperlink r:id="rId16" w:history="1">
        <w:r w:rsidRPr="00ED75BE">
          <w:rPr>
            <w:color w:val="165788"/>
            <w:sz w:val="18"/>
            <w:szCs w:val="18"/>
            <w:u w:val="single"/>
          </w:rPr>
          <w:t>agriculture.gov.au</w:t>
        </w:r>
      </w:hyperlink>
    </w:p>
    <w:p w14:paraId="37238F6D" w14:textId="77777777" w:rsidR="00ED75BE" w:rsidRPr="00ED75BE" w:rsidRDefault="00ED75BE" w:rsidP="00ED75BE">
      <w:pPr>
        <w:spacing w:after="0" w:line="240" w:lineRule="auto"/>
        <w:rPr>
          <w:sz w:val="18"/>
          <w:szCs w:val="18"/>
        </w:rPr>
      </w:pPr>
      <w:r w:rsidRPr="00ED75BE">
        <w:rPr>
          <w:sz w:val="18"/>
          <w:szCs w:val="18"/>
        </w:rPr>
        <w:t>The Australian Government acting through the Department of Agriculture and Water Resources has exercised due care and skill in preparing and compiling the information and data in this publication. Notwithstanding, the Department of Agriculture and Water Resources, its employees and advisers disclaim all liability, including liability for negligence and for any loss, damage, injury, expense or cost incurred by any person as a result of accessing, using or relying upon any of the information or data in this publication to the maximum extent permitted by law.</w:t>
      </w:r>
    </w:p>
    <w:p w14:paraId="3B9BFCC9" w14:textId="77777777" w:rsidR="0025079F" w:rsidRDefault="0003507A" w:rsidP="0025079F">
      <w:pPr>
        <w:pStyle w:val="TOCHeading"/>
      </w:pPr>
      <w:r w:rsidRPr="00EB3DC6">
        <w:lastRenderedPageBreak/>
        <w:t>Contents</w:t>
      </w:r>
    </w:p>
    <w:p w14:paraId="0651D429" w14:textId="77777777" w:rsidR="002F6BB4" w:rsidRDefault="000265C6">
      <w:pPr>
        <w:pStyle w:val="TOC1"/>
        <w:rPr>
          <w:rFonts w:asciiTheme="minorHAnsi" w:eastAsiaTheme="minorEastAsia" w:hAnsiTheme="minorHAnsi"/>
          <w:b w:val="0"/>
          <w:lang w:eastAsia="en-AU"/>
        </w:rPr>
      </w:pPr>
      <w:r>
        <w:rPr>
          <w:szCs w:val="24"/>
        </w:rPr>
        <w:fldChar w:fldCharType="begin"/>
      </w:r>
      <w:r w:rsidR="007C7874">
        <w:rPr>
          <w:szCs w:val="24"/>
        </w:rPr>
        <w:instrText xml:space="preserve"> TOC \h \z \t "Heading 2,1,Heading 3,2,TOA Heading,1,Heading 2 Numbered,1" </w:instrText>
      </w:r>
      <w:r>
        <w:rPr>
          <w:szCs w:val="24"/>
        </w:rPr>
        <w:fldChar w:fldCharType="separate"/>
      </w:r>
      <w:hyperlink w:anchor="_Toc487460805" w:history="1">
        <w:r w:rsidR="002F6BB4" w:rsidRPr="00141445">
          <w:rPr>
            <w:rStyle w:val="Hyperlink"/>
          </w:rPr>
          <w:t>Introduction</w:t>
        </w:r>
        <w:r w:rsidR="002F6BB4">
          <w:rPr>
            <w:webHidden/>
          </w:rPr>
          <w:tab/>
        </w:r>
        <w:r w:rsidR="002F6BB4">
          <w:rPr>
            <w:webHidden/>
          </w:rPr>
          <w:fldChar w:fldCharType="begin"/>
        </w:r>
        <w:r w:rsidR="002F6BB4">
          <w:rPr>
            <w:webHidden/>
          </w:rPr>
          <w:instrText xml:space="preserve"> PAGEREF _Toc487460805 \h </w:instrText>
        </w:r>
        <w:r w:rsidR="002F6BB4">
          <w:rPr>
            <w:webHidden/>
          </w:rPr>
        </w:r>
        <w:r w:rsidR="002F6BB4">
          <w:rPr>
            <w:webHidden/>
          </w:rPr>
          <w:fldChar w:fldCharType="separate"/>
        </w:r>
        <w:r w:rsidR="009B43EB">
          <w:rPr>
            <w:webHidden/>
          </w:rPr>
          <w:t>1</w:t>
        </w:r>
        <w:r w:rsidR="002F6BB4">
          <w:rPr>
            <w:webHidden/>
          </w:rPr>
          <w:fldChar w:fldCharType="end"/>
        </w:r>
      </w:hyperlink>
    </w:p>
    <w:p w14:paraId="0C44E298" w14:textId="77777777" w:rsidR="002F6BB4" w:rsidRDefault="00D46D13">
      <w:pPr>
        <w:pStyle w:val="TOC1"/>
        <w:rPr>
          <w:rFonts w:asciiTheme="minorHAnsi" w:eastAsiaTheme="minorEastAsia" w:hAnsiTheme="minorHAnsi"/>
          <w:b w:val="0"/>
          <w:lang w:eastAsia="en-AU"/>
        </w:rPr>
      </w:pPr>
      <w:hyperlink w:anchor="_Toc487460806" w:history="1">
        <w:r w:rsidR="002F6BB4" w:rsidRPr="00141445">
          <w:rPr>
            <w:rStyle w:val="Hyperlink"/>
          </w:rPr>
          <w:t>Definitions</w:t>
        </w:r>
        <w:r w:rsidR="002F6BB4">
          <w:rPr>
            <w:webHidden/>
          </w:rPr>
          <w:tab/>
        </w:r>
        <w:r w:rsidR="002F6BB4">
          <w:rPr>
            <w:webHidden/>
          </w:rPr>
          <w:fldChar w:fldCharType="begin"/>
        </w:r>
        <w:r w:rsidR="002F6BB4">
          <w:rPr>
            <w:webHidden/>
          </w:rPr>
          <w:instrText xml:space="preserve"> PAGEREF _Toc487460806 \h </w:instrText>
        </w:r>
        <w:r w:rsidR="002F6BB4">
          <w:rPr>
            <w:webHidden/>
          </w:rPr>
        </w:r>
        <w:r w:rsidR="002F6BB4">
          <w:rPr>
            <w:webHidden/>
          </w:rPr>
          <w:fldChar w:fldCharType="separate"/>
        </w:r>
        <w:r w:rsidR="009B43EB">
          <w:rPr>
            <w:webHidden/>
          </w:rPr>
          <w:t>2</w:t>
        </w:r>
        <w:r w:rsidR="002F6BB4">
          <w:rPr>
            <w:webHidden/>
          </w:rPr>
          <w:fldChar w:fldCharType="end"/>
        </w:r>
      </w:hyperlink>
    </w:p>
    <w:p w14:paraId="49B58F73" w14:textId="77777777" w:rsidR="002F6BB4" w:rsidRDefault="00D46D13">
      <w:pPr>
        <w:pStyle w:val="TOC1"/>
        <w:rPr>
          <w:rFonts w:asciiTheme="minorHAnsi" w:eastAsiaTheme="minorEastAsia" w:hAnsiTheme="minorHAnsi"/>
          <w:b w:val="0"/>
          <w:lang w:eastAsia="en-AU"/>
        </w:rPr>
      </w:pPr>
      <w:hyperlink w:anchor="_Toc487460807" w:history="1">
        <w:r w:rsidR="002F6BB4" w:rsidRPr="00141445">
          <w:rPr>
            <w:rStyle w:val="Hyperlink"/>
          </w:rPr>
          <w:t>Policy</w:t>
        </w:r>
        <w:r w:rsidR="002F6BB4">
          <w:rPr>
            <w:webHidden/>
          </w:rPr>
          <w:tab/>
        </w:r>
        <w:r w:rsidR="002F6BB4">
          <w:rPr>
            <w:webHidden/>
          </w:rPr>
          <w:fldChar w:fldCharType="begin"/>
        </w:r>
        <w:r w:rsidR="002F6BB4">
          <w:rPr>
            <w:webHidden/>
          </w:rPr>
          <w:instrText xml:space="preserve"> PAGEREF _Toc487460807 \h </w:instrText>
        </w:r>
        <w:r w:rsidR="002F6BB4">
          <w:rPr>
            <w:webHidden/>
          </w:rPr>
        </w:r>
        <w:r w:rsidR="002F6BB4">
          <w:rPr>
            <w:webHidden/>
          </w:rPr>
          <w:fldChar w:fldCharType="separate"/>
        </w:r>
        <w:r w:rsidR="009B43EB">
          <w:rPr>
            <w:webHidden/>
          </w:rPr>
          <w:t>7</w:t>
        </w:r>
        <w:r w:rsidR="002F6BB4">
          <w:rPr>
            <w:webHidden/>
          </w:rPr>
          <w:fldChar w:fldCharType="end"/>
        </w:r>
      </w:hyperlink>
    </w:p>
    <w:p w14:paraId="554D0B63" w14:textId="77777777" w:rsidR="002F6BB4" w:rsidRDefault="00D46D13">
      <w:pPr>
        <w:pStyle w:val="TOC2"/>
        <w:tabs>
          <w:tab w:val="left" w:pos="880"/>
        </w:tabs>
        <w:rPr>
          <w:rFonts w:asciiTheme="minorHAnsi" w:eastAsiaTheme="minorEastAsia" w:hAnsiTheme="minorHAnsi"/>
          <w:lang w:eastAsia="en-AU"/>
        </w:rPr>
      </w:pPr>
      <w:hyperlink w:anchor="_Toc487460808" w:history="1">
        <w:r w:rsidR="002F6BB4" w:rsidRPr="00141445">
          <w:rPr>
            <w:rStyle w:val="Hyperlink"/>
          </w:rPr>
          <w:t>1</w:t>
        </w:r>
        <w:r w:rsidR="002F6BB4">
          <w:rPr>
            <w:rFonts w:asciiTheme="minorHAnsi" w:eastAsiaTheme="minorEastAsia" w:hAnsiTheme="minorHAnsi"/>
            <w:lang w:eastAsia="en-AU"/>
          </w:rPr>
          <w:tab/>
        </w:r>
        <w:r w:rsidR="002F6BB4" w:rsidRPr="00141445">
          <w:rPr>
            <w:rStyle w:val="Hyperlink"/>
          </w:rPr>
          <w:t>Overarching document requirements</w:t>
        </w:r>
        <w:r w:rsidR="002F6BB4">
          <w:rPr>
            <w:webHidden/>
          </w:rPr>
          <w:tab/>
        </w:r>
        <w:r w:rsidR="002F6BB4">
          <w:rPr>
            <w:webHidden/>
          </w:rPr>
          <w:fldChar w:fldCharType="begin"/>
        </w:r>
        <w:r w:rsidR="002F6BB4">
          <w:rPr>
            <w:webHidden/>
          </w:rPr>
          <w:instrText xml:space="preserve"> PAGEREF _Toc487460808 \h </w:instrText>
        </w:r>
        <w:r w:rsidR="002F6BB4">
          <w:rPr>
            <w:webHidden/>
          </w:rPr>
        </w:r>
        <w:r w:rsidR="002F6BB4">
          <w:rPr>
            <w:webHidden/>
          </w:rPr>
          <w:fldChar w:fldCharType="separate"/>
        </w:r>
        <w:r w:rsidR="009B43EB">
          <w:rPr>
            <w:webHidden/>
          </w:rPr>
          <w:t>7</w:t>
        </w:r>
        <w:r w:rsidR="002F6BB4">
          <w:rPr>
            <w:webHidden/>
          </w:rPr>
          <w:fldChar w:fldCharType="end"/>
        </w:r>
      </w:hyperlink>
    </w:p>
    <w:p w14:paraId="07BAC24A" w14:textId="77777777" w:rsidR="002F6BB4" w:rsidRDefault="00D46D13">
      <w:pPr>
        <w:pStyle w:val="TOC2"/>
        <w:tabs>
          <w:tab w:val="left" w:pos="880"/>
        </w:tabs>
        <w:rPr>
          <w:rFonts w:asciiTheme="minorHAnsi" w:eastAsiaTheme="minorEastAsia" w:hAnsiTheme="minorHAnsi"/>
          <w:lang w:eastAsia="en-AU"/>
        </w:rPr>
      </w:pPr>
      <w:hyperlink w:anchor="_Toc487460809" w:history="1">
        <w:r w:rsidR="002F6BB4" w:rsidRPr="00141445">
          <w:rPr>
            <w:rStyle w:val="Hyperlink"/>
          </w:rPr>
          <w:t>2</w:t>
        </w:r>
        <w:r w:rsidR="002F6BB4">
          <w:rPr>
            <w:rFonts w:asciiTheme="minorHAnsi" w:eastAsiaTheme="minorEastAsia" w:hAnsiTheme="minorHAnsi"/>
            <w:lang w:eastAsia="en-AU"/>
          </w:rPr>
          <w:tab/>
        </w:r>
        <w:r w:rsidR="002F6BB4" w:rsidRPr="00141445">
          <w:rPr>
            <w:rStyle w:val="Hyperlink"/>
          </w:rPr>
          <w:t>Document format requirements</w:t>
        </w:r>
        <w:r w:rsidR="002F6BB4">
          <w:rPr>
            <w:webHidden/>
          </w:rPr>
          <w:tab/>
        </w:r>
        <w:r w:rsidR="002F6BB4">
          <w:rPr>
            <w:webHidden/>
          </w:rPr>
          <w:fldChar w:fldCharType="begin"/>
        </w:r>
        <w:r w:rsidR="002F6BB4">
          <w:rPr>
            <w:webHidden/>
          </w:rPr>
          <w:instrText xml:space="preserve"> PAGEREF _Toc487460809 \h </w:instrText>
        </w:r>
        <w:r w:rsidR="002F6BB4">
          <w:rPr>
            <w:webHidden/>
          </w:rPr>
        </w:r>
        <w:r w:rsidR="002F6BB4">
          <w:rPr>
            <w:webHidden/>
          </w:rPr>
          <w:fldChar w:fldCharType="separate"/>
        </w:r>
        <w:r w:rsidR="009B43EB">
          <w:rPr>
            <w:webHidden/>
          </w:rPr>
          <w:t>9</w:t>
        </w:r>
        <w:r w:rsidR="002F6BB4">
          <w:rPr>
            <w:webHidden/>
          </w:rPr>
          <w:fldChar w:fldCharType="end"/>
        </w:r>
      </w:hyperlink>
    </w:p>
    <w:p w14:paraId="22BC44E3" w14:textId="77777777" w:rsidR="002F6BB4" w:rsidRDefault="00D46D13">
      <w:pPr>
        <w:pStyle w:val="TOC2"/>
        <w:tabs>
          <w:tab w:val="left" w:pos="880"/>
        </w:tabs>
        <w:rPr>
          <w:rFonts w:asciiTheme="minorHAnsi" w:eastAsiaTheme="minorEastAsia" w:hAnsiTheme="minorHAnsi"/>
          <w:lang w:eastAsia="en-AU"/>
        </w:rPr>
      </w:pPr>
      <w:hyperlink w:anchor="_Toc487460810" w:history="1">
        <w:r w:rsidR="002F6BB4" w:rsidRPr="00141445">
          <w:rPr>
            <w:rStyle w:val="Hyperlink"/>
          </w:rPr>
          <w:t>3</w:t>
        </w:r>
        <w:r w:rsidR="002F6BB4">
          <w:rPr>
            <w:rFonts w:asciiTheme="minorHAnsi" w:eastAsiaTheme="minorEastAsia" w:hAnsiTheme="minorHAnsi"/>
            <w:lang w:eastAsia="en-AU"/>
          </w:rPr>
          <w:tab/>
        </w:r>
        <w:r w:rsidR="002F6BB4" w:rsidRPr="00141445">
          <w:rPr>
            <w:rStyle w:val="Hyperlink"/>
          </w:rPr>
          <w:t>Original documents and certificates or certified copies</w:t>
        </w:r>
        <w:r w:rsidR="002F6BB4">
          <w:rPr>
            <w:webHidden/>
          </w:rPr>
          <w:tab/>
        </w:r>
        <w:r w:rsidR="002F6BB4">
          <w:rPr>
            <w:webHidden/>
          </w:rPr>
          <w:fldChar w:fldCharType="begin"/>
        </w:r>
        <w:r w:rsidR="002F6BB4">
          <w:rPr>
            <w:webHidden/>
          </w:rPr>
          <w:instrText xml:space="preserve"> PAGEREF _Toc487460810 \h </w:instrText>
        </w:r>
        <w:r w:rsidR="002F6BB4">
          <w:rPr>
            <w:webHidden/>
          </w:rPr>
        </w:r>
        <w:r w:rsidR="002F6BB4">
          <w:rPr>
            <w:webHidden/>
          </w:rPr>
          <w:fldChar w:fldCharType="separate"/>
        </w:r>
        <w:r w:rsidR="009B43EB">
          <w:rPr>
            <w:webHidden/>
          </w:rPr>
          <w:t>10</w:t>
        </w:r>
        <w:r w:rsidR="002F6BB4">
          <w:rPr>
            <w:webHidden/>
          </w:rPr>
          <w:fldChar w:fldCharType="end"/>
        </w:r>
      </w:hyperlink>
    </w:p>
    <w:p w14:paraId="2BAB6E31" w14:textId="77777777" w:rsidR="002F6BB4" w:rsidRDefault="00D46D13">
      <w:pPr>
        <w:pStyle w:val="TOC2"/>
        <w:tabs>
          <w:tab w:val="left" w:pos="880"/>
        </w:tabs>
        <w:rPr>
          <w:rFonts w:asciiTheme="minorHAnsi" w:eastAsiaTheme="minorEastAsia" w:hAnsiTheme="minorHAnsi"/>
          <w:lang w:eastAsia="en-AU"/>
        </w:rPr>
      </w:pPr>
      <w:hyperlink w:anchor="_Toc487460811" w:history="1">
        <w:r w:rsidR="002F6BB4" w:rsidRPr="00141445">
          <w:rPr>
            <w:rStyle w:val="Hyperlink"/>
          </w:rPr>
          <w:t>4</w:t>
        </w:r>
        <w:r w:rsidR="002F6BB4">
          <w:rPr>
            <w:rFonts w:asciiTheme="minorHAnsi" w:eastAsiaTheme="minorEastAsia" w:hAnsiTheme="minorHAnsi"/>
            <w:lang w:eastAsia="en-AU"/>
          </w:rPr>
          <w:tab/>
        </w:r>
        <w:r w:rsidR="002F6BB4" w:rsidRPr="00141445">
          <w:rPr>
            <w:rStyle w:val="Hyperlink"/>
          </w:rPr>
          <w:t>Consignment-specific documentation</w:t>
        </w:r>
        <w:r w:rsidR="002F6BB4">
          <w:rPr>
            <w:webHidden/>
          </w:rPr>
          <w:tab/>
        </w:r>
        <w:r w:rsidR="002F6BB4">
          <w:rPr>
            <w:webHidden/>
          </w:rPr>
          <w:fldChar w:fldCharType="begin"/>
        </w:r>
        <w:r w:rsidR="002F6BB4">
          <w:rPr>
            <w:webHidden/>
          </w:rPr>
          <w:instrText xml:space="preserve"> PAGEREF _Toc487460811 \h </w:instrText>
        </w:r>
        <w:r w:rsidR="002F6BB4">
          <w:rPr>
            <w:webHidden/>
          </w:rPr>
        </w:r>
        <w:r w:rsidR="002F6BB4">
          <w:rPr>
            <w:webHidden/>
          </w:rPr>
          <w:fldChar w:fldCharType="separate"/>
        </w:r>
        <w:r w:rsidR="009B43EB">
          <w:rPr>
            <w:webHidden/>
          </w:rPr>
          <w:t>10</w:t>
        </w:r>
        <w:r w:rsidR="002F6BB4">
          <w:rPr>
            <w:webHidden/>
          </w:rPr>
          <w:fldChar w:fldCharType="end"/>
        </w:r>
      </w:hyperlink>
    </w:p>
    <w:p w14:paraId="6AAF0A57" w14:textId="77777777" w:rsidR="002F6BB4" w:rsidRDefault="00D46D13">
      <w:pPr>
        <w:pStyle w:val="TOC2"/>
        <w:tabs>
          <w:tab w:val="left" w:pos="880"/>
        </w:tabs>
        <w:rPr>
          <w:rFonts w:asciiTheme="minorHAnsi" w:eastAsiaTheme="minorEastAsia" w:hAnsiTheme="minorHAnsi"/>
          <w:lang w:eastAsia="en-AU"/>
        </w:rPr>
      </w:pPr>
      <w:hyperlink w:anchor="_Toc487460812" w:history="1">
        <w:r w:rsidR="002F6BB4" w:rsidRPr="00141445">
          <w:rPr>
            <w:rStyle w:val="Hyperlink"/>
          </w:rPr>
          <w:t>5</w:t>
        </w:r>
        <w:r w:rsidR="002F6BB4">
          <w:rPr>
            <w:rFonts w:asciiTheme="minorHAnsi" w:eastAsiaTheme="minorEastAsia" w:hAnsiTheme="minorHAnsi"/>
            <w:lang w:eastAsia="en-AU"/>
          </w:rPr>
          <w:tab/>
        </w:r>
        <w:r w:rsidR="002F6BB4" w:rsidRPr="00141445">
          <w:rPr>
            <w:rStyle w:val="Hyperlink"/>
          </w:rPr>
          <w:t>Imported food inspection scheme documents</w:t>
        </w:r>
        <w:r w:rsidR="002F6BB4">
          <w:rPr>
            <w:webHidden/>
          </w:rPr>
          <w:tab/>
        </w:r>
        <w:r w:rsidR="002F6BB4">
          <w:rPr>
            <w:webHidden/>
          </w:rPr>
          <w:fldChar w:fldCharType="begin"/>
        </w:r>
        <w:r w:rsidR="002F6BB4">
          <w:rPr>
            <w:webHidden/>
          </w:rPr>
          <w:instrText xml:space="preserve"> PAGEREF _Toc487460812 \h </w:instrText>
        </w:r>
        <w:r w:rsidR="002F6BB4">
          <w:rPr>
            <w:webHidden/>
          </w:rPr>
        </w:r>
        <w:r w:rsidR="002F6BB4">
          <w:rPr>
            <w:webHidden/>
          </w:rPr>
          <w:fldChar w:fldCharType="separate"/>
        </w:r>
        <w:r w:rsidR="009B43EB">
          <w:rPr>
            <w:webHidden/>
          </w:rPr>
          <w:t>19</w:t>
        </w:r>
        <w:r w:rsidR="002F6BB4">
          <w:rPr>
            <w:webHidden/>
          </w:rPr>
          <w:fldChar w:fldCharType="end"/>
        </w:r>
      </w:hyperlink>
    </w:p>
    <w:p w14:paraId="582CA2D1" w14:textId="77777777" w:rsidR="002F6BB4" w:rsidRDefault="00D46D13">
      <w:pPr>
        <w:pStyle w:val="TOC2"/>
        <w:tabs>
          <w:tab w:val="left" w:pos="880"/>
        </w:tabs>
        <w:rPr>
          <w:rFonts w:asciiTheme="minorHAnsi" w:eastAsiaTheme="minorEastAsia" w:hAnsiTheme="minorHAnsi"/>
          <w:lang w:eastAsia="en-AU"/>
        </w:rPr>
      </w:pPr>
      <w:hyperlink w:anchor="_Toc487460813" w:history="1">
        <w:r w:rsidR="002F6BB4" w:rsidRPr="00141445">
          <w:rPr>
            <w:rStyle w:val="Hyperlink"/>
          </w:rPr>
          <w:t>6</w:t>
        </w:r>
        <w:r w:rsidR="002F6BB4">
          <w:rPr>
            <w:rFonts w:asciiTheme="minorHAnsi" w:eastAsiaTheme="minorEastAsia" w:hAnsiTheme="minorHAnsi"/>
            <w:lang w:eastAsia="en-AU"/>
          </w:rPr>
          <w:tab/>
        </w:r>
        <w:r w:rsidR="002F6BB4" w:rsidRPr="00141445">
          <w:rPr>
            <w:rStyle w:val="Hyperlink"/>
          </w:rPr>
          <w:t>Overarching Import declaration requirements</w:t>
        </w:r>
        <w:r w:rsidR="002F6BB4">
          <w:rPr>
            <w:webHidden/>
          </w:rPr>
          <w:tab/>
        </w:r>
        <w:r w:rsidR="002F6BB4">
          <w:rPr>
            <w:webHidden/>
          </w:rPr>
          <w:fldChar w:fldCharType="begin"/>
        </w:r>
        <w:r w:rsidR="002F6BB4">
          <w:rPr>
            <w:webHidden/>
          </w:rPr>
          <w:instrText xml:space="preserve"> PAGEREF _Toc487460813 \h </w:instrText>
        </w:r>
        <w:r w:rsidR="002F6BB4">
          <w:rPr>
            <w:webHidden/>
          </w:rPr>
        </w:r>
        <w:r w:rsidR="002F6BB4">
          <w:rPr>
            <w:webHidden/>
          </w:rPr>
          <w:fldChar w:fldCharType="separate"/>
        </w:r>
        <w:r w:rsidR="009B43EB">
          <w:rPr>
            <w:webHidden/>
          </w:rPr>
          <w:t>20</w:t>
        </w:r>
        <w:r w:rsidR="002F6BB4">
          <w:rPr>
            <w:webHidden/>
          </w:rPr>
          <w:fldChar w:fldCharType="end"/>
        </w:r>
      </w:hyperlink>
    </w:p>
    <w:p w14:paraId="436F0564" w14:textId="77777777" w:rsidR="002F6BB4" w:rsidRDefault="00D46D13">
      <w:pPr>
        <w:pStyle w:val="TOC2"/>
        <w:tabs>
          <w:tab w:val="left" w:pos="880"/>
        </w:tabs>
        <w:rPr>
          <w:rFonts w:asciiTheme="minorHAnsi" w:eastAsiaTheme="minorEastAsia" w:hAnsiTheme="minorHAnsi"/>
          <w:lang w:eastAsia="en-AU"/>
        </w:rPr>
      </w:pPr>
      <w:hyperlink w:anchor="_Toc487460814" w:history="1">
        <w:r w:rsidR="002F6BB4" w:rsidRPr="00141445">
          <w:rPr>
            <w:rStyle w:val="Hyperlink"/>
          </w:rPr>
          <w:t>7</w:t>
        </w:r>
        <w:r w:rsidR="002F6BB4">
          <w:rPr>
            <w:rFonts w:asciiTheme="minorHAnsi" w:eastAsiaTheme="minorEastAsia" w:hAnsiTheme="minorHAnsi"/>
            <w:lang w:eastAsia="en-AU"/>
          </w:rPr>
          <w:tab/>
        </w:r>
        <w:r w:rsidR="002F6BB4" w:rsidRPr="00141445">
          <w:rPr>
            <w:rStyle w:val="Hyperlink"/>
          </w:rPr>
          <w:t>Broker Approved Arrangement import declaration requirements</w:t>
        </w:r>
        <w:r w:rsidR="002F6BB4">
          <w:rPr>
            <w:webHidden/>
          </w:rPr>
          <w:tab/>
        </w:r>
        <w:r w:rsidR="002F6BB4">
          <w:rPr>
            <w:webHidden/>
          </w:rPr>
          <w:fldChar w:fldCharType="begin"/>
        </w:r>
        <w:r w:rsidR="002F6BB4">
          <w:rPr>
            <w:webHidden/>
          </w:rPr>
          <w:instrText xml:space="preserve"> PAGEREF _Toc487460814 \h </w:instrText>
        </w:r>
        <w:r w:rsidR="002F6BB4">
          <w:rPr>
            <w:webHidden/>
          </w:rPr>
        </w:r>
        <w:r w:rsidR="002F6BB4">
          <w:rPr>
            <w:webHidden/>
          </w:rPr>
          <w:fldChar w:fldCharType="separate"/>
        </w:r>
        <w:r w:rsidR="009B43EB">
          <w:rPr>
            <w:webHidden/>
          </w:rPr>
          <w:t>22</w:t>
        </w:r>
        <w:r w:rsidR="002F6BB4">
          <w:rPr>
            <w:webHidden/>
          </w:rPr>
          <w:fldChar w:fldCharType="end"/>
        </w:r>
      </w:hyperlink>
    </w:p>
    <w:p w14:paraId="152EA286" w14:textId="77777777" w:rsidR="002F6BB4" w:rsidRDefault="00D46D13">
      <w:pPr>
        <w:pStyle w:val="TOC2"/>
        <w:tabs>
          <w:tab w:val="left" w:pos="880"/>
        </w:tabs>
        <w:rPr>
          <w:rFonts w:asciiTheme="minorHAnsi" w:eastAsiaTheme="minorEastAsia" w:hAnsiTheme="minorHAnsi"/>
          <w:lang w:eastAsia="en-AU"/>
        </w:rPr>
      </w:pPr>
      <w:hyperlink w:anchor="_Toc487460815" w:history="1">
        <w:r w:rsidR="002F6BB4" w:rsidRPr="00141445">
          <w:rPr>
            <w:rStyle w:val="Hyperlink"/>
          </w:rPr>
          <w:t>8</w:t>
        </w:r>
        <w:r w:rsidR="002F6BB4">
          <w:rPr>
            <w:rFonts w:asciiTheme="minorHAnsi" w:eastAsiaTheme="minorEastAsia" w:hAnsiTheme="minorHAnsi"/>
            <w:lang w:eastAsia="en-AU"/>
          </w:rPr>
          <w:tab/>
        </w:r>
        <w:r w:rsidR="002F6BB4" w:rsidRPr="00141445">
          <w:rPr>
            <w:rStyle w:val="Hyperlink"/>
          </w:rPr>
          <w:t>Imported Food Inspection Scheme (IFIS) import declaration requirements</w:t>
        </w:r>
        <w:r w:rsidR="002F6BB4">
          <w:rPr>
            <w:webHidden/>
          </w:rPr>
          <w:tab/>
        </w:r>
        <w:r w:rsidR="002F6BB4">
          <w:rPr>
            <w:webHidden/>
          </w:rPr>
          <w:fldChar w:fldCharType="begin"/>
        </w:r>
        <w:r w:rsidR="002F6BB4">
          <w:rPr>
            <w:webHidden/>
          </w:rPr>
          <w:instrText xml:space="preserve"> PAGEREF _Toc487460815 \h </w:instrText>
        </w:r>
        <w:r w:rsidR="002F6BB4">
          <w:rPr>
            <w:webHidden/>
          </w:rPr>
        </w:r>
        <w:r w:rsidR="002F6BB4">
          <w:rPr>
            <w:webHidden/>
          </w:rPr>
          <w:fldChar w:fldCharType="separate"/>
        </w:r>
        <w:r w:rsidR="009B43EB">
          <w:rPr>
            <w:webHidden/>
          </w:rPr>
          <w:t>22</w:t>
        </w:r>
        <w:r w:rsidR="002F6BB4">
          <w:rPr>
            <w:webHidden/>
          </w:rPr>
          <w:fldChar w:fldCharType="end"/>
        </w:r>
      </w:hyperlink>
    </w:p>
    <w:p w14:paraId="391DB650" w14:textId="77777777" w:rsidR="002F6BB4" w:rsidRDefault="00D46D13">
      <w:pPr>
        <w:pStyle w:val="TOC2"/>
        <w:tabs>
          <w:tab w:val="left" w:pos="880"/>
        </w:tabs>
        <w:rPr>
          <w:rFonts w:asciiTheme="minorHAnsi" w:eastAsiaTheme="minorEastAsia" w:hAnsiTheme="minorHAnsi"/>
          <w:lang w:eastAsia="en-AU"/>
        </w:rPr>
      </w:pPr>
      <w:hyperlink w:anchor="_Toc487460816" w:history="1">
        <w:r w:rsidR="002F6BB4" w:rsidRPr="00141445">
          <w:rPr>
            <w:rStyle w:val="Hyperlink"/>
          </w:rPr>
          <w:t>9</w:t>
        </w:r>
        <w:r w:rsidR="002F6BB4">
          <w:rPr>
            <w:rFonts w:asciiTheme="minorHAnsi" w:eastAsiaTheme="minorEastAsia" w:hAnsiTheme="minorHAnsi"/>
            <w:lang w:eastAsia="en-AU"/>
          </w:rPr>
          <w:tab/>
        </w:r>
        <w:r w:rsidR="002F6BB4" w:rsidRPr="00141445">
          <w:rPr>
            <w:rStyle w:val="Hyperlink"/>
          </w:rPr>
          <w:t>Other considerations</w:t>
        </w:r>
        <w:r w:rsidR="002F6BB4">
          <w:rPr>
            <w:webHidden/>
          </w:rPr>
          <w:tab/>
        </w:r>
        <w:r w:rsidR="002F6BB4">
          <w:rPr>
            <w:webHidden/>
          </w:rPr>
          <w:fldChar w:fldCharType="begin"/>
        </w:r>
        <w:r w:rsidR="002F6BB4">
          <w:rPr>
            <w:webHidden/>
          </w:rPr>
          <w:instrText xml:space="preserve"> PAGEREF _Toc487460816 \h </w:instrText>
        </w:r>
        <w:r w:rsidR="002F6BB4">
          <w:rPr>
            <w:webHidden/>
          </w:rPr>
        </w:r>
        <w:r w:rsidR="002F6BB4">
          <w:rPr>
            <w:webHidden/>
          </w:rPr>
          <w:fldChar w:fldCharType="separate"/>
        </w:r>
        <w:r w:rsidR="009B43EB">
          <w:rPr>
            <w:webHidden/>
          </w:rPr>
          <w:t>23</w:t>
        </w:r>
        <w:r w:rsidR="002F6BB4">
          <w:rPr>
            <w:webHidden/>
          </w:rPr>
          <w:fldChar w:fldCharType="end"/>
        </w:r>
      </w:hyperlink>
    </w:p>
    <w:p w14:paraId="43E7E76A" w14:textId="77777777" w:rsidR="002F6BB4" w:rsidRDefault="00D46D13">
      <w:pPr>
        <w:pStyle w:val="TOC2"/>
        <w:tabs>
          <w:tab w:val="left" w:pos="1100"/>
        </w:tabs>
        <w:rPr>
          <w:rFonts w:asciiTheme="minorHAnsi" w:eastAsiaTheme="minorEastAsia" w:hAnsiTheme="minorHAnsi"/>
          <w:lang w:eastAsia="en-AU"/>
        </w:rPr>
      </w:pPr>
      <w:hyperlink w:anchor="_Toc487460817" w:history="1">
        <w:r w:rsidR="002F6BB4" w:rsidRPr="00141445">
          <w:rPr>
            <w:rStyle w:val="Hyperlink"/>
          </w:rPr>
          <w:t>10</w:t>
        </w:r>
        <w:r w:rsidR="002F6BB4">
          <w:rPr>
            <w:rFonts w:asciiTheme="minorHAnsi" w:eastAsiaTheme="minorEastAsia" w:hAnsiTheme="minorHAnsi"/>
            <w:lang w:eastAsia="en-AU"/>
          </w:rPr>
          <w:tab/>
        </w:r>
        <w:r w:rsidR="002F6BB4" w:rsidRPr="00141445">
          <w:rPr>
            <w:rStyle w:val="Hyperlink"/>
          </w:rPr>
          <w:t>Related documents/information</w:t>
        </w:r>
        <w:r w:rsidR="002F6BB4">
          <w:rPr>
            <w:webHidden/>
          </w:rPr>
          <w:tab/>
        </w:r>
        <w:r w:rsidR="002F6BB4">
          <w:rPr>
            <w:webHidden/>
          </w:rPr>
          <w:fldChar w:fldCharType="begin"/>
        </w:r>
        <w:r w:rsidR="002F6BB4">
          <w:rPr>
            <w:webHidden/>
          </w:rPr>
          <w:instrText xml:space="preserve"> PAGEREF _Toc487460817 \h </w:instrText>
        </w:r>
        <w:r w:rsidR="002F6BB4">
          <w:rPr>
            <w:webHidden/>
          </w:rPr>
        </w:r>
        <w:r w:rsidR="002F6BB4">
          <w:rPr>
            <w:webHidden/>
          </w:rPr>
          <w:fldChar w:fldCharType="separate"/>
        </w:r>
        <w:r w:rsidR="009B43EB">
          <w:rPr>
            <w:webHidden/>
          </w:rPr>
          <w:t>24</w:t>
        </w:r>
        <w:r w:rsidR="002F6BB4">
          <w:rPr>
            <w:webHidden/>
          </w:rPr>
          <w:fldChar w:fldCharType="end"/>
        </w:r>
      </w:hyperlink>
    </w:p>
    <w:p w14:paraId="7CF400D0" w14:textId="77777777" w:rsidR="0025079F" w:rsidRDefault="000265C6" w:rsidP="0025079F">
      <w:pPr>
        <w:pStyle w:val="Author"/>
      </w:pPr>
      <w:r>
        <w:rPr>
          <w:noProof/>
          <w:sz w:val="22"/>
          <w:szCs w:val="24"/>
        </w:rPr>
        <w:fldChar w:fldCharType="end"/>
      </w:r>
    </w:p>
    <w:p w14:paraId="37D018E2" w14:textId="77777777" w:rsidR="00AB4336" w:rsidRDefault="00AB4336" w:rsidP="00CC29B4">
      <w:pPr>
        <w:pStyle w:val="Heading2"/>
        <w:sectPr w:rsidR="00AB4336" w:rsidSect="00D4458C">
          <w:headerReference w:type="default" r:id="rId17"/>
          <w:footerReference w:type="default" r:id="rId18"/>
          <w:headerReference w:type="first" r:id="rId19"/>
          <w:pgSz w:w="11906" w:h="16838"/>
          <w:pgMar w:top="1418" w:right="1418" w:bottom="1418" w:left="1418" w:header="567" w:footer="283" w:gutter="0"/>
          <w:pgNumType w:fmt="lowerRoman" w:start="1"/>
          <w:cols w:space="708"/>
          <w:titlePg/>
          <w:docGrid w:linePitch="360"/>
        </w:sectPr>
      </w:pPr>
    </w:p>
    <w:p w14:paraId="4557708A" w14:textId="77777777" w:rsidR="00DB16B2" w:rsidRDefault="00DB16B2" w:rsidP="00CC29B4">
      <w:pPr>
        <w:pStyle w:val="Heading2"/>
      </w:pPr>
      <w:bookmarkStart w:id="0" w:name="_Toc487460805"/>
      <w:r w:rsidRPr="00050D60">
        <w:lastRenderedPageBreak/>
        <w:t>Introduction</w:t>
      </w:r>
      <w:bookmarkEnd w:id="0"/>
    </w:p>
    <w:p w14:paraId="46854130" w14:textId="77777777" w:rsidR="00CC29B4" w:rsidRPr="00CC29B4" w:rsidRDefault="00CC29B4" w:rsidP="00205FE8">
      <w:pPr>
        <w:pStyle w:val="Heading3unnumbered"/>
      </w:pPr>
      <w:r>
        <w:t>Purp</w:t>
      </w:r>
      <w:bookmarkStart w:id="1" w:name="_GoBack"/>
      <w:bookmarkEnd w:id="1"/>
      <w:r>
        <w:t>ose</w:t>
      </w:r>
    </w:p>
    <w:p w14:paraId="0122AD3A" w14:textId="1A881BB6" w:rsidR="00CC29B4" w:rsidRDefault="00A41B4A" w:rsidP="00CC29B4">
      <w:r>
        <w:t>T</w:t>
      </w:r>
      <w:r w:rsidR="00CC29B4" w:rsidRPr="00CC29B4">
        <w:t>his document define</w:t>
      </w:r>
      <w:r>
        <w:t>s</w:t>
      </w:r>
      <w:r w:rsidR="00CC29B4" w:rsidRPr="00CC29B4">
        <w:t xml:space="preserve"> the minimum documentary and </w:t>
      </w:r>
      <w:r w:rsidR="000E3233">
        <w:t xml:space="preserve">import </w:t>
      </w:r>
      <w:r w:rsidR="00CC29B4" w:rsidRPr="00CC29B4">
        <w:t xml:space="preserve">declaration requirements that must be met when lodging a declaration to </w:t>
      </w:r>
      <w:r>
        <w:t>t</w:t>
      </w:r>
      <w:r w:rsidR="00CC29B4" w:rsidRPr="00CC29B4">
        <w:t xml:space="preserve">he Department of Agriculture </w:t>
      </w:r>
      <w:r w:rsidR="00907A63">
        <w:t xml:space="preserve">and Water Resources </w:t>
      </w:r>
      <w:r w:rsidR="00CC29B4" w:rsidRPr="00CC29B4">
        <w:t xml:space="preserve">to support risk assessment of imported </w:t>
      </w:r>
      <w:r w:rsidR="00C923D9">
        <w:t>goods,</w:t>
      </w:r>
      <w:r w:rsidR="00CC29B4" w:rsidRPr="00CC29B4">
        <w:t xml:space="preserve"> whether for biosecurity purpose or the Imported Food Inspection Scheme.</w:t>
      </w:r>
    </w:p>
    <w:p w14:paraId="2A5C34EE" w14:textId="77777777" w:rsidR="00CC29B4" w:rsidRDefault="00CC29B4" w:rsidP="00205FE8">
      <w:pPr>
        <w:pStyle w:val="Heading3unnumbered"/>
      </w:pPr>
      <w:r>
        <w:t>Background</w:t>
      </w:r>
    </w:p>
    <w:p w14:paraId="2E676468" w14:textId="77777777" w:rsidR="00CC29B4" w:rsidRDefault="00CC29B4" w:rsidP="00CC29B4">
      <w:r>
        <w:t>The department uses a range of measures to assess the biosecurity risk posed by imported goods and to administer the Imported Food Inspection Scheme. A key measure is the assessment of declarations, documentation and certification that accompanies imported goods. This documentation and certification comes from a range of government and commercial sources and in some instances is issued by the department.</w:t>
      </w:r>
    </w:p>
    <w:p w14:paraId="4F83B5DF" w14:textId="18BAC9AC" w:rsidR="00CC29B4" w:rsidRDefault="00CC29B4" w:rsidP="00CC29B4">
      <w:r>
        <w:t>Imported goods may be released or directed for subsequent action based on</w:t>
      </w:r>
      <w:r w:rsidR="00830851">
        <w:t xml:space="preserve"> a biosecurity officer’s</w:t>
      </w:r>
      <w:r>
        <w:t xml:space="preserve"> assessment of documentation and the information in an import declaration. Customs brokers, operating under a</w:t>
      </w:r>
      <w:r w:rsidR="00C923D9">
        <w:t xml:space="preserve">n </w:t>
      </w:r>
      <w:r w:rsidR="001B08A3">
        <w:t>A</w:t>
      </w:r>
      <w:r w:rsidR="00C923D9">
        <w:t xml:space="preserve">pproved </w:t>
      </w:r>
      <w:r w:rsidR="001B08A3">
        <w:t>A</w:t>
      </w:r>
      <w:r w:rsidR="00C923D9">
        <w:t>rrangement</w:t>
      </w:r>
      <w:r>
        <w:t xml:space="preserve"> with the department, also release </w:t>
      </w:r>
      <w:r w:rsidR="00A41B4A">
        <w:t xml:space="preserve">goods </w:t>
      </w:r>
      <w:r>
        <w:t xml:space="preserve">or direct </w:t>
      </w:r>
      <w:r w:rsidR="00A41B4A">
        <w:t xml:space="preserve">them </w:t>
      </w:r>
      <w:r>
        <w:t>for subsequent action based on the documenta</w:t>
      </w:r>
      <w:r w:rsidR="00A41B4A">
        <w:t>tion</w:t>
      </w:r>
      <w:r>
        <w:t xml:space="preserve"> available to them.</w:t>
      </w:r>
    </w:p>
    <w:p w14:paraId="0AE5042B" w14:textId="77777777" w:rsidR="00CC29B4" w:rsidRDefault="00CC29B4" w:rsidP="00CC29B4">
      <w:r>
        <w:t>For the Imported Food Inspection Scheme, additional documents are required to identify the goods that require inspection, to determine the amount of samples that may be required for analytical testing and to nominate a laboratory to test the samples.</w:t>
      </w:r>
    </w:p>
    <w:p w14:paraId="0EDDA0D1" w14:textId="77777777" w:rsidR="00CC29B4" w:rsidRDefault="00CC29B4" w:rsidP="00CC29B4">
      <w:r>
        <w:t>This policy ensures a consistent approach to assessing documentation and import declarations presented to the department.</w:t>
      </w:r>
    </w:p>
    <w:p w14:paraId="676F386E" w14:textId="6006B587" w:rsidR="00CC29B4" w:rsidRDefault="00CC29B4" w:rsidP="00CC29B4">
      <w:r>
        <w:t xml:space="preserve">This document refers to AQIS where AQIS remains current in IT systems and </w:t>
      </w:r>
      <w:r w:rsidR="00922994">
        <w:t>approved arrangements</w:t>
      </w:r>
      <w:r>
        <w:t>.</w:t>
      </w:r>
    </w:p>
    <w:p w14:paraId="30D4D13E" w14:textId="77777777" w:rsidR="00CC29B4" w:rsidRDefault="00CC29B4" w:rsidP="00205FE8">
      <w:pPr>
        <w:pStyle w:val="Heading3unnumbered"/>
      </w:pPr>
      <w:r>
        <w:t>Key outcomes</w:t>
      </w:r>
    </w:p>
    <w:p w14:paraId="6F6C05F9" w14:textId="77777777" w:rsidR="00CC29B4" w:rsidRDefault="00CC29B4" w:rsidP="00CC29B4">
      <w:r>
        <w:t>The key outcomes of this policy are to establish clear:</w:t>
      </w:r>
    </w:p>
    <w:p w14:paraId="1E2E021E" w14:textId="77777777" w:rsidR="00CC29B4" w:rsidRDefault="00CC29B4" w:rsidP="00CC29B4">
      <w:pPr>
        <w:pStyle w:val="ListBullet"/>
      </w:pPr>
      <w:r>
        <w:t xml:space="preserve">minimum requirements for determining </w:t>
      </w:r>
      <w:r w:rsidR="00132CB2">
        <w:t>whether</w:t>
      </w:r>
      <w:r>
        <w:t xml:space="preserve"> documents presented for assessment</w:t>
      </w:r>
      <w:r w:rsidR="00132CB2">
        <w:t xml:space="preserve"> are acceptable</w:t>
      </w:r>
    </w:p>
    <w:p w14:paraId="6613F8A9" w14:textId="77777777" w:rsidR="00CC29B4" w:rsidRDefault="00CC29B4" w:rsidP="00CC29B4">
      <w:pPr>
        <w:pStyle w:val="ListBullet"/>
      </w:pPr>
      <w:r>
        <w:t>parameters to determine whether documents presented for assessment are linked to a consignment</w:t>
      </w:r>
    </w:p>
    <w:p w14:paraId="27375B57" w14:textId="77777777" w:rsidR="00CC29B4" w:rsidRDefault="00CC29B4" w:rsidP="00CC29B4">
      <w:pPr>
        <w:pStyle w:val="ListBullet"/>
      </w:pPr>
      <w:r>
        <w:t>parameters to determine whether documents presented for assessment are linked to each other</w:t>
      </w:r>
    </w:p>
    <w:p w14:paraId="11B7DA52" w14:textId="77777777" w:rsidR="00CC29B4" w:rsidRDefault="00CC29B4" w:rsidP="00CC29B4">
      <w:pPr>
        <w:pStyle w:val="ListBullet"/>
      </w:pPr>
      <w:r>
        <w:t>parameters to determine the legitimacy of government certification presented for assessment</w:t>
      </w:r>
    </w:p>
    <w:p w14:paraId="553F3ABA" w14:textId="77777777" w:rsidR="00CC29B4" w:rsidRDefault="00CC29B4" w:rsidP="00CC29B4">
      <w:pPr>
        <w:pStyle w:val="ListBullet"/>
      </w:pPr>
      <w:proofErr w:type="gramStart"/>
      <w:r>
        <w:t>minimum</w:t>
      </w:r>
      <w:proofErr w:type="gramEnd"/>
      <w:r>
        <w:t xml:space="preserve"> requirements for import declarations lodged with the department.</w:t>
      </w:r>
    </w:p>
    <w:p w14:paraId="5056A3B3" w14:textId="77777777" w:rsidR="0051652B" w:rsidRDefault="0051652B" w:rsidP="0051652B">
      <w:pPr>
        <w:pStyle w:val="Heading2"/>
      </w:pPr>
      <w:bookmarkStart w:id="2" w:name="_Toc487460806"/>
      <w:r>
        <w:lastRenderedPageBreak/>
        <w:t>Definitions</w:t>
      </w:r>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6721"/>
      </w:tblGrid>
      <w:tr w:rsidR="00846F5E" w14:paraId="177816DE" w14:textId="77777777" w:rsidTr="002F6BB4">
        <w:tc>
          <w:tcPr>
            <w:tcW w:w="2349" w:type="dxa"/>
            <w:tcBorders>
              <w:top w:val="single" w:sz="4" w:space="0" w:color="auto"/>
            </w:tcBorders>
          </w:tcPr>
          <w:p w14:paraId="26D2ECB6" w14:textId="77777777" w:rsidR="00846F5E" w:rsidRDefault="00846F5E" w:rsidP="00275CA5">
            <w:pPr>
              <w:pStyle w:val="TableText"/>
            </w:pPr>
            <w:r>
              <w:t>Acceptable treatment provider</w:t>
            </w:r>
          </w:p>
        </w:tc>
        <w:tc>
          <w:tcPr>
            <w:tcW w:w="6721" w:type="dxa"/>
            <w:tcBorders>
              <w:top w:val="single" w:sz="4" w:space="0" w:color="auto"/>
            </w:tcBorders>
          </w:tcPr>
          <w:p w14:paraId="04CFBE10" w14:textId="05A78B34" w:rsidR="00846F5E" w:rsidRDefault="00846F5E" w:rsidP="00275CA5">
            <w:pPr>
              <w:pStyle w:val="TableText"/>
            </w:pPr>
            <w:r>
              <w:t>The department maintains lists of acceptable and unacceptable treatment providers by country on</w:t>
            </w:r>
            <w:r w:rsidR="003C63D5">
              <w:t xml:space="preserve"> </w:t>
            </w:r>
            <w:hyperlink r:id="rId20" w:history="1">
              <w:r w:rsidR="003C63D5" w:rsidRPr="003C63D5">
                <w:rPr>
                  <w:rStyle w:val="Hyperlink"/>
                </w:rPr>
                <w:t xml:space="preserve">the </w:t>
              </w:r>
              <w:proofErr w:type="gramStart"/>
              <w:r w:rsidR="003C63D5" w:rsidRPr="003C63D5">
                <w:rPr>
                  <w:rStyle w:val="Hyperlink"/>
                </w:rPr>
                <w:t>departments</w:t>
              </w:r>
              <w:proofErr w:type="gramEnd"/>
              <w:r w:rsidR="003C63D5" w:rsidRPr="003C63D5">
                <w:rPr>
                  <w:rStyle w:val="Hyperlink"/>
                </w:rPr>
                <w:t xml:space="preserve"> website</w:t>
              </w:r>
            </w:hyperlink>
            <w:r w:rsidR="003C63D5">
              <w:t>.</w:t>
            </w:r>
            <w:r>
              <w:t xml:space="preserve"> </w:t>
            </w:r>
          </w:p>
          <w:p w14:paraId="30BB2B47" w14:textId="77777777" w:rsidR="00846F5E" w:rsidRDefault="00846F5E" w:rsidP="00275CA5">
            <w:pPr>
              <w:pStyle w:val="TableText"/>
            </w:pPr>
            <w:r>
              <w:t>Some offshore treatments can only be performed by treatment providers registered under recognised overseas government program</w:t>
            </w:r>
            <w:r w:rsidR="004F7A22">
              <w:t>me</w:t>
            </w:r>
            <w:r>
              <w:t xml:space="preserve">s. This is identified in the treatment options listed in the applicable </w:t>
            </w:r>
            <w:r w:rsidR="00CF60F4">
              <w:t>B</w:t>
            </w:r>
            <w:r>
              <w:t>ICON case.</w:t>
            </w:r>
          </w:p>
        </w:tc>
      </w:tr>
      <w:tr w:rsidR="00846F5E" w14:paraId="55763B26" w14:textId="77777777" w:rsidTr="0085021D">
        <w:tc>
          <w:tcPr>
            <w:tcW w:w="2349" w:type="dxa"/>
          </w:tcPr>
          <w:p w14:paraId="7511EE7B" w14:textId="77777777" w:rsidR="00846F5E" w:rsidRDefault="00846F5E" w:rsidP="00275CA5">
            <w:pPr>
              <w:pStyle w:val="TableText"/>
            </w:pPr>
            <w:r>
              <w:t>Air waybill</w:t>
            </w:r>
          </w:p>
        </w:tc>
        <w:tc>
          <w:tcPr>
            <w:tcW w:w="6721" w:type="dxa"/>
          </w:tcPr>
          <w:p w14:paraId="4BF6C87D" w14:textId="77777777" w:rsidR="00846F5E" w:rsidRDefault="00846F5E" w:rsidP="00275CA5">
            <w:pPr>
              <w:pStyle w:val="TableText"/>
            </w:pPr>
            <w:r>
              <w:t xml:space="preserve">A </w:t>
            </w:r>
            <w:r w:rsidR="00FE1CCF">
              <w:t xml:space="preserve">non-negotiable </w:t>
            </w:r>
            <w:r>
              <w:t xml:space="preserve">document issued by the carrier </w:t>
            </w:r>
            <w:r w:rsidR="00FE1CCF">
              <w:t>(</w:t>
            </w:r>
            <w:r>
              <w:t>airline or freight forwarder</w:t>
            </w:r>
            <w:r w:rsidR="00FE1CCF">
              <w:t>)</w:t>
            </w:r>
            <w:r>
              <w:t xml:space="preserve"> </w:t>
            </w:r>
            <w:r w:rsidR="00FE1CCF">
              <w:t>that</w:t>
            </w:r>
            <w:r>
              <w:t xml:space="preserve"> serv</w:t>
            </w:r>
            <w:r w:rsidR="00FE1CCF">
              <w:t>es</w:t>
            </w:r>
            <w:r>
              <w:t xml:space="preserve"> as a receipt to the consignor for the goods. Air waybills contain the conditions of transport and the details of the consignee.</w:t>
            </w:r>
          </w:p>
        </w:tc>
      </w:tr>
      <w:tr w:rsidR="00846F5E" w14:paraId="00BDA82D" w14:textId="77777777" w:rsidTr="0085021D">
        <w:tc>
          <w:tcPr>
            <w:tcW w:w="2349" w:type="dxa"/>
          </w:tcPr>
          <w:p w14:paraId="33C8158B" w14:textId="77777777" w:rsidR="00846F5E" w:rsidRDefault="00846F5E" w:rsidP="00275CA5">
            <w:pPr>
              <w:pStyle w:val="TableText"/>
            </w:pPr>
            <w:r>
              <w:t>Appointed analyst</w:t>
            </w:r>
          </w:p>
        </w:tc>
        <w:tc>
          <w:tcPr>
            <w:tcW w:w="6721" w:type="dxa"/>
          </w:tcPr>
          <w:p w14:paraId="1DEF4F30" w14:textId="77777777" w:rsidR="00846F5E" w:rsidRDefault="00846F5E" w:rsidP="00275CA5">
            <w:pPr>
              <w:pStyle w:val="TableText"/>
            </w:pPr>
            <w:r>
              <w:t xml:space="preserve">A laboratory appointed as an analyst under section 34 of the </w:t>
            </w:r>
            <w:r w:rsidR="001E33D5" w:rsidRPr="001E33D5">
              <w:rPr>
                <w:rStyle w:val="Emphasis"/>
              </w:rPr>
              <w:t>Imported Food Control Act 1992</w:t>
            </w:r>
            <w:r>
              <w:t xml:space="preserve"> to conduct testing on samples of imported food under the Imported Food Inspection Scheme.</w:t>
            </w:r>
          </w:p>
        </w:tc>
      </w:tr>
      <w:tr w:rsidR="00846F5E" w14:paraId="74532BAE" w14:textId="77777777" w:rsidTr="0085021D">
        <w:tc>
          <w:tcPr>
            <w:tcW w:w="2349" w:type="dxa"/>
          </w:tcPr>
          <w:p w14:paraId="058C4600" w14:textId="77777777" w:rsidR="00846F5E" w:rsidRDefault="00846F5E" w:rsidP="00275CA5">
            <w:pPr>
              <w:pStyle w:val="TableText"/>
            </w:pPr>
            <w:r>
              <w:t>AQIS document number field</w:t>
            </w:r>
          </w:p>
        </w:tc>
        <w:tc>
          <w:tcPr>
            <w:tcW w:w="6721" w:type="dxa"/>
          </w:tcPr>
          <w:p w14:paraId="7166157C" w14:textId="77777777" w:rsidR="00846F5E" w:rsidRDefault="00846F5E" w:rsidP="00275CA5">
            <w:pPr>
              <w:pStyle w:val="TableText"/>
            </w:pPr>
            <w:r>
              <w:t>The field in the Integrated Cargo System where the number of a government issued certificate is recorded.</w:t>
            </w:r>
          </w:p>
        </w:tc>
      </w:tr>
      <w:tr w:rsidR="00846F5E" w14:paraId="6076D1E9" w14:textId="77777777" w:rsidTr="0085021D">
        <w:tc>
          <w:tcPr>
            <w:tcW w:w="2349" w:type="dxa"/>
          </w:tcPr>
          <w:p w14:paraId="35BFB94F" w14:textId="77777777" w:rsidR="00846F5E" w:rsidRDefault="00846F5E" w:rsidP="00275CA5">
            <w:pPr>
              <w:pStyle w:val="TableText"/>
            </w:pPr>
            <w:r>
              <w:t>AQIS document type</w:t>
            </w:r>
          </w:p>
        </w:tc>
        <w:tc>
          <w:tcPr>
            <w:tcW w:w="6721" w:type="dxa"/>
          </w:tcPr>
          <w:p w14:paraId="1734D25C" w14:textId="77777777" w:rsidR="00846F5E" w:rsidRDefault="00846F5E" w:rsidP="00275CA5">
            <w:pPr>
              <w:pStyle w:val="TableText"/>
            </w:pPr>
            <w:r>
              <w:t>The field in the Integrated Cargo System where the type of government issued document is recorded.</w:t>
            </w:r>
          </w:p>
        </w:tc>
      </w:tr>
      <w:tr w:rsidR="00846F5E" w14:paraId="2046DBE7" w14:textId="77777777" w:rsidTr="0085021D">
        <w:tc>
          <w:tcPr>
            <w:tcW w:w="2349" w:type="dxa"/>
          </w:tcPr>
          <w:p w14:paraId="495FC437" w14:textId="77777777" w:rsidR="00846F5E" w:rsidRDefault="00846F5E" w:rsidP="00275CA5">
            <w:pPr>
              <w:pStyle w:val="TableText"/>
            </w:pPr>
            <w:r>
              <w:t>AQIS Entity Identifier (AEI)</w:t>
            </w:r>
          </w:p>
        </w:tc>
        <w:tc>
          <w:tcPr>
            <w:tcW w:w="6721" w:type="dxa"/>
          </w:tcPr>
          <w:p w14:paraId="79F75362" w14:textId="77777777" w:rsidR="00846F5E" w:rsidRDefault="00846F5E" w:rsidP="00275CA5">
            <w:pPr>
              <w:pStyle w:val="TableText"/>
            </w:pPr>
            <w:r>
              <w:t>The AEI is the treatment provider number for offshore methyl bromide treatment providers.</w:t>
            </w:r>
          </w:p>
        </w:tc>
      </w:tr>
      <w:tr w:rsidR="00846F5E" w14:paraId="51B6154D" w14:textId="77777777" w:rsidTr="0085021D">
        <w:tc>
          <w:tcPr>
            <w:tcW w:w="2349" w:type="dxa"/>
          </w:tcPr>
          <w:p w14:paraId="596EE5CA" w14:textId="77777777" w:rsidR="00846F5E" w:rsidRDefault="00846F5E" w:rsidP="00275CA5">
            <w:pPr>
              <w:pStyle w:val="TableText"/>
            </w:pPr>
            <w:r>
              <w:t>AQIS Entity Identifier (AEI) field</w:t>
            </w:r>
          </w:p>
        </w:tc>
        <w:tc>
          <w:tcPr>
            <w:tcW w:w="6721" w:type="dxa"/>
          </w:tcPr>
          <w:p w14:paraId="0E724B0E" w14:textId="77777777" w:rsidR="00846F5E" w:rsidRDefault="00846F5E" w:rsidP="00275CA5">
            <w:pPr>
              <w:pStyle w:val="TableText"/>
            </w:pPr>
            <w:r>
              <w:t>The AEI field is used to record the treatment provider number.</w:t>
            </w:r>
          </w:p>
        </w:tc>
      </w:tr>
      <w:tr w:rsidR="00846F5E" w14:paraId="1C34AFC6" w14:textId="77777777" w:rsidTr="0085021D">
        <w:tc>
          <w:tcPr>
            <w:tcW w:w="2349" w:type="dxa"/>
          </w:tcPr>
          <w:p w14:paraId="515C142C" w14:textId="77777777" w:rsidR="00846F5E" w:rsidRDefault="00846F5E" w:rsidP="00275CA5">
            <w:pPr>
              <w:pStyle w:val="TableText"/>
            </w:pPr>
            <w:r>
              <w:t>AQIS Identification Number (AIN)</w:t>
            </w:r>
          </w:p>
        </w:tc>
        <w:tc>
          <w:tcPr>
            <w:tcW w:w="6721" w:type="dxa"/>
          </w:tcPr>
          <w:p w14:paraId="547EB6B9" w14:textId="77777777" w:rsidR="00846F5E" w:rsidRDefault="00846F5E" w:rsidP="00275CA5">
            <w:pPr>
              <w:pStyle w:val="TableText"/>
            </w:pPr>
            <w:r>
              <w:t>The AIN is the treatment provider number for companies approved by the department who are registered for the Gamma Irradiation Offshore Treatment Providers Scheme and the Ethylene Oxide Offshore Treatment Providers Scheme</w:t>
            </w:r>
            <w:r w:rsidR="004065F4">
              <w:t>.</w:t>
            </w:r>
          </w:p>
        </w:tc>
      </w:tr>
      <w:tr w:rsidR="00846F5E" w14:paraId="5258BD63" w14:textId="77777777" w:rsidTr="0085021D">
        <w:tc>
          <w:tcPr>
            <w:tcW w:w="2349" w:type="dxa"/>
          </w:tcPr>
          <w:p w14:paraId="2C480D3B" w14:textId="77777777" w:rsidR="00846F5E" w:rsidRDefault="00846F5E" w:rsidP="00275CA5">
            <w:pPr>
              <w:pStyle w:val="TableText"/>
            </w:pPr>
            <w:r>
              <w:t>AQIS producer code field</w:t>
            </w:r>
          </w:p>
        </w:tc>
        <w:tc>
          <w:tcPr>
            <w:tcW w:w="6721" w:type="dxa"/>
          </w:tcPr>
          <w:p w14:paraId="63306327" w14:textId="77777777" w:rsidR="00846F5E" w:rsidRDefault="00846F5E" w:rsidP="00275CA5">
            <w:pPr>
              <w:pStyle w:val="TableText"/>
            </w:pPr>
            <w:r>
              <w:t>The field in the Integrated Cargo System where details of the producer of an imported food are lodged in an import declaration.</w:t>
            </w:r>
          </w:p>
        </w:tc>
      </w:tr>
      <w:tr w:rsidR="00846F5E" w14:paraId="1BAD4FCB" w14:textId="77777777" w:rsidTr="0085021D">
        <w:tc>
          <w:tcPr>
            <w:tcW w:w="2349" w:type="dxa"/>
          </w:tcPr>
          <w:p w14:paraId="31666039" w14:textId="77777777" w:rsidR="00846F5E" w:rsidRDefault="00846F5E" w:rsidP="00275CA5">
            <w:pPr>
              <w:pStyle w:val="TableText"/>
            </w:pPr>
            <w:r>
              <w:t>Australian Fumigation Accreditation Scheme (AFAS)</w:t>
            </w:r>
          </w:p>
        </w:tc>
        <w:tc>
          <w:tcPr>
            <w:tcW w:w="6721" w:type="dxa"/>
          </w:tcPr>
          <w:p w14:paraId="3F863BB4" w14:textId="77777777" w:rsidR="00846F5E" w:rsidRDefault="00846F5E" w:rsidP="00275CA5">
            <w:pPr>
              <w:pStyle w:val="TableText"/>
            </w:pPr>
            <w:r>
              <w:t xml:space="preserve">AFAS is a scheme based on intergovernmental arrangements under which the department recognises treatment providers registered by </w:t>
            </w:r>
            <w:r w:rsidR="00FE1CCF">
              <w:t xml:space="preserve">an </w:t>
            </w:r>
            <w:r>
              <w:t>overseas government as being acceptable treatment providers.</w:t>
            </w:r>
          </w:p>
        </w:tc>
      </w:tr>
      <w:tr w:rsidR="00846F5E" w14:paraId="6BE35373" w14:textId="77777777" w:rsidTr="0085021D">
        <w:tc>
          <w:tcPr>
            <w:tcW w:w="2349" w:type="dxa"/>
          </w:tcPr>
          <w:p w14:paraId="62DAEBB2" w14:textId="77777777" w:rsidR="00846F5E" w:rsidRDefault="00846F5E" w:rsidP="00275CA5">
            <w:pPr>
              <w:pStyle w:val="TableText"/>
            </w:pPr>
            <w:r>
              <w:t>Beneficiary certificate</w:t>
            </w:r>
          </w:p>
        </w:tc>
        <w:tc>
          <w:tcPr>
            <w:tcW w:w="6721" w:type="dxa"/>
          </w:tcPr>
          <w:p w14:paraId="0390FA69" w14:textId="77777777" w:rsidR="00846F5E" w:rsidRDefault="00846F5E" w:rsidP="00275CA5">
            <w:pPr>
              <w:pStyle w:val="TableText"/>
            </w:pPr>
            <w:r>
              <w:t>A certificate issued by an exporter to certify that specific requirements have been complied with.</w:t>
            </w:r>
          </w:p>
        </w:tc>
      </w:tr>
      <w:tr w:rsidR="008E30D5" w14:paraId="1502DAA1" w14:textId="77777777" w:rsidTr="008E30D5">
        <w:tc>
          <w:tcPr>
            <w:tcW w:w="2349" w:type="dxa"/>
          </w:tcPr>
          <w:p w14:paraId="58E43C61" w14:textId="3754D883" w:rsidR="008E30D5" w:rsidRDefault="008E30D5" w:rsidP="00275CA5">
            <w:pPr>
              <w:pStyle w:val="TableText"/>
            </w:pPr>
            <w:r w:rsidRPr="00CE6A06">
              <w:t>BICON</w:t>
            </w:r>
          </w:p>
        </w:tc>
        <w:tc>
          <w:tcPr>
            <w:tcW w:w="6721" w:type="dxa"/>
          </w:tcPr>
          <w:p w14:paraId="46ED3479" w14:textId="4D02E172" w:rsidR="008E30D5" w:rsidRDefault="008E30D5" w:rsidP="00275CA5">
            <w:pPr>
              <w:pStyle w:val="TableText"/>
            </w:pPr>
            <w:r w:rsidRPr="00CE6A06">
              <w:t>BICON is the department’s biosecurity import conditions system. BICON allows clients to obtain import conditions for specific commodities without having to contact the department.</w:t>
            </w:r>
          </w:p>
        </w:tc>
      </w:tr>
      <w:tr w:rsidR="008E30D5" w14:paraId="17E14BF7" w14:textId="77777777" w:rsidTr="00CE6A06">
        <w:tc>
          <w:tcPr>
            <w:tcW w:w="2349" w:type="dxa"/>
          </w:tcPr>
          <w:p w14:paraId="0B0563A8" w14:textId="77777777" w:rsidR="008E30D5" w:rsidRDefault="008E30D5" w:rsidP="00275CA5">
            <w:pPr>
              <w:pStyle w:val="TableText"/>
            </w:pPr>
            <w:r>
              <w:t>Bill of lading</w:t>
            </w:r>
          </w:p>
        </w:tc>
        <w:tc>
          <w:tcPr>
            <w:tcW w:w="6721" w:type="dxa"/>
          </w:tcPr>
          <w:p w14:paraId="68CCE7B0" w14:textId="77777777" w:rsidR="008E30D5" w:rsidRDefault="008E30D5" w:rsidP="00275CA5">
            <w:pPr>
              <w:pStyle w:val="TableText"/>
            </w:pPr>
            <w:r>
              <w:t>A bill of lading is issued by the shipping line or freight forwarder. It serves as a receipt to the consignor for the goods, as evidence of the contract of transport containing the conditions of transport and as a document of title by which possession of the goods can be transferred.</w:t>
            </w:r>
          </w:p>
        </w:tc>
      </w:tr>
      <w:tr w:rsidR="008E30D5" w14:paraId="0B8938A5" w14:textId="77777777" w:rsidTr="008E30D5">
        <w:tc>
          <w:tcPr>
            <w:tcW w:w="2349" w:type="dxa"/>
          </w:tcPr>
          <w:p w14:paraId="2034157D" w14:textId="77777777" w:rsidR="008E30D5" w:rsidRDefault="008E30D5" w:rsidP="00275CA5">
            <w:pPr>
              <w:pStyle w:val="TableText"/>
            </w:pPr>
            <w:r>
              <w:t>Biosecurity officer</w:t>
            </w:r>
          </w:p>
        </w:tc>
        <w:tc>
          <w:tcPr>
            <w:tcW w:w="6721" w:type="dxa"/>
          </w:tcPr>
          <w:p w14:paraId="09292BFD" w14:textId="77777777" w:rsidR="008E30D5" w:rsidRDefault="008E30D5" w:rsidP="00275CA5">
            <w:pPr>
              <w:pStyle w:val="TableText"/>
            </w:pPr>
            <w:r>
              <w:t xml:space="preserve">A person employed by the department who has been appointed under either the </w:t>
            </w:r>
            <w:r w:rsidRPr="00CE6A06">
              <w:rPr>
                <w:i/>
                <w:iCs/>
              </w:rPr>
              <w:t>Biosecurity Act 2015</w:t>
            </w:r>
            <w:r>
              <w:t xml:space="preserve"> or the </w:t>
            </w:r>
            <w:r w:rsidRPr="00CE6A06">
              <w:rPr>
                <w:i/>
                <w:iCs/>
              </w:rPr>
              <w:t>Imported Food Control Act 1992</w:t>
            </w:r>
            <w:r>
              <w:t>.</w:t>
            </w:r>
          </w:p>
        </w:tc>
      </w:tr>
      <w:tr w:rsidR="008E30D5" w14:paraId="133B4589" w14:textId="77777777" w:rsidTr="00CE6A06">
        <w:tc>
          <w:tcPr>
            <w:tcW w:w="2349" w:type="dxa"/>
          </w:tcPr>
          <w:p w14:paraId="392C1454" w14:textId="77777777" w:rsidR="008E30D5" w:rsidRDefault="008E30D5" w:rsidP="00275CA5">
            <w:pPr>
              <w:pStyle w:val="TableText"/>
            </w:pPr>
            <w:r>
              <w:lastRenderedPageBreak/>
              <w:t>Certificate of origin</w:t>
            </w:r>
          </w:p>
        </w:tc>
        <w:tc>
          <w:tcPr>
            <w:tcW w:w="6721" w:type="dxa"/>
          </w:tcPr>
          <w:p w14:paraId="6B14ACEF" w14:textId="77777777" w:rsidR="008E30D5" w:rsidRDefault="008E30D5" w:rsidP="00275CA5">
            <w:pPr>
              <w:pStyle w:val="TableText"/>
            </w:pPr>
            <w:r>
              <w:t>A certificate of origin states the country of origin of the goods. Certificates of origin may be issued by the seller, manufacturer or a chamber of commerce in the country of origin.</w:t>
            </w:r>
          </w:p>
        </w:tc>
      </w:tr>
      <w:tr w:rsidR="008E30D5" w14:paraId="7FBF4A59" w14:textId="77777777" w:rsidTr="00CE6A06">
        <w:tc>
          <w:tcPr>
            <w:tcW w:w="2349" w:type="dxa"/>
          </w:tcPr>
          <w:p w14:paraId="63E76438" w14:textId="77777777" w:rsidR="008E30D5" w:rsidRDefault="008E30D5" w:rsidP="00275CA5">
            <w:pPr>
              <w:pStyle w:val="TableText"/>
            </w:pPr>
            <w:r>
              <w:t>Clearance letter</w:t>
            </w:r>
          </w:p>
        </w:tc>
        <w:tc>
          <w:tcPr>
            <w:tcW w:w="6721" w:type="dxa"/>
          </w:tcPr>
          <w:p w14:paraId="3EFCB52D" w14:textId="77777777" w:rsidR="008E30D5" w:rsidRDefault="008E30D5" w:rsidP="00275CA5">
            <w:pPr>
              <w:pStyle w:val="TableText"/>
            </w:pPr>
            <w:r>
              <w:t>A document issued by the department to allow for an alternative intervention (or exemption) for a particular pathway or commodity.</w:t>
            </w:r>
          </w:p>
        </w:tc>
      </w:tr>
      <w:tr w:rsidR="008E30D5" w14:paraId="08217165" w14:textId="77777777" w:rsidTr="00CE6A06">
        <w:tc>
          <w:tcPr>
            <w:tcW w:w="2349" w:type="dxa"/>
          </w:tcPr>
          <w:p w14:paraId="689431B7" w14:textId="77777777" w:rsidR="008E30D5" w:rsidRDefault="008E30D5" w:rsidP="00275CA5">
            <w:pPr>
              <w:pStyle w:val="TableText"/>
            </w:pPr>
            <w:r>
              <w:t>Commercial consignments</w:t>
            </w:r>
          </w:p>
        </w:tc>
        <w:tc>
          <w:tcPr>
            <w:tcW w:w="6721" w:type="dxa"/>
          </w:tcPr>
          <w:p w14:paraId="18441D36" w14:textId="77777777" w:rsidR="008E30D5" w:rsidRDefault="008E30D5" w:rsidP="00275CA5">
            <w:pPr>
              <w:pStyle w:val="TableText"/>
            </w:pPr>
            <w:r>
              <w:t>A consignment that is imported by or for commercial entities.</w:t>
            </w:r>
          </w:p>
        </w:tc>
      </w:tr>
      <w:tr w:rsidR="008E30D5" w14:paraId="01DD1F5B" w14:textId="77777777" w:rsidTr="00CE6A06">
        <w:tc>
          <w:tcPr>
            <w:tcW w:w="2349" w:type="dxa"/>
          </w:tcPr>
          <w:p w14:paraId="0607DBD4" w14:textId="77777777" w:rsidR="008E30D5" w:rsidRDefault="008E30D5" w:rsidP="00275CA5">
            <w:pPr>
              <w:pStyle w:val="TableText"/>
            </w:pPr>
            <w:r>
              <w:t>Commercial invoice</w:t>
            </w:r>
          </w:p>
        </w:tc>
        <w:tc>
          <w:tcPr>
            <w:tcW w:w="6721" w:type="dxa"/>
          </w:tcPr>
          <w:p w14:paraId="768906F7" w14:textId="77777777" w:rsidR="008E30D5" w:rsidRDefault="008E30D5" w:rsidP="00275CA5">
            <w:pPr>
              <w:pStyle w:val="TableText"/>
            </w:pPr>
            <w:r>
              <w:t>A document issued by the seller, addressed to the buyer, giving details of the individual transaction, including complete description of the goods, prices, currency, delivery and payment terms.</w:t>
            </w:r>
          </w:p>
        </w:tc>
      </w:tr>
      <w:tr w:rsidR="008E30D5" w14:paraId="46D7BBE0" w14:textId="77777777" w:rsidTr="00CE6A06">
        <w:tc>
          <w:tcPr>
            <w:tcW w:w="2349" w:type="dxa"/>
          </w:tcPr>
          <w:p w14:paraId="1B088FA5" w14:textId="77777777" w:rsidR="008E30D5" w:rsidRDefault="008E30D5" w:rsidP="00275CA5">
            <w:pPr>
              <w:pStyle w:val="TableText"/>
            </w:pPr>
            <w:r>
              <w:t>Community protection question</w:t>
            </w:r>
          </w:p>
        </w:tc>
        <w:tc>
          <w:tcPr>
            <w:tcW w:w="6721" w:type="dxa"/>
          </w:tcPr>
          <w:p w14:paraId="327B7F84" w14:textId="77777777" w:rsidR="008E30D5" w:rsidRDefault="008E30D5" w:rsidP="00275CA5">
            <w:pPr>
              <w:pStyle w:val="TableText"/>
            </w:pPr>
            <w:r>
              <w:t>Community protection questions are asked as part of the declaration lodgement process; these questions help the department to identify risks associated with imported goods.</w:t>
            </w:r>
          </w:p>
        </w:tc>
      </w:tr>
      <w:tr w:rsidR="008E30D5" w14:paraId="78FA636F" w14:textId="77777777" w:rsidTr="00CE6A06">
        <w:tc>
          <w:tcPr>
            <w:tcW w:w="2349" w:type="dxa"/>
          </w:tcPr>
          <w:p w14:paraId="5D4F60CE" w14:textId="77777777" w:rsidR="008E30D5" w:rsidRDefault="008E30D5" w:rsidP="00275CA5">
            <w:pPr>
              <w:pStyle w:val="TableText"/>
            </w:pPr>
            <w:r>
              <w:t>Company address</w:t>
            </w:r>
          </w:p>
        </w:tc>
        <w:tc>
          <w:tcPr>
            <w:tcW w:w="6721" w:type="dxa"/>
          </w:tcPr>
          <w:p w14:paraId="4941B645" w14:textId="77777777" w:rsidR="008E30D5" w:rsidRDefault="008E30D5" w:rsidP="00275CA5">
            <w:pPr>
              <w:pStyle w:val="TableText"/>
            </w:pPr>
            <w:r>
              <w:t>Physical address or postal address unless stated otherwise.</w:t>
            </w:r>
          </w:p>
        </w:tc>
      </w:tr>
      <w:tr w:rsidR="008E30D5" w14:paraId="319BDDB1" w14:textId="77777777" w:rsidTr="00CE6A06">
        <w:tc>
          <w:tcPr>
            <w:tcW w:w="2349" w:type="dxa"/>
          </w:tcPr>
          <w:p w14:paraId="38C58885" w14:textId="77777777" w:rsidR="008E30D5" w:rsidRDefault="008E30D5" w:rsidP="00275CA5">
            <w:pPr>
              <w:pStyle w:val="TableText"/>
            </w:pPr>
            <w:r>
              <w:t>Company name</w:t>
            </w:r>
          </w:p>
        </w:tc>
        <w:tc>
          <w:tcPr>
            <w:tcW w:w="6721" w:type="dxa"/>
          </w:tcPr>
          <w:p w14:paraId="0D131F13" w14:textId="77777777" w:rsidR="008E30D5" w:rsidRDefault="008E30D5" w:rsidP="00275CA5">
            <w:pPr>
              <w:pStyle w:val="TableText"/>
            </w:pPr>
            <w:r>
              <w:t>The registered business name and/or trading name of an entity.</w:t>
            </w:r>
          </w:p>
        </w:tc>
      </w:tr>
      <w:tr w:rsidR="008E30D5" w14:paraId="771EE738" w14:textId="77777777" w:rsidTr="008E30D5">
        <w:tc>
          <w:tcPr>
            <w:tcW w:w="2349" w:type="dxa"/>
          </w:tcPr>
          <w:p w14:paraId="43949536" w14:textId="388B5997" w:rsidR="008E30D5" w:rsidRDefault="008E30D5" w:rsidP="00275CA5">
            <w:pPr>
              <w:pStyle w:val="TableText"/>
            </w:pPr>
            <w:r>
              <w:t>Customs broker</w:t>
            </w:r>
            <w:r w:rsidR="00CE6A06">
              <w:br/>
            </w:r>
            <w:r>
              <w:t>(</w:t>
            </w:r>
            <w:r w:rsidR="0094534C">
              <w:t>b</w:t>
            </w:r>
            <w:r>
              <w:t>roker)</w:t>
            </w:r>
          </w:p>
        </w:tc>
        <w:tc>
          <w:tcPr>
            <w:tcW w:w="6721" w:type="dxa"/>
          </w:tcPr>
          <w:p w14:paraId="362CFE27" w14:textId="5BFAD7C5" w:rsidR="008E30D5" w:rsidRDefault="008E30D5" w:rsidP="00275CA5">
            <w:pPr>
              <w:pStyle w:val="TableText"/>
            </w:pPr>
            <w:r>
              <w:t>A person or corporation licensed by the Department of Immigration and Border Protection to handle the process of clearing goods through customs on behalf of importers.</w:t>
            </w:r>
          </w:p>
        </w:tc>
      </w:tr>
      <w:tr w:rsidR="008E30D5" w14:paraId="7A6F3608" w14:textId="77777777" w:rsidTr="00CE6A06">
        <w:tc>
          <w:tcPr>
            <w:tcW w:w="2349" w:type="dxa"/>
          </w:tcPr>
          <w:p w14:paraId="7799535D" w14:textId="77777777" w:rsidR="008E30D5" w:rsidRDefault="008E30D5" w:rsidP="00275CA5">
            <w:pPr>
              <w:pStyle w:val="TableText"/>
            </w:pPr>
            <w:r>
              <w:t>Customs entry threshold</w:t>
            </w:r>
          </w:p>
        </w:tc>
        <w:tc>
          <w:tcPr>
            <w:tcW w:w="6721" w:type="dxa"/>
          </w:tcPr>
          <w:p w14:paraId="50201916" w14:textId="77777777" w:rsidR="008E30D5" w:rsidRDefault="008E30D5" w:rsidP="00275CA5">
            <w:pPr>
              <w:pStyle w:val="TableText"/>
            </w:pPr>
            <w:r>
              <w:t xml:space="preserve">Where goods have a customs value equal to or greater than the entry threshold as defined in section 68 of the </w:t>
            </w:r>
            <w:r w:rsidRPr="001E33D5">
              <w:rPr>
                <w:rStyle w:val="Emphasis"/>
              </w:rPr>
              <w:t>Customs Act 1901</w:t>
            </w:r>
            <w:r>
              <w:t>.</w:t>
            </w:r>
          </w:p>
        </w:tc>
      </w:tr>
      <w:tr w:rsidR="008E30D5" w14:paraId="46D07C86" w14:textId="77777777" w:rsidTr="0085021D">
        <w:trPr>
          <w:cantSplit/>
        </w:trPr>
        <w:tc>
          <w:tcPr>
            <w:tcW w:w="2349" w:type="dxa"/>
          </w:tcPr>
          <w:p w14:paraId="1778D755" w14:textId="77777777" w:rsidR="008E30D5" w:rsidRDefault="008E30D5" w:rsidP="00275CA5">
            <w:pPr>
              <w:pStyle w:val="TableText"/>
            </w:pPr>
            <w:r>
              <w:t>Department of Agriculture and Water Resources approved seed testing laboratory</w:t>
            </w:r>
          </w:p>
        </w:tc>
        <w:tc>
          <w:tcPr>
            <w:tcW w:w="6721" w:type="dxa"/>
          </w:tcPr>
          <w:p w14:paraId="11E98643" w14:textId="0F84E43C" w:rsidR="008E30D5" w:rsidRDefault="008E30D5" w:rsidP="00275CA5">
            <w:pPr>
              <w:pStyle w:val="TableText"/>
            </w:pPr>
            <w:r>
              <w:t xml:space="preserve">An International Seed Testing Authority accredited laboratory in a country where the department recognises the government’s ISTA accreditation process. A list of approved seed testing laboratories is available on the </w:t>
            </w:r>
            <w:hyperlink r:id="rId21" w:history="1">
              <w:r w:rsidR="0085021D">
                <w:rPr>
                  <w:rStyle w:val="Hyperlink"/>
                </w:rPr>
                <w:t>d</w:t>
              </w:r>
              <w:r w:rsidR="0085021D" w:rsidRPr="00950ED2">
                <w:rPr>
                  <w:rStyle w:val="Hyperlink"/>
                </w:rPr>
                <w:t>epartment</w:t>
              </w:r>
              <w:r w:rsidR="0085021D">
                <w:rPr>
                  <w:rStyle w:val="Hyperlink"/>
                </w:rPr>
                <w:t>’s</w:t>
              </w:r>
              <w:r w:rsidRPr="00950ED2">
                <w:rPr>
                  <w:rStyle w:val="Hyperlink"/>
                </w:rPr>
                <w:t xml:space="preserve"> website</w:t>
              </w:r>
            </w:hyperlink>
            <w:r>
              <w:t>.</w:t>
            </w:r>
          </w:p>
        </w:tc>
      </w:tr>
      <w:tr w:rsidR="008E30D5" w14:paraId="46192FBE" w14:textId="77777777" w:rsidTr="00CE6A06">
        <w:tc>
          <w:tcPr>
            <w:tcW w:w="2349" w:type="dxa"/>
          </w:tcPr>
          <w:p w14:paraId="474605C2" w14:textId="77777777" w:rsidR="008E30D5" w:rsidRDefault="008E30D5" w:rsidP="00275CA5">
            <w:pPr>
              <w:pStyle w:val="TableText"/>
            </w:pPr>
            <w:r>
              <w:t>Electronic signature</w:t>
            </w:r>
          </w:p>
        </w:tc>
        <w:tc>
          <w:tcPr>
            <w:tcW w:w="6721" w:type="dxa"/>
          </w:tcPr>
          <w:p w14:paraId="6457BE96" w14:textId="77777777" w:rsidR="008E30D5" w:rsidRDefault="008E30D5" w:rsidP="00275CA5">
            <w:pPr>
              <w:pStyle w:val="TableText"/>
            </w:pPr>
            <w:r>
              <w:t>A method used in an electronic communication to identify an individual and to indicate their acknowledgement of the content in the document.</w:t>
            </w:r>
          </w:p>
          <w:p w14:paraId="15377BE7" w14:textId="77777777" w:rsidR="008E30D5" w:rsidRDefault="008E30D5" w:rsidP="00275CA5">
            <w:pPr>
              <w:pStyle w:val="TableText"/>
            </w:pPr>
            <w:r>
              <w:t>Examples of acceptable electronic signatures include but are not limited to:</w:t>
            </w:r>
          </w:p>
          <w:p w14:paraId="1B6C1E0F" w14:textId="77777777" w:rsidR="00275CA5" w:rsidRDefault="008E30D5" w:rsidP="00DC24E4">
            <w:pPr>
              <w:pStyle w:val="TableBullet"/>
            </w:pPr>
            <w:r>
              <w:t>licensed signatures (for example, Adobe Acrobat or DocuSign)</w:t>
            </w:r>
          </w:p>
          <w:p w14:paraId="00C6F703" w14:textId="77777777" w:rsidR="00275CA5" w:rsidRDefault="008E30D5" w:rsidP="00275CA5">
            <w:pPr>
              <w:pStyle w:val="TableBullet"/>
            </w:pPr>
            <w:r>
              <w:t>electronic text as generated by a software programme</w:t>
            </w:r>
          </w:p>
          <w:p w14:paraId="64BCD075" w14:textId="77777777" w:rsidR="00275CA5" w:rsidRDefault="008E30D5" w:rsidP="00275CA5">
            <w:pPr>
              <w:pStyle w:val="TableBullet"/>
            </w:pPr>
            <w:r>
              <w:t>electronic stamps</w:t>
            </w:r>
          </w:p>
          <w:p w14:paraId="777E9F3D" w14:textId="77777777" w:rsidR="00275CA5" w:rsidRDefault="008E30D5" w:rsidP="00275CA5">
            <w:pPr>
              <w:pStyle w:val="TableBullet"/>
            </w:pPr>
            <w:r>
              <w:t>typed names</w:t>
            </w:r>
          </w:p>
          <w:p w14:paraId="55AC17C8" w14:textId="4FAFF11A" w:rsidR="008E30D5" w:rsidRDefault="008E30D5" w:rsidP="00275CA5">
            <w:pPr>
              <w:pStyle w:val="TableBullet"/>
            </w:pPr>
            <w:proofErr w:type="gramStart"/>
            <w:r>
              <w:t>signature</w:t>
            </w:r>
            <w:proofErr w:type="gramEnd"/>
            <w:r>
              <w:t xml:space="preserve"> blocks, as used in email programmes.</w:t>
            </w:r>
          </w:p>
        </w:tc>
      </w:tr>
      <w:tr w:rsidR="008E30D5" w14:paraId="3CA92E48" w14:textId="77777777" w:rsidTr="00CE6A06">
        <w:tc>
          <w:tcPr>
            <w:tcW w:w="2349" w:type="dxa"/>
          </w:tcPr>
          <w:p w14:paraId="4F496EEE" w14:textId="77777777" w:rsidR="008E30D5" w:rsidRDefault="008E30D5" w:rsidP="00275CA5">
            <w:pPr>
              <w:pStyle w:val="TableText"/>
            </w:pPr>
            <w:r>
              <w:t>Export</w:t>
            </w:r>
          </w:p>
        </w:tc>
        <w:tc>
          <w:tcPr>
            <w:tcW w:w="6721" w:type="dxa"/>
          </w:tcPr>
          <w:p w14:paraId="4F31714F" w14:textId="77777777" w:rsidR="008E30D5" w:rsidRDefault="008E30D5" w:rsidP="00275CA5">
            <w:pPr>
              <w:pStyle w:val="TableText"/>
            </w:pPr>
            <w:r>
              <w:t>A consignment is considered to be exported either:</w:t>
            </w:r>
          </w:p>
          <w:p w14:paraId="36D4BD2A" w14:textId="77777777" w:rsidR="008E30D5" w:rsidRDefault="008E30D5" w:rsidP="00DC24E4">
            <w:pPr>
              <w:pStyle w:val="TableText"/>
              <w:numPr>
                <w:ilvl w:val="0"/>
                <w:numId w:val="38"/>
              </w:numPr>
              <w:rPr>
                <w:rFonts w:ascii="Calibri" w:hAnsi="Calibri"/>
                <w:bCs/>
              </w:rPr>
            </w:pPr>
            <w:r>
              <w:t>when it is lodged with the freight forwarder, shipping company/airline, charter operator or an appointed agent in the country of origin, for ultimate destination in Australia</w:t>
            </w:r>
          </w:p>
          <w:p w14:paraId="1A69C974" w14:textId="77777777" w:rsidR="008E30D5" w:rsidRDefault="008E30D5" w:rsidP="00DC24E4">
            <w:pPr>
              <w:pStyle w:val="TableText"/>
              <w:numPr>
                <w:ilvl w:val="0"/>
                <w:numId w:val="38"/>
              </w:numPr>
              <w:rPr>
                <w:rFonts w:ascii="Calibri" w:hAnsi="Calibri"/>
                <w:bCs/>
              </w:rPr>
            </w:pPr>
            <w:r>
              <w:t>when it is shipped on board the vessel</w:t>
            </w:r>
          </w:p>
          <w:p w14:paraId="58BE4CAC" w14:textId="77777777" w:rsidR="008E30D5" w:rsidRDefault="008E30D5" w:rsidP="00DC24E4">
            <w:pPr>
              <w:pStyle w:val="TableText"/>
              <w:numPr>
                <w:ilvl w:val="0"/>
                <w:numId w:val="38"/>
              </w:numPr>
            </w:pPr>
            <w:proofErr w:type="gramStart"/>
            <w:r>
              <w:t>when</w:t>
            </w:r>
            <w:proofErr w:type="gramEnd"/>
            <w:r>
              <w:t xml:space="preserve"> it is packed in a container and sealed in preparation for export.</w:t>
            </w:r>
          </w:p>
          <w:p w14:paraId="67622EC5" w14:textId="4D4BF12A" w:rsidR="00DC24E4" w:rsidRDefault="00DC24E4" w:rsidP="00DC24E4">
            <w:pPr>
              <w:pStyle w:val="TableText"/>
              <w:rPr>
                <w:rFonts w:ascii="Calibri" w:hAnsi="Calibri"/>
                <w:bCs/>
              </w:rPr>
            </w:pPr>
            <w:r w:rsidRPr="00DC24E4">
              <w:rPr>
                <w:rFonts w:ascii="Calibri" w:hAnsi="Calibri"/>
                <w:b/>
                <w:bCs/>
              </w:rPr>
              <w:t>Note</w:t>
            </w:r>
            <w:r>
              <w:rPr>
                <w:rFonts w:ascii="Calibri" w:hAnsi="Calibri"/>
                <w:bCs/>
              </w:rPr>
              <w:t>: Refer to section 9.1 of this policy for details about how to declare the date of export</w:t>
            </w:r>
          </w:p>
        </w:tc>
      </w:tr>
      <w:tr w:rsidR="008E30D5" w14:paraId="69E3E9F3" w14:textId="77777777" w:rsidTr="00CE6A06">
        <w:tc>
          <w:tcPr>
            <w:tcW w:w="2349" w:type="dxa"/>
          </w:tcPr>
          <w:p w14:paraId="41615D84" w14:textId="77777777" w:rsidR="008E30D5" w:rsidRDefault="008E30D5" w:rsidP="006652D3">
            <w:pPr>
              <w:pStyle w:val="TableText"/>
            </w:pPr>
            <w:r>
              <w:lastRenderedPageBreak/>
              <w:t>Food control certificate (FCC)</w:t>
            </w:r>
          </w:p>
        </w:tc>
        <w:tc>
          <w:tcPr>
            <w:tcW w:w="6721" w:type="dxa"/>
          </w:tcPr>
          <w:p w14:paraId="4F4D773B" w14:textId="4134990D" w:rsidR="008E30D5" w:rsidRDefault="008E30D5" w:rsidP="006652D3">
            <w:pPr>
              <w:pStyle w:val="TableText"/>
            </w:pPr>
            <w:r>
              <w:t xml:space="preserve">An Imported Food Inspection Scheme document issued under section 12 of the </w:t>
            </w:r>
            <w:r w:rsidRPr="001E33D5">
              <w:rPr>
                <w:rStyle w:val="Emphasis"/>
              </w:rPr>
              <w:t>Imported Food Control Act 1992</w:t>
            </w:r>
            <w:r>
              <w:t xml:space="preserve"> that specifies food in an import declaration that may be inspected, or inspected and sampled. A food control certificate may contain additional information about the inspection or instructions to the importer.</w:t>
            </w:r>
          </w:p>
        </w:tc>
      </w:tr>
      <w:tr w:rsidR="008E30D5" w14:paraId="17ABD2AF" w14:textId="77777777" w:rsidTr="00CE6A06">
        <w:tc>
          <w:tcPr>
            <w:tcW w:w="2349" w:type="dxa"/>
          </w:tcPr>
          <w:p w14:paraId="6792EF1C" w14:textId="77777777" w:rsidR="008E30D5" w:rsidRDefault="008E30D5" w:rsidP="006652D3">
            <w:pPr>
              <w:pStyle w:val="TableText"/>
            </w:pPr>
            <w:r>
              <w:t>Freight forwarder</w:t>
            </w:r>
          </w:p>
        </w:tc>
        <w:tc>
          <w:tcPr>
            <w:tcW w:w="6721" w:type="dxa"/>
          </w:tcPr>
          <w:p w14:paraId="0AEBEB3A" w14:textId="77777777" w:rsidR="008E30D5" w:rsidRDefault="008E30D5" w:rsidP="006652D3">
            <w:pPr>
              <w:pStyle w:val="TableText"/>
            </w:pPr>
            <w:r>
              <w:t>A person or corporation who arranges transport of goods on behalf of either the seller or buyer. A freight forwarder will often consolidate several small shipments into one larger shipment to take advantage of better freight rates. In most cases the freight forwarder will assume the legal liabilities of acting as a carrier.</w:t>
            </w:r>
          </w:p>
        </w:tc>
      </w:tr>
      <w:tr w:rsidR="008E30D5" w14:paraId="53E8B64B" w14:textId="77777777" w:rsidTr="00CE6A06">
        <w:tc>
          <w:tcPr>
            <w:tcW w:w="2349" w:type="dxa"/>
          </w:tcPr>
          <w:p w14:paraId="35BE4969" w14:textId="77777777" w:rsidR="008E30D5" w:rsidRDefault="008E30D5" w:rsidP="006652D3">
            <w:pPr>
              <w:pStyle w:val="TableText"/>
            </w:pPr>
            <w:r>
              <w:t>Full Import Declaration (FID)</w:t>
            </w:r>
          </w:p>
        </w:tc>
        <w:tc>
          <w:tcPr>
            <w:tcW w:w="6721" w:type="dxa"/>
          </w:tcPr>
          <w:p w14:paraId="6012FFB5" w14:textId="77777777" w:rsidR="008E30D5" w:rsidRDefault="008E30D5" w:rsidP="006652D3">
            <w:pPr>
              <w:pStyle w:val="TableText"/>
            </w:pPr>
            <w:r>
              <w:t>A type of import declaration that is lodged in the Integrated Cargo System.</w:t>
            </w:r>
          </w:p>
        </w:tc>
      </w:tr>
      <w:tr w:rsidR="007C6B75" w14:paraId="02CD3988" w14:textId="77777777" w:rsidTr="00CE6A06">
        <w:tc>
          <w:tcPr>
            <w:tcW w:w="2349" w:type="dxa"/>
          </w:tcPr>
          <w:p w14:paraId="307080CC" w14:textId="0794005E" w:rsidR="007C6B75" w:rsidRDefault="007C6B75" w:rsidP="006652D3">
            <w:pPr>
              <w:pStyle w:val="TableText"/>
            </w:pPr>
            <w:r w:rsidRPr="009B5343">
              <w:t>Full Declaration format SAC</w:t>
            </w:r>
            <w:r>
              <w:t xml:space="preserve"> (SCL)</w:t>
            </w:r>
          </w:p>
        </w:tc>
        <w:tc>
          <w:tcPr>
            <w:tcW w:w="6721" w:type="dxa"/>
          </w:tcPr>
          <w:p w14:paraId="6709ECC5" w14:textId="41DA20D9" w:rsidR="007C6B75" w:rsidRDefault="007C6B75" w:rsidP="006652D3">
            <w:pPr>
              <w:pStyle w:val="TableText"/>
            </w:pPr>
            <w:r>
              <w:t>A type of import declaration that is lodged in the Integrated Cargo System.</w:t>
            </w:r>
          </w:p>
        </w:tc>
      </w:tr>
      <w:tr w:rsidR="007C6B75" w14:paraId="226DE7C6" w14:textId="77777777" w:rsidTr="00CE6A06">
        <w:tc>
          <w:tcPr>
            <w:tcW w:w="2349" w:type="dxa"/>
          </w:tcPr>
          <w:p w14:paraId="67083E18" w14:textId="77777777" w:rsidR="007C6B75" w:rsidRDefault="007C6B75" w:rsidP="006652D3">
            <w:pPr>
              <w:pStyle w:val="TableText"/>
            </w:pPr>
            <w:r>
              <w:t>Integrated Cargo System (ICS)</w:t>
            </w:r>
          </w:p>
        </w:tc>
        <w:tc>
          <w:tcPr>
            <w:tcW w:w="6721" w:type="dxa"/>
          </w:tcPr>
          <w:p w14:paraId="42431448" w14:textId="77777777" w:rsidR="007C6B75" w:rsidRDefault="007C6B75" w:rsidP="006652D3">
            <w:pPr>
              <w:pStyle w:val="TableText"/>
            </w:pPr>
            <w:r>
              <w:t>The ICS is the electronic system used to lodge import declarations with the Department of Immigration and Border Protection.</w:t>
            </w:r>
          </w:p>
        </w:tc>
      </w:tr>
      <w:tr w:rsidR="007C6B75" w14:paraId="00DA0B20" w14:textId="77777777" w:rsidTr="00CE6A06">
        <w:tc>
          <w:tcPr>
            <w:tcW w:w="2349" w:type="dxa"/>
          </w:tcPr>
          <w:p w14:paraId="6D6153B2" w14:textId="130D0C2D" w:rsidR="007C6B75" w:rsidRDefault="007C6B75" w:rsidP="006652D3">
            <w:pPr>
              <w:pStyle w:val="TableText"/>
            </w:pPr>
            <w:r>
              <w:t>Importer</w:t>
            </w:r>
          </w:p>
        </w:tc>
        <w:tc>
          <w:tcPr>
            <w:tcW w:w="6721" w:type="dxa"/>
          </w:tcPr>
          <w:p w14:paraId="49D4B96B" w14:textId="6156F079" w:rsidR="007C6B75" w:rsidRDefault="007C6B75" w:rsidP="000C5757">
            <w:pPr>
              <w:pStyle w:val="TableText"/>
            </w:pPr>
            <w:r>
              <w:t>For the purposes of this policy the importer is the person or</w:t>
            </w:r>
            <w:r w:rsidR="000C5757">
              <w:t xml:space="preserve"> company</w:t>
            </w:r>
            <w:r>
              <w:t xml:space="preserve"> importing the goods </w:t>
            </w:r>
          </w:p>
        </w:tc>
      </w:tr>
      <w:tr w:rsidR="007C6B75" w14:paraId="7B2415E9" w14:textId="77777777" w:rsidTr="00CE6A06">
        <w:tc>
          <w:tcPr>
            <w:tcW w:w="2349" w:type="dxa"/>
          </w:tcPr>
          <w:p w14:paraId="18AA4974" w14:textId="1049503D" w:rsidR="007C6B75" w:rsidRDefault="007C6B75" w:rsidP="006652D3">
            <w:pPr>
              <w:pStyle w:val="TableText"/>
            </w:pPr>
            <w:r>
              <w:t>Import conditions</w:t>
            </w:r>
          </w:p>
        </w:tc>
        <w:tc>
          <w:tcPr>
            <w:tcW w:w="6721" w:type="dxa"/>
          </w:tcPr>
          <w:p w14:paraId="57D0AA5A" w14:textId="6797F2CC" w:rsidR="007C6B75" w:rsidRDefault="007C6B75" w:rsidP="006652D3">
            <w:pPr>
              <w:pStyle w:val="TableText"/>
            </w:pPr>
            <w:r>
              <w:t xml:space="preserve">The requirements which must be satisfied for biosecurity (as outlined in BICON or on an individual import permit) and for imported foods (as outlined under the </w:t>
            </w:r>
            <w:r w:rsidRPr="001E33D5">
              <w:rPr>
                <w:rStyle w:val="Emphasis"/>
              </w:rPr>
              <w:t xml:space="preserve">Imported Food Control Act 1992 </w:t>
            </w:r>
            <w:r>
              <w:t>and its subordinate legislation).</w:t>
            </w:r>
          </w:p>
        </w:tc>
      </w:tr>
      <w:tr w:rsidR="007C6B75" w14:paraId="00EF0E19" w14:textId="77777777" w:rsidTr="00CE6A06">
        <w:tc>
          <w:tcPr>
            <w:tcW w:w="2349" w:type="dxa"/>
          </w:tcPr>
          <w:p w14:paraId="47E98884" w14:textId="77777777" w:rsidR="007C6B75" w:rsidRDefault="007C6B75" w:rsidP="006652D3">
            <w:pPr>
              <w:pStyle w:val="TableText"/>
            </w:pPr>
            <w:r>
              <w:t>Import declaration</w:t>
            </w:r>
          </w:p>
        </w:tc>
        <w:tc>
          <w:tcPr>
            <w:tcW w:w="6721" w:type="dxa"/>
          </w:tcPr>
          <w:p w14:paraId="65270B24" w14:textId="77777777" w:rsidR="007C6B75" w:rsidRDefault="007C6B75" w:rsidP="006652D3">
            <w:pPr>
              <w:pStyle w:val="TableText"/>
            </w:pPr>
            <w:r>
              <w:t>All goods that are subject to quarantine must be referred to the department on an import declaration. An import declaration can be:</w:t>
            </w:r>
          </w:p>
          <w:p w14:paraId="25E34B8E" w14:textId="4C0AB905" w:rsidR="007C6B75" w:rsidRDefault="007C6B75" w:rsidP="006652D3">
            <w:pPr>
              <w:pStyle w:val="TableBullet"/>
            </w:pPr>
            <w:r>
              <w:t>manually entered by a biosecurity officer</w:t>
            </w:r>
          </w:p>
          <w:p w14:paraId="1BD65A82" w14:textId="77777777" w:rsidR="007C6B75" w:rsidRDefault="007C6B75" w:rsidP="006652D3">
            <w:pPr>
              <w:pStyle w:val="TableBullet"/>
            </w:pPr>
            <w:r>
              <w:t>lodged directly into the ICS</w:t>
            </w:r>
          </w:p>
          <w:p w14:paraId="095AF17D" w14:textId="77777777" w:rsidR="007C6B75" w:rsidRDefault="007C6B75" w:rsidP="006652D3">
            <w:pPr>
              <w:pStyle w:val="TableBullet"/>
            </w:pPr>
            <w:proofErr w:type="gramStart"/>
            <w:r>
              <w:t>lodged</w:t>
            </w:r>
            <w:proofErr w:type="gramEnd"/>
            <w:r>
              <w:t xml:space="preserve"> into the ICS via third party software.</w:t>
            </w:r>
          </w:p>
        </w:tc>
      </w:tr>
      <w:tr w:rsidR="007C6B75" w14:paraId="712AABD8" w14:textId="77777777" w:rsidTr="00CE6A06">
        <w:tc>
          <w:tcPr>
            <w:tcW w:w="2349" w:type="dxa"/>
          </w:tcPr>
          <w:p w14:paraId="6DFC85B5" w14:textId="77777777" w:rsidR="007C6B75" w:rsidRDefault="007C6B75" w:rsidP="006652D3">
            <w:pPr>
              <w:pStyle w:val="TableText"/>
            </w:pPr>
            <w:r>
              <w:t>Import permit</w:t>
            </w:r>
          </w:p>
        </w:tc>
        <w:tc>
          <w:tcPr>
            <w:tcW w:w="6721" w:type="dxa"/>
          </w:tcPr>
          <w:p w14:paraId="0BA26C8A" w14:textId="5F5444BF" w:rsidR="007C6B75" w:rsidRDefault="007C6B75" w:rsidP="006652D3">
            <w:pPr>
              <w:pStyle w:val="TableText"/>
            </w:pPr>
            <w:r>
              <w:t xml:space="preserve">Some products have been assessed as posing a significant risk to Australia </w:t>
            </w:r>
            <w:r w:rsidR="000C5757">
              <w:t xml:space="preserve">Biosecurity </w:t>
            </w:r>
            <w:r>
              <w:t>and are only allowed to be imported if the department grants an import permit. The department grants import permits following application by a permit applicant.</w:t>
            </w:r>
          </w:p>
        </w:tc>
      </w:tr>
      <w:tr w:rsidR="007C6B75" w14:paraId="015BB62D" w14:textId="77777777" w:rsidTr="00CE6A06">
        <w:tc>
          <w:tcPr>
            <w:tcW w:w="2349" w:type="dxa"/>
          </w:tcPr>
          <w:p w14:paraId="0D0F62C6" w14:textId="77777777" w:rsidR="007C6B75" w:rsidRDefault="007C6B75" w:rsidP="006652D3">
            <w:pPr>
              <w:pStyle w:val="TableText"/>
            </w:pPr>
            <w:r>
              <w:t>Imported Food Inspection Scheme (IFIS)</w:t>
            </w:r>
          </w:p>
        </w:tc>
        <w:tc>
          <w:tcPr>
            <w:tcW w:w="6721" w:type="dxa"/>
          </w:tcPr>
          <w:p w14:paraId="224D0F96" w14:textId="77777777" w:rsidR="007C6B75" w:rsidRDefault="007C6B75" w:rsidP="006652D3">
            <w:pPr>
              <w:pStyle w:val="TableText"/>
            </w:pPr>
            <w:r>
              <w:t xml:space="preserve">The </w:t>
            </w:r>
            <w:r w:rsidRPr="001E33D5">
              <w:rPr>
                <w:rStyle w:val="Emphasis"/>
              </w:rPr>
              <w:t>Imported Food Control Act 1992</w:t>
            </w:r>
            <w:r>
              <w:t xml:space="preserve"> is the legal basis for the department to administer the Imported Food Inspection Scheme and inspect commercial consignments of imported food for food safety and compliance with the Australia New Zealand Food Standards Code.</w:t>
            </w:r>
          </w:p>
        </w:tc>
      </w:tr>
      <w:tr w:rsidR="007C6B75" w14:paraId="647DD54A" w14:textId="77777777" w:rsidTr="00CE6A06">
        <w:tc>
          <w:tcPr>
            <w:tcW w:w="2349" w:type="dxa"/>
          </w:tcPr>
          <w:p w14:paraId="3668972B" w14:textId="77777777" w:rsidR="007C6B75" w:rsidRDefault="007C6B75" w:rsidP="006652D3">
            <w:pPr>
              <w:pStyle w:val="TableText"/>
            </w:pPr>
            <w:r>
              <w:t>International Seed Testing Authority (ISTA)</w:t>
            </w:r>
          </w:p>
        </w:tc>
        <w:tc>
          <w:tcPr>
            <w:tcW w:w="6721" w:type="dxa"/>
          </w:tcPr>
          <w:p w14:paraId="657C16A6" w14:textId="77777777" w:rsidR="007C6B75" w:rsidRDefault="007C6B75" w:rsidP="006652D3">
            <w:pPr>
              <w:pStyle w:val="TableText"/>
            </w:pPr>
            <w:r>
              <w:t>The International Seed Testing Authority produces internationally agreed rules for seed sampling and testing. It accredits laboratories, promotes research, provides international seed analysis certificates and training, and disseminates knowledge in seed science and technology.</w:t>
            </w:r>
          </w:p>
        </w:tc>
      </w:tr>
      <w:tr w:rsidR="007C6B75" w14:paraId="09F39B34" w14:textId="77777777" w:rsidTr="00CE6A06">
        <w:tc>
          <w:tcPr>
            <w:tcW w:w="2349" w:type="dxa"/>
          </w:tcPr>
          <w:p w14:paraId="4A6C62CE" w14:textId="77777777" w:rsidR="007C6B75" w:rsidRDefault="007C6B75" w:rsidP="006652D3">
            <w:pPr>
              <w:pStyle w:val="TableText"/>
            </w:pPr>
            <w:r>
              <w:t>ISPM 12</w:t>
            </w:r>
          </w:p>
        </w:tc>
        <w:tc>
          <w:tcPr>
            <w:tcW w:w="6721" w:type="dxa"/>
          </w:tcPr>
          <w:p w14:paraId="3B175A65" w14:textId="77777777" w:rsidR="007C6B75" w:rsidRDefault="007C6B75" w:rsidP="006652D3">
            <w:pPr>
              <w:pStyle w:val="TableText"/>
            </w:pPr>
            <w:r>
              <w:t>International Standards for Phytosanitary Measures No. 12—Guidelines for phytosanitary certificates.</w:t>
            </w:r>
          </w:p>
        </w:tc>
      </w:tr>
      <w:tr w:rsidR="007C6B75" w14:paraId="4F790FF1" w14:textId="77777777" w:rsidTr="00CE6A06">
        <w:tc>
          <w:tcPr>
            <w:tcW w:w="2349" w:type="dxa"/>
          </w:tcPr>
          <w:p w14:paraId="6195CA71" w14:textId="77777777" w:rsidR="007C6B75" w:rsidRDefault="007C6B75" w:rsidP="006652D3">
            <w:pPr>
              <w:pStyle w:val="TableText"/>
            </w:pPr>
            <w:r>
              <w:t>ISPM 15</w:t>
            </w:r>
          </w:p>
        </w:tc>
        <w:tc>
          <w:tcPr>
            <w:tcW w:w="6721" w:type="dxa"/>
          </w:tcPr>
          <w:p w14:paraId="4A8445DD" w14:textId="77777777" w:rsidR="007C6B75" w:rsidRDefault="007C6B75" w:rsidP="006652D3">
            <w:pPr>
              <w:pStyle w:val="TableText"/>
            </w:pPr>
            <w:r>
              <w:t>International Standards for Phytosanitary Measures No. 15—Guidelines for regulating wood packaging material in international trade.</w:t>
            </w:r>
          </w:p>
        </w:tc>
      </w:tr>
      <w:tr w:rsidR="007C6B75" w14:paraId="242BEBAE" w14:textId="77777777" w:rsidTr="00CE6A06">
        <w:tc>
          <w:tcPr>
            <w:tcW w:w="2349" w:type="dxa"/>
          </w:tcPr>
          <w:p w14:paraId="72657687" w14:textId="77777777" w:rsidR="007C6B75" w:rsidRDefault="007C6B75" w:rsidP="006652D3">
            <w:pPr>
              <w:pStyle w:val="TableText"/>
            </w:pPr>
            <w:r>
              <w:lastRenderedPageBreak/>
              <w:t>Landed</w:t>
            </w:r>
          </w:p>
        </w:tc>
        <w:tc>
          <w:tcPr>
            <w:tcW w:w="6721" w:type="dxa"/>
          </w:tcPr>
          <w:p w14:paraId="3980FB0D" w14:textId="77777777" w:rsidR="007C6B75" w:rsidRDefault="007C6B75" w:rsidP="006652D3">
            <w:pPr>
              <w:pStyle w:val="TableText"/>
            </w:pPr>
            <w:r>
              <w:t>Goods that have been unloaded from a vessel/aircraft onto land in Australia.</w:t>
            </w:r>
          </w:p>
        </w:tc>
      </w:tr>
      <w:tr w:rsidR="007C6B75" w14:paraId="440F3A6D" w14:textId="77777777" w:rsidTr="00CE6A06">
        <w:tc>
          <w:tcPr>
            <w:tcW w:w="2349" w:type="dxa"/>
          </w:tcPr>
          <w:p w14:paraId="43FD3067" w14:textId="77777777" w:rsidR="007C6B75" w:rsidRDefault="007C6B75" w:rsidP="006652D3">
            <w:pPr>
              <w:pStyle w:val="TableText"/>
            </w:pPr>
            <w:r>
              <w:t>Letter of credit</w:t>
            </w:r>
          </w:p>
        </w:tc>
        <w:tc>
          <w:tcPr>
            <w:tcW w:w="6721" w:type="dxa"/>
          </w:tcPr>
          <w:p w14:paraId="6336B01D" w14:textId="77777777" w:rsidR="007C6B75" w:rsidRDefault="007C6B75" w:rsidP="006652D3">
            <w:pPr>
              <w:pStyle w:val="TableText"/>
            </w:pPr>
            <w:r>
              <w:t>A conditional order, issued by a buyer’s bank, guaranteeing to pay the seller following presentation of stipulated documents. The correct term for a letter of credit is a documentary credit.</w:t>
            </w:r>
          </w:p>
        </w:tc>
      </w:tr>
      <w:tr w:rsidR="007C6B75" w14:paraId="7524788F" w14:textId="77777777" w:rsidTr="00CE6A06">
        <w:tc>
          <w:tcPr>
            <w:tcW w:w="2349" w:type="dxa"/>
          </w:tcPr>
          <w:p w14:paraId="17414509" w14:textId="77777777" w:rsidR="007C6B75" w:rsidRDefault="007C6B75" w:rsidP="006652D3">
            <w:pPr>
              <w:pStyle w:val="TableText"/>
            </w:pPr>
            <w:r>
              <w:t xml:space="preserve">Lot </w:t>
            </w:r>
          </w:p>
        </w:tc>
        <w:tc>
          <w:tcPr>
            <w:tcW w:w="6721" w:type="dxa"/>
          </w:tcPr>
          <w:p w14:paraId="3E023127" w14:textId="77777777" w:rsidR="007C6B75" w:rsidRDefault="007C6B75" w:rsidP="006652D3">
            <w:pPr>
              <w:pStyle w:val="TableText"/>
            </w:pPr>
            <w:r>
              <w:t>A quantity of food of a particular kind prepared under the same general conditions, from a particular packing or preparation unit, during a particular period (usually a 24-hour period of production). A lot may be identified by marks or codes devised by the manufacturer. Use-by or packing dates may satisfy this requirement when in day/month/year format.</w:t>
            </w:r>
          </w:p>
        </w:tc>
      </w:tr>
      <w:tr w:rsidR="007C6B75" w14:paraId="49717399" w14:textId="77777777" w:rsidTr="00CE6A06">
        <w:tc>
          <w:tcPr>
            <w:tcW w:w="2349" w:type="dxa"/>
          </w:tcPr>
          <w:p w14:paraId="13320C86" w14:textId="77777777" w:rsidR="007C6B75" w:rsidRDefault="007C6B75" w:rsidP="006652D3">
            <w:pPr>
              <w:pStyle w:val="TableText"/>
            </w:pPr>
            <w:r>
              <w:t>Lot code list</w:t>
            </w:r>
          </w:p>
        </w:tc>
        <w:tc>
          <w:tcPr>
            <w:tcW w:w="6721" w:type="dxa"/>
          </w:tcPr>
          <w:p w14:paraId="02172CDA" w14:textId="77777777" w:rsidR="007C6B75" w:rsidRDefault="007C6B75" w:rsidP="006652D3">
            <w:pPr>
              <w:pStyle w:val="TableText"/>
            </w:pPr>
            <w:r>
              <w:t>A list of all lot codes within a consignment that identifies the number of cartons or quantity per lot for each type of food (batch).</w:t>
            </w:r>
          </w:p>
          <w:p w14:paraId="4E205533" w14:textId="77777777" w:rsidR="007C6B75" w:rsidRDefault="007C6B75" w:rsidP="006652D3">
            <w:pPr>
              <w:pStyle w:val="TableText"/>
            </w:pPr>
            <w:r>
              <w:t>For example, lot 2004/07 is 100 cartons x 24 x 375g cans of tomatoes.</w:t>
            </w:r>
          </w:p>
        </w:tc>
      </w:tr>
      <w:tr w:rsidR="007C6B75" w14:paraId="134D1B9F" w14:textId="77777777" w:rsidTr="00CE6A06">
        <w:tc>
          <w:tcPr>
            <w:tcW w:w="2349" w:type="dxa"/>
          </w:tcPr>
          <w:p w14:paraId="206C9EE8" w14:textId="77777777" w:rsidR="007C6B75" w:rsidRDefault="007C6B75" w:rsidP="006652D3">
            <w:pPr>
              <w:pStyle w:val="TableText"/>
            </w:pPr>
            <w:r>
              <w:t>Marks and numbers</w:t>
            </w:r>
          </w:p>
        </w:tc>
        <w:tc>
          <w:tcPr>
            <w:tcW w:w="6721" w:type="dxa"/>
          </w:tcPr>
          <w:p w14:paraId="0218FA75" w14:textId="1FA702D5" w:rsidR="007C6B75" w:rsidRDefault="007C6B75" w:rsidP="00DC24E4">
            <w:pPr>
              <w:pStyle w:val="TableText"/>
            </w:pPr>
            <w:r>
              <w:t>Batch numbers, serial numbers or other</w:t>
            </w:r>
            <w:r w:rsidR="00DC24E4">
              <w:t xml:space="preserve"> consignment specific codes </w:t>
            </w:r>
            <w:r>
              <w:t>on the goods or packaging of goods, which enable them to be identified.</w:t>
            </w:r>
          </w:p>
        </w:tc>
      </w:tr>
      <w:tr w:rsidR="007C6B75" w14:paraId="7AC7F998" w14:textId="77777777" w:rsidTr="00CE6A06">
        <w:tc>
          <w:tcPr>
            <w:tcW w:w="2349" w:type="dxa"/>
          </w:tcPr>
          <w:p w14:paraId="10295053" w14:textId="77777777" w:rsidR="007C6B75" w:rsidRDefault="007C6B75" w:rsidP="006652D3">
            <w:pPr>
              <w:pStyle w:val="TableText"/>
            </w:pPr>
            <w:r>
              <w:t>Non-commercial consignments</w:t>
            </w:r>
          </w:p>
        </w:tc>
        <w:tc>
          <w:tcPr>
            <w:tcW w:w="6721" w:type="dxa"/>
          </w:tcPr>
          <w:p w14:paraId="1BFB350E" w14:textId="77777777" w:rsidR="007C6B75" w:rsidRDefault="007C6B75" w:rsidP="006652D3">
            <w:pPr>
              <w:pStyle w:val="TableText"/>
            </w:pPr>
            <w:r>
              <w:t>A consignment that is imported for private use (that is, not commercial, retail or sample purposes or specified differently by the relevant BICON case or import permit conditions).</w:t>
            </w:r>
          </w:p>
          <w:p w14:paraId="0F2F16B5" w14:textId="77777777" w:rsidR="007C6B75" w:rsidRDefault="007C6B75" w:rsidP="006652D3">
            <w:pPr>
              <w:pStyle w:val="TableText"/>
            </w:pPr>
            <w:r>
              <w:t xml:space="preserve">For the Imported Food Inspection Scheme, consignments for private use are determined based on section 7 of the </w:t>
            </w:r>
            <w:r w:rsidRPr="001E33D5">
              <w:rPr>
                <w:rStyle w:val="Emphasis"/>
              </w:rPr>
              <w:t>Imported Food Control Act 1992</w:t>
            </w:r>
            <w:r>
              <w:t>.</w:t>
            </w:r>
          </w:p>
          <w:p w14:paraId="1C86CF36" w14:textId="77777777" w:rsidR="007C6B75" w:rsidRDefault="007C6B75" w:rsidP="006652D3">
            <w:pPr>
              <w:pStyle w:val="TableText"/>
            </w:pPr>
            <w:r>
              <w:t>Import conditions for some goods stipulate maximum quantities that may be imported for personal use.</w:t>
            </w:r>
          </w:p>
        </w:tc>
      </w:tr>
      <w:tr w:rsidR="007C6B75" w14:paraId="4282E5A5" w14:textId="77777777" w:rsidTr="00CE6A06">
        <w:tc>
          <w:tcPr>
            <w:tcW w:w="2349" w:type="dxa"/>
          </w:tcPr>
          <w:p w14:paraId="64BF3826" w14:textId="77777777" w:rsidR="007C6B75" w:rsidRDefault="007C6B75" w:rsidP="006652D3">
            <w:pPr>
              <w:pStyle w:val="TableText"/>
            </w:pPr>
            <w:r>
              <w:t>Prescribed information</w:t>
            </w:r>
          </w:p>
        </w:tc>
        <w:tc>
          <w:tcPr>
            <w:tcW w:w="6721" w:type="dxa"/>
          </w:tcPr>
          <w:p w14:paraId="16D9F46E" w14:textId="77777777" w:rsidR="007C6B75" w:rsidRDefault="007C6B75" w:rsidP="006652D3">
            <w:pPr>
              <w:pStyle w:val="TableText"/>
            </w:pPr>
            <w:r>
              <w:t>Information required by import conditions or other departmental policies.</w:t>
            </w:r>
          </w:p>
        </w:tc>
      </w:tr>
      <w:tr w:rsidR="007C6B75" w14:paraId="7EAAFE0E" w14:textId="77777777" w:rsidTr="00CE6A06">
        <w:tc>
          <w:tcPr>
            <w:tcW w:w="2349" w:type="dxa"/>
          </w:tcPr>
          <w:p w14:paraId="32B0C1EF" w14:textId="77777777" w:rsidR="007C6B75" w:rsidRDefault="007C6B75" w:rsidP="006652D3">
            <w:pPr>
              <w:pStyle w:val="TableText"/>
            </w:pPr>
            <w:r>
              <w:t>Producer</w:t>
            </w:r>
          </w:p>
        </w:tc>
        <w:tc>
          <w:tcPr>
            <w:tcW w:w="6721" w:type="dxa"/>
          </w:tcPr>
          <w:p w14:paraId="420CC33E" w14:textId="77777777" w:rsidR="007C6B75" w:rsidRDefault="007C6B75" w:rsidP="006652D3">
            <w:pPr>
              <w:pStyle w:val="TableText"/>
            </w:pPr>
            <w:r>
              <w:t>The producer of an imported food is the commercial or individual’s premises or area in the country of origin where the goods were grown, caught, manufactured or processed. The producer may also be referred to as the manufacturer, processer, packer or establishment.</w:t>
            </w:r>
          </w:p>
        </w:tc>
      </w:tr>
      <w:tr w:rsidR="007C6B75" w14:paraId="644CD375" w14:textId="77777777" w:rsidTr="00CE6A06">
        <w:tc>
          <w:tcPr>
            <w:tcW w:w="2349" w:type="dxa"/>
          </w:tcPr>
          <w:p w14:paraId="00E16BCE" w14:textId="77777777" w:rsidR="007C6B75" w:rsidRDefault="007C6B75" w:rsidP="006652D3">
            <w:pPr>
              <w:pStyle w:val="TableText"/>
            </w:pPr>
            <w:r>
              <w:t>Signature</w:t>
            </w:r>
          </w:p>
        </w:tc>
        <w:tc>
          <w:tcPr>
            <w:tcW w:w="6721" w:type="dxa"/>
          </w:tcPr>
          <w:p w14:paraId="62F1761B" w14:textId="77777777" w:rsidR="007C6B75" w:rsidRDefault="007C6B75" w:rsidP="006652D3">
            <w:pPr>
              <w:pStyle w:val="TableText"/>
            </w:pPr>
            <w:r>
              <w:t>A method used to identify an individual and to indicate their acknowledgement of the content in the document.</w:t>
            </w:r>
          </w:p>
        </w:tc>
      </w:tr>
      <w:tr w:rsidR="007C6B75" w14:paraId="3331D62D" w14:textId="77777777" w:rsidTr="002F6BB4">
        <w:tc>
          <w:tcPr>
            <w:tcW w:w="2349" w:type="dxa"/>
          </w:tcPr>
          <w:p w14:paraId="72591926" w14:textId="77777777" w:rsidR="007C6B75" w:rsidRDefault="007C6B75" w:rsidP="007C6B75">
            <w:r w:rsidRPr="00AA2274">
              <w:t>Stamp/seal (also known as chop stamps)</w:t>
            </w:r>
          </w:p>
        </w:tc>
        <w:tc>
          <w:tcPr>
            <w:tcW w:w="6721" w:type="dxa"/>
          </w:tcPr>
          <w:p w14:paraId="5F26CB5A" w14:textId="77777777" w:rsidR="007C6B75" w:rsidRDefault="007C6B75" w:rsidP="006652D3">
            <w:pPr>
              <w:pStyle w:val="TableText"/>
            </w:pPr>
            <w:r>
              <w:t>A method used to identify an individual or company and to indicate their acknowledgement of the content in the document.</w:t>
            </w:r>
          </w:p>
          <w:p w14:paraId="6E5421F8" w14:textId="77777777" w:rsidR="007C6B75" w:rsidRDefault="007C6B75" w:rsidP="006652D3">
            <w:pPr>
              <w:pStyle w:val="TableText"/>
            </w:pPr>
            <w:r>
              <w:t>Examples of acceptable stamps include but are not limited to company stamp/seal or an individual stamp.</w:t>
            </w:r>
          </w:p>
          <w:p w14:paraId="2CA824FA" w14:textId="77777777" w:rsidR="007C6B75" w:rsidRDefault="007C6B75" w:rsidP="006652D3">
            <w:pPr>
              <w:pStyle w:val="TableText"/>
            </w:pPr>
            <w:r>
              <w:t>A company stamp/seal must contain:</w:t>
            </w:r>
          </w:p>
          <w:p w14:paraId="499F444A" w14:textId="77777777" w:rsidR="007C6B75" w:rsidRDefault="007C6B75" w:rsidP="006652D3">
            <w:pPr>
              <w:pStyle w:val="TableBullet"/>
            </w:pPr>
            <w:r>
              <w:t>the name of the company</w:t>
            </w:r>
          </w:p>
          <w:p w14:paraId="7E0BB0EF" w14:textId="77777777" w:rsidR="007C6B75" w:rsidRDefault="007C6B75" w:rsidP="006652D3">
            <w:pPr>
              <w:pStyle w:val="TableBullet"/>
            </w:pPr>
            <w:proofErr w:type="gramStart"/>
            <w:r>
              <w:t>the</w:t>
            </w:r>
            <w:proofErr w:type="gramEnd"/>
            <w:r>
              <w:t xml:space="preserve"> address of the company (if being used in lieu of a letterhead).</w:t>
            </w:r>
          </w:p>
          <w:p w14:paraId="218FA9CD" w14:textId="77777777" w:rsidR="007C6B75" w:rsidRDefault="007C6B75" w:rsidP="006652D3">
            <w:pPr>
              <w:pStyle w:val="TableText"/>
            </w:pPr>
            <w:r>
              <w:t>An individual stamp must identify the individual who is applying the stamp/seal. An individual may identify themselves using a stamp that includes any or all of the following:</w:t>
            </w:r>
          </w:p>
          <w:p w14:paraId="1F71E362" w14:textId="77777777" w:rsidR="007C6B75" w:rsidRDefault="007C6B75" w:rsidP="006652D3">
            <w:pPr>
              <w:pStyle w:val="TableBullet"/>
            </w:pPr>
            <w:r>
              <w:t>signed name</w:t>
            </w:r>
          </w:p>
          <w:p w14:paraId="6F2CEC22" w14:textId="77777777" w:rsidR="007C6B75" w:rsidRDefault="007C6B75" w:rsidP="006652D3">
            <w:pPr>
              <w:pStyle w:val="TableBullet"/>
            </w:pPr>
            <w:r>
              <w:t>printed name</w:t>
            </w:r>
          </w:p>
          <w:p w14:paraId="296BC3C6" w14:textId="77777777" w:rsidR="007C6B75" w:rsidRDefault="007C6B75" w:rsidP="006652D3">
            <w:pPr>
              <w:pStyle w:val="TableBullet"/>
            </w:pPr>
            <w:r>
              <w:lastRenderedPageBreak/>
              <w:t>mark or character that is significant to an individual</w:t>
            </w:r>
          </w:p>
          <w:p w14:paraId="26423A4E" w14:textId="77777777" w:rsidR="007C6B75" w:rsidRDefault="007C6B75" w:rsidP="006652D3">
            <w:pPr>
              <w:pStyle w:val="TableBullet"/>
            </w:pPr>
            <w:proofErr w:type="gramStart"/>
            <w:r>
              <w:t>unique</w:t>
            </w:r>
            <w:proofErr w:type="gramEnd"/>
            <w:r>
              <w:t xml:space="preserve"> identification number.</w:t>
            </w:r>
          </w:p>
          <w:p w14:paraId="55C37EBA" w14:textId="77777777" w:rsidR="007C6B75" w:rsidRDefault="007C6B75" w:rsidP="006652D3">
            <w:pPr>
              <w:pStyle w:val="TableText"/>
            </w:pPr>
            <w:r>
              <w:t>Individual stamps and printed names do not need to be in English.</w:t>
            </w:r>
          </w:p>
          <w:p w14:paraId="47E18ED8" w14:textId="77777777" w:rsidR="007C6B75" w:rsidRDefault="007C6B75" w:rsidP="006652D3">
            <w:pPr>
              <w:pStyle w:val="TableText"/>
            </w:pPr>
            <w:r>
              <w:t>Stamps that contain both individual and company details must meet both company and individual stamp requirements.</w:t>
            </w:r>
          </w:p>
        </w:tc>
      </w:tr>
      <w:tr w:rsidR="000B3589" w14:paraId="5EC04DD8" w14:textId="77777777" w:rsidTr="002F6BB4">
        <w:tc>
          <w:tcPr>
            <w:tcW w:w="2349" w:type="dxa"/>
          </w:tcPr>
          <w:p w14:paraId="489D7D42" w14:textId="609E985E" w:rsidR="000B3589" w:rsidRPr="00AA2274" w:rsidRDefault="000B3589" w:rsidP="007C6B75">
            <w:r>
              <w:lastRenderedPageBreak/>
              <w:t xml:space="preserve">Supplier </w:t>
            </w:r>
          </w:p>
        </w:tc>
        <w:tc>
          <w:tcPr>
            <w:tcW w:w="6721" w:type="dxa"/>
          </w:tcPr>
          <w:p w14:paraId="5CDB28FD" w14:textId="3118FF4B" w:rsidR="009D2A72" w:rsidRDefault="009D2A72" w:rsidP="009D2A72">
            <w:pPr>
              <w:pStyle w:val="TableText"/>
            </w:pPr>
            <w:r w:rsidRPr="009D2A72">
              <w:t>A su</w:t>
            </w:r>
            <w:r w:rsidR="000B3589" w:rsidRPr="009D2A72">
              <w:t xml:space="preserve">pplier </w:t>
            </w:r>
            <w:r w:rsidRPr="009D2A72">
              <w:t xml:space="preserve">is </w:t>
            </w:r>
            <w:proofErr w:type="spellStart"/>
            <w:r w:rsidRPr="009D2A72">
              <w:t>is</w:t>
            </w:r>
            <w:proofErr w:type="spellEnd"/>
            <w:r w:rsidRPr="009D2A72">
              <w:t xml:space="preserve"> the person/company who </w:t>
            </w:r>
            <w:r w:rsidR="000B3589" w:rsidRPr="009D2A72">
              <w:t>initiates the sending of goods to a person</w:t>
            </w:r>
            <w:r w:rsidRPr="009D2A72">
              <w:t>/company</w:t>
            </w:r>
            <w:r w:rsidR="000B3589" w:rsidRPr="009D2A72">
              <w:t xml:space="preserve"> in</w:t>
            </w:r>
            <w:r w:rsidRPr="009D2A72">
              <w:t xml:space="preserve"> Australia.</w:t>
            </w:r>
          </w:p>
        </w:tc>
      </w:tr>
      <w:tr w:rsidR="007C6B75" w14:paraId="0757DBF2" w14:textId="77777777" w:rsidTr="002F6BB4">
        <w:tc>
          <w:tcPr>
            <w:tcW w:w="2349" w:type="dxa"/>
            <w:tcBorders>
              <w:bottom w:val="single" w:sz="4" w:space="0" w:color="auto"/>
            </w:tcBorders>
          </w:tcPr>
          <w:p w14:paraId="19F250CB" w14:textId="77777777" w:rsidR="007C6B75" w:rsidRDefault="007C6B75" w:rsidP="006652D3">
            <w:pPr>
              <w:pStyle w:val="TableText"/>
            </w:pPr>
            <w:r w:rsidRPr="00AA2274">
              <w:t>Transhipment</w:t>
            </w:r>
          </w:p>
        </w:tc>
        <w:tc>
          <w:tcPr>
            <w:tcW w:w="6721" w:type="dxa"/>
            <w:tcBorders>
              <w:bottom w:val="single" w:sz="4" w:space="0" w:color="auto"/>
            </w:tcBorders>
          </w:tcPr>
          <w:p w14:paraId="00124A6D" w14:textId="77777777" w:rsidR="007C6B75" w:rsidRDefault="007C6B75" w:rsidP="006652D3">
            <w:pPr>
              <w:pStyle w:val="TableText"/>
            </w:pPr>
            <w:r>
              <w:t>The transfer of consignments from one conveyance (means of transport) to another (for example, ship to ship at a seaport) during the transportation process. Usually transhipment takes place under customs control within an area specified by the relevant customs organisation.</w:t>
            </w:r>
          </w:p>
          <w:p w14:paraId="58BDE06F" w14:textId="77777777" w:rsidR="007C6B75" w:rsidRDefault="007C6B75" w:rsidP="006652D3">
            <w:pPr>
              <w:pStyle w:val="TableText"/>
            </w:pPr>
            <w:r>
              <w:t>The Department of Immigration and Border Protection defines transhipment as the transfer of goods without payment of duty and taxes from the importing ship or aircraft to another ship or aircraft engaged in international travel for the purpose of shipment overseas.</w:t>
            </w:r>
          </w:p>
        </w:tc>
      </w:tr>
    </w:tbl>
    <w:p w14:paraId="43E956A4" w14:textId="77777777" w:rsidR="00E05229" w:rsidRDefault="00E05229" w:rsidP="00E05229">
      <w:pPr>
        <w:pStyle w:val="Heading2"/>
      </w:pPr>
      <w:bookmarkStart w:id="3" w:name="_Toc487460807"/>
      <w:r>
        <w:lastRenderedPageBreak/>
        <w:t>Policy</w:t>
      </w:r>
      <w:bookmarkEnd w:id="3"/>
    </w:p>
    <w:p w14:paraId="69ADAFE9" w14:textId="77777777" w:rsidR="00E05229" w:rsidRPr="00205FE8" w:rsidRDefault="00E05229" w:rsidP="00914E1D">
      <w:pPr>
        <w:pStyle w:val="Heading3"/>
      </w:pPr>
      <w:bookmarkStart w:id="4" w:name="_Toc487460808"/>
      <w:r w:rsidRPr="00205FE8">
        <w:t>Overarching document requirements</w:t>
      </w:r>
      <w:bookmarkEnd w:id="4"/>
    </w:p>
    <w:p w14:paraId="474271C9" w14:textId="53DECBA5" w:rsidR="00E05229" w:rsidRDefault="00552605" w:rsidP="006652D3">
      <w:r>
        <w:t xml:space="preserve">All documentation must meet </w:t>
      </w:r>
      <w:r w:rsidR="00164C65">
        <w:t>the following</w:t>
      </w:r>
      <w:r w:rsidR="00E05229">
        <w:t xml:space="preserve"> general requirements when presented to the department as part of the import process.</w:t>
      </w:r>
    </w:p>
    <w:p w14:paraId="5B13F453" w14:textId="77777777" w:rsidR="00E05229" w:rsidRDefault="00E05229" w:rsidP="0073119A">
      <w:pPr>
        <w:pStyle w:val="Heading4"/>
      </w:pPr>
      <w:r>
        <w:t>Complete</w:t>
      </w:r>
    </w:p>
    <w:p w14:paraId="2790F8DC" w14:textId="77777777" w:rsidR="00E05229" w:rsidRDefault="00E05229" w:rsidP="006652D3">
      <w:r>
        <w:t>All prescribed information required to be on a document must be present and complete.</w:t>
      </w:r>
    </w:p>
    <w:p w14:paraId="7FA7C831" w14:textId="77777777" w:rsidR="00E05229" w:rsidRDefault="00E05229" w:rsidP="00D42088">
      <w:pPr>
        <w:pStyle w:val="Heading4"/>
      </w:pPr>
      <w:r>
        <w:t>Legible</w:t>
      </w:r>
    </w:p>
    <w:p w14:paraId="62B7E973" w14:textId="77777777" w:rsidR="00E05229" w:rsidRDefault="00E05229" w:rsidP="006652D3">
      <w:r>
        <w:t>All prescribed information required to be on a document must be legible.</w:t>
      </w:r>
    </w:p>
    <w:p w14:paraId="4483BF1D" w14:textId="77777777" w:rsidR="00E05229" w:rsidRDefault="00E05229" w:rsidP="00205FE8">
      <w:pPr>
        <w:pStyle w:val="Heading4"/>
      </w:pPr>
      <w:r>
        <w:t>Valid</w:t>
      </w:r>
    </w:p>
    <w:p w14:paraId="0D478950" w14:textId="77777777" w:rsidR="00E05229" w:rsidRDefault="00E05229" w:rsidP="006652D3">
      <w:r>
        <w:t>Many documents, such as import permits, are subject to a validity period. Presented documents must comply with the validity requirements specified for that class of document.</w:t>
      </w:r>
    </w:p>
    <w:p w14:paraId="0C6B8A5F" w14:textId="77777777" w:rsidR="00E05229" w:rsidRDefault="00E05229" w:rsidP="00205FE8">
      <w:pPr>
        <w:pStyle w:val="Heading4"/>
      </w:pPr>
      <w:r>
        <w:t>In English</w:t>
      </w:r>
    </w:p>
    <w:p w14:paraId="14A81CDB" w14:textId="77777777" w:rsidR="00E05229" w:rsidRDefault="00E05229" w:rsidP="006652D3">
      <w:r>
        <w:t>All prescribed information required to be on a document must be in English. Exceptions to this rule include:</w:t>
      </w:r>
    </w:p>
    <w:p w14:paraId="1067B5D5" w14:textId="02A8BA85" w:rsidR="00E05229" w:rsidRDefault="00E05229" w:rsidP="006652D3">
      <w:pPr>
        <w:pStyle w:val="ListBullet"/>
      </w:pPr>
      <w:r>
        <w:t>company letterheads do not need to be translated into English but must be in English characters</w:t>
      </w:r>
      <w:r w:rsidR="0008303C">
        <w:t xml:space="preserve"> (Roman Alphabet) </w:t>
      </w:r>
    </w:p>
    <w:p w14:paraId="75B76FA9" w14:textId="77777777" w:rsidR="00E05229" w:rsidRDefault="00E05229" w:rsidP="006652D3">
      <w:pPr>
        <w:pStyle w:val="ListBullet"/>
      </w:pPr>
      <w:r>
        <w:t>commercial, transport and government certification that are required to comply with international standard formats</w:t>
      </w:r>
    </w:p>
    <w:p w14:paraId="1943AAF2" w14:textId="77777777" w:rsidR="00E05229" w:rsidRDefault="00E05229" w:rsidP="006652D3">
      <w:pPr>
        <w:pStyle w:val="ListBullet"/>
      </w:pPr>
      <w:proofErr w:type="gramStart"/>
      <w:r>
        <w:t>signatures</w:t>
      </w:r>
      <w:proofErr w:type="gramEnd"/>
      <w:r>
        <w:t xml:space="preserve"> and names of individuals.</w:t>
      </w:r>
    </w:p>
    <w:p w14:paraId="5401C5D4" w14:textId="77777777" w:rsidR="00E05229" w:rsidRDefault="00E05229" w:rsidP="006652D3">
      <w:r>
        <w:t>Where a document cannot be provided in English, an affidavit will be accepted from either:</w:t>
      </w:r>
    </w:p>
    <w:p w14:paraId="630F2D88" w14:textId="77777777" w:rsidR="00E05229" w:rsidRDefault="00E05229" w:rsidP="006652D3">
      <w:pPr>
        <w:pStyle w:val="ListBullet"/>
      </w:pPr>
      <w:r>
        <w:t>that country’s consulate in Australia</w:t>
      </w:r>
    </w:p>
    <w:p w14:paraId="58529A3D" w14:textId="77777777" w:rsidR="00E05229" w:rsidRDefault="00E05229" w:rsidP="006652D3">
      <w:pPr>
        <w:pStyle w:val="ListBullet"/>
      </w:pPr>
      <w:r>
        <w:t xml:space="preserve">the Australian </w:t>
      </w:r>
      <w:r w:rsidR="00552605">
        <w:t>e</w:t>
      </w:r>
      <w:r>
        <w:t>mbassy in the country of origin</w:t>
      </w:r>
    </w:p>
    <w:p w14:paraId="73F3FC36" w14:textId="77777777" w:rsidR="00E05229" w:rsidRDefault="00E05229" w:rsidP="006652D3">
      <w:pPr>
        <w:pStyle w:val="ListBullet"/>
      </w:pPr>
      <w:proofErr w:type="gramStart"/>
      <w:r>
        <w:t>a</w:t>
      </w:r>
      <w:proofErr w:type="gramEnd"/>
      <w:r>
        <w:t xml:space="preserve"> translator accredited by the National Accreditation Authority for Translators and Interpreters Ltd.</w:t>
      </w:r>
    </w:p>
    <w:p w14:paraId="721F8C97" w14:textId="25376D4F" w:rsidR="00E05229" w:rsidRDefault="00E05229" w:rsidP="00205FE8">
      <w:pPr>
        <w:pStyle w:val="Heading4"/>
      </w:pPr>
      <w:r>
        <w:t xml:space="preserve">Free from erasures and </w:t>
      </w:r>
      <w:r w:rsidR="0069264E">
        <w:t>non-certified</w:t>
      </w:r>
      <w:r>
        <w:t xml:space="preserve"> alterations</w:t>
      </w:r>
    </w:p>
    <w:p w14:paraId="3F616921" w14:textId="77777777" w:rsidR="00E05229" w:rsidRDefault="00E05229" w:rsidP="006652D3">
      <w:r>
        <w:t>All prescribed information on a document must be free from erasures and alterations unless endorsed by the entity who issued the document. The only acceptable endorsement is a company stamp or seal signed by the company employee (including printed name) or a government stamp or seal signed by a government employee (including printed name) applied adjacent to the alteration.</w:t>
      </w:r>
    </w:p>
    <w:p w14:paraId="170ADC99" w14:textId="77777777" w:rsidR="00E05229" w:rsidRDefault="00E05229" w:rsidP="009A1D82">
      <w:pPr>
        <w:pStyle w:val="Heading4"/>
        <w:keepNext/>
      </w:pPr>
      <w:r>
        <w:t>Multiple paged documents</w:t>
      </w:r>
    </w:p>
    <w:p w14:paraId="16BDA99C" w14:textId="77777777" w:rsidR="00E05229" w:rsidRDefault="00E05229" w:rsidP="006652D3">
      <w:r>
        <w:t>Multi paged documents must:</w:t>
      </w:r>
    </w:p>
    <w:p w14:paraId="052078DA" w14:textId="77777777" w:rsidR="00E05229" w:rsidRDefault="00E05229" w:rsidP="006652D3">
      <w:pPr>
        <w:pStyle w:val="ListBullet"/>
      </w:pPr>
      <w:proofErr w:type="gramStart"/>
      <w:r>
        <w:t>include</w:t>
      </w:r>
      <w:proofErr w:type="gramEnd"/>
      <w:r>
        <w:t xml:space="preserve"> a consignment</w:t>
      </w:r>
      <w:r w:rsidR="00F65FE9">
        <w:t>-</w:t>
      </w:r>
      <w:r>
        <w:t>specific link on all pages of the document. For example, commercial invoices (or similar) must contain the document’s individual reference number or a numerical link on each page of the document</w:t>
      </w:r>
    </w:p>
    <w:p w14:paraId="49C8F8FE" w14:textId="77777777" w:rsidR="00E05229" w:rsidRDefault="00E05229" w:rsidP="006652D3">
      <w:pPr>
        <w:pStyle w:val="ListBullet"/>
      </w:pPr>
      <w:proofErr w:type="gramStart"/>
      <w:r>
        <w:lastRenderedPageBreak/>
        <w:t>contain</w:t>
      </w:r>
      <w:proofErr w:type="gramEnd"/>
      <w:r>
        <w:t xml:space="preserve"> an endorsement on the final page of the document, following the information that is being endorsed.</w:t>
      </w:r>
    </w:p>
    <w:p w14:paraId="3E051226" w14:textId="77777777" w:rsidR="00E05229" w:rsidRDefault="00E05229" w:rsidP="006652D3">
      <w:r>
        <w:t>Where a document has noted attachments, the attachments can follow the endorsement. Where an international standard does not require the certificate number to be listed on all pages of the certificate</w:t>
      </w:r>
      <w:r w:rsidR="005C3B0D">
        <w:t>,</w:t>
      </w:r>
      <w:r>
        <w:t xml:space="preserve"> the department will accept the document linkage on the first page of the certificate.</w:t>
      </w:r>
    </w:p>
    <w:p w14:paraId="63960888" w14:textId="77777777" w:rsidR="00E05229" w:rsidRDefault="00B039E1" w:rsidP="00B039E1">
      <w:pPr>
        <w:pStyle w:val="Heading4"/>
      </w:pPr>
      <w:r>
        <w:t>Endorsed</w:t>
      </w:r>
    </w:p>
    <w:p w14:paraId="0DD22340" w14:textId="77777777" w:rsidR="00E05229" w:rsidRDefault="00E05229" w:rsidP="006652D3">
      <w:r>
        <w:t>All documents must be endorsed by a representative of the organisation or corporation issuing the document.</w:t>
      </w:r>
      <w:r w:rsidR="00493E56">
        <w:t xml:space="preserve"> </w:t>
      </w:r>
      <w:r>
        <w:t>An endorsement must:</w:t>
      </w:r>
    </w:p>
    <w:p w14:paraId="519EF98F" w14:textId="77777777" w:rsidR="00E05229" w:rsidRDefault="00E05229" w:rsidP="006652D3">
      <w:pPr>
        <w:pStyle w:val="ListBullet"/>
      </w:pPr>
      <w:r>
        <w:t xml:space="preserve">be an acceptable signature or stamp as defined in the </w:t>
      </w:r>
      <w:r w:rsidR="00493E56">
        <w:t>D</w:t>
      </w:r>
      <w:r>
        <w:t>efinitions section of this policy</w:t>
      </w:r>
    </w:p>
    <w:p w14:paraId="5AD8BC56" w14:textId="0A81C94D" w:rsidR="00E05229" w:rsidRDefault="00E05229" w:rsidP="006652D3">
      <w:pPr>
        <w:pStyle w:val="ListBullet"/>
      </w:pPr>
      <w:r>
        <w:t>appear after the information that the signatory is endorsing</w:t>
      </w:r>
    </w:p>
    <w:p w14:paraId="47BE23D5" w14:textId="0ACFA10A" w:rsidR="00E05229" w:rsidRDefault="004F7160" w:rsidP="006652D3">
      <w:pPr>
        <w:pStyle w:val="NoteHeading"/>
      </w:pPr>
      <w:r w:rsidRPr="004F7160">
        <w:rPr>
          <w:b/>
        </w:rPr>
        <w:t>Note:</w:t>
      </w:r>
      <w:r>
        <w:t xml:space="preserve"> </w:t>
      </w:r>
      <w:r w:rsidR="00E05229">
        <w:t>Where a document has noted attachments</w:t>
      </w:r>
      <w:r w:rsidR="00493E56">
        <w:t>,</w:t>
      </w:r>
      <w:r w:rsidR="00E05229">
        <w:t xml:space="preserve"> the endorsement can be made </w:t>
      </w:r>
      <w:r w:rsidR="00493E56">
        <w:t>before</w:t>
      </w:r>
      <w:r w:rsidR="00E05229">
        <w:t xml:space="preserve"> the attachments.</w:t>
      </w:r>
    </w:p>
    <w:p w14:paraId="64716E21" w14:textId="77777777" w:rsidR="00E05229" w:rsidRDefault="00E05229" w:rsidP="00B039E1">
      <w:pPr>
        <w:pStyle w:val="Heading4"/>
      </w:pPr>
      <w:r>
        <w:t>Date of issue</w:t>
      </w:r>
    </w:p>
    <w:p w14:paraId="6E9ADA54" w14:textId="77777777" w:rsidR="00E05229" w:rsidRDefault="00E05229" w:rsidP="00595ACD">
      <w:r>
        <w:t>All documents must identify the date of issue and include the day, month and year. Packing declarations may contain vessel/voyage number</w:t>
      </w:r>
      <w:r w:rsidR="00493E56">
        <w:t>,</w:t>
      </w:r>
      <w:r>
        <w:t xml:space="preserve"> which can be used in lieu of a date of issue.</w:t>
      </w:r>
    </w:p>
    <w:p w14:paraId="45B6A966" w14:textId="77777777" w:rsidR="00E05229" w:rsidRDefault="00E05229" w:rsidP="00B039E1">
      <w:pPr>
        <w:pStyle w:val="Heading4"/>
      </w:pPr>
      <w:r>
        <w:t>Consignment</w:t>
      </w:r>
      <w:r w:rsidR="00F65FE9">
        <w:t>-</w:t>
      </w:r>
      <w:r>
        <w:t>specific link</w:t>
      </w:r>
    </w:p>
    <w:p w14:paraId="0B8D82A7" w14:textId="77777777" w:rsidR="00E05229" w:rsidRDefault="00E05229" w:rsidP="00595ACD">
      <w:r>
        <w:t>All documents presented to the department for assessment must have a unique consignment</w:t>
      </w:r>
      <w:r w:rsidR="00F65FE9">
        <w:t>-</w:t>
      </w:r>
      <w:r>
        <w:t>specific link.</w:t>
      </w:r>
      <w:r w:rsidR="00493E56">
        <w:t xml:space="preserve"> </w:t>
      </w:r>
      <w:r>
        <w:t>Examples of cons</w:t>
      </w:r>
      <w:r w:rsidR="009A1D82">
        <w:t>ignment identification include:</w:t>
      </w:r>
    </w:p>
    <w:p w14:paraId="4ED9F6EA" w14:textId="77777777" w:rsidR="00E05229" w:rsidRDefault="00E05229" w:rsidP="00595ACD">
      <w:pPr>
        <w:pStyle w:val="ListBullet"/>
      </w:pPr>
      <w:r>
        <w:t>container numbers</w:t>
      </w:r>
    </w:p>
    <w:p w14:paraId="1AE25C55" w14:textId="77777777" w:rsidR="00E05229" w:rsidRDefault="00E05229" w:rsidP="00595ACD">
      <w:pPr>
        <w:pStyle w:val="ListBullet"/>
      </w:pPr>
      <w:r>
        <w:t>bill numbers</w:t>
      </w:r>
    </w:p>
    <w:p w14:paraId="78FCDCE0" w14:textId="77777777" w:rsidR="00E05229" w:rsidRDefault="00E05229" w:rsidP="00595ACD">
      <w:pPr>
        <w:pStyle w:val="ListBullet"/>
      </w:pPr>
      <w:r>
        <w:t>commercial invoice numbers</w:t>
      </w:r>
    </w:p>
    <w:p w14:paraId="17B27FD4" w14:textId="77777777" w:rsidR="00E05229" w:rsidRDefault="00E05229" w:rsidP="00595ACD">
      <w:pPr>
        <w:pStyle w:val="ListBullet"/>
      </w:pPr>
      <w:r>
        <w:t>lot codes</w:t>
      </w:r>
    </w:p>
    <w:p w14:paraId="35DEA4A2" w14:textId="77777777" w:rsidR="00E05229" w:rsidRDefault="00E05229" w:rsidP="00595ACD">
      <w:pPr>
        <w:pStyle w:val="ListBullet"/>
      </w:pPr>
      <w:r>
        <w:t>preferential tariff certificate numbers</w:t>
      </w:r>
    </w:p>
    <w:p w14:paraId="00F91F78" w14:textId="77777777" w:rsidR="00E05229" w:rsidRDefault="00E05229" w:rsidP="00595ACD">
      <w:pPr>
        <w:pStyle w:val="ListBullet"/>
      </w:pPr>
      <w:r>
        <w:t>packing list numbers</w:t>
      </w:r>
    </w:p>
    <w:p w14:paraId="7038EDCC" w14:textId="77777777" w:rsidR="00E05229" w:rsidRDefault="00E05229" w:rsidP="00595ACD">
      <w:pPr>
        <w:pStyle w:val="ListBullet"/>
      </w:pPr>
      <w:proofErr w:type="gramStart"/>
      <w:r>
        <w:t>letter</w:t>
      </w:r>
      <w:proofErr w:type="gramEnd"/>
      <w:r>
        <w:t xml:space="preserve"> of credit numbers.</w:t>
      </w:r>
    </w:p>
    <w:p w14:paraId="53079595" w14:textId="77777777" w:rsidR="00E05229" w:rsidRDefault="00E05229" w:rsidP="00595ACD">
      <w:r>
        <w:t xml:space="preserve">Where a document does not contain one of the </w:t>
      </w:r>
      <w:r w:rsidR="00493E56">
        <w:t xml:space="preserve">accepted </w:t>
      </w:r>
      <w:r>
        <w:t xml:space="preserve">forms of consignment identification, a numerical link to another document that does contain </w:t>
      </w:r>
      <w:r w:rsidR="00493E56">
        <w:t>appropriate</w:t>
      </w:r>
      <w:r>
        <w:t xml:space="preserve"> consignment identification must be present.</w:t>
      </w:r>
    </w:p>
    <w:p w14:paraId="65025EDA" w14:textId="77777777" w:rsidR="00E05229" w:rsidRDefault="00E05229" w:rsidP="00595ACD">
      <w:r>
        <w:t>Examples of acceptable numerical links include:</w:t>
      </w:r>
    </w:p>
    <w:p w14:paraId="26FDB65A" w14:textId="77777777" w:rsidR="00E05229" w:rsidRDefault="00E05229" w:rsidP="00595ACD">
      <w:pPr>
        <w:pStyle w:val="ListBullet"/>
      </w:pPr>
      <w:r>
        <w:t>order numbers</w:t>
      </w:r>
    </w:p>
    <w:p w14:paraId="6E495669" w14:textId="77777777" w:rsidR="00E05229" w:rsidRDefault="00E05229" w:rsidP="00595ACD">
      <w:pPr>
        <w:pStyle w:val="ListBullet"/>
      </w:pPr>
      <w:r>
        <w:t>reference numbers</w:t>
      </w:r>
    </w:p>
    <w:p w14:paraId="0E84F16F" w14:textId="77777777" w:rsidR="00E05229" w:rsidRDefault="00E05229" w:rsidP="00595ACD">
      <w:pPr>
        <w:pStyle w:val="ListBullet"/>
      </w:pPr>
      <w:r>
        <w:t>any other internal reference numbers used by overseas companies</w:t>
      </w:r>
    </w:p>
    <w:p w14:paraId="1D2EE965" w14:textId="77777777" w:rsidR="00E05229" w:rsidRDefault="00E05229" w:rsidP="00595ACD">
      <w:pPr>
        <w:pStyle w:val="ListBullet"/>
      </w:pPr>
      <w:proofErr w:type="gramStart"/>
      <w:r>
        <w:t>vessel/voyage</w:t>
      </w:r>
      <w:proofErr w:type="gramEnd"/>
      <w:r>
        <w:t xml:space="preserve"> references.</w:t>
      </w:r>
    </w:p>
    <w:p w14:paraId="2BBC98C4" w14:textId="77777777" w:rsidR="00E05229" w:rsidRDefault="00E05229" w:rsidP="00595ACD">
      <w:r>
        <w:t xml:space="preserve">Numerical links </w:t>
      </w:r>
      <w:r w:rsidR="00493E56">
        <w:t xml:space="preserve">alone </w:t>
      </w:r>
      <w:r>
        <w:t>cannot be used as consignment identification link</w:t>
      </w:r>
      <w:r w:rsidR="00493E56">
        <w:t>s</w:t>
      </w:r>
      <w:r>
        <w:t>.</w:t>
      </w:r>
    </w:p>
    <w:p w14:paraId="7D3D5F35" w14:textId="77777777" w:rsidR="00E05229" w:rsidRDefault="00E05229" w:rsidP="00595ACD">
      <w:r>
        <w:lastRenderedPageBreak/>
        <w:t>Unacceptable numerical links are references that could be present in previous or subsequent consignments and relate to a model, type or standardised item number.</w:t>
      </w:r>
      <w:r w:rsidR="00493E56">
        <w:t xml:space="preserve"> </w:t>
      </w:r>
      <w:r>
        <w:t>Examples of unacceptable numerical links include:</w:t>
      </w:r>
    </w:p>
    <w:p w14:paraId="367A6373" w14:textId="77777777" w:rsidR="00E05229" w:rsidRDefault="00E05229" w:rsidP="00595ACD">
      <w:pPr>
        <w:pStyle w:val="ListBullet"/>
      </w:pPr>
      <w:r>
        <w:t>number of packages</w:t>
      </w:r>
    </w:p>
    <w:p w14:paraId="1045FB89" w14:textId="77777777" w:rsidR="00E05229" w:rsidRDefault="00E05229" w:rsidP="00595ACD">
      <w:pPr>
        <w:pStyle w:val="ListBullet"/>
      </w:pPr>
      <w:r>
        <w:t>weights</w:t>
      </w:r>
    </w:p>
    <w:p w14:paraId="67CF788E" w14:textId="77777777" w:rsidR="00E05229" w:rsidRDefault="00E05229" w:rsidP="00595ACD">
      <w:pPr>
        <w:pStyle w:val="ListBullet"/>
      </w:pPr>
      <w:r>
        <w:t>dates</w:t>
      </w:r>
    </w:p>
    <w:p w14:paraId="1D50CBDC" w14:textId="77777777" w:rsidR="00E05229" w:rsidRDefault="00E05229" w:rsidP="00595ACD">
      <w:pPr>
        <w:pStyle w:val="ListBullet"/>
      </w:pPr>
      <w:r>
        <w:t>stockkeeping unit</w:t>
      </w:r>
    </w:p>
    <w:p w14:paraId="3FA97C75" w14:textId="77777777" w:rsidR="00E05229" w:rsidRDefault="00E05229" w:rsidP="00595ACD">
      <w:pPr>
        <w:pStyle w:val="ListBullet"/>
      </w:pPr>
      <w:proofErr w:type="gramStart"/>
      <w:r>
        <w:t>item</w:t>
      </w:r>
      <w:proofErr w:type="gramEnd"/>
      <w:r>
        <w:t xml:space="preserve"> codes</w:t>
      </w:r>
      <w:r w:rsidR="00493E56">
        <w:t>.</w:t>
      </w:r>
    </w:p>
    <w:p w14:paraId="64185D8F" w14:textId="7A1377F3" w:rsidR="00E05229" w:rsidRDefault="00E05229" w:rsidP="00595ACD">
      <w:pPr>
        <w:pStyle w:val="NoteHeading"/>
      </w:pPr>
      <w:r w:rsidRPr="00233768">
        <w:rPr>
          <w:b/>
        </w:rPr>
        <w:t>Note:</w:t>
      </w:r>
      <w:r>
        <w:t xml:space="preserve"> Annual packing declarations are exempt from having consignment</w:t>
      </w:r>
      <w:r w:rsidR="00F65FE9">
        <w:t>-</w:t>
      </w:r>
      <w:r>
        <w:t>specific links.</w:t>
      </w:r>
    </w:p>
    <w:p w14:paraId="15CA149D" w14:textId="77777777" w:rsidR="00E05229" w:rsidRDefault="00E05229" w:rsidP="00D43C74">
      <w:pPr>
        <w:pStyle w:val="Heading3"/>
      </w:pPr>
      <w:bookmarkStart w:id="5" w:name="_Toc487460809"/>
      <w:r>
        <w:t>Document format requirements</w:t>
      </w:r>
      <w:bookmarkEnd w:id="5"/>
    </w:p>
    <w:p w14:paraId="04858077" w14:textId="77777777" w:rsidR="00E05229" w:rsidRDefault="00E05229" w:rsidP="009D5AF4">
      <w:pPr>
        <w:pStyle w:val="Heading4"/>
      </w:pPr>
      <w:r>
        <w:t>International trade documentation</w:t>
      </w:r>
    </w:p>
    <w:p w14:paraId="109DF5E7" w14:textId="77777777" w:rsidR="00E05229" w:rsidRDefault="004F57E8" w:rsidP="00595ACD">
      <w:r>
        <w:t xml:space="preserve">International trade </w:t>
      </w:r>
      <w:r w:rsidR="00E05229">
        <w:t xml:space="preserve">documents include commercial and transport documents used in international trade and official government certification issued </w:t>
      </w:r>
      <w:r>
        <w:t>for</w:t>
      </w:r>
      <w:r w:rsidR="00E05229">
        <w:t xml:space="preserve"> animal or plant health.</w:t>
      </w:r>
    </w:p>
    <w:p w14:paraId="16EF59E4" w14:textId="77777777" w:rsidR="00E05229" w:rsidRDefault="00E05229" w:rsidP="00595ACD">
      <w:r>
        <w:t>These classes of document include, but are not limited to:</w:t>
      </w:r>
    </w:p>
    <w:p w14:paraId="7758316D" w14:textId="77777777" w:rsidR="00E05229" w:rsidRDefault="00E05229" w:rsidP="00595ACD">
      <w:pPr>
        <w:pStyle w:val="ListBullet"/>
      </w:pPr>
      <w:r>
        <w:t>bills of lading</w:t>
      </w:r>
    </w:p>
    <w:p w14:paraId="0D6D2C3F" w14:textId="77777777" w:rsidR="00E05229" w:rsidRDefault="00E05229" w:rsidP="00595ACD">
      <w:pPr>
        <w:pStyle w:val="ListBullet"/>
      </w:pPr>
      <w:r>
        <w:t>air waybills</w:t>
      </w:r>
    </w:p>
    <w:p w14:paraId="304713ED" w14:textId="77777777" w:rsidR="00E05229" w:rsidRDefault="00E05229" w:rsidP="00595ACD">
      <w:pPr>
        <w:pStyle w:val="ListBullet"/>
      </w:pPr>
      <w:r>
        <w:t>commercial invoices</w:t>
      </w:r>
    </w:p>
    <w:p w14:paraId="31D436ED" w14:textId="77777777" w:rsidR="00E05229" w:rsidRDefault="00E05229" w:rsidP="00595ACD">
      <w:pPr>
        <w:pStyle w:val="ListBullet"/>
      </w:pPr>
      <w:r>
        <w:t>preferential tariff certificates</w:t>
      </w:r>
    </w:p>
    <w:p w14:paraId="354BF50B" w14:textId="77777777" w:rsidR="00E05229" w:rsidRDefault="00E05229" w:rsidP="00595ACD">
      <w:pPr>
        <w:pStyle w:val="ListBullet"/>
      </w:pPr>
      <w:r>
        <w:t>phytosanitary certificates</w:t>
      </w:r>
    </w:p>
    <w:p w14:paraId="3E0483C2" w14:textId="77777777" w:rsidR="00E05229" w:rsidRDefault="00E05229" w:rsidP="00595ACD">
      <w:pPr>
        <w:pStyle w:val="ListBullet"/>
      </w:pPr>
      <w:r>
        <w:t>public health certificates</w:t>
      </w:r>
    </w:p>
    <w:p w14:paraId="4E3F7E5F" w14:textId="77777777" w:rsidR="00E05229" w:rsidRDefault="00E05229" w:rsidP="00595ACD">
      <w:pPr>
        <w:pStyle w:val="ListBullet"/>
      </w:pPr>
      <w:r>
        <w:t>animal health certificates</w:t>
      </w:r>
    </w:p>
    <w:p w14:paraId="74DFD4A1" w14:textId="77777777" w:rsidR="00E05229" w:rsidRDefault="00E05229" w:rsidP="00595ACD">
      <w:pPr>
        <w:pStyle w:val="ListBullet"/>
      </w:pPr>
      <w:r>
        <w:t>veterinary certificates</w:t>
      </w:r>
    </w:p>
    <w:p w14:paraId="49ED27B0" w14:textId="77777777" w:rsidR="00E05229" w:rsidRDefault="00E05229" w:rsidP="00595ACD">
      <w:pPr>
        <w:pStyle w:val="ListBullet"/>
      </w:pPr>
      <w:r>
        <w:t>bovine spongiform encephalopathy (BSE) certificates</w:t>
      </w:r>
    </w:p>
    <w:p w14:paraId="2A1866E0" w14:textId="77777777" w:rsidR="00E05229" w:rsidRDefault="00E05229" w:rsidP="00595ACD">
      <w:pPr>
        <w:pStyle w:val="ListBullet"/>
      </w:pPr>
      <w:r>
        <w:t>ISTA seed analysis certification</w:t>
      </w:r>
      <w:r w:rsidR="004F57E8">
        <w:t>.</w:t>
      </w:r>
    </w:p>
    <w:p w14:paraId="052F7459" w14:textId="756FDAD0" w:rsidR="00E05229" w:rsidRDefault="00E05229" w:rsidP="002F6BB4">
      <w:pPr>
        <w:pStyle w:val="NoteHeading"/>
        <w:spacing w:after="120"/>
      </w:pPr>
      <w:r w:rsidRPr="00233768">
        <w:rPr>
          <w:b/>
        </w:rPr>
        <w:t>Note:</w:t>
      </w:r>
      <w:r>
        <w:t xml:space="preserve"> Any government</w:t>
      </w:r>
      <w:r w:rsidR="006759DA">
        <w:t>-</w:t>
      </w:r>
      <w:r>
        <w:t>to</w:t>
      </w:r>
      <w:r w:rsidR="006759DA">
        <w:t>-</w:t>
      </w:r>
      <w:r>
        <w:t xml:space="preserve">government certification received via the </w:t>
      </w:r>
      <w:proofErr w:type="spellStart"/>
      <w:r>
        <w:t>eCert</w:t>
      </w:r>
      <w:proofErr w:type="spellEnd"/>
      <w:r>
        <w:t xml:space="preserve"> system for imported </w:t>
      </w:r>
      <w:r w:rsidR="00C923D9">
        <w:t>goods are</w:t>
      </w:r>
      <w:r>
        <w:t xml:space="preserve"> excluded from the documentation requirements outlined in this policy and the Non-</w:t>
      </w:r>
      <w:r w:rsidR="0001486F">
        <w:t>c</w:t>
      </w:r>
      <w:r>
        <w:t xml:space="preserve">ommodity </w:t>
      </w:r>
      <w:r w:rsidR="0001486F">
        <w:t>i</w:t>
      </w:r>
      <w:r>
        <w:t xml:space="preserve">nformation </w:t>
      </w:r>
      <w:r w:rsidR="0001486F">
        <w:t>r</w:t>
      </w:r>
      <w:r>
        <w:t xml:space="preserve">equirements </w:t>
      </w:r>
      <w:r w:rsidR="0001486F">
        <w:t>p</w:t>
      </w:r>
      <w:r>
        <w:t>olicy.</w:t>
      </w:r>
    </w:p>
    <w:p w14:paraId="088F2D10" w14:textId="77777777" w:rsidR="00E05229" w:rsidRDefault="00E05229" w:rsidP="009D5AF4">
      <w:pPr>
        <w:pStyle w:val="Heading5"/>
      </w:pPr>
      <w:r>
        <w:t>Letterhead/company stamp or seal</w:t>
      </w:r>
    </w:p>
    <w:p w14:paraId="77C07129" w14:textId="77777777" w:rsidR="00E05229" w:rsidRDefault="00E05229" w:rsidP="006A6058">
      <w:r>
        <w:t xml:space="preserve">Documents required by the department </w:t>
      </w:r>
      <w:r w:rsidR="0001486F">
        <w:t xml:space="preserve">that </w:t>
      </w:r>
      <w:r>
        <w:t>are not covered by international standards must be provided on the issuing company’s letterhead. The only acceptable substitute for a letterhead is the issuing company’s stamp or seal. The letterhead, company stamp or seal must include the company’s name and address.</w:t>
      </w:r>
    </w:p>
    <w:p w14:paraId="2CC2347F" w14:textId="77777777" w:rsidR="00E05229" w:rsidRDefault="00E05229" w:rsidP="006A6058">
      <w:r>
        <w:t>Documents to be presented in line with this requirement include:</w:t>
      </w:r>
    </w:p>
    <w:p w14:paraId="3164B6B1" w14:textId="77777777" w:rsidR="00E05229" w:rsidRDefault="00E05229" w:rsidP="006A6058">
      <w:pPr>
        <w:pStyle w:val="ListBullet"/>
      </w:pPr>
      <w:r>
        <w:t>packing declarations (including annual packing declarations)</w:t>
      </w:r>
    </w:p>
    <w:p w14:paraId="7FC173DF" w14:textId="77777777" w:rsidR="00E05229" w:rsidRDefault="00E05229" w:rsidP="006A6058">
      <w:pPr>
        <w:pStyle w:val="ListBullet"/>
      </w:pPr>
      <w:r>
        <w:t>container cleanliness declarations</w:t>
      </w:r>
    </w:p>
    <w:p w14:paraId="3B872E78" w14:textId="77777777" w:rsidR="00E05229" w:rsidRDefault="00E05229" w:rsidP="006A6058">
      <w:pPr>
        <w:pStyle w:val="ListBullet"/>
      </w:pPr>
      <w:r>
        <w:lastRenderedPageBreak/>
        <w:t>treatment certificates</w:t>
      </w:r>
    </w:p>
    <w:p w14:paraId="4C0E8031" w14:textId="77777777" w:rsidR="00E05229" w:rsidRDefault="00E05229" w:rsidP="006A6058">
      <w:pPr>
        <w:pStyle w:val="ListBullet"/>
      </w:pPr>
      <w:r>
        <w:t>manufacturers’ declarations</w:t>
      </w:r>
    </w:p>
    <w:p w14:paraId="6358C665" w14:textId="77777777" w:rsidR="00E05229" w:rsidRDefault="00E05229" w:rsidP="006A6058">
      <w:pPr>
        <w:pStyle w:val="ListBullet"/>
      </w:pPr>
      <w:r>
        <w:t>beneficiary certificates</w:t>
      </w:r>
    </w:p>
    <w:p w14:paraId="5FBFEE6D" w14:textId="77777777" w:rsidR="00E05229" w:rsidRDefault="00E05229" w:rsidP="006A6058">
      <w:pPr>
        <w:pStyle w:val="ListBullet"/>
      </w:pPr>
      <w:r>
        <w:t>exporter declarations</w:t>
      </w:r>
    </w:p>
    <w:p w14:paraId="612AAE5A" w14:textId="77777777" w:rsidR="00E05229" w:rsidRDefault="00E05229" w:rsidP="006A6058">
      <w:pPr>
        <w:pStyle w:val="ListBullet"/>
      </w:pPr>
      <w:r>
        <w:t>importer declarations</w:t>
      </w:r>
    </w:p>
    <w:p w14:paraId="3D6F9BF8" w14:textId="77777777" w:rsidR="00E05229" w:rsidRDefault="00E05229" w:rsidP="006A6058">
      <w:pPr>
        <w:pStyle w:val="ListBullet"/>
      </w:pPr>
      <w:r>
        <w:t>supplier declarations</w:t>
      </w:r>
    </w:p>
    <w:p w14:paraId="7DBF5ACC" w14:textId="77777777" w:rsidR="00E05229" w:rsidRDefault="00E05229" w:rsidP="006A6058">
      <w:pPr>
        <w:pStyle w:val="ListBullet"/>
      </w:pPr>
      <w:r>
        <w:t>vessel cleanliness certificates</w:t>
      </w:r>
    </w:p>
    <w:p w14:paraId="310B3EEB" w14:textId="77777777" w:rsidR="00E05229" w:rsidRDefault="00E05229" w:rsidP="006A6058">
      <w:pPr>
        <w:pStyle w:val="ListBullet"/>
      </w:pPr>
      <w:proofErr w:type="gramStart"/>
      <w:r>
        <w:t>vessel</w:t>
      </w:r>
      <w:proofErr w:type="gramEnd"/>
      <w:r>
        <w:t xml:space="preserve"> cleanliness inspection reports.</w:t>
      </w:r>
    </w:p>
    <w:p w14:paraId="17798C20" w14:textId="77777777" w:rsidR="00E05229" w:rsidRDefault="00E05229" w:rsidP="006A6058">
      <w:r>
        <w:t>Only packing list/sheet/slips do not need to be on a letterhead</w:t>
      </w:r>
      <w:r w:rsidR="0001486F">
        <w:t>;</w:t>
      </w:r>
      <w:r>
        <w:t xml:space="preserve"> however</w:t>
      </w:r>
      <w:r w:rsidR="0001486F">
        <w:t>,</w:t>
      </w:r>
      <w:r>
        <w:t xml:space="preserve"> the company that issued the documentation must be identifiable on the document.</w:t>
      </w:r>
    </w:p>
    <w:p w14:paraId="2D01576E" w14:textId="77777777" w:rsidR="00E05229" w:rsidRDefault="00E05229" w:rsidP="00D43C74">
      <w:pPr>
        <w:pStyle w:val="Heading3"/>
      </w:pPr>
      <w:bookmarkStart w:id="6" w:name="_Toc487460810"/>
      <w:r>
        <w:t>Original documents and certificates or certified copies</w:t>
      </w:r>
      <w:bookmarkEnd w:id="6"/>
    </w:p>
    <w:p w14:paraId="2783EC75" w14:textId="77777777" w:rsidR="00E05229" w:rsidRDefault="00E05229" w:rsidP="006A6058">
      <w:r>
        <w:t>The department reserves the right to request original documentation and certificates to be presented. If the original document or certificate cannot be presented, certified copies are acceptable and must be signed by a representative of the issuing organisation or corporation.</w:t>
      </w:r>
    </w:p>
    <w:p w14:paraId="0B1301A6" w14:textId="5F2A6628" w:rsidR="00E05229" w:rsidRDefault="0001486F" w:rsidP="006A6058">
      <w:r>
        <w:t>If</w:t>
      </w:r>
      <w:r w:rsidR="00E05229">
        <w:t xml:space="preserve"> a copy cannot be certified by the issuing organisation</w:t>
      </w:r>
      <w:r>
        <w:t>,</w:t>
      </w:r>
      <w:r w:rsidR="00E05229">
        <w:t xml:space="preserve"> the department may accept a statutory declaration attesting to the copy’s validity. This statutory declaration will only be accepted if signed by the importer of the </w:t>
      </w:r>
      <w:r w:rsidR="00C923D9">
        <w:t>goods</w:t>
      </w:r>
      <w:r w:rsidR="00E05229">
        <w:t>.</w:t>
      </w:r>
    </w:p>
    <w:p w14:paraId="7332F92B" w14:textId="5D5F1363" w:rsidR="00E05229" w:rsidRDefault="00E05229" w:rsidP="006A6058">
      <w:r>
        <w:t xml:space="preserve">The original certificate, certified copy or statutory declaration must be presented to a </w:t>
      </w:r>
      <w:r w:rsidR="007D3C90">
        <w:t>departmental</w:t>
      </w:r>
      <w:r>
        <w:t xml:space="preserve"> office to be verified by </w:t>
      </w:r>
      <w:r w:rsidR="00830851">
        <w:t>a biosecurity officer</w:t>
      </w:r>
      <w:r>
        <w:t xml:space="preserve"> who will complete the document assessment process.</w:t>
      </w:r>
    </w:p>
    <w:p w14:paraId="058DEBD9" w14:textId="77777777" w:rsidR="00E05229" w:rsidRDefault="00E05229" w:rsidP="00D43C74">
      <w:pPr>
        <w:pStyle w:val="Heading3"/>
      </w:pPr>
      <w:bookmarkStart w:id="7" w:name="_Ref487459008"/>
      <w:bookmarkStart w:id="8" w:name="_Toc487460811"/>
      <w:r>
        <w:t>Consignment</w:t>
      </w:r>
      <w:r w:rsidR="00F65FE9">
        <w:t>-</w:t>
      </w:r>
      <w:r>
        <w:t>specific documentation</w:t>
      </w:r>
      <w:bookmarkEnd w:id="7"/>
      <w:bookmarkEnd w:id="8"/>
    </w:p>
    <w:p w14:paraId="309D95CF" w14:textId="3351BCBE" w:rsidR="00E05229" w:rsidRDefault="00E05229" w:rsidP="006A6058">
      <w:r>
        <w:t>The department relies on consignment</w:t>
      </w:r>
      <w:r w:rsidR="00F65FE9">
        <w:t>-</w:t>
      </w:r>
      <w:r>
        <w:t xml:space="preserve">specific documentation to support risk assessments for imported </w:t>
      </w:r>
      <w:r w:rsidR="00C923D9">
        <w:t>goods</w:t>
      </w:r>
      <w:r>
        <w:t>. Each line declared on an import declaration should link to the commercial documentation</w:t>
      </w:r>
      <w:r w:rsidR="00437518">
        <w:t xml:space="preserve"> in</w:t>
      </w:r>
      <w:r w:rsidR="0004150B">
        <w:t xml:space="preserve"> section</w:t>
      </w:r>
      <w:r w:rsidR="00437518">
        <w:t xml:space="preserve"> </w:t>
      </w:r>
      <w:r w:rsidR="0004150B">
        <w:rPr>
          <w:highlight w:val="yellow"/>
        </w:rPr>
        <w:fldChar w:fldCharType="begin"/>
      </w:r>
      <w:r w:rsidR="0004150B">
        <w:instrText xml:space="preserve"> REF _Ref487458322 \r \h </w:instrText>
      </w:r>
      <w:r w:rsidR="0004150B">
        <w:rPr>
          <w:highlight w:val="yellow"/>
        </w:rPr>
      </w:r>
      <w:r w:rsidR="0004150B">
        <w:rPr>
          <w:highlight w:val="yellow"/>
        </w:rPr>
        <w:fldChar w:fldCharType="separate"/>
      </w:r>
      <w:r w:rsidR="009B43EB">
        <w:t>4.2</w:t>
      </w:r>
      <w:r w:rsidR="0004150B">
        <w:rPr>
          <w:highlight w:val="yellow"/>
        </w:rPr>
        <w:fldChar w:fldCharType="end"/>
      </w:r>
      <w:r w:rsidR="0004150B">
        <w:t xml:space="preserve"> </w:t>
      </w:r>
      <w:r w:rsidR="00437518">
        <w:t>of this policy</w:t>
      </w:r>
      <w:r>
        <w:t xml:space="preserve">. In addition to this any lines subject to biosecurity or the </w:t>
      </w:r>
      <w:r w:rsidR="00437518">
        <w:t>I</w:t>
      </w:r>
      <w:r>
        <w:t xml:space="preserve">mported </w:t>
      </w:r>
      <w:r w:rsidR="00437518">
        <w:t>F</w:t>
      </w:r>
      <w:r>
        <w:t xml:space="preserve">ood </w:t>
      </w:r>
      <w:r w:rsidR="00437518">
        <w:t>I</w:t>
      </w:r>
      <w:r>
        <w:t xml:space="preserve">nspection </w:t>
      </w:r>
      <w:r w:rsidR="00437518">
        <w:t>S</w:t>
      </w:r>
      <w:r>
        <w:t>cheme may require commodity</w:t>
      </w:r>
      <w:r w:rsidR="00437518">
        <w:t>-</w:t>
      </w:r>
      <w:r>
        <w:t>specific information and supporting documentation. These commodity</w:t>
      </w:r>
      <w:r w:rsidR="00437518">
        <w:t>-</w:t>
      </w:r>
      <w:r>
        <w:t xml:space="preserve">specific requirements are outlined in the department’s import conditions </w:t>
      </w:r>
      <w:r w:rsidR="00907A63">
        <w:t xml:space="preserve">system </w:t>
      </w:r>
      <w:r>
        <w:t>(</w:t>
      </w:r>
      <w:hyperlink r:id="rId22" w:history="1">
        <w:r w:rsidR="00907A63" w:rsidRPr="007D3C90">
          <w:rPr>
            <w:rStyle w:val="Hyperlink"/>
          </w:rPr>
          <w:t>B</w:t>
        </w:r>
        <w:r w:rsidRPr="007D3C90">
          <w:rPr>
            <w:rStyle w:val="Hyperlink"/>
          </w:rPr>
          <w:t>ICON</w:t>
        </w:r>
      </w:hyperlink>
      <w:r>
        <w:t>) and individual import permits.</w:t>
      </w:r>
    </w:p>
    <w:p w14:paraId="288905F6" w14:textId="77777777" w:rsidR="00E05229" w:rsidRDefault="00E05229" w:rsidP="006A6058">
      <w:r>
        <w:t xml:space="preserve">Each class of document has specified minimum requirements </w:t>
      </w:r>
      <w:r w:rsidR="00437518">
        <w:t xml:space="preserve">that </w:t>
      </w:r>
      <w:r>
        <w:t xml:space="preserve">must be met for the document to be accepted by the department. The requirements for each document are outlined </w:t>
      </w:r>
      <w:r w:rsidR="00437518">
        <w:t>in this section</w:t>
      </w:r>
      <w:r>
        <w:t>.</w:t>
      </w:r>
    </w:p>
    <w:p w14:paraId="2BB66717" w14:textId="77777777" w:rsidR="00E05229" w:rsidRPr="009D5AF4" w:rsidRDefault="00E05229" w:rsidP="009D5AF4">
      <w:pPr>
        <w:pStyle w:val="Heading4"/>
      </w:pPr>
      <w:r w:rsidRPr="009D5AF4">
        <w:t>Transport documentation</w:t>
      </w:r>
    </w:p>
    <w:p w14:paraId="0F9DA417" w14:textId="77777777" w:rsidR="00E05229" w:rsidRDefault="00E05229" w:rsidP="005D5EE3">
      <w:pPr>
        <w:pStyle w:val="Heading5"/>
      </w:pPr>
      <w:r>
        <w:t>General information for a bill of lading (including interim bill of lading)</w:t>
      </w:r>
    </w:p>
    <w:p w14:paraId="2DACCBD1" w14:textId="77777777" w:rsidR="00E05229" w:rsidRDefault="00E05229" w:rsidP="0004150B">
      <w:r>
        <w:t>A bill of lading (or interim bill of lading) must be in accordance with the standard international trade requirements as specified by the International Chamber of Shipping.</w:t>
      </w:r>
    </w:p>
    <w:p w14:paraId="5913D303" w14:textId="77777777" w:rsidR="004C7BB1" w:rsidRDefault="00E05229" w:rsidP="0004150B">
      <w:r>
        <w:t>A bill of lading must include:</w:t>
      </w:r>
    </w:p>
    <w:p w14:paraId="6892FBDE" w14:textId="77777777" w:rsidR="00E05229" w:rsidRDefault="00E05229" w:rsidP="0004150B">
      <w:pPr>
        <w:pStyle w:val="ListBullet"/>
      </w:pPr>
      <w:r>
        <w:t>individual bill of lading number</w:t>
      </w:r>
    </w:p>
    <w:p w14:paraId="69D5756C" w14:textId="77777777" w:rsidR="00E05229" w:rsidRDefault="00E05229" w:rsidP="0004150B">
      <w:pPr>
        <w:pStyle w:val="ListBullet"/>
      </w:pPr>
      <w:r>
        <w:lastRenderedPageBreak/>
        <w:t>shipping line’s details</w:t>
      </w:r>
    </w:p>
    <w:p w14:paraId="3D06A127" w14:textId="77777777" w:rsidR="00E05229" w:rsidRDefault="00E05229" w:rsidP="0004150B">
      <w:pPr>
        <w:pStyle w:val="ListBullet"/>
      </w:pPr>
      <w:r>
        <w:t>consignor/shipper/export details (including name and address)</w:t>
      </w:r>
    </w:p>
    <w:p w14:paraId="426124BE" w14:textId="7A9827BD" w:rsidR="00E05229" w:rsidRDefault="00E05229" w:rsidP="0004150B">
      <w:pPr>
        <w:pStyle w:val="ListBullet"/>
      </w:pPr>
      <w:r>
        <w:t>consignee details (may be to order</w:t>
      </w:r>
      <w:r w:rsidR="00C17206">
        <w:t>’</w:t>
      </w:r>
      <w:r>
        <w:t>)</w:t>
      </w:r>
    </w:p>
    <w:p w14:paraId="23CB631E" w14:textId="77777777" w:rsidR="00E05229" w:rsidRDefault="00E05229" w:rsidP="0004150B">
      <w:pPr>
        <w:pStyle w:val="ListBullet"/>
      </w:pPr>
      <w:r>
        <w:t>vessel and voyage details</w:t>
      </w:r>
    </w:p>
    <w:p w14:paraId="4CA6446C" w14:textId="77777777" w:rsidR="00E05229" w:rsidRDefault="00E05229" w:rsidP="0004150B">
      <w:pPr>
        <w:pStyle w:val="ListBullet"/>
      </w:pPr>
      <w:r>
        <w:t>load port and discharge port</w:t>
      </w:r>
    </w:p>
    <w:p w14:paraId="219BCADD" w14:textId="77777777" w:rsidR="00E05229" w:rsidRDefault="00E05229" w:rsidP="0004150B">
      <w:pPr>
        <w:pStyle w:val="ListBullet"/>
      </w:pPr>
      <w:proofErr w:type="gramStart"/>
      <w:r>
        <w:t>weight</w:t>
      </w:r>
      <w:proofErr w:type="gramEnd"/>
      <w:r>
        <w:t>, volume and description of the goods</w:t>
      </w:r>
      <w:r w:rsidR="009F52A9">
        <w:t>.</w:t>
      </w:r>
    </w:p>
    <w:p w14:paraId="70C23BC7" w14:textId="77777777" w:rsidR="00E05229" w:rsidRDefault="009F52A9" w:rsidP="0004150B">
      <w:r>
        <w:t>A</w:t>
      </w:r>
      <w:r w:rsidR="00E05229">
        <w:t xml:space="preserve"> bill of lading may </w:t>
      </w:r>
      <w:r>
        <w:t xml:space="preserve">also </w:t>
      </w:r>
      <w:r w:rsidR="00E05229">
        <w:t>include:</w:t>
      </w:r>
    </w:p>
    <w:p w14:paraId="667C23AC" w14:textId="77777777" w:rsidR="00E05229" w:rsidRDefault="00E05229" w:rsidP="0004150B">
      <w:pPr>
        <w:pStyle w:val="ListBullet"/>
      </w:pPr>
      <w:r>
        <w:t xml:space="preserve">container </w:t>
      </w:r>
      <w:r w:rsidR="00C17206">
        <w:t xml:space="preserve">or seal </w:t>
      </w:r>
      <w:r>
        <w:t>number</w:t>
      </w:r>
      <w:r w:rsidR="00C17206">
        <w:t>s</w:t>
      </w:r>
      <w:r>
        <w:t xml:space="preserve"> (if goods are containerised)</w:t>
      </w:r>
    </w:p>
    <w:p w14:paraId="43716A5B" w14:textId="77777777" w:rsidR="00E05229" w:rsidRDefault="00E05229" w:rsidP="0004150B">
      <w:pPr>
        <w:pStyle w:val="ListBullet"/>
      </w:pPr>
      <w:r>
        <w:t>commercial reference numbers, such as invoice or order numbers</w:t>
      </w:r>
    </w:p>
    <w:p w14:paraId="7109FBF9" w14:textId="77777777" w:rsidR="00E05229" w:rsidRDefault="00E05229" w:rsidP="0004150B">
      <w:pPr>
        <w:pStyle w:val="ListBullet"/>
      </w:pPr>
      <w:r>
        <w:t>shipped on board date</w:t>
      </w:r>
    </w:p>
    <w:p w14:paraId="27147446" w14:textId="77777777" w:rsidR="00E05229" w:rsidRDefault="00E05229" w:rsidP="0004150B">
      <w:pPr>
        <w:pStyle w:val="ListBullet"/>
      </w:pPr>
      <w:r>
        <w:t>marks and numbers to identify goods</w:t>
      </w:r>
    </w:p>
    <w:p w14:paraId="56BD5BCC" w14:textId="77777777" w:rsidR="00E05229" w:rsidRDefault="00E05229" w:rsidP="0004150B">
      <w:pPr>
        <w:pStyle w:val="ListBullet"/>
      </w:pPr>
      <w:r>
        <w:t>serial numbers</w:t>
      </w:r>
    </w:p>
    <w:p w14:paraId="39778E0E" w14:textId="77777777" w:rsidR="00E05229" w:rsidRDefault="00E05229" w:rsidP="0004150B">
      <w:pPr>
        <w:pStyle w:val="ListBullet"/>
      </w:pPr>
      <w:proofErr w:type="gramStart"/>
      <w:r>
        <w:t>batch</w:t>
      </w:r>
      <w:proofErr w:type="gramEnd"/>
      <w:r>
        <w:t xml:space="preserve"> or lot code numbers</w:t>
      </w:r>
      <w:r w:rsidR="009F52A9">
        <w:t>.</w:t>
      </w:r>
    </w:p>
    <w:p w14:paraId="3A918CF9" w14:textId="77777777" w:rsidR="00E05229" w:rsidRDefault="00E05229" w:rsidP="005D5EE3">
      <w:pPr>
        <w:pStyle w:val="Heading5"/>
      </w:pPr>
      <w:r>
        <w:t>General information for an air waybill</w:t>
      </w:r>
    </w:p>
    <w:p w14:paraId="7CD9F6C8" w14:textId="77777777" w:rsidR="00E05229" w:rsidRDefault="005B2A4B" w:rsidP="0004150B">
      <w:r>
        <w:t>I</w:t>
      </w:r>
      <w:r w:rsidR="00E05229">
        <w:t>n line with the standard international trade requirements as specified by the International Air Transport Association</w:t>
      </w:r>
      <w:r>
        <w:t>, an air waybill must contain</w:t>
      </w:r>
      <w:r w:rsidR="00E05229">
        <w:t>:</w:t>
      </w:r>
    </w:p>
    <w:p w14:paraId="50DD5E0D" w14:textId="77777777" w:rsidR="00E05229" w:rsidRDefault="00E05229" w:rsidP="0004150B">
      <w:pPr>
        <w:pStyle w:val="ListBullet"/>
      </w:pPr>
      <w:r>
        <w:t>individual air waybill number</w:t>
      </w:r>
    </w:p>
    <w:p w14:paraId="576DFB41" w14:textId="77777777" w:rsidR="00E05229" w:rsidRDefault="00E05229" w:rsidP="0004150B">
      <w:pPr>
        <w:pStyle w:val="ListBullet"/>
      </w:pPr>
      <w:r>
        <w:t>consignor details (including name and address)</w:t>
      </w:r>
    </w:p>
    <w:p w14:paraId="314CC0FC" w14:textId="77777777" w:rsidR="00E05229" w:rsidRDefault="00E05229" w:rsidP="0004150B">
      <w:pPr>
        <w:pStyle w:val="ListBullet"/>
      </w:pPr>
      <w:r>
        <w:t xml:space="preserve">consignee details (may be </w:t>
      </w:r>
      <w:r w:rsidR="00C17206">
        <w:t>‘</w:t>
      </w:r>
      <w:r>
        <w:t>to order</w:t>
      </w:r>
      <w:r w:rsidR="00C17206">
        <w:t>’</w:t>
      </w:r>
      <w:r>
        <w:t>)</w:t>
      </w:r>
    </w:p>
    <w:p w14:paraId="68944B40" w14:textId="77777777" w:rsidR="00E05229" w:rsidRDefault="00E05229" w:rsidP="0004150B">
      <w:pPr>
        <w:pStyle w:val="ListBullet"/>
      </w:pPr>
      <w:r>
        <w:t>flight carrier and flight number</w:t>
      </w:r>
    </w:p>
    <w:p w14:paraId="1C17CFF0" w14:textId="77777777" w:rsidR="00E05229" w:rsidRDefault="00E05229" w:rsidP="0004150B">
      <w:pPr>
        <w:pStyle w:val="ListBullet"/>
      </w:pPr>
      <w:r>
        <w:t>airport of departure (address of first carrier) and requested routing</w:t>
      </w:r>
    </w:p>
    <w:p w14:paraId="5890DD10" w14:textId="77777777" w:rsidR="00E05229" w:rsidRDefault="00E05229" w:rsidP="0004150B">
      <w:pPr>
        <w:pStyle w:val="ListBullet"/>
      </w:pPr>
      <w:r>
        <w:t>airport of destination</w:t>
      </w:r>
    </w:p>
    <w:p w14:paraId="487D9577" w14:textId="77777777" w:rsidR="00E05229" w:rsidRDefault="00E05229" w:rsidP="0004150B">
      <w:pPr>
        <w:pStyle w:val="ListBullet"/>
      </w:pPr>
      <w:proofErr w:type="gramStart"/>
      <w:r>
        <w:t>weight</w:t>
      </w:r>
      <w:proofErr w:type="gramEnd"/>
      <w:r>
        <w:t>, volume and description of the goods</w:t>
      </w:r>
      <w:r w:rsidR="005C3B0D">
        <w:t>.</w:t>
      </w:r>
    </w:p>
    <w:p w14:paraId="14DBCA3A" w14:textId="77777777" w:rsidR="00E05229" w:rsidRDefault="00E05229" w:rsidP="0004150B">
      <w:r>
        <w:t xml:space="preserve">An air waybill may </w:t>
      </w:r>
      <w:r w:rsidR="00B4325D">
        <w:t xml:space="preserve">also </w:t>
      </w:r>
      <w:r>
        <w:t>include:</w:t>
      </w:r>
    </w:p>
    <w:p w14:paraId="4EE9DE4C" w14:textId="77777777" w:rsidR="00E05229" w:rsidRDefault="00E05229" w:rsidP="0004150B">
      <w:pPr>
        <w:pStyle w:val="ListBullet"/>
      </w:pPr>
      <w:r>
        <w:t>commercial reference numbers, such as invoice or order numbers</w:t>
      </w:r>
    </w:p>
    <w:p w14:paraId="7D01F188" w14:textId="77777777" w:rsidR="00E05229" w:rsidRDefault="00E05229" w:rsidP="0004150B">
      <w:pPr>
        <w:pStyle w:val="ListBullet"/>
      </w:pPr>
      <w:proofErr w:type="gramStart"/>
      <w:r>
        <w:t>marks</w:t>
      </w:r>
      <w:proofErr w:type="gramEnd"/>
      <w:r>
        <w:t xml:space="preserve"> and numbers to identify goods, such as serial numbers or batch numbers.</w:t>
      </w:r>
    </w:p>
    <w:p w14:paraId="4E9BEC23" w14:textId="77777777" w:rsidR="00E05229" w:rsidRDefault="00E05229" w:rsidP="0004150B">
      <w:r>
        <w:t xml:space="preserve">Air </w:t>
      </w:r>
      <w:r w:rsidR="005C3B0D">
        <w:t>w</w:t>
      </w:r>
      <w:r>
        <w:t>aybills are also acceptable in electronic format (e-AWB).</w:t>
      </w:r>
    </w:p>
    <w:p w14:paraId="4EBECCC3" w14:textId="77777777" w:rsidR="00F90C55" w:rsidRDefault="00E05229">
      <w:pPr>
        <w:pStyle w:val="Heading4"/>
        <w:keepNext/>
      </w:pPr>
      <w:bookmarkStart w:id="9" w:name="_Ref487458322"/>
      <w:r>
        <w:t>Commercial documentation</w:t>
      </w:r>
      <w:bookmarkEnd w:id="9"/>
    </w:p>
    <w:p w14:paraId="08C22AB6" w14:textId="77777777" w:rsidR="00E05229" w:rsidRDefault="00E05229" w:rsidP="005D5EE3">
      <w:pPr>
        <w:pStyle w:val="Heading5"/>
      </w:pPr>
      <w:r>
        <w:t>General information for a commercial invoice</w:t>
      </w:r>
    </w:p>
    <w:p w14:paraId="1BED41BD" w14:textId="77777777" w:rsidR="00E05229" w:rsidRDefault="005471E7" w:rsidP="0004150B">
      <w:r>
        <w:t>I</w:t>
      </w:r>
      <w:r w:rsidR="00E05229">
        <w:t>n line with standard international trade requirements and practice</w:t>
      </w:r>
      <w:r>
        <w:t>, a commercial invoice may contain</w:t>
      </w:r>
      <w:r w:rsidR="00E05229">
        <w:t>:</w:t>
      </w:r>
    </w:p>
    <w:p w14:paraId="77FFBD48" w14:textId="77777777" w:rsidR="00E05229" w:rsidRDefault="00E05229" w:rsidP="0004150B">
      <w:pPr>
        <w:pStyle w:val="ListBullet"/>
      </w:pPr>
      <w:r>
        <w:t>supplier and purchaser details (including name and physical exporting and importing addresses)</w:t>
      </w:r>
    </w:p>
    <w:p w14:paraId="290D7A41" w14:textId="77777777" w:rsidR="00E05229" w:rsidRDefault="00E05229" w:rsidP="0004150B">
      <w:pPr>
        <w:pStyle w:val="ListBullet"/>
      </w:pPr>
      <w:r>
        <w:lastRenderedPageBreak/>
        <w:t>commercial reference numbers, such as invoice or order numbers</w:t>
      </w:r>
    </w:p>
    <w:p w14:paraId="0517D646" w14:textId="77777777" w:rsidR="00E05229" w:rsidRDefault="00E05229" w:rsidP="0004150B">
      <w:pPr>
        <w:pStyle w:val="ListBullet"/>
      </w:pPr>
      <w:r>
        <w:t>quantity and description of the goods</w:t>
      </w:r>
    </w:p>
    <w:p w14:paraId="7E83F9EB" w14:textId="77777777" w:rsidR="00E05229" w:rsidRDefault="00E05229" w:rsidP="0004150B">
      <w:pPr>
        <w:pStyle w:val="ListBullet"/>
      </w:pPr>
      <w:proofErr w:type="gramStart"/>
      <w:r>
        <w:t>lot</w:t>
      </w:r>
      <w:proofErr w:type="gramEnd"/>
      <w:r>
        <w:t xml:space="preserve"> codes</w:t>
      </w:r>
      <w:r w:rsidR="005C3B0D">
        <w:t>.</w:t>
      </w:r>
    </w:p>
    <w:p w14:paraId="281798F2" w14:textId="77777777" w:rsidR="00E05229" w:rsidRDefault="00E05229" w:rsidP="005D5EE3">
      <w:pPr>
        <w:pStyle w:val="Heading5"/>
      </w:pPr>
      <w:r>
        <w:t>General information for a packing list/sheet/slip</w:t>
      </w:r>
    </w:p>
    <w:p w14:paraId="2C533709" w14:textId="77777777" w:rsidR="00E05229" w:rsidRDefault="00E05229" w:rsidP="0004150B">
      <w:r>
        <w:t>A packing list may contain:</w:t>
      </w:r>
    </w:p>
    <w:p w14:paraId="0F7313D0" w14:textId="77777777" w:rsidR="00E05229" w:rsidRDefault="00E05229" w:rsidP="0004150B">
      <w:pPr>
        <w:pStyle w:val="ListBullet"/>
      </w:pPr>
      <w:r>
        <w:t>supplier and purchaser details</w:t>
      </w:r>
    </w:p>
    <w:p w14:paraId="4CCBC73D" w14:textId="77777777" w:rsidR="00E05229" w:rsidRDefault="00E05229" w:rsidP="0004150B">
      <w:pPr>
        <w:pStyle w:val="ListBullet"/>
      </w:pPr>
      <w:r>
        <w:t>commercial reference numbers, such as invoice or order numbers</w:t>
      </w:r>
    </w:p>
    <w:p w14:paraId="40A73D3C" w14:textId="77777777" w:rsidR="00E05229" w:rsidRDefault="00E05229" w:rsidP="0004150B">
      <w:pPr>
        <w:pStyle w:val="ListBullet"/>
      </w:pPr>
      <w:r>
        <w:t>description and quantity of the goods</w:t>
      </w:r>
    </w:p>
    <w:p w14:paraId="6AE50AF9" w14:textId="77777777" w:rsidR="00E05229" w:rsidRDefault="00E05229" w:rsidP="0004150B">
      <w:pPr>
        <w:pStyle w:val="ListBullet"/>
      </w:pPr>
      <w:proofErr w:type="gramStart"/>
      <w:r>
        <w:t>consignment</w:t>
      </w:r>
      <w:r w:rsidR="00F65FE9">
        <w:t>-</w:t>
      </w:r>
      <w:r>
        <w:t>specific</w:t>
      </w:r>
      <w:proofErr w:type="gramEnd"/>
      <w:r>
        <w:t xml:space="preserve"> marks and numbers</w:t>
      </w:r>
      <w:r w:rsidR="005C3B0D">
        <w:t>.</w:t>
      </w:r>
    </w:p>
    <w:p w14:paraId="6FE2ED0A" w14:textId="77777777" w:rsidR="00E05229" w:rsidRPr="009D5AF4" w:rsidRDefault="00E05229" w:rsidP="009D5AF4">
      <w:pPr>
        <w:pStyle w:val="Heading4"/>
      </w:pPr>
      <w:r w:rsidRPr="009D5AF4">
        <w:t>Government</w:t>
      </w:r>
      <w:r w:rsidR="00F65FE9">
        <w:t>-</w:t>
      </w:r>
      <w:r w:rsidRPr="009D5AF4">
        <w:t>to</w:t>
      </w:r>
      <w:r w:rsidR="00F65FE9">
        <w:t>-</w:t>
      </w:r>
      <w:r w:rsidRPr="009D5AF4">
        <w:t>government documentation</w:t>
      </w:r>
    </w:p>
    <w:p w14:paraId="6FAC78C3" w14:textId="77777777" w:rsidR="00E05229" w:rsidRDefault="00E05229" w:rsidP="0004150B">
      <w:r>
        <w:t>Further to the overarching international requirements, the department has additional requirements</w:t>
      </w:r>
      <w:r w:rsidR="005471E7">
        <w:t xml:space="preserve"> for government-to-government certification.</w:t>
      </w:r>
    </w:p>
    <w:p w14:paraId="46A1D2D7" w14:textId="77777777" w:rsidR="00E05229" w:rsidRDefault="00E05229" w:rsidP="0004150B">
      <w:r>
        <w:t>The certificate must:</w:t>
      </w:r>
    </w:p>
    <w:p w14:paraId="492261A4" w14:textId="77777777" w:rsidR="00E05229" w:rsidRDefault="00E05229" w:rsidP="0004150B">
      <w:pPr>
        <w:pStyle w:val="ListBullet"/>
      </w:pPr>
      <w:r>
        <w:t xml:space="preserve">have been issued and dated within the </w:t>
      </w:r>
      <w:r w:rsidR="00945CFD">
        <w:t>p</w:t>
      </w:r>
      <w:r>
        <w:t>ast six months unless otherwise specified</w:t>
      </w:r>
    </w:p>
    <w:p w14:paraId="47089AC2" w14:textId="77777777" w:rsidR="00E05229" w:rsidRDefault="00E05229" w:rsidP="0004150B">
      <w:pPr>
        <w:pStyle w:val="ListBullet"/>
      </w:pPr>
      <w:r>
        <w:t>contain the correct statements as required by the department’s import conditions</w:t>
      </w:r>
    </w:p>
    <w:p w14:paraId="3025D793" w14:textId="77777777" w:rsidR="00E05229" w:rsidRDefault="00E05229" w:rsidP="0004150B">
      <w:pPr>
        <w:pStyle w:val="ListBullet"/>
      </w:pPr>
      <w:r>
        <w:t>be compliant with any international standards where required</w:t>
      </w:r>
    </w:p>
    <w:p w14:paraId="36CBE6BD" w14:textId="77777777" w:rsidR="00E05229" w:rsidRDefault="00E05229" w:rsidP="0004150B">
      <w:pPr>
        <w:pStyle w:val="ListBullet"/>
      </w:pPr>
      <w:proofErr w:type="gramStart"/>
      <w:r>
        <w:t>have</w:t>
      </w:r>
      <w:proofErr w:type="gramEnd"/>
      <w:r>
        <w:t xml:space="preserve"> been endorsed with the stamp/seal/embossed mark of the issuing national competent authority.</w:t>
      </w:r>
    </w:p>
    <w:p w14:paraId="475FAD50" w14:textId="77777777" w:rsidR="00E05229" w:rsidRDefault="00E05229" w:rsidP="0004150B">
      <w:r>
        <w:t xml:space="preserve">The stamp may be printed on the certificate or added by the issuing official </w:t>
      </w:r>
      <w:r w:rsidR="005471E7">
        <w:t>after the form is</w:t>
      </w:r>
      <w:r>
        <w:t xml:space="preserve"> complet</w:t>
      </w:r>
      <w:r w:rsidR="005471E7">
        <w:t>ed</w:t>
      </w:r>
      <w:r w:rsidR="00092DB7">
        <w:t>.</w:t>
      </w:r>
    </w:p>
    <w:p w14:paraId="3C88A8EF" w14:textId="77777777" w:rsidR="00E05229" w:rsidRDefault="00E05229" w:rsidP="005D5EE3">
      <w:pPr>
        <w:pStyle w:val="Heading5"/>
      </w:pPr>
      <w:r>
        <w:t xml:space="preserve">Electronic lodgement via the </w:t>
      </w:r>
      <w:proofErr w:type="spellStart"/>
      <w:r>
        <w:t>eCert</w:t>
      </w:r>
      <w:proofErr w:type="spellEnd"/>
      <w:r>
        <w:t xml:space="preserve"> system</w:t>
      </w:r>
    </w:p>
    <w:p w14:paraId="61C5AE9E" w14:textId="1B6275DE" w:rsidR="00E05229" w:rsidRDefault="00E05229" w:rsidP="0004150B">
      <w:r>
        <w:t xml:space="preserve">Where the department has an agreed arrangement with a foreign government that allows for government certification to be received </w:t>
      </w:r>
      <w:r w:rsidR="005471E7">
        <w:t xml:space="preserve">using </w:t>
      </w:r>
      <w:r>
        <w:t>a secure government</w:t>
      </w:r>
      <w:r w:rsidR="005471E7">
        <w:t>-</w:t>
      </w:r>
      <w:r>
        <w:t>to</w:t>
      </w:r>
      <w:r w:rsidR="005471E7">
        <w:t>-</w:t>
      </w:r>
      <w:r>
        <w:t xml:space="preserve">government system transfer </w:t>
      </w:r>
      <w:r w:rsidR="005471E7">
        <w:t>such as</w:t>
      </w:r>
      <w:r>
        <w:t xml:space="preserve"> </w:t>
      </w:r>
      <w:proofErr w:type="spellStart"/>
      <w:r>
        <w:t>eCert</w:t>
      </w:r>
      <w:proofErr w:type="spellEnd"/>
      <w:r>
        <w:t>, the physical document is not required to be presented</w:t>
      </w:r>
      <w:r w:rsidR="00AF673B">
        <w:t xml:space="preserve"> to the department</w:t>
      </w:r>
      <w:r>
        <w:t>.</w:t>
      </w:r>
    </w:p>
    <w:p w14:paraId="77C8BC69" w14:textId="00D3F550" w:rsidR="00E05229" w:rsidRDefault="00E05229" w:rsidP="0004150B">
      <w:r>
        <w:t xml:space="preserve">Government certification received via the </w:t>
      </w:r>
      <w:proofErr w:type="spellStart"/>
      <w:r>
        <w:t>eCert</w:t>
      </w:r>
      <w:proofErr w:type="spellEnd"/>
      <w:r>
        <w:t xml:space="preserve"> system for imported </w:t>
      </w:r>
      <w:r w:rsidR="00C923D9">
        <w:t>goods are</w:t>
      </w:r>
      <w:r>
        <w:t xml:space="preserve"> excluded from the documentation requirements outlined in this policy</w:t>
      </w:r>
      <w:r w:rsidR="00847DC2">
        <w:t>.</w:t>
      </w:r>
    </w:p>
    <w:p w14:paraId="6AF10041" w14:textId="77777777" w:rsidR="00E05229" w:rsidRDefault="00E05229" w:rsidP="005D5EE3">
      <w:pPr>
        <w:pStyle w:val="Heading5"/>
      </w:pPr>
      <w:r>
        <w:t xml:space="preserve">Authentication of </w:t>
      </w:r>
      <w:r w:rsidR="005471E7">
        <w:t>g</w:t>
      </w:r>
      <w:r>
        <w:t>overnment certificates</w:t>
      </w:r>
    </w:p>
    <w:p w14:paraId="3AA39E0C" w14:textId="77777777" w:rsidR="00E05229" w:rsidRDefault="00E05229" w:rsidP="0004150B">
      <w:r>
        <w:t xml:space="preserve">The department regularly receives information from government authorities </w:t>
      </w:r>
      <w:r w:rsidR="00E92435">
        <w:t xml:space="preserve">about </w:t>
      </w:r>
      <w:r>
        <w:t>security features that have been added to a certificate that allow international governments to identify legitimate certification.</w:t>
      </w:r>
    </w:p>
    <w:p w14:paraId="31F30382" w14:textId="77777777" w:rsidR="00E05229" w:rsidRDefault="00E05229" w:rsidP="0004150B">
      <w:r>
        <w:t>The department reserves the right to request original certification to be presented if there is reason to believe that the verification is not genuine based on security features.</w:t>
      </w:r>
    </w:p>
    <w:p w14:paraId="52DA6133" w14:textId="77777777" w:rsidR="00E05229" w:rsidRDefault="00E05229" w:rsidP="0004150B">
      <w:r>
        <w:t xml:space="preserve">The department </w:t>
      </w:r>
      <w:r w:rsidR="00061140">
        <w:t xml:space="preserve">accepts </w:t>
      </w:r>
      <w:r>
        <w:t>that in some instances shading security features with a pencil enhances the visibility of the features for photocopying/scanning purposes when lodging certificates electronically.</w:t>
      </w:r>
    </w:p>
    <w:p w14:paraId="1ECFCC9A" w14:textId="77777777" w:rsidR="00E05229" w:rsidRDefault="00E05229" w:rsidP="005D5EE3">
      <w:pPr>
        <w:pStyle w:val="Heading5"/>
      </w:pPr>
      <w:r>
        <w:lastRenderedPageBreak/>
        <w:t>Information for veterinary/government certification</w:t>
      </w:r>
    </w:p>
    <w:p w14:paraId="24E8F914" w14:textId="3D01D709" w:rsidR="00E05229" w:rsidRDefault="00E05229" w:rsidP="0004150B">
      <w:r>
        <w:t xml:space="preserve">International standards for veterinary/government certification are outlined on </w:t>
      </w:r>
      <w:hyperlink r:id="rId23" w:history="1">
        <w:r w:rsidR="00737DED">
          <w:rPr>
            <w:rStyle w:val="Hyperlink"/>
          </w:rPr>
          <w:t xml:space="preserve">the World Organisation for Animal Health </w:t>
        </w:r>
        <w:r w:rsidR="0094534C">
          <w:rPr>
            <w:rStyle w:val="Hyperlink"/>
          </w:rPr>
          <w:t xml:space="preserve">(OIE) </w:t>
        </w:r>
        <w:r w:rsidR="00737DED">
          <w:rPr>
            <w:rStyle w:val="Hyperlink"/>
          </w:rPr>
          <w:t>website</w:t>
        </w:r>
      </w:hyperlink>
      <w:r>
        <w:t>, according to species of origin:</w:t>
      </w:r>
    </w:p>
    <w:p w14:paraId="18A83289" w14:textId="77777777" w:rsidR="00E05229" w:rsidRDefault="00E05229" w:rsidP="0004150B">
      <w:pPr>
        <w:pStyle w:val="ListBullet"/>
      </w:pPr>
      <w:r>
        <w:t xml:space="preserve">for veterinary certificates for terrestrial animals and their products, </w:t>
      </w:r>
      <w:r w:rsidR="00DD5BC7">
        <w:t>see</w:t>
      </w:r>
      <w:r>
        <w:t xml:space="preserve"> the OIE Terrestrial Code Certification Procedures</w:t>
      </w:r>
    </w:p>
    <w:p w14:paraId="07A76313" w14:textId="77777777" w:rsidR="00E05229" w:rsidRDefault="00E05229" w:rsidP="0004150B">
      <w:pPr>
        <w:pStyle w:val="ListBullet"/>
      </w:pPr>
      <w:proofErr w:type="gramStart"/>
      <w:r>
        <w:t>for</w:t>
      </w:r>
      <w:proofErr w:type="gramEnd"/>
      <w:r>
        <w:t xml:space="preserve"> veterinary certificates for aquatic animals and their products, </w:t>
      </w:r>
      <w:r w:rsidR="00DD5BC7">
        <w:t>see</w:t>
      </w:r>
      <w:r>
        <w:t xml:space="preserve"> the OIE Aquatic Code Certification Procedures</w:t>
      </w:r>
      <w:r w:rsidR="00092DB7">
        <w:t>.</w:t>
      </w:r>
    </w:p>
    <w:p w14:paraId="3B90974F" w14:textId="77777777" w:rsidR="00E05229" w:rsidRDefault="00E05229" w:rsidP="005D5EE3">
      <w:pPr>
        <w:pStyle w:val="Heading5"/>
      </w:pPr>
      <w:r>
        <w:t>Information for a phytosanitary certificate</w:t>
      </w:r>
    </w:p>
    <w:p w14:paraId="35098F83" w14:textId="77777777" w:rsidR="00E05229" w:rsidRDefault="00E05229" w:rsidP="0004150B">
      <w:r>
        <w:t xml:space="preserve">International standards for phytosanitary certification are outlined on the </w:t>
      </w:r>
      <w:hyperlink r:id="rId24" w:history="1">
        <w:r w:rsidR="00737DED">
          <w:rPr>
            <w:rStyle w:val="Hyperlink"/>
          </w:rPr>
          <w:t>International Plant Protection Convention website</w:t>
        </w:r>
      </w:hyperlink>
      <w:r>
        <w:t xml:space="preserve"> in the International Standards for Phytosanitary Measures (ISPM) No. 12: Guidelines for </w:t>
      </w:r>
      <w:r w:rsidR="00DD5BC7">
        <w:t>p</w:t>
      </w:r>
      <w:r>
        <w:t xml:space="preserve">hytosanitary </w:t>
      </w:r>
      <w:r w:rsidR="00DD5BC7">
        <w:t>c</w:t>
      </w:r>
      <w:r>
        <w:t>ertificates.</w:t>
      </w:r>
    </w:p>
    <w:p w14:paraId="4AD357F3" w14:textId="3CD7A456" w:rsidR="00E05229" w:rsidRDefault="00092DB7" w:rsidP="0004150B">
      <w:r>
        <w:t>W</w:t>
      </w:r>
      <w:r w:rsidR="00E05229">
        <w:t>hen details of methyl bromide treatment are included on a phytosanitary certificate</w:t>
      </w:r>
      <w:r>
        <w:t>,</w:t>
      </w:r>
      <w:r w:rsidR="00E05229">
        <w:t xml:space="preserve"> the department does not require plastic wrapping declarations as outlined in section </w:t>
      </w:r>
      <w:r w:rsidR="0004150B">
        <w:fldChar w:fldCharType="begin"/>
      </w:r>
      <w:r w:rsidR="0004150B">
        <w:instrText xml:space="preserve"> REF _Ref487458669 \r \h </w:instrText>
      </w:r>
      <w:r w:rsidR="0004150B">
        <w:fldChar w:fldCharType="separate"/>
      </w:r>
      <w:r w:rsidR="009B43EB">
        <w:t>4.7.6</w:t>
      </w:r>
      <w:r w:rsidR="0004150B">
        <w:fldChar w:fldCharType="end"/>
      </w:r>
      <w:r w:rsidR="0004150B">
        <w:t xml:space="preserve"> </w:t>
      </w:r>
      <w:r w:rsidR="00E05229">
        <w:t>of this policy.</w:t>
      </w:r>
    </w:p>
    <w:p w14:paraId="28E1EA6F" w14:textId="77777777" w:rsidR="00E05229" w:rsidRDefault="00E05229" w:rsidP="005D5EE3">
      <w:pPr>
        <w:pStyle w:val="Heading5"/>
      </w:pPr>
      <w:r>
        <w:t xml:space="preserve">Information for foreign government certification under the </w:t>
      </w:r>
      <w:r w:rsidR="00D86FE5" w:rsidRPr="00D86FE5">
        <w:rPr>
          <w:rStyle w:val="Emphasis"/>
        </w:rPr>
        <w:t>Imported Food Control Act 1992</w:t>
      </w:r>
    </w:p>
    <w:p w14:paraId="7DEB600A" w14:textId="0A99389B" w:rsidR="00E05229" w:rsidRDefault="00E05229" w:rsidP="0004150B">
      <w:r>
        <w:t xml:space="preserve">Under </w:t>
      </w:r>
      <w:r w:rsidR="00DD5BC7">
        <w:t>s</w:t>
      </w:r>
      <w:r>
        <w:t xml:space="preserve">ection 18 of the </w:t>
      </w:r>
      <w:r w:rsidR="00D86FE5" w:rsidRPr="00D86FE5">
        <w:rPr>
          <w:rStyle w:val="Emphasis"/>
        </w:rPr>
        <w:t>Imported Food Control Act 1992</w:t>
      </w:r>
      <w:r>
        <w:t xml:space="preserve">, the department can enter into a government-to-government certification arrangement with the national competent authority of a country exporting food to Australia. Information about these arrangements is outlined on the </w:t>
      </w:r>
      <w:hyperlink r:id="rId25" w:history="1">
        <w:r w:rsidR="001B08A3">
          <w:rPr>
            <w:rStyle w:val="Hyperlink"/>
          </w:rPr>
          <w:t>department’s website</w:t>
        </w:r>
      </w:hyperlink>
      <w:r>
        <w:t>.</w:t>
      </w:r>
    </w:p>
    <w:p w14:paraId="49D056EB" w14:textId="2671E2CD" w:rsidR="00E05229" w:rsidRDefault="00E05229" w:rsidP="005D5EE3">
      <w:pPr>
        <w:pStyle w:val="Heading5"/>
      </w:pPr>
      <w:r>
        <w:t xml:space="preserve">Information for bovine spongiform encephalopathy (BSE) food safety requirements for imported </w:t>
      </w:r>
      <w:r w:rsidR="00DC24E4">
        <w:t>bovine</w:t>
      </w:r>
      <w:r>
        <w:t xml:space="preserve"> products for human consumption</w:t>
      </w:r>
    </w:p>
    <w:p w14:paraId="58A355CD" w14:textId="487A4814" w:rsidR="00E05229" w:rsidRDefault="00E05229" w:rsidP="0004150B">
      <w:r>
        <w:t xml:space="preserve">All consignments of </w:t>
      </w:r>
      <w:r w:rsidR="003C63D5">
        <w:t xml:space="preserve">bovine </w:t>
      </w:r>
      <w:r>
        <w:t xml:space="preserve">products for human consumption imported into Australia must comply with the biosecurity and BSE food safety requirements. Australia’s biosecurity requirements for beef and beef products can be obtained from </w:t>
      </w:r>
      <w:r w:rsidR="00CF60F4">
        <w:t>B</w:t>
      </w:r>
      <w:r>
        <w:t xml:space="preserve">ICON. Information about BSE food safety requirements are outlined on the </w:t>
      </w:r>
      <w:hyperlink r:id="rId26" w:history="1">
        <w:r w:rsidR="0085021D">
          <w:rPr>
            <w:rStyle w:val="Hyperlink"/>
          </w:rPr>
          <w:t>department’s website</w:t>
        </w:r>
      </w:hyperlink>
      <w:r>
        <w:t>.</w:t>
      </w:r>
    </w:p>
    <w:p w14:paraId="0D1F90E9" w14:textId="77777777" w:rsidR="00F90C55" w:rsidRDefault="00E05229">
      <w:pPr>
        <w:pStyle w:val="Heading4"/>
        <w:keepNext/>
      </w:pPr>
      <w:r w:rsidRPr="009D5AF4">
        <w:t>Documentation issued by the department</w:t>
      </w:r>
    </w:p>
    <w:p w14:paraId="0F0702A7" w14:textId="77777777" w:rsidR="00E05229" w:rsidRDefault="00E05229" w:rsidP="005D5EE3">
      <w:pPr>
        <w:pStyle w:val="Heading5"/>
      </w:pPr>
      <w:r>
        <w:t>Import permits</w:t>
      </w:r>
    </w:p>
    <w:p w14:paraId="1AFD8980" w14:textId="0E5047BC" w:rsidR="00E05229" w:rsidRDefault="00E05229" w:rsidP="0004150B">
      <w:r>
        <w:t xml:space="preserve">An import permit may only be used by (or on behalf of) the person or entity named as the </w:t>
      </w:r>
      <w:r w:rsidR="00D501A5">
        <w:t>holder of the permit</w:t>
      </w:r>
      <w:r w:rsidR="00721B9D">
        <w:t xml:space="preserve"> </w:t>
      </w:r>
      <w:r>
        <w:t xml:space="preserve">and must be valid at the time the </w:t>
      </w:r>
      <w:r w:rsidR="00C923D9">
        <w:t xml:space="preserve">goods </w:t>
      </w:r>
      <w:r w:rsidR="000729B5">
        <w:t>are</w:t>
      </w:r>
      <w:r w:rsidR="0085021D">
        <w:t xml:space="preserve"> </w:t>
      </w:r>
      <w:r>
        <w:t>land</w:t>
      </w:r>
      <w:r w:rsidR="000729B5">
        <w:t>ed</w:t>
      </w:r>
      <w:r w:rsidR="00C923D9">
        <w:t>.</w:t>
      </w:r>
    </w:p>
    <w:p w14:paraId="0B90BC42" w14:textId="77777777" w:rsidR="00E05229" w:rsidRDefault="00E05229" w:rsidP="0004150B">
      <w:r>
        <w:t xml:space="preserve">Conditions stated on an </w:t>
      </w:r>
      <w:r w:rsidR="00E123B3">
        <w:t>i</w:t>
      </w:r>
      <w:r>
        <w:t xml:space="preserve">mport permit take precedence over any conditions stated in </w:t>
      </w:r>
      <w:r w:rsidR="00CF60F4">
        <w:t>B</w:t>
      </w:r>
      <w:r>
        <w:t>ICON. These conditions may include the addition of specific statement/s on commercial documentation.</w:t>
      </w:r>
    </w:p>
    <w:p w14:paraId="4A92F1C3" w14:textId="77777777" w:rsidR="00E05229" w:rsidRDefault="00E05229" w:rsidP="0004150B">
      <w:r>
        <w:t>Import permits are not required to be presented for documentary assessment</w:t>
      </w:r>
      <w:r w:rsidR="00E123B3">
        <w:t>;</w:t>
      </w:r>
      <w:r>
        <w:t xml:space="preserve"> the permit number is sufficient for the department to </w:t>
      </w:r>
      <w:r w:rsidR="00E123B3">
        <w:t xml:space="preserve">assess </w:t>
      </w:r>
      <w:r>
        <w:t>the documenta</w:t>
      </w:r>
      <w:r w:rsidR="00E123B3">
        <w:t>tion</w:t>
      </w:r>
      <w:r>
        <w:t>.</w:t>
      </w:r>
    </w:p>
    <w:p w14:paraId="0251B21E" w14:textId="77777777" w:rsidR="00E05229" w:rsidRDefault="00E05229" w:rsidP="005D5EE3">
      <w:pPr>
        <w:pStyle w:val="Heading5"/>
      </w:pPr>
      <w:r>
        <w:t>Clearance letter</w:t>
      </w:r>
    </w:p>
    <w:p w14:paraId="132AC812" w14:textId="7DC0B802" w:rsidR="00E05229" w:rsidRDefault="00E05229" w:rsidP="0004150B">
      <w:r>
        <w:t xml:space="preserve">A clearance letter may only be used by (or on behalf of) the person or entity named </w:t>
      </w:r>
      <w:r w:rsidR="000729B5">
        <w:t xml:space="preserve">in the letter </w:t>
      </w:r>
      <w:r>
        <w:t xml:space="preserve">and must be valid at the time the </w:t>
      </w:r>
      <w:r w:rsidR="00C923D9">
        <w:t>goods</w:t>
      </w:r>
      <w:r w:rsidR="000729B5">
        <w:t xml:space="preserve"> are </w:t>
      </w:r>
      <w:r w:rsidR="00C923D9">
        <w:t>land</w:t>
      </w:r>
      <w:r w:rsidR="000729B5">
        <w:t>ed</w:t>
      </w:r>
      <w:r w:rsidR="00C923D9">
        <w:t>.</w:t>
      </w:r>
    </w:p>
    <w:p w14:paraId="6B4A2398" w14:textId="77777777" w:rsidR="00E05229" w:rsidRDefault="00E05229" w:rsidP="0004150B">
      <w:r>
        <w:lastRenderedPageBreak/>
        <w:t>Clearance letters will only be accepted if issued by a national policy section or a service delivery assistant director (or higher).</w:t>
      </w:r>
    </w:p>
    <w:p w14:paraId="164472E3" w14:textId="77777777" w:rsidR="00E05229" w:rsidRDefault="00E05229" w:rsidP="00D43C74">
      <w:pPr>
        <w:pStyle w:val="Heading4"/>
      </w:pPr>
      <w:r>
        <w:t>Documentation endorsed by the department</w:t>
      </w:r>
    </w:p>
    <w:p w14:paraId="5AF81AE5" w14:textId="77777777" w:rsidR="00E05229" w:rsidRDefault="00E05229" w:rsidP="005D5EE3">
      <w:pPr>
        <w:pStyle w:val="Heading5"/>
      </w:pPr>
      <w:r>
        <w:t>Documentation requirement for a declaration/notice of intent to export</w:t>
      </w:r>
    </w:p>
    <w:p w14:paraId="7B2CB860" w14:textId="77777777" w:rsidR="00E05229" w:rsidRDefault="00E05229" w:rsidP="0004150B">
      <w:r>
        <w:t>A declaration/notice of intent to export must contain:</w:t>
      </w:r>
    </w:p>
    <w:p w14:paraId="7DAA3E5F" w14:textId="77777777" w:rsidR="00E05229" w:rsidRDefault="00E05229" w:rsidP="0004150B">
      <w:pPr>
        <w:pStyle w:val="ListBullet"/>
      </w:pPr>
      <w:r>
        <w:t>the assigned departmental pre-clearance number</w:t>
      </w:r>
    </w:p>
    <w:p w14:paraId="0727BA53" w14:textId="77777777" w:rsidR="00E05229" w:rsidRDefault="00E05229" w:rsidP="0004150B">
      <w:pPr>
        <w:pStyle w:val="ListBullet"/>
      </w:pPr>
      <w:r>
        <w:t>participant/exporter/packing house that requested pre-clearance</w:t>
      </w:r>
    </w:p>
    <w:p w14:paraId="761BD793" w14:textId="2DD90F4D" w:rsidR="00EA0216" w:rsidRDefault="00EA0216" w:rsidP="0004150B">
      <w:pPr>
        <w:pStyle w:val="ListBullet"/>
      </w:pPr>
      <w:r>
        <w:t>product and variety</w:t>
      </w:r>
    </w:p>
    <w:p w14:paraId="1A23C6B7" w14:textId="77777777" w:rsidR="00E05229" w:rsidRDefault="00E05229" w:rsidP="0004150B">
      <w:pPr>
        <w:pStyle w:val="ListBullet"/>
      </w:pPr>
      <w:r>
        <w:t>inspection location</w:t>
      </w:r>
    </w:p>
    <w:p w14:paraId="698B15AC" w14:textId="77777777" w:rsidR="00E05229" w:rsidRDefault="00E05229" w:rsidP="0004150B">
      <w:pPr>
        <w:pStyle w:val="ListBullet"/>
      </w:pPr>
      <w:r>
        <w:t>pallet card numbers (in numerical order) and packing house</w:t>
      </w:r>
    </w:p>
    <w:p w14:paraId="7B2CDB3B" w14:textId="70725513" w:rsidR="00EA0216" w:rsidRDefault="00EA0216" w:rsidP="0004150B">
      <w:pPr>
        <w:pStyle w:val="ListBullet"/>
      </w:pPr>
      <w:r>
        <w:t>a declaration of compliance with Australia’s import conditions</w:t>
      </w:r>
    </w:p>
    <w:p w14:paraId="17CB545C" w14:textId="77777777" w:rsidR="00E05229" w:rsidRDefault="00E05229" w:rsidP="0004150B">
      <w:pPr>
        <w:pStyle w:val="ListBullet"/>
      </w:pPr>
      <w:r>
        <w:t>any declaration required by the import conditions</w:t>
      </w:r>
    </w:p>
    <w:p w14:paraId="6E6FFDF9" w14:textId="77777777" w:rsidR="00E05229" w:rsidRDefault="00E05229" w:rsidP="0004150B">
      <w:pPr>
        <w:pStyle w:val="ListBullet"/>
      </w:pPr>
      <w:r>
        <w:t>statement indicating pass/fail of pre-clearance inspection</w:t>
      </w:r>
    </w:p>
    <w:p w14:paraId="6D36BBE7" w14:textId="06725C75" w:rsidR="00EA0216" w:rsidRDefault="00EA0216" w:rsidP="0004150B">
      <w:pPr>
        <w:pStyle w:val="ListBullet"/>
      </w:pPr>
      <w:r>
        <w:t>printed name and signature of biosecurity officer and date of inspection</w:t>
      </w:r>
    </w:p>
    <w:p w14:paraId="194EEDCD" w14:textId="77777777" w:rsidR="00E05229" w:rsidRDefault="00E05229" w:rsidP="00D43C74">
      <w:pPr>
        <w:pStyle w:val="Heading4"/>
      </w:pPr>
      <w:r>
        <w:t>Non-commodity documentation</w:t>
      </w:r>
    </w:p>
    <w:p w14:paraId="0405980F" w14:textId="77777777" w:rsidR="00E05229" w:rsidRDefault="00E05229" w:rsidP="005D5EE3">
      <w:pPr>
        <w:pStyle w:val="Heading5"/>
      </w:pPr>
      <w:r>
        <w:t>Information requirement for all non-commodity documentation</w:t>
      </w:r>
    </w:p>
    <w:p w14:paraId="65A72EF8" w14:textId="6560205B" w:rsidR="00E05229" w:rsidRDefault="00E05229" w:rsidP="0004150B">
      <w:r>
        <w:t>Required statements for non-commodity concerns are identified by cargo</w:t>
      </w:r>
      <w:r w:rsidR="00D501A5">
        <w:t xml:space="preserve"> </w:t>
      </w:r>
      <w:r>
        <w:t>type in the Non-</w:t>
      </w:r>
      <w:r w:rsidR="00DD02E9">
        <w:t>c</w:t>
      </w:r>
      <w:r>
        <w:t xml:space="preserve">ommodity </w:t>
      </w:r>
      <w:r w:rsidR="00DD02E9">
        <w:t>i</w:t>
      </w:r>
      <w:r>
        <w:t xml:space="preserve">nformation </w:t>
      </w:r>
      <w:r w:rsidR="00DD02E9">
        <w:t>r</w:t>
      </w:r>
      <w:r>
        <w:t xml:space="preserve">equirements </w:t>
      </w:r>
      <w:r w:rsidR="00DD02E9">
        <w:t>p</w:t>
      </w:r>
      <w:r>
        <w:t>olicy.</w:t>
      </w:r>
    </w:p>
    <w:p w14:paraId="59C1D0C9" w14:textId="77777777" w:rsidR="00E05229" w:rsidRDefault="00E05229" w:rsidP="0004150B">
      <w:r>
        <w:t>Non-commodity documents on which these statements may appear are:</w:t>
      </w:r>
    </w:p>
    <w:p w14:paraId="7B73900C" w14:textId="77777777" w:rsidR="00E05229" w:rsidRDefault="00E05229" w:rsidP="0004150B">
      <w:pPr>
        <w:pStyle w:val="ListBullet"/>
      </w:pPr>
      <w:r>
        <w:t>packing declarations (annual or consignment</w:t>
      </w:r>
      <w:r w:rsidR="00F65FE9">
        <w:t>-</w:t>
      </w:r>
      <w:r>
        <w:t>specific)</w:t>
      </w:r>
    </w:p>
    <w:p w14:paraId="1B6A252E" w14:textId="77777777" w:rsidR="00E05229" w:rsidRDefault="00E05229" w:rsidP="0004150B">
      <w:pPr>
        <w:pStyle w:val="ListBullet"/>
      </w:pPr>
      <w:proofErr w:type="gramStart"/>
      <w:r>
        <w:t>container</w:t>
      </w:r>
      <w:proofErr w:type="gramEnd"/>
      <w:r>
        <w:t xml:space="preserve"> cleanliness declarations.</w:t>
      </w:r>
    </w:p>
    <w:p w14:paraId="52212343" w14:textId="77777777" w:rsidR="00E05229" w:rsidRDefault="00E05229" w:rsidP="0004150B">
      <w:r>
        <w:t>Cleanliness declarations may be made on the packing declaration.</w:t>
      </w:r>
    </w:p>
    <w:p w14:paraId="5C529B1A" w14:textId="77777777" w:rsidR="00E05229" w:rsidRDefault="00E05229" w:rsidP="005D5EE3">
      <w:pPr>
        <w:pStyle w:val="Heading5"/>
      </w:pPr>
      <w:r>
        <w:t>Information requirement for annual packing declarations</w:t>
      </w:r>
    </w:p>
    <w:p w14:paraId="68152583" w14:textId="77777777" w:rsidR="00F90C55" w:rsidRDefault="00E05229" w:rsidP="0004150B">
      <w:r>
        <w:t>Annual packing declarations must:</w:t>
      </w:r>
    </w:p>
    <w:p w14:paraId="0E4CF01B" w14:textId="77777777" w:rsidR="00E05229" w:rsidRDefault="00E05229" w:rsidP="0004150B">
      <w:pPr>
        <w:pStyle w:val="ListBullet"/>
      </w:pPr>
      <w:r>
        <w:t>contain all statements required by the Non-</w:t>
      </w:r>
      <w:r w:rsidR="006F6D06">
        <w:t>c</w:t>
      </w:r>
      <w:r>
        <w:t xml:space="preserve">ommodity </w:t>
      </w:r>
      <w:r w:rsidR="006F6D06">
        <w:t>i</w:t>
      </w:r>
      <w:r>
        <w:t xml:space="preserve">nformation </w:t>
      </w:r>
      <w:r w:rsidR="006F6D06">
        <w:t>r</w:t>
      </w:r>
      <w:r>
        <w:t xml:space="preserve">equirements </w:t>
      </w:r>
      <w:r w:rsidR="006F6D06">
        <w:t>p</w:t>
      </w:r>
      <w:r>
        <w:t>olicy</w:t>
      </w:r>
    </w:p>
    <w:p w14:paraId="38A3E34C" w14:textId="77777777" w:rsidR="00E05229" w:rsidRDefault="00E05229" w:rsidP="0004150B">
      <w:pPr>
        <w:pStyle w:val="ListBullet"/>
      </w:pPr>
      <w:proofErr w:type="gramStart"/>
      <w:r>
        <w:t>be</w:t>
      </w:r>
      <w:proofErr w:type="gramEnd"/>
      <w:r>
        <w:t xml:space="preserve"> issued by the packer or supplier of the goods.</w:t>
      </w:r>
    </w:p>
    <w:p w14:paraId="0253A9E3" w14:textId="77777777" w:rsidR="00E05229" w:rsidRDefault="00E05229" w:rsidP="005D5EE3">
      <w:pPr>
        <w:pStyle w:val="Heading5"/>
      </w:pPr>
      <w:r>
        <w:t>Validity requirements</w:t>
      </w:r>
    </w:p>
    <w:p w14:paraId="20E96099" w14:textId="6D1693F6" w:rsidR="006F4D4E" w:rsidRDefault="006F4D4E" w:rsidP="0004150B">
      <w:pPr>
        <w:rPr>
          <w:rFonts w:cs="Times New Roman"/>
        </w:rPr>
      </w:pPr>
      <w:r>
        <w:t>Annual packing declarations are valid for 12 months from the date of issue by the packer/supplier and must be valid at the time the shipping container is exported.</w:t>
      </w:r>
    </w:p>
    <w:p w14:paraId="19CACF97" w14:textId="77777777" w:rsidR="00E05229" w:rsidRDefault="00E05229" w:rsidP="005D5EE3">
      <w:pPr>
        <w:pStyle w:val="Heading5"/>
      </w:pPr>
      <w:r>
        <w:t>Consignment link</w:t>
      </w:r>
    </w:p>
    <w:p w14:paraId="148A8443" w14:textId="016F59EE" w:rsidR="00E05229" w:rsidRDefault="00E05229" w:rsidP="0004150B">
      <w:r>
        <w:t xml:space="preserve">All documents must be linked to the imported consignment by a unique identifiable link. </w:t>
      </w:r>
      <w:r w:rsidR="00BB2E02">
        <w:t xml:space="preserve">Because </w:t>
      </w:r>
      <w:r>
        <w:t xml:space="preserve">annual packing declarations are intended to cover a number of consignments over the </w:t>
      </w:r>
      <w:r>
        <w:lastRenderedPageBreak/>
        <w:t>year, this link cannot be consignment</w:t>
      </w:r>
      <w:r w:rsidR="00F65FE9">
        <w:t>-</w:t>
      </w:r>
      <w:r>
        <w:t>specific. The department allows the importer name and exporter name as the unique identifiable link.</w:t>
      </w:r>
    </w:p>
    <w:p w14:paraId="2100BEDB" w14:textId="77777777" w:rsidR="00E05229" w:rsidRDefault="00E05229" w:rsidP="005D5EE3">
      <w:pPr>
        <w:pStyle w:val="Heading5"/>
      </w:pPr>
      <w:r>
        <w:t>Documentation information for consignment</w:t>
      </w:r>
      <w:r w:rsidR="00F65FE9">
        <w:t>-</w:t>
      </w:r>
      <w:r>
        <w:t>specific packing declarations</w:t>
      </w:r>
    </w:p>
    <w:p w14:paraId="34A69A19" w14:textId="77777777" w:rsidR="00E05229" w:rsidRDefault="00E05229" w:rsidP="0004150B">
      <w:r>
        <w:t>Packing declarations must:</w:t>
      </w:r>
    </w:p>
    <w:p w14:paraId="76726FF2" w14:textId="77777777" w:rsidR="00E05229" w:rsidRDefault="00E05229" w:rsidP="0004150B">
      <w:pPr>
        <w:pStyle w:val="ListBullet"/>
      </w:pPr>
      <w:r>
        <w:t>contain all statements required by the Non-commodity information requirements policy</w:t>
      </w:r>
    </w:p>
    <w:p w14:paraId="1F3D7FF7" w14:textId="77777777" w:rsidR="00E05229" w:rsidRDefault="00E05229" w:rsidP="0004150B">
      <w:pPr>
        <w:pStyle w:val="ListBullet"/>
      </w:pPr>
      <w:proofErr w:type="gramStart"/>
      <w:r>
        <w:t>be</w:t>
      </w:r>
      <w:proofErr w:type="gramEnd"/>
      <w:r>
        <w:t xml:space="preserve"> issued by either the packer or supplier of the goods.</w:t>
      </w:r>
    </w:p>
    <w:p w14:paraId="1562F3AF" w14:textId="77777777" w:rsidR="00E05229" w:rsidRDefault="00E05229" w:rsidP="005D5EE3">
      <w:pPr>
        <w:pStyle w:val="Heading5"/>
      </w:pPr>
      <w:r>
        <w:t>Documentation information for container cleanliness declarations</w:t>
      </w:r>
    </w:p>
    <w:p w14:paraId="102B48F5" w14:textId="77777777" w:rsidR="00E05229" w:rsidRDefault="00E05229" w:rsidP="0004150B">
      <w:r>
        <w:t>Container cleanliness declarations must:</w:t>
      </w:r>
    </w:p>
    <w:p w14:paraId="679AA44F" w14:textId="77777777" w:rsidR="00E05229" w:rsidRDefault="00E05229" w:rsidP="0004150B">
      <w:pPr>
        <w:pStyle w:val="ListBullet"/>
      </w:pPr>
      <w:r>
        <w:t>contain all statements required by the Non-commodity information requirements policy</w:t>
      </w:r>
    </w:p>
    <w:p w14:paraId="329E6B94" w14:textId="77777777" w:rsidR="00E05229" w:rsidRDefault="00E05229" w:rsidP="0004150B">
      <w:pPr>
        <w:pStyle w:val="ListBullet"/>
      </w:pPr>
      <w:proofErr w:type="gramStart"/>
      <w:r>
        <w:t>be</w:t>
      </w:r>
      <w:proofErr w:type="gramEnd"/>
      <w:r>
        <w:t xml:space="preserve"> issued by the packer or supplier of the goods.</w:t>
      </w:r>
    </w:p>
    <w:p w14:paraId="0291D06E" w14:textId="77777777" w:rsidR="00E05229" w:rsidRDefault="00E05229" w:rsidP="005D5EE3">
      <w:pPr>
        <w:pStyle w:val="Heading5"/>
      </w:pPr>
      <w:r>
        <w:t>General information for a vessel cleanliness inspection report</w:t>
      </w:r>
    </w:p>
    <w:p w14:paraId="2EF5C043" w14:textId="77777777" w:rsidR="00E05229" w:rsidRDefault="00E05229" w:rsidP="0004150B">
      <w:r>
        <w:t>A vessel inspection cleanliness report must contain:</w:t>
      </w:r>
    </w:p>
    <w:p w14:paraId="24DD9BF1" w14:textId="77777777" w:rsidR="00E05229" w:rsidRDefault="00E05229" w:rsidP="0004150B">
      <w:pPr>
        <w:pStyle w:val="ListBullet"/>
      </w:pPr>
      <w:r>
        <w:t xml:space="preserve">a completed hold cleanliness checklist (as found in the </w:t>
      </w:r>
      <w:hyperlink r:id="rId27" w:history="1">
        <w:r w:rsidRPr="00DC5EBE">
          <w:rPr>
            <w:rStyle w:val="Hyperlink"/>
          </w:rPr>
          <w:t>Imported Bulk Cargo Fertiliser Protocols</w:t>
        </w:r>
        <w:r w:rsidR="00945CFD" w:rsidRPr="00DC5EBE">
          <w:rPr>
            <w:rStyle w:val="Hyperlink"/>
          </w:rPr>
          <w:t>—</w:t>
        </w:r>
        <w:r w:rsidRPr="00DC5EBE">
          <w:rPr>
            <w:rStyle w:val="Hyperlink"/>
          </w:rPr>
          <w:t>Attachment 5</w:t>
        </w:r>
      </w:hyperlink>
      <w:r>
        <w:t>)</w:t>
      </w:r>
    </w:p>
    <w:p w14:paraId="64B42F9C" w14:textId="77777777" w:rsidR="00E05229" w:rsidRDefault="00E05229" w:rsidP="0004150B">
      <w:pPr>
        <w:pStyle w:val="ListBullet"/>
      </w:pPr>
      <w:r>
        <w:t>vessel name and call sign</w:t>
      </w:r>
    </w:p>
    <w:p w14:paraId="6F936350" w14:textId="77777777" w:rsidR="00E05229" w:rsidRDefault="00E05229" w:rsidP="0004150B">
      <w:pPr>
        <w:pStyle w:val="ListBullet"/>
      </w:pPr>
      <w:r>
        <w:t>inspection time and date</w:t>
      </w:r>
    </w:p>
    <w:p w14:paraId="0455E6A2" w14:textId="77777777" w:rsidR="00E05229" w:rsidRDefault="00E05229" w:rsidP="0004150B">
      <w:pPr>
        <w:pStyle w:val="ListBullet"/>
      </w:pPr>
      <w:r>
        <w:t xml:space="preserve">the statement </w:t>
      </w:r>
      <w:r w:rsidR="00945CFD">
        <w:t>‘</w:t>
      </w:r>
      <w:r>
        <w:t>we hereby certify that we have carried out the pre-load vessel cleanliness survey inspection as per the hold cleanliness checklist and guidelines and to the specifications of the charterer</w:t>
      </w:r>
      <w:r w:rsidR="00945CFD">
        <w:t>’</w:t>
      </w:r>
    </w:p>
    <w:p w14:paraId="6E7D7DFC" w14:textId="77777777" w:rsidR="00E05229" w:rsidRDefault="00E05229" w:rsidP="0004150B">
      <w:pPr>
        <w:pStyle w:val="ListBullet"/>
      </w:pPr>
      <w:proofErr w:type="gramStart"/>
      <w:r>
        <w:t>be</w:t>
      </w:r>
      <w:proofErr w:type="gramEnd"/>
      <w:r>
        <w:t xml:space="preserve"> issued by a qualified marine surveyor.</w:t>
      </w:r>
    </w:p>
    <w:p w14:paraId="5F572208" w14:textId="77777777" w:rsidR="00E05229" w:rsidRDefault="00E05229" w:rsidP="005D5EE3">
      <w:pPr>
        <w:pStyle w:val="Heading5"/>
      </w:pPr>
      <w:r>
        <w:t>General information for a vessel cleanliness certificate</w:t>
      </w:r>
    </w:p>
    <w:p w14:paraId="2CC185EB" w14:textId="77777777" w:rsidR="004C7BB1" w:rsidRDefault="00E05229" w:rsidP="00DE0EE8">
      <w:r>
        <w:t>A vessel inspection cleanliness certificate must contain:</w:t>
      </w:r>
    </w:p>
    <w:p w14:paraId="173B4943" w14:textId="77777777" w:rsidR="00E05229" w:rsidRDefault="00E05229" w:rsidP="00DE0EE8">
      <w:pPr>
        <w:pStyle w:val="ListBullet"/>
      </w:pPr>
      <w:r>
        <w:t>vessel name and call sign</w:t>
      </w:r>
    </w:p>
    <w:p w14:paraId="58764E5A" w14:textId="77777777" w:rsidR="00E05229" w:rsidRDefault="00E05229" w:rsidP="00DE0EE8">
      <w:pPr>
        <w:pStyle w:val="ListBullet"/>
      </w:pPr>
      <w:r>
        <w:t>inspection time and date</w:t>
      </w:r>
    </w:p>
    <w:p w14:paraId="4DA8C9AE" w14:textId="44B8BFE1" w:rsidR="00E05229" w:rsidRDefault="00E05229" w:rsidP="00DE0EE8">
      <w:pPr>
        <w:pStyle w:val="ListBullet"/>
      </w:pPr>
      <w:r>
        <w:t xml:space="preserve">a statement indicating that </w:t>
      </w:r>
      <w:r w:rsidR="00945CFD">
        <w:t>‘</w:t>
      </w:r>
      <w:r>
        <w:t xml:space="preserve">all vessel holds were inspected and found clean and dry with no previous residues and suitable to load the intended </w:t>
      </w:r>
      <w:r w:rsidR="00C923D9">
        <w:t>goods</w:t>
      </w:r>
    </w:p>
    <w:p w14:paraId="5F4E0322" w14:textId="77777777" w:rsidR="00E05229" w:rsidRDefault="00E05229" w:rsidP="00DE0EE8">
      <w:pPr>
        <w:pStyle w:val="ListBullet"/>
      </w:pPr>
      <w:proofErr w:type="gramStart"/>
      <w:r>
        <w:t>the</w:t>
      </w:r>
      <w:proofErr w:type="gramEnd"/>
      <w:r>
        <w:t xml:space="preserve"> certificate must be issued by a qualified marine surveyor.</w:t>
      </w:r>
    </w:p>
    <w:p w14:paraId="4EDB10E8" w14:textId="77777777" w:rsidR="00E05229" w:rsidRDefault="00E05229" w:rsidP="00D43C74">
      <w:pPr>
        <w:pStyle w:val="Heading4"/>
      </w:pPr>
      <w:r>
        <w:t>Other documentation</w:t>
      </w:r>
    </w:p>
    <w:p w14:paraId="45248127" w14:textId="3C1B738C" w:rsidR="00E05229" w:rsidRDefault="00E05229" w:rsidP="005D5EE3">
      <w:pPr>
        <w:pStyle w:val="Heading5"/>
      </w:pPr>
      <w:r>
        <w:t>General information for a manufacturer’s</w:t>
      </w:r>
      <w:r w:rsidR="0069264E">
        <w:t>, supplier’s</w:t>
      </w:r>
      <w:r>
        <w:t xml:space="preserve"> or exporter’s declaration</w:t>
      </w:r>
    </w:p>
    <w:p w14:paraId="247B8C16" w14:textId="542CE58B" w:rsidR="00E05229" w:rsidRDefault="00E05229" w:rsidP="00DE0EE8">
      <w:r>
        <w:t xml:space="preserve">Manufacturer’s declarations will only be accepted from the company that manufactured/produced the goods and may be issued by the individual manufacturing site or head office within the country of export. Declarations made by wholesalers or other parties may be accepted if the relevant </w:t>
      </w:r>
      <w:r w:rsidR="00CF60F4">
        <w:t>B</w:t>
      </w:r>
      <w:r>
        <w:t>ICON case permits.</w:t>
      </w:r>
    </w:p>
    <w:p w14:paraId="32B9F671" w14:textId="77777777" w:rsidR="00E05229" w:rsidRDefault="00E05229" w:rsidP="00DE0EE8">
      <w:r>
        <w:t>Exporter’s declarations will only be accepted from the company that exported the goods.</w:t>
      </w:r>
    </w:p>
    <w:p w14:paraId="23302DB6" w14:textId="1E0EAEBF" w:rsidR="00E05229" w:rsidRDefault="00E05229" w:rsidP="00DE0EE8">
      <w:r>
        <w:lastRenderedPageBreak/>
        <w:t>A manufacturer’s</w:t>
      </w:r>
      <w:r w:rsidR="00EF474F">
        <w:t>, supplier’s</w:t>
      </w:r>
      <w:r>
        <w:t xml:space="preserve"> or exporter’s declaration must:</w:t>
      </w:r>
    </w:p>
    <w:p w14:paraId="0A565EBC" w14:textId="40BBAE65" w:rsidR="00E05229" w:rsidRDefault="00E05229" w:rsidP="00DE0EE8">
      <w:pPr>
        <w:pStyle w:val="ListBullet"/>
      </w:pPr>
      <w:r>
        <w:t>unless otherwise specified</w:t>
      </w:r>
      <w:r w:rsidR="0069264E">
        <w:t xml:space="preserve"> in import conditions or Approved Arrangements requirements</w:t>
      </w:r>
      <w:r>
        <w:t xml:space="preserve"> have been issued no more than six months prior to assessment by the department</w:t>
      </w:r>
    </w:p>
    <w:p w14:paraId="2E7D0DF1" w14:textId="77777777" w:rsidR="00E05229" w:rsidRDefault="00E05229" w:rsidP="00DE0EE8">
      <w:pPr>
        <w:pStyle w:val="ListBullet"/>
      </w:pPr>
      <w:r>
        <w:t>contain the correct statement/s as required by the import conditions</w:t>
      </w:r>
    </w:p>
    <w:p w14:paraId="0E8CA082" w14:textId="77777777" w:rsidR="00E05229" w:rsidRDefault="00E05229" w:rsidP="00DE0EE8">
      <w:pPr>
        <w:pStyle w:val="ListBullet"/>
      </w:pPr>
      <w:r>
        <w:t>be specific to the product and consignment</w:t>
      </w:r>
    </w:p>
    <w:p w14:paraId="56490BF2" w14:textId="3F0C7FF8" w:rsidR="00DC24E4" w:rsidRDefault="00E05229" w:rsidP="00DE0EE8">
      <w:pPr>
        <w:pStyle w:val="ListBullet"/>
      </w:pPr>
      <w:proofErr w:type="gramStart"/>
      <w:r>
        <w:t>include</w:t>
      </w:r>
      <w:proofErr w:type="gramEnd"/>
      <w:r>
        <w:t xml:space="preserve"> </w:t>
      </w:r>
      <w:r w:rsidR="00DE0EE8">
        <w:t>the individual</w:t>
      </w:r>
      <w:r w:rsidR="00473705">
        <w:t>s</w:t>
      </w:r>
      <w:r w:rsidR="00DE0EE8">
        <w:t xml:space="preserve"> name and company</w:t>
      </w:r>
      <w:r w:rsidR="00473705">
        <w:t xml:space="preserve"> title</w:t>
      </w:r>
      <w:r w:rsidR="00DE0EE8">
        <w:t xml:space="preserve">. </w:t>
      </w:r>
    </w:p>
    <w:p w14:paraId="43F6596B" w14:textId="4B1D68C3" w:rsidR="00E05229" w:rsidRDefault="00E32108" w:rsidP="00DE0EE8">
      <w:pPr>
        <w:pStyle w:val="ListBullet"/>
      </w:pPr>
      <w:r>
        <w:t xml:space="preserve">Be endorsed as per the </w:t>
      </w:r>
      <w:r w:rsidR="00682C68">
        <w:t>overarching</w:t>
      </w:r>
      <w:r>
        <w:t xml:space="preserve"> </w:t>
      </w:r>
      <w:r w:rsidR="00805405">
        <w:t xml:space="preserve">document </w:t>
      </w:r>
      <w:r>
        <w:t xml:space="preserve">requirements section of this policy. </w:t>
      </w:r>
    </w:p>
    <w:p w14:paraId="5CD12E91" w14:textId="77777777" w:rsidR="00E05229" w:rsidRDefault="00E05229" w:rsidP="00DE0EE8">
      <w:r>
        <w:t xml:space="preserve">Where an ingredients list is provided to demonstrate compliance with import conditions, it must meet the requirements for </w:t>
      </w:r>
      <w:r w:rsidR="00945CFD">
        <w:t xml:space="preserve">a </w:t>
      </w:r>
      <w:r>
        <w:t>manufacturer</w:t>
      </w:r>
      <w:r w:rsidR="00945CFD">
        <w:t>’</w:t>
      </w:r>
      <w:r>
        <w:t>s or exporter</w:t>
      </w:r>
      <w:r w:rsidR="00945CFD">
        <w:t>’</w:t>
      </w:r>
      <w:r>
        <w:t>s declaration.</w:t>
      </w:r>
    </w:p>
    <w:p w14:paraId="5FF46291" w14:textId="77777777" w:rsidR="00E05229" w:rsidRDefault="00E05229" w:rsidP="002F6BB4">
      <w:pPr>
        <w:pStyle w:val="NoteHeading"/>
        <w:spacing w:after="120"/>
      </w:pPr>
      <w:r w:rsidRPr="005A7727">
        <w:rPr>
          <w:b/>
        </w:rPr>
        <w:t>Note:</w:t>
      </w:r>
      <w:r>
        <w:t xml:space="preserve"> Declarations accompanying non-commercial/personal consignments do not need to be specific to the consignment.</w:t>
      </w:r>
    </w:p>
    <w:p w14:paraId="3D76321D" w14:textId="7EA5F2ED" w:rsidR="00E05229" w:rsidRDefault="00E05229" w:rsidP="005D5EE3">
      <w:pPr>
        <w:pStyle w:val="Heading5"/>
      </w:pPr>
      <w:r>
        <w:t xml:space="preserve">General information for </w:t>
      </w:r>
      <w:r w:rsidR="00CE6A06">
        <w:t>importer’s declaration</w:t>
      </w:r>
    </w:p>
    <w:p w14:paraId="7A6D496A" w14:textId="651FD974" w:rsidR="00E05229" w:rsidRDefault="00945CFD" w:rsidP="00DE0EE8">
      <w:r>
        <w:t>An i</w:t>
      </w:r>
      <w:r w:rsidR="00E05229">
        <w:t>mporter</w:t>
      </w:r>
      <w:r>
        <w:t>’s</w:t>
      </w:r>
      <w:r w:rsidR="00E05229">
        <w:t xml:space="preserve"> declaration will only be accepted from the company/individual that is importing the goods and will be ultimately in control of the goods.</w:t>
      </w:r>
    </w:p>
    <w:p w14:paraId="4DA66144" w14:textId="468E7C0F" w:rsidR="00E05229" w:rsidRDefault="00E05229" w:rsidP="00DE0EE8">
      <w:r>
        <w:t xml:space="preserve">An </w:t>
      </w:r>
      <w:r w:rsidR="00945CFD">
        <w:t>i</w:t>
      </w:r>
      <w:r>
        <w:t>mporter’s declaration must:</w:t>
      </w:r>
    </w:p>
    <w:p w14:paraId="02EE4DFD" w14:textId="77777777" w:rsidR="00E05229" w:rsidRDefault="00E05229" w:rsidP="00DE0EE8">
      <w:pPr>
        <w:pStyle w:val="ListBullet"/>
      </w:pPr>
      <w:r>
        <w:t>contain the correct statement/s as required by the import conditions</w:t>
      </w:r>
    </w:p>
    <w:p w14:paraId="0B32A60D" w14:textId="77777777" w:rsidR="00E05229" w:rsidRDefault="00E05229" w:rsidP="00DE0EE8">
      <w:pPr>
        <w:pStyle w:val="ListBullet"/>
      </w:pPr>
      <w:r>
        <w:t>be specific to the product and consignment</w:t>
      </w:r>
    </w:p>
    <w:p w14:paraId="3118EA9C" w14:textId="6B81E8F6" w:rsidR="00E05229" w:rsidRDefault="00E05229" w:rsidP="00DE0EE8">
      <w:pPr>
        <w:pStyle w:val="ListBullet"/>
      </w:pPr>
      <w:proofErr w:type="gramStart"/>
      <w:r>
        <w:t>include</w:t>
      </w:r>
      <w:proofErr w:type="gramEnd"/>
      <w:r>
        <w:t xml:space="preserve"> the individual</w:t>
      </w:r>
      <w:r w:rsidR="00211B66">
        <w:t>s</w:t>
      </w:r>
      <w:r>
        <w:t xml:space="preserve"> name and company title</w:t>
      </w:r>
      <w:r w:rsidR="00DD28C2">
        <w:t>.</w:t>
      </w:r>
    </w:p>
    <w:p w14:paraId="00FCCB3F" w14:textId="3C477FF3" w:rsidR="00805405" w:rsidRDefault="00805405" w:rsidP="00805405">
      <w:pPr>
        <w:pStyle w:val="ListBullet"/>
      </w:pPr>
      <w:r>
        <w:t xml:space="preserve">Be endorsed as per the overarching document requirements section of this policy. </w:t>
      </w:r>
    </w:p>
    <w:p w14:paraId="23ED41C0" w14:textId="77777777" w:rsidR="00E05229" w:rsidRDefault="00E05229" w:rsidP="005D5EE3">
      <w:pPr>
        <w:pStyle w:val="Heading5"/>
      </w:pPr>
      <w:r>
        <w:t>General information for a government</w:t>
      </w:r>
      <w:r w:rsidR="00945CFD">
        <w:t>-</w:t>
      </w:r>
      <w:r>
        <w:t>endorsed declaration</w:t>
      </w:r>
    </w:p>
    <w:p w14:paraId="60001A3C" w14:textId="77777777" w:rsidR="00E05229" w:rsidRDefault="00945CFD" w:rsidP="00DE0EE8">
      <w:r>
        <w:t>In addition to other requirements, w</w:t>
      </w:r>
      <w:r w:rsidR="00E05229">
        <w:t>here a declaration is required to be endorsed by the government of the exporting country, the declaration must also:</w:t>
      </w:r>
    </w:p>
    <w:p w14:paraId="7EFB49D2" w14:textId="77777777" w:rsidR="00E05229" w:rsidRDefault="00E05229" w:rsidP="00DE0EE8">
      <w:pPr>
        <w:pStyle w:val="ListBullet"/>
      </w:pPr>
      <w:r>
        <w:t xml:space="preserve">be signed and dated by a government officer within the </w:t>
      </w:r>
      <w:r w:rsidR="00945CFD">
        <w:t>p</w:t>
      </w:r>
      <w:r>
        <w:t>ast six months (unless otherwise specified</w:t>
      </w:r>
      <w:r w:rsidR="00945CFD">
        <w:t>)</w:t>
      </w:r>
    </w:p>
    <w:p w14:paraId="094BF388" w14:textId="77777777" w:rsidR="00E05229" w:rsidRDefault="00E05229" w:rsidP="00DE0EE8">
      <w:pPr>
        <w:pStyle w:val="ListBullet"/>
      </w:pPr>
      <w:r>
        <w:t>include the government officer’s name and title</w:t>
      </w:r>
    </w:p>
    <w:p w14:paraId="41CA4DCC" w14:textId="77777777" w:rsidR="00E05229" w:rsidRDefault="00E05229" w:rsidP="00DE0EE8">
      <w:pPr>
        <w:pStyle w:val="ListBullet"/>
      </w:pPr>
      <w:proofErr w:type="gramStart"/>
      <w:r>
        <w:t>be</w:t>
      </w:r>
      <w:proofErr w:type="gramEnd"/>
      <w:r>
        <w:t xml:space="preserve"> sealed with the stamp/seal of the applicable government department.</w:t>
      </w:r>
    </w:p>
    <w:p w14:paraId="09175717" w14:textId="77777777" w:rsidR="00E05229" w:rsidRDefault="00E05229" w:rsidP="005D5EE3">
      <w:pPr>
        <w:pStyle w:val="Heading5"/>
      </w:pPr>
      <w:r>
        <w:t>General information for treatment certificates</w:t>
      </w:r>
    </w:p>
    <w:p w14:paraId="5F74C7DF" w14:textId="056590E5" w:rsidR="00E05229" w:rsidRDefault="00E05229" w:rsidP="00DE0EE8">
      <w:r>
        <w:t xml:space="preserve">Certificates attesting to the performance of offshore treatments are required to meet the overarching requirements outlined in section </w:t>
      </w:r>
      <w:r w:rsidR="00DE0EE8">
        <w:fldChar w:fldCharType="begin"/>
      </w:r>
      <w:r w:rsidR="00DE0EE8">
        <w:instrText xml:space="preserve"> REF _Ref487459008 \r \h </w:instrText>
      </w:r>
      <w:r w:rsidR="00DE0EE8">
        <w:fldChar w:fldCharType="separate"/>
      </w:r>
      <w:r w:rsidR="009B43EB">
        <w:t>4</w:t>
      </w:r>
      <w:r w:rsidR="00DE0EE8">
        <w:fldChar w:fldCharType="end"/>
      </w:r>
      <w:r>
        <w:t xml:space="preserve"> of this policy.</w:t>
      </w:r>
    </w:p>
    <w:p w14:paraId="1E24B0E6" w14:textId="77777777" w:rsidR="00E05229" w:rsidRDefault="00E05229" w:rsidP="00DE0EE8">
      <w:r>
        <w:t>All certificates must contain:</w:t>
      </w:r>
    </w:p>
    <w:p w14:paraId="00A316D7" w14:textId="77777777" w:rsidR="00E05229" w:rsidRDefault="00E05229" w:rsidP="00AB1FF2">
      <w:pPr>
        <w:pStyle w:val="ListBullet"/>
      </w:pPr>
      <w:r>
        <w:t>treatment provider’s letterhead including name and physical address</w:t>
      </w:r>
    </w:p>
    <w:p w14:paraId="0BAFDAD3" w14:textId="77777777" w:rsidR="00E05229" w:rsidRDefault="00E05229" w:rsidP="00AB1FF2">
      <w:pPr>
        <w:pStyle w:val="ListBullet"/>
      </w:pPr>
      <w:r>
        <w:t>description of goods/packaging treated</w:t>
      </w:r>
    </w:p>
    <w:p w14:paraId="746A8447" w14:textId="77777777" w:rsidR="00E05229" w:rsidRDefault="00E05229" w:rsidP="00AB1FF2">
      <w:pPr>
        <w:pStyle w:val="ListBullet"/>
      </w:pPr>
      <w:r>
        <w:t>quantity/volume of goods/packaging treated</w:t>
      </w:r>
    </w:p>
    <w:p w14:paraId="356182E7" w14:textId="77777777" w:rsidR="00E05229" w:rsidRDefault="00E05229" w:rsidP="00AB1FF2">
      <w:pPr>
        <w:pStyle w:val="ListBullet"/>
      </w:pPr>
      <w:r>
        <w:t>date treatment was performed</w:t>
      </w:r>
    </w:p>
    <w:p w14:paraId="78E7B7C0" w14:textId="77777777" w:rsidR="00E05229" w:rsidRDefault="00E05229" w:rsidP="00AB1FF2">
      <w:pPr>
        <w:pStyle w:val="ListBullet"/>
      </w:pPr>
      <w:proofErr w:type="gramStart"/>
      <w:r>
        <w:lastRenderedPageBreak/>
        <w:t>any</w:t>
      </w:r>
      <w:proofErr w:type="gramEnd"/>
      <w:r>
        <w:t xml:space="preserve"> statement as required by the import conditions.</w:t>
      </w:r>
    </w:p>
    <w:p w14:paraId="6C8126CD" w14:textId="77777777" w:rsidR="00E05229" w:rsidRDefault="00E05229" w:rsidP="00AB1FF2">
      <w:pPr>
        <w:pStyle w:val="ListBullet"/>
      </w:pPr>
      <w:r>
        <w:t xml:space="preserve">Where the department has arrangements </w:t>
      </w:r>
      <w:r w:rsidR="00945CFD">
        <w:t xml:space="preserve">(such as AFAS) </w:t>
      </w:r>
      <w:r>
        <w:t>with overseas governments, treatment certificates must include:</w:t>
      </w:r>
    </w:p>
    <w:p w14:paraId="31BA6F99" w14:textId="77777777" w:rsidR="00E05229" w:rsidRDefault="00E05229" w:rsidP="00AB1FF2">
      <w:pPr>
        <w:pStyle w:val="ListBullet"/>
      </w:pPr>
      <w:r>
        <w:t>the government scheme under which the treatment provider has been registered</w:t>
      </w:r>
    </w:p>
    <w:p w14:paraId="5858146D" w14:textId="77777777" w:rsidR="00E05229" w:rsidRDefault="00E05229" w:rsidP="00AB1FF2">
      <w:pPr>
        <w:pStyle w:val="ListBullet"/>
      </w:pPr>
      <w:proofErr w:type="gramStart"/>
      <w:r>
        <w:t>the</w:t>
      </w:r>
      <w:proofErr w:type="gramEnd"/>
      <w:r>
        <w:t xml:space="preserve"> treatment provider’s registration number.</w:t>
      </w:r>
    </w:p>
    <w:p w14:paraId="46147D41" w14:textId="77777777" w:rsidR="00E05229" w:rsidRDefault="00E05229" w:rsidP="005D5EE3">
      <w:pPr>
        <w:pStyle w:val="Heading5"/>
      </w:pPr>
      <w:r>
        <w:t>Validity requirements</w:t>
      </w:r>
    </w:p>
    <w:p w14:paraId="1B15F06C" w14:textId="77777777" w:rsidR="00E05229" w:rsidRDefault="00E05229" w:rsidP="00AB1FF2">
      <w:r>
        <w:t xml:space="preserve">All treatments must be performed by an acceptable treatment provider within the mandated timeframe </w:t>
      </w:r>
      <w:r w:rsidR="00C12503">
        <w:t>before</w:t>
      </w:r>
      <w:r>
        <w:t xml:space="preserve"> export as outlined in the applicable import conditions.</w:t>
      </w:r>
    </w:p>
    <w:p w14:paraId="33B50F7D" w14:textId="77777777" w:rsidR="00E05229" w:rsidRDefault="00E05229" w:rsidP="005D5EE3">
      <w:pPr>
        <w:pStyle w:val="Heading5"/>
      </w:pPr>
      <w:bookmarkStart w:id="10" w:name="_Ref487458669"/>
      <w:r>
        <w:t>Information requirements by treatment type</w:t>
      </w:r>
      <w:bookmarkEnd w:id="10"/>
    </w:p>
    <w:p w14:paraId="4420075A" w14:textId="77777777" w:rsidR="00E05229" w:rsidRDefault="00E05229" w:rsidP="00AB1FF2">
      <w:r>
        <w:t>Below are the information requirements for each treatment type.</w:t>
      </w:r>
    </w:p>
    <w:p w14:paraId="1BC6D27A" w14:textId="77777777" w:rsidR="00E05229" w:rsidRDefault="00E05229" w:rsidP="00AB1FF2">
      <w:r>
        <w:t>Fumigations:</w:t>
      </w:r>
    </w:p>
    <w:p w14:paraId="35855070" w14:textId="77777777" w:rsidR="00E05229" w:rsidRDefault="00E05229" w:rsidP="00AB1FF2">
      <w:pPr>
        <w:pStyle w:val="ListBullet"/>
      </w:pPr>
      <w:r>
        <w:t>name of fumigant</w:t>
      </w:r>
    </w:p>
    <w:p w14:paraId="566BA26A" w14:textId="77777777" w:rsidR="00E05229" w:rsidRDefault="00E05229" w:rsidP="00AB1FF2">
      <w:pPr>
        <w:pStyle w:val="ListBullet"/>
      </w:pPr>
      <w:r>
        <w:t>dosage expressed as mass per volume</w:t>
      </w:r>
      <w:r w:rsidR="00C12503">
        <w:t>; for example,</w:t>
      </w:r>
      <w:r>
        <w:t xml:space="preserve"> grams per cubic metre</w:t>
      </w:r>
    </w:p>
    <w:p w14:paraId="6E296E83" w14:textId="7637D112" w:rsidR="00B63FCF" w:rsidRDefault="00C06E85" w:rsidP="00AB1FF2">
      <w:pPr>
        <w:pStyle w:val="ListBullet"/>
      </w:pPr>
      <w:r>
        <w:t>d</w:t>
      </w:r>
      <w:r w:rsidR="00B63FCF">
        <w:t>uration/</w:t>
      </w:r>
      <w:r>
        <w:t>e</w:t>
      </w:r>
      <w:r w:rsidR="00B63FCF">
        <w:t>xposure period; for example, hours or minutes</w:t>
      </w:r>
    </w:p>
    <w:p w14:paraId="7A42B284" w14:textId="77777777" w:rsidR="00E05229" w:rsidRDefault="00E05229" w:rsidP="00AB1FF2">
      <w:pPr>
        <w:pStyle w:val="ListBullet"/>
      </w:pPr>
      <w:r>
        <w:t>minimum temperature and pressure (if applicable)</w:t>
      </w:r>
    </w:p>
    <w:p w14:paraId="6D18DED4" w14:textId="266E5B3F" w:rsidR="00B63FCF" w:rsidRDefault="00C06E85" w:rsidP="00AB1FF2">
      <w:pPr>
        <w:pStyle w:val="ListBullet"/>
      </w:pPr>
      <w:r>
        <w:t>d</w:t>
      </w:r>
      <w:r w:rsidR="00B63FCF">
        <w:t>ate the treatment was conducted</w:t>
      </w:r>
    </w:p>
    <w:p w14:paraId="5DEED4CA" w14:textId="77777777" w:rsidR="004C7BB1" w:rsidRDefault="00E05229" w:rsidP="00AB1FF2">
      <w:pPr>
        <w:pStyle w:val="ListBullet"/>
      </w:pPr>
      <w:r>
        <w:t xml:space="preserve">additional requirements for </w:t>
      </w:r>
      <w:r w:rsidRPr="003C63D5">
        <w:rPr>
          <w:b/>
        </w:rPr>
        <w:t>methyl bromide</w:t>
      </w:r>
      <w:r>
        <w:t xml:space="preserve"> fumigations:</w:t>
      </w:r>
    </w:p>
    <w:p w14:paraId="2E663F65" w14:textId="77777777" w:rsidR="00E05229" w:rsidRDefault="00E05229" w:rsidP="00AB1FF2">
      <w:pPr>
        <w:pStyle w:val="ListBullet2"/>
      </w:pPr>
      <w:r>
        <w:t>for treatment providers that are registered under AFAS, treatment certificates must include the information required by Appendix 5 of the AFAS Methyl Bromide Fumigation Standard</w:t>
      </w:r>
    </w:p>
    <w:p w14:paraId="239AE2C1" w14:textId="77777777" w:rsidR="00E05229" w:rsidRDefault="00E05229" w:rsidP="00AB1FF2">
      <w:pPr>
        <w:pStyle w:val="ListBullet2"/>
      </w:pPr>
      <w:r>
        <w:t>for treatment providers that are not registered under AFAS, treatment certificates must include either the plastic wrapping information required by Appendix 5 of the AFAS Methyl Bromide Fumigation Standard or one of the following plastic wrapping declarations:</w:t>
      </w:r>
    </w:p>
    <w:p w14:paraId="07F9D085" w14:textId="77777777" w:rsidR="004C7BB1" w:rsidRDefault="00362737" w:rsidP="00AB1FF2">
      <w:pPr>
        <w:pStyle w:val="ListBullet3"/>
      </w:pPr>
      <w:r>
        <w:t>‘</w:t>
      </w:r>
      <w:r w:rsidR="00E05229">
        <w:t>plastic wrapping has not been used in this consignment</w:t>
      </w:r>
      <w:r>
        <w:t>’</w:t>
      </w:r>
    </w:p>
    <w:p w14:paraId="15C13FF5" w14:textId="77777777" w:rsidR="004C7BB1" w:rsidRDefault="00362737" w:rsidP="00AB1FF2">
      <w:pPr>
        <w:pStyle w:val="ListBullet3"/>
      </w:pPr>
      <w:r>
        <w:t>‘</w:t>
      </w:r>
      <w:r w:rsidR="00E05229">
        <w:t>this consignment has been fumigated before application of plastic wrapping</w:t>
      </w:r>
      <w:r>
        <w:t>’</w:t>
      </w:r>
    </w:p>
    <w:p w14:paraId="31BF51FA" w14:textId="77777777" w:rsidR="004C7BB1" w:rsidRDefault="00362737" w:rsidP="00AB1FF2">
      <w:pPr>
        <w:pStyle w:val="ListBullet3"/>
      </w:pPr>
      <w:r>
        <w:t>‘</w:t>
      </w:r>
      <w:r w:rsidR="00E05229">
        <w:t>plastic wrapping used in this consignment conforms to the AFAS wrapping and perforation standard as found in the AFAS Methyl Bromide Fumigation Standard</w:t>
      </w:r>
      <w:r>
        <w:t>’</w:t>
      </w:r>
    </w:p>
    <w:p w14:paraId="13B8B199" w14:textId="77777777" w:rsidR="00E05229" w:rsidRDefault="00E05229" w:rsidP="00AB1FF2">
      <w:pPr>
        <w:pStyle w:val="ListBullet"/>
      </w:pPr>
      <w:r>
        <w:t xml:space="preserve">additional requirements for </w:t>
      </w:r>
      <w:r w:rsidRPr="003C63D5">
        <w:rPr>
          <w:b/>
        </w:rPr>
        <w:t>sulphuryl fluoride</w:t>
      </w:r>
      <w:r>
        <w:t xml:space="preserve"> fumigations:</w:t>
      </w:r>
    </w:p>
    <w:p w14:paraId="2F8202E4" w14:textId="77777777" w:rsidR="00E05229" w:rsidRDefault="00E05229" w:rsidP="00AB1FF2">
      <w:pPr>
        <w:pStyle w:val="ListBullet2"/>
      </w:pPr>
      <w:r>
        <w:t>treatment certificates must include one of the following plastic wrapping declarations:</w:t>
      </w:r>
    </w:p>
    <w:p w14:paraId="29B5A32C" w14:textId="77777777" w:rsidR="004C7BB1" w:rsidRDefault="00362737" w:rsidP="00AB1FF2">
      <w:pPr>
        <w:pStyle w:val="ListBullet3"/>
      </w:pPr>
      <w:r>
        <w:t>‘</w:t>
      </w:r>
      <w:r w:rsidR="00E05229">
        <w:t>plastic wrapping has not been used in this consignment</w:t>
      </w:r>
      <w:r>
        <w:t>’</w:t>
      </w:r>
    </w:p>
    <w:p w14:paraId="38418742" w14:textId="77777777" w:rsidR="004C7BB1" w:rsidRDefault="00362737" w:rsidP="00AB1FF2">
      <w:pPr>
        <w:pStyle w:val="ListBullet3"/>
      </w:pPr>
      <w:r>
        <w:t>‘</w:t>
      </w:r>
      <w:r w:rsidR="00E05229">
        <w:t>this consignment has been fumigated before application of plastic wrapping</w:t>
      </w:r>
      <w:r>
        <w:t>’</w:t>
      </w:r>
    </w:p>
    <w:p w14:paraId="139712EC" w14:textId="7A58134D" w:rsidR="00E20859" w:rsidRDefault="00362737" w:rsidP="00AB1FF2">
      <w:pPr>
        <w:pStyle w:val="ListBullet3"/>
      </w:pPr>
      <w:r>
        <w:t>‘</w:t>
      </w:r>
      <w:proofErr w:type="gramStart"/>
      <w:r w:rsidR="00E05229">
        <w:t>plastic</w:t>
      </w:r>
      <w:proofErr w:type="gramEnd"/>
      <w:r w:rsidR="00E05229">
        <w:t xml:space="preserve"> wrapping used in this consignment conforms to the AFAS wrapping and perforation standard as found in the AFAS Methyl Bromide Fumigation Standard</w:t>
      </w:r>
      <w:r>
        <w:t>’</w:t>
      </w:r>
      <w:r w:rsidR="00E05229">
        <w:t>.</w:t>
      </w:r>
    </w:p>
    <w:p w14:paraId="14399287" w14:textId="77777777" w:rsidR="00E05229" w:rsidRDefault="00E05229" w:rsidP="00AB1FF2">
      <w:r>
        <w:t>Permanent preservative treatments:</w:t>
      </w:r>
    </w:p>
    <w:p w14:paraId="7FB704E1" w14:textId="77777777" w:rsidR="00E05229" w:rsidRDefault="00E05229" w:rsidP="00AB1FF2">
      <w:pPr>
        <w:pStyle w:val="ListBullet"/>
      </w:pPr>
      <w:r>
        <w:lastRenderedPageBreak/>
        <w:t>statement attesting to treatment in accordance with the department’s requirements as outlined in the applicable import conditions</w:t>
      </w:r>
    </w:p>
    <w:p w14:paraId="2B4322A7" w14:textId="77777777" w:rsidR="00E05229" w:rsidRDefault="00E05229" w:rsidP="00AB1FF2">
      <w:pPr>
        <w:pStyle w:val="ListBullet"/>
      </w:pPr>
      <w:r>
        <w:t>name of preservative (where required)</w:t>
      </w:r>
    </w:p>
    <w:p w14:paraId="49951E55" w14:textId="77777777" w:rsidR="00E05229" w:rsidRDefault="00E05229" w:rsidP="00AB1FF2">
      <w:pPr>
        <w:pStyle w:val="ListBullet"/>
      </w:pPr>
      <w:r>
        <w:t>chemical composition of preservative</w:t>
      </w:r>
    </w:p>
    <w:p w14:paraId="78B98F86" w14:textId="77777777" w:rsidR="00E05229" w:rsidRDefault="00E05229" w:rsidP="00AB1FF2">
      <w:pPr>
        <w:pStyle w:val="ListBullet"/>
      </w:pPr>
      <w:r>
        <w:t xml:space="preserve">loading of preservative expressed as: </w:t>
      </w:r>
      <w:r w:rsidR="00D70FF9">
        <w:t>percentage</w:t>
      </w:r>
      <w:r>
        <w:t xml:space="preserve"> mass/mass based on oven dried mass of treated wood</w:t>
      </w:r>
      <w:r w:rsidR="00D70FF9">
        <w:t>,</w:t>
      </w:r>
      <w:r>
        <w:t xml:space="preserve"> or mass per volume (net dry salt retention)</w:t>
      </w:r>
    </w:p>
    <w:p w14:paraId="01C3F00F" w14:textId="77777777" w:rsidR="00E05229" w:rsidRDefault="00E05229" w:rsidP="00AB1FF2">
      <w:pPr>
        <w:pStyle w:val="ListBullet"/>
      </w:pPr>
      <w:proofErr w:type="gramStart"/>
      <w:r>
        <w:t>for</w:t>
      </w:r>
      <w:proofErr w:type="gramEnd"/>
      <w:r>
        <w:t xml:space="preserve"> plywoods and veneers only</w:t>
      </w:r>
      <w:r w:rsidR="00D70FF9">
        <w:t>—</w:t>
      </w:r>
      <w:r>
        <w:t>veneer thickness</w:t>
      </w:r>
      <w:r w:rsidR="00D70FF9">
        <w:t>.</w:t>
      </w:r>
    </w:p>
    <w:p w14:paraId="54DD23F9" w14:textId="77777777" w:rsidR="00E05229" w:rsidRDefault="00E05229" w:rsidP="00AB1FF2">
      <w:r>
        <w:t>Gamma irradiation:</w:t>
      </w:r>
    </w:p>
    <w:p w14:paraId="42B9EDF6" w14:textId="77777777" w:rsidR="00E05229" w:rsidRDefault="00E05229" w:rsidP="00AB1FF2">
      <w:pPr>
        <w:pStyle w:val="ListBullet"/>
      </w:pPr>
      <w:proofErr w:type="gramStart"/>
      <w:r>
        <w:t>dosage</w:t>
      </w:r>
      <w:proofErr w:type="gramEnd"/>
      <w:r>
        <w:t xml:space="preserve"> in </w:t>
      </w:r>
      <w:proofErr w:type="spellStart"/>
      <w:r>
        <w:t>kGray</w:t>
      </w:r>
      <w:proofErr w:type="spellEnd"/>
      <w:r>
        <w:t xml:space="preserve"> or </w:t>
      </w:r>
      <w:proofErr w:type="spellStart"/>
      <w:r>
        <w:t>Mrad</w:t>
      </w:r>
      <w:proofErr w:type="spellEnd"/>
      <w:r w:rsidR="00D70FF9">
        <w:t>.</w:t>
      </w:r>
    </w:p>
    <w:p w14:paraId="71EAD36D" w14:textId="77777777" w:rsidR="00E05229" w:rsidRDefault="00E05229" w:rsidP="00AB1FF2">
      <w:r>
        <w:t>Heat treatments:</w:t>
      </w:r>
    </w:p>
    <w:p w14:paraId="58BDED5D" w14:textId="77777777" w:rsidR="00E05229" w:rsidRDefault="00D70FF9" w:rsidP="00AB1FF2">
      <w:pPr>
        <w:pStyle w:val="ListBullet"/>
      </w:pPr>
      <w:r>
        <w:t>s</w:t>
      </w:r>
      <w:r w:rsidR="00E05229">
        <w:t>tatement to reflect temperature was measured at the core of the product</w:t>
      </w:r>
    </w:p>
    <w:p w14:paraId="0947F0DD" w14:textId="77777777" w:rsidR="00E05229" w:rsidRDefault="00D70FF9" w:rsidP="00AB1FF2">
      <w:pPr>
        <w:pStyle w:val="ListBullet"/>
      </w:pPr>
      <w:r>
        <w:t>t</w:t>
      </w:r>
      <w:r w:rsidR="00E05229">
        <w:t>emperature in °Celsius or °Fahrenheit</w:t>
      </w:r>
    </w:p>
    <w:p w14:paraId="27F00D3A" w14:textId="77777777" w:rsidR="00E05229" w:rsidRDefault="00D70FF9" w:rsidP="00AB1FF2">
      <w:pPr>
        <w:pStyle w:val="ListBullet"/>
      </w:pPr>
      <w:proofErr w:type="gramStart"/>
      <w:r>
        <w:t>s</w:t>
      </w:r>
      <w:r w:rsidR="00E05229">
        <w:t>tatement</w:t>
      </w:r>
      <w:proofErr w:type="gramEnd"/>
      <w:r w:rsidR="00E05229">
        <w:t xml:space="preserve"> that the required temperature was maintained for no less than the minimum duration.</w:t>
      </w:r>
    </w:p>
    <w:p w14:paraId="3F3833BA" w14:textId="77777777" w:rsidR="00E05229" w:rsidRDefault="00E05229" w:rsidP="00AB1FF2">
      <w:r>
        <w:t>Kiln drying:</w:t>
      </w:r>
    </w:p>
    <w:p w14:paraId="6A252F40" w14:textId="77777777" w:rsidR="00E05229" w:rsidRDefault="00D70FF9" w:rsidP="00AB1FF2">
      <w:pPr>
        <w:pStyle w:val="ListBullet"/>
      </w:pPr>
      <w:r>
        <w:t>s</w:t>
      </w:r>
      <w:r w:rsidR="00E05229">
        <w:t>tatement to reflect temperature was measured at the core of the product</w:t>
      </w:r>
    </w:p>
    <w:p w14:paraId="2F928B6F" w14:textId="77777777" w:rsidR="00E05229" w:rsidRDefault="00D70FF9" w:rsidP="00AB1FF2">
      <w:pPr>
        <w:pStyle w:val="ListBullet"/>
      </w:pPr>
      <w:r>
        <w:t>t</w:t>
      </w:r>
      <w:r w:rsidR="00E05229">
        <w:t>emperature in °Celsius or °Fahrenheit</w:t>
      </w:r>
    </w:p>
    <w:p w14:paraId="23FBEB5B" w14:textId="77777777" w:rsidR="00E05229" w:rsidRDefault="00D70FF9" w:rsidP="00AB1FF2">
      <w:pPr>
        <w:pStyle w:val="ListBullet"/>
      </w:pPr>
      <w:r>
        <w:t>s</w:t>
      </w:r>
      <w:r w:rsidR="00E05229">
        <w:t>tatement that the required temperature was maintained for no less than the minimum duration</w:t>
      </w:r>
    </w:p>
    <w:p w14:paraId="1280C738" w14:textId="77777777" w:rsidR="00E05229" w:rsidRDefault="00D70FF9" w:rsidP="00AB1FF2">
      <w:pPr>
        <w:pStyle w:val="ListBullet"/>
      </w:pPr>
      <w:proofErr w:type="gramStart"/>
      <w:r>
        <w:t>t</w:t>
      </w:r>
      <w:r w:rsidR="00E05229">
        <w:t>imber</w:t>
      </w:r>
      <w:proofErr w:type="gramEnd"/>
      <w:r w:rsidR="00E05229">
        <w:t xml:space="preserve"> thickness.</w:t>
      </w:r>
    </w:p>
    <w:p w14:paraId="71677BEB" w14:textId="72AF53A7" w:rsidR="00E05229" w:rsidRDefault="00E05229" w:rsidP="00AB1FF2">
      <w:r>
        <w:t xml:space="preserve">Further information </w:t>
      </w:r>
      <w:r w:rsidR="00B4325D">
        <w:t xml:space="preserve">about </w:t>
      </w:r>
      <w:r>
        <w:t xml:space="preserve">a particular treatment is available on the </w:t>
      </w:r>
      <w:hyperlink r:id="rId28" w:history="1">
        <w:r w:rsidR="001B08A3">
          <w:rPr>
            <w:rStyle w:val="Hyperlink"/>
          </w:rPr>
          <w:t>department’s website</w:t>
        </w:r>
      </w:hyperlink>
      <w:r>
        <w:t>.</w:t>
      </w:r>
    </w:p>
    <w:p w14:paraId="2A09D8A3" w14:textId="77777777" w:rsidR="00E05229" w:rsidRDefault="00E05229" w:rsidP="005D5EE3">
      <w:pPr>
        <w:pStyle w:val="Heading5"/>
      </w:pPr>
      <w:r>
        <w:t>General information for a seed analysis certificate</w:t>
      </w:r>
    </w:p>
    <w:p w14:paraId="56C8BF34" w14:textId="77777777" w:rsidR="00E05229" w:rsidRDefault="00E05229" w:rsidP="00AB1FF2">
      <w:r>
        <w:t>Seed analysis certificates must be in accordance with ISTA requirements. Seed analysis certificates must contain:</w:t>
      </w:r>
    </w:p>
    <w:p w14:paraId="6E5C0D7F" w14:textId="77777777" w:rsidR="00E05229" w:rsidRDefault="00E05229" w:rsidP="00AB1FF2">
      <w:pPr>
        <w:pStyle w:val="ListBullet"/>
      </w:pPr>
      <w:r>
        <w:t>weight of the bulk sample</w:t>
      </w:r>
    </w:p>
    <w:p w14:paraId="5C7EB8A5" w14:textId="77777777" w:rsidR="00E05229" w:rsidRDefault="00E05229" w:rsidP="00AB1FF2">
      <w:pPr>
        <w:pStyle w:val="ListBullet"/>
      </w:pPr>
      <w:r>
        <w:t>weight of the working sample examined</w:t>
      </w:r>
    </w:p>
    <w:p w14:paraId="047E875C" w14:textId="77777777" w:rsidR="00E05229" w:rsidRDefault="00E05229" w:rsidP="00AB1FF2">
      <w:pPr>
        <w:pStyle w:val="ListBullet"/>
      </w:pPr>
      <w:r>
        <w:t>the botanical name of each identified species of seed found in the sample (any unidentified genera or species are to be recorded as such)</w:t>
      </w:r>
    </w:p>
    <w:p w14:paraId="051B79BD" w14:textId="77777777" w:rsidR="00E05229" w:rsidRDefault="00E05229" w:rsidP="00AB1FF2">
      <w:pPr>
        <w:pStyle w:val="ListBullet"/>
      </w:pPr>
      <w:r>
        <w:t>endorsed with any statements required by the import conditions for the species of seed</w:t>
      </w:r>
    </w:p>
    <w:p w14:paraId="0A1A0CAC" w14:textId="77777777" w:rsidR="00E05229" w:rsidRDefault="00E05229" w:rsidP="00AB1FF2">
      <w:pPr>
        <w:pStyle w:val="ListBullet"/>
      </w:pPr>
      <w:proofErr w:type="gramStart"/>
      <w:r>
        <w:t>the</w:t>
      </w:r>
      <w:proofErr w:type="gramEnd"/>
      <w:r>
        <w:t xml:space="preserve"> percentage of any soil particles or ergot found in the sample.</w:t>
      </w:r>
    </w:p>
    <w:p w14:paraId="2464E120" w14:textId="77777777" w:rsidR="00E05229" w:rsidRDefault="00E05229" w:rsidP="005D5EE3">
      <w:pPr>
        <w:pStyle w:val="Heading5"/>
      </w:pPr>
      <w:r>
        <w:t>Validity requirement for a seed analysis certificate</w:t>
      </w:r>
    </w:p>
    <w:p w14:paraId="4D1D5CC5" w14:textId="096E6079" w:rsidR="00E05229" w:rsidRDefault="00E05229" w:rsidP="00AB1FF2">
      <w:r>
        <w:t>Seed analysis certificates will only be accepted if issued by</w:t>
      </w:r>
      <w:r w:rsidR="003B2362">
        <w:t xml:space="preserve"> a</w:t>
      </w:r>
      <w:r>
        <w:t xml:space="preserve"> </w:t>
      </w:r>
      <w:hyperlink r:id="rId29" w:history="1">
        <w:r w:rsidR="00C02B95">
          <w:rPr>
            <w:rStyle w:val="Hyperlink"/>
          </w:rPr>
          <w:t>depar</w:t>
        </w:r>
        <w:r w:rsidR="00C02B95" w:rsidRPr="00C02B95">
          <w:rPr>
            <w:rStyle w:val="Hyperlink"/>
          </w:rPr>
          <w:t>t</w:t>
        </w:r>
        <w:r w:rsidR="00C02B95">
          <w:rPr>
            <w:rStyle w:val="Hyperlink"/>
          </w:rPr>
          <w:t>ment</w:t>
        </w:r>
        <w:r w:rsidR="003B2362">
          <w:rPr>
            <w:rStyle w:val="Hyperlink"/>
          </w:rPr>
          <w:t>al</w:t>
        </w:r>
        <w:r w:rsidR="00C02B95">
          <w:rPr>
            <w:rStyle w:val="Hyperlink"/>
          </w:rPr>
          <w:t xml:space="preserve"> </w:t>
        </w:r>
        <w:r w:rsidR="00C02B95" w:rsidRPr="00C02B95">
          <w:rPr>
            <w:rStyle w:val="Hyperlink"/>
          </w:rPr>
          <w:t>approved seed testing laboratory.</w:t>
        </w:r>
      </w:hyperlink>
    </w:p>
    <w:p w14:paraId="7A7CCABA" w14:textId="77777777" w:rsidR="00E05229" w:rsidRDefault="00E05229" w:rsidP="003B37CA">
      <w:pPr>
        <w:pStyle w:val="Heading5"/>
      </w:pPr>
      <w:r>
        <w:lastRenderedPageBreak/>
        <w:t>General information for a preferential tariff certificate/certificate of origin</w:t>
      </w:r>
    </w:p>
    <w:p w14:paraId="207A479F" w14:textId="77777777" w:rsidR="00E05229" w:rsidRDefault="00E05229" w:rsidP="00AB1FF2">
      <w:r>
        <w:t>Preferential tariff certificates/certificates of origin may contain:</w:t>
      </w:r>
    </w:p>
    <w:p w14:paraId="0E1A5098" w14:textId="285D22C6" w:rsidR="00E05229" w:rsidRDefault="00E05229" w:rsidP="00AB1FF2">
      <w:pPr>
        <w:pStyle w:val="ListBullet"/>
      </w:pPr>
      <w:r>
        <w:t>exporter details</w:t>
      </w:r>
    </w:p>
    <w:p w14:paraId="229282AE" w14:textId="77777777" w:rsidR="00E05229" w:rsidRDefault="00E05229" w:rsidP="00AB1FF2">
      <w:pPr>
        <w:pStyle w:val="ListBullet"/>
      </w:pPr>
      <w:r>
        <w:t>consignee details</w:t>
      </w:r>
    </w:p>
    <w:p w14:paraId="69AC0E2C" w14:textId="77777777" w:rsidR="00E05229" w:rsidRDefault="00E05229" w:rsidP="00AB1FF2">
      <w:pPr>
        <w:pStyle w:val="ListBullet"/>
      </w:pPr>
      <w:proofErr w:type="gramStart"/>
      <w:r>
        <w:t>description</w:t>
      </w:r>
      <w:proofErr w:type="gramEnd"/>
      <w:r>
        <w:t xml:space="preserve"> of the goods.</w:t>
      </w:r>
    </w:p>
    <w:p w14:paraId="08A89A56" w14:textId="77777777" w:rsidR="00E05229" w:rsidRPr="005D5EE3" w:rsidRDefault="005D5EE3" w:rsidP="005D5EE3">
      <w:pPr>
        <w:pStyle w:val="Heading5"/>
      </w:pPr>
      <w:r>
        <w:t xml:space="preserve"> </w:t>
      </w:r>
      <w:r w:rsidR="00E05229" w:rsidRPr="005D5EE3">
        <w:t>General information for a letter of credit</w:t>
      </w:r>
    </w:p>
    <w:p w14:paraId="47357B61" w14:textId="77777777" w:rsidR="00E05229" w:rsidRDefault="00E05229" w:rsidP="00AB1FF2">
      <w:r>
        <w:t>Letters of credit may contain:</w:t>
      </w:r>
    </w:p>
    <w:p w14:paraId="69CB2389" w14:textId="77777777" w:rsidR="00E05229" w:rsidRDefault="00E05229" w:rsidP="00AB1FF2">
      <w:pPr>
        <w:pStyle w:val="ListBullet"/>
      </w:pPr>
      <w:r>
        <w:t>issuing bank details</w:t>
      </w:r>
    </w:p>
    <w:p w14:paraId="311F1CCE" w14:textId="77777777" w:rsidR="00E05229" w:rsidRDefault="00E05229" w:rsidP="00AB1FF2">
      <w:pPr>
        <w:pStyle w:val="ListBullet"/>
      </w:pPr>
      <w:r>
        <w:t>buyer details</w:t>
      </w:r>
    </w:p>
    <w:p w14:paraId="11A0E31B" w14:textId="77777777" w:rsidR="00E05229" w:rsidRDefault="00E05229" w:rsidP="00AB1FF2">
      <w:pPr>
        <w:pStyle w:val="ListBullet"/>
      </w:pPr>
      <w:r>
        <w:t>seller details</w:t>
      </w:r>
    </w:p>
    <w:p w14:paraId="6435353C" w14:textId="77777777" w:rsidR="00E05229" w:rsidRDefault="00E05229" w:rsidP="00AB1FF2">
      <w:pPr>
        <w:pStyle w:val="ListBullet"/>
      </w:pPr>
      <w:r>
        <w:t>value of the credit</w:t>
      </w:r>
    </w:p>
    <w:p w14:paraId="68482200" w14:textId="77777777" w:rsidR="00E05229" w:rsidRDefault="00E05229" w:rsidP="00AB1FF2">
      <w:pPr>
        <w:pStyle w:val="ListBullet"/>
      </w:pPr>
      <w:proofErr w:type="gramStart"/>
      <w:r>
        <w:t>description</w:t>
      </w:r>
      <w:proofErr w:type="gramEnd"/>
      <w:r>
        <w:t xml:space="preserve"> of the goods.</w:t>
      </w:r>
    </w:p>
    <w:p w14:paraId="324D46B9" w14:textId="77777777" w:rsidR="00E05229" w:rsidRDefault="00E05229" w:rsidP="00D43C74">
      <w:pPr>
        <w:pStyle w:val="Heading3"/>
      </w:pPr>
      <w:bookmarkStart w:id="11" w:name="_Toc487460812"/>
      <w:r>
        <w:t>Imported food inspection scheme documents</w:t>
      </w:r>
      <w:bookmarkEnd w:id="11"/>
    </w:p>
    <w:p w14:paraId="599EF030" w14:textId="77777777" w:rsidR="00E05229" w:rsidRDefault="00E05229" w:rsidP="00B41A4D">
      <w:pPr>
        <w:pStyle w:val="Heading4"/>
        <w:keepNext/>
      </w:pPr>
      <w:r>
        <w:t>Laboratory nomination form</w:t>
      </w:r>
    </w:p>
    <w:p w14:paraId="41713821" w14:textId="377A8D4B" w:rsidR="00E05229" w:rsidRDefault="00E05229" w:rsidP="00AB1FF2">
      <w:r>
        <w:t xml:space="preserve">Analytical testing of imported food samples can only be performed by a laboratory that is an appointed analyst under </w:t>
      </w:r>
      <w:r w:rsidR="00F04960">
        <w:t>s</w:t>
      </w:r>
      <w:r>
        <w:t xml:space="preserve">ection 34 of the </w:t>
      </w:r>
      <w:r w:rsidR="001E33D5" w:rsidRPr="001E33D5">
        <w:rPr>
          <w:rStyle w:val="Emphasis"/>
        </w:rPr>
        <w:t>Imported Food Control Act 1992</w:t>
      </w:r>
      <w:r>
        <w:t xml:space="preserve">. The customs broker </w:t>
      </w:r>
      <w:r w:rsidR="007D3C90">
        <w:t>or importer</w:t>
      </w:r>
      <w:r>
        <w:t xml:space="preserve"> must nominate an appointed analyst on a laboratory nomination form when submitting documentation using the process </w:t>
      </w:r>
      <w:r w:rsidR="00F04960">
        <w:t>outlined in this section</w:t>
      </w:r>
      <w:r>
        <w:t>.</w:t>
      </w:r>
    </w:p>
    <w:p w14:paraId="2F8329E6" w14:textId="77777777" w:rsidR="00E05229" w:rsidRDefault="00E05229" w:rsidP="00AB1FF2">
      <w:r>
        <w:t>Confirm the laboratory:</w:t>
      </w:r>
    </w:p>
    <w:p w14:paraId="55EB2336" w14:textId="77777777" w:rsidR="00E05229" w:rsidRDefault="00E05229" w:rsidP="00AB1FF2">
      <w:pPr>
        <w:pStyle w:val="ListBullet"/>
      </w:pPr>
      <w:r>
        <w:t>can perform the tests required on the food sample (some laboratories are not accredited to perform certain tests on some classes of foods)</w:t>
      </w:r>
    </w:p>
    <w:p w14:paraId="38B2B379" w14:textId="77777777" w:rsidR="00E05229" w:rsidRDefault="00E05229" w:rsidP="00AB1FF2">
      <w:pPr>
        <w:pStyle w:val="ListBullet"/>
      </w:pPr>
      <w:r>
        <w:t>has courier arrangements in place to collect samples from the department's collection sites (some laboratories do not service all areas)</w:t>
      </w:r>
    </w:p>
    <w:p w14:paraId="3A9BEF2A" w14:textId="77777777" w:rsidR="00E05229" w:rsidRDefault="00E05229" w:rsidP="00AB1FF2">
      <w:pPr>
        <w:pStyle w:val="ListBullet"/>
      </w:pPr>
      <w:proofErr w:type="gramStart"/>
      <w:r>
        <w:t>will</w:t>
      </w:r>
      <w:proofErr w:type="gramEnd"/>
      <w:r>
        <w:t xml:space="preserve"> accept the nomination.</w:t>
      </w:r>
    </w:p>
    <w:p w14:paraId="0B32FFAB" w14:textId="738B5A6C" w:rsidR="00E05229" w:rsidRDefault="00E05229" w:rsidP="002F6BB4">
      <w:pPr>
        <w:pStyle w:val="NoteHeading"/>
        <w:spacing w:after="120"/>
      </w:pPr>
      <w:r w:rsidRPr="00F705AC">
        <w:rPr>
          <w:b/>
        </w:rPr>
        <w:t>Note:</w:t>
      </w:r>
      <w:r>
        <w:t xml:space="preserve"> the importer/owner is responsible for paying the laboratory test costs and laboratories may require a deposit prior to testing.</w:t>
      </w:r>
    </w:p>
    <w:p w14:paraId="3E86FBB1" w14:textId="77777777" w:rsidR="00E05229" w:rsidRDefault="00E05229" w:rsidP="00AB1FF2">
      <w:r>
        <w:t xml:space="preserve">Complete the IFIS laboratory nomination form and forward it to the laboratory. An inspection cannot be booked until the laboratory accepts the nomination and notifies the department </w:t>
      </w:r>
      <w:r w:rsidR="00F04960">
        <w:t xml:space="preserve">on </w:t>
      </w:r>
      <w:r>
        <w:t>the form.</w:t>
      </w:r>
    </w:p>
    <w:p w14:paraId="5B729475" w14:textId="77777777" w:rsidR="00E05229" w:rsidRDefault="00E05229" w:rsidP="00AB1FF2">
      <w:r>
        <w:t>The department will issue a food control certificate when the appointed analyst has returned the laboratory nomination form to the department and confirmed that they will conduct the analytical testing of the imported food samples.</w:t>
      </w:r>
    </w:p>
    <w:p w14:paraId="55B64091" w14:textId="26DEB5BE" w:rsidR="00E05229" w:rsidRDefault="00E05229" w:rsidP="00AB1FF2">
      <w:r>
        <w:t xml:space="preserve">An importer may have an ‘ongoing nomination’ with an appointed analyst. Where this arrangement is in place, a laboratory nomination form does not need to be provided for future import declarations unless requested. Importers are encouraged to enter into an ongoing nomination arrangement to reduce delays in entry processing. An ongoing nomination must be </w:t>
      </w:r>
      <w:r>
        <w:lastRenderedPageBreak/>
        <w:t>accepted by the appointed analyst before it is accepted by the department. Separate ongoing nomination arrangements are to be made with each regional office that will conduct the inspection and sampling.</w:t>
      </w:r>
    </w:p>
    <w:p w14:paraId="4BD7E260" w14:textId="763EB5F2" w:rsidR="00E05229" w:rsidRDefault="00E05229" w:rsidP="00AB1FF2">
      <w:r>
        <w:t xml:space="preserve">Information about testing of samples under the Imported Food Inspection Scheme, including the laboratory nomination form and contact details for appointed analysts, is outlined on the </w:t>
      </w:r>
      <w:hyperlink r:id="rId30" w:history="1">
        <w:r w:rsidR="001B08A3">
          <w:rPr>
            <w:rStyle w:val="Hyperlink"/>
          </w:rPr>
          <w:t>department’s website</w:t>
        </w:r>
      </w:hyperlink>
      <w:r>
        <w:t>.</w:t>
      </w:r>
    </w:p>
    <w:p w14:paraId="0902111F" w14:textId="77777777" w:rsidR="00184AE9" w:rsidRDefault="00184AE9" w:rsidP="00184AE9">
      <w:pPr>
        <w:pStyle w:val="Heading4"/>
        <w:keepNext/>
      </w:pPr>
      <w:r>
        <w:t>Lot code list</w:t>
      </w:r>
    </w:p>
    <w:p w14:paraId="2139B9B3" w14:textId="557D2A30" w:rsidR="00ED75BE" w:rsidRDefault="00ED75BE" w:rsidP="00AB1FF2">
      <w:r>
        <w:t xml:space="preserve">A Lot Code list must be provided at the time of processing the FID and also presented to the officer at the time of inspection. The Lot Code list must be provided for each type of food (batch) in the FID. </w:t>
      </w:r>
      <w:r w:rsidR="00967603">
        <w:t>If a Lot Code list is not available from the supplier or producer then the information must be presented on an importer’s declaration.</w:t>
      </w:r>
    </w:p>
    <w:p w14:paraId="7A3C02B6" w14:textId="3E95BC54" w:rsidR="00ED75BE" w:rsidRPr="00ED75BE" w:rsidRDefault="00ED75BE" w:rsidP="00AB1FF2">
      <w:r>
        <w:t>The Lot Code list is used to estimate the time required for an inspection and to determine the number of samples that will required for analytical testing.</w:t>
      </w:r>
    </w:p>
    <w:p w14:paraId="341465B3" w14:textId="23B84403" w:rsidR="00E05229" w:rsidRPr="00ED75BE" w:rsidRDefault="008115FC" w:rsidP="00ED75BE">
      <w:pPr>
        <w:pStyle w:val="Heading3"/>
      </w:pPr>
      <w:bookmarkStart w:id="12" w:name="_Ref487460220"/>
      <w:bookmarkStart w:id="13" w:name="_Ref487460268"/>
      <w:bookmarkStart w:id="14" w:name="_Toc487460813"/>
      <w:r w:rsidRPr="00ED75BE">
        <w:t>Overarching</w:t>
      </w:r>
      <w:r w:rsidR="00164C65" w:rsidRPr="00ED75BE">
        <w:t xml:space="preserve"> </w:t>
      </w:r>
      <w:r w:rsidR="00E05229" w:rsidRPr="00ED75BE">
        <w:t>Import declaration requirements</w:t>
      </w:r>
      <w:bookmarkEnd w:id="12"/>
      <w:bookmarkEnd w:id="13"/>
      <w:bookmarkEnd w:id="14"/>
    </w:p>
    <w:p w14:paraId="42790E0F" w14:textId="1317AFF3" w:rsidR="00DC3667" w:rsidRDefault="00E05229" w:rsidP="00AB1FF2">
      <w:r>
        <w:t xml:space="preserve">The department assesses the information lodged in an import declaration, the supporting commercial documentation and any government certification to assess the biosecurity risk and determine if the goods can be released, or directed for subsequent action. </w:t>
      </w:r>
    </w:p>
    <w:p w14:paraId="09A2B9C8" w14:textId="391D34FC" w:rsidR="00DC3667" w:rsidRDefault="00DC3667" w:rsidP="00AB1FF2">
      <w:r>
        <w:t>All import declarations must meet the following general requirements when lodged to the department as part of the import process.</w:t>
      </w:r>
    </w:p>
    <w:p w14:paraId="2A5D77B1" w14:textId="77777777" w:rsidR="00E05229" w:rsidRDefault="00E05229" w:rsidP="00D43C74">
      <w:pPr>
        <w:pStyle w:val="Heading4"/>
      </w:pPr>
      <w:r>
        <w:t>Accurate information</w:t>
      </w:r>
    </w:p>
    <w:p w14:paraId="5EC58DBA" w14:textId="4418DBD1" w:rsidR="00E05229" w:rsidRDefault="00251E1C" w:rsidP="00AB1FF2">
      <w:r>
        <w:t>T</w:t>
      </w:r>
      <w:r w:rsidR="00E05229">
        <w:t xml:space="preserve">he information in an import declaration </w:t>
      </w:r>
      <w:r>
        <w:t xml:space="preserve">must </w:t>
      </w:r>
      <w:r w:rsidR="00E05229">
        <w:t>accurate</w:t>
      </w:r>
      <w:r>
        <w:t>ly</w:t>
      </w:r>
      <w:r w:rsidR="00E05229">
        <w:t xml:space="preserve"> reflect the consignment. Failure to declare a consignment correctly may result in goods that pose a biosecurity concern or foods that pose a risk to public health and safety not being referred to the department for assessment. Additionally, incorrect information may result in delays in processing the import declaration or unnecessary intervention, inspection, treatment or sample testing. Customs brokers and importers are responsible for having sufficient documentary evidence to ensure that the import declaration is true and accurate.</w:t>
      </w:r>
    </w:p>
    <w:p w14:paraId="5BDAFCE6" w14:textId="77777777" w:rsidR="00E05229" w:rsidRDefault="00251E1C" w:rsidP="00AB1FF2">
      <w:r>
        <w:t>S</w:t>
      </w:r>
      <w:r w:rsidR="00E05229">
        <w:t xml:space="preserve">ome fields in an import declaration are specific to biosecurity or </w:t>
      </w:r>
      <w:r>
        <w:t>the Imported Food Inspection Scheme</w:t>
      </w:r>
      <w:r w:rsidR="00E05229">
        <w:t xml:space="preserve"> only and are not used or required by other government agencies. When the department believes any of the information in these fields is incorrect or incomplete, the client will be requested to amend the import declaration.</w:t>
      </w:r>
    </w:p>
    <w:p w14:paraId="7B24E5B5" w14:textId="77777777" w:rsidR="00E05229" w:rsidRDefault="00F705AC" w:rsidP="00D43C74">
      <w:pPr>
        <w:pStyle w:val="Heading4"/>
      </w:pPr>
      <w:r>
        <w:t>Community p</w:t>
      </w:r>
      <w:r w:rsidR="00E05229">
        <w:t xml:space="preserve">rotection (CP) </w:t>
      </w:r>
      <w:r w:rsidR="00F70F54">
        <w:t>p</w:t>
      </w:r>
      <w:r w:rsidR="00E05229">
        <w:t>rofile questions</w:t>
      </w:r>
    </w:p>
    <w:p w14:paraId="518D4F02" w14:textId="47F4925C" w:rsidR="00E05229" w:rsidRDefault="00E05229" w:rsidP="00AB1FF2">
      <w:r>
        <w:t xml:space="preserve">When a customs broker or importer is prompted to answer the department’s import profile questions </w:t>
      </w:r>
      <w:r w:rsidR="00BF5313">
        <w:t xml:space="preserve">about </w:t>
      </w:r>
      <w:r>
        <w:t>the risk of the consignment as part of the lodgement process, they are required to answer these questions accurately based on the evidence that is available to them.</w:t>
      </w:r>
    </w:p>
    <w:p w14:paraId="351CDC1D" w14:textId="72955F74" w:rsidR="00E05229" w:rsidRDefault="00BF5313" w:rsidP="00AB1FF2">
      <w:r>
        <w:t>T</w:t>
      </w:r>
      <w:r w:rsidR="00E05229">
        <w:t>he customs broker or importer</w:t>
      </w:r>
      <w:r>
        <w:t xml:space="preserve"> is </w:t>
      </w:r>
      <w:r w:rsidR="00E05229">
        <w:t>responsib</w:t>
      </w:r>
      <w:r>
        <w:t>le for</w:t>
      </w:r>
      <w:r w:rsidR="00E05229">
        <w:t xml:space="preserve"> keep</w:t>
      </w:r>
      <w:r>
        <w:t>ing</w:t>
      </w:r>
      <w:r w:rsidR="00E05229">
        <w:t xml:space="preserve"> evidence that supports the decision to downgrade the profile or make alterations to the original import declaration</w:t>
      </w:r>
      <w:r>
        <w:t>;</w:t>
      </w:r>
      <w:r w:rsidR="00E05229">
        <w:t xml:space="preserve"> this evidence may be required to be presented to the department.</w:t>
      </w:r>
    </w:p>
    <w:p w14:paraId="2F351CF4" w14:textId="677BD17C" w:rsidR="00E05229" w:rsidRDefault="00E05229" w:rsidP="00AB1FF2">
      <w:r>
        <w:lastRenderedPageBreak/>
        <w:t>Where the department identifies that a customs broker or importer is lodging incorrect information in an import declaration</w:t>
      </w:r>
      <w:r w:rsidR="00BF5313">
        <w:t>,</w:t>
      </w:r>
      <w:r>
        <w:t xml:space="preserve"> this will be viewed as a non</w:t>
      </w:r>
      <w:r w:rsidR="00BF5313">
        <w:t>-</w:t>
      </w:r>
      <w:r>
        <w:t>compliance and the details will be recorded. The customs broker, importer and consignment details may also be referred to the department</w:t>
      </w:r>
      <w:r w:rsidR="000853A7">
        <w:t>’</w:t>
      </w:r>
      <w:r>
        <w:t xml:space="preserve">s </w:t>
      </w:r>
      <w:r w:rsidR="000853A7">
        <w:t>e</w:t>
      </w:r>
      <w:r>
        <w:t>nforcement area for further action.</w:t>
      </w:r>
    </w:p>
    <w:p w14:paraId="23A47D02" w14:textId="6E59FAB9" w:rsidR="00E05229" w:rsidRDefault="00E05229" w:rsidP="00D43C74">
      <w:pPr>
        <w:pStyle w:val="Heading4"/>
      </w:pPr>
      <w:r>
        <w:t>Line identification</w:t>
      </w:r>
      <w:r w:rsidR="00365F26">
        <w:t xml:space="preserve"> and documentary linkage </w:t>
      </w:r>
    </w:p>
    <w:p w14:paraId="785C6A53" w14:textId="77777777" w:rsidR="00E05229" w:rsidRDefault="00E05229" w:rsidP="00AB1FF2">
      <w:r>
        <w:t xml:space="preserve">A document such as an invoice, packing list or lot code list must be provided that </w:t>
      </w:r>
      <w:r w:rsidR="00F90C55">
        <w:t xml:space="preserve">references </w:t>
      </w:r>
      <w:r>
        <w:t>each line in the import declaration to each type of goods on the commercial documentation.</w:t>
      </w:r>
    </w:p>
    <w:p w14:paraId="1166B41E" w14:textId="49D414EE" w:rsidR="00ED75BE" w:rsidRDefault="00E05229" w:rsidP="00AB1FF2">
      <w:r>
        <w:t>Processing</w:t>
      </w:r>
      <w:r w:rsidR="00365F26">
        <w:t xml:space="preserve"> of</w:t>
      </w:r>
      <w:r>
        <w:t xml:space="preserve"> the import declaration will be delayed if no document</w:t>
      </w:r>
      <w:r w:rsidR="00EF474F">
        <w:t>s</w:t>
      </w:r>
      <w:r>
        <w:t xml:space="preserve"> </w:t>
      </w:r>
      <w:r w:rsidR="00EF474F">
        <w:t xml:space="preserve">are </w:t>
      </w:r>
      <w:r>
        <w:t>provided or the document</w:t>
      </w:r>
      <w:r w:rsidR="00EF474F">
        <w:t>s</w:t>
      </w:r>
      <w:r>
        <w:t xml:space="preserve"> provided </w:t>
      </w:r>
      <w:r w:rsidR="00EF474F">
        <w:t xml:space="preserve">are </w:t>
      </w:r>
      <w:r>
        <w:t>not sufficient to link each line in the import declaration to each type of goods on the commercial documentation.</w:t>
      </w:r>
    </w:p>
    <w:p w14:paraId="07FABF24" w14:textId="77777777" w:rsidR="00E05229" w:rsidRDefault="00E05229" w:rsidP="00D43C74">
      <w:pPr>
        <w:pStyle w:val="Heading4"/>
      </w:pPr>
      <w:r>
        <w:t>Line/container association</w:t>
      </w:r>
      <w:r w:rsidR="00A93AEA">
        <w:t>—</w:t>
      </w:r>
      <w:r>
        <w:t>for consignments with multiple lines and/or containers</w:t>
      </w:r>
    </w:p>
    <w:p w14:paraId="39837C87" w14:textId="77777777" w:rsidR="00E05229" w:rsidRDefault="00E05229" w:rsidP="00AB1FF2">
      <w:r>
        <w:t>In some instances lines or containers may be held for intervention by the department and others may be deemed impediment free.</w:t>
      </w:r>
    </w:p>
    <w:p w14:paraId="044D2695" w14:textId="77777777" w:rsidR="00E05229" w:rsidRDefault="00E05229" w:rsidP="00AB1FF2">
      <w:r>
        <w:t>To facilitate partial release of these types of consignments, the department is able to process entries in the most appropriate mode if the client has associated each active line with at least one container and all containers with at least one line.</w:t>
      </w:r>
    </w:p>
    <w:p w14:paraId="1ECDC5F2" w14:textId="77777777" w:rsidR="00E05229" w:rsidRDefault="00E05229" w:rsidP="00AB1FF2">
      <w:r>
        <w:t>If a client chooses not to associate lines with containers, the department may request that an entry is amended and ask that all tariff lines and containers are accurately associated.</w:t>
      </w:r>
    </w:p>
    <w:p w14:paraId="572FA802" w14:textId="77777777" w:rsidR="00E05229" w:rsidRDefault="00E05229" w:rsidP="00AB1FF2">
      <w:r>
        <w:t>If the entry is not lodged in the correct mode it may cause the entire consignment to be held.</w:t>
      </w:r>
    </w:p>
    <w:p w14:paraId="5A4D3F6C" w14:textId="5ED70E8E" w:rsidR="00E05229" w:rsidRDefault="00830851" w:rsidP="00AB1FF2">
      <w:r>
        <w:t>Biosecurity officers</w:t>
      </w:r>
      <w:r w:rsidR="00E05229">
        <w:t xml:space="preserve"> are not permitted to associate lines with containers for these types of consignments. </w:t>
      </w:r>
      <w:r w:rsidR="00702914">
        <w:t>T</w:t>
      </w:r>
      <w:r w:rsidR="00E05229">
        <w:t>he customs broker</w:t>
      </w:r>
      <w:r w:rsidR="00702914">
        <w:t xml:space="preserve"> is</w:t>
      </w:r>
      <w:r w:rsidR="00E05229">
        <w:t xml:space="preserve"> responsib</w:t>
      </w:r>
      <w:r w:rsidR="00702914">
        <w:t>le for</w:t>
      </w:r>
      <w:r w:rsidR="00E05229">
        <w:t xml:space="preserve"> ensur</w:t>
      </w:r>
      <w:r w:rsidR="00702914">
        <w:t>ing</w:t>
      </w:r>
      <w:r w:rsidR="00E05229">
        <w:t xml:space="preserve"> declarations are accurately lodged for entry processing. Entries cannot be amended once directions are applied to the entry.</w:t>
      </w:r>
    </w:p>
    <w:p w14:paraId="6087053F" w14:textId="77777777" w:rsidR="0025079F" w:rsidRDefault="004C7BB1" w:rsidP="0025079F">
      <w:pPr>
        <w:pStyle w:val="Heading4"/>
        <w:keepNext/>
      </w:pPr>
      <w:r>
        <w:t>Declaring the AQIS entity identifier (AEI)</w:t>
      </w:r>
    </w:p>
    <w:p w14:paraId="58F6E0C4" w14:textId="04ADB5ED" w:rsidR="008E4DE4" w:rsidRDefault="004C7BB1" w:rsidP="00AB1FF2">
      <w:r>
        <w:t>The AQIS entity identifier must be declared for all FID</w:t>
      </w:r>
      <w:r w:rsidR="007C6B75">
        <w:t>/SCL consignments</w:t>
      </w:r>
      <w:r w:rsidR="008E4DE4">
        <w:t xml:space="preserve"> that</w:t>
      </w:r>
      <w:r w:rsidR="000E737C">
        <w:t>:</w:t>
      </w:r>
    </w:p>
    <w:p w14:paraId="2ECF74A9" w14:textId="1728EDC9" w:rsidR="008E4DE4" w:rsidRDefault="004C7BB1" w:rsidP="00AB1FF2">
      <w:pPr>
        <w:pStyle w:val="ListBullet"/>
      </w:pPr>
      <w:proofErr w:type="gramStart"/>
      <w:r>
        <w:t>have</w:t>
      </w:r>
      <w:proofErr w:type="gramEnd"/>
      <w:r>
        <w:t xml:space="preserve"> an accompanying AFAS </w:t>
      </w:r>
      <w:r w:rsidR="001436B2">
        <w:t xml:space="preserve">methyl bromide </w:t>
      </w:r>
      <w:r>
        <w:t xml:space="preserve">treatment certificate. </w:t>
      </w:r>
    </w:p>
    <w:p w14:paraId="62558D22" w14:textId="3850D0B9" w:rsidR="004A5C82" w:rsidRDefault="004A5C82" w:rsidP="00AB1FF2">
      <w:pPr>
        <w:pStyle w:val="ListBullet"/>
      </w:pPr>
      <w:r>
        <w:t xml:space="preserve">have an accompanying </w:t>
      </w:r>
      <w:r w:rsidRPr="001436B2">
        <w:rPr>
          <w:b/>
        </w:rPr>
        <w:t>non</w:t>
      </w:r>
      <w:r>
        <w:t xml:space="preserve"> AFAS</w:t>
      </w:r>
      <w:r w:rsidR="006D308F">
        <w:t xml:space="preserve"> </w:t>
      </w:r>
      <w:r w:rsidR="001436B2">
        <w:t>methyl bromide treatment</w:t>
      </w:r>
      <w:r w:rsidR="00B635B8" w:rsidRPr="00B635B8">
        <w:t xml:space="preserve"> certificate</w:t>
      </w:r>
    </w:p>
    <w:p w14:paraId="1A4ECC5E" w14:textId="3D991DF3" w:rsidR="001436B2" w:rsidRPr="003C63D5" w:rsidRDefault="001436B2" w:rsidP="00AB1FF2">
      <w:pPr>
        <w:pStyle w:val="ListBullet"/>
        <w:rPr>
          <w:rFonts w:cs="Times New Roman"/>
        </w:rPr>
      </w:pPr>
      <w:r w:rsidRPr="003C63D5">
        <w:t>have an accompanying offshore irradiation treatment provide</w:t>
      </w:r>
      <w:r w:rsidR="00AB1FF2">
        <w:t>rs scheme treatment certificate</w:t>
      </w:r>
    </w:p>
    <w:p w14:paraId="3DCB89D8" w14:textId="35ACE97A" w:rsidR="008E4DE4" w:rsidRDefault="004A5C82" w:rsidP="00AB1FF2">
      <w:pPr>
        <w:pStyle w:val="ListBullet"/>
      </w:pPr>
      <w:r>
        <w:t>are  required to enter data in t</w:t>
      </w:r>
      <w:r w:rsidR="001636FE">
        <w:t>he field by o</w:t>
      </w:r>
      <w:r w:rsidR="00AB1FF2">
        <w:t>ther departmental arrangements</w:t>
      </w:r>
    </w:p>
    <w:p w14:paraId="36E13B1F" w14:textId="6A77A64C" w:rsidR="004C7BB1" w:rsidRDefault="002A676F" w:rsidP="00AB1FF2">
      <w:r>
        <w:t xml:space="preserve">AEI details </w:t>
      </w:r>
      <w:r w:rsidR="004A5C82">
        <w:t xml:space="preserve">can </w:t>
      </w:r>
      <w:r>
        <w:t xml:space="preserve">be </w:t>
      </w:r>
      <w:r w:rsidR="004A5C82">
        <w:t xml:space="preserve">entered </w:t>
      </w:r>
      <w:r>
        <w:t xml:space="preserve">directly </w:t>
      </w:r>
      <w:r w:rsidR="000E737C">
        <w:t xml:space="preserve">into </w:t>
      </w:r>
      <w:r w:rsidR="004C7BB1">
        <w:t>the AEI field in the ICS or in the customs broker’s third party software by selecting the appropriate AEI or AEIs from the list provided, ensuring that the company name in the second column matches the company name on the certificate.</w:t>
      </w:r>
      <w:r w:rsidR="000E1259" w:rsidRPr="008123A7">
        <w:br/>
      </w:r>
      <w:r w:rsidR="003B2362">
        <w:br/>
      </w:r>
      <w:r w:rsidR="000E1259" w:rsidRPr="008123A7">
        <w:t xml:space="preserve">Complete details on how to enter AEI details can be found on the </w:t>
      </w:r>
      <w:hyperlink r:id="rId31" w:history="1">
        <w:r w:rsidR="000E1259" w:rsidRPr="00AB1FF2">
          <w:rPr>
            <w:rStyle w:val="Hyperlink"/>
          </w:rPr>
          <w:t>Offshore Methyl Bromide treatment provider's list</w:t>
        </w:r>
      </w:hyperlink>
      <w:r w:rsidR="00ED75BE">
        <w:t xml:space="preserve"> </w:t>
      </w:r>
      <w:r w:rsidR="000E1259" w:rsidRPr="008123A7">
        <w:t>webpage.</w:t>
      </w:r>
    </w:p>
    <w:p w14:paraId="79A5EA0D" w14:textId="77777777" w:rsidR="004C7BB1" w:rsidRDefault="004C7BB1" w:rsidP="004C7BB1">
      <w:pPr>
        <w:pStyle w:val="Heading4"/>
      </w:pPr>
      <w:r>
        <w:t xml:space="preserve">Declaring </w:t>
      </w:r>
      <w:proofErr w:type="spellStart"/>
      <w:r>
        <w:t>eCert</w:t>
      </w:r>
      <w:proofErr w:type="spellEnd"/>
      <w:r>
        <w:t xml:space="preserve"> information</w:t>
      </w:r>
    </w:p>
    <w:p w14:paraId="6D10F419" w14:textId="191AE994" w:rsidR="004C7BB1" w:rsidRDefault="004C7BB1" w:rsidP="00AB1FF2">
      <w:r>
        <w:t>The foreign government certificate number must be declared in the FID</w:t>
      </w:r>
      <w:r w:rsidR="007C6B75">
        <w:t>/SCL</w:t>
      </w:r>
      <w:r>
        <w:t xml:space="preserve"> for </w:t>
      </w:r>
      <w:proofErr w:type="spellStart"/>
      <w:r>
        <w:t>eCert</w:t>
      </w:r>
      <w:proofErr w:type="spellEnd"/>
      <w:r>
        <w:t xml:space="preserve">. Ensuring that the correct certificate number and document type are entered in the AQIS document </w:t>
      </w:r>
      <w:r>
        <w:lastRenderedPageBreak/>
        <w:t>number and AQIS document type fields in the ICS or relevant customs broker’s third party software assists the department in linking the electronic certificate to the consignment.</w:t>
      </w:r>
    </w:p>
    <w:p w14:paraId="2646A893" w14:textId="77777777" w:rsidR="00BB2014" w:rsidRDefault="00BB2014" w:rsidP="00BB2014">
      <w:pPr>
        <w:pStyle w:val="Heading4"/>
      </w:pPr>
      <w:r>
        <w:t>Vehicle identification Number (VIN)</w:t>
      </w:r>
    </w:p>
    <w:p w14:paraId="7FBDC546" w14:textId="08AD50E7" w:rsidR="00BB2014" w:rsidRDefault="00BB2014" w:rsidP="00AB1FF2">
      <w:r>
        <w:t>VIN</w:t>
      </w:r>
      <w:r w:rsidR="0083173B">
        <w:t xml:space="preserve">/unique identifiers must be entered in the VIN </w:t>
      </w:r>
      <w:r>
        <w:t>field of the ICS for the following commodities:</w:t>
      </w:r>
    </w:p>
    <w:p w14:paraId="2E45FF46" w14:textId="77777777" w:rsidR="00BB2014" w:rsidRDefault="00BB2014" w:rsidP="00692721">
      <w:pPr>
        <w:pStyle w:val="ListBullet"/>
      </w:pPr>
      <w:r>
        <w:t>new and used non-passenger vehicles</w:t>
      </w:r>
    </w:p>
    <w:p w14:paraId="4E5EE92F" w14:textId="77777777" w:rsidR="00BB2014" w:rsidRDefault="00BB2014" w:rsidP="00692721">
      <w:pPr>
        <w:pStyle w:val="ListBullet"/>
      </w:pPr>
      <w:r>
        <w:t>used passenger vehicles</w:t>
      </w:r>
    </w:p>
    <w:p w14:paraId="6A597E50" w14:textId="77777777" w:rsidR="00692721" w:rsidRPr="00692721" w:rsidRDefault="0035746D" w:rsidP="00E20859">
      <w:pPr>
        <w:pStyle w:val="ListParagraph"/>
        <w:keepNext/>
        <w:keepLines/>
        <w:numPr>
          <w:ilvl w:val="0"/>
          <w:numId w:val="14"/>
        </w:numPr>
        <w:spacing w:after="0" w:line="240" w:lineRule="auto"/>
        <w:contextualSpacing w:val="0"/>
        <w:outlineLvl w:val="2"/>
        <w:rPr>
          <w:rStyle w:val="Heading3Char"/>
          <w:rFonts w:eastAsiaTheme="minorHAnsi" w:cs="Times New Roman"/>
        </w:rPr>
      </w:pPr>
      <w:bookmarkStart w:id="15" w:name="_Toc487460814"/>
      <w:r w:rsidRPr="00ED75BE">
        <w:rPr>
          <w:rStyle w:val="Heading3Char"/>
          <w:rFonts w:eastAsiaTheme="minorHAnsi"/>
        </w:rPr>
        <w:t>Broker Approved Arrangement</w:t>
      </w:r>
      <w:r w:rsidR="00DC3287" w:rsidRPr="00ED75BE">
        <w:rPr>
          <w:rStyle w:val="Heading3Char"/>
          <w:rFonts w:eastAsiaTheme="minorHAnsi"/>
        </w:rPr>
        <w:t xml:space="preserve"> import declaration </w:t>
      </w:r>
      <w:r w:rsidRPr="00ED75BE">
        <w:rPr>
          <w:rStyle w:val="Heading3Char"/>
          <w:rFonts w:eastAsiaTheme="minorHAnsi"/>
        </w:rPr>
        <w:t>requirements</w:t>
      </w:r>
      <w:bookmarkEnd w:id="15"/>
    </w:p>
    <w:p w14:paraId="69371302" w14:textId="6D44E87E" w:rsidR="00D02BB4" w:rsidRPr="008123A7" w:rsidRDefault="0035746D" w:rsidP="00692721">
      <w:r w:rsidRPr="00E20859">
        <w:t xml:space="preserve">Further to the </w:t>
      </w:r>
      <w:r w:rsidR="0083173B" w:rsidRPr="00E20859">
        <w:t>o</w:t>
      </w:r>
      <w:r w:rsidRPr="00E20859">
        <w:t xml:space="preserve">verarching import declaration requirements noted in section </w:t>
      </w:r>
      <w:r w:rsidR="00692721">
        <w:fldChar w:fldCharType="begin"/>
      </w:r>
      <w:r w:rsidR="00692721">
        <w:instrText xml:space="preserve"> REF _Ref487460220 \r \h </w:instrText>
      </w:r>
      <w:r w:rsidR="00692721">
        <w:fldChar w:fldCharType="separate"/>
      </w:r>
      <w:r w:rsidR="009B43EB">
        <w:t>6</w:t>
      </w:r>
      <w:r w:rsidR="00692721">
        <w:fldChar w:fldCharType="end"/>
      </w:r>
      <w:r w:rsidR="001258D7" w:rsidRPr="00E20859">
        <w:t>,</w:t>
      </w:r>
      <w:r w:rsidRPr="00E20859">
        <w:t xml:space="preserve"> </w:t>
      </w:r>
      <w:r w:rsidR="00DC3287" w:rsidRPr="00E20859">
        <w:t>i</w:t>
      </w:r>
      <w:r w:rsidRPr="00E20859">
        <w:t>mport d</w:t>
      </w:r>
      <w:r w:rsidR="008123A7" w:rsidRPr="00E20859">
        <w:t xml:space="preserve">eclarations lodged under </w:t>
      </w:r>
      <w:r w:rsidR="00475203" w:rsidRPr="00E20859">
        <w:t>the Non commodity for containerised cargo clearance (NCCC) and Automatic entry processing for commodities (AEPCOMM)approved arrangement are r</w:t>
      </w:r>
      <w:r w:rsidR="00692721">
        <w:t xml:space="preserve">equired to answer questions and </w:t>
      </w:r>
      <w:r w:rsidR="00475203" w:rsidRPr="00E20859">
        <w:t>record informa</w:t>
      </w:r>
      <w:r w:rsidR="00692721">
        <w:t xml:space="preserve">tion in specific fields of the </w:t>
      </w:r>
      <w:r w:rsidR="00475203" w:rsidRPr="00E20859">
        <w:t>import declaration to comply with the arrangements. These details are p</w:t>
      </w:r>
      <w:r w:rsidR="00692721">
        <w:t xml:space="preserve">rovided in </w:t>
      </w:r>
      <w:r w:rsidR="002F6BB4">
        <w:t xml:space="preserve">section </w:t>
      </w:r>
      <w:r w:rsidR="002F6BB4">
        <w:fldChar w:fldCharType="begin"/>
      </w:r>
      <w:r w:rsidR="002F6BB4">
        <w:instrText xml:space="preserve"> REF _Ref487461095 \r \h </w:instrText>
      </w:r>
      <w:r w:rsidR="002F6BB4">
        <w:fldChar w:fldCharType="separate"/>
      </w:r>
      <w:r w:rsidR="009B43EB">
        <w:t>10</w:t>
      </w:r>
      <w:r w:rsidR="002F6BB4">
        <w:fldChar w:fldCharType="end"/>
      </w:r>
      <w:r w:rsidR="002F6BB4">
        <w:t xml:space="preserve"> in </w:t>
      </w:r>
      <w:r w:rsidR="00692721">
        <w:t xml:space="preserve">the class 19.1 NCCC </w:t>
      </w:r>
      <w:r w:rsidR="00475203" w:rsidRPr="00E20859">
        <w:t>and 19.2 AEPCOMM requirements documents.</w:t>
      </w:r>
      <w:r w:rsidR="00692721" w:rsidRPr="008123A7">
        <w:t xml:space="preserve"> </w:t>
      </w:r>
    </w:p>
    <w:p w14:paraId="3E715B31" w14:textId="1A7B1B62" w:rsidR="00E05229" w:rsidRPr="00E20859" w:rsidRDefault="008123A7" w:rsidP="00ED75BE">
      <w:pPr>
        <w:pStyle w:val="Heading3"/>
      </w:pPr>
      <w:bookmarkStart w:id="16" w:name="_Toc487460815"/>
      <w:r w:rsidRPr="00E20859">
        <w:t>I</w:t>
      </w:r>
      <w:r w:rsidR="00E05229" w:rsidRPr="00E20859">
        <w:t xml:space="preserve">mported Food Inspection Scheme </w:t>
      </w:r>
      <w:r w:rsidR="000A29A2" w:rsidRPr="00E20859">
        <w:t xml:space="preserve">(IFIS) </w:t>
      </w:r>
      <w:r w:rsidR="00E05229" w:rsidRPr="00E20859">
        <w:t>import declaration requirements</w:t>
      </w:r>
      <w:bookmarkEnd w:id="16"/>
    </w:p>
    <w:p w14:paraId="0BC4B0DC" w14:textId="6C8CD683" w:rsidR="00E4375B" w:rsidRPr="00ED75BE" w:rsidRDefault="00DC3287" w:rsidP="00692721">
      <w:r w:rsidRPr="00ED75BE">
        <w:t xml:space="preserve">Further to the </w:t>
      </w:r>
      <w:r w:rsidR="00A15CB5" w:rsidRPr="00ED75BE">
        <w:t>o</w:t>
      </w:r>
      <w:r w:rsidRPr="00ED75BE">
        <w:t xml:space="preserve">verarching import declaration requirements noted in section </w:t>
      </w:r>
      <w:r w:rsidR="00692721">
        <w:fldChar w:fldCharType="begin"/>
      </w:r>
      <w:r w:rsidR="00692721">
        <w:instrText xml:space="preserve"> REF _Ref487460268 \r \h  \* MERGEFORMAT </w:instrText>
      </w:r>
      <w:r w:rsidR="00692721">
        <w:fldChar w:fldCharType="separate"/>
      </w:r>
      <w:r w:rsidR="009B43EB">
        <w:t>6</w:t>
      </w:r>
      <w:r w:rsidR="00692721">
        <w:fldChar w:fldCharType="end"/>
      </w:r>
      <w:r w:rsidRPr="00ED75BE">
        <w:t xml:space="preserve">, import declarations lodged for assessment under the Imported Food Inspection Scheme </w:t>
      </w:r>
      <w:r w:rsidR="0028542D" w:rsidRPr="00ED75BE">
        <w:t>must meet the requirements outlined in this section.</w:t>
      </w:r>
    </w:p>
    <w:p w14:paraId="5AE484BA" w14:textId="13C1A0DF" w:rsidR="00E4375B" w:rsidRPr="00ED75BE" w:rsidRDefault="00E4375B" w:rsidP="00692721">
      <w:r w:rsidRPr="00ED75BE">
        <w:t>The department assesses the information lodged in a FID, the supporting commercial documentation and any government-to-government certification to ensure the correct rates of inspection and analysis are applied to each consignment.</w:t>
      </w:r>
    </w:p>
    <w:p w14:paraId="1DC4473C" w14:textId="08995124" w:rsidR="00E05229" w:rsidRPr="00ED75BE" w:rsidRDefault="00E05229" w:rsidP="00692721">
      <w:r w:rsidRPr="00ED75BE">
        <w:t>When incorrect information is identified in an import declaration that has been referred to the Imported Food Inspection Scheme, the department will issue a food control certificate to advise the customs broker or importer that an amendment must be made to one or more fields. The goods must remain on hold and the import declaration will not be processed or an inspection booked until the amended import declaration is received in the department</w:t>
      </w:r>
      <w:r w:rsidR="00702914" w:rsidRPr="00ED75BE">
        <w:t>’</w:t>
      </w:r>
      <w:r w:rsidRPr="00ED75BE">
        <w:t>s system.</w:t>
      </w:r>
    </w:p>
    <w:p w14:paraId="0DED99DF" w14:textId="3F7C07B4" w:rsidR="00E05229" w:rsidRDefault="00E05229" w:rsidP="00692721">
      <w:r>
        <w:t xml:space="preserve">The department may request </w:t>
      </w:r>
      <w:r w:rsidR="00E4375B">
        <w:t xml:space="preserve">the customs broker to make </w:t>
      </w:r>
      <w:r>
        <w:t>an amendment to</w:t>
      </w:r>
      <w:r w:rsidR="00E4375B">
        <w:t xml:space="preserve"> the following fields in a Full Import Declaration FID</w:t>
      </w:r>
      <w:r>
        <w:t>:</w:t>
      </w:r>
    </w:p>
    <w:p w14:paraId="6F34C804" w14:textId="77777777" w:rsidR="00E05229" w:rsidRDefault="00E05229" w:rsidP="00692721">
      <w:pPr>
        <w:pStyle w:val="ListBullet"/>
      </w:pPr>
      <w:r>
        <w:t>AQIS producer code</w:t>
      </w:r>
    </w:p>
    <w:p w14:paraId="56EA30A5" w14:textId="77777777" w:rsidR="00E05229" w:rsidRDefault="00E05229" w:rsidP="00692721">
      <w:pPr>
        <w:pStyle w:val="ListBullet"/>
      </w:pPr>
      <w:r>
        <w:t>AQIS document type</w:t>
      </w:r>
    </w:p>
    <w:p w14:paraId="7159190F" w14:textId="77777777" w:rsidR="00E05229" w:rsidRDefault="00E05229" w:rsidP="00692721">
      <w:pPr>
        <w:pStyle w:val="ListBullet"/>
      </w:pPr>
      <w:r>
        <w:t>AQIS document number</w:t>
      </w:r>
    </w:p>
    <w:p w14:paraId="02233C9B" w14:textId="24ACAAF3" w:rsidR="00E4375B" w:rsidRDefault="00E05229" w:rsidP="00692721">
      <w:pPr>
        <w:pStyle w:val="ListBullet"/>
      </w:pPr>
      <w:r>
        <w:t>IFIS community protection questions.</w:t>
      </w:r>
      <w:r w:rsidR="00EB56E3">
        <w:t xml:space="preserve"> </w:t>
      </w:r>
    </w:p>
    <w:p w14:paraId="73385087" w14:textId="3B460EB8" w:rsidR="00C87CD6" w:rsidRPr="00ED75BE" w:rsidRDefault="00E4375B" w:rsidP="00ED75BE">
      <w:pPr>
        <w:pStyle w:val="NoteHeading"/>
      </w:pPr>
      <w:r w:rsidRPr="00692721">
        <w:rPr>
          <w:b/>
        </w:rPr>
        <w:t>Note</w:t>
      </w:r>
      <w:r w:rsidRPr="00ED75BE">
        <w:t>: Officers do not have access to amend any of the fields in a FID and will not manually adjust departmental records to accommodate or rectify incorrect information that has been lodged in a FID.</w:t>
      </w:r>
      <w:r w:rsidR="00C87CD6" w:rsidRPr="00ED75BE">
        <w:t xml:space="preserve"> </w:t>
      </w:r>
    </w:p>
    <w:p w14:paraId="410E5F96" w14:textId="63B0ECFF" w:rsidR="000A29A2" w:rsidRDefault="000A29A2" w:rsidP="000A29A2">
      <w:pPr>
        <w:pStyle w:val="Heading4"/>
      </w:pPr>
      <w:r>
        <w:t>Answering IFIS Community protection (CP) profile questions</w:t>
      </w:r>
    </w:p>
    <w:p w14:paraId="2D5BCA38" w14:textId="241448FB" w:rsidR="00C87CD6" w:rsidRPr="00ED75BE" w:rsidRDefault="00C87CD6" w:rsidP="00692721">
      <w:r w:rsidRPr="00ED75BE">
        <w:lastRenderedPageBreak/>
        <w:t xml:space="preserve">Where the department identifies that a customs broker or importer is lodging incorrect information in a FID or answering the Imported Food Inspection Scheme </w:t>
      </w:r>
      <w:proofErr w:type="spellStart"/>
      <w:r w:rsidRPr="00ED75BE">
        <w:t>Lodgment</w:t>
      </w:r>
      <w:proofErr w:type="spellEnd"/>
      <w:r w:rsidRPr="00ED75BE">
        <w:t xml:space="preserve"> Questions incorrectly, this will be viewed as a noncompliance an</w:t>
      </w:r>
      <w:r w:rsidR="00ED75BE" w:rsidRPr="00ED75BE">
        <w:t>d the details will be recorded.</w:t>
      </w:r>
      <w:r w:rsidRPr="00ED75BE">
        <w:t xml:space="preserve"> The customs broker, importer and consignment details may also be referred to the department's Enforcement area for further action.  </w:t>
      </w:r>
    </w:p>
    <w:p w14:paraId="59F3E7BC" w14:textId="3569A069" w:rsidR="00C87CD6" w:rsidRDefault="00C87CD6" w:rsidP="00692721">
      <w:pPr>
        <w:rPr>
          <w:lang w:val="en" w:eastAsia="en-AU"/>
        </w:rPr>
      </w:pPr>
      <w:r w:rsidRPr="00ED75BE">
        <w:t>For further information about Imported Food Inspection Scheme lodgement questions</w:t>
      </w:r>
      <w:r w:rsidRPr="003C63D5">
        <w:rPr>
          <w:lang w:val="en" w:eastAsia="en-AU"/>
        </w:rPr>
        <w:t xml:space="preserve"> please refer to the departments website</w:t>
      </w:r>
      <w:r>
        <w:rPr>
          <w:rFonts w:asciiTheme="minorHAnsi" w:hAnsiTheme="minorHAnsi"/>
          <w:color w:val="1F497D"/>
        </w:rPr>
        <w:t xml:space="preserve"> - </w:t>
      </w:r>
      <w:hyperlink r:id="rId32" w:anchor="ifis-lodgement-questions-community-protection-questions" w:history="1">
        <w:r>
          <w:rPr>
            <w:rStyle w:val="Hyperlink"/>
            <w:rFonts w:asciiTheme="minorHAnsi" w:hAnsiTheme="minorHAnsi"/>
          </w:rPr>
          <w:t xml:space="preserve">Lodging </w:t>
        </w:r>
        <w:r w:rsidRPr="003C63D5">
          <w:rPr>
            <w:rStyle w:val="Hyperlink"/>
          </w:rPr>
          <w:t>import</w:t>
        </w:r>
        <w:r>
          <w:rPr>
            <w:rStyle w:val="Hyperlink"/>
            <w:rFonts w:asciiTheme="minorHAnsi" w:hAnsiTheme="minorHAnsi"/>
          </w:rPr>
          <w:t xml:space="preserve"> declarations and documentation</w:t>
        </w:r>
      </w:hyperlink>
    </w:p>
    <w:p w14:paraId="4E81B48F" w14:textId="77777777" w:rsidR="00E05229" w:rsidRDefault="00E05229" w:rsidP="009D5AF4">
      <w:pPr>
        <w:pStyle w:val="Heading4"/>
      </w:pPr>
      <w:r>
        <w:t>Declaring the producer of imported food</w:t>
      </w:r>
    </w:p>
    <w:p w14:paraId="60F8A74A" w14:textId="77777777" w:rsidR="00E05229" w:rsidRDefault="00E05229" w:rsidP="00692721">
      <w:r>
        <w:t xml:space="preserve">The producer must be declared for all imported food consignments that are lodged in a </w:t>
      </w:r>
      <w:r w:rsidR="00F705AC">
        <w:t xml:space="preserve">Full Import Declaration </w:t>
      </w:r>
      <w:r>
        <w:t>FID.</w:t>
      </w:r>
    </w:p>
    <w:p w14:paraId="3E36BDD1" w14:textId="77777777" w:rsidR="00E05229" w:rsidRDefault="00E05229" w:rsidP="00692721">
      <w:r>
        <w:t>The producer is used to determine the appropriate rate of inspection for an imported food, based on the compliance of previous consignments referred to the Imported Food Inspection Scheme.</w:t>
      </w:r>
    </w:p>
    <w:p w14:paraId="551CBF09" w14:textId="723A6690" w:rsidR="00E05229" w:rsidRDefault="00E05229" w:rsidP="00692721">
      <w:pPr>
        <w:rPr>
          <w:rStyle w:val="Hyperlink"/>
        </w:rPr>
      </w:pPr>
      <w:r>
        <w:t xml:space="preserve">More information about declaring the producer of imported food is available on the </w:t>
      </w:r>
      <w:hyperlink r:id="rId33" w:history="1">
        <w:r w:rsidR="00116D23">
          <w:rPr>
            <w:rStyle w:val="Hyperlink"/>
          </w:rPr>
          <w:t>department’s website.</w:t>
        </w:r>
      </w:hyperlink>
    </w:p>
    <w:p w14:paraId="4AD99A61" w14:textId="77777777" w:rsidR="00E05229" w:rsidRDefault="00E05229" w:rsidP="00D43C74">
      <w:pPr>
        <w:pStyle w:val="Heading3"/>
      </w:pPr>
      <w:bookmarkStart w:id="17" w:name="_Toc487460816"/>
      <w:r>
        <w:t>Other considerations</w:t>
      </w:r>
      <w:bookmarkEnd w:id="17"/>
    </w:p>
    <w:p w14:paraId="19045A7A" w14:textId="77777777" w:rsidR="0025079F" w:rsidRDefault="00E05229" w:rsidP="0025079F">
      <w:pPr>
        <w:pStyle w:val="Heading4"/>
        <w:keepNext/>
      </w:pPr>
      <w:r>
        <w:t>Declaring the date of export</w:t>
      </w:r>
    </w:p>
    <w:p w14:paraId="570FA8A0" w14:textId="7DBC54F4" w:rsidR="00E05229" w:rsidRDefault="003E5225" w:rsidP="00692721">
      <w:r>
        <w:t>Import conditions for certain classes of goods</w:t>
      </w:r>
      <w:r w:rsidR="00E05229">
        <w:t xml:space="preserve"> stipulate that offshore </w:t>
      </w:r>
      <w:r>
        <w:t>treatments must have been conducted in the</w:t>
      </w:r>
      <w:r w:rsidR="00E05229">
        <w:t xml:space="preserve"> country of origin/manufacture </w:t>
      </w:r>
      <w:r>
        <w:t xml:space="preserve">within a </w:t>
      </w:r>
      <w:r w:rsidR="00154C3E">
        <w:t>specified</w:t>
      </w:r>
      <w:r>
        <w:t xml:space="preserve"> time period prior to export</w:t>
      </w:r>
    </w:p>
    <w:p w14:paraId="0EC4E5B5" w14:textId="77777777" w:rsidR="00E05229" w:rsidRDefault="00E05229" w:rsidP="00692721">
      <w:r>
        <w:t>The department requires documentary evidence confirming that the consignment has met these requirements.</w:t>
      </w:r>
    </w:p>
    <w:p w14:paraId="32AD1397" w14:textId="3C1FC698" w:rsidR="00E05229" w:rsidRDefault="00702914" w:rsidP="00692721">
      <w:r>
        <w:t>To demonstrate t</w:t>
      </w:r>
      <w:r w:rsidR="00E05229">
        <w:t>he date of export, in accordance with the definition of export:</w:t>
      </w:r>
    </w:p>
    <w:p w14:paraId="34D56298" w14:textId="014D28DC" w:rsidR="00E05229" w:rsidRDefault="00E05229" w:rsidP="00692721">
      <w:pPr>
        <w:pStyle w:val="ListBullet"/>
      </w:pPr>
      <w:r>
        <w:t xml:space="preserve">when a consignment is lodged with the freight forwarder, shipping </w:t>
      </w:r>
      <w:r w:rsidR="00692721">
        <w:t>c</w:t>
      </w:r>
      <w:r>
        <w:t>ompany/airline, charter operator or an appointed agent in the country of origin, for ultimate destination in Australia either:</w:t>
      </w:r>
    </w:p>
    <w:p w14:paraId="793439C8" w14:textId="77777777" w:rsidR="00E05229" w:rsidRDefault="00E05229" w:rsidP="00692721">
      <w:pPr>
        <w:pStyle w:val="ListBullet2"/>
      </w:pPr>
      <w:r>
        <w:t>provide a declaration on the bill of lading stating the date the container was lodged with/received by the freight forwarder</w:t>
      </w:r>
    </w:p>
    <w:p w14:paraId="6399A251" w14:textId="77777777" w:rsidR="00E05229" w:rsidRDefault="00E05229" w:rsidP="00692721">
      <w:pPr>
        <w:pStyle w:val="ListBullet2"/>
      </w:pPr>
      <w:r>
        <w:t>a bill of lading stating the date the container was received</w:t>
      </w:r>
    </w:p>
    <w:p w14:paraId="17F4F696" w14:textId="77777777" w:rsidR="00E05229" w:rsidRDefault="00702914" w:rsidP="00692721">
      <w:pPr>
        <w:pStyle w:val="ListBullet2"/>
      </w:pPr>
      <w:r>
        <w:t>a</w:t>
      </w:r>
      <w:r w:rsidR="00E05229">
        <w:t xml:space="preserve"> gate in gate out certificate</w:t>
      </w:r>
    </w:p>
    <w:p w14:paraId="5BEFD1A9" w14:textId="53877F5C" w:rsidR="00F6676D" w:rsidRDefault="00F6676D" w:rsidP="00692721">
      <w:pPr>
        <w:pStyle w:val="ListBullet2"/>
      </w:pPr>
      <w:r>
        <w:t xml:space="preserve">a forwarders </w:t>
      </w:r>
      <w:r w:rsidR="000729B5">
        <w:t>cargo</w:t>
      </w:r>
      <w:r>
        <w:t xml:space="preserve"> receipt</w:t>
      </w:r>
    </w:p>
    <w:p w14:paraId="2BA4A751" w14:textId="77777777" w:rsidR="00E05229" w:rsidRDefault="00E05229" w:rsidP="00692721">
      <w:pPr>
        <w:pStyle w:val="ListBullet"/>
      </w:pPr>
      <w:r>
        <w:t>when a consignment is shipped on board the vessel</w:t>
      </w:r>
    </w:p>
    <w:p w14:paraId="66B3AB8F" w14:textId="77777777" w:rsidR="00E05229" w:rsidRDefault="00E05229" w:rsidP="00692721">
      <w:pPr>
        <w:pStyle w:val="ListBullet2"/>
      </w:pPr>
      <w:r>
        <w:t>provide a shipped on board date on the bill of lading</w:t>
      </w:r>
    </w:p>
    <w:p w14:paraId="15C984B0" w14:textId="77777777" w:rsidR="00E05229" w:rsidRDefault="00E05229" w:rsidP="00692721">
      <w:pPr>
        <w:pStyle w:val="ListBullet"/>
      </w:pPr>
      <w:r>
        <w:t>when a consignment is packed in a container and sealed in preparation for export</w:t>
      </w:r>
    </w:p>
    <w:p w14:paraId="6EF41173" w14:textId="77777777" w:rsidR="00E05229" w:rsidRDefault="00E05229" w:rsidP="00692721">
      <w:pPr>
        <w:pStyle w:val="ListBullet2"/>
      </w:pPr>
      <w:r>
        <w:t>provide a declaration from the freight forwarder stating:</w:t>
      </w:r>
    </w:p>
    <w:p w14:paraId="244E6DDA" w14:textId="77777777" w:rsidR="004C7BB1" w:rsidRDefault="00E05229" w:rsidP="00692721">
      <w:pPr>
        <w:pStyle w:val="ListBullet3"/>
      </w:pPr>
      <w:r>
        <w:t>the container/s numbers</w:t>
      </w:r>
    </w:p>
    <w:p w14:paraId="6FD90E72" w14:textId="77777777" w:rsidR="004C7BB1" w:rsidRDefault="00E05229" w:rsidP="00692721">
      <w:pPr>
        <w:pStyle w:val="ListBullet3"/>
      </w:pPr>
      <w:r>
        <w:t>the date the container/s was packed</w:t>
      </w:r>
    </w:p>
    <w:p w14:paraId="750C2BD7" w14:textId="77777777" w:rsidR="004C7BB1" w:rsidRDefault="00E05229" w:rsidP="00692721">
      <w:pPr>
        <w:pStyle w:val="ListBullet3"/>
      </w:pPr>
      <w:proofErr w:type="gramStart"/>
      <w:r>
        <w:t>the</w:t>
      </w:r>
      <w:proofErr w:type="gramEnd"/>
      <w:r>
        <w:t xml:space="preserve"> date the container/s was sealed noting the seal number/s.</w:t>
      </w:r>
    </w:p>
    <w:p w14:paraId="6EFABDD4" w14:textId="77777777" w:rsidR="00E05229" w:rsidRDefault="00E05229" w:rsidP="00692721">
      <w:r>
        <w:lastRenderedPageBreak/>
        <w:t xml:space="preserve">This freight forwarder declaration must accompany a </w:t>
      </w:r>
      <w:r w:rsidR="00BB6E99">
        <w:t>b</w:t>
      </w:r>
      <w:r>
        <w:t xml:space="preserve">ill of </w:t>
      </w:r>
      <w:r w:rsidR="00BB6E99">
        <w:t>l</w:t>
      </w:r>
      <w:r>
        <w:t>ading linked with the container number/s</w:t>
      </w:r>
      <w:r w:rsidR="00A41B4A">
        <w:t>.</w:t>
      </w:r>
    </w:p>
    <w:p w14:paraId="24516F6B" w14:textId="77777777" w:rsidR="00E05229" w:rsidRDefault="00E05229" w:rsidP="00D43C74">
      <w:pPr>
        <w:pStyle w:val="Heading4"/>
      </w:pPr>
      <w:r>
        <w:t>Previously accepted documents</w:t>
      </w:r>
    </w:p>
    <w:p w14:paraId="632C2A05" w14:textId="102DBE8C" w:rsidR="00E05229" w:rsidRDefault="00E05229" w:rsidP="00692721">
      <w:r>
        <w:t xml:space="preserve">Where application of this policy would prevent a previously acceptable document from being accepted, the </w:t>
      </w:r>
      <w:r w:rsidR="00830851">
        <w:t>biosecurity officer</w:t>
      </w:r>
      <w:r>
        <w:t xml:space="preserve"> is to consult their supervisor/manager </w:t>
      </w:r>
      <w:r w:rsidR="00BB6E99">
        <w:t>before</w:t>
      </w:r>
      <w:r>
        <w:t xml:space="preserve"> contacting the Compliance Assessment and Management Section for clarification.</w:t>
      </w:r>
    </w:p>
    <w:p w14:paraId="3054ECF7" w14:textId="77777777" w:rsidR="00E05229" w:rsidRDefault="00E05229" w:rsidP="00D43C74">
      <w:pPr>
        <w:pStyle w:val="Heading4"/>
      </w:pPr>
      <w:r>
        <w:t>New document class</w:t>
      </w:r>
    </w:p>
    <w:p w14:paraId="45138FD4" w14:textId="77777777" w:rsidR="00E05229" w:rsidRDefault="00E05229" w:rsidP="00692721">
      <w:r>
        <w:t xml:space="preserve">When a new document class or type is created, </w:t>
      </w:r>
      <w:r w:rsidR="00BB6E99">
        <w:t xml:space="preserve">the department </w:t>
      </w:r>
      <w:r w:rsidR="00365C9E">
        <w:t>will</w:t>
      </w:r>
      <w:r w:rsidR="00BB6E99">
        <w:t xml:space="preserve"> </w:t>
      </w:r>
      <w:r>
        <w:t>review</w:t>
      </w:r>
      <w:r w:rsidR="00BB6E99">
        <w:t xml:space="preserve"> it</w:t>
      </w:r>
      <w:r>
        <w:t xml:space="preserve"> against and incorporate</w:t>
      </w:r>
      <w:r w:rsidR="00BB6E99">
        <w:t xml:space="preserve"> it </w:t>
      </w:r>
      <w:r>
        <w:t>into this policy to ensure the requirements of the policy can continue to be met.</w:t>
      </w:r>
    </w:p>
    <w:p w14:paraId="1A819887" w14:textId="77777777" w:rsidR="00E05229" w:rsidRDefault="00E05229" w:rsidP="00D43C74">
      <w:pPr>
        <w:pStyle w:val="Heading4"/>
      </w:pPr>
      <w:r>
        <w:t>Periodic review</w:t>
      </w:r>
    </w:p>
    <w:p w14:paraId="78C524B8" w14:textId="77777777" w:rsidR="00E05229" w:rsidRDefault="00BB6E99" w:rsidP="00692721">
      <w:r>
        <w:t>The department will review t</w:t>
      </w:r>
      <w:r w:rsidR="00E05229">
        <w:t>his policy every three years or as required.</w:t>
      </w:r>
    </w:p>
    <w:p w14:paraId="3E1E9118" w14:textId="77777777" w:rsidR="00E05229" w:rsidRDefault="00E05229" w:rsidP="00692721">
      <w:r>
        <w:t xml:space="preserve">The department welcomes feedback at any time and may conduct a review earlier if required to ensure the requirements outlined in this document reflect </w:t>
      </w:r>
      <w:r w:rsidR="00BB6E99">
        <w:t xml:space="preserve">current </w:t>
      </w:r>
      <w:r>
        <w:t>business practices.</w:t>
      </w:r>
    </w:p>
    <w:p w14:paraId="488526C8" w14:textId="77777777" w:rsidR="003B2362" w:rsidRDefault="003B2362" w:rsidP="003B2362">
      <w:pPr>
        <w:pStyle w:val="Heading4"/>
      </w:pPr>
      <w:r>
        <w:t>Consultation</w:t>
      </w:r>
    </w:p>
    <w:p w14:paraId="372DA5AB" w14:textId="77777777" w:rsidR="003B2362" w:rsidRDefault="003B2362" w:rsidP="003B2362">
      <w:pPr>
        <w:pStyle w:val="NormalIndent1"/>
      </w:pPr>
      <w:r>
        <w:t>All changes made to this policy are subject to consultation with departmental policy and service delivery staff as well as with key industry stakeholders.</w:t>
      </w:r>
    </w:p>
    <w:p w14:paraId="148835D0" w14:textId="77777777" w:rsidR="003B2362" w:rsidRDefault="003B2362" w:rsidP="00692721"/>
    <w:p w14:paraId="35B10F13" w14:textId="77777777" w:rsidR="00E05229" w:rsidRDefault="00E05229" w:rsidP="00D43C74">
      <w:pPr>
        <w:pStyle w:val="Heading3"/>
      </w:pPr>
      <w:bookmarkStart w:id="18" w:name="_Toc487460817"/>
      <w:bookmarkStart w:id="19" w:name="_Ref487461095"/>
      <w:r>
        <w:t>Related documents/information</w:t>
      </w:r>
      <w:bookmarkEnd w:id="18"/>
      <w:bookmarkEnd w:id="19"/>
    </w:p>
    <w:p w14:paraId="649C1F12" w14:textId="77777777" w:rsidR="00E05229" w:rsidRDefault="00E05229" w:rsidP="00D43C74">
      <w:pPr>
        <w:pStyle w:val="Heading4"/>
      </w:pPr>
      <w:r>
        <w:t>Non commodity information requirements</w:t>
      </w:r>
    </w:p>
    <w:p w14:paraId="5460E734" w14:textId="45F3B755" w:rsidR="00E05229" w:rsidRDefault="00E05229" w:rsidP="00692721">
      <w:r>
        <w:t xml:space="preserve">Applicable statements for </w:t>
      </w:r>
      <w:proofErr w:type="spellStart"/>
      <w:r>
        <w:t>non commodity</w:t>
      </w:r>
      <w:proofErr w:type="spellEnd"/>
      <w:r>
        <w:t xml:space="preserve"> concerns must be as per the Non-</w:t>
      </w:r>
      <w:r w:rsidR="00E05551">
        <w:t>c</w:t>
      </w:r>
      <w:r>
        <w:t xml:space="preserve">ommodity </w:t>
      </w:r>
      <w:r w:rsidR="00E05551">
        <w:t>i</w:t>
      </w:r>
      <w:r>
        <w:t xml:space="preserve">nformation </w:t>
      </w:r>
      <w:r w:rsidR="00E05551">
        <w:t>r</w:t>
      </w:r>
      <w:r>
        <w:t xml:space="preserve">equirements </w:t>
      </w:r>
      <w:r w:rsidR="00E05551">
        <w:t>p</w:t>
      </w:r>
      <w:r>
        <w:t xml:space="preserve">olicy. Example templates of acceptable documentation are provided on the </w:t>
      </w:r>
      <w:hyperlink r:id="rId34" w:history="1">
        <w:r w:rsidR="00F705AC">
          <w:rPr>
            <w:rStyle w:val="Hyperlink"/>
          </w:rPr>
          <w:t>Acceptable documentation templates</w:t>
        </w:r>
      </w:hyperlink>
      <w:r>
        <w:t xml:space="preserve"> </w:t>
      </w:r>
      <w:r w:rsidR="008964FA">
        <w:t xml:space="preserve">page </w:t>
      </w:r>
      <w:r>
        <w:t>of the department’s website.</w:t>
      </w:r>
    </w:p>
    <w:p w14:paraId="2492A4C9" w14:textId="31CD13BE" w:rsidR="004C7BB1" w:rsidRDefault="00C923D9">
      <w:pPr>
        <w:pStyle w:val="Heading4"/>
        <w:keepNext/>
      </w:pPr>
      <w:r>
        <w:t>Approved arrangement</w:t>
      </w:r>
      <w:r w:rsidR="00E05229">
        <w:t xml:space="preserve"> documentation</w:t>
      </w:r>
    </w:p>
    <w:p w14:paraId="28C88644" w14:textId="1DE993C1" w:rsidR="00E05229" w:rsidRDefault="00E05229" w:rsidP="00692721">
      <w:r>
        <w:t xml:space="preserve">This policy document should be read in conjunction with </w:t>
      </w:r>
      <w:r w:rsidR="00F97CD6">
        <w:t xml:space="preserve">the following Approved Arrangement </w:t>
      </w:r>
      <w:proofErr w:type="gramStart"/>
      <w:r w:rsidR="00F97CD6">
        <w:t xml:space="preserve">requirements </w:t>
      </w:r>
      <w:r>
        <w:t>:</w:t>
      </w:r>
      <w:proofErr w:type="gramEnd"/>
    </w:p>
    <w:p w14:paraId="2FD3B0FA" w14:textId="059E6291" w:rsidR="00E05229" w:rsidRPr="003C63D5" w:rsidRDefault="00D46D13" w:rsidP="00692721">
      <w:pPr>
        <w:pStyle w:val="ListBullet"/>
        <w:rPr>
          <w:rStyle w:val="Hyperlink"/>
          <w:color w:val="auto"/>
          <w:u w:val="none"/>
        </w:rPr>
      </w:pPr>
      <w:hyperlink r:id="rId35" w:history="1">
        <w:r w:rsidR="00F97CD6">
          <w:rPr>
            <w:rStyle w:val="Hyperlink"/>
            <w:rFonts w:ascii="Calibri" w:hAnsi="Calibri" w:cs="Segoe UI"/>
            <w:sz w:val="20"/>
            <w:szCs w:val="20"/>
          </w:rPr>
          <w:t>Approved Arrangement Class 19.1 - Non-commodity for containerised cargo clearance - requirements</w:t>
        </w:r>
      </w:hyperlink>
      <w:r w:rsidR="00F97CD6">
        <w:rPr>
          <w:rStyle w:val="Hyperlink"/>
        </w:rPr>
        <w:t xml:space="preserve"> </w:t>
      </w:r>
    </w:p>
    <w:p w14:paraId="67392B3A" w14:textId="5D10AFAE" w:rsidR="00E05229" w:rsidRDefault="00D46D13" w:rsidP="00692721">
      <w:pPr>
        <w:pStyle w:val="ListBullet"/>
      </w:pPr>
      <w:hyperlink r:id="rId36" w:history="1">
        <w:r w:rsidR="00F97CD6">
          <w:rPr>
            <w:rStyle w:val="Hyperlink"/>
            <w:rFonts w:ascii="Calibri" w:hAnsi="Calibri" w:cs="Segoe UI"/>
            <w:sz w:val="20"/>
            <w:szCs w:val="20"/>
          </w:rPr>
          <w:t>Approved Arrangement Class19.2 Automatic entry processing for commodities - requirements</w:t>
        </w:r>
      </w:hyperlink>
    </w:p>
    <w:sectPr w:rsidR="00E05229" w:rsidSect="00D4458C">
      <w:headerReference w:type="first" r:id="rId37"/>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9DEF4" w14:textId="77777777" w:rsidR="00DC24E4" w:rsidRDefault="00DC24E4" w:rsidP="00267841">
      <w:r>
        <w:separator/>
      </w:r>
    </w:p>
    <w:p w14:paraId="2F1AEE3D" w14:textId="77777777" w:rsidR="00DC24E4" w:rsidRDefault="00DC24E4"/>
  </w:endnote>
  <w:endnote w:type="continuationSeparator" w:id="0">
    <w:p w14:paraId="2451446B" w14:textId="77777777" w:rsidR="00DC24E4" w:rsidRDefault="00DC24E4" w:rsidP="00267841">
      <w:r>
        <w:continuationSeparator/>
      </w:r>
    </w:p>
    <w:p w14:paraId="5CBA7956" w14:textId="77777777" w:rsidR="00DC24E4" w:rsidRDefault="00DC24E4"/>
  </w:endnote>
  <w:endnote w:type="continuationNotice" w:id="1">
    <w:p w14:paraId="09911AA3" w14:textId="77777777" w:rsidR="00DC24E4" w:rsidRPr="00696C70" w:rsidRDefault="00DC24E4" w:rsidP="00267841">
      <w:pPr>
        <w:pStyle w:val="Footer"/>
      </w:pPr>
    </w:p>
    <w:p w14:paraId="1EB78DBF" w14:textId="77777777" w:rsidR="00DC24E4" w:rsidRDefault="00DC24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0D8EE" w14:textId="77777777" w:rsidR="00DC24E4" w:rsidRDefault="00DC24E4">
    <w:pPr>
      <w:pStyle w:val="Footer"/>
      <w:tabs>
        <w:tab w:val="clear" w:pos="4536"/>
        <w:tab w:val="right" w:pos="9072"/>
      </w:tabs>
    </w:pPr>
    <w:r>
      <w:t>Australian Government Department of Agriculture and Water Resources</w:t>
    </w:r>
  </w:p>
  <w:p w14:paraId="1B6ED737" w14:textId="77777777" w:rsidR="00DC24E4" w:rsidRDefault="00DC24E4" w:rsidP="0025079F">
    <w:pPr>
      <w:pStyle w:val="Footer"/>
      <w:tabs>
        <w:tab w:val="clear" w:pos="4536"/>
        <w:tab w:val="right" w:pos="9072"/>
      </w:tabs>
    </w:pPr>
    <w:r>
      <w:fldChar w:fldCharType="begin"/>
    </w:r>
    <w:r>
      <w:instrText xml:space="preserve"> PAGE   \* MERGEFORMAT </w:instrText>
    </w:r>
    <w:r>
      <w:fldChar w:fldCharType="separate"/>
    </w:r>
    <w:r w:rsidR="00D46D13">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6E09F" w14:textId="77777777" w:rsidR="00DC24E4" w:rsidRDefault="00DC24E4" w:rsidP="00267841">
      <w:r>
        <w:separator/>
      </w:r>
    </w:p>
    <w:p w14:paraId="1F33DDE0" w14:textId="77777777" w:rsidR="00DC24E4" w:rsidRDefault="00DC24E4"/>
  </w:footnote>
  <w:footnote w:type="continuationSeparator" w:id="0">
    <w:p w14:paraId="066E7070" w14:textId="77777777" w:rsidR="00DC24E4" w:rsidRDefault="00DC24E4" w:rsidP="00267841">
      <w:r>
        <w:continuationSeparator/>
      </w:r>
    </w:p>
    <w:p w14:paraId="55DC3E72" w14:textId="77777777" w:rsidR="00DC24E4" w:rsidRDefault="00DC24E4"/>
  </w:footnote>
  <w:footnote w:type="continuationNotice" w:id="1">
    <w:p w14:paraId="2CC1292C" w14:textId="77777777" w:rsidR="00DC24E4" w:rsidRPr="00310C6A" w:rsidRDefault="00DC24E4" w:rsidP="00267841">
      <w:pPr>
        <w:pStyle w:val="Footer"/>
      </w:pPr>
    </w:p>
    <w:p w14:paraId="095559F9" w14:textId="77777777" w:rsidR="00DC24E4" w:rsidRDefault="00DC24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B1A0F" w14:textId="77777777" w:rsidR="00DC24E4" w:rsidRDefault="00DC24E4" w:rsidP="00267841">
    <w:pPr>
      <w:pStyle w:val="Header"/>
    </w:pPr>
    <w:r>
      <w:t>Minimum documentary and import declaration requirements policy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9BE74" w14:textId="77777777" w:rsidR="00DC24E4" w:rsidRDefault="00DC24E4" w:rsidP="00C16FC4">
    <w:pPr>
      <w:pStyle w:val="Header"/>
      <w:jc w:val="left"/>
    </w:pPr>
    <w:r>
      <w:rPr>
        <w:noProof/>
        <w:lang w:eastAsia="en-AU"/>
      </w:rPr>
      <w:drawing>
        <wp:anchor distT="0" distB="0" distL="114300" distR="114300" simplePos="0" relativeHeight="251658240" behindDoc="1" locked="0" layoutInCell="1" allowOverlap="1" wp14:anchorId="316D46E1" wp14:editId="01986773">
          <wp:simplePos x="0" y="0"/>
          <wp:positionH relativeFrom="margin">
            <wp:align>left</wp:align>
          </wp:positionH>
          <wp:positionV relativeFrom="paragraph">
            <wp:posOffset>-248285</wp:posOffset>
          </wp:positionV>
          <wp:extent cx="2437765" cy="828040"/>
          <wp:effectExtent l="0" t="0" r="635" b="0"/>
          <wp:wrapNone/>
          <wp:docPr id="3" name="Picture 1" descr="Logo of the Australian Government 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0058" cy="832121"/>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2D4E9" w14:textId="77777777" w:rsidR="00DC24E4" w:rsidRDefault="00DC24E4" w:rsidP="00C16FC4">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F2A0E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32A3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3" w15:restartNumberingAfterBreak="0">
    <w:nsid w:val="FFFFFF80"/>
    <w:multiLevelType w:val="singleLevel"/>
    <w:tmpl w:val="C4E28638"/>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5BB0E61C"/>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BE23120"/>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FCA091A"/>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1654EAD2"/>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8" w15:restartNumberingAfterBreak="0">
    <w:nsid w:val="00000402"/>
    <w:multiLevelType w:val="multilevel"/>
    <w:tmpl w:val="00000885"/>
    <w:lvl w:ilvl="0">
      <w:numFmt w:val="bullet"/>
      <w:lvlText w:val="-"/>
      <w:lvlJc w:val="left"/>
      <w:pPr>
        <w:ind w:left="835" w:hanging="720"/>
      </w:pPr>
      <w:rPr>
        <w:rFonts w:ascii="Times New Roman" w:hAnsi="Times New Roman" w:cs="Times New Roman"/>
        <w:b w:val="0"/>
        <w:bCs w:val="0"/>
        <w:w w:val="99"/>
        <w:sz w:val="20"/>
        <w:szCs w:val="20"/>
      </w:rPr>
    </w:lvl>
    <w:lvl w:ilvl="1">
      <w:numFmt w:val="bullet"/>
      <w:lvlText w:val="•"/>
      <w:lvlJc w:val="left"/>
      <w:pPr>
        <w:ind w:left="1676" w:hanging="720"/>
      </w:pPr>
    </w:lvl>
    <w:lvl w:ilvl="2">
      <w:numFmt w:val="bullet"/>
      <w:lvlText w:val="•"/>
      <w:lvlJc w:val="left"/>
      <w:pPr>
        <w:ind w:left="2512" w:hanging="720"/>
      </w:pPr>
    </w:lvl>
    <w:lvl w:ilvl="3">
      <w:numFmt w:val="bullet"/>
      <w:lvlText w:val="•"/>
      <w:lvlJc w:val="left"/>
      <w:pPr>
        <w:ind w:left="3348" w:hanging="720"/>
      </w:pPr>
    </w:lvl>
    <w:lvl w:ilvl="4">
      <w:numFmt w:val="bullet"/>
      <w:lvlText w:val="•"/>
      <w:lvlJc w:val="left"/>
      <w:pPr>
        <w:ind w:left="4184" w:hanging="720"/>
      </w:pPr>
    </w:lvl>
    <w:lvl w:ilvl="5">
      <w:numFmt w:val="bullet"/>
      <w:lvlText w:val="•"/>
      <w:lvlJc w:val="left"/>
      <w:pPr>
        <w:ind w:left="5020" w:hanging="720"/>
      </w:pPr>
    </w:lvl>
    <w:lvl w:ilvl="6">
      <w:numFmt w:val="bullet"/>
      <w:lvlText w:val="•"/>
      <w:lvlJc w:val="left"/>
      <w:pPr>
        <w:ind w:left="5856" w:hanging="720"/>
      </w:pPr>
    </w:lvl>
    <w:lvl w:ilvl="7">
      <w:numFmt w:val="bullet"/>
      <w:lvlText w:val="•"/>
      <w:lvlJc w:val="left"/>
      <w:pPr>
        <w:ind w:left="6692" w:hanging="720"/>
      </w:pPr>
    </w:lvl>
    <w:lvl w:ilvl="8">
      <w:numFmt w:val="bullet"/>
      <w:lvlText w:val="•"/>
      <w:lvlJc w:val="left"/>
      <w:pPr>
        <w:ind w:left="7528" w:hanging="720"/>
      </w:pPr>
    </w:lvl>
  </w:abstractNum>
  <w:abstractNum w:abstractNumId="9" w15:restartNumberingAfterBreak="0">
    <w:nsid w:val="057C2614"/>
    <w:multiLevelType w:val="hybridMultilevel"/>
    <w:tmpl w:val="09D47FAC"/>
    <w:lvl w:ilvl="0" w:tplc="51E05A78">
      <w:start w:val="1"/>
      <w:numFmt w:val="decimal"/>
      <w:pStyle w:val="Numberedheading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2" w15:restartNumberingAfterBreak="0">
    <w:nsid w:val="3E405074"/>
    <w:multiLevelType w:val="hybridMultilevel"/>
    <w:tmpl w:val="ABB845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4" w15:restartNumberingAfterBreak="0">
    <w:nsid w:val="417F7415"/>
    <w:multiLevelType w:val="multilevel"/>
    <w:tmpl w:val="0E226EC4"/>
    <w:styleLink w:val="Complianc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0" w:firstLine="0"/>
      </w:pPr>
      <w:rPr>
        <w:rFonts w:hint="default"/>
      </w:rPr>
    </w:lvl>
    <w:lvl w:ilvl="2">
      <w:start w:val="1"/>
      <w:numFmt w:val="lowerRoman"/>
      <w:lvlText w:val="%3."/>
      <w:lvlJc w:val="right"/>
      <w:pPr>
        <w:tabs>
          <w:tab w:val="num" w:pos="510"/>
        </w:tabs>
        <w:ind w:left="567" w:hanging="567"/>
      </w:pPr>
      <w:rPr>
        <w:rFonts w:hint="default"/>
      </w:rPr>
    </w:lvl>
    <w:lvl w:ilvl="3">
      <w:start w:val="1"/>
      <w:numFmt w:val="decimal"/>
      <w:lvlText w:val="%4."/>
      <w:lvlJc w:val="left"/>
      <w:pPr>
        <w:tabs>
          <w:tab w:val="num" w:pos="510"/>
        </w:tabs>
        <w:ind w:left="567" w:hanging="567"/>
      </w:pPr>
      <w:rPr>
        <w:rFonts w:hint="default"/>
      </w:rPr>
    </w:lvl>
    <w:lvl w:ilvl="4">
      <w:start w:val="1"/>
      <w:numFmt w:val="lowerLetter"/>
      <w:lvlText w:val="%5."/>
      <w:lvlJc w:val="left"/>
      <w:pPr>
        <w:tabs>
          <w:tab w:val="num" w:pos="510"/>
        </w:tabs>
        <w:ind w:left="567" w:hanging="567"/>
      </w:pPr>
      <w:rPr>
        <w:rFonts w:hint="default"/>
      </w:rPr>
    </w:lvl>
    <w:lvl w:ilvl="5">
      <w:start w:val="1"/>
      <w:numFmt w:val="lowerRoman"/>
      <w:lvlText w:val="%6."/>
      <w:lvlJc w:val="right"/>
      <w:pPr>
        <w:tabs>
          <w:tab w:val="num" w:pos="510"/>
        </w:tabs>
        <w:ind w:left="567" w:hanging="567"/>
      </w:pPr>
      <w:rPr>
        <w:rFonts w:hint="default"/>
      </w:rPr>
    </w:lvl>
    <w:lvl w:ilvl="6">
      <w:start w:val="1"/>
      <w:numFmt w:val="decimal"/>
      <w:lvlText w:val="%7."/>
      <w:lvlJc w:val="left"/>
      <w:pPr>
        <w:tabs>
          <w:tab w:val="num" w:pos="510"/>
        </w:tabs>
        <w:ind w:left="567" w:hanging="567"/>
      </w:pPr>
      <w:rPr>
        <w:rFonts w:hint="default"/>
      </w:rPr>
    </w:lvl>
    <w:lvl w:ilvl="7">
      <w:start w:val="1"/>
      <w:numFmt w:val="lowerLetter"/>
      <w:lvlText w:val="%8."/>
      <w:lvlJc w:val="left"/>
      <w:pPr>
        <w:tabs>
          <w:tab w:val="num" w:pos="510"/>
        </w:tabs>
        <w:ind w:left="567" w:hanging="567"/>
      </w:pPr>
      <w:rPr>
        <w:rFonts w:hint="default"/>
      </w:rPr>
    </w:lvl>
    <w:lvl w:ilvl="8">
      <w:start w:val="1"/>
      <w:numFmt w:val="lowerRoman"/>
      <w:lvlText w:val="%9."/>
      <w:lvlJc w:val="right"/>
      <w:pPr>
        <w:tabs>
          <w:tab w:val="num" w:pos="510"/>
        </w:tabs>
        <w:ind w:left="567" w:hanging="567"/>
      </w:pPr>
      <w:rPr>
        <w:rFonts w:hint="default"/>
      </w:rPr>
    </w:lvl>
  </w:abstractNum>
  <w:abstractNum w:abstractNumId="15" w15:restartNumberingAfterBreak="0">
    <w:nsid w:val="46DD5C12"/>
    <w:multiLevelType w:val="multilevel"/>
    <w:tmpl w:val="20F2356A"/>
    <w:numStyleLink w:val="Appendix"/>
  </w:abstractNum>
  <w:abstractNum w:abstractNumId="1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003935"/>
    <w:multiLevelType w:val="hybridMultilevel"/>
    <w:tmpl w:val="C6DC8880"/>
    <w:lvl w:ilvl="0" w:tplc="0068CC12">
      <w:start w:val="1"/>
      <w:numFmt w:val="decimal"/>
      <w:pStyle w:val="Heading2Numbered"/>
      <w:lvlText w:val="%1"/>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A6C5788"/>
    <w:multiLevelType w:val="hybridMultilevel"/>
    <w:tmpl w:val="5E00A3EA"/>
    <w:lvl w:ilvl="0" w:tplc="058C1E4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CD66BA3"/>
    <w:multiLevelType w:val="hybridMultilevel"/>
    <w:tmpl w:val="2F427E4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4DDE7C7D"/>
    <w:multiLevelType w:val="hybridMultilevel"/>
    <w:tmpl w:val="42A8B0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E491605"/>
    <w:multiLevelType w:val="hybridMultilevel"/>
    <w:tmpl w:val="B866BCF4"/>
    <w:lvl w:ilvl="0" w:tplc="5FC45E34">
      <w:start w:val="1"/>
      <w:numFmt w:val="decimal"/>
      <w:pStyle w:val="AppendixCTitle"/>
      <w:lvlText w:val="C.%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642E4E"/>
    <w:multiLevelType w:val="singleLevel"/>
    <w:tmpl w:val="0C090017"/>
    <w:lvl w:ilvl="0">
      <w:start w:val="1"/>
      <w:numFmt w:val="lowerLetter"/>
      <w:lvlText w:val="%1)"/>
      <w:lvlJc w:val="left"/>
      <w:pPr>
        <w:ind w:left="1209" w:hanging="360"/>
      </w:pPr>
      <w:rPr>
        <w:rFonts w:hint="default"/>
      </w:rPr>
    </w:lvl>
  </w:abstractNum>
  <w:abstractNum w:abstractNumId="23" w15:restartNumberingAfterBreak="0">
    <w:nsid w:val="5A7A522F"/>
    <w:multiLevelType w:val="hybridMultilevel"/>
    <w:tmpl w:val="33B4FEA2"/>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4"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5" w15:restartNumberingAfterBreak="0">
    <w:nsid w:val="5AB7576E"/>
    <w:multiLevelType w:val="multilevel"/>
    <w:tmpl w:val="A566D9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0D330FE"/>
    <w:multiLevelType w:val="singleLevel"/>
    <w:tmpl w:val="976EBAFC"/>
    <w:lvl w:ilvl="0">
      <w:start w:val="1"/>
      <w:numFmt w:val="lowerLetter"/>
      <w:pStyle w:val="ListNumber2"/>
      <w:lvlText w:val="%1)"/>
      <w:lvlJc w:val="left"/>
      <w:pPr>
        <w:ind w:left="644" w:hanging="360"/>
      </w:pPr>
      <w:rPr>
        <w:rFonts w:hint="default"/>
      </w:rPr>
    </w:lvl>
  </w:abstractNum>
  <w:abstractNum w:abstractNumId="27" w15:restartNumberingAfterBreak="0">
    <w:nsid w:val="7BA5463D"/>
    <w:multiLevelType w:val="multilevel"/>
    <w:tmpl w:val="B5F8595E"/>
    <w:styleLink w:val="Style2"/>
    <w:lvl w:ilvl="0">
      <w:start w:val="1"/>
      <w:numFmt w:val="decimal"/>
      <w:pStyle w:val="Heading3"/>
      <w:lvlText w:val="%1"/>
      <w:lvlJc w:val="left"/>
      <w:pPr>
        <w:ind w:left="567" w:hanging="567"/>
      </w:pPr>
      <w:rPr>
        <w:rFonts w:hint="default"/>
      </w:rPr>
    </w:lvl>
    <w:lvl w:ilvl="1">
      <w:start w:val="1"/>
      <w:numFmt w:val="decimal"/>
      <w:pStyle w:val="Heading4"/>
      <w:lvlText w:val="%1.%2"/>
      <w:lvlJc w:val="left"/>
      <w:pPr>
        <w:ind w:left="567" w:hanging="567"/>
      </w:pPr>
      <w:rPr>
        <w:rFonts w:hint="default"/>
      </w:rPr>
    </w:lvl>
    <w:lvl w:ilvl="2">
      <w:start w:val="1"/>
      <w:numFmt w:val="decimal"/>
      <w:pStyle w:val="Heading5"/>
      <w:lvlText w:val="%1.%2.%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num w:numId="1">
    <w:abstractNumId w:val="7"/>
  </w:num>
  <w:num w:numId="2">
    <w:abstractNumId w:val="5"/>
  </w:num>
  <w:num w:numId="3">
    <w:abstractNumId w:val="4"/>
  </w:num>
  <w:num w:numId="4">
    <w:abstractNumId w:val="3"/>
  </w:num>
  <w:num w:numId="5">
    <w:abstractNumId w:val="6"/>
    <w:lvlOverride w:ilvl="0">
      <w:startOverride w:val="1"/>
    </w:lvlOverride>
  </w:num>
  <w:num w:numId="6">
    <w:abstractNumId w:val="26"/>
  </w:num>
  <w:num w:numId="7">
    <w:abstractNumId w:val="2"/>
    <w:lvlOverride w:ilvl="0">
      <w:startOverride w:val="1"/>
    </w:lvlOverride>
  </w:num>
  <w:num w:numId="8">
    <w:abstractNumId w:val="16"/>
  </w:num>
  <w:num w:numId="9">
    <w:abstractNumId w:val="10"/>
  </w:num>
  <w:num w:numId="10">
    <w:abstractNumId w:val="13"/>
    <w:lvlOverride w:ilvl="0">
      <w:startOverride w:val="1"/>
    </w:lvlOverride>
  </w:num>
  <w:num w:numId="11">
    <w:abstractNumId w:val="24"/>
  </w:num>
  <w:num w:numId="12">
    <w:abstractNumId w:val="17"/>
  </w:num>
  <w:num w:numId="13">
    <w:abstractNumId w:val="9"/>
  </w:num>
  <w:num w:numId="14">
    <w:abstractNumId w:val="27"/>
  </w:num>
  <w:num w:numId="15">
    <w:abstractNumId w:val="19"/>
  </w:num>
  <w:num w:numId="16">
    <w:abstractNumId w:val="27"/>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5"/>
  </w:num>
  <w:num w:numId="21">
    <w:abstractNumId w:val="22"/>
  </w:num>
  <w:num w:numId="22">
    <w:abstractNumId w:val="18"/>
  </w:num>
  <w:num w:numId="23">
    <w:abstractNumId w:val="14"/>
  </w:num>
  <w:num w:numId="24">
    <w:abstractNumId w:val="21"/>
  </w:num>
  <w:num w:numId="25">
    <w:abstractNumId w:val="27"/>
  </w:num>
  <w:num w:numId="26">
    <w:abstractNumId w:val="27"/>
  </w:num>
  <w:num w:numId="27">
    <w:abstractNumId w:val="23"/>
  </w:num>
  <w:num w:numId="28">
    <w:abstractNumId w:val="27"/>
  </w:num>
  <w:num w:numId="29">
    <w:abstractNumId w:val="27"/>
  </w:num>
  <w:num w:numId="30">
    <w:abstractNumId w:val="27"/>
  </w:num>
  <w:num w:numId="31">
    <w:abstractNumId w:val="27"/>
  </w:num>
  <w:num w:numId="32">
    <w:abstractNumId w:val="20"/>
  </w:num>
  <w:num w:numId="33">
    <w:abstractNumId w:val="8"/>
  </w:num>
  <w:num w:numId="34">
    <w:abstractNumId w:val="27"/>
  </w:num>
  <w:num w:numId="35">
    <w:abstractNumId w:val="4"/>
  </w:num>
  <w:num w:numId="36">
    <w:abstractNumId w:val="1"/>
  </w:num>
  <w:num w:numId="37">
    <w:abstractNumId w:val="0"/>
  </w:num>
  <w:num w:numId="38">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75105">
      <o:colormenu v:ext="edit" fillcolor="non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8F"/>
    <w:rsid w:val="000008A6"/>
    <w:rsid w:val="00001B76"/>
    <w:rsid w:val="000020B5"/>
    <w:rsid w:val="000027C9"/>
    <w:rsid w:val="00002AAE"/>
    <w:rsid w:val="000039FD"/>
    <w:rsid w:val="000045BE"/>
    <w:rsid w:val="0000510A"/>
    <w:rsid w:val="00005693"/>
    <w:rsid w:val="00006CCF"/>
    <w:rsid w:val="00006FBD"/>
    <w:rsid w:val="00007FD4"/>
    <w:rsid w:val="00011A8A"/>
    <w:rsid w:val="000121BF"/>
    <w:rsid w:val="0001224B"/>
    <w:rsid w:val="000125BB"/>
    <w:rsid w:val="0001486F"/>
    <w:rsid w:val="00014EF6"/>
    <w:rsid w:val="0001504C"/>
    <w:rsid w:val="000150DB"/>
    <w:rsid w:val="000152F2"/>
    <w:rsid w:val="000165F4"/>
    <w:rsid w:val="000203FA"/>
    <w:rsid w:val="0002059B"/>
    <w:rsid w:val="00020B9F"/>
    <w:rsid w:val="0002190E"/>
    <w:rsid w:val="0002273A"/>
    <w:rsid w:val="000232C5"/>
    <w:rsid w:val="00023C00"/>
    <w:rsid w:val="000257A6"/>
    <w:rsid w:val="0002655F"/>
    <w:rsid w:val="000265C6"/>
    <w:rsid w:val="000304DC"/>
    <w:rsid w:val="00030743"/>
    <w:rsid w:val="00030DBE"/>
    <w:rsid w:val="00033EE3"/>
    <w:rsid w:val="00034415"/>
    <w:rsid w:val="00034582"/>
    <w:rsid w:val="0003507A"/>
    <w:rsid w:val="000353F7"/>
    <w:rsid w:val="000355AE"/>
    <w:rsid w:val="000357D6"/>
    <w:rsid w:val="00037065"/>
    <w:rsid w:val="000409CF"/>
    <w:rsid w:val="000413BD"/>
    <w:rsid w:val="0004150B"/>
    <w:rsid w:val="00041B91"/>
    <w:rsid w:val="00041C73"/>
    <w:rsid w:val="00041D7C"/>
    <w:rsid w:val="0004353E"/>
    <w:rsid w:val="00044210"/>
    <w:rsid w:val="00044441"/>
    <w:rsid w:val="00044A45"/>
    <w:rsid w:val="00044B19"/>
    <w:rsid w:val="00045C03"/>
    <w:rsid w:val="00045C0E"/>
    <w:rsid w:val="0004614D"/>
    <w:rsid w:val="00046640"/>
    <w:rsid w:val="000477A7"/>
    <w:rsid w:val="000509C7"/>
    <w:rsid w:val="00050D60"/>
    <w:rsid w:val="00051268"/>
    <w:rsid w:val="00051CE6"/>
    <w:rsid w:val="0005234D"/>
    <w:rsid w:val="00052573"/>
    <w:rsid w:val="000552AB"/>
    <w:rsid w:val="00055E1D"/>
    <w:rsid w:val="00056540"/>
    <w:rsid w:val="00056DBB"/>
    <w:rsid w:val="00057C26"/>
    <w:rsid w:val="00061140"/>
    <w:rsid w:val="0006118A"/>
    <w:rsid w:val="00062969"/>
    <w:rsid w:val="00063145"/>
    <w:rsid w:val="000654A6"/>
    <w:rsid w:val="000657DE"/>
    <w:rsid w:val="00066293"/>
    <w:rsid w:val="00066BCD"/>
    <w:rsid w:val="00067C92"/>
    <w:rsid w:val="00067D89"/>
    <w:rsid w:val="00072255"/>
    <w:rsid w:val="0007238F"/>
    <w:rsid w:val="000729B5"/>
    <w:rsid w:val="00072BB5"/>
    <w:rsid w:val="00072F5D"/>
    <w:rsid w:val="00073001"/>
    <w:rsid w:val="00073076"/>
    <w:rsid w:val="00073C5D"/>
    <w:rsid w:val="0007466B"/>
    <w:rsid w:val="00074FA1"/>
    <w:rsid w:val="00075E46"/>
    <w:rsid w:val="00075F7A"/>
    <w:rsid w:val="000762B2"/>
    <w:rsid w:val="000765CA"/>
    <w:rsid w:val="00076791"/>
    <w:rsid w:val="000768B4"/>
    <w:rsid w:val="00076F1E"/>
    <w:rsid w:val="0008128C"/>
    <w:rsid w:val="000812F7"/>
    <w:rsid w:val="00082202"/>
    <w:rsid w:val="0008286D"/>
    <w:rsid w:val="00082B00"/>
    <w:rsid w:val="00082BFB"/>
    <w:rsid w:val="0008303C"/>
    <w:rsid w:val="00083505"/>
    <w:rsid w:val="00083BBC"/>
    <w:rsid w:val="00083FCE"/>
    <w:rsid w:val="00084FAB"/>
    <w:rsid w:val="000853A7"/>
    <w:rsid w:val="00085A2C"/>
    <w:rsid w:val="0008679E"/>
    <w:rsid w:val="00086969"/>
    <w:rsid w:val="0008702B"/>
    <w:rsid w:val="00087C3B"/>
    <w:rsid w:val="00087F29"/>
    <w:rsid w:val="000908B8"/>
    <w:rsid w:val="000917A0"/>
    <w:rsid w:val="00092BD5"/>
    <w:rsid w:val="00092DB7"/>
    <w:rsid w:val="00092F0D"/>
    <w:rsid w:val="00097278"/>
    <w:rsid w:val="00097F1D"/>
    <w:rsid w:val="000A0288"/>
    <w:rsid w:val="000A0EFD"/>
    <w:rsid w:val="000A10E2"/>
    <w:rsid w:val="000A165C"/>
    <w:rsid w:val="000A17CE"/>
    <w:rsid w:val="000A1F76"/>
    <w:rsid w:val="000A2463"/>
    <w:rsid w:val="000A29A2"/>
    <w:rsid w:val="000A3013"/>
    <w:rsid w:val="000A342F"/>
    <w:rsid w:val="000A4F76"/>
    <w:rsid w:val="000A4FA1"/>
    <w:rsid w:val="000A66A7"/>
    <w:rsid w:val="000A6A8B"/>
    <w:rsid w:val="000A6CE8"/>
    <w:rsid w:val="000A6E29"/>
    <w:rsid w:val="000B0517"/>
    <w:rsid w:val="000B18DF"/>
    <w:rsid w:val="000B2059"/>
    <w:rsid w:val="000B234A"/>
    <w:rsid w:val="000B31BB"/>
    <w:rsid w:val="000B3589"/>
    <w:rsid w:val="000B3B4D"/>
    <w:rsid w:val="000B57B0"/>
    <w:rsid w:val="000B5859"/>
    <w:rsid w:val="000B5D1C"/>
    <w:rsid w:val="000B66AE"/>
    <w:rsid w:val="000B6B51"/>
    <w:rsid w:val="000B743F"/>
    <w:rsid w:val="000C1F61"/>
    <w:rsid w:val="000C4631"/>
    <w:rsid w:val="000C4A92"/>
    <w:rsid w:val="000C4F8B"/>
    <w:rsid w:val="000C5064"/>
    <w:rsid w:val="000C55B6"/>
    <w:rsid w:val="000C5757"/>
    <w:rsid w:val="000C6D11"/>
    <w:rsid w:val="000C6D47"/>
    <w:rsid w:val="000C73F2"/>
    <w:rsid w:val="000C77CB"/>
    <w:rsid w:val="000D0236"/>
    <w:rsid w:val="000D0A73"/>
    <w:rsid w:val="000D1B32"/>
    <w:rsid w:val="000D4B9C"/>
    <w:rsid w:val="000D51AA"/>
    <w:rsid w:val="000D5CBE"/>
    <w:rsid w:val="000E04F1"/>
    <w:rsid w:val="000E04FE"/>
    <w:rsid w:val="000E1259"/>
    <w:rsid w:val="000E1B48"/>
    <w:rsid w:val="000E2148"/>
    <w:rsid w:val="000E2D89"/>
    <w:rsid w:val="000E3233"/>
    <w:rsid w:val="000E3A1C"/>
    <w:rsid w:val="000E5684"/>
    <w:rsid w:val="000E737C"/>
    <w:rsid w:val="000F036B"/>
    <w:rsid w:val="000F041C"/>
    <w:rsid w:val="000F061B"/>
    <w:rsid w:val="000F28CF"/>
    <w:rsid w:val="000F2911"/>
    <w:rsid w:val="000F4AC8"/>
    <w:rsid w:val="000F4E34"/>
    <w:rsid w:val="000F6B5F"/>
    <w:rsid w:val="00102736"/>
    <w:rsid w:val="001029E3"/>
    <w:rsid w:val="00103291"/>
    <w:rsid w:val="001035B7"/>
    <w:rsid w:val="00103B88"/>
    <w:rsid w:val="00104AFD"/>
    <w:rsid w:val="0010519D"/>
    <w:rsid w:val="00105AC2"/>
    <w:rsid w:val="00106A53"/>
    <w:rsid w:val="00106F10"/>
    <w:rsid w:val="00107171"/>
    <w:rsid w:val="0011051E"/>
    <w:rsid w:val="00113808"/>
    <w:rsid w:val="00114128"/>
    <w:rsid w:val="00114AAB"/>
    <w:rsid w:val="00115AEC"/>
    <w:rsid w:val="00115E20"/>
    <w:rsid w:val="00115FB0"/>
    <w:rsid w:val="00116CED"/>
    <w:rsid w:val="00116D23"/>
    <w:rsid w:val="00120BBD"/>
    <w:rsid w:val="00120DE4"/>
    <w:rsid w:val="00121944"/>
    <w:rsid w:val="0012363D"/>
    <w:rsid w:val="00124376"/>
    <w:rsid w:val="00124CCD"/>
    <w:rsid w:val="001258D7"/>
    <w:rsid w:val="001267E6"/>
    <w:rsid w:val="0013137B"/>
    <w:rsid w:val="001320CF"/>
    <w:rsid w:val="00132C2A"/>
    <w:rsid w:val="00132CB2"/>
    <w:rsid w:val="00132D29"/>
    <w:rsid w:val="0013354D"/>
    <w:rsid w:val="00135269"/>
    <w:rsid w:val="00135CE7"/>
    <w:rsid w:val="00137026"/>
    <w:rsid w:val="00137058"/>
    <w:rsid w:val="00137B2F"/>
    <w:rsid w:val="00140403"/>
    <w:rsid w:val="0014069B"/>
    <w:rsid w:val="00140ABD"/>
    <w:rsid w:val="00140B61"/>
    <w:rsid w:val="001419F7"/>
    <w:rsid w:val="00141A65"/>
    <w:rsid w:val="00142E21"/>
    <w:rsid w:val="00143503"/>
    <w:rsid w:val="001436B2"/>
    <w:rsid w:val="001437F8"/>
    <w:rsid w:val="00143B5F"/>
    <w:rsid w:val="00144632"/>
    <w:rsid w:val="00144DA9"/>
    <w:rsid w:val="001452E6"/>
    <w:rsid w:val="00145C14"/>
    <w:rsid w:val="0014629B"/>
    <w:rsid w:val="001466E8"/>
    <w:rsid w:val="001469AD"/>
    <w:rsid w:val="001470DF"/>
    <w:rsid w:val="00147B62"/>
    <w:rsid w:val="00150924"/>
    <w:rsid w:val="0015124D"/>
    <w:rsid w:val="0015178C"/>
    <w:rsid w:val="00151FED"/>
    <w:rsid w:val="00152A7F"/>
    <w:rsid w:val="00152C97"/>
    <w:rsid w:val="001535F1"/>
    <w:rsid w:val="001536F6"/>
    <w:rsid w:val="00153F7A"/>
    <w:rsid w:val="00154C3E"/>
    <w:rsid w:val="00154FE6"/>
    <w:rsid w:val="00155F0B"/>
    <w:rsid w:val="001568B8"/>
    <w:rsid w:val="0015764B"/>
    <w:rsid w:val="001576A2"/>
    <w:rsid w:val="001578A4"/>
    <w:rsid w:val="00157C13"/>
    <w:rsid w:val="00157C7C"/>
    <w:rsid w:val="00157D1E"/>
    <w:rsid w:val="00161ACC"/>
    <w:rsid w:val="00162233"/>
    <w:rsid w:val="00162F72"/>
    <w:rsid w:val="001636FE"/>
    <w:rsid w:val="00164202"/>
    <w:rsid w:val="0016454F"/>
    <w:rsid w:val="00164AB2"/>
    <w:rsid w:val="00164C65"/>
    <w:rsid w:val="001654D0"/>
    <w:rsid w:val="00165E98"/>
    <w:rsid w:val="00166452"/>
    <w:rsid w:val="00166505"/>
    <w:rsid w:val="00167417"/>
    <w:rsid w:val="0017118A"/>
    <w:rsid w:val="0017195A"/>
    <w:rsid w:val="00171AD9"/>
    <w:rsid w:val="00172A5F"/>
    <w:rsid w:val="00173C56"/>
    <w:rsid w:val="00174B32"/>
    <w:rsid w:val="00174F3A"/>
    <w:rsid w:val="00175477"/>
    <w:rsid w:val="0017615D"/>
    <w:rsid w:val="001761BB"/>
    <w:rsid w:val="00181533"/>
    <w:rsid w:val="00182084"/>
    <w:rsid w:val="00183CE1"/>
    <w:rsid w:val="001846E8"/>
    <w:rsid w:val="00184AAE"/>
    <w:rsid w:val="00184AE9"/>
    <w:rsid w:val="001853F3"/>
    <w:rsid w:val="00185963"/>
    <w:rsid w:val="00185EBD"/>
    <w:rsid w:val="00186088"/>
    <w:rsid w:val="001872AB"/>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25D5"/>
    <w:rsid w:val="001A3315"/>
    <w:rsid w:val="001A4983"/>
    <w:rsid w:val="001A5035"/>
    <w:rsid w:val="001A5CE3"/>
    <w:rsid w:val="001A618A"/>
    <w:rsid w:val="001A6572"/>
    <w:rsid w:val="001A68C3"/>
    <w:rsid w:val="001A7C00"/>
    <w:rsid w:val="001A7F88"/>
    <w:rsid w:val="001B02BE"/>
    <w:rsid w:val="001B08A3"/>
    <w:rsid w:val="001B1BDB"/>
    <w:rsid w:val="001B1C7D"/>
    <w:rsid w:val="001B3503"/>
    <w:rsid w:val="001B37E2"/>
    <w:rsid w:val="001B4470"/>
    <w:rsid w:val="001B4FBE"/>
    <w:rsid w:val="001B6877"/>
    <w:rsid w:val="001B7129"/>
    <w:rsid w:val="001B71AF"/>
    <w:rsid w:val="001C147B"/>
    <w:rsid w:val="001C1D7F"/>
    <w:rsid w:val="001C2157"/>
    <w:rsid w:val="001C2F2D"/>
    <w:rsid w:val="001C391A"/>
    <w:rsid w:val="001C50A0"/>
    <w:rsid w:val="001C6898"/>
    <w:rsid w:val="001C6A9B"/>
    <w:rsid w:val="001C7F63"/>
    <w:rsid w:val="001D14F7"/>
    <w:rsid w:val="001D157D"/>
    <w:rsid w:val="001D1DE5"/>
    <w:rsid w:val="001D1EEE"/>
    <w:rsid w:val="001D2444"/>
    <w:rsid w:val="001D43A0"/>
    <w:rsid w:val="001D54A4"/>
    <w:rsid w:val="001D6225"/>
    <w:rsid w:val="001D6563"/>
    <w:rsid w:val="001D702D"/>
    <w:rsid w:val="001D71DC"/>
    <w:rsid w:val="001D7F09"/>
    <w:rsid w:val="001E0BF4"/>
    <w:rsid w:val="001E13E5"/>
    <w:rsid w:val="001E2A52"/>
    <w:rsid w:val="001E3121"/>
    <w:rsid w:val="001E33D5"/>
    <w:rsid w:val="001E36E8"/>
    <w:rsid w:val="001E3831"/>
    <w:rsid w:val="001E3E73"/>
    <w:rsid w:val="001E5501"/>
    <w:rsid w:val="001E5818"/>
    <w:rsid w:val="001E67EB"/>
    <w:rsid w:val="001E6E04"/>
    <w:rsid w:val="001F014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5FE8"/>
    <w:rsid w:val="002072BC"/>
    <w:rsid w:val="00207CAC"/>
    <w:rsid w:val="00210233"/>
    <w:rsid w:val="002105B1"/>
    <w:rsid w:val="0021080C"/>
    <w:rsid w:val="00210C13"/>
    <w:rsid w:val="00211B66"/>
    <w:rsid w:val="00212EDE"/>
    <w:rsid w:val="002142FC"/>
    <w:rsid w:val="0021543F"/>
    <w:rsid w:val="002161BF"/>
    <w:rsid w:val="002170F2"/>
    <w:rsid w:val="00217F02"/>
    <w:rsid w:val="002202FB"/>
    <w:rsid w:val="00221012"/>
    <w:rsid w:val="0022103A"/>
    <w:rsid w:val="00223164"/>
    <w:rsid w:val="002231C2"/>
    <w:rsid w:val="0022376E"/>
    <w:rsid w:val="002246DD"/>
    <w:rsid w:val="002251C5"/>
    <w:rsid w:val="00225776"/>
    <w:rsid w:val="0022648D"/>
    <w:rsid w:val="00226A69"/>
    <w:rsid w:val="00226EEE"/>
    <w:rsid w:val="00227FE6"/>
    <w:rsid w:val="0023139E"/>
    <w:rsid w:val="00231C98"/>
    <w:rsid w:val="002327C2"/>
    <w:rsid w:val="00232891"/>
    <w:rsid w:val="00232A5E"/>
    <w:rsid w:val="0023338C"/>
    <w:rsid w:val="00233768"/>
    <w:rsid w:val="00233AB4"/>
    <w:rsid w:val="0023438B"/>
    <w:rsid w:val="002360AA"/>
    <w:rsid w:val="0023774F"/>
    <w:rsid w:val="00237871"/>
    <w:rsid w:val="00237993"/>
    <w:rsid w:val="00237D15"/>
    <w:rsid w:val="00241122"/>
    <w:rsid w:val="002418D3"/>
    <w:rsid w:val="00242775"/>
    <w:rsid w:val="00242E2E"/>
    <w:rsid w:val="00244CD6"/>
    <w:rsid w:val="00244E78"/>
    <w:rsid w:val="00245D70"/>
    <w:rsid w:val="00246104"/>
    <w:rsid w:val="0024621E"/>
    <w:rsid w:val="0024645F"/>
    <w:rsid w:val="00246554"/>
    <w:rsid w:val="00246824"/>
    <w:rsid w:val="00246B4C"/>
    <w:rsid w:val="00246D4F"/>
    <w:rsid w:val="00247E0B"/>
    <w:rsid w:val="00247E51"/>
    <w:rsid w:val="0025079F"/>
    <w:rsid w:val="00250E19"/>
    <w:rsid w:val="00251614"/>
    <w:rsid w:val="00251760"/>
    <w:rsid w:val="002517E7"/>
    <w:rsid w:val="00251A2E"/>
    <w:rsid w:val="00251AB7"/>
    <w:rsid w:val="00251E1C"/>
    <w:rsid w:val="0025201A"/>
    <w:rsid w:val="002525A6"/>
    <w:rsid w:val="00252E72"/>
    <w:rsid w:val="00253C3C"/>
    <w:rsid w:val="00253D32"/>
    <w:rsid w:val="00254335"/>
    <w:rsid w:val="002543D6"/>
    <w:rsid w:val="0025465A"/>
    <w:rsid w:val="00254748"/>
    <w:rsid w:val="00254A1E"/>
    <w:rsid w:val="00254AAC"/>
    <w:rsid w:val="002550AA"/>
    <w:rsid w:val="002561E3"/>
    <w:rsid w:val="00256C20"/>
    <w:rsid w:val="00256D17"/>
    <w:rsid w:val="00256F2A"/>
    <w:rsid w:val="0025706E"/>
    <w:rsid w:val="00257466"/>
    <w:rsid w:val="002600E2"/>
    <w:rsid w:val="00262A31"/>
    <w:rsid w:val="0026328F"/>
    <w:rsid w:val="00263AEF"/>
    <w:rsid w:val="00263BE0"/>
    <w:rsid w:val="00265C44"/>
    <w:rsid w:val="002667AC"/>
    <w:rsid w:val="00266DAF"/>
    <w:rsid w:val="00266DEC"/>
    <w:rsid w:val="002677C7"/>
    <w:rsid w:val="00267841"/>
    <w:rsid w:val="00270FF8"/>
    <w:rsid w:val="00271356"/>
    <w:rsid w:val="002746EF"/>
    <w:rsid w:val="00275CA5"/>
    <w:rsid w:val="00275F76"/>
    <w:rsid w:val="002761E6"/>
    <w:rsid w:val="00277BB9"/>
    <w:rsid w:val="00281272"/>
    <w:rsid w:val="00281C1B"/>
    <w:rsid w:val="0028208A"/>
    <w:rsid w:val="002821C0"/>
    <w:rsid w:val="002824DE"/>
    <w:rsid w:val="002838D8"/>
    <w:rsid w:val="00283C9E"/>
    <w:rsid w:val="00283ED9"/>
    <w:rsid w:val="00284507"/>
    <w:rsid w:val="00284C40"/>
    <w:rsid w:val="0028542D"/>
    <w:rsid w:val="00285A6A"/>
    <w:rsid w:val="00285FB3"/>
    <w:rsid w:val="00286E8D"/>
    <w:rsid w:val="00290680"/>
    <w:rsid w:val="00291FC3"/>
    <w:rsid w:val="00292794"/>
    <w:rsid w:val="00292A9C"/>
    <w:rsid w:val="00293535"/>
    <w:rsid w:val="00294838"/>
    <w:rsid w:val="0029486E"/>
    <w:rsid w:val="00294B17"/>
    <w:rsid w:val="002967C1"/>
    <w:rsid w:val="002967DE"/>
    <w:rsid w:val="00297BA9"/>
    <w:rsid w:val="00297D32"/>
    <w:rsid w:val="002A0EEA"/>
    <w:rsid w:val="002A17FB"/>
    <w:rsid w:val="002A210C"/>
    <w:rsid w:val="002A23DD"/>
    <w:rsid w:val="002A2E7D"/>
    <w:rsid w:val="002A2F85"/>
    <w:rsid w:val="002A33E4"/>
    <w:rsid w:val="002A4CE2"/>
    <w:rsid w:val="002A54CA"/>
    <w:rsid w:val="002A584F"/>
    <w:rsid w:val="002A676F"/>
    <w:rsid w:val="002A6BE6"/>
    <w:rsid w:val="002A7718"/>
    <w:rsid w:val="002B115C"/>
    <w:rsid w:val="002B11DB"/>
    <w:rsid w:val="002B1209"/>
    <w:rsid w:val="002B2FC4"/>
    <w:rsid w:val="002B3A00"/>
    <w:rsid w:val="002B3E57"/>
    <w:rsid w:val="002B3F21"/>
    <w:rsid w:val="002B3F79"/>
    <w:rsid w:val="002B7460"/>
    <w:rsid w:val="002B77D7"/>
    <w:rsid w:val="002B7DB6"/>
    <w:rsid w:val="002C0D29"/>
    <w:rsid w:val="002C1642"/>
    <w:rsid w:val="002C1CDF"/>
    <w:rsid w:val="002C1E54"/>
    <w:rsid w:val="002C2070"/>
    <w:rsid w:val="002C2976"/>
    <w:rsid w:val="002C2C3D"/>
    <w:rsid w:val="002C38E0"/>
    <w:rsid w:val="002C3B5F"/>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91A"/>
    <w:rsid w:val="002D49A7"/>
    <w:rsid w:val="002D570E"/>
    <w:rsid w:val="002D6678"/>
    <w:rsid w:val="002D770B"/>
    <w:rsid w:val="002E15C1"/>
    <w:rsid w:val="002E18B8"/>
    <w:rsid w:val="002E1F51"/>
    <w:rsid w:val="002E369B"/>
    <w:rsid w:val="002E36E9"/>
    <w:rsid w:val="002E371A"/>
    <w:rsid w:val="002E49EC"/>
    <w:rsid w:val="002E58BF"/>
    <w:rsid w:val="002E6F1A"/>
    <w:rsid w:val="002F0E6B"/>
    <w:rsid w:val="002F10AE"/>
    <w:rsid w:val="002F17E3"/>
    <w:rsid w:val="002F1BC1"/>
    <w:rsid w:val="002F2530"/>
    <w:rsid w:val="002F274D"/>
    <w:rsid w:val="002F3062"/>
    <w:rsid w:val="002F35FB"/>
    <w:rsid w:val="002F36A9"/>
    <w:rsid w:val="002F37D3"/>
    <w:rsid w:val="002F397E"/>
    <w:rsid w:val="002F461F"/>
    <w:rsid w:val="002F4C2D"/>
    <w:rsid w:val="002F5DD6"/>
    <w:rsid w:val="002F5F8F"/>
    <w:rsid w:val="002F62C7"/>
    <w:rsid w:val="002F6488"/>
    <w:rsid w:val="002F6BB4"/>
    <w:rsid w:val="002F788D"/>
    <w:rsid w:val="00301E66"/>
    <w:rsid w:val="003020C4"/>
    <w:rsid w:val="00302239"/>
    <w:rsid w:val="003022CA"/>
    <w:rsid w:val="00302F2E"/>
    <w:rsid w:val="003035F8"/>
    <w:rsid w:val="0031086C"/>
    <w:rsid w:val="00310C6A"/>
    <w:rsid w:val="00310C71"/>
    <w:rsid w:val="00311643"/>
    <w:rsid w:val="00311AE5"/>
    <w:rsid w:val="00313686"/>
    <w:rsid w:val="00313B55"/>
    <w:rsid w:val="00313FC3"/>
    <w:rsid w:val="003165F8"/>
    <w:rsid w:val="00316C39"/>
    <w:rsid w:val="0031752B"/>
    <w:rsid w:val="00320B83"/>
    <w:rsid w:val="00320C9A"/>
    <w:rsid w:val="00320DED"/>
    <w:rsid w:val="003217B8"/>
    <w:rsid w:val="00322325"/>
    <w:rsid w:val="00322505"/>
    <w:rsid w:val="0032367D"/>
    <w:rsid w:val="003244ED"/>
    <w:rsid w:val="0032481D"/>
    <w:rsid w:val="00326201"/>
    <w:rsid w:val="00326A34"/>
    <w:rsid w:val="00330AA8"/>
    <w:rsid w:val="00330B23"/>
    <w:rsid w:val="00331C28"/>
    <w:rsid w:val="00331E25"/>
    <w:rsid w:val="003322ED"/>
    <w:rsid w:val="003329E9"/>
    <w:rsid w:val="00332DB8"/>
    <w:rsid w:val="00333663"/>
    <w:rsid w:val="003339BE"/>
    <w:rsid w:val="003340EB"/>
    <w:rsid w:val="003348EA"/>
    <w:rsid w:val="00334B8E"/>
    <w:rsid w:val="00335B32"/>
    <w:rsid w:val="00335CD5"/>
    <w:rsid w:val="00336225"/>
    <w:rsid w:val="00336CB1"/>
    <w:rsid w:val="00336F6D"/>
    <w:rsid w:val="003375D8"/>
    <w:rsid w:val="003376BE"/>
    <w:rsid w:val="003407C9"/>
    <w:rsid w:val="00342B3D"/>
    <w:rsid w:val="0034357E"/>
    <w:rsid w:val="003435B5"/>
    <w:rsid w:val="00343885"/>
    <w:rsid w:val="00343B1C"/>
    <w:rsid w:val="0034406C"/>
    <w:rsid w:val="00344BE7"/>
    <w:rsid w:val="00344DE6"/>
    <w:rsid w:val="003453B6"/>
    <w:rsid w:val="00345A0B"/>
    <w:rsid w:val="003468F6"/>
    <w:rsid w:val="00346BD4"/>
    <w:rsid w:val="00346D3D"/>
    <w:rsid w:val="003475C2"/>
    <w:rsid w:val="00347E8B"/>
    <w:rsid w:val="00350747"/>
    <w:rsid w:val="00351FA5"/>
    <w:rsid w:val="00352441"/>
    <w:rsid w:val="003524A5"/>
    <w:rsid w:val="00352605"/>
    <w:rsid w:val="00354D6A"/>
    <w:rsid w:val="0035581B"/>
    <w:rsid w:val="00355E15"/>
    <w:rsid w:val="00356108"/>
    <w:rsid w:val="003567B9"/>
    <w:rsid w:val="00356F49"/>
    <w:rsid w:val="0035746D"/>
    <w:rsid w:val="003609D9"/>
    <w:rsid w:val="00360AB8"/>
    <w:rsid w:val="0036125C"/>
    <w:rsid w:val="003618B4"/>
    <w:rsid w:val="00362737"/>
    <w:rsid w:val="00362AF5"/>
    <w:rsid w:val="00362E5F"/>
    <w:rsid w:val="003637BA"/>
    <w:rsid w:val="003641A4"/>
    <w:rsid w:val="00364BFC"/>
    <w:rsid w:val="00364FA3"/>
    <w:rsid w:val="0036556E"/>
    <w:rsid w:val="00365C9E"/>
    <w:rsid w:val="00365F26"/>
    <w:rsid w:val="003663EB"/>
    <w:rsid w:val="00366DFB"/>
    <w:rsid w:val="00366E41"/>
    <w:rsid w:val="003675C3"/>
    <w:rsid w:val="00367F86"/>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54E6"/>
    <w:rsid w:val="003A55B9"/>
    <w:rsid w:val="003A6D6E"/>
    <w:rsid w:val="003A75E1"/>
    <w:rsid w:val="003B19C9"/>
    <w:rsid w:val="003B1BCB"/>
    <w:rsid w:val="003B1CD5"/>
    <w:rsid w:val="003B2362"/>
    <w:rsid w:val="003B2973"/>
    <w:rsid w:val="003B299A"/>
    <w:rsid w:val="003B2D7E"/>
    <w:rsid w:val="003B37CA"/>
    <w:rsid w:val="003B41DB"/>
    <w:rsid w:val="003B486B"/>
    <w:rsid w:val="003B490D"/>
    <w:rsid w:val="003B4A60"/>
    <w:rsid w:val="003B5279"/>
    <w:rsid w:val="003B585C"/>
    <w:rsid w:val="003B5935"/>
    <w:rsid w:val="003B5B5B"/>
    <w:rsid w:val="003B732F"/>
    <w:rsid w:val="003B79E1"/>
    <w:rsid w:val="003C0A5A"/>
    <w:rsid w:val="003C2026"/>
    <w:rsid w:val="003C22F7"/>
    <w:rsid w:val="003C4B0B"/>
    <w:rsid w:val="003C4E62"/>
    <w:rsid w:val="003C5005"/>
    <w:rsid w:val="003C5E30"/>
    <w:rsid w:val="003C63D5"/>
    <w:rsid w:val="003C6B5F"/>
    <w:rsid w:val="003D1835"/>
    <w:rsid w:val="003D1904"/>
    <w:rsid w:val="003D19F7"/>
    <w:rsid w:val="003D1F05"/>
    <w:rsid w:val="003D1FD1"/>
    <w:rsid w:val="003D55FB"/>
    <w:rsid w:val="003D7239"/>
    <w:rsid w:val="003E1159"/>
    <w:rsid w:val="003E1175"/>
    <w:rsid w:val="003E179A"/>
    <w:rsid w:val="003E1B9E"/>
    <w:rsid w:val="003E2FDF"/>
    <w:rsid w:val="003E3DD5"/>
    <w:rsid w:val="003E4B01"/>
    <w:rsid w:val="003E503E"/>
    <w:rsid w:val="003E5225"/>
    <w:rsid w:val="003E6254"/>
    <w:rsid w:val="003E6619"/>
    <w:rsid w:val="003E706F"/>
    <w:rsid w:val="003E75BA"/>
    <w:rsid w:val="003E7998"/>
    <w:rsid w:val="003E7A8B"/>
    <w:rsid w:val="003E7C5D"/>
    <w:rsid w:val="003F021E"/>
    <w:rsid w:val="003F14CD"/>
    <w:rsid w:val="003F1A50"/>
    <w:rsid w:val="003F1BF8"/>
    <w:rsid w:val="003F2249"/>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1FD5"/>
    <w:rsid w:val="0040223D"/>
    <w:rsid w:val="00402ABD"/>
    <w:rsid w:val="00402ECC"/>
    <w:rsid w:val="004032BA"/>
    <w:rsid w:val="004037B2"/>
    <w:rsid w:val="00403BA3"/>
    <w:rsid w:val="00403C78"/>
    <w:rsid w:val="00404098"/>
    <w:rsid w:val="00404755"/>
    <w:rsid w:val="0040523D"/>
    <w:rsid w:val="004053D5"/>
    <w:rsid w:val="004065F4"/>
    <w:rsid w:val="0040715D"/>
    <w:rsid w:val="00407E91"/>
    <w:rsid w:val="00407EF5"/>
    <w:rsid w:val="00407F6C"/>
    <w:rsid w:val="00407F74"/>
    <w:rsid w:val="00410B5D"/>
    <w:rsid w:val="00410E90"/>
    <w:rsid w:val="00411178"/>
    <w:rsid w:val="00411526"/>
    <w:rsid w:val="00413B42"/>
    <w:rsid w:val="0041423E"/>
    <w:rsid w:val="00414417"/>
    <w:rsid w:val="00414BAC"/>
    <w:rsid w:val="00414F28"/>
    <w:rsid w:val="00415C7B"/>
    <w:rsid w:val="0041651B"/>
    <w:rsid w:val="00416BCE"/>
    <w:rsid w:val="00420AA2"/>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372E0"/>
    <w:rsid w:val="00437518"/>
    <w:rsid w:val="004401CA"/>
    <w:rsid w:val="00440D8E"/>
    <w:rsid w:val="004411B8"/>
    <w:rsid w:val="00441882"/>
    <w:rsid w:val="004418CA"/>
    <w:rsid w:val="00443104"/>
    <w:rsid w:val="00444066"/>
    <w:rsid w:val="004443ED"/>
    <w:rsid w:val="00444D96"/>
    <w:rsid w:val="00444E80"/>
    <w:rsid w:val="0044567B"/>
    <w:rsid w:val="004470C1"/>
    <w:rsid w:val="004519FB"/>
    <w:rsid w:val="00451D43"/>
    <w:rsid w:val="00452412"/>
    <w:rsid w:val="00452593"/>
    <w:rsid w:val="00452A40"/>
    <w:rsid w:val="00452F3A"/>
    <w:rsid w:val="004546B7"/>
    <w:rsid w:val="00455779"/>
    <w:rsid w:val="0045579C"/>
    <w:rsid w:val="00455B9E"/>
    <w:rsid w:val="0045621B"/>
    <w:rsid w:val="004578FF"/>
    <w:rsid w:val="00460863"/>
    <w:rsid w:val="00460A87"/>
    <w:rsid w:val="00460F78"/>
    <w:rsid w:val="004614BC"/>
    <w:rsid w:val="004615AA"/>
    <w:rsid w:val="00461A51"/>
    <w:rsid w:val="00462F75"/>
    <w:rsid w:val="00463549"/>
    <w:rsid w:val="00463666"/>
    <w:rsid w:val="00463F3E"/>
    <w:rsid w:val="00464443"/>
    <w:rsid w:val="0046563C"/>
    <w:rsid w:val="0046585D"/>
    <w:rsid w:val="004660D4"/>
    <w:rsid w:val="0046659D"/>
    <w:rsid w:val="004675EC"/>
    <w:rsid w:val="00467B8E"/>
    <w:rsid w:val="00467F54"/>
    <w:rsid w:val="00471A93"/>
    <w:rsid w:val="00472100"/>
    <w:rsid w:val="00472659"/>
    <w:rsid w:val="00472ED2"/>
    <w:rsid w:val="004732E7"/>
    <w:rsid w:val="00473705"/>
    <w:rsid w:val="00473C6A"/>
    <w:rsid w:val="00475160"/>
    <w:rsid w:val="00475203"/>
    <w:rsid w:val="00476F32"/>
    <w:rsid w:val="00477E84"/>
    <w:rsid w:val="004809A4"/>
    <w:rsid w:val="00480FA3"/>
    <w:rsid w:val="00484A1A"/>
    <w:rsid w:val="00484D03"/>
    <w:rsid w:val="00485BA6"/>
    <w:rsid w:val="00486452"/>
    <w:rsid w:val="00487C43"/>
    <w:rsid w:val="00490443"/>
    <w:rsid w:val="0049128F"/>
    <w:rsid w:val="004916D9"/>
    <w:rsid w:val="00492E12"/>
    <w:rsid w:val="004933D3"/>
    <w:rsid w:val="00493E56"/>
    <w:rsid w:val="004947D8"/>
    <w:rsid w:val="00495A06"/>
    <w:rsid w:val="00496418"/>
    <w:rsid w:val="00496A7F"/>
    <w:rsid w:val="00496E7E"/>
    <w:rsid w:val="004971DA"/>
    <w:rsid w:val="0049774D"/>
    <w:rsid w:val="00497B06"/>
    <w:rsid w:val="004A0BD3"/>
    <w:rsid w:val="004A285C"/>
    <w:rsid w:val="004A5C82"/>
    <w:rsid w:val="004A6006"/>
    <w:rsid w:val="004A6638"/>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5223"/>
    <w:rsid w:val="004C5767"/>
    <w:rsid w:val="004C5AF3"/>
    <w:rsid w:val="004C5B22"/>
    <w:rsid w:val="004C5B5A"/>
    <w:rsid w:val="004C5FB0"/>
    <w:rsid w:val="004C6B2A"/>
    <w:rsid w:val="004C7134"/>
    <w:rsid w:val="004C7A36"/>
    <w:rsid w:val="004C7BB1"/>
    <w:rsid w:val="004C7FEE"/>
    <w:rsid w:val="004C7FFA"/>
    <w:rsid w:val="004D17C0"/>
    <w:rsid w:val="004D1962"/>
    <w:rsid w:val="004D19EE"/>
    <w:rsid w:val="004D2C19"/>
    <w:rsid w:val="004D45FA"/>
    <w:rsid w:val="004D4BA0"/>
    <w:rsid w:val="004D4D66"/>
    <w:rsid w:val="004D536C"/>
    <w:rsid w:val="004D56A7"/>
    <w:rsid w:val="004D6DEE"/>
    <w:rsid w:val="004E0D46"/>
    <w:rsid w:val="004E1711"/>
    <w:rsid w:val="004E1E54"/>
    <w:rsid w:val="004E2425"/>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7E8"/>
    <w:rsid w:val="004F5A9B"/>
    <w:rsid w:val="004F7160"/>
    <w:rsid w:val="004F7A22"/>
    <w:rsid w:val="00501BF1"/>
    <w:rsid w:val="00501FE0"/>
    <w:rsid w:val="00502BA9"/>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52B"/>
    <w:rsid w:val="005169C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19DF"/>
    <w:rsid w:val="00543134"/>
    <w:rsid w:val="0054318A"/>
    <w:rsid w:val="00543CE3"/>
    <w:rsid w:val="00544B37"/>
    <w:rsid w:val="00544C1D"/>
    <w:rsid w:val="00545FAE"/>
    <w:rsid w:val="00546502"/>
    <w:rsid w:val="00546F63"/>
    <w:rsid w:val="00547112"/>
    <w:rsid w:val="005471E7"/>
    <w:rsid w:val="005476EF"/>
    <w:rsid w:val="005478E4"/>
    <w:rsid w:val="00547CE0"/>
    <w:rsid w:val="005517FF"/>
    <w:rsid w:val="00551877"/>
    <w:rsid w:val="00552605"/>
    <w:rsid w:val="00553194"/>
    <w:rsid w:val="0055410B"/>
    <w:rsid w:val="005542D1"/>
    <w:rsid w:val="00554960"/>
    <w:rsid w:val="00554A53"/>
    <w:rsid w:val="005558B7"/>
    <w:rsid w:val="00555E31"/>
    <w:rsid w:val="00555F57"/>
    <w:rsid w:val="00555FC1"/>
    <w:rsid w:val="00556345"/>
    <w:rsid w:val="0055649E"/>
    <w:rsid w:val="00557311"/>
    <w:rsid w:val="00557829"/>
    <w:rsid w:val="005603F5"/>
    <w:rsid w:val="00560D0B"/>
    <w:rsid w:val="00561167"/>
    <w:rsid w:val="00561613"/>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3FAE"/>
    <w:rsid w:val="00594334"/>
    <w:rsid w:val="00594A40"/>
    <w:rsid w:val="005958F2"/>
    <w:rsid w:val="00595ACD"/>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A7727"/>
    <w:rsid w:val="005B03A6"/>
    <w:rsid w:val="005B104C"/>
    <w:rsid w:val="005B1F09"/>
    <w:rsid w:val="005B2827"/>
    <w:rsid w:val="005B2A4B"/>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3B0D"/>
    <w:rsid w:val="005C433E"/>
    <w:rsid w:val="005C640D"/>
    <w:rsid w:val="005C72BE"/>
    <w:rsid w:val="005C77B4"/>
    <w:rsid w:val="005C7ABE"/>
    <w:rsid w:val="005D00CA"/>
    <w:rsid w:val="005D1315"/>
    <w:rsid w:val="005D5179"/>
    <w:rsid w:val="005D561A"/>
    <w:rsid w:val="005D5EE3"/>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1D65"/>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27EB"/>
    <w:rsid w:val="0061363E"/>
    <w:rsid w:val="006141A3"/>
    <w:rsid w:val="0061542D"/>
    <w:rsid w:val="00617820"/>
    <w:rsid w:val="00620144"/>
    <w:rsid w:val="006210B8"/>
    <w:rsid w:val="00621557"/>
    <w:rsid w:val="00621A78"/>
    <w:rsid w:val="00621A7E"/>
    <w:rsid w:val="00621ACD"/>
    <w:rsid w:val="00622AEF"/>
    <w:rsid w:val="0062352A"/>
    <w:rsid w:val="0062358C"/>
    <w:rsid w:val="00624B3C"/>
    <w:rsid w:val="0062686F"/>
    <w:rsid w:val="00627344"/>
    <w:rsid w:val="00627A06"/>
    <w:rsid w:val="006300E5"/>
    <w:rsid w:val="00630B5C"/>
    <w:rsid w:val="00631B08"/>
    <w:rsid w:val="00631EA6"/>
    <w:rsid w:val="0063272C"/>
    <w:rsid w:val="00632D50"/>
    <w:rsid w:val="0063313F"/>
    <w:rsid w:val="0063360E"/>
    <w:rsid w:val="006336FC"/>
    <w:rsid w:val="006343CE"/>
    <w:rsid w:val="006344C2"/>
    <w:rsid w:val="00635315"/>
    <w:rsid w:val="00635CE8"/>
    <w:rsid w:val="0063716B"/>
    <w:rsid w:val="0063774B"/>
    <w:rsid w:val="00640F7A"/>
    <w:rsid w:val="00641192"/>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24C3"/>
    <w:rsid w:val="006630C0"/>
    <w:rsid w:val="00663EF8"/>
    <w:rsid w:val="006641E4"/>
    <w:rsid w:val="00664DDB"/>
    <w:rsid w:val="006652D3"/>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9DA"/>
    <w:rsid w:val="00675FAF"/>
    <w:rsid w:val="0067665B"/>
    <w:rsid w:val="0067673F"/>
    <w:rsid w:val="0068058C"/>
    <w:rsid w:val="00680976"/>
    <w:rsid w:val="006813D4"/>
    <w:rsid w:val="00681C89"/>
    <w:rsid w:val="00682C68"/>
    <w:rsid w:val="0068323B"/>
    <w:rsid w:val="00684A68"/>
    <w:rsid w:val="006854F7"/>
    <w:rsid w:val="006867F6"/>
    <w:rsid w:val="00687131"/>
    <w:rsid w:val="00690824"/>
    <w:rsid w:val="006909CE"/>
    <w:rsid w:val="0069264E"/>
    <w:rsid w:val="00692721"/>
    <w:rsid w:val="00692C9B"/>
    <w:rsid w:val="00693568"/>
    <w:rsid w:val="00693F24"/>
    <w:rsid w:val="00694406"/>
    <w:rsid w:val="00694FF9"/>
    <w:rsid w:val="0069563C"/>
    <w:rsid w:val="0069687F"/>
    <w:rsid w:val="00696C70"/>
    <w:rsid w:val="006976AE"/>
    <w:rsid w:val="006A0197"/>
    <w:rsid w:val="006A1CE8"/>
    <w:rsid w:val="006A27B0"/>
    <w:rsid w:val="006A3CD8"/>
    <w:rsid w:val="006A3F0E"/>
    <w:rsid w:val="006A436F"/>
    <w:rsid w:val="006A4B31"/>
    <w:rsid w:val="006A4EE4"/>
    <w:rsid w:val="006A6058"/>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F60"/>
    <w:rsid w:val="006C0EE8"/>
    <w:rsid w:val="006C181F"/>
    <w:rsid w:val="006C1849"/>
    <w:rsid w:val="006C1B75"/>
    <w:rsid w:val="006C202E"/>
    <w:rsid w:val="006C2101"/>
    <w:rsid w:val="006C26D7"/>
    <w:rsid w:val="006C486E"/>
    <w:rsid w:val="006C5433"/>
    <w:rsid w:val="006C621B"/>
    <w:rsid w:val="006C6597"/>
    <w:rsid w:val="006C75D4"/>
    <w:rsid w:val="006C7877"/>
    <w:rsid w:val="006C7C6C"/>
    <w:rsid w:val="006D028D"/>
    <w:rsid w:val="006D058B"/>
    <w:rsid w:val="006D120C"/>
    <w:rsid w:val="006D197D"/>
    <w:rsid w:val="006D1BD8"/>
    <w:rsid w:val="006D308F"/>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3DD4"/>
    <w:rsid w:val="006E47C0"/>
    <w:rsid w:val="006E5A26"/>
    <w:rsid w:val="006E6494"/>
    <w:rsid w:val="006E77BC"/>
    <w:rsid w:val="006F0C57"/>
    <w:rsid w:val="006F189D"/>
    <w:rsid w:val="006F2643"/>
    <w:rsid w:val="006F2E79"/>
    <w:rsid w:val="006F31E7"/>
    <w:rsid w:val="006F4911"/>
    <w:rsid w:val="006F4D4E"/>
    <w:rsid w:val="006F500C"/>
    <w:rsid w:val="006F6740"/>
    <w:rsid w:val="006F6D06"/>
    <w:rsid w:val="007003FE"/>
    <w:rsid w:val="00700502"/>
    <w:rsid w:val="00701DD1"/>
    <w:rsid w:val="00701F08"/>
    <w:rsid w:val="00702914"/>
    <w:rsid w:val="00702CB5"/>
    <w:rsid w:val="00703709"/>
    <w:rsid w:val="00704995"/>
    <w:rsid w:val="00704DF2"/>
    <w:rsid w:val="00704F1C"/>
    <w:rsid w:val="00706508"/>
    <w:rsid w:val="00707062"/>
    <w:rsid w:val="0070731E"/>
    <w:rsid w:val="00710571"/>
    <w:rsid w:val="007106CF"/>
    <w:rsid w:val="007107A4"/>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1B9D"/>
    <w:rsid w:val="00722835"/>
    <w:rsid w:val="00722F83"/>
    <w:rsid w:val="007234C8"/>
    <w:rsid w:val="00723F60"/>
    <w:rsid w:val="00724377"/>
    <w:rsid w:val="0072505B"/>
    <w:rsid w:val="00725496"/>
    <w:rsid w:val="00726CF5"/>
    <w:rsid w:val="00727898"/>
    <w:rsid w:val="007279CD"/>
    <w:rsid w:val="0073119A"/>
    <w:rsid w:val="007316EC"/>
    <w:rsid w:val="00731BFC"/>
    <w:rsid w:val="00732118"/>
    <w:rsid w:val="007336EF"/>
    <w:rsid w:val="00733DF4"/>
    <w:rsid w:val="0073435D"/>
    <w:rsid w:val="0073483A"/>
    <w:rsid w:val="007371F0"/>
    <w:rsid w:val="00737235"/>
    <w:rsid w:val="0073730F"/>
    <w:rsid w:val="00737A18"/>
    <w:rsid w:val="00737B34"/>
    <w:rsid w:val="00737DED"/>
    <w:rsid w:val="00737F4B"/>
    <w:rsid w:val="007409D0"/>
    <w:rsid w:val="00741431"/>
    <w:rsid w:val="0074204B"/>
    <w:rsid w:val="00742122"/>
    <w:rsid w:val="00742978"/>
    <w:rsid w:val="0074342F"/>
    <w:rsid w:val="00743907"/>
    <w:rsid w:val="00743F32"/>
    <w:rsid w:val="00744CEC"/>
    <w:rsid w:val="00744F40"/>
    <w:rsid w:val="00745130"/>
    <w:rsid w:val="007464E3"/>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5D4"/>
    <w:rsid w:val="00757D09"/>
    <w:rsid w:val="00760266"/>
    <w:rsid w:val="00760364"/>
    <w:rsid w:val="00761E68"/>
    <w:rsid w:val="007624BA"/>
    <w:rsid w:val="00764057"/>
    <w:rsid w:val="007641D1"/>
    <w:rsid w:val="00764264"/>
    <w:rsid w:val="00764BB1"/>
    <w:rsid w:val="00766C5E"/>
    <w:rsid w:val="0076749A"/>
    <w:rsid w:val="007675A5"/>
    <w:rsid w:val="007704E4"/>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0F97"/>
    <w:rsid w:val="00781B81"/>
    <w:rsid w:val="00782046"/>
    <w:rsid w:val="00784104"/>
    <w:rsid w:val="00784744"/>
    <w:rsid w:val="00784F32"/>
    <w:rsid w:val="007859E0"/>
    <w:rsid w:val="00785C95"/>
    <w:rsid w:val="00785FBD"/>
    <w:rsid w:val="00786176"/>
    <w:rsid w:val="007864A0"/>
    <w:rsid w:val="00786825"/>
    <w:rsid w:val="0078695B"/>
    <w:rsid w:val="00786D71"/>
    <w:rsid w:val="00786EBD"/>
    <w:rsid w:val="00787C3E"/>
    <w:rsid w:val="00787EB6"/>
    <w:rsid w:val="007907B2"/>
    <w:rsid w:val="0079125B"/>
    <w:rsid w:val="007915FB"/>
    <w:rsid w:val="00791A2E"/>
    <w:rsid w:val="00791CB7"/>
    <w:rsid w:val="00791DF5"/>
    <w:rsid w:val="007922D6"/>
    <w:rsid w:val="007928DF"/>
    <w:rsid w:val="00793ABC"/>
    <w:rsid w:val="00794FCD"/>
    <w:rsid w:val="00795456"/>
    <w:rsid w:val="00796168"/>
    <w:rsid w:val="007966D2"/>
    <w:rsid w:val="00797E5B"/>
    <w:rsid w:val="007A041D"/>
    <w:rsid w:val="007A07E9"/>
    <w:rsid w:val="007A3974"/>
    <w:rsid w:val="007A424A"/>
    <w:rsid w:val="007A431C"/>
    <w:rsid w:val="007A452D"/>
    <w:rsid w:val="007A4C7E"/>
    <w:rsid w:val="007A55F1"/>
    <w:rsid w:val="007A5B2C"/>
    <w:rsid w:val="007A634D"/>
    <w:rsid w:val="007A63C6"/>
    <w:rsid w:val="007A6723"/>
    <w:rsid w:val="007B0C7D"/>
    <w:rsid w:val="007B160E"/>
    <w:rsid w:val="007B188F"/>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3AF"/>
    <w:rsid w:val="007C6867"/>
    <w:rsid w:val="007C6B75"/>
    <w:rsid w:val="007C7797"/>
    <w:rsid w:val="007C7874"/>
    <w:rsid w:val="007C7981"/>
    <w:rsid w:val="007D18D9"/>
    <w:rsid w:val="007D1E45"/>
    <w:rsid w:val="007D334B"/>
    <w:rsid w:val="007D366D"/>
    <w:rsid w:val="007D3AEB"/>
    <w:rsid w:val="007D3C90"/>
    <w:rsid w:val="007D42C4"/>
    <w:rsid w:val="007D461F"/>
    <w:rsid w:val="007D547A"/>
    <w:rsid w:val="007D5C1A"/>
    <w:rsid w:val="007D5D0A"/>
    <w:rsid w:val="007D640A"/>
    <w:rsid w:val="007D6446"/>
    <w:rsid w:val="007D6474"/>
    <w:rsid w:val="007D6B17"/>
    <w:rsid w:val="007D7443"/>
    <w:rsid w:val="007D7606"/>
    <w:rsid w:val="007E0704"/>
    <w:rsid w:val="007E0B33"/>
    <w:rsid w:val="007E0C3C"/>
    <w:rsid w:val="007E13D5"/>
    <w:rsid w:val="007E19D0"/>
    <w:rsid w:val="007E379E"/>
    <w:rsid w:val="007E484F"/>
    <w:rsid w:val="007E5BCD"/>
    <w:rsid w:val="007E6169"/>
    <w:rsid w:val="007E619A"/>
    <w:rsid w:val="007E757A"/>
    <w:rsid w:val="007E7602"/>
    <w:rsid w:val="007F0B1C"/>
    <w:rsid w:val="007F18EF"/>
    <w:rsid w:val="007F2BAB"/>
    <w:rsid w:val="007F2C9F"/>
    <w:rsid w:val="007F2E89"/>
    <w:rsid w:val="007F2ED3"/>
    <w:rsid w:val="007F345F"/>
    <w:rsid w:val="007F4681"/>
    <w:rsid w:val="007F5EE4"/>
    <w:rsid w:val="007F64C4"/>
    <w:rsid w:val="007F6F33"/>
    <w:rsid w:val="007F6FD8"/>
    <w:rsid w:val="007F77A0"/>
    <w:rsid w:val="007F77C4"/>
    <w:rsid w:val="007F7EBD"/>
    <w:rsid w:val="00800552"/>
    <w:rsid w:val="00800C49"/>
    <w:rsid w:val="0080195C"/>
    <w:rsid w:val="00801B49"/>
    <w:rsid w:val="00803744"/>
    <w:rsid w:val="00803901"/>
    <w:rsid w:val="0080422A"/>
    <w:rsid w:val="008047D6"/>
    <w:rsid w:val="008048DC"/>
    <w:rsid w:val="00804B66"/>
    <w:rsid w:val="0080537A"/>
    <w:rsid w:val="00805405"/>
    <w:rsid w:val="0080560E"/>
    <w:rsid w:val="00805700"/>
    <w:rsid w:val="00807D21"/>
    <w:rsid w:val="00807DF2"/>
    <w:rsid w:val="008115FC"/>
    <w:rsid w:val="008116BA"/>
    <w:rsid w:val="008120AB"/>
    <w:rsid w:val="008123A7"/>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7EA"/>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0851"/>
    <w:rsid w:val="00831591"/>
    <w:rsid w:val="0083173B"/>
    <w:rsid w:val="00832BB9"/>
    <w:rsid w:val="00832C9C"/>
    <w:rsid w:val="00832FE7"/>
    <w:rsid w:val="008330A3"/>
    <w:rsid w:val="008352AA"/>
    <w:rsid w:val="0083564E"/>
    <w:rsid w:val="008356E6"/>
    <w:rsid w:val="00835A9F"/>
    <w:rsid w:val="00835D93"/>
    <w:rsid w:val="008408F1"/>
    <w:rsid w:val="008419E1"/>
    <w:rsid w:val="00841B10"/>
    <w:rsid w:val="00841C87"/>
    <w:rsid w:val="008423F6"/>
    <w:rsid w:val="00842E9E"/>
    <w:rsid w:val="00843D66"/>
    <w:rsid w:val="00844186"/>
    <w:rsid w:val="00844782"/>
    <w:rsid w:val="00844C17"/>
    <w:rsid w:val="0084508C"/>
    <w:rsid w:val="00846F5E"/>
    <w:rsid w:val="00847DC2"/>
    <w:rsid w:val="0085021D"/>
    <w:rsid w:val="008502AB"/>
    <w:rsid w:val="0085041D"/>
    <w:rsid w:val="008504C2"/>
    <w:rsid w:val="00850664"/>
    <w:rsid w:val="00851C46"/>
    <w:rsid w:val="00851FAC"/>
    <w:rsid w:val="00853466"/>
    <w:rsid w:val="00853A8C"/>
    <w:rsid w:val="0085433B"/>
    <w:rsid w:val="00856AF0"/>
    <w:rsid w:val="008605EB"/>
    <w:rsid w:val="00860633"/>
    <w:rsid w:val="00860EB3"/>
    <w:rsid w:val="00861C93"/>
    <w:rsid w:val="00862912"/>
    <w:rsid w:val="00862A3F"/>
    <w:rsid w:val="008630B5"/>
    <w:rsid w:val="00863992"/>
    <w:rsid w:val="00866902"/>
    <w:rsid w:val="00867E9C"/>
    <w:rsid w:val="00870C2E"/>
    <w:rsid w:val="00870C9A"/>
    <w:rsid w:val="00870DAA"/>
    <w:rsid w:val="008718B4"/>
    <w:rsid w:val="0087271C"/>
    <w:rsid w:val="00873262"/>
    <w:rsid w:val="008738DA"/>
    <w:rsid w:val="00873E15"/>
    <w:rsid w:val="00875BB4"/>
    <w:rsid w:val="00875C89"/>
    <w:rsid w:val="00875E24"/>
    <w:rsid w:val="008766F4"/>
    <w:rsid w:val="00876A12"/>
    <w:rsid w:val="00877339"/>
    <w:rsid w:val="008806E7"/>
    <w:rsid w:val="00881B78"/>
    <w:rsid w:val="008825A4"/>
    <w:rsid w:val="008845A2"/>
    <w:rsid w:val="008847BC"/>
    <w:rsid w:val="008850E2"/>
    <w:rsid w:val="00890D46"/>
    <w:rsid w:val="00890D61"/>
    <w:rsid w:val="00892B45"/>
    <w:rsid w:val="008932A6"/>
    <w:rsid w:val="00893383"/>
    <w:rsid w:val="008934E9"/>
    <w:rsid w:val="008939C0"/>
    <w:rsid w:val="00893A3C"/>
    <w:rsid w:val="008964FA"/>
    <w:rsid w:val="0089798C"/>
    <w:rsid w:val="008A0E66"/>
    <w:rsid w:val="008A1166"/>
    <w:rsid w:val="008A12BF"/>
    <w:rsid w:val="008A35E3"/>
    <w:rsid w:val="008A3958"/>
    <w:rsid w:val="008A4D24"/>
    <w:rsid w:val="008A5786"/>
    <w:rsid w:val="008A5BD7"/>
    <w:rsid w:val="008A7931"/>
    <w:rsid w:val="008A79B4"/>
    <w:rsid w:val="008A7EF3"/>
    <w:rsid w:val="008B00D4"/>
    <w:rsid w:val="008B04BF"/>
    <w:rsid w:val="008B0F3C"/>
    <w:rsid w:val="008B15B5"/>
    <w:rsid w:val="008B36ED"/>
    <w:rsid w:val="008B3802"/>
    <w:rsid w:val="008B4097"/>
    <w:rsid w:val="008B4926"/>
    <w:rsid w:val="008B5F11"/>
    <w:rsid w:val="008B63BC"/>
    <w:rsid w:val="008B63E8"/>
    <w:rsid w:val="008B6AB5"/>
    <w:rsid w:val="008C03D3"/>
    <w:rsid w:val="008C07F0"/>
    <w:rsid w:val="008C0930"/>
    <w:rsid w:val="008C2766"/>
    <w:rsid w:val="008C2804"/>
    <w:rsid w:val="008C3720"/>
    <w:rsid w:val="008C3759"/>
    <w:rsid w:val="008C3D0C"/>
    <w:rsid w:val="008C41D2"/>
    <w:rsid w:val="008C4C90"/>
    <w:rsid w:val="008C4CFD"/>
    <w:rsid w:val="008C6E36"/>
    <w:rsid w:val="008D06D5"/>
    <w:rsid w:val="008D0D53"/>
    <w:rsid w:val="008D0E59"/>
    <w:rsid w:val="008D1D33"/>
    <w:rsid w:val="008D32CC"/>
    <w:rsid w:val="008D3ABD"/>
    <w:rsid w:val="008D3F7C"/>
    <w:rsid w:val="008D5BBE"/>
    <w:rsid w:val="008D629F"/>
    <w:rsid w:val="008D6CA2"/>
    <w:rsid w:val="008D6E21"/>
    <w:rsid w:val="008E0093"/>
    <w:rsid w:val="008E1645"/>
    <w:rsid w:val="008E17F9"/>
    <w:rsid w:val="008E30D5"/>
    <w:rsid w:val="008E36BD"/>
    <w:rsid w:val="008E42AE"/>
    <w:rsid w:val="008E4DE4"/>
    <w:rsid w:val="008E5F19"/>
    <w:rsid w:val="008F00EF"/>
    <w:rsid w:val="008F0DCF"/>
    <w:rsid w:val="008F1087"/>
    <w:rsid w:val="008F16CD"/>
    <w:rsid w:val="008F19DB"/>
    <w:rsid w:val="008F2B7A"/>
    <w:rsid w:val="008F5F5D"/>
    <w:rsid w:val="008F6FA5"/>
    <w:rsid w:val="008F7097"/>
    <w:rsid w:val="00900381"/>
    <w:rsid w:val="009017BE"/>
    <w:rsid w:val="00901E57"/>
    <w:rsid w:val="0090391A"/>
    <w:rsid w:val="00903BA4"/>
    <w:rsid w:val="00905BF4"/>
    <w:rsid w:val="00906433"/>
    <w:rsid w:val="00906901"/>
    <w:rsid w:val="0090717C"/>
    <w:rsid w:val="00907A63"/>
    <w:rsid w:val="00907C1C"/>
    <w:rsid w:val="00910371"/>
    <w:rsid w:val="00912107"/>
    <w:rsid w:val="00912289"/>
    <w:rsid w:val="00912A7F"/>
    <w:rsid w:val="00912ACC"/>
    <w:rsid w:val="009131EE"/>
    <w:rsid w:val="00913C94"/>
    <w:rsid w:val="00914674"/>
    <w:rsid w:val="00914E1D"/>
    <w:rsid w:val="00915695"/>
    <w:rsid w:val="00915991"/>
    <w:rsid w:val="00915A00"/>
    <w:rsid w:val="00916187"/>
    <w:rsid w:val="00917527"/>
    <w:rsid w:val="00920507"/>
    <w:rsid w:val="00920C44"/>
    <w:rsid w:val="00920D0B"/>
    <w:rsid w:val="0092245A"/>
    <w:rsid w:val="00922863"/>
    <w:rsid w:val="00922994"/>
    <w:rsid w:val="009230C6"/>
    <w:rsid w:val="00923F0C"/>
    <w:rsid w:val="00924CCA"/>
    <w:rsid w:val="009255EE"/>
    <w:rsid w:val="00925763"/>
    <w:rsid w:val="00925DAB"/>
    <w:rsid w:val="00926590"/>
    <w:rsid w:val="00926FC2"/>
    <w:rsid w:val="0092717A"/>
    <w:rsid w:val="009277E3"/>
    <w:rsid w:val="00931522"/>
    <w:rsid w:val="0093289F"/>
    <w:rsid w:val="00932B62"/>
    <w:rsid w:val="00933451"/>
    <w:rsid w:val="00933925"/>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4565"/>
    <w:rsid w:val="0094534C"/>
    <w:rsid w:val="009455A9"/>
    <w:rsid w:val="00945666"/>
    <w:rsid w:val="0094566F"/>
    <w:rsid w:val="00945CFD"/>
    <w:rsid w:val="00945EAA"/>
    <w:rsid w:val="009468B3"/>
    <w:rsid w:val="00946AEC"/>
    <w:rsid w:val="009472B6"/>
    <w:rsid w:val="00947383"/>
    <w:rsid w:val="00947FAC"/>
    <w:rsid w:val="00950050"/>
    <w:rsid w:val="00950641"/>
    <w:rsid w:val="00950806"/>
    <w:rsid w:val="00950832"/>
    <w:rsid w:val="009509A5"/>
    <w:rsid w:val="00950AA7"/>
    <w:rsid w:val="00950ED2"/>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603"/>
    <w:rsid w:val="00967AD1"/>
    <w:rsid w:val="00967B6C"/>
    <w:rsid w:val="00971694"/>
    <w:rsid w:val="00971A9A"/>
    <w:rsid w:val="00971AF5"/>
    <w:rsid w:val="00972C97"/>
    <w:rsid w:val="00972E8D"/>
    <w:rsid w:val="00973BAC"/>
    <w:rsid w:val="00974218"/>
    <w:rsid w:val="009760D1"/>
    <w:rsid w:val="00976F6F"/>
    <w:rsid w:val="009776D0"/>
    <w:rsid w:val="00980672"/>
    <w:rsid w:val="0098073C"/>
    <w:rsid w:val="0098084F"/>
    <w:rsid w:val="00981C0C"/>
    <w:rsid w:val="009833F0"/>
    <w:rsid w:val="009839E5"/>
    <w:rsid w:val="00983EFF"/>
    <w:rsid w:val="00984ABB"/>
    <w:rsid w:val="00984ADC"/>
    <w:rsid w:val="00984E0B"/>
    <w:rsid w:val="0098534A"/>
    <w:rsid w:val="00985E10"/>
    <w:rsid w:val="00985EB0"/>
    <w:rsid w:val="009863A4"/>
    <w:rsid w:val="00986A66"/>
    <w:rsid w:val="00987024"/>
    <w:rsid w:val="00987958"/>
    <w:rsid w:val="00987F7A"/>
    <w:rsid w:val="00990670"/>
    <w:rsid w:val="00992B09"/>
    <w:rsid w:val="00993A4D"/>
    <w:rsid w:val="009948A3"/>
    <w:rsid w:val="00995424"/>
    <w:rsid w:val="00995DCD"/>
    <w:rsid w:val="009963D1"/>
    <w:rsid w:val="00996CD4"/>
    <w:rsid w:val="009A12AF"/>
    <w:rsid w:val="009A1550"/>
    <w:rsid w:val="009A1D82"/>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43EB"/>
    <w:rsid w:val="009B5205"/>
    <w:rsid w:val="009B56E7"/>
    <w:rsid w:val="009B6C7A"/>
    <w:rsid w:val="009B78FA"/>
    <w:rsid w:val="009C1089"/>
    <w:rsid w:val="009C3465"/>
    <w:rsid w:val="009C38CC"/>
    <w:rsid w:val="009C44AA"/>
    <w:rsid w:val="009C4ECD"/>
    <w:rsid w:val="009C5684"/>
    <w:rsid w:val="009C62B3"/>
    <w:rsid w:val="009C67FF"/>
    <w:rsid w:val="009C6E45"/>
    <w:rsid w:val="009C71DF"/>
    <w:rsid w:val="009C7765"/>
    <w:rsid w:val="009D06B2"/>
    <w:rsid w:val="009D0EB7"/>
    <w:rsid w:val="009D1E1F"/>
    <w:rsid w:val="009D2A72"/>
    <w:rsid w:val="009D3CE5"/>
    <w:rsid w:val="009D5ACF"/>
    <w:rsid w:val="009D5AF4"/>
    <w:rsid w:val="009D5B99"/>
    <w:rsid w:val="009D62D4"/>
    <w:rsid w:val="009D7AF8"/>
    <w:rsid w:val="009E05D8"/>
    <w:rsid w:val="009E0CE4"/>
    <w:rsid w:val="009E1122"/>
    <w:rsid w:val="009E1227"/>
    <w:rsid w:val="009E1D31"/>
    <w:rsid w:val="009E278F"/>
    <w:rsid w:val="009E2A2C"/>
    <w:rsid w:val="009E2B7D"/>
    <w:rsid w:val="009E30DC"/>
    <w:rsid w:val="009E32D9"/>
    <w:rsid w:val="009E374B"/>
    <w:rsid w:val="009E42CD"/>
    <w:rsid w:val="009E61DE"/>
    <w:rsid w:val="009E6491"/>
    <w:rsid w:val="009E684A"/>
    <w:rsid w:val="009E6F74"/>
    <w:rsid w:val="009E733F"/>
    <w:rsid w:val="009F00F2"/>
    <w:rsid w:val="009F0695"/>
    <w:rsid w:val="009F0747"/>
    <w:rsid w:val="009F1605"/>
    <w:rsid w:val="009F162F"/>
    <w:rsid w:val="009F1876"/>
    <w:rsid w:val="009F1ACA"/>
    <w:rsid w:val="009F1C41"/>
    <w:rsid w:val="009F2B39"/>
    <w:rsid w:val="009F312B"/>
    <w:rsid w:val="009F390C"/>
    <w:rsid w:val="009F52A9"/>
    <w:rsid w:val="009F5AE4"/>
    <w:rsid w:val="009F64BF"/>
    <w:rsid w:val="009F6E68"/>
    <w:rsid w:val="00A00BB3"/>
    <w:rsid w:val="00A00C3A"/>
    <w:rsid w:val="00A010E2"/>
    <w:rsid w:val="00A01763"/>
    <w:rsid w:val="00A01D02"/>
    <w:rsid w:val="00A02251"/>
    <w:rsid w:val="00A02598"/>
    <w:rsid w:val="00A03B2B"/>
    <w:rsid w:val="00A03E5C"/>
    <w:rsid w:val="00A03E97"/>
    <w:rsid w:val="00A0417E"/>
    <w:rsid w:val="00A042E5"/>
    <w:rsid w:val="00A04650"/>
    <w:rsid w:val="00A04BB4"/>
    <w:rsid w:val="00A057C3"/>
    <w:rsid w:val="00A05A79"/>
    <w:rsid w:val="00A06906"/>
    <w:rsid w:val="00A078ED"/>
    <w:rsid w:val="00A079F5"/>
    <w:rsid w:val="00A11966"/>
    <w:rsid w:val="00A12105"/>
    <w:rsid w:val="00A12797"/>
    <w:rsid w:val="00A13BBD"/>
    <w:rsid w:val="00A14455"/>
    <w:rsid w:val="00A14F1A"/>
    <w:rsid w:val="00A150E6"/>
    <w:rsid w:val="00A15CB5"/>
    <w:rsid w:val="00A165C4"/>
    <w:rsid w:val="00A16766"/>
    <w:rsid w:val="00A1773E"/>
    <w:rsid w:val="00A177EC"/>
    <w:rsid w:val="00A179B2"/>
    <w:rsid w:val="00A20953"/>
    <w:rsid w:val="00A212A9"/>
    <w:rsid w:val="00A213DA"/>
    <w:rsid w:val="00A21F35"/>
    <w:rsid w:val="00A222C4"/>
    <w:rsid w:val="00A2231B"/>
    <w:rsid w:val="00A2255B"/>
    <w:rsid w:val="00A22CF8"/>
    <w:rsid w:val="00A22EAE"/>
    <w:rsid w:val="00A23990"/>
    <w:rsid w:val="00A24D9C"/>
    <w:rsid w:val="00A25102"/>
    <w:rsid w:val="00A25E45"/>
    <w:rsid w:val="00A25E60"/>
    <w:rsid w:val="00A25FDA"/>
    <w:rsid w:val="00A26254"/>
    <w:rsid w:val="00A262F3"/>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C43"/>
    <w:rsid w:val="00A41B4A"/>
    <w:rsid w:val="00A42232"/>
    <w:rsid w:val="00A42B10"/>
    <w:rsid w:val="00A43CFC"/>
    <w:rsid w:val="00A444EA"/>
    <w:rsid w:val="00A44EF0"/>
    <w:rsid w:val="00A45B03"/>
    <w:rsid w:val="00A47547"/>
    <w:rsid w:val="00A4754D"/>
    <w:rsid w:val="00A50DF2"/>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07E2"/>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211"/>
    <w:rsid w:val="00A91590"/>
    <w:rsid w:val="00A92059"/>
    <w:rsid w:val="00A922B5"/>
    <w:rsid w:val="00A92DA8"/>
    <w:rsid w:val="00A93AEA"/>
    <w:rsid w:val="00A94383"/>
    <w:rsid w:val="00A9467E"/>
    <w:rsid w:val="00A9502B"/>
    <w:rsid w:val="00A952FC"/>
    <w:rsid w:val="00A953B8"/>
    <w:rsid w:val="00A9566D"/>
    <w:rsid w:val="00A95FBD"/>
    <w:rsid w:val="00A96AE7"/>
    <w:rsid w:val="00A96BCF"/>
    <w:rsid w:val="00A97436"/>
    <w:rsid w:val="00A97BFA"/>
    <w:rsid w:val="00A97E0C"/>
    <w:rsid w:val="00AA04F7"/>
    <w:rsid w:val="00AA2274"/>
    <w:rsid w:val="00AA27FA"/>
    <w:rsid w:val="00AA298B"/>
    <w:rsid w:val="00AA2F94"/>
    <w:rsid w:val="00AA3175"/>
    <w:rsid w:val="00AA4085"/>
    <w:rsid w:val="00AA64BE"/>
    <w:rsid w:val="00AA74CF"/>
    <w:rsid w:val="00AA7CA7"/>
    <w:rsid w:val="00AA7ECC"/>
    <w:rsid w:val="00AB1066"/>
    <w:rsid w:val="00AB14CA"/>
    <w:rsid w:val="00AB1D35"/>
    <w:rsid w:val="00AB1FF2"/>
    <w:rsid w:val="00AB4336"/>
    <w:rsid w:val="00AB484B"/>
    <w:rsid w:val="00AB523E"/>
    <w:rsid w:val="00AB54D3"/>
    <w:rsid w:val="00AB7C9C"/>
    <w:rsid w:val="00AC195F"/>
    <w:rsid w:val="00AC1F2C"/>
    <w:rsid w:val="00AC2267"/>
    <w:rsid w:val="00AC3AC6"/>
    <w:rsid w:val="00AC4D9F"/>
    <w:rsid w:val="00AC5044"/>
    <w:rsid w:val="00AC51E5"/>
    <w:rsid w:val="00AC5EC7"/>
    <w:rsid w:val="00AC663D"/>
    <w:rsid w:val="00AC7D48"/>
    <w:rsid w:val="00AD04A0"/>
    <w:rsid w:val="00AD18E5"/>
    <w:rsid w:val="00AD25D7"/>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EA5"/>
    <w:rsid w:val="00AE19A4"/>
    <w:rsid w:val="00AE1C63"/>
    <w:rsid w:val="00AE23E5"/>
    <w:rsid w:val="00AE242D"/>
    <w:rsid w:val="00AE35A0"/>
    <w:rsid w:val="00AE3692"/>
    <w:rsid w:val="00AE3B4E"/>
    <w:rsid w:val="00AE3D0F"/>
    <w:rsid w:val="00AE5570"/>
    <w:rsid w:val="00AE578C"/>
    <w:rsid w:val="00AE69B0"/>
    <w:rsid w:val="00AE7BBC"/>
    <w:rsid w:val="00AF0354"/>
    <w:rsid w:val="00AF0AF0"/>
    <w:rsid w:val="00AF2157"/>
    <w:rsid w:val="00AF2389"/>
    <w:rsid w:val="00AF2B4B"/>
    <w:rsid w:val="00AF2D57"/>
    <w:rsid w:val="00AF47FE"/>
    <w:rsid w:val="00AF4814"/>
    <w:rsid w:val="00AF4AEA"/>
    <w:rsid w:val="00AF54DD"/>
    <w:rsid w:val="00AF673B"/>
    <w:rsid w:val="00AF6BCB"/>
    <w:rsid w:val="00AF7C6D"/>
    <w:rsid w:val="00B007DA"/>
    <w:rsid w:val="00B01907"/>
    <w:rsid w:val="00B01B84"/>
    <w:rsid w:val="00B039E1"/>
    <w:rsid w:val="00B03F61"/>
    <w:rsid w:val="00B0608F"/>
    <w:rsid w:val="00B0783B"/>
    <w:rsid w:val="00B1091C"/>
    <w:rsid w:val="00B10D52"/>
    <w:rsid w:val="00B110B0"/>
    <w:rsid w:val="00B11E4E"/>
    <w:rsid w:val="00B12332"/>
    <w:rsid w:val="00B124EF"/>
    <w:rsid w:val="00B13256"/>
    <w:rsid w:val="00B134C9"/>
    <w:rsid w:val="00B13FAE"/>
    <w:rsid w:val="00B141B6"/>
    <w:rsid w:val="00B14239"/>
    <w:rsid w:val="00B14544"/>
    <w:rsid w:val="00B14E6A"/>
    <w:rsid w:val="00B1572C"/>
    <w:rsid w:val="00B15A1B"/>
    <w:rsid w:val="00B1623B"/>
    <w:rsid w:val="00B16514"/>
    <w:rsid w:val="00B166E2"/>
    <w:rsid w:val="00B1747B"/>
    <w:rsid w:val="00B178B1"/>
    <w:rsid w:val="00B20293"/>
    <w:rsid w:val="00B208E7"/>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2082"/>
    <w:rsid w:val="00B3378F"/>
    <w:rsid w:val="00B33AE2"/>
    <w:rsid w:val="00B35841"/>
    <w:rsid w:val="00B369F1"/>
    <w:rsid w:val="00B36C2C"/>
    <w:rsid w:val="00B36FD2"/>
    <w:rsid w:val="00B379DB"/>
    <w:rsid w:val="00B37AFB"/>
    <w:rsid w:val="00B40885"/>
    <w:rsid w:val="00B41A4D"/>
    <w:rsid w:val="00B4299C"/>
    <w:rsid w:val="00B4325D"/>
    <w:rsid w:val="00B4499D"/>
    <w:rsid w:val="00B4536A"/>
    <w:rsid w:val="00B455D6"/>
    <w:rsid w:val="00B467DB"/>
    <w:rsid w:val="00B477D1"/>
    <w:rsid w:val="00B47918"/>
    <w:rsid w:val="00B512F7"/>
    <w:rsid w:val="00B51F46"/>
    <w:rsid w:val="00B53426"/>
    <w:rsid w:val="00B53790"/>
    <w:rsid w:val="00B5550C"/>
    <w:rsid w:val="00B55B45"/>
    <w:rsid w:val="00B56816"/>
    <w:rsid w:val="00B60C11"/>
    <w:rsid w:val="00B62A59"/>
    <w:rsid w:val="00B631B2"/>
    <w:rsid w:val="00B635B8"/>
    <w:rsid w:val="00B63FCF"/>
    <w:rsid w:val="00B654C1"/>
    <w:rsid w:val="00B65D9A"/>
    <w:rsid w:val="00B66249"/>
    <w:rsid w:val="00B6664C"/>
    <w:rsid w:val="00B6730F"/>
    <w:rsid w:val="00B67BB8"/>
    <w:rsid w:val="00B67F03"/>
    <w:rsid w:val="00B7163D"/>
    <w:rsid w:val="00B71AC1"/>
    <w:rsid w:val="00B724F0"/>
    <w:rsid w:val="00B72BF5"/>
    <w:rsid w:val="00B73015"/>
    <w:rsid w:val="00B73C23"/>
    <w:rsid w:val="00B7560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26A6"/>
    <w:rsid w:val="00B9327E"/>
    <w:rsid w:val="00B93425"/>
    <w:rsid w:val="00B9342F"/>
    <w:rsid w:val="00B93A7D"/>
    <w:rsid w:val="00B9544F"/>
    <w:rsid w:val="00B954A2"/>
    <w:rsid w:val="00B9558F"/>
    <w:rsid w:val="00B95B1F"/>
    <w:rsid w:val="00B95F1E"/>
    <w:rsid w:val="00B96657"/>
    <w:rsid w:val="00B96AEF"/>
    <w:rsid w:val="00B97A63"/>
    <w:rsid w:val="00BA01B3"/>
    <w:rsid w:val="00BA01BB"/>
    <w:rsid w:val="00BA0C7B"/>
    <w:rsid w:val="00BA0E9E"/>
    <w:rsid w:val="00BA1456"/>
    <w:rsid w:val="00BA2984"/>
    <w:rsid w:val="00BA30DD"/>
    <w:rsid w:val="00BA3185"/>
    <w:rsid w:val="00BA39F8"/>
    <w:rsid w:val="00BA4171"/>
    <w:rsid w:val="00BA4963"/>
    <w:rsid w:val="00BA4E90"/>
    <w:rsid w:val="00BA57F5"/>
    <w:rsid w:val="00BA7D27"/>
    <w:rsid w:val="00BB17E3"/>
    <w:rsid w:val="00BB1DCC"/>
    <w:rsid w:val="00BB2014"/>
    <w:rsid w:val="00BB28AE"/>
    <w:rsid w:val="00BB2E02"/>
    <w:rsid w:val="00BB4C26"/>
    <w:rsid w:val="00BB4DD6"/>
    <w:rsid w:val="00BB5CF1"/>
    <w:rsid w:val="00BB6E99"/>
    <w:rsid w:val="00BB70FE"/>
    <w:rsid w:val="00BB7447"/>
    <w:rsid w:val="00BB7820"/>
    <w:rsid w:val="00BB79D2"/>
    <w:rsid w:val="00BC21D1"/>
    <w:rsid w:val="00BC24FA"/>
    <w:rsid w:val="00BC2DED"/>
    <w:rsid w:val="00BC2E0A"/>
    <w:rsid w:val="00BC4CF9"/>
    <w:rsid w:val="00BC5D69"/>
    <w:rsid w:val="00BC622D"/>
    <w:rsid w:val="00BC752B"/>
    <w:rsid w:val="00BC7887"/>
    <w:rsid w:val="00BC79C5"/>
    <w:rsid w:val="00BC7C94"/>
    <w:rsid w:val="00BD03D0"/>
    <w:rsid w:val="00BD21EC"/>
    <w:rsid w:val="00BD2614"/>
    <w:rsid w:val="00BD2BDC"/>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8A"/>
    <w:rsid w:val="00BE30A8"/>
    <w:rsid w:val="00BE3253"/>
    <w:rsid w:val="00BE32FD"/>
    <w:rsid w:val="00BE3484"/>
    <w:rsid w:val="00BE394D"/>
    <w:rsid w:val="00BE39E3"/>
    <w:rsid w:val="00BE3A30"/>
    <w:rsid w:val="00BE3B3A"/>
    <w:rsid w:val="00BE3E00"/>
    <w:rsid w:val="00BE5698"/>
    <w:rsid w:val="00BE60FC"/>
    <w:rsid w:val="00BE6594"/>
    <w:rsid w:val="00BE6BA8"/>
    <w:rsid w:val="00BE7658"/>
    <w:rsid w:val="00BE7F54"/>
    <w:rsid w:val="00BF0A7E"/>
    <w:rsid w:val="00BF20C3"/>
    <w:rsid w:val="00BF2323"/>
    <w:rsid w:val="00BF296A"/>
    <w:rsid w:val="00BF29C2"/>
    <w:rsid w:val="00BF3D88"/>
    <w:rsid w:val="00BF4BB3"/>
    <w:rsid w:val="00BF5313"/>
    <w:rsid w:val="00BF6A24"/>
    <w:rsid w:val="00BF6F82"/>
    <w:rsid w:val="00BF743E"/>
    <w:rsid w:val="00BF7618"/>
    <w:rsid w:val="00C00185"/>
    <w:rsid w:val="00C00FB0"/>
    <w:rsid w:val="00C01326"/>
    <w:rsid w:val="00C01FCD"/>
    <w:rsid w:val="00C02B0E"/>
    <w:rsid w:val="00C02B95"/>
    <w:rsid w:val="00C02EBA"/>
    <w:rsid w:val="00C0303A"/>
    <w:rsid w:val="00C0410D"/>
    <w:rsid w:val="00C04A7D"/>
    <w:rsid w:val="00C04EFD"/>
    <w:rsid w:val="00C056FA"/>
    <w:rsid w:val="00C05DAC"/>
    <w:rsid w:val="00C06268"/>
    <w:rsid w:val="00C06993"/>
    <w:rsid w:val="00C06E85"/>
    <w:rsid w:val="00C071F0"/>
    <w:rsid w:val="00C10124"/>
    <w:rsid w:val="00C11554"/>
    <w:rsid w:val="00C11CF7"/>
    <w:rsid w:val="00C11DA2"/>
    <w:rsid w:val="00C12503"/>
    <w:rsid w:val="00C135A3"/>
    <w:rsid w:val="00C13B58"/>
    <w:rsid w:val="00C14061"/>
    <w:rsid w:val="00C1489A"/>
    <w:rsid w:val="00C14E00"/>
    <w:rsid w:val="00C15410"/>
    <w:rsid w:val="00C15531"/>
    <w:rsid w:val="00C158A1"/>
    <w:rsid w:val="00C15B39"/>
    <w:rsid w:val="00C16FC4"/>
    <w:rsid w:val="00C17206"/>
    <w:rsid w:val="00C1727B"/>
    <w:rsid w:val="00C20FBA"/>
    <w:rsid w:val="00C21A81"/>
    <w:rsid w:val="00C226B0"/>
    <w:rsid w:val="00C23762"/>
    <w:rsid w:val="00C23AF7"/>
    <w:rsid w:val="00C23B4B"/>
    <w:rsid w:val="00C24D7F"/>
    <w:rsid w:val="00C24F5C"/>
    <w:rsid w:val="00C24F72"/>
    <w:rsid w:val="00C25178"/>
    <w:rsid w:val="00C25E5A"/>
    <w:rsid w:val="00C26A78"/>
    <w:rsid w:val="00C27069"/>
    <w:rsid w:val="00C3082E"/>
    <w:rsid w:val="00C30D69"/>
    <w:rsid w:val="00C314D6"/>
    <w:rsid w:val="00C31D8B"/>
    <w:rsid w:val="00C31EAD"/>
    <w:rsid w:val="00C320BD"/>
    <w:rsid w:val="00C32419"/>
    <w:rsid w:val="00C32E4E"/>
    <w:rsid w:val="00C34541"/>
    <w:rsid w:val="00C34818"/>
    <w:rsid w:val="00C35995"/>
    <w:rsid w:val="00C35AE3"/>
    <w:rsid w:val="00C36919"/>
    <w:rsid w:val="00C37179"/>
    <w:rsid w:val="00C373A4"/>
    <w:rsid w:val="00C377FB"/>
    <w:rsid w:val="00C37A9D"/>
    <w:rsid w:val="00C4057A"/>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2F7"/>
    <w:rsid w:val="00C57CCD"/>
    <w:rsid w:val="00C57F35"/>
    <w:rsid w:val="00C57FCC"/>
    <w:rsid w:val="00C60C85"/>
    <w:rsid w:val="00C60DD3"/>
    <w:rsid w:val="00C610DD"/>
    <w:rsid w:val="00C611AF"/>
    <w:rsid w:val="00C61EFD"/>
    <w:rsid w:val="00C62B41"/>
    <w:rsid w:val="00C632F9"/>
    <w:rsid w:val="00C6575B"/>
    <w:rsid w:val="00C6604C"/>
    <w:rsid w:val="00C703A2"/>
    <w:rsid w:val="00C708FD"/>
    <w:rsid w:val="00C72298"/>
    <w:rsid w:val="00C7285C"/>
    <w:rsid w:val="00C73419"/>
    <w:rsid w:val="00C73934"/>
    <w:rsid w:val="00C73E52"/>
    <w:rsid w:val="00C7414B"/>
    <w:rsid w:val="00C7416F"/>
    <w:rsid w:val="00C743EF"/>
    <w:rsid w:val="00C75E69"/>
    <w:rsid w:val="00C7619F"/>
    <w:rsid w:val="00C76725"/>
    <w:rsid w:val="00C76988"/>
    <w:rsid w:val="00C77E6E"/>
    <w:rsid w:val="00C801E2"/>
    <w:rsid w:val="00C80857"/>
    <w:rsid w:val="00C83D63"/>
    <w:rsid w:val="00C84CAF"/>
    <w:rsid w:val="00C85281"/>
    <w:rsid w:val="00C8534A"/>
    <w:rsid w:val="00C8544D"/>
    <w:rsid w:val="00C8555C"/>
    <w:rsid w:val="00C85B33"/>
    <w:rsid w:val="00C86656"/>
    <w:rsid w:val="00C866AA"/>
    <w:rsid w:val="00C87CD6"/>
    <w:rsid w:val="00C904E7"/>
    <w:rsid w:val="00C90DA3"/>
    <w:rsid w:val="00C923D9"/>
    <w:rsid w:val="00C926A0"/>
    <w:rsid w:val="00C93120"/>
    <w:rsid w:val="00C93300"/>
    <w:rsid w:val="00C93D49"/>
    <w:rsid w:val="00C95418"/>
    <w:rsid w:val="00C95DDD"/>
    <w:rsid w:val="00CA113A"/>
    <w:rsid w:val="00CA14CE"/>
    <w:rsid w:val="00CA18CC"/>
    <w:rsid w:val="00CA1907"/>
    <w:rsid w:val="00CA1D3E"/>
    <w:rsid w:val="00CA2711"/>
    <w:rsid w:val="00CA27AA"/>
    <w:rsid w:val="00CA2BFD"/>
    <w:rsid w:val="00CA3FC4"/>
    <w:rsid w:val="00CA515A"/>
    <w:rsid w:val="00CA61F3"/>
    <w:rsid w:val="00CA68AF"/>
    <w:rsid w:val="00CA6DE5"/>
    <w:rsid w:val="00CB00EE"/>
    <w:rsid w:val="00CB1ED7"/>
    <w:rsid w:val="00CB2A2D"/>
    <w:rsid w:val="00CB2CA4"/>
    <w:rsid w:val="00CB3DC2"/>
    <w:rsid w:val="00CB3FB2"/>
    <w:rsid w:val="00CB4516"/>
    <w:rsid w:val="00CB4D14"/>
    <w:rsid w:val="00CB5E4B"/>
    <w:rsid w:val="00CB62A4"/>
    <w:rsid w:val="00CB7147"/>
    <w:rsid w:val="00CB7650"/>
    <w:rsid w:val="00CC0184"/>
    <w:rsid w:val="00CC058A"/>
    <w:rsid w:val="00CC2713"/>
    <w:rsid w:val="00CC2717"/>
    <w:rsid w:val="00CC29B4"/>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5066"/>
    <w:rsid w:val="00CD53D0"/>
    <w:rsid w:val="00CD5916"/>
    <w:rsid w:val="00CD608F"/>
    <w:rsid w:val="00CD6402"/>
    <w:rsid w:val="00CD72CD"/>
    <w:rsid w:val="00CD7948"/>
    <w:rsid w:val="00CE0CC5"/>
    <w:rsid w:val="00CE19F7"/>
    <w:rsid w:val="00CE254E"/>
    <w:rsid w:val="00CE3138"/>
    <w:rsid w:val="00CE36A6"/>
    <w:rsid w:val="00CE372E"/>
    <w:rsid w:val="00CE38FA"/>
    <w:rsid w:val="00CE38FF"/>
    <w:rsid w:val="00CE4F67"/>
    <w:rsid w:val="00CE52F1"/>
    <w:rsid w:val="00CE67D8"/>
    <w:rsid w:val="00CE6A06"/>
    <w:rsid w:val="00CE71C6"/>
    <w:rsid w:val="00CE7DB3"/>
    <w:rsid w:val="00CF0980"/>
    <w:rsid w:val="00CF36A9"/>
    <w:rsid w:val="00CF3C71"/>
    <w:rsid w:val="00CF43C2"/>
    <w:rsid w:val="00CF48E4"/>
    <w:rsid w:val="00CF4973"/>
    <w:rsid w:val="00CF552B"/>
    <w:rsid w:val="00CF5569"/>
    <w:rsid w:val="00CF60F4"/>
    <w:rsid w:val="00CF6C52"/>
    <w:rsid w:val="00CF73DB"/>
    <w:rsid w:val="00CF742D"/>
    <w:rsid w:val="00D00C1C"/>
    <w:rsid w:val="00D02377"/>
    <w:rsid w:val="00D02666"/>
    <w:rsid w:val="00D02BB4"/>
    <w:rsid w:val="00D03BE8"/>
    <w:rsid w:val="00D04495"/>
    <w:rsid w:val="00D04F93"/>
    <w:rsid w:val="00D05235"/>
    <w:rsid w:val="00D05255"/>
    <w:rsid w:val="00D05646"/>
    <w:rsid w:val="00D0597D"/>
    <w:rsid w:val="00D060FC"/>
    <w:rsid w:val="00D06A34"/>
    <w:rsid w:val="00D06F81"/>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2005"/>
    <w:rsid w:val="00D23258"/>
    <w:rsid w:val="00D241A8"/>
    <w:rsid w:val="00D24CAD"/>
    <w:rsid w:val="00D2528C"/>
    <w:rsid w:val="00D254C0"/>
    <w:rsid w:val="00D26475"/>
    <w:rsid w:val="00D26832"/>
    <w:rsid w:val="00D272B1"/>
    <w:rsid w:val="00D2774B"/>
    <w:rsid w:val="00D30556"/>
    <w:rsid w:val="00D30D8B"/>
    <w:rsid w:val="00D32434"/>
    <w:rsid w:val="00D33390"/>
    <w:rsid w:val="00D33537"/>
    <w:rsid w:val="00D335F6"/>
    <w:rsid w:val="00D342E2"/>
    <w:rsid w:val="00D34F34"/>
    <w:rsid w:val="00D3538A"/>
    <w:rsid w:val="00D35778"/>
    <w:rsid w:val="00D36F3C"/>
    <w:rsid w:val="00D37829"/>
    <w:rsid w:val="00D37C48"/>
    <w:rsid w:val="00D40A76"/>
    <w:rsid w:val="00D40BCF"/>
    <w:rsid w:val="00D41B54"/>
    <w:rsid w:val="00D42088"/>
    <w:rsid w:val="00D423AC"/>
    <w:rsid w:val="00D425DE"/>
    <w:rsid w:val="00D434E8"/>
    <w:rsid w:val="00D43C74"/>
    <w:rsid w:val="00D43E18"/>
    <w:rsid w:val="00D4458C"/>
    <w:rsid w:val="00D45543"/>
    <w:rsid w:val="00D4611F"/>
    <w:rsid w:val="00D46D13"/>
    <w:rsid w:val="00D47AB7"/>
    <w:rsid w:val="00D47EE5"/>
    <w:rsid w:val="00D501A5"/>
    <w:rsid w:val="00D50B99"/>
    <w:rsid w:val="00D50FAD"/>
    <w:rsid w:val="00D511F9"/>
    <w:rsid w:val="00D51D62"/>
    <w:rsid w:val="00D52D0D"/>
    <w:rsid w:val="00D54A0F"/>
    <w:rsid w:val="00D54DBA"/>
    <w:rsid w:val="00D554D6"/>
    <w:rsid w:val="00D55C97"/>
    <w:rsid w:val="00D5678F"/>
    <w:rsid w:val="00D650D6"/>
    <w:rsid w:val="00D70631"/>
    <w:rsid w:val="00D70C93"/>
    <w:rsid w:val="00D70FF9"/>
    <w:rsid w:val="00D71A17"/>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F5F"/>
    <w:rsid w:val="00D82024"/>
    <w:rsid w:val="00D820BD"/>
    <w:rsid w:val="00D83547"/>
    <w:rsid w:val="00D835B5"/>
    <w:rsid w:val="00D83938"/>
    <w:rsid w:val="00D8399A"/>
    <w:rsid w:val="00D8413C"/>
    <w:rsid w:val="00D8618C"/>
    <w:rsid w:val="00D86FE5"/>
    <w:rsid w:val="00D87422"/>
    <w:rsid w:val="00D87CBF"/>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36DA"/>
    <w:rsid w:val="00DA62AA"/>
    <w:rsid w:val="00DA7B1A"/>
    <w:rsid w:val="00DA7C4F"/>
    <w:rsid w:val="00DB0244"/>
    <w:rsid w:val="00DB158F"/>
    <w:rsid w:val="00DB16B2"/>
    <w:rsid w:val="00DB4535"/>
    <w:rsid w:val="00DB4FA4"/>
    <w:rsid w:val="00DB525A"/>
    <w:rsid w:val="00DB5ABE"/>
    <w:rsid w:val="00DB698F"/>
    <w:rsid w:val="00DC0034"/>
    <w:rsid w:val="00DC0487"/>
    <w:rsid w:val="00DC0621"/>
    <w:rsid w:val="00DC0DD2"/>
    <w:rsid w:val="00DC24E4"/>
    <w:rsid w:val="00DC3287"/>
    <w:rsid w:val="00DC3667"/>
    <w:rsid w:val="00DC462A"/>
    <w:rsid w:val="00DC5C81"/>
    <w:rsid w:val="00DC5D13"/>
    <w:rsid w:val="00DC5EBE"/>
    <w:rsid w:val="00DC5F59"/>
    <w:rsid w:val="00DC66C0"/>
    <w:rsid w:val="00DC7C33"/>
    <w:rsid w:val="00DD0100"/>
    <w:rsid w:val="00DD02E9"/>
    <w:rsid w:val="00DD077B"/>
    <w:rsid w:val="00DD1185"/>
    <w:rsid w:val="00DD11AD"/>
    <w:rsid w:val="00DD11CB"/>
    <w:rsid w:val="00DD1A68"/>
    <w:rsid w:val="00DD25B2"/>
    <w:rsid w:val="00DD28C2"/>
    <w:rsid w:val="00DD35EF"/>
    <w:rsid w:val="00DD4A22"/>
    <w:rsid w:val="00DD5409"/>
    <w:rsid w:val="00DD5BC7"/>
    <w:rsid w:val="00DD6810"/>
    <w:rsid w:val="00DD6A95"/>
    <w:rsid w:val="00DD7D43"/>
    <w:rsid w:val="00DE07A2"/>
    <w:rsid w:val="00DE0EE8"/>
    <w:rsid w:val="00DE27EB"/>
    <w:rsid w:val="00DE3855"/>
    <w:rsid w:val="00DE387E"/>
    <w:rsid w:val="00DE46E8"/>
    <w:rsid w:val="00DE4C24"/>
    <w:rsid w:val="00DE5820"/>
    <w:rsid w:val="00DE75B2"/>
    <w:rsid w:val="00DF16C9"/>
    <w:rsid w:val="00DF1B46"/>
    <w:rsid w:val="00DF3B1E"/>
    <w:rsid w:val="00DF4172"/>
    <w:rsid w:val="00DF45FD"/>
    <w:rsid w:val="00DF4B8B"/>
    <w:rsid w:val="00DF596F"/>
    <w:rsid w:val="00DF633B"/>
    <w:rsid w:val="00DF76C2"/>
    <w:rsid w:val="00DF7831"/>
    <w:rsid w:val="00E012C3"/>
    <w:rsid w:val="00E01887"/>
    <w:rsid w:val="00E01A10"/>
    <w:rsid w:val="00E01A2D"/>
    <w:rsid w:val="00E03A79"/>
    <w:rsid w:val="00E041DB"/>
    <w:rsid w:val="00E0423D"/>
    <w:rsid w:val="00E043C9"/>
    <w:rsid w:val="00E0450A"/>
    <w:rsid w:val="00E05229"/>
    <w:rsid w:val="00E05551"/>
    <w:rsid w:val="00E06221"/>
    <w:rsid w:val="00E0681E"/>
    <w:rsid w:val="00E07721"/>
    <w:rsid w:val="00E07728"/>
    <w:rsid w:val="00E07F58"/>
    <w:rsid w:val="00E10E21"/>
    <w:rsid w:val="00E11B04"/>
    <w:rsid w:val="00E123B3"/>
    <w:rsid w:val="00E12BE0"/>
    <w:rsid w:val="00E1388A"/>
    <w:rsid w:val="00E13F24"/>
    <w:rsid w:val="00E144D4"/>
    <w:rsid w:val="00E14AC2"/>
    <w:rsid w:val="00E15480"/>
    <w:rsid w:val="00E156CC"/>
    <w:rsid w:val="00E16EB0"/>
    <w:rsid w:val="00E17571"/>
    <w:rsid w:val="00E176BC"/>
    <w:rsid w:val="00E207FB"/>
    <w:rsid w:val="00E20859"/>
    <w:rsid w:val="00E20D63"/>
    <w:rsid w:val="00E20DBB"/>
    <w:rsid w:val="00E20E0C"/>
    <w:rsid w:val="00E22DF2"/>
    <w:rsid w:val="00E23AA8"/>
    <w:rsid w:val="00E2444C"/>
    <w:rsid w:val="00E258DE"/>
    <w:rsid w:val="00E25ED9"/>
    <w:rsid w:val="00E26B74"/>
    <w:rsid w:val="00E30B21"/>
    <w:rsid w:val="00E31D91"/>
    <w:rsid w:val="00E32108"/>
    <w:rsid w:val="00E339DC"/>
    <w:rsid w:val="00E33DE7"/>
    <w:rsid w:val="00E33F6D"/>
    <w:rsid w:val="00E341E1"/>
    <w:rsid w:val="00E3466B"/>
    <w:rsid w:val="00E3693C"/>
    <w:rsid w:val="00E37690"/>
    <w:rsid w:val="00E37F4E"/>
    <w:rsid w:val="00E400BD"/>
    <w:rsid w:val="00E404C8"/>
    <w:rsid w:val="00E41012"/>
    <w:rsid w:val="00E415B1"/>
    <w:rsid w:val="00E41D30"/>
    <w:rsid w:val="00E42101"/>
    <w:rsid w:val="00E42262"/>
    <w:rsid w:val="00E426C3"/>
    <w:rsid w:val="00E4375B"/>
    <w:rsid w:val="00E45114"/>
    <w:rsid w:val="00E4549D"/>
    <w:rsid w:val="00E454AD"/>
    <w:rsid w:val="00E46BD6"/>
    <w:rsid w:val="00E50159"/>
    <w:rsid w:val="00E501D6"/>
    <w:rsid w:val="00E503A8"/>
    <w:rsid w:val="00E504C8"/>
    <w:rsid w:val="00E505F7"/>
    <w:rsid w:val="00E506BD"/>
    <w:rsid w:val="00E50D5B"/>
    <w:rsid w:val="00E51601"/>
    <w:rsid w:val="00E52945"/>
    <w:rsid w:val="00E52CCA"/>
    <w:rsid w:val="00E539EE"/>
    <w:rsid w:val="00E54CEA"/>
    <w:rsid w:val="00E54D4E"/>
    <w:rsid w:val="00E54D5E"/>
    <w:rsid w:val="00E55CC5"/>
    <w:rsid w:val="00E5795A"/>
    <w:rsid w:val="00E6023E"/>
    <w:rsid w:val="00E607ED"/>
    <w:rsid w:val="00E61C85"/>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92B"/>
    <w:rsid w:val="00E82D6A"/>
    <w:rsid w:val="00E82DF7"/>
    <w:rsid w:val="00E83CAA"/>
    <w:rsid w:val="00E845EF"/>
    <w:rsid w:val="00E8601C"/>
    <w:rsid w:val="00E874E6"/>
    <w:rsid w:val="00E87BD6"/>
    <w:rsid w:val="00E87F24"/>
    <w:rsid w:val="00E9019D"/>
    <w:rsid w:val="00E921A5"/>
    <w:rsid w:val="00E92435"/>
    <w:rsid w:val="00E92EE4"/>
    <w:rsid w:val="00E93351"/>
    <w:rsid w:val="00E93B3C"/>
    <w:rsid w:val="00E93F19"/>
    <w:rsid w:val="00E943FE"/>
    <w:rsid w:val="00E94868"/>
    <w:rsid w:val="00E969E5"/>
    <w:rsid w:val="00E96EE5"/>
    <w:rsid w:val="00E97F13"/>
    <w:rsid w:val="00EA0216"/>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6E3"/>
    <w:rsid w:val="00EB58C6"/>
    <w:rsid w:val="00EB59D8"/>
    <w:rsid w:val="00EB5D27"/>
    <w:rsid w:val="00EB6182"/>
    <w:rsid w:val="00EB78D8"/>
    <w:rsid w:val="00EC03E5"/>
    <w:rsid w:val="00EC12B4"/>
    <w:rsid w:val="00EC40FC"/>
    <w:rsid w:val="00EC468C"/>
    <w:rsid w:val="00EC4F4D"/>
    <w:rsid w:val="00EC66E0"/>
    <w:rsid w:val="00EC6C88"/>
    <w:rsid w:val="00ED14FA"/>
    <w:rsid w:val="00ED1896"/>
    <w:rsid w:val="00ED1B1D"/>
    <w:rsid w:val="00ED1C3D"/>
    <w:rsid w:val="00ED26D3"/>
    <w:rsid w:val="00ED4173"/>
    <w:rsid w:val="00ED486C"/>
    <w:rsid w:val="00ED5DE1"/>
    <w:rsid w:val="00ED6916"/>
    <w:rsid w:val="00ED75BE"/>
    <w:rsid w:val="00EE0413"/>
    <w:rsid w:val="00EE0CB0"/>
    <w:rsid w:val="00EE35E9"/>
    <w:rsid w:val="00EE3E6F"/>
    <w:rsid w:val="00EE40B9"/>
    <w:rsid w:val="00EE40FA"/>
    <w:rsid w:val="00EE4940"/>
    <w:rsid w:val="00EE7C56"/>
    <w:rsid w:val="00EE7CF2"/>
    <w:rsid w:val="00EF03FE"/>
    <w:rsid w:val="00EF196A"/>
    <w:rsid w:val="00EF1E68"/>
    <w:rsid w:val="00EF20D2"/>
    <w:rsid w:val="00EF35E0"/>
    <w:rsid w:val="00EF375D"/>
    <w:rsid w:val="00EF4139"/>
    <w:rsid w:val="00EF474F"/>
    <w:rsid w:val="00EF4CAE"/>
    <w:rsid w:val="00EF6C19"/>
    <w:rsid w:val="00EF70AD"/>
    <w:rsid w:val="00EF7A8E"/>
    <w:rsid w:val="00F00CF7"/>
    <w:rsid w:val="00F02109"/>
    <w:rsid w:val="00F022D0"/>
    <w:rsid w:val="00F026CC"/>
    <w:rsid w:val="00F02970"/>
    <w:rsid w:val="00F04960"/>
    <w:rsid w:val="00F053C8"/>
    <w:rsid w:val="00F05EFB"/>
    <w:rsid w:val="00F1051A"/>
    <w:rsid w:val="00F10B6B"/>
    <w:rsid w:val="00F11CBC"/>
    <w:rsid w:val="00F126C4"/>
    <w:rsid w:val="00F12FAF"/>
    <w:rsid w:val="00F133D6"/>
    <w:rsid w:val="00F13EB3"/>
    <w:rsid w:val="00F141A8"/>
    <w:rsid w:val="00F14ACE"/>
    <w:rsid w:val="00F14C57"/>
    <w:rsid w:val="00F17C7D"/>
    <w:rsid w:val="00F17E47"/>
    <w:rsid w:val="00F212E1"/>
    <w:rsid w:val="00F22EC4"/>
    <w:rsid w:val="00F23914"/>
    <w:rsid w:val="00F23C3D"/>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67C"/>
    <w:rsid w:val="00F52AF4"/>
    <w:rsid w:val="00F53197"/>
    <w:rsid w:val="00F53406"/>
    <w:rsid w:val="00F548BA"/>
    <w:rsid w:val="00F55BDB"/>
    <w:rsid w:val="00F60101"/>
    <w:rsid w:val="00F604F0"/>
    <w:rsid w:val="00F60AF6"/>
    <w:rsid w:val="00F62D5A"/>
    <w:rsid w:val="00F632AE"/>
    <w:rsid w:val="00F63BE6"/>
    <w:rsid w:val="00F65BAE"/>
    <w:rsid w:val="00F65E58"/>
    <w:rsid w:val="00F65F0C"/>
    <w:rsid w:val="00F65FE9"/>
    <w:rsid w:val="00F6676D"/>
    <w:rsid w:val="00F66D09"/>
    <w:rsid w:val="00F675EF"/>
    <w:rsid w:val="00F67870"/>
    <w:rsid w:val="00F7006E"/>
    <w:rsid w:val="00F705AC"/>
    <w:rsid w:val="00F70A0D"/>
    <w:rsid w:val="00F70BA5"/>
    <w:rsid w:val="00F70F54"/>
    <w:rsid w:val="00F71962"/>
    <w:rsid w:val="00F723BA"/>
    <w:rsid w:val="00F72739"/>
    <w:rsid w:val="00F7288C"/>
    <w:rsid w:val="00F7304C"/>
    <w:rsid w:val="00F7377E"/>
    <w:rsid w:val="00F73F44"/>
    <w:rsid w:val="00F748DF"/>
    <w:rsid w:val="00F74A14"/>
    <w:rsid w:val="00F750B4"/>
    <w:rsid w:val="00F751D8"/>
    <w:rsid w:val="00F76871"/>
    <w:rsid w:val="00F76B8B"/>
    <w:rsid w:val="00F777D7"/>
    <w:rsid w:val="00F8014F"/>
    <w:rsid w:val="00F81DC4"/>
    <w:rsid w:val="00F82556"/>
    <w:rsid w:val="00F83A72"/>
    <w:rsid w:val="00F8402D"/>
    <w:rsid w:val="00F84506"/>
    <w:rsid w:val="00F848BC"/>
    <w:rsid w:val="00F84A3E"/>
    <w:rsid w:val="00F850C1"/>
    <w:rsid w:val="00F85690"/>
    <w:rsid w:val="00F8657D"/>
    <w:rsid w:val="00F86BCA"/>
    <w:rsid w:val="00F9064E"/>
    <w:rsid w:val="00F908B1"/>
    <w:rsid w:val="00F90C55"/>
    <w:rsid w:val="00F9124A"/>
    <w:rsid w:val="00F920A9"/>
    <w:rsid w:val="00F92348"/>
    <w:rsid w:val="00F92F11"/>
    <w:rsid w:val="00F93571"/>
    <w:rsid w:val="00F938EF"/>
    <w:rsid w:val="00F93CD9"/>
    <w:rsid w:val="00F94157"/>
    <w:rsid w:val="00F94275"/>
    <w:rsid w:val="00F94D17"/>
    <w:rsid w:val="00F94D51"/>
    <w:rsid w:val="00F957C5"/>
    <w:rsid w:val="00F95E57"/>
    <w:rsid w:val="00F963D9"/>
    <w:rsid w:val="00F96ABB"/>
    <w:rsid w:val="00F97CD6"/>
    <w:rsid w:val="00FA0359"/>
    <w:rsid w:val="00FA0DEC"/>
    <w:rsid w:val="00FA0F52"/>
    <w:rsid w:val="00FA1062"/>
    <w:rsid w:val="00FA1357"/>
    <w:rsid w:val="00FA1949"/>
    <w:rsid w:val="00FA1C2E"/>
    <w:rsid w:val="00FA1C8B"/>
    <w:rsid w:val="00FA2BAA"/>
    <w:rsid w:val="00FA3301"/>
    <w:rsid w:val="00FA33F0"/>
    <w:rsid w:val="00FA3F4A"/>
    <w:rsid w:val="00FA4650"/>
    <w:rsid w:val="00FA5637"/>
    <w:rsid w:val="00FA5B48"/>
    <w:rsid w:val="00FA75EF"/>
    <w:rsid w:val="00FB00EA"/>
    <w:rsid w:val="00FB0D61"/>
    <w:rsid w:val="00FB1006"/>
    <w:rsid w:val="00FB18EB"/>
    <w:rsid w:val="00FB2C4B"/>
    <w:rsid w:val="00FB3A31"/>
    <w:rsid w:val="00FB3BC4"/>
    <w:rsid w:val="00FB41D0"/>
    <w:rsid w:val="00FB5F84"/>
    <w:rsid w:val="00FB6B71"/>
    <w:rsid w:val="00FB6E52"/>
    <w:rsid w:val="00FB70BC"/>
    <w:rsid w:val="00FB7EF5"/>
    <w:rsid w:val="00FC03CC"/>
    <w:rsid w:val="00FC0CFA"/>
    <w:rsid w:val="00FC1980"/>
    <w:rsid w:val="00FC245A"/>
    <w:rsid w:val="00FC2F5A"/>
    <w:rsid w:val="00FC377B"/>
    <w:rsid w:val="00FC4BFC"/>
    <w:rsid w:val="00FC5868"/>
    <w:rsid w:val="00FC6918"/>
    <w:rsid w:val="00FC7A6C"/>
    <w:rsid w:val="00FD058B"/>
    <w:rsid w:val="00FD086D"/>
    <w:rsid w:val="00FD0955"/>
    <w:rsid w:val="00FD0C0A"/>
    <w:rsid w:val="00FD0CE5"/>
    <w:rsid w:val="00FD1420"/>
    <w:rsid w:val="00FD14A3"/>
    <w:rsid w:val="00FD1D5F"/>
    <w:rsid w:val="00FD2124"/>
    <w:rsid w:val="00FD2274"/>
    <w:rsid w:val="00FD2DF3"/>
    <w:rsid w:val="00FD35D0"/>
    <w:rsid w:val="00FD4D99"/>
    <w:rsid w:val="00FD6E7C"/>
    <w:rsid w:val="00FD700F"/>
    <w:rsid w:val="00FD7837"/>
    <w:rsid w:val="00FE0575"/>
    <w:rsid w:val="00FE1CCF"/>
    <w:rsid w:val="00FE1E9E"/>
    <w:rsid w:val="00FE4104"/>
    <w:rsid w:val="00FE45A3"/>
    <w:rsid w:val="00FE469F"/>
    <w:rsid w:val="00FE49B4"/>
    <w:rsid w:val="00FE5903"/>
    <w:rsid w:val="00FE60DA"/>
    <w:rsid w:val="00FE6DCF"/>
    <w:rsid w:val="00FE78CC"/>
    <w:rsid w:val="00FE7B52"/>
    <w:rsid w:val="00FF0822"/>
    <w:rsid w:val="00FF1979"/>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5105">
      <o:colormenu v:ext="edit" fillcolor="none"/>
    </o:shapedefaults>
    <o:shapelayout v:ext="edit">
      <o:idmap v:ext="edit" data="1"/>
    </o:shapelayout>
  </w:shapeDefaults>
  <w:decimalSymbol w:val="."/>
  <w:listSeparator w:val=","/>
  <w14:docId w14:val="16B3F682"/>
  <w15:docId w15:val="{93AF4D8C-A0EA-42AB-BDFD-8FDF4EFC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CA5"/>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914E1D"/>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next w:val="Normal"/>
    <w:link w:val="Heading2Char"/>
    <w:uiPriority w:val="3"/>
    <w:qFormat/>
    <w:rsid w:val="00914E1D"/>
    <w:pPr>
      <w:keepNext/>
      <w:keepLines/>
      <w:pageBreakBefore/>
      <w:spacing w:before="240" w:after="120"/>
      <w:outlineLvl w:val="1"/>
    </w:pPr>
    <w:rPr>
      <w:rFonts w:ascii="Calibri" w:eastAsia="Times New Roman" w:hAnsi="Calibri"/>
      <w:bCs/>
      <w:sz w:val="56"/>
      <w:szCs w:val="24"/>
      <w:lang w:eastAsia="en-US"/>
    </w:rPr>
  </w:style>
  <w:style w:type="paragraph" w:styleId="Heading3">
    <w:name w:val="heading 3"/>
    <w:next w:val="Normal"/>
    <w:link w:val="Heading3Char"/>
    <w:uiPriority w:val="4"/>
    <w:qFormat/>
    <w:rsid w:val="009D5AF4"/>
    <w:pPr>
      <w:keepNext/>
      <w:keepLines/>
      <w:numPr>
        <w:numId w:val="14"/>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9D5AF4"/>
    <w:pPr>
      <w:numPr>
        <w:ilvl w:val="1"/>
        <w:numId w:val="14"/>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9D5AF4"/>
    <w:pPr>
      <w:keepNext/>
      <w:keepLines/>
      <w:numPr>
        <w:ilvl w:val="2"/>
        <w:numId w:val="14"/>
      </w:numPr>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914E1D"/>
    <w:rPr>
      <w:sz w:val="20"/>
      <w:szCs w:val="20"/>
    </w:rPr>
  </w:style>
  <w:style w:type="character" w:customStyle="1" w:styleId="CommentTextChar">
    <w:name w:val="Comment Text Char"/>
    <w:basedOn w:val="DefaultParagraphFont"/>
    <w:link w:val="CommentText"/>
    <w:uiPriority w:val="99"/>
    <w:semiHidden/>
    <w:rsid w:val="00914E1D"/>
    <w:rPr>
      <w:rFonts w:eastAsiaTheme="minorHAnsi" w:cstheme="minorBidi"/>
      <w:lang w:eastAsia="en-US"/>
    </w:rPr>
  </w:style>
  <w:style w:type="paragraph" w:styleId="Header">
    <w:name w:val="header"/>
    <w:basedOn w:val="Normal"/>
    <w:link w:val="HeaderChar"/>
    <w:uiPriority w:val="26"/>
    <w:rsid w:val="00914E1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914E1D"/>
    <w:rPr>
      <w:rFonts w:ascii="Calibri" w:eastAsiaTheme="minorHAnsi" w:hAnsi="Calibri" w:cstheme="minorBidi"/>
      <w:szCs w:val="22"/>
      <w:lang w:eastAsia="en-US"/>
    </w:rPr>
  </w:style>
  <w:style w:type="paragraph" w:styleId="Footer">
    <w:name w:val="footer"/>
    <w:basedOn w:val="Normal"/>
    <w:link w:val="FooterChar"/>
    <w:uiPriority w:val="27"/>
    <w:rsid w:val="00914E1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914E1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914E1D"/>
    <w:rPr>
      <w:sz w:val="16"/>
      <w:szCs w:val="16"/>
    </w:rPr>
  </w:style>
  <w:style w:type="paragraph" w:styleId="CommentSubject">
    <w:name w:val="annotation subject"/>
    <w:basedOn w:val="CommentText"/>
    <w:next w:val="CommentText"/>
    <w:link w:val="CommentSubjectChar"/>
    <w:uiPriority w:val="99"/>
    <w:semiHidden/>
    <w:unhideWhenUsed/>
    <w:rsid w:val="00914E1D"/>
    <w:rPr>
      <w:b/>
      <w:bCs/>
    </w:rPr>
  </w:style>
  <w:style w:type="character" w:customStyle="1" w:styleId="CommentSubjectChar">
    <w:name w:val="Comment Subject Char"/>
    <w:basedOn w:val="CommentTextChar"/>
    <w:link w:val="CommentSubject"/>
    <w:uiPriority w:val="99"/>
    <w:semiHidden/>
    <w:rsid w:val="00914E1D"/>
    <w:rPr>
      <w:rFonts w:eastAsiaTheme="minorHAnsi" w:cstheme="minorBidi"/>
      <w:b/>
      <w:bCs/>
      <w:lang w:eastAsia="en-US"/>
    </w:rPr>
  </w:style>
  <w:style w:type="paragraph" w:styleId="BalloonText">
    <w:name w:val="Balloon Text"/>
    <w:basedOn w:val="Normal"/>
    <w:link w:val="BalloonTextChar"/>
    <w:uiPriority w:val="99"/>
    <w:semiHidden/>
    <w:unhideWhenUsed/>
    <w:rsid w:val="00914E1D"/>
    <w:rPr>
      <w:rFonts w:ascii="Calibri" w:hAnsi="Calibri"/>
      <w:sz w:val="18"/>
      <w:szCs w:val="18"/>
    </w:rPr>
  </w:style>
  <w:style w:type="character" w:customStyle="1" w:styleId="BalloonTextChar">
    <w:name w:val="Balloon Text Char"/>
    <w:basedOn w:val="DefaultParagraphFont"/>
    <w:link w:val="BalloonText"/>
    <w:uiPriority w:val="99"/>
    <w:semiHidden/>
    <w:rsid w:val="00914E1D"/>
    <w:rPr>
      <w:rFonts w:ascii="Calibri" w:eastAsiaTheme="minorHAnsi" w:hAnsi="Calibri" w:cstheme="minorBidi"/>
      <w:sz w:val="18"/>
      <w:szCs w:val="18"/>
      <w:lang w:eastAsia="en-US"/>
    </w:rPr>
  </w:style>
  <w:style w:type="table" w:styleId="TableGrid">
    <w:name w:val="Table Grid"/>
    <w:basedOn w:val="TableNormal"/>
    <w:uiPriority w:val="59"/>
    <w:rsid w:val="00914E1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914E1D"/>
    <w:rPr>
      <w:sz w:val="16"/>
    </w:rPr>
  </w:style>
  <w:style w:type="character" w:customStyle="1" w:styleId="Heading1Char">
    <w:name w:val="Heading 1 Char"/>
    <w:basedOn w:val="DefaultParagraphFont"/>
    <w:link w:val="Heading1"/>
    <w:uiPriority w:val="1"/>
    <w:rsid w:val="00914E1D"/>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914E1D"/>
    <w:rPr>
      <w:rFonts w:ascii="Calibri" w:eastAsia="Times New Roman" w:hAnsi="Calibri"/>
      <w:bCs/>
      <w:sz w:val="56"/>
      <w:szCs w:val="24"/>
      <w:lang w:eastAsia="en-US"/>
    </w:rPr>
  </w:style>
  <w:style w:type="character" w:customStyle="1" w:styleId="Heading3Char">
    <w:name w:val="Heading 3 Char"/>
    <w:basedOn w:val="DefaultParagraphFont"/>
    <w:link w:val="Heading3"/>
    <w:uiPriority w:val="4"/>
    <w:rsid w:val="009D5AF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9D5AF4"/>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9D5AF4"/>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914E1D"/>
    <w:pPr>
      <w:ind w:left="709" w:right="567"/>
    </w:pPr>
    <w:rPr>
      <w:iCs/>
      <w:color w:val="000000"/>
    </w:rPr>
  </w:style>
  <w:style w:type="character" w:customStyle="1" w:styleId="QuoteChar">
    <w:name w:val="Quote Char"/>
    <w:basedOn w:val="DefaultParagraphFont"/>
    <w:link w:val="Quote"/>
    <w:uiPriority w:val="18"/>
    <w:rsid w:val="00914E1D"/>
    <w:rPr>
      <w:rFonts w:eastAsiaTheme="minorHAnsi" w:cstheme="minorBidi"/>
      <w:iCs/>
      <w:color w:val="000000"/>
      <w:sz w:val="22"/>
      <w:szCs w:val="22"/>
      <w:lang w:eastAsia="en-US"/>
    </w:rPr>
  </w:style>
  <w:style w:type="paragraph" w:customStyle="1" w:styleId="BoxText">
    <w:name w:val="Box Text"/>
    <w:basedOn w:val="Normal"/>
    <w:uiPriority w:val="19"/>
    <w:qFormat/>
    <w:rsid w:val="00914E1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914E1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914E1D"/>
    <w:pPr>
      <w:spacing w:before="120" w:line="264" w:lineRule="auto"/>
      <w:contextualSpacing/>
    </w:pPr>
    <w:rPr>
      <w:rFonts w:ascii="Calibri" w:hAnsi="Calibri"/>
      <w:sz w:val="18"/>
    </w:rPr>
  </w:style>
  <w:style w:type="paragraph" w:customStyle="1" w:styleId="Style1">
    <w:name w:val="Style1"/>
    <w:basedOn w:val="Heading2"/>
    <w:qFormat/>
    <w:rsid w:val="00914E1D"/>
  </w:style>
  <w:style w:type="paragraph" w:styleId="Subtitle">
    <w:name w:val="Subtitle"/>
    <w:basedOn w:val="Normal"/>
    <w:next w:val="Normal"/>
    <w:link w:val="SubtitleChar"/>
    <w:uiPriority w:val="23"/>
    <w:qFormat/>
    <w:rsid w:val="00914E1D"/>
    <w:pPr>
      <w:keepNext/>
      <w:keepLines/>
      <w:spacing w:after="240" w:line="240" w:lineRule="auto"/>
      <w:outlineLvl w:val="1"/>
    </w:pPr>
    <w:rPr>
      <w:rFonts w:ascii="Calibri" w:hAnsi="Calibri"/>
      <w:bCs/>
      <w:sz w:val="56"/>
      <w:szCs w:val="26"/>
    </w:rPr>
  </w:style>
  <w:style w:type="character" w:customStyle="1" w:styleId="SubtitleChar">
    <w:name w:val="Subtitle Char"/>
    <w:basedOn w:val="DefaultParagraphFont"/>
    <w:link w:val="Subtitle"/>
    <w:uiPriority w:val="23"/>
    <w:rsid w:val="00914E1D"/>
    <w:rPr>
      <w:rFonts w:ascii="Calibri" w:eastAsiaTheme="minorHAnsi" w:hAnsi="Calibri" w:cstheme="minorBidi"/>
      <w:bCs/>
      <w:sz w:val="56"/>
      <w:szCs w:val="26"/>
      <w:lang w:eastAsia="en-US"/>
    </w:rPr>
  </w:style>
  <w:style w:type="paragraph" w:styleId="TOCHeading">
    <w:name w:val="TOC Heading"/>
    <w:next w:val="Normal"/>
    <w:uiPriority w:val="39"/>
    <w:qFormat/>
    <w:rsid w:val="00AB4336"/>
    <w:pPr>
      <w:pageBreakBefore/>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914E1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914E1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914E1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914E1D"/>
    <w:rPr>
      <w:color w:val="165788"/>
      <w:u w:val="single"/>
    </w:rPr>
  </w:style>
  <w:style w:type="paragraph" w:styleId="ListBullet">
    <w:name w:val="List Bullet"/>
    <w:basedOn w:val="Normal"/>
    <w:uiPriority w:val="7"/>
    <w:qFormat/>
    <w:rsid w:val="00914E1D"/>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914E1D"/>
    <w:pPr>
      <w:spacing w:before="120" w:after="120" w:line="240" w:lineRule="auto"/>
    </w:pPr>
  </w:style>
  <w:style w:type="paragraph" w:styleId="ListBullet2">
    <w:name w:val="List Bullet 2"/>
    <w:basedOn w:val="Normal"/>
    <w:uiPriority w:val="8"/>
    <w:qFormat/>
    <w:rsid w:val="00914E1D"/>
    <w:pPr>
      <w:numPr>
        <w:numId w:val="5"/>
      </w:numPr>
      <w:tabs>
        <w:tab w:val="clear" w:pos="643"/>
        <w:tab w:val="num" w:pos="567"/>
      </w:tabs>
      <w:spacing w:before="120" w:after="120"/>
      <w:ind w:left="568" w:hanging="284"/>
      <w:contextualSpacing/>
    </w:pPr>
  </w:style>
  <w:style w:type="paragraph" w:styleId="ListNumber">
    <w:name w:val="List Number"/>
    <w:basedOn w:val="Normal"/>
    <w:uiPriority w:val="9"/>
    <w:qFormat/>
    <w:rsid w:val="00914E1D"/>
    <w:pPr>
      <w:numPr>
        <w:numId w:val="10"/>
      </w:numPr>
      <w:tabs>
        <w:tab w:val="left" w:pos="284"/>
      </w:tabs>
      <w:spacing w:before="120" w:after="120"/>
      <w:ind w:left="284" w:hanging="284"/>
    </w:pPr>
  </w:style>
  <w:style w:type="paragraph" w:styleId="ListNumber2">
    <w:name w:val="List Number 2"/>
    <w:uiPriority w:val="10"/>
    <w:qFormat/>
    <w:rsid w:val="004065F4"/>
    <w:pPr>
      <w:numPr>
        <w:numId w:val="6"/>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914E1D"/>
    <w:pPr>
      <w:numPr>
        <w:numId w:val="7"/>
      </w:numPr>
      <w:tabs>
        <w:tab w:val="clear" w:pos="926"/>
        <w:tab w:val="num" w:pos="851"/>
      </w:tabs>
      <w:spacing w:before="120" w:after="120" w:line="264" w:lineRule="auto"/>
      <w:ind w:left="851" w:hanging="284"/>
    </w:pPr>
    <w:rPr>
      <w:rFonts w:eastAsia="Times New Roman"/>
      <w:sz w:val="22"/>
      <w:szCs w:val="24"/>
      <w:lang w:eastAsia="en-US"/>
    </w:rPr>
  </w:style>
  <w:style w:type="table" w:customStyle="1" w:styleId="LightShading1">
    <w:name w:val="Light Shading1"/>
    <w:basedOn w:val="TableNormal"/>
    <w:uiPriority w:val="60"/>
    <w:rsid w:val="00914E1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914E1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275CA5"/>
    <w:pPr>
      <w:spacing w:before="60" w:after="60" w:line="240" w:lineRule="auto"/>
    </w:pPr>
  </w:style>
  <w:style w:type="table" w:styleId="TableGrid1">
    <w:name w:val="Table Grid 1"/>
    <w:basedOn w:val="TableNormal"/>
    <w:uiPriority w:val="99"/>
    <w:semiHidden/>
    <w:unhideWhenUsed/>
    <w:rsid w:val="00914E1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914E1D"/>
    <w:pPr>
      <w:keepNext/>
    </w:pPr>
    <w:rPr>
      <w:b/>
    </w:rPr>
  </w:style>
  <w:style w:type="character" w:styleId="PlaceholderText">
    <w:name w:val="Placeholder Text"/>
    <w:basedOn w:val="DefaultParagraphFont"/>
    <w:uiPriority w:val="99"/>
    <w:semiHidden/>
    <w:rsid w:val="00914E1D"/>
    <w:rPr>
      <w:color w:val="808080"/>
    </w:rPr>
  </w:style>
  <w:style w:type="paragraph" w:customStyle="1" w:styleId="Author">
    <w:name w:val="Author"/>
    <w:basedOn w:val="Normal"/>
    <w:next w:val="Normal"/>
    <w:uiPriority w:val="24"/>
    <w:qFormat/>
    <w:rsid w:val="00914E1D"/>
    <w:pPr>
      <w:spacing w:after="60"/>
    </w:pPr>
    <w:rPr>
      <w:b/>
      <w:sz w:val="28"/>
      <w:szCs w:val="28"/>
    </w:rPr>
  </w:style>
  <w:style w:type="paragraph" w:customStyle="1" w:styleId="AuthorOrganisationAffiliation">
    <w:name w:val="Author Organisation/Affiliation"/>
    <w:basedOn w:val="Normal"/>
    <w:next w:val="Normal"/>
    <w:uiPriority w:val="25"/>
    <w:qFormat/>
    <w:rsid w:val="00914E1D"/>
    <w:pPr>
      <w:spacing w:after="720"/>
    </w:pPr>
  </w:style>
  <w:style w:type="character" w:styleId="Strong">
    <w:name w:val="Strong"/>
    <w:basedOn w:val="DefaultParagraphFont"/>
    <w:uiPriority w:val="22"/>
    <w:qFormat/>
    <w:rsid w:val="00914E1D"/>
    <w:rPr>
      <w:b/>
      <w:bCs/>
    </w:rPr>
  </w:style>
  <w:style w:type="paragraph" w:customStyle="1" w:styleId="Glossary">
    <w:name w:val="Glossary"/>
    <w:basedOn w:val="Normal"/>
    <w:link w:val="GlossaryChar"/>
    <w:uiPriority w:val="28"/>
    <w:qFormat/>
    <w:rsid w:val="00914E1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914E1D"/>
    <w:rPr>
      <w:rFonts w:eastAsia="Calibri" w:cstheme="minorBidi"/>
      <w:color w:val="000000"/>
      <w:sz w:val="22"/>
      <w:szCs w:val="22"/>
      <w:lang w:eastAsia="en-US"/>
    </w:rPr>
  </w:style>
  <w:style w:type="character" w:styleId="Emphasis">
    <w:name w:val="Emphasis"/>
    <w:basedOn w:val="DefaultParagraphFont"/>
    <w:uiPriority w:val="20"/>
    <w:qFormat/>
    <w:rsid w:val="00914E1D"/>
    <w:rPr>
      <w:i/>
      <w:iCs/>
    </w:rPr>
  </w:style>
  <w:style w:type="paragraph" w:styleId="TOAHeading">
    <w:name w:val="toa heading"/>
    <w:basedOn w:val="Heading1"/>
    <w:next w:val="Normal"/>
    <w:uiPriority w:val="99"/>
    <w:semiHidden/>
    <w:unhideWhenUsed/>
    <w:rsid w:val="00914E1D"/>
    <w:pPr>
      <w:spacing w:before="120"/>
    </w:pPr>
    <w:rPr>
      <w:bCs w:val="0"/>
      <w:sz w:val="24"/>
    </w:rPr>
  </w:style>
  <w:style w:type="paragraph" w:styleId="NormalWeb">
    <w:name w:val="Normal (Web)"/>
    <w:basedOn w:val="Normal"/>
    <w:uiPriority w:val="99"/>
    <w:unhideWhenUsed/>
    <w:rsid w:val="00914E1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914E1D"/>
    <w:pPr>
      <w:numPr>
        <w:numId w:val="8"/>
      </w:numPr>
      <w:ind w:left="357" w:hanging="357"/>
    </w:pPr>
  </w:style>
  <w:style w:type="paragraph" w:customStyle="1" w:styleId="TableBullet">
    <w:name w:val="Table Bullet"/>
    <w:basedOn w:val="TableText"/>
    <w:uiPriority w:val="15"/>
    <w:qFormat/>
    <w:rsid w:val="00914E1D"/>
    <w:pPr>
      <w:numPr>
        <w:numId w:val="9"/>
      </w:numPr>
      <w:ind w:left="284" w:hanging="284"/>
    </w:pPr>
  </w:style>
  <w:style w:type="paragraph" w:styleId="DocumentMap">
    <w:name w:val="Document Map"/>
    <w:basedOn w:val="Normal"/>
    <w:link w:val="DocumentMapChar"/>
    <w:uiPriority w:val="99"/>
    <w:semiHidden/>
    <w:unhideWhenUsed/>
    <w:rsid w:val="00914E1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14E1D"/>
    <w:rPr>
      <w:rFonts w:ascii="Tahoma" w:eastAsiaTheme="minorHAnsi" w:hAnsi="Tahoma" w:cs="Tahoma"/>
      <w:sz w:val="16"/>
      <w:szCs w:val="16"/>
      <w:lang w:eastAsia="en-US"/>
    </w:rPr>
  </w:style>
  <w:style w:type="paragraph" w:customStyle="1" w:styleId="TOCHeadingsamepage">
    <w:name w:val="TOC Heading (same page)"/>
    <w:basedOn w:val="TOCHeading"/>
    <w:next w:val="Normal"/>
    <w:uiPriority w:val="39"/>
    <w:rsid w:val="00914E1D"/>
    <w:pPr>
      <w:keepNext/>
      <w:keepLines/>
    </w:pPr>
  </w:style>
  <w:style w:type="paragraph" w:customStyle="1" w:styleId="BoxHeading">
    <w:name w:val="Box Heading"/>
    <w:basedOn w:val="BoxText"/>
    <w:uiPriority w:val="20"/>
    <w:qFormat/>
    <w:rsid w:val="00914E1D"/>
    <w:pPr>
      <w:spacing w:line="240" w:lineRule="auto"/>
    </w:pPr>
    <w:rPr>
      <w:b/>
    </w:rPr>
  </w:style>
  <w:style w:type="paragraph" w:customStyle="1" w:styleId="Picture">
    <w:name w:val="Picture"/>
    <w:basedOn w:val="Normal"/>
    <w:uiPriority w:val="17"/>
    <w:qFormat/>
    <w:rsid w:val="00914E1D"/>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914E1D"/>
    <w:pPr>
      <w:spacing w:after="0"/>
    </w:pPr>
    <w:rPr>
      <w:b/>
      <w:caps/>
      <w:color w:val="FF0000"/>
      <w:sz w:val="36"/>
      <w:szCs w:val="36"/>
    </w:rPr>
  </w:style>
  <w:style w:type="paragraph" w:customStyle="1" w:styleId="DisseminationLimitingMarker">
    <w:name w:val="Dissemination Limiting Marker"/>
    <w:basedOn w:val="Header"/>
    <w:next w:val="Header"/>
    <w:uiPriority w:val="27"/>
    <w:rsid w:val="00914E1D"/>
    <w:pPr>
      <w:spacing w:after="0"/>
    </w:pPr>
    <w:rPr>
      <w:b/>
      <w:sz w:val="36"/>
      <w:szCs w:val="36"/>
    </w:rPr>
  </w:style>
  <w:style w:type="paragraph" w:styleId="FootnoteText">
    <w:name w:val="footnote text"/>
    <w:basedOn w:val="Normal"/>
    <w:link w:val="FootnoteTextChar"/>
    <w:uiPriority w:val="99"/>
    <w:unhideWhenUsed/>
    <w:rsid w:val="00914E1D"/>
    <w:pPr>
      <w:spacing w:after="60" w:line="264" w:lineRule="auto"/>
    </w:pPr>
    <w:rPr>
      <w:sz w:val="20"/>
      <w:szCs w:val="20"/>
    </w:rPr>
  </w:style>
  <w:style w:type="character" w:customStyle="1" w:styleId="FootnoteTextChar">
    <w:name w:val="Footnote Text Char"/>
    <w:basedOn w:val="DefaultParagraphFont"/>
    <w:link w:val="FootnoteText"/>
    <w:uiPriority w:val="99"/>
    <w:rsid w:val="00914E1D"/>
    <w:rPr>
      <w:rFonts w:eastAsiaTheme="minorHAnsi" w:cstheme="minorBidi"/>
      <w:lang w:eastAsia="en-US"/>
    </w:rPr>
  </w:style>
  <w:style w:type="character" w:styleId="FootnoteReference">
    <w:name w:val="footnote reference"/>
    <w:basedOn w:val="DefaultParagraphFont"/>
    <w:uiPriority w:val="99"/>
    <w:semiHidden/>
    <w:unhideWhenUsed/>
    <w:rsid w:val="00914E1D"/>
    <w:rPr>
      <w:vertAlign w:val="superscript"/>
    </w:rPr>
  </w:style>
  <w:style w:type="paragraph" w:styleId="EndnoteText">
    <w:name w:val="endnote text"/>
    <w:basedOn w:val="Normal"/>
    <w:link w:val="EndnoteTextChar"/>
    <w:uiPriority w:val="99"/>
    <w:unhideWhenUsed/>
    <w:rsid w:val="00914E1D"/>
    <w:pPr>
      <w:spacing w:after="60" w:line="264" w:lineRule="auto"/>
    </w:pPr>
    <w:rPr>
      <w:sz w:val="20"/>
      <w:szCs w:val="20"/>
    </w:rPr>
  </w:style>
  <w:style w:type="character" w:customStyle="1" w:styleId="EndnoteTextChar">
    <w:name w:val="Endnote Text Char"/>
    <w:basedOn w:val="DefaultParagraphFont"/>
    <w:link w:val="EndnoteText"/>
    <w:uiPriority w:val="99"/>
    <w:rsid w:val="00914E1D"/>
    <w:rPr>
      <w:rFonts w:eastAsiaTheme="minorHAnsi" w:cstheme="minorBidi"/>
      <w:lang w:eastAsia="en-US"/>
    </w:rPr>
  </w:style>
  <w:style w:type="character" w:styleId="EndnoteReference">
    <w:name w:val="endnote reference"/>
    <w:basedOn w:val="DefaultParagraphFont"/>
    <w:uiPriority w:val="99"/>
    <w:semiHidden/>
    <w:unhideWhenUsed/>
    <w:rsid w:val="00914E1D"/>
    <w:rPr>
      <w:vertAlign w:val="superscript"/>
    </w:rPr>
  </w:style>
  <w:style w:type="character" w:styleId="FollowedHyperlink">
    <w:name w:val="FollowedHyperlink"/>
    <w:basedOn w:val="DefaultParagraphFont"/>
    <w:uiPriority w:val="99"/>
    <w:semiHidden/>
    <w:unhideWhenUsed/>
    <w:rsid w:val="00914E1D"/>
    <w:rPr>
      <w:color w:val="800080"/>
      <w:u w:val="single"/>
    </w:rPr>
  </w:style>
  <w:style w:type="paragraph" w:customStyle="1" w:styleId="BoxSource">
    <w:name w:val="Box Source"/>
    <w:basedOn w:val="FigureTableNoteSource"/>
    <w:uiPriority w:val="22"/>
    <w:qFormat/>
    <w:rsid w:val="00914E1D"/>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914E1D"/>
    <w:pPr>
      <w:numPr>
        <w:numId w:val="11"/>
      </w:numPr>
    </w:pPr>
  </w:style>
  <w:style w:type="paragraph" w:styleId="Title">
    <w:name w:val="Title"/>
    <w:basedOn w:val="Normal"/>
    <w:next w:val="Normal"/>
    <w:link w:val="TitleChar"/>
    <w:uiPriority w:val="10"/>
    <w:semiHidden/>
    <w:qFormat/>
    <w:rsid w:val="00914E1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914E1D"/>
    <w:rPr>
      <w:rFonts w:eastAsiaTheme="majorEastAsia" w:cstheme="majorBidi"/>
      <w:b/>
      <w:spacing w:val="5"/>
      <w:kern w:val="28"/>
      <w:sz w:val="72"/>
      <w:szCs w:val="52"/>
      <w:lang w:eastAsia="en-US"/>
    </w:rPr>
  </w:style>
  <w:style w:type="paragraph" w:customStyle="1" w:styleId="Heading2Numbered">
    <w:name w:val="Heading 2 Numbered"/>
    <w:qFormat/>
    <w:rsid w:val="00914E1D"/>
    <w:pPr>
      <w:keepNext/>
      <w:keepLines/>
      <w:pageBreakBefore/>
      <w:numPr>
        <w:numId w:val="12"/>
      </w:numPr>
      <w:spacing w:after="240"/>
      <w:ind w:left="709" w:hanging="709"/>
      <w:outlineLvl w:val="1"/>
    </w:pPr>
    <w:rPr>
      <w:rFonts w:ascii="Calibri" w:eastAsiaTheme="minorEastAsia" w:hAnsi="Calibri" w:cstheme="minorBidi"/>
      <w:bCs/>
      <w:color w:val="000000"/>
      <w:sz w:val="56"/>
      <w:szCs w:val="28"/>
      <w:lang w:eastAsia="ja-JP"/>
    </w:rPr>
  </w:style>
  <w:style w:type="paragraph" w:customStyle="1" w:styleId="Heading1sub">
    <w:name w:val="Heading 1 sub"/>
    <w:basedOn w:val="Subtitle"/>
    <w:qFormat/>
    <w:rsid w:val="00914E1D"/>
  </w:style>
  <w:style w:type="paragraph" w:customStyle="1" w:styleId="Heading">
    <w:name w:val="Heading"/>
    <w:basedOn w:val="Subtitle"/>
    <w:qFormat/>
    <w:rsid w:val="00914E1D"/>
  </w:style>
  <w:style w:type="paragraph" w:customStyle="1" w:styleId="Heading3unnumbered">
    <w:name w:val="Heading 3 unnumbered"/>
    <w:next w:val="Normal"/>
    <w:qFormat/>
    <w:rsid w:val="00205FE8"/>
    <w:pPr>
      <w:keepNext/>
      <w:keepLines/>
      <w:spacing w:before="240"/>
      <w:outlineLvl w:val="2"/>
    </w:pPr>
    <w:rPr>
      <w:rFonts w:ascii="Calibri" w:eastAsia="Times New Roman" w:hAnsi="Calibri"/>
      <w:b/>
      <w:bCs/>
      <w:sz w:val="36"/>
      <w:szCs w:val="24"/>
      <w:lang w:eastAsia="en-US"/>
    </w:rPr>
  </w:style>
  <w:style w:type="paragraph" w:customStyle="1" w:styleId="Numberedheading3">
    <w:name w:val="Numbered heading 3"/>
    <w:basedOn w:val="Heading3"/>
    <w:qFormat/>
    <w:rsid w:val="00143B5F"/>
    <w:pPr>
      <w:numPr>
        <w:numId w:val="13"/>
      </w:numPr>
      <w:ind w:left="709" w:hanging="709"/>
    </w:pPr>
  </w:style>
  <w:style w:type="numbering" w:customStyle="1" w:styleId="Style2">
    <w:name w:val="Style2"/>
    <w:uiPriority w:val="99"/>
    <w:rsid w:val="009D5AF4"/>
    <w:pPr>
      <w:numPr>
        <w:numId w:val="14"/>
      </w:numPr>
    </w:pPr>
  </w:style>
  <w:style w:type="paragraph" w:styleId="ListBullet3">
    <w:name w:val="List Bullet 3"/>
    <w:basedOn w:val="Normal"/>
    <w:uiPriority w:val="99"/>
    <w:semiHidden/>
    <w:rsid w:val="00056DBB"/>
    <w:pPr>
      <w:numPr>
        <w:numId w:val="2"/>
      </w:numPr>
      <w:contextualSpacing/>
    </w:pPr>
  </w:style>
  <w:style w:type="paragraph" w:customStyle="1" w:styleId="NormalIndent1">
    <w:name w:val="Normal Indent1"/>
    <w:basedOn w:val="Normal"/>
    <w:qFormat/>
    <w:rsid w:val="009E05D8"/>
    <w:pPr>
      <w:ind w:left="567"/>
    </w:pPr>
  </w:style>
  <w:style w:type="paragraph" w:styleId="ListBullet4">
    <w:name w:val="List Bullet 4"/>
    <w:basedOn w:val="Normal"/>
    <w:uiPriority w:val="99"/>
    <w:semiHidden/>
    <w:rsid w:val="001761BB"/>
    <w:pPr>
      <w:numPr>
        <w:numId w:val="3"/>
      </w:numPr>
      <w:tabs>
        <w:tab w:val="left" w:pos="284"/>
      </w:tabs>
      <w:spacing w:before="120" w:after="120"/>
    </w:pPr>
  </w:style>
  <w:style w:type="paragraph" w:styleId="ListBullet5">
    <w:name w:val="List Bullet 5"/>
    <w:basedOn w:val="Normal"/>
    <w:uiPriority w:val="99"/>
    <w:semiHidden/>
    <w:rsid w:val="009A1D82"/>
    <w:pPr>
      <w:numPr>
        <w:numId w:val="4"/>
      </w:numPr>
      <w:contextualSpacing/>
    </w:pPr>
  </w:style>
  <w:style w:type="paragraph" w:customStyle="1" w:styleId="ListBullet6">
    <w:name w:val="List Bullet 6"/>
    <w:basedOn w:val="ListBullet2"/>
    <w:qFormat/>
    <w:rsid w:val="00F5267C"/>
    <w:pPr>
      <w:ind w:left="1135"/>
    </w:pPr>
  </w:style>
  <w:style w:type="paragraph" w:styleId="ListParagraph">
    <w:name w:val="List Paragraph"/>
    <w:basedOn w:val="Normal"/>
    <w:uiPriority w:val="34"/>
    <w:qFormat/>
    <w:rsid w:val="00830851"/>
    <w:pPr>
      <w:spacing w:after="160" w:line="259" w:lineRule="auto"/>
      <w:ind w:left="720"/>
      <w:contextualSpacing/>
    </w:pPr>
    <w:rPr>
      <w:rFonts w:asciiTheme="minorHAnsi" w:hAnsiTheme="minorHAnsi"/>
    </w:rPr>
  </w:style>
  <w:style w:type="paragraph" w:customStyle="1" w:styleId="Default">
    <w:name w:val="Default"/>
    <w:rsid w:val="007922D6"/>
    <w:pPr>
      <w:autoSpaceDE w:val="0"/>
      <w:autoSpaceDN w:val="0"/>
      <w:adjustRightInd w:val="0"/>
    </w:pPr>
    <w:rPr>
      <w:rFonts w:ascii="Times New Roman" w:eastAsiaTheme="minorHAnsi" w:hAnsi="Times New Roman"/>
      <w:color w:val="000000"/>
      <w:sz w:val="24"/>
      <w:szCs w:val="24"/>
      <w:lang w:eastAsia="en-US"/>
    </w:rPr>
  </w:style>
  <w:style w:type="paragraph" w:styleId="Revision">
    <w:name w:val="Revision"/>
    <w:hidden/>
    <w:uiPriority w:val="99"/>
    <w:semiHidden/>
    <w:rsid w:val="002A676F"/>
    <w:rPr>
      <w:rFonts w:eastAsiaTheme="minorHAnsi" w:cstheme="minorBidi"/>
      <w:sz w:val="22"/>
      <w:szCs w:val="22"/>
      <w:lang w:eastAsia="en-US"/>
    </w:rPr>
  </w:style>
  <w:style w:type="paragraph" w:customStyle="1" w:styleId="AppendixHeading1">
    <w:name w:val="Appendix Heading 1"/>
    <w:rsid w:val="00554A53"/>
    <w:pPr>
      <w:pageBreakBefore/>
      <w:numPr>
        <w:numId w:val="19"/>
      </w:numPr>
      <w:spacing w:after="240"/>
    </w:pPr>
    <w:rPr>
      <w:rFonts w:asciiTheme="minorHAnsi" w:eastAsia="Times New Roman" w:hAnsiTheme="minorHAnsi"/>
      <w:b/>
      <w:bCs/>
      <w:sz w:val="56"/>
      <w:szCs w:val="24"/>
      <w:lang w:eastAsia="en-US"/>
    </w:rPr>
  </w:style>
  <w:style w:type="numbering" w:customStyle="1" w:styleId="Appendix">
    <w:name w:val="Appendix"/>
    <w:uiPriority w:val="99"/>
    <w:rsid w:val="00554A53"/>
    <w:pPr>
      <w:numPr>
        <w:numId w:val="17"/>
      </w:numPr>
    </w:pPr>
  </w:style>
  <w:style w:type="paragraph" w:customStyle="1" w:styleId="AppendixHeading2">
    <w:name w:val="Appendix Heading 2"/>
    <w:qFormat/>
    <w:rsid w:val="00554A53"/>
    <w:pPr>
      <w:numPr>
        <w:ilvl w:val="1"/>
        <w:numId w:val="19"/>
      </w:numPr>
    </w:pPr>
    <w:rPr>
      <w:rFonts w:asciiTheme="minorHAnsi" w:eastAsia="Times New Roman" w:hAnsiTheme="minorHAnsi"/>
      <w:b/>
      <w:bCs/>
      <w:sz w:val="32"/>
      <w:szCs w:val="24"/>
      <w:lang w:eastAsia="en-US"/>
    </w:rPr>
  </w:style>
  <w:style w:type="numbering" w:customStyle="1" w:styleId="Compliance">
    <w:name w:val="Compliance"/>
    <w:uiPriority w:val="99"/>
    <w:rsid w:val="00D02BB4"/>
    <w:pPr>
      <w:numPr>
        <w:numId w:val="23"/>
      </w:numPr>
    </w:pPr>
  </w:style>
  <w:style w:type="paragraph" w:customStyle="1" w:styleId="AppendixCTitle">
    <w:name w:val="Appendix C Title"/>
    <w:basedOn w:val="Heading3"/>
    <w:rsid w:val="00D02BB4"/>
    <w:pPr>
      <w:numPr>
        <w:numId w:val="24"/>
      </w:numPr>
      <w:spacing w:before="240" w:after="120"/>
      <w:ind w:left="0" w:firstLine="0"/>
    </w:pPr>
    <w:rPr>
      <w:color w:val="1F497D" w:themeColor="text2"/>
      <w:sz w:val="34"/>
    </w:rPr>
  </w:style>
  <w:style w:type="paragraph" w:customStyle="1" w:styleId="Normalnumbered">
    <w:name w:val="Normal numbered"/>
    <w:qFormat/>
    <w:rsid w:val="00D02BB4"/>
    <w:pPr>
      <w:tabs>
        <w:tab w:val="num" w:pos="567"/>
      </w:tabs>
      <w:spacing w:after="120"/>
    </w:pPr>
    <w:rPr>
      <w:rFonts w:eastAsiaTheme="minorHAnsi" w:cstheme="minorBidi"/>
      <w:sz w:val="22"/>
      <w:szCs w:val="22"/>
      <w:lang w:eastAsia="en-US"/>
    </w:rPr>
  </w:style>
  <w:style w:type="paragraph" w:styleId="BodyText">
    <w:name w:val="Body Text"/>
    <w:basedOn w:val="Normal"/>
    <w:link w:val="BodyTextChar"/>
    <w:uiPriority w:val="99"/>
    <w:semiHidden/>
    <w:unhideWhenUsed/>
    <w:rsid w:val="00AF673B"/>
    <w:pPr>
      <w:spacing w:after="120"/>
    </w:pPr>
  </w:style>
  <w:style w:type="character" w:customStyle="1" w:styleId="BodyTextChar">
    <w:name w:val="Body Text Char"/>
    <w:basedOn w:val="DefaultParagraphFont"/>
    <w:link w:val="BodyText"/>
    <w:uiPriority w:val="99"/>
    <w:semiHidden/>
    <w:rsid w:val="00AF673B"/>
    <w:rPr>
      <w:rFonts w:eastAsiaTheme="minorHAnsi" w:cstheme="minorBidi"/>
      <w:sz w:val="22"/>
      <w:szCs w:val="22"/>
      <w:lang w:eastAsia="en-US"/>
    </w:rPr>
  </w:style>
  <w:style w:type="paragraph" w:styleId="NormalIndent">
    <w:name w:val="Normal Indent"/>
    <w:basedOn w:val="Normal"/>
    <w:uiPriority w:val="99"/>
    <w:unhideWhenUsed/>
    <w:rsid w:val="00ED75BE"/>
    <w:pPr>
      <w:ind w:left="720"/>
    </w:pPr>
  </w:style>
  <w:style w:type="paragraph" w:styleId="NoteHeading">
    <w:name w:val="Note Heading"/>
    <w:basedOn w:val="Normal"/>
    <w:next w:val="Normal"/>
    <w:link w:val="NoteHeadingChar"/>
    <w:uiPriority w:val="99"/>
    <w:unhideWhenUsed/>
    <w:rsid w:val="00ED75BE"/>
    <w:pPr>
      <w:spacing w:after="0" w:line="240" w:lineRule="auto"/>
    </w:pPr>
  </w:style>
  <w:style w:type="character" w:customStyle="1" w:styleId="NoteHeadingChar">
    <w:name w:val="Note Heading Char"/>
    <w:basedOn w:val="DefaultParagraphFont"/>
    <w:link w:val="NoteHeading"/>
    <w:uiPriority w:val="99"/>
    <w:rsid w:val="00ED75BE"/>
    <w:rPr>
      <w:rFonts w:eastAsiaTheme="minorHAnsi" w:cstheme="minorBidi"/>
      <w:sz w:val="22"/>
      <w:szCs w:val="22"/>
      <w:lang w:eastAsia="en-US"/>
    </w:rPr>
  </w:style>
  <w:style w:type="paragraph" w:styleId="NoSpacing">
    <w:name w:val="No Spacing"/>
    <w:uiPriority w:val="99"/>
    <w:semiHidden/>
    <w:qFormat/>
    <w:rsid w:val="0004150B"/>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101755">
      <w:bodyDiv w:val="1"/>
      <w:marLeft w:val="0"/>
      <w:marRight w:val="0"/>
      <w:marTop w:val="0"/>
      <w:marBottom w:val="0"/>
      <w:divBdr>
        <w:top w:val="none" w:sz="0" w:space="0" w:color="auto"/>
        <w:left w:val="none" w:sz="0" w:space="0" w:color="auto"/>
        <w:bottom w:val="none" w:sz="0" w:space="0" w:color="auto"/>
        <w:right w:val="none" w:sz="0" w:space="0" w:color="auto"/>
      </w:divBdr>
    </w:div>
    <w:div w:id="285934363">
      <w:bodyDiv w:val="1"/>
      <w:marLeft w:val="0"/>
      <w:marRight w:val="0"/>
      <w:marTop w:val="0"/>
      <w:marBottom w:val="0"/>
      <w:divBdr>
        <w:top w:val="none" w:sz="0" w:space="0" w:color="auto"/>
        <w:left w:val="none" w:sz="0" w:space="0" w:color="auto"/>
        <w:bottom w:val="none" w:sz="0" w:space="0" w:color="auto"/>
        <w:right w:val="none" w:sz="0" w:space="0" w:color="auto"/>
      </w:divBdr>
      <w:divsChild>
        <w:div w:id="127551627">
          <w:marLeft w:val="0"/>
          <w:marRight w:val="0"/>
          <w:marTop w:val="0"/>
          <w:marBottom w:val="0"/>
          <w:divBdr>
            <w:top w:val="none" w:sz="0" w:space="0" w:color="auto"/>
            <w:left w:val="none" w:sz="0" w:space="0" w:color="auto"/>
            <w:bottom w:val="none" w:sz="0" w:space="0" w:color="auto"/>
            <w:right w:val="none" w:sz="0" w:space="0" w:color="auto"/>
          </w:divBdr>
          <w:divsChild>
            <w:div w:id="1198161232">
              <w:marLeft w:val="0"/>
              <w:marRight w:val="0"/>
              <w:marTop w:val="0"/>
              <w:marBottom w:val="0"/>
              <w:divBdr>
                <w:top w:val="none" w:sz="0" w:space="0" w:color="auto"/>
                <w:left w:val="none" w:sz="0" w:space="0" w:color="auto"/>
                <w:bottom w:val="none" w:sz="0" w:space="0" w:color="auto"/>
                <w:right w:val="none" w:sz="0" w:space="0" w:color="auto"/>
              </w:divBdr>
              <w:divsChild>
                <w:div w:id="1926500105">
                  <w:marLeft w:val="0"/>
                  <w:marRight w:val="0"/>
                  <w:marTop w:val="0"/>
                  <w:marBottom w:val="0"/>
                  <w:divBdr>
                    <w:top w:val="none" w:sz="0" w:space="0" w:color="auto"/>
                    <w:left w:val="none" w:sz="0" w:space="0" w:color="auto"/>
                    <w:bottom w:val="none" w:sz="0" w:space="0" w:color="auto"/>
                    <w:right w:val="none" w:sz="0" w:space="0" w:color="auto"/>
                  </w:divBdr>
                  <w:divsChild>
                    <w:div w:id="586886343">
                      <w:marLeft w:val="0"/>
                      <w:marRight w:val="0"/>
                      <w:marTop w:val="0"/>
                      <w:marBottom w:val="0"/>
                      <w:divBdr>
                        <w:top w:val="none" w:sz="0" w:space="0" w:color="auto"/>
                        <w:left w:val="none" w:sz="0" w:space="0" w:color="auto"/>
                        <w:bottom w:val="none" w:sz="0" w:space="0" w:color="auto"/>
                        <w:right w:val="none" w:sz="0" w:space="0" w:color="auto"/>
                      </w:divBdr>
                      <w:divsChild>
                        <w:div w:id="1716153696">
                          <w:marLeft w:val="0"/>
                          <w:marRight w:val="0"/>
                          <w:marTop w:val="0"/>
                          <w:marBottom w:val="0"/>
                          <w:divBdr>
                            <w:top w:val="none" w:sz="0" w:space="0" w:color="auto"/>
                            <w:left w:val="none" w:sz="0" w:space="0" w:color="auto"/>
                            <w:bottom w:val="none" w:sz="0" w:space="0" w:color="auto"/>
                            <w:right w:val="none" w:sz="0" w:space="0" w:color="auto"/>
                          </w:divBdr>
                          <w:divsChild>
                            <w:div w:id="1675183014">
                              <w:marLeft w:val="0"/>
                              <w:marRight w:val="0"/>
                              <w:marTop w:val="225"/>
                              <w:marBottom w:val="0"/>
                              <w:divBdr>
                                <w:top w:val="none" w:sz="0" w:space="0" w:color="auto"/>
                                <w:left w:val="none" w:sz="0" w:space="0" w:color="auto"/>
                                <w:bottom w:val="none" w:sz="0" w:space="0" w:color="auto"/>
                                <w:right w:val="none" w:sz="0" w:space="0" w:color="auto"/>
                              </w:divBdr>
                              <w:divsChild>
                                <w:div w:id="1875536039">
                                  <w:marLeft w:val="0"/>
                                  <w:marRight w:val="0"/>
                                  <w:marTop w:val="0"/>
                                  <w:marBottom w:val="0"/>
                                  <w:divBdr>
                                    <w:top w:val="none" w:sz="0" w:space="0" w:color="auto"/>
                                    <w:left w:val="none" w:sz="0" w:space="0" w:color="auto"/>
                                    <w:bottom w:val="none" w:sz="0" w:space="0" w:color="auto"/>
                                    <w:right w:val="none" w:sz="0" w:space="0" w:color="auto"/>
                                  </w:divBdr>
                                  <w:divsChild>
                                    <w:div w:id="1258321604">
                                      <w:marLeft w:val="0"/>
                                      <w:marRight w:val="0"/>
                                      <w:marTop w:val="0"/>
                                      <w:marBottom w:val="0"/>
                                      <w:divBdr>
                                        <w:top w:val="none" w:sz="0" w:space="0" w:color="auto"/>
                                        <w:left w:val="none" w:sz="0" w:space="0" w:color="auto"/>
                                        <w:bottom w:val="none" w:sz="0" w:space="0" w:color="auto"/>
                                        <w:right w:val="none" w:sz="0" w:space="0" w:color="auto"/>
                                      </w:divBdr>
                                      <w:divsChild>
                                        <w:div w:id="565454462">
                                          <w:marLeft w:val="0"/>
                                          <w:marRight w:val="0"/>
                                          <w:marTop w:val="0"/>
                                          <w:marBottom w:val="0"/>
                                          <w:divBdr>
                                            <w:top w:val="none" w:sz="0" w:space="0" w:color="auto"/>
                                            <w:left w:val="none" w:sz="0" w:space="0" w:color="auto"/>
                                            <w:bottom w:val="none" w:sz="0" w:space="0" w:color="auto"/>
                                            <w:right w:val="none" w:sz="0" w:space="0" w:color="auto"/>
                                          </w:divBdr>
                                          <w:divsChild>
                                            <w:div w:id="1404334185">
                                              <w:marLeft w:val="0"/>
                                              <w:marRight w:val="0"/>
                                              <w:marTop w:val="0"/>
                                              <w:marBottom w:val="0"/>
                                              <w:divBdr>
                                                <w:top w:val="none" w:sz="0" w:space="0" w:color="auto"/>
                                                <w:left w:val="none" w:sz="0" w:space="0" w:color="auto"/>
                                                <w:bottom w:val="none" w:sz="0" w:space="0" w:color="auto"/>
                                                <w:right w:val="none" w:sz="0" w:space="0" w:color="auto"/>
                                              </w:divBdr>
                                              <w:divsChild>
                                                <w:div w:id="2132548158">
                                                  <w:marLeft w:val="0"/>
                                                  <w:marRight w:val="0"/>
                                                  <w:marTop w:val="0"/>
                                                  <w:marBottom w:val="0"/>
                                                  <w:divBdr>
                                                    <w:top w:val="none" w:sz="0" w:space="0" w:color="auto"/>
                                                    <w:left w:val="none" w:sz="0" w:space="0" w:color="auto"/>
                                                    <w:bottom w:val="none" w:sz="0" w:space="0" w:color="auto"/>
                                                    <w:right w:val="none" w:sz="0" w:space="0" w:color="auto"/>
                                                  </w:divBdr>
                                                  <w:divsChild>
                                                    <w:div w:id="1619220693">
                                                      <w:marLeft w:val="0"/>
                                                      <w:marRight w:val="0"/>
                                                      <w:marTop w:val="0"/>
                                                      <w:marBottom w:val="0"/>
                                                      <w:divBdr>
                                                        <w:top w:val="none" w:sz="0" w:space="0" w:color="auto"/>
                                                        <w:left w:val="none" w:sz="0" w:space="0" w:color="auto"/>
                                                        <w:bottom w:val="none" w:sz="0" w:space="0" w:color="auto"/>
                                                        <w:right w:val="none" w:sz="0" w:space="0" w:color="auto"/>
                                                      </w:divBdr>
                                                      <w:divsChild>
                                                        <w:div w:id="768232721">
                                                          <w:marLeft w:val="0"/>
                                                          <w:marRight w:val="0"/>
                                                          <w:marTop w:val="0"/>
                                                          <w:marBottom w:val="0"/>
                                                          <w:divBdr>
                                                            <w:top w:val="none" w:sz="0" w:space="0" w:color="auto"/>
                                                            <w:left w:val="none" w:sz="0" w:space="0" w:color="auto"/>
                                                            <w:bottom w:val="none" w:sz="0" w:space="0" w:color="auto"/>
                                                            <w:right w:val="none" w:sz="0" w:space="0" w:color="auto"/>
                                                          </w:divBdr>
                                                          <w:divsChild>
                                                            <w:div w:id="2001804625">
                                                              <w:marLeft w:val="0"/>
                                                              <w:marRight w:val="0"/>
                                                              <w:marTop w:val="0"/>
                                                              <w:marBottom w:val="0"/>
                                                              <w:divBdr>
                                                                <w:top w:val="none" w:sz="0" w:space="0" w:color="auto"/>
                                                                <w:left w:val="none" w:sz="0" w:space="0" w:color="auto"/>
                                                                <w:bottom w:val="none" w:sz="0" w:space="0" w:color="auto"/>
                                                                <w:right w:val="none" w:sz="0" w:space="0" w:color="auto"/>
                                                              </w:divBdr>
                                                              <w:divsChild>
                                                                <w:div w:id="134436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4319053">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964811">
      <w:bodyDiv w:val="1"/>
      <w:marLeft w:val="0"/>
      <w:marRight w:val="0"/>
      <w:marTop w:val="0"/>
      <w:marBottom w:val="0"/>
      <w:divBdr>
        <w:top w:val="none" w:sz="0" w:space="0" w:color="auto"/>
        <w:left w:val="none" w:sz="0" w:space="0" w:color="auto"/>
        <w:bottom w:val="none" w:sz="0" w:space="0" w:color="auto"/>
        <w:right w:val="none" w:sz="0" w:space="0" w:color="auto"/>
      </w:divBdr>
    </w:div>
    <w:div w:id="127575122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027235">
      <w:bodyDiv w:val="1"/>
      <w:marLeft w:val="0"/>
      <w:marRight w:val="0"/>
      <w:marTop w:val="0"/>
      <w:marBottom w:val="0"/>
      <w:divBdr>
        <w:top w:val="none" w:sz="0" w:space="0" w:color="auto"/>
        <w:left w:val="none" w:sz="0" w:space="0" w:color="auto"/>
        <w:bottom w:val="none" w:sz="0" w:space="0" w:color="auto"/>
        <w:right w:val="none" w:sz="0" w:space="0" w:color="auto"/>
      </w:divBdr>
      <w:divsChild>
        <w:div w:id="1813129825">
          <w:marLeft w:val="0"/>
          <w:marRight w:val="0"/>
          <w:marTop w:val="0"/>
          <w:marBottom w:val="0"/>
          <w:divBdr>
            <w:top w:val="none" w:sz="0" w:space="0" w:color="auto"/>
            <w:left w:val="none" w:sz="0" w:space="0" w:color="auto"/>
            <w:bottom w:val="none" w:sz="0" w:space="0" w:color="auto"/>
            <w:right w:val="none" w:sz="0" w:space="0" w:color="auto"/>
          </w:divBdr>
          <w:divsChild>
            <w:div w:id="1530023681">
              <w:marLeft w:val="0"/>
              <w:marRight w:val="0"/>
              <w:marTop w:val="0"/>
              <w:marBottom w:val="0"/>
              <w:divBdr>
                <w:top w:val="none" w:sz="0" w:space="0" w:color="auto"/>
                <w:left w:val="none" w:sz="0" w:space="0" w:color="auto"/>
                <w:bottom w:val="none" w:sz="0" w:space="0" w:color="auto"/>
                <w:right w:val="none" w:sz="0" w:space="0" w:color="auto"/>
              </w:divBdr>
              <w:divsChild>
                <w:div w:id="1276526569">
                  <w:marLeft w:val="0"/>
                  <w:marRight w:val="0"/>
                  <w:marTop w:val="0"/>
                  <w:marBottom w:val="0"/>
                  <w:divBdr>
                    <w:top w:val="none" w:sz="0" w:space="0" w:color="auto"/>
                    <w:left w:val="none" w:sz="0" w:space="0" w:color="auto"/>
                    <w:bottom w:val="none" w:sz="0" w:space="0" w:color="auto"/>
                    <w:right w:val="none" w:sz="0" w:space="0" w:color="auto"/>
                  </w:divBdr>
                  <w:divsChild>
                    <w:div w:id="215044834">
                      <w:marLeft w:val="0"/>
                      <w:marRight w:val="0"/>
                      <w:marTop w:val="0"/>
                      <w:marBottom w:val="0"/>
                      <w:divBdr>
                        <w:top w:val="none" w:sz="0" w:space="0" w:color="auto"/>
                        <w:left w:val="none" w:sz="0" w:space="0" w:color="auto"/>
                        <w:bottom w:val="none" w:sz="0" w:space="0" w:color="auto"/>
                        <w:right w:val="none" w:sz="0" w:space="0" w:color="auto"/>
                      </w:divBdr>
                      <w:divsChild>
                        <w:div w:id="1250655861">
                          <w:marLeft w:val="0"/>
                          <w:marRight w:val="0"/>
                          <w:marTop w:val="0"/>
                          <w:marBottom w:val="0"/>
                          <w:divBdr>
                            <w:top w:val="none" w:sz="0" w:space="0" w:color="auto"/>
                            <w:left w:val="none" w:sz="0" w:space="0" w:color="auto"/>
                            <w:bottom w:val="none" w:sz="0" w:space="0" w:color="auto"/>
                            <w:right w:val="none" w:sz="0" w:space="0" w:color="auto"/>
                          </w:divBdr>
                          <w:divsChild>
                            <w:div w:id="393243230">
                              <w:marLeft w:val="0"/>
                              <w:marRight w:val="0"/>
                              <w:marTop w:val="225"/>
                              <w:marBottom w:val="0"/>
                              <w:divBdr>
                                <w:top w:val="none" w:sz="0" w:space="0" w:color="auto"/>
                                <w:left w:val="none" w:sz="0" w:space="0" w:color="auto"/>
                                <w:bottom w:val="none" w:sz="0" w:space="0" w:color="auto"/>
                                <w:right w:val="none" w:sz="0" w:space="0" w:color="auto"/>
                              </w:divBdr>
                              <w:divsChild>
                                <w:div w:id="1914926426">
                                  <w:marLeft w:val="0"/>
                                  <w:marRight w:val="0"/>
                                  <w:marTop w:val="0"/>
                                  <w:marBottom w:val="0"/>
                                  <w:divBdr>
                                    <w:top w:val="none" w:sz="0" w:space="0" w:color="auto"/>
                                    <w:left w:val="none" w:sz="0" w:space="0" w:color="auto"/>
                                    <w:bottom w:val="none" w:sz="0" w:space="0" w:color="auto"/>
                                    <w:right w:val="none" w:sz="0" w:space="0" w:color="auto"/>
                                  </w:divBdr>
                                  <w:divsChild>
                                    <w:div w:id="937369775">
                                      <w:marLeft w:val="0"/>
                                      <w:marRight w:val="0"/>
                                      <w:marTop w:val="0"/>
                                      <w:marBottom w:val="0"/>
                                      <w:divBdr>
                                        <w:top w:val="none" w:sz="0" w:space="0" w:color="auto"/>
                                        <w:left w:val="none" w:sz="0" w:space="0" w:color="auto"/>
                                        <w:bottom w:val="none" w:sz="0" w:space="0" w:color="auto"/>
                                        <w:right w:val="none" w:sz="0" w:space="0" w:color="auto"/>
                                      </w:divBdr>
                                      <w:divsChild>
                                        <w:div w:id="2038308220">
                                          <w:marLeft w:val="0"/>
                                          <w:marRight w:val="0"/>
                                          <w:marTop w:val="0"/>
                                          <w:marBottom w:val="0"/>
                                          <w:divBdr>
                                            <w:top w:val="none" w:sz="0" w:space="0" w:color="auto"/>
                                            <w:left w:val="none" w:sz="0" w:space="0" w:color="auto"/>
                                            <w:bottom w:val="none" w:sz="0" w:space="0" w:color="auto"/>
                                            <w:right w:val="none" w:sz="0" w:space="0" w:color="auto"/>
                                          </w:divBdr>
                                          <w:divsChild>
                                            <w:div w:id="361981405">
                                              <w:marLeft w:val="0"/>
                                              <w:marRight w:val="0"/>
                                              <w:marTop w:val="0"/>
                                              <w:marBottom w:val="0"/>
                                              <w:divBdr>
                                                <w:top w:val="none" w:sz="0" w:space="0" w:color="auto"/>
                                                <w:left w:val="none" w:sz="0" w:space="0" w:color="auto"/>
                                                <w:bottom w:val="none" w:sz="0" w:space="0" w:color="auto"/>
                                                <w:right w:val="none" w:sz="0" w:space="0" w:color="auto"/>
                                              </w:divBdr>
                                              <w:divsChild>
                                                <w:div w:id="1650013772">
                                                  <w:marLeft w:val="0"/>
                                                  <w:marRight w:val="0"/>
                                                  <w:marTop w:val="0"/>
                                                  <w:marBottom w:val="0"/>
                                                  <w:divBdr>
                                                    <w:top w:val="none" w:sz="0" w:space="0" w:color="auto"/>
                                                    <w:left w:val="none" w:sz="0" w:space="0" w:color="auto"/>
                                                    <w:bottom w:val="none" w:sz="0" w:space="0" w:color="auto"/>
                                                    <w:right w:val="none" w:sz="0" w:space="0" w:color="auto"/>
                                                  </w:divBdr>
                                                  <w:divsChild>
                                                    <w:div w:id="1595624486">
                                                      <w:marLeft w:val="0"/>
                                                      <w:marRight w:val="0"/>
                                                      <w:marTop w:val="0"/>
                                                      <w:marBottom w:val="0"/>
                                                      <w:divBdr>
                                                        <w:top w:val="none" w:sz="0" w:space="0" w:color="auto"/>
                                                        <w:left w:val="none" w:sz="0" w:space="0" w:color="auto"/>
                                                        <w:bottom w:val="none" w:sz="0" w:space="0" w:color="auto"/>
                                                        <w:right w:val="none" w:sz="0" w:space="0" w:color="auto"/>
                                                      </w:divBdr>
                                                      <w:divsChild>
                                                        <w:div w:id="1388723897">
                                                          <w:marLeft w:val="0"/>
                                                          <w:marRight w:val="0"/>
                                                          <w:marTop w:val="0"/>
                                                          <w:marBottom w:val="0"/>
                                                          <w:divBdr>
                                                            <w:top w:val="none" w:sz="0" w:space="0" w:color="auto"/>
                                                            <w:left w:val="none" w:sz="0" w:space="0" w:color="auto"/>
                                                            <w:bottom w:val="none" w:sz="0" w:space="0" w:color="auto"/>
                                                            <w:right w:val="none" w:sz="0" w:space="0" w:color="auto"/>
                                                          </w:divBdr>
                                                          <w:divsChild>
                                                            <w:div w:id="75249446">
                                                              <w:marLeft w:val="0"/>
                                                              <w:marRight w:val="0"/>
                                                              <w:marTop w:val="0"/>
                                                              <w:marBottom w:val="0"/>
                                                              <w:divBdr>
                                                                <w:top w:val="none" w:sz="0" w:space="0" w:color="auto"/>
                                                                <w:left w:val="none" w:sz="0" w:space="0" w:color="auto"/>
                                                                <w:bottom w:val="none" w:sz="0" w:space="0" w:color="auto"/>
                                                                <w:right w:val="none" w:sz="0" w:space="0" w:color="auto"/>
                                                              </w:divBdr>
                                                              <w:divsChild>
                                                                <w:div w:id="124171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4518761">
      <w:bodyDiv w:val="1"/>
      <w:marLeft w:val="0"/>
      <w:marRight w:val="0"/>
      <w:marTop w:val="0"/>
      <w:marBottom w:val="0"/>
      <w:divBdr>
        <w:top w:val="none" w:sz="0" w:space="0" w:color="auto"/>
        <w:left w:val="none" w:sz="0" w:space="0" w:color="auto"/>
        <w:bottom w:val="none" w:sz="0" w:space="0" w:color="auto"/>
        <w:right w:val="none" w:sz="0" w:space="0" w:color="auto"/>
      </w:divBdr>
      <w:divsChild>
        <w:div w:id="1405300057">
          <w:marLeft w:val="0"/>
          <w:marRight w:val="0"/>
          <w:marTop w:val="0"/>
          <w:marBottom w:val="0"/>
          <w:divBdr>
            <w:top w:val="none" w:sz="0" w:space="0" w:color="auto"/>
            <w:left w:val="none" w:sz="0" w:space="0" w:color="auto"/>
            <w:bottom w:val="none" w:sz="0" w:space="0" w:color="auto"/>
            <w:right w:val="none" w:sz="0" w:space="0" w:color="auto"/>
          </w:divBdr>
          <w:divsChild>
            <w:div w:id="1836727883">
              <w:marLeft w:val="0"/>
              <w:marRight w:val="0"/>
              <w:marTop w:val="0"/>
              <w:marBottom w:val="0"/>
              <w:divBdr>
                <w:top w:val="none" w:sz="0" w:space="0" w:color="auto"/>
                <w:left w:val="none" w:sz="0" w:space="0" w:color="auto"/>
                <w:bottom w:val="none" w:sz="0" w:space="0" w:color="auto"/>
                <w:right w:val="none" w:sz="0" w:space="0" w:color="auto"/>
              </w:divBdr>
              <w:divsChild>
                <w:div w:id="1572497164">
                  <w:marLeft w:val="0"/>
                  <w:marRight w:val="0"/>
                  <w:marTop w:val="0"/>
                  <w:marBottom w:val="0"/>
                  <w:divBdr>
                    <w:top w:val="none" w:sz="0" w:space="0" w:color="auto"/>
                    <w:left w:val="none" w:sz="0" w:space="0" w:color="auto"/>
                    <w:bottom w:val="none" w:sz="0" w:space="0" w:color="auto"/>
                    <w:right w:val="none" w:sz="0" w:space="0" w:color="auto"/>
                  </w:divBdr>
                  <w:divsChild>
                    <w:div w:id="189537938">
                      <w:marLeft w:val="0"/>
                      <w:marRight w:val="0"/>
                      <w:marTop w:val="0"/>
                      <w:marBottom w:val="0"/>
                      <w:divBdr>
                        <w:top w:val="none" w:sz="0" w:space="0" w:color="auto"/>
                        <w:left w:val="none" w:sz="0" w:space="0" w:color="auto"/>
                        <w:bottom w:val="none" w:sz="0" w:space="0" w:color="auto"/>
                        <w:right w:val="none" w:sz="0" w:space="0" w:color="auto"/>
                      </w:divBdr>
                      <w:divsChild>
                        <w:div w:id="1638147412">
                          <w:marLeft w:val="0"/>
                          <w:marRight w:val="0"/>
                          <w:marTop w:val="0"/>
                          <w:marBottom w:val="0"/>
                          <w:divBdr>
                            <w:top w:val="none" w:sz="0" w:space="0" w:color="auto"/>
                            <w:left w:val="none" w:sz="0" w:space="0" w:color="auto"/>
                            <w:bottom w:val="none" w:sz="0" w:space="0" w:color="auto"/>
                            <w:right w:val="none" w:sz="0" w:space="0" w:color="auto"/>
                          </w:divBdr>
                          <w:divsChild>
                            <w:div w:id="1156339340">
                              <w:marLeft w:val="0"/>
                              <w:marRight w:val="0"/>
                              <w:marTop w:val="225"/>
                              <w:marBottom w:val="0"/>
                              <w:divBdr>
                                <w:top w:val="none" w:sz="0" w:space="0" w:color="auto"/>
                                <w:left w:val="none" w:sz="0" w:space="0" w:color="auto"/>
                                <w:bottom w:val="none" w:sz="0" w:space="0" w:color="auto"/>
                                <w:right w:val="none" w:sz="0" w:space="0" w:color="auto"/>
                              </w:divBdr>
                              <w:divsChild>
                                <w:div w:id="1895580208">
                                  <w:marLeft w:val="0"/>
                                  <w:marRight w:val="0"/>
                                  <w:marTop w:val="0"/>
                                  <w:marBottom w:val="0"/>
                                  <w:divBdr>
                                    <w:top w:val="none" w:sz="0" w:space="0" w:color="auto"/>
                                    <w:left w:val="none" w:sz="0" w:space="0" w:color="auto"/>
                                    <w:bottom w:val="none" w:sz="0" w:space="0" w:color="auto"/>
                                    <w:right w:val="none" w:sz="0" w:space="0" w:color="auto"/>
                                  </w:divBdr>
                                  <w:divsChild>
                                    <w:div w:id="2076509854">
                                      <w:marLeft w:val="0"/>
                                      <w:marRight w:val="0"/>
                                      <w:marTop w:val="0"/>
                                      <w:marBottom w:val="0"/>
                                      <w:divBdr>
                                        <w:top w:val="none" w:sz="0" w:space="0" w:color="auto"/>
                                        <w:left w:val="none" w:sz="0" w:space="0" w:color="auto"/>
                                        <w:bottom w:val="none" w:sz="0" w:space="0" w:color="auto"/>
                                        <w:right w:val="none" w:sz="0" w:space="0" w:color="auto"/>
                                      </w:divBdr>
                                      <w:divsChild>
                                        <w:div w:id="841774675">
                                          <w:marLeft w:val="0"/>
                                          <w:marRight w:val="0"/>
                                          <w:marTop w:val="0"/>
                                          <w:marBottom w:val="0"/>
                                          <w:divBdr>
                                            <w:top w:val="none" w:sz="0" w:space="0" w:color="auto"/>
                                            <w:left w:val="none" w:sz="0" w:space="0" w:color="auto"/>
                                            <w:bottom w:val="none" w:sz="0" w:space="0" w:color="auto"/>
                                            <w:right w:val="none" w:sz="0" w:space="0" w:color="auto"/>
                                          </w:divBdr>
                                          <w:divsChild>
                                            <w:div w:id="376585218">
                                              <w:marLeft w:val="0"/>
                                              <w:marRight w:val="0"/>
                                              <w:marTop w:val="0"/>
                                              <w:marBottom w:val="0"/>
                                              <w:divBdr>
                                                <w:top w:val="none" w:sz="0" w:space="0" w:color="auto"/>
                                                <w:left w:val="none" w:sz="0" w:space="0" w:color="auto"/>
                                                <w:bottom w:val="none" w:sz="0" w:space="0" w:color="auto"/>
                                                <w:right w:val="none" w:sz="0" w:space="0" w:color="auto"/>
                                              </w:divBdr>
                                              <w:divsChild>
                                                <w:div w:id="159853258">
                                                  <w:marLeft w:val="0"/>
                                                  <w:marRight w:val="0"/>
                                                  <w:marTop w:val="0"/>
                                                  <w:marBottom w:val="0"/>
                                                  <w:divBdr>
                                                    <w:top w:val="none" w:sz="0" w:space="0" w:color="auto"/>
                                                    <w:left w:val="none" w:sz="0" w:space="0" w:color="auto"/>
                                                    <w:bottom w:val="none" w:sz="0" w:space="0" w:color="auto"/>
                                                    <w:right w:val="none" w:sz="0" w:space="0" w:color="auto"/>
                                                  </w:divBdr>
                                                  <w:divsChild>
                                                    <w:div w:id="1889759020">
                                                      <w:marLeft w:val="0"/>
                                                      <w:marRight w:val="0"/>
                                                      <w:marTop w:val="0"/>
                                                      <w:marBottom w:val="0"/>
                                                      <w:divBdr>
                                                        <w:top w:val="none" w:sz="0" w:space="0" w:color="auto"/>
                                                        <w:left w:val="none" w:sz="0" w:space="0" w:color="auto"/>
                                                        <w:bottom w:val="none" w:sz="0" w:space="0" w:color="auto"/>
                                                        <w:right w:val="none" w:sz="0" w:space="0" w:color="auto"/>
                                                      </w:divBdr>
                                                      <w:divsChild>
                                                        <w:div w:id="1321153832">
                                                          <w:marLeft w:val="0"/>
                                                          <w:marRight w:val="0"/>
                                                          <w:marTop w:val="0"/>
                                                          <w:marBottom w:val="0"/>
                                                          <w:divBdr>
                                                            <w:top w:val="none" w:sz="0" w:space="0" w:color="auto"/>
                                                            <w:left w:val="none" w:sz="0" w:space="0" w:color="auto"/>
                                                            <w:bottom w:val="none" w:sz="0" w:space="0" w:color="auto"/>
                                                            <w:right w:val="none" w:sz="0" w:space="0" w:color="auto"/>
                                                          </w:divBdr>
                                                        </w:div>
                                                        <w:div w:id="14543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5215076">
      <w:bodyDiv w:val="1"/>
      <w:marLeft w:val="0"/>
      <w:marRight w:val="0"/>
      <w:marTop w:val="0"/>
      <w:marBottom w:val="0"/>
      <w:divBdr>
        <w:top w:val="none" w:sz="0" w:space="0" w:color="auto"/>
        <w:left w:val="none" w:sz="0" w:space="0" w:color="auto"/>
        <w:bottom w:val="none" w:sz="0" w:space="0" w:color="auto"/>
        <w:right w:val="none" w:sz="0" w:space="0" w:color="auto"/>
      </w:divBdr>
      <w:divsChild>
        <w:div w:id="1136217573">
          <w:marLeft w:val="0"/>
          <w:marRight w:val="0"/>
          <w:marTop w:val="0"/>
          <w:marBottom w:val="0"/>
          <w:divBdr>
            <w:top w:val="none" w:sz="0" w:space="0" w:color="auto"/>
            <w:left w:val="none" w:sz="0" w:space="0" w:color="auto"/>
            <w:bottom w:val="none" w:sz="0" w:space="0" w:color="auto"/>
            <w:right w:val="none" w:sz="0" w:space="0" w:color="auto"/>
          </w:divBdr>
          <w:divsChild>
            <w:div w:id="1574853296">
              <w:marLeft w:val="0"/>
              <w:marRight w:val="0"/>
              <w:marTop w:val="0"/>
              <w:marBottom w:val="0"/>
              <w:divBdr>
                <w:top w:val="none" w:sz="0" w:space="0" w:color="auto"/>
                <w:left w:val="none" w:sz="0" w:space="0" w:color="auto"/>
                <w:bottom w:val="none" w:sz="0" w:space="0" w:color="auto"/>
                <w:right w:val="none" w:sz="0" w:space="0" w:color="auto"/>
              </w:divBdr>
              <w:divsChild>
                <w:div w:id="564537279">
                  <w:marLeft w:val="0"/>
                  <w:marRight w:val="0"/>
                  <w:marTop w:val="0"/>
                  <w:marBottom w:val="0"/>
                  <w:divBdr>
                    <w:top w:val="none" w:sz="0" w:space="0" w:color="auto"/>
                    <w:left w:val="none" w:sz="0" w:space="0" w:color="auto"/>
                    <w:bottom w:val="none" w:sz="0" w:space="0" w:color="auto"/>
                    <w:right w:val="none" w:sz="0" w:space="0" w:color="auto"/>
                  </w:divBdr>
                  <w:divsChild>
                    <w:div w:id="1765610471">
                      <w:marLeft w:val="0"/>
                      <w:marRight w:val="0"/>
                      <w:marTop w:val="0"/>
                      <w:marBottom w:val="0"/>
                      <w:divBdr>
                        <w:top w:val="none" w:sz="0" w:space="0" w:color="auto"/>
                        <w:left w:val="none" w:sz="0" w:space="0" w:color="auto"/>
                        <w:bottom w:val="none" w:sz="0" w:space="0" w:color="auto"/>
                        <w:right w:val="none" w:sz="0" w:space="0" w:color="auto"/>
                      </w:divBdr>
                      <w:divsChild>
                        <w:div w:id="622538795">
                          <w:marLeft w:val="0"/>
                          <w:marRight w:val="0"/>
                          <w:marTop w:val="0"/>
                          <w:marBottom w:val="0"/>
                          <w:divBdr>
                            <w:top w:val="none" w:sz="0" w:space="0" w:color="auto"/>
                            <w:left w:val="none" w:sz="0" w:space="0" w:color="auto"/>
                            <w:bottom w:val="none" w:sz="0" w:space="0" w:color="auto"/>
                            <w:right w:val="none" w:sz="0" w:space="0" w:color="auto"/>
                          </w:divBdr>
                          <w:divsChild>
                            <w:div w:id="29114777">
                              <w:marLeft w:val="0"/>
                              <w:marRight w:val="0"/>
                              <w:marTop w:val="225"/>
                              <w:marBottom w:val="0"/>
                              <w:divBdr>
                                <w:top w:val="none" w:sz="0" w:space="0" w:color="auto"/>
                                <w:left w:val="none" w:sz="0" w:space="0" w:color="auto"/>
                                <w:bottom w:val="none" w:sz="0" w:space="0" w:color="auto"/>
                                <w:right w:val="none" w:sz="0" w:space="0" w:color="auto"/>
                              </w:divBdr>
                              <w:divsChild>
                                <w:div w:id="592781624">
                                  <w:marLeft w:val="0"/>
                                  <w:marRight w:val="0"/>
                                  <w:marTop w:val="0"/>
                                  <w:marBottom w:val="0"/>
                                  <w:divBdr>
                                    <w:top w:val="none" w:sz="0" w:space="0" w:color="auto"/>
                                    <w:left w:val="none" w:sz="0" w:space="0" w:color="auto"/>
                                    <w:bottom w:val="none" w:sz="0" w:space="0" w:color="auto"/>
                                    <w:right w:val="none" w:sz="0" w:space="0" w:color="auto"/>
                                  </w:divBdr>
                                  <w:divsChild>
                                    <w:div w:id="1289699654">
                                      <w:marLeft w:val="0"/>
                                      <w:marRight w:val="0"/>
                                      <w:marTop w:val="0"/>
                                      <w:marBottom w:val="0"/>
                                      <w:divBdr>
                                        <w:top w:val="none" w:sz="0" w:space="0" w:color="auto"/>
                                        <w:left w:val="none" w:sz="0" w:space="0" w:color="auto"/>
                                        <w:bottom w:val="none" w:sz="0" w:space="0" w:color="auto"/>
                                        <w:right w:val="none" w:sz="0" w:space="0" w:color="auto"/>
                                      </w:divBdr>
                                      <w:divsChild>
                                        <w:div w:id="925305087">
                                          <w:marLeft w:val="0"/>
                                          <w:marRight w:val="0"/>
                                          <w:marTop w:val="0"/>
                                          <w:marBottom w:val="0"/>
                                          <w:divBdr>
                                            <w:top w:val="none" w:sz="0" w:space="0" w:color="auto"/>
                                            <w:left w:val="none" w:sz="0" w:space="0" w:color="auto"/>
                                            <w:bottom w:val="none" w:sz="0" w:space="0" w:color="auto"/>
                                            <w:right w:val="none" w:sz="0" w:space="0" w:color="auto"/>
                                          </w:divBdr>
                                          <w:divsChild>
                                            <w:div w:id="705568191">
                                              <w:marLeft w:val="0"/>
                                              <w:marRight w:val="0"/>
                                              <w:marTop w:val="0"/>
                                              <w:marBottom w:val="0"/>
                                              <w:divBdr>
                                                <w:top w:val="none" w:sz="0" w:space="0" w:color="auto"/>
                                                <w:left w:val="none" w:sz="0" w:space="0" w:color="auto"/>
                                                <w:bottom w:val="none" w:sz="0" w:space="0" w:color="auto"/>
                                                <w:right w:val="none" w:sz="0" w:space="0" w:color="auto"/>
                                              </w:divBdr>
                                              <w:divsChild>
                                                <w:div w:id="664167308">
                                                  <w:marLeft w:val="0"/>
                                                  <w:marRight w:val="0"/>
                                                  <w:marTop w:val="0"/>
                                                  <w:marBottom w:val="0"/>
                                                  <w:divBdr>
                                                    <w:top w:val="none" w:sz="0" w:space="0" w:color="auto"/>
                                                    <w:left w:val="none" w:sz="0" w:space="0" w:color="auto"/>
                                                    <w:bottom w:val="none" w:sz="0" w:space="0" w:color="auto"/>
                                                    <w:right w:val="none" w:sz="0" w:space="0" w:color="auto"/>
                                                  </w:divBdr>
                                                  <w:divsChild>
                                                    <w:div w:id="1194998616">
                                                      <w:marLeft w:val="0"/>
                                                      <w:marRight w:val="0"/>
                                                      <w:marTop w:val="0"/>
                                                      <w:marBottom w:val="0"/>
                                                      <w:divBdr>
                                                        <w:top w:val="none" w:sz="0" w:space="0" w:color="auto"/>
                                                        <w:left w:val="none" w:sz="0" w:space="0" w:color="auto"/>
                                                        <w:bottom w:val="none" w:sz="0" w:space="0" w:color="auto"/>
                                                        <w:right w:val="none" w:sz="0" w:space="0" w:color="auto"/>
                                                      </w:divBdr>
                                                      <w:divsChild>
                                                        <w:div w:id="1494294170">
                                                          <w:marLeft w:val="0"/>
                                                          <w:marRight w:val="0"/>
                                                          <w:marTop w:val="0"/>
                                                          <w:marBottom w:val="0"/>
                                                          <w:divBdr>
                                                            <w:top w:val="none" w:sz="0" w:space="0" w:color="auto"/>
                                                            <w:left w:val="none" w:sz="0" w:space="0" w:color="auto"/>
                                                            <w:bottom w:val="none" w:sz="0" w:space="0" w:color="auto"/>
                                                            <w:right w:val="none" w:sz="0" w:space="0" w:color="auto"/>
                                                          </w:divBdr>
                                                          <w:divsChild>
                                                            <w:div w:id="876160555">
                                                              <w:marLeft w:val="0"/>
                                                              <w:marRight w:val="0"/>
                                                              <w:marTop w:val="0"/>
                                                              <w:marBottom w:val="0"/>
                                                              <w:divBdr>
                                                                <w:top w:val="none" w:sz="0" w:space="0" w:color="auto"/>
                                                                <w:left w:val="none" w:sz="0" w:space="0" w:color="auto"/>
                                                                <w:bottom w:val="none" w:sz="0" w:space="0" w:color="auto"/>
                                                                <w:right w:val="none" w:sz="0" w:space="0" w:color="auto"/>
                                                              </w:divBdr>
                                                              <w:divsChild>
                                                                <w:div w:id="170925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7863222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276741">
      <w:bodyDiv w:val="1"/>
      <w:marLeft w:val="0"/>
      <w:marRight w:val="0"/>
      <w:marTop w:val="0"/>
      <w:marBottom w:val="0"/>
      <w:divBdr>
        <w:top w:val="none" w:sz="0" w:space="0" w:color="auto"/>
        <w:left w:val="none" w:sz="0" w:space="0" w:color="auto"/>
        <w:bottom w:val="none" w:sz="0" w:space="0" w:color="auto"/>
        <w:right w:val="none" w:sz="0" w:space="0" w:color="auto"/>
      </w:divBdr>
    </w:div>
    <w:div w:id="182493357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agriculture.gov.au" TargetMode="External"/><Relationship Id="rId18" Type="http://schemas.openxmlformats.org/officeDocument/2006/relationships/footer" Target="footer1.xml"/><Relationship Id="rId26" Type="http://schemas.openxmlformats.org/officeDocument/2006/relationships/hyperlink" Target="http://www.agriculture.gov.au/import/food/inspection-compliance/bse_food_safety_requirements_for_beef"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griculture.gov.au/ag-farm-food/crops/international_crops_organisations" TargetMode="External"/><Relationship Id="rId34" Type="http://schemas.openxmlformats.org/officeDocument/2006/relationships/hyperlink" Target="http://www.agriculture.gov.au/import/general-info/co-reg/acceptable-docs" TargetMode="Externa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header" Target="header1.xml"/><Relationship Id="rId25" Type="http://schemas.openxmlformats.org/officeDocument/2006/relationships/hyperlink" Target="http://www.agriculture.gov.au/import/food/inspection-compliance/foreign-government-certification" TargetMode="External"/><Relationship Id="rId33" Type="http://schemas.openxmlformats.org/officeDocument/2006/relationships/hyperlink" Target="http://www.agriculture.gov.au/import/goods/food/mandatory-producer-detail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agriculture.gov.au/" TargetMode="External"/><Relationship Id="rId20" Type="http://schemas.openxmlformats.org/officeDocument/2006/relationships/hyperlink" Target="http://www.agriculture.gov.au/import/before/prepare/treatment-providers" TargetMode="External"/><Relationship Id="rId29" Type="http://schemas.openxmlformats.org/officeDocument/2006/relationships/hyperlink" Target="https://bicon.agriculture.gov.au/BiconWeb4.0/ViewElement/Element?elementPk=650928&amp;caseElementPk=68780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ppc.int/en/" TargetMode="External"/><Relationship Id="rId32" Type="http://schemas.openxmlformats.org/officeDocument/2006/relationships/hyperlink" Target="http://www.agriculture.gov.au/import/goods/food/import-declaration-documentation" TargetMode="External"/><Relationship Id="rId37"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agriculture.gov.au/import/arrival/clearance-inspection/documentary-requirements" TargetMode="External"/><Relationship Id="rId23" Type="http://schemas.openxmlformats.org/officeDocument/2006/relationships/hyperlink" Target="http://www.oie.int/" TargetMode="External"/><Relationship Id="rId28" Type="http://schemas.openxmlformats.org/officeDocument/2006/relationships/hyperlink" Target="http://www.agriculture.gov.au/import/before/prepare/treatment-providers" TargetMode="External"/><Relationship Id="rId36" Type="http://schemas.openxmlformats.org/officeDocument/2006/relationships/hyperlink" Target="http://agriculture.gov.au/SiteCollectionDocuments/biosecurity/import/arrival/approved-arrangements/19.2-requirementsv4.0.pdf"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www.agriculture.gov.au/import/before/prepare/treatment-outside-australia/afas/provid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agriculture.gov.au/import/online-services/bicon" TargetMode="External"/><Relationship Id="rId27" Type="http://schemas.openxmlformats.org/officeDocument/2006/relationships/hyperlink" Target="http://www.agriculture.gov.au/import/imp-fert/chem-mined" TargetMode="External"/><Relationship Id="rId30" Type="http://schemas.openxmlformats.org/officeDocument/2006/relationships/hyperlink" Target="http://www.agriculture.gov.au/import/food/inspection-compliance/information-importers" TargetMode="External"/><Relationship Id="rId35" Type="http://schemas.openxmlformats.org/officeDocument/2006/relationships/hyperlink" Target="http://agriculture.gov.au/SiteCollectionDocuments/biosecurity/import/arrival/approved-arrangements/19.1-requirement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0CA2300D-EE46-42A1-96C4-56A38208C23E}">
  <ds:schemaRefs>
    <ds:schemaRef ds:uri="http://schemas.microsoft.com/sharepoint/v3/contenttype/forms"/>
  </ds:schemaRefs>
</ds:datastoreItem>
</file>

<file path=customXml/itemProps2.xml><?xml version="1.0" encoding="utf-8"?>
<ds:datastoreItem xmlns:ds="http://schemas.openxmlformats.org/officeDocument/2006/customXml" ds:itemID="{72C25704-1CE3-4D37-8597-0858A7E93FEB}">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A35B843F-E0B5-4EB7-8C2F-4752F795E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7A1291-AE69-4A16-AEF3-E186A4D4C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8391</Words>
  <Characters>47835</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Minimum documentary and import declaration requirements policy</vt:lpstr>
    </vt:vector>
  </TitlesOfParts>
  <Company>Department of Agriculture Fisheries &amp; Forestry</Company>
  <LinksUpToDate>false</LinksUpToDate>
  <CharactersWithSpaces>56114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Minimum documentary and import declaration requirements policy</dc:title>
  <dc:subject/>
  <dc:creator>Department of Agriculture and Water Resources</dc:creator>
  <cp:keywords/>
  <dc:description/>
  <cp:lastModifiedBy>Dang, Van</cp:lastModifiedBy>
  <cp:revision>11</cp:revision>
  <cp:lastPrinted>2017-11-27T21:57:00Z</cp:lastPrinted>
  <dcterms:created xsi:type="dcterms:W3CDTF">2017-07-27T22:47:00Z</dcterms:created>
  <dcterms:modified xsi:type="dcterms:W3CDTF">2017-11-27T22:26:00Z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