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97A1" w14:textId="77777777" w:rsidR="00F55972" w:rsidRPr="00FE43EC" w:rsidRDefault="001B35DE" w:rsidP="00756F49">
      <w:pPr>
        <w:pStyle w:val="Heading1"/>
      </w:pPr>
      <w:r>
        <w:t>Non-commodity i</w:t>
      </w:r>
      <w:r w:rsidR="00F55972" w:rsidRPr="00FE43EC">
        <w:t>nformation</w:t>
      </w:r>
      <w:r w:rsidR="00756F49">
        <w:t xml:space="preserve"> </w:t>
      </w:r>
      <w:r>
        <w:t>requirements p</w:t>
      </w:r>
      <w:r w:rsidR="00F55972" w:rsidRPr="00FE43EC">
        <w:t>olicy</w:t>
      </w:r>
    </w:p>
    <w:p w14:paraId="4072FA1E" w14:textId="4703AB7D" w:rsidR="0003507A" w:rsidRPr="00477F1F" w:rsidRDefault="00CE1E84" w:rsidP="008C6833">
      <w:pPr>
        <w:pStyle w:val="Author"/>
      </w:pPr>
      <w:r>
        <w:t>Cargo and Conveyances Branch</w:t>
      </w:r>
    </w:p>
    <w:p w14:paraId="201E7C79" w14:textId="77777777" w:rsidR="009A37C5" w:rsidRDefault="002C4020" w:rsidP="008C6833">
      <w:pPr>
        <w:pStyle w:val="AuthorOrganisationAffiliation"/>
      </w:pPr>
      <w:r>
        <w:t>Biosecurity Operations Division</w:t>
      </w:r>
    </w:p>
    <w:p w14:paraId="15F229B1" w14:textId="62AEE2D2" w:rsidR="0003507A" w:rsidRPr="007A743F" w:rsidRDefault="00927512" w:rsidP="008C6833">
      <w:pPr>
        <w:pStyle w:val="AuthorOrganisationAffiliation"/>
      </w:pPr>
      <w:r w:rsidRPr="007A743F">
        <w:t xml:space="preserve">Version </w:t>
      </w:r>
      <w:r w:rsidR="00D73BB8">
        <w:t>4</w:t>
      </w:r>
      <w:r w:rsidR="0083646F" w:rsidRPr="007A743F">
        <w:t>.</w:t>
      </w:r>
      <w:r w:rsidR="00996B52">
        <w:t>1</w:t>
      </w:r>
    </w:p>
    <w:p w14:paraId="06362825" w14:textId="77777777" w:rsidR="002F17E3" w:rsidRPr="00477F1F" w:rsidRDefault="005F18A6" w:rsidP="00756F49">
      <w:pPr>
        <w:jc w:val="center"/>
      </w:pPr>
      <w:r w:rsidRPr="00477F1F">
        <w:rPr>
          <w:noProof/>
          <w:lang w:eastAsia="en-AU"/>
        </w:rPr>
        <w:drawing>
          <wp:inline distT="0" distB="0" distL="0" distR="0" wp14:anchorId="29131F0A" wp14:editId="71752BA8">
            <wp:extent cx="5111911" cy="5111911"/>
            <wp:effectExtent l="0" t="0" r="0" b="0"/>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11911" cy="5111911"/>
                    </a:xfrm>
                    <a:prstGeom prst="rect">
                      <a:avLst/>
                    </a:prstGeom>
                    <a:noFill/>
                    <a:ln w="9525">
                      <a:noFill/>
                      <a:miter lim="800000"/>
                      <a:headEnd/>
                      <a:tailEnd/>
                    </a:ln>
                  </pic:spPr>
                </pic:pic>
              </a:graphicData>
            </a:graphic>
          </wp:inline>
        </w:drawing>
      </w:r>
    </w:p>
    <w:p w14:paraId="0695A474" w14:textId="77777777" w:rsidR="00BE138B" w:rsidRDefault="00BE138B">
      <w:pPr>
        <w:spacing w:after="0" w:line="240" w:lineRule="auto"/>
        <w:rPr>
          <w:sz w:val="18"/>
          <w:szCs w:val="18"/>
        </w:rPr>
      </w:pPr>
      <w:r>
        <w:rPr>
          <w:sz w:val="18"/>
          <w:szCs w:val="18"/>
        </w:rPr>
        <w:br w:type="page"/>
      </w:r>
    </w:p>
    <w:p w14:paraId="6E2F5D44" w14:textId="4537BE8B" w:rsidR="00CB1AA6" w:rsidRPr="00CF3FB0" w:rsidRDefault="00CB1AA6" w:rsidP="00CB1AA6">
      <w:pPr>
        <w:rPr>
          <w:sz w:val="18"/>
          <w:szCs w:val="18"/>
        </w:rPr>
      </w:pPr>
      <w:r>
        <w:rPr>
          <w:sz w:val="18"/>
          <w:szCs w:val="18"/>
        </w:rPr>
        <w:lastRenderedPageBreak/>
        <w:t>© Commonwealth of Australia 2016</w:t>
      </w:r>
    </w:p>
    <w:p w14:paraId="2A19E9F3" w14:textId="77777777" w:rsidR="00CB1AA6" w:rsidRPr="00CF3FB0" w:rsidRDefault="00CB1AA6" w:rsidP="00CB1AA6">
      <w:pPr>
        <w:spacing w:after="0"/>
        <w:rPr>
          <w:rStyle w:val="Strong"/>
          <w:sz w:val="18"/>
          <w:szCs w:val="18"/>
        </w:rPr>
      </w:pPr>
      <w:r w:rsidRPr="00CF3FB0">
        <w:rPr>
          <w:rStyle w:val="Strong"/>
          <w:sz w:val="18"/>
          <w:szCs w:val="18"/>
        </w:rPr>
        <w:t>Ownership of intellectual property rights</w:t>
      </w:r>
    </w:p>
    <w:p w14:paraId="3F30C6A6" w14:textId="77777777" w:rsidR="00CB1AA6" w:rsidRPr="00CF3FB0" w:rsidRDefault="00CB1AA6" w:rsidP="00CB1AA6">
      <w:pPr>
        <w:rPr>
          <w:sz w:val="18"/>
          <w:szCs w:val="18"/>
        </w:rPr>
      </w:pPr>
      <w:r w:rsidRPr="00CF3FB0">
        <w:rPr>
          <w:sz w:val="18"/>
          <w:szCs w:val="18"/>
        </w:rPr>
        <w:t>Unless otherwise noted, copyright (and any other intellectual property rights, if any) in this publication is owned by the Commonwealth of Australia (referred to as the Commonwealth).</w:t>
      </w:r>
    </w:p>
    <w:p w14:paraId="4D41B10F" w14:textId="77777777" w:rsidR="00CB1AA6" w:rsidRPr="00CF3FB0" w:rsidRDefault="00CB1AA6" w:rsidP="00CB1AA6">
      <w:pPr>
        <w:spacing w:after="0"/>
        <w:rPr>
          <w:rStyle w:val="Strong"/>
          <w:sz w:val="18"/>
          <w:szCs w:val="18"/>
        </w:rPr>
      </w:pPr>
      <w:r w:rsidRPr="00CF3FB0">
        <w:rPr>
          <w:rStyle w:val="Strong"/>
          <w:sz w:val="18"/>
          <w:szCs w:val="18"/>
        </w:rPr>
        <w:t>Creative Commons licence</w:t>
      </w:r>
    </w:p>
    <w:p w14:paraId="6C3275B9" w14:textId="22D31C2D" w:rsidR="00CB1AA6" w:rsidRDefault="00CB1AA6" w:rsidP="00CB1AA6">
      <w:pPr>
        <w:rPr>
          <w:sz w:val="18"/>
          <w:szCs w:val="18"/>
        </w:rPr>
      </w:pPr>
      <w:r w:rsidRPr="00CF3FB0">
        <w:rPr>
          <w:sz w:val="18"/>
          <w:szCs w:val="18"/>
        </w:rPr>
        <w:t xml:space="preserve">All material in this publication is licensed under a Creative Commons Attribution 3.0 Australia Licence, save for content supplied by third parties, </w:t>
      </w:r>
      <w:proofErr w:type="gramStart"/>
      <w:r w:rsidRPr="00CF3FB0">
        <w:rPr>
          <w:sz w:val="18"/>
          <w:szCs w:val="18"/>
        </w:rPr>
        <w:t>logos</w:t>
      </w:r>
      <w:proofErr w:type="gramEnd"/>
      <w:r w:rsidRPr="00CF3FB0">
        <w:rPr>
          <w:sz w:val="18"/>
          <w:szCs w:val="18"/>
        </w:rPr>
        <w:t xml:space="preserve"> and the Commonwealth Coat of Arms.</w:t>
      </w:r>
    </w:p>
    <w:p w14:paraId="61592CC3" w14:textId="0744C8DD" w:rsidR="000E0801" w:rsidRPr="00CF3FB0" w:rsidRDefault="000E0801" w:rsidP="000E0801">
      <w:pPr>
        <w:rPr>
          <w:sz w:val="18"/>
          <w:szCs w:val="18"/>
        </w:rPr>
      </w:pPr>
      <w:bookmarkStart w:id="0" w:name="_Hlk70675676"/>
      <w:r w:rsidRPr="00CF3FB0">
        <w:rPr>
          <w:sz w:val="18"/>
          <w:szCs w:val="18"/>
        </w:rPr>
        <w:t xml:space="preserve">Inquiries about the licence and any use of this document should </w:t>
      </w:r>
      <w:r>
        <w:rPr>
          <w:sz w:val="18"/>
          <w:szCs w:val="18"/>
        </w:rPr>
        <w:t xml:space="preserve">be emailed to </w:t>
      </w:r>
      <w:hyperlink r:id="rId13" w:history="1">
        <w:r w:rsidRPr="00FC011F">
          <w:rPr>
            <w:rStyle w:val="Hyperlink"/>
            <w:sz w:val="18"/>
            <w:szCs w:val="18"/>
          </w:rPr>
          <w:t>copyright@awe.gov.au</w:t>
        </w:r>
      </w:hyperlink>
      <w:bookmarkEnd w:id="0"/>
      <w:r w:rsidRPr="00CF3FB0">
        <w:rPr>
          <w:sz w:val="18"/>
          <w:szCs w:val="18"/>
        </w:rPr>
        <w:t>.</w:t>
      </w:r>
    </w:p>
    <w:p w14:paraId="66DB1BE9" w14:textId="77777777" w:rsidR="00CB1AA6" w:rsidRPr="00CF3FB0" w:rsidRDefault="00CB1AA6" w:rsidP="00CB1AA6">
      <w:pPr>
        <w:rPr>
          <w:sz w:val="18"/>
          <w:szCs w:val="18"/>
        </w:rPr>
      </w:pPr>
      <w:r w:rsidRPr="00CF3FB0">
        <w:rPr>
          <w:noProof/>
          <w:sz w:val="18"/>
          <w:szCs w:val="18"/>
          <w:lang w:eastAsia="en-AU"/>
        </w:rPr>
        <w:drawing>
          <wp:inline distT="0" distB="0" distL="0" distR="0" wp14:anchorId="16EC1D2B" wp14:editId="7E4C36FC">
            <wp:extent cx="724535" cy="255270"/>
            <wp:effectExtent l="19050" t="0" r="0" b="0"/>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CA327A8" w14:textId="77777777" w:rsidR="000E0801" w:rsidRDefault="000E0801" w:rsidP="000E0801">
      <w:pPr>
        <w:pStyle w:val="Normalsmall"/>
        <w:rPr>
          <w:rStyle w:val="Strong"/>
        </w:rPr>
      </w:pPr>
      <w:r>
        <w:rPr>
          <w:rStyle w:val="Strong"/>
        </w:rPr>
        <w:t>Cataloguing data</w:t>
      </w:r>
    </w:p>
    <w:p w14:paraId="6A35129F" w14:textId="4DEF18A4" w:rsidR="000E0801" w:rsidRDefault="000E0801" w:rsidP="000E0801">
      <w:pPr>
        <w:pStyle w:val="Normalsmall"/>
      </w:pPr>
      <w:r>
        <w:t xml:space="preserve">This publication (and any material sourced from it) should be attributed as: </w:t>
      </w:r>
      <w:r w:rsidRPr="00D3300A">
        <w:t>DAWE 2021,</w:t>
      </w:r>
      <w:r w:rsidRPr="000E0801">
        <w:rPr>
          <w:rStyle w:val="Emphasis"/>
        </w:rPr>
        <w:t xml:space="preserve"> Non-commodity information requirements policy</w:t>
      </w:r>
      <w:r>
        <w:t>, Department of Agriculture, Water and the Environment, Canberra. CC BY </w:t>
      </w:r>
      <w:r w:rsidR="002A736B">
        <w:t>4</w:t>
      </w:r>
      <w:r>
        <w:t>.0.</w:t>
      </w:r>
    </w:p>
    <w:p w14:paraId="4F41067F" w14:textId="6BEBD0A9" w:rsidR="000E0801" w:rsidRPr="000E0801" w:rsidRDefault="000E0801" w:rsidP="000E0801">
      <w:pPr>
        <w:rPr>
          <w:sz w:val="18"/>
          <w:szCs w:val="18"/>
        </w:rPr>
      </w:pPr>
      <w:r w:rsidRPr="000E0801">
        <w:rPr>
          <w:sz w:val="18"/>
          <w:szCs w:val="18"/>
        </w:rPr>
        <w:t>ISBN</w:t>
      </w:r>
      <w:r w:rsidR="00655FE0">
        <w:rPr>
          <w:sz w:val="18"/>
          <w:szCs w:val="18"/>
        </w:rPr>
        <w:t xml:space="preserve">: </w:t>
      </w:r>
      <w:r w:rsidR="00655FE0" w:rsidRPr="00655FE0">
        <w:rPr>
          <w:sz w:val="18"/>
          <w:szCs w:val="18"/>
        </w:rPr>
        <w:t>978-1-76003-424-5</w:t>
      </w:r>
      <w:r w:rsidRPr="000E0801">
        <w:rPr>
          <w:sz w:val="18"/>
          <w:szCs w:val="18"/>
        </w:rPr>
        <w:t xml:space="preserve"> </w:t>
      </w:r>
    </w:p>
    <w:p w14:paraId="338C9939" w14:textId="23BCC92F" w:rsidR="00CB1AA6" w:rsidRPr="00CF3FB0" w:rsidRDefault="00CB1AA6" w:rsidP="00CB1AA6">
      <w:pPr>
        <w:rPr>
          <w:sz w:val="18"/>
          <w:szCs w:val="18"/>
        </w:rPr>
      </w:pPr>
      <w:r w:rsidRPr="00CF3FB0">
        <w:rPr>
          <w:sz w:val="18"/>
          <w:szCs w:val="18"/>
        </w:rPr>
        <w:t xml:space="preserve">This publication is available at </w:t>
      </w:r>
      <w:hyperlink r:id="rId15" w:history="1">
        <w:r w:rsidR="00A008CD" w:rsidRPr="00A008CD">
          <w:rPr>
            <w:rStyle w:val="Hyperlink"/>
            <w:sz w:val="18"/>
            <w:szCs w:val="18"/>
          </w:rPr>
          <w:t>https://www.awe.gov.au/sites/default/files/sitecollectiondocuments/biosecurity/import/general-info/documentary-requirements/non-commodity-policy.pdf</w:t>
        </w:r>
      </w:hyperlink>
    </w:p>
    <w:p w14:paraId="33DEEDC9" w14:textId="77777777" w:rsidR="00CB1AA6" w:rsidRPr="00CF3FB0" w:rsidRDefault="00CB1AA6" w:rsidP="00CB1AA6">
      <w:pPr>
        <w:spacing w:after="0"/>
        <w:rPr>
          <w:sz w:val="18"/>
          <w:szCs w:val="18"/>
        </w:rPr>
      </w:pPr>
      <w:bookmarkStart w:id="1" w:name="_Hlk70675731"/>
      <w:r w:rsidRPr="00CF3FB0">
        <w:rPr>
          <w:sz w:val="18"/>
          <w:szCs w:val="18"/>
        </w:rPr>
        <w:t>Department of Agriculture and Water Resources</w:t>
      </w:r>
    </w:p>
    <w:p w14:paraId="0A54F5D7" w14:textId="77777777" w:rsidR="00CB1AA6" w:rsidRPr="00CF3FB0" w:rsidRDefault="00CB1AA6" w:rsidP="00CB1AA6">
      <w:pPr>
        <w:spacing w:after="0"/>
        <w:rPr>
          <w:sz w:val="18"/>
          <w:szCs w:val="18"/>
        </w:rPr>
      </w:pPr>
      <w:r w:rsidRPr="00CF3FB0">
        <w:rPr>
          <w:sz w:val="18"/>
          <w:szCs w:val="18"/>
        </w:rPr>
        <w:t>Postal address GPO Box 858 Canberra ACT 2601</w:t>
      </w:r>
    </w:p>
    <w:p w14:paraId="7867E6F5" w14:textId="77777777" w:rsidR="00CB1AA6" w:rsidRPr="00CF3FB0" w:rsidRDefault="00CB1AA6" w:rsidP="00CB1AA6">
      <w:pPr>
        <w:spacing w:after="0"/>
        <w:rPr>
          <w:sz w:val="18"/>
          <w:szCs w:val="18"/>
        </w:rPr>
      </w:pPr>
      <w:r w:rsidRPr="00CF3FB0">
        <w:rPr>
          <w:sz w:val="18"/>
          <w:szCs w:val="18"/>
        </w:rPr>
        <w:t>Telephone 1800 900 090</w:t>
      </w:r>
    </w:p>
    <w:bookmarkEnd w:id="1"/>
    <w:p w14:paraId="01BDCAE8" w14:textId="77777777" w:rsidR="00297F64" w:rsidRDefault="00297F64" w:rsidP="00297F64">
      <w:pPr>
        <w:pStyle w:val="Normalsmall"/>
      </w:pPr>
      <w:r w:rsidRPr="00E20810">
        <w:t xml:space="preserve">Web </w:t>
      </w:r>
      <w:hyperlink r:id="rId16" w:history="1">
        <w:r w:rsidRPr="00E20810">
          <w:rPr>
            <w:rStyle w:val="Hyperlink"/>
          </w:rPr>
          <w:t>awe.gov.au</w:t>
        </w:r>
      </w:hyperlink>
    </w:p>
    <w:p w14:paraId="36A14923" w14:textId="77777777" w:rsidR="00CB1AA6" w:rsidRPr="00CF3FB0" w:rsidRDefault="00CB1AA6" w:rsidP="00CB1AA6">
      <w:pPr>
        <w:rPr>
          <w:sz w:val="18"/>
          <w:szCs w:val="18"/>
        </w:rPr>
      </w:pPr>
      <w:r w:rsidRPr="00CF3FB0">
        <w:rPr>
          <w:sz w:val="18"/>
          <w:szCs w:val="18"/>
        </w:rPr>
        <w:t xml:space="preserve">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w:t>
      </w:r>
      <w:proofErr w:type="gramStart"/>
      <w:r w:rsidRPr="00CF3FB0">
        <w:rPr>
          <w:sz w:val="18"/>
          <w:szCs w:val="18"/>
        </w:rPr>
        <w:t>expense</w:t>
      </w:r>
      <w:proofErr w:type="gramEnd"/>
      <w:r w:rsidRPr="00CF3FB0">
        <w:rPr>
          <w:sz w:val="18"/>
          <w:szCs w:val="18"/>
        </w:rPr>
        <w:t xml:space="preserve"> or cost incurred by any person as a result of accessing, using or relying upon any of the information or data in this publication to the maximum extent permitted by law.</w:t>
      </w:r>
    </w:p>
    <w:bookmarkStart w:id="2" w:name="_Toc423605765" w:displacedByCustomXml="next"/>
    <w:sdt>
      <w:sdtPr>
        <w:rPr>
          <w:rFonts w:ascii="Cambria" w:eastAsiaTheme="minorHAnsi" w:hAnsi="Cambria"/>
          <w:bCs w:val="0"/>
          <w:color w:val="auto"/>
          <w:sz w:val="22"/>
          <w:szCs w:val="22"/>
          <w:lang w:eastAsia="en-US"/>
        </w:rPr>
        <w:id w:val="5325891"/>
        <w:docPartObj>
          <w:docPartGallery w:val="Table of Contents"/>
          <w:docPartUnique/>
        </w:docPartObj>
      </w:sdtPr>
      <w:sdtEndPr/>
      <w:sdtContent>
        <w:p w14:paraId="57D7ABA2" w14:textId="77777777" w:rsidR="002F08A6" w:rsidRDefault="002F08A6">
          <w:pPr>
            <w:pStyle w:val="TOCHeading"/>
          </w:pPr>
          <w:r>
            <w:t>Contents</w:t>
          </w:r>
        </w:p>
        <w:p w14:paraId="07C07DDC" w14:textId="3285FB2C" w:rsidR="00BE225B" w:rsidRDefault="00D274C4">
          <w:pPr>
            <w:pStyle w:val="TOC1"/>
            <w:rPr>
              <w:rFonts w:asciiTheme="minorHAnsi" w:eastAsiaTheme="minorEastAsia" w:hAnsiTheme="minorHAnsi"/>
              <w:b w:val="0"/>
              <w:lang w:eastAsia="en-AU"/>
            </w:rPr>
          </w:pPr>
          <w:r>
            <w:rPr>
              <w:b w:val="0"/>
            </w:rPr>
            <w:fldChar w:fldCharType="begin"/>
          </w:r>
          <w:r w:rsidR="00E70342">
            <w:rPr>
              <w:b w:val="0"/>
            </w:rPr>
            <w:instrText xml:space="preserve"> TOC \h \z \t "Heading 2,1,Heading 3,2,Style1,2,Subtitle,2,TOA Heading,1,Heading 2 unnumbered,1,Heading 3 unnumbered,2,Heading 2 Numbered,1" </w:instrText>
          </w:r>
          <w:r>
            <w:rPr>
              <w:b w:val="0"/>
            </w:rPr>
            <w:fldChar w:fldCharType="separate"/>
          </w:r>
          <w:hyperlink w:anchor="_Toc70596411" w:history="1">
            <w:r w:rsidR="00BE225B" w:rsidRPr="0096442B">
              <w:rPr>
                <w:rStyle w:val="Hyperlink"/>
              </w:rPr>
              <w:t>Introduction</w:t>
            </w:r>
            <w:r w:rsidR="00BE225B">
              <w:rPr>
                <w:webHidden/>
              </w:rPr>
              <w:tab/>
            </w:r>
            <w:r w:rsidR="00BE225B">
              <w:rPr>
                <w:webHidden/>
              </w:rPr>
              <w:fldChar w:fldCharType="begin"/>
            </w:r>
            <w:r w:rsidR="00BE225B">
              <w:rPr>
                <w:webHidden/>
              </w:rPr>
              <w:instrText xml:space="preserve"> PAGEREF _Toc70596411 \h </w:instrText>
            </w:r>
            <w:r w:rsidR="00BE225B">
              <w:rPr>
                <w:webHidden/>
              </w:rPr>
            </w:r>
            <w:r w:rsidR="00BE225B">
              <w:rPr>
                <w:webHidden/>
              </w:rPr>
              <w:fldChar w:fldCharType="separate"/>
            </w:r>
            <w:r w:rsidR="00BE225B">
              <w:rPr>
                <w:webHidden/>
              </w:rPr>
              <w:t>1</w:t>
            </w:r>
            <w:r w:rsidR="00BE225B">
              <w:rPr>
                <w:webHidden/>
              </w:rPr>
              <w:fldChar w:fldCharType="end"/>
            </w:r>
          </w:hyperlink>
        </w:p>
        <w:p w14:paraId="7EA90BB4" w14:textId="72DE12DD" w:rsidR="00BE225B" w:rsidRDefault="00C37CC5">
          <w:pPr>
            <w:pStyle w:val="TOC2"/>
            <w:rPr>
              <w:rFonts w:asciiTheme="minorHAnsi" w:eastAsiaTheme="minorEastAsia" w:hAnsiTheme="minorHAnsi"/>
              <w:lang w:eastAsia="en-AU"/>
            </w:rPr>
          </w:pPr>
          <w:hyperlink w:anchor="_Toc70596412" w:history="1">
            <w:r w:rsidR="00BE225B" w:rsidRPr="0096442B">
              <w:rPr>
                <w:rStyle w:val="Hyperlink"/>
              </w:rPr>
              <w:t>Purpose</w:t>
            </w:r>
            <w:r w:rsidR="00BE225B">
              <w:rPr>
                <w:webHidden/>
              </w:rPr>
              <w:tab/>
            </w:r>
            <w:r w:rsidR="00BE225B">
              <w:rPr>
                <w:webHidden/>
              </w:rPr>
              <w:fldChar w:fldCharType="begin"/>
            </w:r>
            <w:r w:rsidR="00BE225B">
              <w:rPr>
                <w:webHidden/>
              </w:rPr>
              <w:instrText xml:space="preserve"> PAGEREF _Toc70596412 \h </w:instrText>
            </w:r>
            <w:r w:rsidR="00BE225B">
              <w:rPr>
                <w:webHidden/>
              </w:rPr>
            </w:r>
            <w:r w:rsidR="00BE225B">
              <w:rPr>
                <w:webHidden/>
              </w:rPr>
              <w:fldChar w:fldCharType="separate"/>
            </w:r>
            <w:r w:rsidR="00BE225B">
              <w:rPr>
                <w:webHidden/>
              </w:rPr>
              <w:t>1</w:t>
            </w:r>
            <w:r w:rsidR="00BE225B">
              <w:rPr>
                <w:webHidden/>
              </w:rPr>
              <w:fldChar w:fldCharType="end"/>
            </w:r>
          </w:hyperlink>
        </w:p>
        <w:p w14:paraId="3632EDBB" w14:textId="0DDFAC0F" w:rsidR="00BE225B" w:rsidRDefault="00C37CC5">
          <w:pPr>
            <w:pStyle w:val="TOC2"/>
            <w:rPr>
              <w:rFonts w:asciiTheme="minorHAnsi" w:eastAsiaTheme="minorEastAsia" w:hAnsiTheme="minorHAnsi"/>
              <w:lang w:eastAsia="en-AU"/>
            </w:rPr>
          </w:pPr>
          <w:hyperlink w:anchor="_Toc70596413" w:history="1">
            <w:r w:rsidR="00BE225B" w:rsidRPr="0096442B">
              <w:rPr>
                <w:rStyle w:val="Hyperlink"/>
              </w:rPr>
              <w:t>Background</w:t>
            </w:r>
            <w:r w:rsidR="00BE225B">
              <w:rPr>
                <w:webHidden/>
              </w:rPr>
              <w:tab/>
            </w:r>
            <w:r w:rsidR="00BE225B">
              <w:rPr>
                <w:webHidden/>
              </w:rPr>
              <w:fldChar w:fldCharType="begin"/>
            </w:r>
            <w:r w:rsidR="00BE225B">
              <w:rPr>
                <w:webHidden/>
              </w:rPr>
              <w:instrText xml:space="preserve"> PAGEREF _Toc70596413 \h </w:instrText>
            </w:r>
            <w:r w:rsidR="00BE225B">
              <w:rPr>
                <w:webHidden/>
              </w:rPr>
            </w:r>
            <w:r w:rsidR="00BE225B">
              <w:rPr>
                <w:webHidden/>
              </w:rPr>
              <w:fldChar w:fldCharType="separate"/>
            </w:r>
            <w:r w:rsidR="00BE225B">
              <w:rPr>
                <w:webHidden/>
              </w:rPr>
              <w:t>1</w:t>
            </w:r>
            <w:r w:rsidR="00BE225B">
              <w:rPr>
                <w:webHidden/>
              </w:rPr>
              <w:fldChar w:fldCharType="end"/>
            </w:r>
          </w:hyperlink>
        </w:p>
        <w:p w14:paraId="5AD6E3CB" w14:textId="4269C009" w:rsidR="00BE225B" w:rsidRDefault="00C37CC5">
          <w:pPr>
            <w:pStyle w:val="TOC2"/>
            <w:rPr>
              <w:rFonts w:asciiTheme="minorHAnsi" w:eastAsiaTheme="minorEastAsia" w:hAnsiTheme="minorHAnsi"/>
              <w:lang w:eastAsia="en-AU"/>
            </w:rPr>
          </w:pPr>
          <w:hyperlink w:anchor="_Toc70596414" w:history="1">
            <w:r w:rsidR="00BE225B" w:rsidRPr="0096442B">
              <w:rPr>
                <w:rStyle w:val="Hyperlink"/>
              </w:rPr>
              <w:t>Critical outcomes</w:t>
            </w:r>
            <w:r w:rsidR="00BE225B">
              <w:rPr>
                <w:webHidden/>
              </w:rPr>
              <w:tab/>
            </w:r>
            <w:r w:rsidR="00BE225B">
              <w:rPr>
                <w:webHidden/>
              </w:rPr>
              <w:fldChar w:fldCharType="begin"/>
            </w:r>
            <w:r w:rsidR="00BE225B">
              <w:rPr>
                <w:webHidden/>
              </w:rPr>
              <w:instrText xml:space="preserve"> PAGEREF _Toc70596414 \h </w:instrText>
            </w:r>
            <w:r w:rsidR="00BE225B">
              <w:rPr>
                <w:webHidden/>
              </w:rPr>
            </w:r>
            <w:r w:rsidR="00BE225B">
              <w:rPr>
                <w:webHidden/>
              </w:rPr>
              <w:fldChar w:fldCharType="separate"/>
            </w:r>
            <w:r w:rsidR="00BE225B">
              <w:rPr>
                <w:webHidden/>
              </w:rPr>
              <w:t>2</w:t>
            </w:r>
            <w:r w:rsidR="00BE225B">
              <w:rPr>
                <w:webHidden/>
              </w:rPr>
              <w:fldChar w:fldCharType="end"/>
            </w:r>
          </w:hyperlink>
        </w:p>
        <w:p w14:paraId="00EDB9D1" w14:textId="1FBADB71" w:rsidR="00BE225B" w:rsidRDefault="00C37CC5">
          <w:pPr>
            <w:pStyle w:val="TOC1"/>
            <w:rPr>
              <w:rFonts w:asciiTheme="minorHAnsi" w:eastAsiaTheme="minorEastAsia" w:hAnsiTheme="minorHAnsi"/>
              <w:b w:val="0"/>
              <w:lang w:eastAsia="en-AU"/>
            </w:rPr>
          </w:pPr>
          <w:hyperlink w:anchor="_Toc70596415" w:history="1">
            <w:r w:rsidR="00BE225B" w:rsidRPr="0096442B">
              <w:rPr>
                <w:rStyle w:val="Hyperlink"/>
              </w:rPr>
              <w:t>Definitions</w:t>
            </w:r>
            <w:r w:rsidR="00BE225B">
              <w:rPr>
                <w:webHidden/>
              </w:rPr>
              <w:tab/>
            </w:r>
            <w:r w:rsidR="00BE225B">
              <w:rPr>
                <w:webHidden/>
              </w:rPr>
              <w:fldChar w:fldCharType="begin"/>
            </w:r>
            <w:r w:rsidR="00BE225B">
              <w:rPr>
                <w:webHidden/>
              </w:rPr>
              <w:instrText xml:space="preserve"> PAGEREF _Toc70596415 \h </w:instrText>
            </w:r>
            <w:r w:rsidR="00BE225B">
              <w:rPr>
                <w:webHidden/>
              </w:rPr>
            </w:r>
            <w:r w:rsidR="00BE225B">
              <w:rPr>
                <w:webHidden/>
              </w:rPr>
              <w:fldChar w:fldCharType="separate"/>
            </w:r>
            <w:r w:rsidR="00BE225B">
              <w:rPr>
                <w:webHidden/>
              </w:rPr>
              <w:t>3</w:t>
            </w:r>
            <w:r w:rsidR="00BE225B">
              <w:rPr>
                <w:webHidden/>
              </w:rPr>
              <w:fldChar w:fldCharType="end"/>
            </w:r>
          </w:hyperlink>
        </w:p>
        <w:p w14:paraId="3AFE3CF3" w14:textId="1994340D" w:rsidR="00BE225B" w:rsidRDefault="00C37CC5">
          <w:pPr>
            <w:pStyle w:val="TOC1"/>
            <w:rPr>
              <w:rFonts w:asciiTheme="minorHAnsi" w:eastAsiaTheme="minorEastAsia" w:hAnsiTheme="minorHAnsi"/>
              <w:b w:val="0"/>
              <w:lang w:eastAsia="en-AU"/>
            </w:rPr>
          </w:pPr>
          <w:hyperlink w:anchor="_Toc70596416" w:history="1">
            <w:r w:rsidR="00BE225B" w:rsidRPr="0096442B">
              <w:rPr>
                <w:rStyle w:val="Hyperlink"/>
              </w:rPr>
              <w:t>Policy</w:t>
            </w:r>
            <w:r w:rsidR="00BE225B">
              <w:rPr>
                <w:webHidden/>
              </w:rPr>
              <w:tab/>
            </w:r>
            <w:r w:rsidR="00BE225B">
              <w:rPr>
                <w:webHidden/>
              </w:rPr>
              <w:fldChar w:fldCharType="begin"/>
            </w:r>
            <w:r w:rsidR="00BE225B">
              <w:rPr>
                <w:webHidden/>
              </w:rPr>
              <w:instrText xml:space="preserve"> PAGEREF _Toc70596416 \h </w:instrText>
            </w:r>
            <w:r w:rsidR="00BE225B">
              <w:rPr>
                <w:webHidden/>
              </w:rPr>
            </w:r>
            <w:r w:rsidR="00BE225B">
              <w:rPr>
                <w:webHidden/>
              </w:rPr>
              <w:fldChar w:fldCharType="separate"/>
            </w:r>
            <w:r w:rsidR="00BE225B">
              <w:rPr>
                <w:webHidden/>
              </w:rPr>
              <w:t>5</w:t>
            </w:r>
            <w:r w:rsidR="00BE225B">
              <w:rPr>
                <w:webHidden/>
              </w:rPr>
              <w:fldChar w:fldCharType="end"/>
            </w:r>
          </w:hyperlink>
        </w:p>
        <w:p w14:paraId="46750EB2" w14:textId="094BB00E" w:rsidR="00BE225B" w:rsidRDefault="00C37CC5">
          <w:pPr>
            <w:pStyle w:val="TOC2"/>
            <w:tabs>
              <w:tab w:val="left" w:pos="880"/>
            </w:tabs>
            <w:rPr>
              <w:rFonts w:asciiTheme="minorHAnsi" w:eastAsiaTheme="minorEastAsia" w:hAnsiTheme="minorHAnsi"/>
              <w:lang w:eastAsia="en-AU"/>
            </w:rPr>
          </w:pPr>
          <w:hyperlink w:anchor="_Toc70596417" w:history="1">
            <w:r w:rsidR="00BE225B" w:rsidRPr="0096442B">
              <w:rPr>
                <w:rStyle w:val="Hyperlink"/>
              </w:rPr>
              <w:t>1</w:t>
            </w:r>
            <w:r w:rsidR="00BE225B">
              <w:rPr>
                <w:rFonts w:asciiTheme="minorHAnsi" w:eastAsiaTheme="minorEastAsia" w:hAnsiTheme="minorHAnsi"/>
                <w:lang w:eastAsia="en-AU"/>
              </w:rPr>
              <w:tab/>
            </w:r>
            <w:r w:rsidR="00BE225B" w:rsidRPr="0096442B">
              <w:rPr>
                <w:rStyle w:val="Hyperlink"/>
              </w:rPr>
              <w:t>Non‐commodity concerns</w:t>
            </w:r>
            <w:r w:rsidR="00BE225B">
              <w:rPr>
                <w:webHidden/>
              </w:rPr>
              <w:tab/>
            </w:r>
            <w:r w:rsidR="00BE225B">
              <w:rPr>
                <w:webHidden/>
              </w:rPr>
              <w:fldChar w:fldCharType="begin"/>
            </w:r>
            <w:r w:rsidR="00BE225B">
              <w:rPr>
                <w:webHidden/>
              </w:rPr>
              <w:instrText xml:space="preserve"> PAGEREF _Toc70596417 \h </w:instrText>
            </w:r>
            <w:r w:rsidR="00BE225B">
              <w:rPr>
                <w:webHidden/>
              </w:rPr>
            </w:r>
            <w:r w:rsidR="00BE225B">
              <w:rPr>
                <w:webHidden/>
              </w:rPr>
              <w:fldChar w:fldCharType="separate"/>
            </w:r>
            <w:r w:rsidR="00BE225B">
              <w:rPr>
                <w:webHidden/>
              </w:rPr>
              <w:t>5</w:t>
            </w:r>
            <w:r w:rsidR="00BE225B">
              <w:rPr>
                <w:webHidden/>
              </w:rPr>
              <w:fldChar w:fldCharType="end"/>
            </w:r>
          </w:hyperlink>
        </w:p>
        <w:p w14:paraId="13C18E7F" w14:textId="6E2FB35D" w:rsidR="00BE225B" w:rsidRDefault="00C37CC5">
          <w:pPr>
            <w:pStyle w:val="TOC2"/>
            <w:tabs>
              <w:tab w:val="left" w:pos="880"/>
            </w:tabs>
            <w:rPr>
              <w:rFonts w:asciiTheme="minorHAnsi" w:eastAsiaTheme="minorEastAsia" w:hAnsiTheme="minorHAnsi"/>
              <w:lang w:eastAsia="en-AU"/>
            </w:rPr>
          </w:pPr>
          <w:hyperlink w:anchor="_Toc70596418" w:history="1">
            <w:r w:rsidR="00BE225B" w:rsidRPr="0096442B">
              <w:rPr>
                <w:rStyle w:val="Hyperlink"/>
              </w:rPr>
              <w:t>2</w:t>
            </w:r>
            <w:r w:rsidR="00BE225B">
              <w:rPr>
                <w:rFonts w:asciiTheme="minorHAnsi" w:eastAsiaTheme="minorEastAsia" w:hAnsiTheme="minorHAnsi"/>
                <w:lang w:eastAsia="en-AU"/>
              </w:rPr>
              <w:tab/>
            </w:r>
            <w:r w:rsidR="00BE225B" w:rsidRPr="0096442B">
              <w:rPr>
                <w:rStyle w:val="Hyperlink"/>
              </w:rPr>
              <w:t>Cargo types exempt from standard non‐commodity information requirements</w:t>
            </w:r>
            <w:r w:rsidR="00BE225B">
              <w:rPr>
                <w:webHidden/>
              </w:rPr>
              <w:tab/>
            </w:r>
            <w:r w:rsidR="00BE225B">
              <w:rPr>
                <w:webHidden/>
              </w:rPr>
              <w:fldChar w:fldCharType="begin"/>
            </w:r>
            <w:r w:rsidR="00BE225B">
              <w:rPr>
                <w:webHidden/>
              </w:rPr>
              <w:instrText xml:space="preserve"> PAGEREF _Toc70596418 \h </w:instrText>
            </w:r>
            <w:r w:rsidR="00BE225B">
              <w:rPr>
                <w:webHidden/>
              </w:rPr>
            </w:r>
            <w:r w:rsidR="00BE225B">
              <w:rPr>
                <w:webHidden/>
              </w:rPr>
              <w:fldChar w:fldCharType="separate"/>
            </w:r>
            <w:r w:rsidR="00BE225B">
              <w:rPr>
                <w:webHidden/>
              </w:rPr>
              <w:t>6</w:t>
            </w:r>
            <w:r w:rsidR="00BE225B">
              <w:rPr>
                <w:webHidden/>
              </w:rPr>
              <w:fldChar w:fldCharType="end"/>
            </w:r>
          </w:hyperlink>
        </w:p>
        <w:p w14:paraId="03844AB9" w14:textId="7D59C13F" w:rsidR="00BE225B" w:rsidRDefault="00C37CC5">
          <w:pPr>
            <w:pStyle w:val="TOC2"/>
            <w:tabs>
              <w:tab w:val="left" w:pos="880"/>
            </w:tabs>
            <w:rPr>
              <w:rFonts w:asciiTheme="minorHAnsi" w:eastAsiaTheme="minorEastAsia" w:hAnsiTheme="minorHAnsi"/>
              <w:lang w:eastAsia="en-AU"/>
            </w:rPr>
          </w:pPr>
          <w:hyperlink w:anchor="_Toc70596419" w:history="1">
            <w:r w:rsidR="00BE225B" w:rsidRPr="0096442B">
              <w:rPr>
                <w:rStyle w:val="Hyperlink"/>
              </w:rPr>
              <w:t>3</w:t>
            </w:r>
            <w:r w:rsidR="00BE225B">
              <w:rPr>
                <w:rFonts w:asciiTheme="minorHAnsi" w:eastAsiaTheme="minorEastAsia" w:hAnsiTheme="minorHAnsi"/>
                <w:lang w:eastAsia="en-AU"/>
              </w:rPr>
              <w:tab/>
            </w:r>
            <w:r w:rsidR="00BE225B" w:rsidRPr="0096442B">
              <w:rPr>
                <w:rStyle w:val="Hyperlink"/>
              </w:rPr>
              <w:t>Khapra beetle concerns</w:t>
            </w:r>
            <w:r w:rsidR="00BE225B">
              <w:rPr>
                <w:webHidden/>
              </w:rPr>
              <w:tab/>
            </w:r>
            <w:r w:rsidR="00BE225B">
              <w:rPr>
                <w:webHidden/>
              </w:rPr>
              <w:fldChar w:fldCharType="begin"/>
            </w:r>
            <w:r w:rsidR="00BE225B">
              <w:rPr>
                <w:webHidden/>
              </w:rPr>
              <w:instrText xml:space="preserve"> PAGEREF _Toc70596419 \h </w:instrText>
            </w:r>
            <w:r w:rsidR="00BE225B">
              <w:rPr>
                <w:webHidden/>
              </w:rPr>
            </w:r>
            <w:r w:rsidR="00BE225B">
              <w:rPr>
                <w:webHidden/>
              </w:rPr>
              <w:fldChar w:fldCharType="separate"/>
            </w:r>
            <w:r w:rsidR="00BE225B">
              <w:rPr>
                <w:webHidden/>
              </w:rPr>
              <w:t>6</w:t>
            </w:r>
            <w:r w:rsidR="00BE225B">
              <w:rPr>
                <w:webHidden/>
              </w:rPr>
              <w:fldChar w:fldCharType="end"/>
            </w:r>
          </w:hyperlink>
        </w:p>
        <w:p w14:paraId="0533519C" w14:textId="47C44B57" w:rsidR="00BE225B" w:rsidRDefault="00C37CC5">
          <w:pPr>
            <w:pStyle w:val="TOC2"/>
            <w:tabs>
              <w:tab w:val="left" w:pos="880"/>
            </w:tabs>
            <w:rPr>
              <w:rFonts w:asciiTheme="minorHAnsi" w:eastAsiaTheme="minorEastAsia" w:hAnsiTheme="minorHAnsi"/>
              <w:lang w:eastAsia="en-AU"/>
            </w:rPr>
          </w:pPr>
          <w:hyperlink w:anchor="_Toc70596420" w:history="1">
            <w:r w:rsidR="00BE225B" w:rsidRPr="0096442B">
              <w:rPr>
                <w:rStyle w:val="Hyperlink"/>
              </w:rPr>
              <w:t>4</w:t>
            </w:r>
            <w:r w:rsidR="00BE225B">
              <w:rPr>
                <w:rFonts w:asciiTheme="minorHAnsi" w:eastAsiaTheme="minorEastAsia" w:hAnsiTheme="minorHAnsi"/>
                <w:lang w:eastAsia="en-AU"/>
              </w:rPr>
              <w:tab/>
            </w:r>
            <w:r w:rsidR="00BE225B" w:rsidRPr="0096442B">
              <w:rPr>
                <w:rStyle w:val="Hyperlink"/>
              </w:rPr>
              <w:t>Rural destination concerns</w:t>
            </w:r>
            <w:r w:rsidR="00BE225B">
              <w:rPr>
                <w:webHidden/>
              </w:rPr>
              <w:tab/>
            </w:r>
            <w:r w:rsidR="00BE225B">
              <w:rPr>
                <w:webHidden/>
              </w:rPr>
              <w:fldChar w:fldCharType="begin"/>
            </w:r>
            <w:r w:rsidR="00BE225B">
              <w:rPr>
                <w:webHidden/>
              </w:rPr>
              <w:instrText xml:space="preserve"> PAGEREF _Toc70596420 \h </w:instrText>
            </w:r>
            <w:r w:rsidR="00BE225B">
              <w:rPr>
                <w:webHidden/>
              </w:rPr>
            </w:r>
            <w:r w:rsidR="00BE225B">
              <w:rPr>
                <w:webHidden/>
              </w:rPr>
              <w:fldChar w:fldCharType="separate"/>
            </w:r>
            <w:r w:rsidR="00BE225B">
              <w:rPr>
                <w:webHidden/>
              </w:rPr>
              <w:t>7</w:t>
            </w:r>
            <w:r w:rsidR="00BE225B">
              <w:rPr>
                <w:webHidden/>
              </w:rPr>
              <w:fldChar w:fldCharType="end"/>
            </w:r>
          </w:hyperlink>
        </w:p>
        <w:p w14:paraId="1CCE7C34" w14:textId="29185611" w:rsidR="00BE225B" w:rsidRDefault="00C37CC5">
          <w:pPr>
            <w:pStyle w:val="TOC2"/>
            <w:tabs>
              <w:tab w:val="left" w:pos="880"/>
            </w:tabs>
            <w:rPr>
              <w:rFonts w:asciiTheme="minorHAnsi" w:eastAsiaTheme="minorEastAsia" w:hAnsiTheme="minorHAnsi"/>
              <w:lang w:eastAsia="en-AU"/>
            </w:rPr>
          </w:pPr>
          <w:hyperlink w:anchor="_Toc70596421" w:history="1">
            <w:r w:rsidR="00BE225B" w:rsidRPr="0096442B">
              <w:rPr>
                <w:rStyle w:val="Hyperlink"/>
              </w:rPr>
              <w:t>5</w:t>
            </w:r>
            <w:r w:rsidR="00BE225B">
              <w:rPr>
                <w:rFonts w:asciiTheme="minorHAnsi" w:eastAsiaTheme="minorEastAsia" w:hAnsiTheme="minorHAnsi"/>
                <w:lang w:eastAsia="en-AU"/>
              </w:rPr>
              <w:tab/>
            </w:r>
            <w:r w:rsidR="00BE225B" w:rsidRPr="0096442B">
              <w:rPr>
                <w:rStyle w:val="Hyperlink"/>
              </w:rPr>
              <w:t>Non‐commodity concern statements (containers)</w:t>
            </w:r>
            <w:r w:rsidR="00BE225B">
              <w:rPr>
                <w:webHidden/>
              </w:rPr>
              <w:tab/>
            </w:r>
            <w:r w:rsidR="00BE225B">
              <w:rPr>
                <w:webHidden/>
              </w:rPr>
              <w:fldChar w:fldCharType="begin"/>
            </w:r>
            <w:r w:rsidR="00BE225B">
              <w:rPr>
                <w:webHidden/>
              </w:rPr>
              <w:instrText xml:space="preserve"> PAGEREF _Toc70596421 \h </w:instrText>
            </w:r>
            <w:r w:rsidR="00BE225B">
              <w:rPr>
                <w:webHidden/>
              </w:rPr>
            </w:r>
            <w:r w:rsidR="00BE225B">
              <w:rPr>
                <w:webHidden/>
              </w:rPr>
              <w:fldChar w:fldCharType="separate"/>
            </w:r>
            <w:r w:rsidR="00BE225B">
              <w:rPr>
                <w:webHidden/>
              </w:rPr>
              <w:t>8</w:t>
            </w:r>
            <w:r w:rsidR="00BE225B">
              <w:rPr>
                <w:webHidden/>
              </w:rPr>
              <w:fldChar w:fldCharType="end"/>
            </w:r>
          </w:hyperlink>
        </w:p>
        <w:p w14:paraId="387FA903" w14:textId="2634A3DD" w:rsidR="00BE225B" w:rsidRDefault="00C37CC5">
          <w:pPr>
            <w:pStyle w:val="TOC2"/>
            <w:tabs>
              <w:tab w:val="left" w:pos="880"/>
            </w:tabs>
            <w:rPr>
              <w:rFonts w:asciiTheme="minorHAnsi" w:eastAsiaTheme="minorEastAsia" w:hAnsiTheme="minorHAnsi"/>
              <w:lang w:eastAsia="en-AU"/>
            </w:rPr>
          </w:pPr>
          <w:hyperlink w:anchor="_Toc70596422" w:history="1">
            <w:r w:rsidR="00BE225B" w:rsidRPr="0096442B">
              <w:rPr>
                <w:rStyle w:val="Hyperlink"/>
              </w:rPr>
              <w:t>6</w:t>
            </w:r>
            <w:r w:rsidR="00BE225B">
              <w:rPr>
                <w:rFonts w:asciiTheme="minorHAnsi" w:eastAsiaTheme="minorEastAsia" w:hAnsiTheme="minorHAnsi"/>
                <w:lang w:eastAsia="en-AU"/>
              </w:rPr>
              <w:tab/>
            </w:r>
            <w:r w:rsidR="00BE225B" w:rsidRPr="0096442B">
              <w:rPr>
                <w:rStyle w:val="Hyperlink"/>
              </w:rPr>
              <w:t>Considerations</w:t>
            </w:r>
            <w:r w:rsidR="00BE225B">
              <w:rPr>
                <w:webHidden/>
              </w:rPr>
              <w:tab/>
            </w:r>
            <w:r w:rsidR="00BE225B">
              <w:rPr>
                <w:webHidden/>
              </w:rPr>
              <w:fldChar w:fldCharType="begin"/>
            </w:r>
            <w:r w:rsidR="00BE225B">
              <w:rPr>
                <w:webHidden/>
              </w:rPr>
              <w:instrText xml:space="preserve"> PAGEREF _Toc70596422 \h </w:instrText>
            </w:r>
            <w:r w:rsidR="00BE225B">
              <w:rPr>
                <w:webHidden/>
              </w:rPr>
            </w:r>
            <w:r w:rsidR="00BE225B">
              <w:rPr>
                <w:webHidden/>
              </w:rPr>
              <w:fldChar w:fldCharType="separate"/>
            </w:r>
            <w:r w:rsidR="00BE225B">
              <w:rPr>
                <w:webHidden/>
              </w:rPr>
              <w:t>10</w:t>
            </w:r>
            <w:r w:rsidR="00BE225B">
              <w:rPr>
                <w:webHidden/>
              </w:rPr>
              <w:fldChar w:fldCharType="end"/>
            </w:r>
          </w:hyperlink>
        </w:p>
        <w:p w14:paraId="1483B4EE" w14:textId="319ED86F" w:rsidR="00BE225B" w:rsidRDefault="00C37CC5">
          <w:pPr>
            <w:pStyle w:val="TOC2"/>
            <w:tabs>
              <w:tab w:val="left" w:pos="880"/>
            </w:tabs>
            <w:rPr>
              <w:rFonts w:asciiTheme="minorHAnsi" w:eastAsiaTheme="minorEastAsia" w:hAnsiTheme="minorHAnsi"/>
              <w:lang w:eastAsia="en-AU"/>
            </w:rPr>
          </w:pPr>
          <w:hyperlink w:anchor="_Toc70596423" w:history="1">
            <w:r w:rsidR="00BE225B" w:rsidRPr="0096442B">
              <w:rPr>
                <w:rStyle w:val="Hyperlink"/>
              </w:rPr>
              <w:t>7</w:t>
            </w:r>
            <w:r w:rsidR="00BE225B">
              <w:rPr>
                <w:rFonts w:asciiTheme="minorHAnsi" w:eastAsiaTheme="minorEastAsia" w:hAnsiTheme="minorHAnsi"/>
                <w:lang w:eastAsia="en-AU"/>
              </w:rPr>
              <w:tab/>
            </w:r>
            <w:r w:rsidR="00BE225B" w:rsidRPr="0096442B">
              <w:rPr>
                <w:rStyle w:val="Hyperlink"/>
              </w:rPr>
              <w:t>Related documents/information</w:t>
            </w:r>
            <w:r w:rsidR="00BE225B">
              <w:rPr>
                <w:webHidden/>
              </w:rPr>
              <w:tab/>
            </w:r>
            <w:r w:rsidR="00BE225B">
              <w:rPr>
                <w:webHidden/>
              </w:rPr>
              <w:fldChar w:fldCharType="begin"/>
            </w:r>
            <w:r w:rsidR="00BE225B">
              <w:rPr>
                <w:webHidden/>
              </w:rPr>
              <w:instrText xml:space="preserve"> PAGEREF _Toc70596423 \h </w:instrText>
            </w:r>
            <w:r w:rsidR="00BE225B">
              <w:rPr>
                <w:webHidden/>
              </w:rPr>
            </w:r>
            <w:r w:rsidR="00BE225B">
              <w:rPr>
                <w:webHidden/>
              </w:rPr>
              <w:fldChar w:fldCharType="separate"/>
            </w:r>
            <w:r w:rsidR="00BE225B">
              <w:rPr>
                <w:webHidden/>
              </w:rPr>
              <w:t>11</w:t>
            </w:r>
            <w:r w:rsidR="00BE225B">
              <w:rPr>
                <w:webHidden/>
              </w:rPr>
              <w:fldChar w:fldCharType="end"/>
            </w:r>
          </w:hyperlink>
        </w:p>
        <w:p w14:paraId="60ED687B" w14:textId="61337F07" w:rsidR="002F08A6" w:rsidRDefault="00D274C4" w:rsidP="00460795">
          <w:pPr>
            <w:tabs>
              <w:tab w:val="left" w:pos="880"/>
            </w:tabs>
          </w:pPr>
          <w:r>
            <w:rPr>
              <w:b/>
              <w:noProof/>
            </w:rPr>
            <w:fldChar w:fldCharType="end"/>
          </w:r>
        </w:p>
      </w:sdtContent>
    </w:sdt>
    <w:p w14:paraId="0ECE13AD" w14:textId="77777777" w:rsidR="005D4D5F" w:rsidRPr="005D4D5F" w:rsidRDefault="00D274C4" w:rsidP="00E70342">
      <w:pPr>
        <w:pStyle w:val="TOC1"/>
      </w:pPr>
      <w:r>
        <w:rPr>
          <w:rFonts w:ascii="Times New Roman" w:eastAsia="Times New Roman" w:hAnsi="Times New Roman" w:cs="Times New Roman"/>
          <w:bCs/>
          <w:sz w:val="24"/>
          <w:lang w:val="en-GB" w:eastAsia="en-AU"/>
        </w:rPr>
        <w:fldChar w:fldCharType="begin"/>
      </w:r>
      <w:r w:rsidR="008B2007">
        <w:rPr>
          <w:rFonts w:ascii="Times New Roman" w:eastAsia="Times New Roman" w:hAnsi="Times New Roman" w:cs="Times New Roman"/>
          <w:bCs/>
          <w:sz w:val="24"/>
          <w:lang w:val="en-GB" w:eastAsia="en-AU"/>
        </w:rPr>
        <w:instrText xml:space="preserve"> TOC \h \z \t "Heading 2,1,Heading 3,2,Style1,2,Subtitle,2,TOA Heading,1,Heading 2 unnumbered,1,Heading 3 unnumbered,3" </w:instrText>
      </w:r>
      <w:r>
        <w:rPr>
          <w:rFonts w:ascii="Times New Roman" w:eastAsia="Times New Roman" w:hAnsi="Times New Roman" w:cs="Times New Roman"/>
          <w:bCs/>
          <w:sz w:val="24"/>
          <w:lang w:val="en-GB" w:eastAsia="en-AU"/>
        </w:rPr>
        <w:fldChar w:fldCharType="separate"/>
      </w:r>
    </w:p>
    <w:p w14:paraId="12D587ED" w14:textId="77777777" w:rsidR="00C153D8" w:rsidRDefault="00C153D8" w:rsidP="00C153D8">
      <w:pPr>
        <w:sectPr w:rsidR="00C153D8" w:rsidSect="007A743F">
          <w:headerReference w:type="even" r:id="rId17"/>
          <w:headerReference w:type="default" r:id="rId18"/>
          <w:footerReference w:type="default" r:id="rId19"/>
          <w:headerReference w:type="first" r:id="rId20"/>
          <w:footerReference w:type="first" r:id="rId21"/>
          <w:pgSz w:w="11906" w:h="16838"/>
          <w:pgMar w:top="1418" w:right="1418" w:bottom="1418" w:left="1418" w:header="567" w:footer="454" w:gutter="0"/>
          <w:pgNumType w:fmt="lowerRoman" w:start="1"/>
          <w:cols w:space="708"/>
          <w:titlePg/>
          <w:docGrid w:linePitch="360"/>
        </w:sectPr>
      </w:pPr>
    </w:p>
    <w:p w14:paraId="24CC4BCB" w14:textId="77777777" w:rsidR="00DB16B2" w:rsidRPr="00293765" w:rsidRDefault="00D274C4" w:rsidP="00724293">
      <w:pPr>
        <w:pStyle w:val="Heading2unnumbered"/>
      </w:pPr>
      <w:r>
        <w:rPr>
          <w:rFonts w:ascii="Times New Roman" w:eastAsia="Times New Roman" w:hAnsi="Times New Roman" w:cs="Times New Roman"/>
          <w:bCs w:val="0"/>
          <w:noProof/>
          <w:color w:val="auto"/>
          <w:sz w:val="24"/>
          <w:szCs w:val="22"/>
          <w:lang w:val="en-GB" w:eastAsia="en-AU"/>
        </w:rPr>
        <w:lastRenderedPageBreak/>
        <w:fldChar w:fldCharType="end"/>
      </w:r>
      <w:bookmarkStart w:id="3" w:name="_Toc424544659"/>
      <w:bookmarkStart w:id="4" w:name="_Toc70596411"/>
      <w:bookmarkStart w:id="5" w:name="_Toc70949406"/>
      <w:r w:rsidR="00DB16B2" w:rsidRPr="00293765">
        <w:t>Introduction</w:t>
      </w:r>
      <w:bookmarkEnd w:id="3"/>
      <w:bookmarkEnd w:id="4"/>
      <w:bookmarkEnd w:id="5"/>
      <w:bookmarkEnd w:id="2"/>
    </w:p>
    <w:p w14:paraId="4C84632B" w14:textId="77777777" w:rsidR="00477F1F" w:rsidRPr="00AA7DDF" w:rsidRDefault="00477F1F" w:rsidP="005B30DF">
      <w:pPr>
        <w:pStyle w:val="Heading3unnumbered"/>
      </w:pPr>
      <w:bookmarkStart w:id="6" w:name="_Toc423605766"/>
      <w:bookmarkStart w:id="7" w:name="_Toc424544660"/>
      <w:bookmarkStart w:id="8" w:name="_Toc70596412"/>
      <w:bookmarkStart w:id="9" w:name="_Toc70949407"/>
      <w:r w:rsidRPr="00AA7DDF">
        <w:t>Purpose</w:t>
      </w:r>
      <w:bookmarkEnd w:id="6"/>
      <w:bookmarkEnd w:id="7"/>
      <w:bookmarkEnd w:id="8"/>
      <w:bookmarkEnd w:id="9"/>
    </w:p>
    <w:p w14:paraId="0DDD39D9" w14:textId="3A21A97B" w:rsidR="00F55972" w:rsidRPr="00F55972" w:rsidRDefault="0003332B" w:rsidP="00F55972">
      <w:r>
        <w:t>T</w:t>
      </w:r>
      <w:r w:rsidR="00F55972" w:rsidRPr="00F55972">
        <w:t>his document define</w:t>
      </w:r>
      <w:r>
        <w:t>s</w:t>
      </w:r>
      <w:r w:rsidR="00F55972" w:rsidRPr="00F55972">
        <w:t xml:space="preserve"> the information requirements </w:t>
      </w:r>
      <w:r>
        <w:t>that</w:t>
      </w:r>
      <w:r w:rsidR="00F55972" w:rsidRPr="00F55972">
        <w:t xml:space="preserve"> must be met to support assessment of non-commodity concerns associated with imported </w:t>
      </w:r>
      <w:r w:rsidR="00884C67">
        <w:t>goods</w:t>
      </w:r>
      <w:r w:rsidR="00E96193">
        <w:t>.</w:t>
      </w:r>
    </w:p>
    <w:p w14:paraId="6D074818" w14:textId="77777777" w:rsidR="00477F1F" w:rsidRPr="00AA7DDF" w:rsidRDefault="00477F1F" w:rsidP="005B30DF">
      <w:pPr>
        <w:pStyle w:val="Heading3unnumbered"/>
      </w:pPr>
      <w:bookmarkStart w:id="10" w:name="_Toc423605767"/>
      <w:bookmarkStart w:id="11" w:name="_Toc424544661"/>
      <w:bookmarkStart w:id="12" w:name="_Toc70596413"/>
      <w:bookmarkStart w:id="13" w:name="_Toc70949408"/>
      <w:r w:rsidRPr="00AA7DDF">
        <w:t>Background</w:t>
      </w:r>
      <w:bookmarkEnd w:id="10"/>
      <w:bookmarkEnd w:id="11"/>
      <w:bookmarkEnd w:id="12"/>
      <w:bookmarkEnd w:id="13"/>
    </w:p>
    <w:p w14:paraId="40653C0F" w14:textId="77777777" w:rsidR="00460795" w:rsidRDefault="00FA2B73" w:rsidP="0016294C">
      <w:r>
        <w:t xml:space="preserve">The </w:t>
      </w:r>
      <w:r w:rsidR="00720E1A">
        <w:t>D</w:t>
      </w:r>
      <w:r w:rsidR="00F55972" w:rsidRPr="00F55972">
        <w:t xml:space="preserve">epartment </w:t>
      </w:r>
      <w:r w:rsidR="00720E1A">
        <w:t xml:space="preserve">of Agriculture, Water and the Environment </w:t>
      </w:r>
      <w:r w:rsidR="00F55972" w:rsidRPr="00F55972">
        <w:t xml:space="preserve">assesses the </w:t>
      </w:r>
      <w:r w:rsidR="009731C9" w:rsidRPr="009731C9">
        <w:t>b</w:t>
      </w:r>
      <w:r w:rsidR="00F55972" w:rsidRPr="009731C9">
        <w:t xml:space="preserve">iosecurity </w:t>
      </w:r>
      <w:r w:rsidR="00F55972" w:rsidRPr="00F55972">
        <w:t xml:space="preserve">risk posed by imported </w:t>
      </w:r>
      <w:r w:rsidR="00884C67">
        <w:t>goods</w:t>
      </w:r>
      <w:r w:rsidR="00884C67" w:rsidRPr="00F55972">
        <w:t xml:space="preserve"> </w:t>
      </w:r>
      <w:r w:rsidR="00F55972" w:rsidRPr="00F55972">
        <w:t>from two main perspectives</w:t>
      </w:r>
      <w:r w:rsidR="0003332B">
        <w:t>:</w:t>
      </w:r>
      <w:r w:rsidR="00F55972" w:rsidRPr="00F55972">
        <w:t xml:space="preserve"> commodity and non-commodity concerns. </w:t>
      </w:r>
      <w:r w:rsidR="0003332B">
        <w:t>C</w:t>
      </w:r>
      <w:r w:rsidR="00F55972" w:rsidRPr="00F55972">
        <w:t xml:space="preserve">ommodity concerns represent the inherent likelihood of those goods introducing an exotic </w:t>
      </w:r>
      <w:proofErr w:type="spellStart"/>
      <w:r w:rsidR="00F55972" w:rsidRPr="00F55972">
        <w:t>pest</w:t>
      </w:r>
      <w:proofErr w:type="spellEnd"/>
      <w:r w:rsidR="00F55972" w:rsidRPr="00F55972">
        <w:t xml:space="preserve"> or disease to Australia, </w:t>
      </w:r>
      <w:r w:rsidR="0003332B">
        <w:t xml:space="preserve">and </w:t>
      </w:r>
      <w:r w:rsidR="00F55972" w:rsidRPr="00F55972">
        <w:t>non-commodity concerns consider the</w:t>
      </w:r>
      <w:r w:rsidR="00BA51CA">
        <w:t xml:space="preserve"> container</w:t>
      </w:r>
      <w:r w:rsidR="00F55972" w:rsidRPr="00F55972">
        <w:t xml:space="preserve"> </w:t>
      </w:r>
      <w:r w:rsidR="0006578D">
        <w:t xml:space="preserve">origin, </w:t>
      </w:r>
      <w:r w:rsidR="00BA51CA">
        <w:t xml:space="preserve">packaging, </w:t>
      </w:r>
      <w:r w:rsidR="00F55972" w:rsidRPr="00F55972">
        <w:t>transportation</w:t>
      </w:r>
      <w:r w:rsidR="00BA51CA">
        <w:t xml:space="preserve"> and </w:t>
      </w:r>
      <w:r w:rsidR="00496652">
        <w:t xml:space="preserve">unpack </w:t>
      </w:r>
      <w:r w:rsidR="00C035FC">
        <w:t xml:space="preserve">destination </w:t>
      </w:r>
      <w:r w:rsidR="00C035FC" w:rsidRPr="00F55972">
        <w:t>among</w:t>
      </w:r>
      <w:r w:rsidR="00F55972" w:rsidRPr="00F55972">
        <w:t xml:space="preserve"> other factors</w:t>
      </w:r>
      <w:r w:rsidR="00945403">
        <w:t>,</w:t>
      </w:r>
      <w:r w:rsidR="00F55972" w:rsidRPr="00F55972">
        <w:t xml:space="preserve"> in determining the level of </w:t>
      </w:r>
      <w:r w:rsidR="009731C9" w:rsidRPr="009731C9">
        <w:t>b</w:t>
      </w:r>
      <w:r w:rsidR="00F55972" w:rsidRPr="009731C9">
        <w:t>iosecurity</w:t>
      </w:r>
      <w:r w:rsidR="00F55972" w:rsidRPr="00F55972">
        <w:t xml:space="preserve"> risk posed. In line with longstanding departmental policy, it is preferred that </w:t>
      </w:r>
      <w:r w:rsidR="009731C9" w:rsidRPr="009731C9">
        <w:t>b</w:t>
      </w:r>
      <w:r w:rsidR="00F55972" w:rsidRPr="009731C9">
        <w:t>iosecurity</w:t>
      </w:r>
      <w:r w:rsidR="00F55972" w:rsidRPr="00F55972">
        <w:t xml:space="preserve"> risk be managed </w:t>
      </w:r>
      <w:r w:rsidR="0003332B">
        <w:t>before</w:t>
      </w:r>
      <w:r w:rsidR="00F55972" w:rsidRPr="00F55972">
        <w:t xml:space="preserve"> importation wherever possible. The subject of this policy is the required information and supporting documentation or certification to give </w:t>
      </w:r>
      <w:r w:rsidR="00A12F56">
        <w:t>the department</w:t>
      </w:r>
      <w:r w:rsidR="0051138C">
        <w:t xml:space="preserve"> </w:t>
      </w:r>
      <w:r w:rsidR="00F55972" w:rsidRPr="00F55972">
        <w:t>confidence that these measures have been applied.</w:t>
      </w:r>
    </w:p>
    <w:p w14:paraId="4B65B0BC" w14:textId="06BDF0FB" w:rsidR="00F55972" w:rsidRPr="00F55972" w:rsidRDefault="00F55972" w:rsidP="0016294C">
      <w:r w:rsidRPr="00F55972">
        <w:t>Although information is not routinely required for assessment for some cargo types, compliance with import requirements for non-commodity concerns remains the</w:t>
      </w:r>
      <w:r w:rsidR="00AD558F">
        <w:t xml:space="preserve"> responsibility of the </w:t>
      </w:r>
      <w:r w:rsidR="00B40D6F">
        <w:t xml:space="preserve">person in charge of </w:t>
      </w:r>
      <w:r w:rsidR="00AD558F">
        <w:t xml:space="preserve">the </w:t>
      </w:r>
      <w:r w:rsidR="00B40D6F">
        <w:t>good</w:t>
      </w:r>
      <w:r w:rsidR="00AD558F">
        <w:t>s</w:t>
      </w:r>
      <w:r w:rsidRPr="00F55972">
        <w:t xml:space="preserve">. For example, all timber packaging and dunnage remains subject to mandatory treatment </w:t>
      </w:r>
      <w:r w:rsidR="00756BD2">
        <w:t xml:space="preserve">or inspection </w:t>
      </w:r>
      <w:r w:rsidRPr="00F55972">
        <w:t>requirements irrespective of whether timber packaging statements are routinely required for the applicable cargo type.</w:t>
      </w:r>
    </w:p>
    <w:p w14:paraId="173A0B6B" w14:textId="19808931" w:rsidR="00F55972" w:rsidRPr="00F55972" w:rsidRDefault="00F55972" w:rsidP="0016294C">
      <w:r w:rsidRPr="00F55972">
        <w:t xml:space="preserve">As non-commodity concerns relate primarily to </w:t>
      </w:r>
      <w:r w:rsidR="002C76B4">
        <w:t xml:space="preserve">origin, </w:t>
      </w:r>
      <w:r w:rsidRPr="00F55972">
        <w:t>packaging</w:t>
      </w:r>
      <w:r w:rsidR="00573704">
        <w:t xml:space="preserve">, </w:t>
      </w:r>
      <w:r w:rsidR="00C035FC" w:rsidRPr="00F55972">
        <w:t>transportation,</w:t>
      </w:r>
      <w:r w:rsidRPr="00F55972">
        <w:t xml:space="preserve"> </w:t>
      </w:r>
      <w:r w:rsidR="00573704">
        <w:t xml:space="preserve">and </w:t>
      </w:r>
      <w:r w:rsidR="00506663">
        <w:t xml:space="preserve">unpack </w:t>
      </w:r>
      <w:r w:rsidR="002C76B4">
        <w:t>destination</w:t>
      </w:r>
      <w:r w:rsidRPr="00F55972">
        <w:t xml:space="preserve">, </w:t>
      </w:r>
      <w:r w:rsidR="007D68FD">
        <w:t>the department has</w:t>
      </w:r>
      <w:r w:rsidRPr="00F55972">
        <w:t xml:space="preserve"> standard information requirements that must be met for each non-commodity concern. </w:t>
      </w:r>
      <w:r w:rsidR="007D68FD">
        <w:t>The department is</w:t>
      </w:r>
      <w:r w:rsidRPr="00F55972">
        <w:t xml:space="preserve"> mindful that differing cargo types (such as air versus sea cargo and containerised versus break bulk) are dealt with in different ways on arrival in Australia. </w:t>
      </w:r>
      <w:r w:rsidR="00223740">
        <w:t>Each cargo type has unique information requirements, this ensures importers provide only information that is essential for assessment.</w:t>
      </w:r>
    </w:p>
    <w:p w14:paraId="28D4C9A9" w14:textId="77777777" w:rsidR="00F55972" w:rsidRPr="00F55972" w:rsidRDefault="00F55972" w:rsidP="00F55972">
      <w:r w:rsidRPr="00F55972">
        <w:t>This document outlines:</w:t>
      </w:r>
    </w:p>
    <w:p w14:paraId="06491E4E" w14:textId="77777777" w:rsidR="00F55972" w:rsidRPr="00F55972" w:rsidRDefault="0003332B" w:rsidP="00B27DA0">
      <w:pPr>
        <w:pStyle w:val="ListBullet"/>
      </w:pPr>
      <w:r>
        <w:t>s</w:t>
      </w:r>
      <w:r w:rsidR="00FA2B73">
        <w:t>tandard non-commodity concerns</w:t>
      </w:r>
    </w:p>
    <w:p w14:paraId="3E1C5BDF" w14:textId="77777777" w:rsidR="00F55972" w:rsidRPr="00F55972" w:rsidRDefault="0003332B" w:rsidP="00B27DA0">
      <w:pPr>
        <w:pStyle w:val="ListBullet"/>
      </w:pPr>
      <w:r>
        <w:t>i</w:t>
      </w:r>
      <w:r w:rsidR="00F55972" w:rsidRPr="00F55972">
        <w:t xml:space="preserve">nformation required </w:t>
      </w:r>
      <w:r>
        <w:t>for</w:t>
      </w:r>
      <w:r w:rsidR="00F55972" w:rsidRPr="00F55972">
        <w:t xml:space="preserve"> each of the </w:t>
      </w:r>
      <w:r w:rsidR="00FA2B73">
        <w:t>standard non-commodity concerns</w:t>
      </w:r>
    </w:p>
    <w:p w14:paraId="60FD4311" w14:textId="320C0F22" w:rsidR="00F55972" w:rsidRPr="00F55972" w:rsidRDefault="0003332B" w:rsidP="00B27DA0">
      <w:pPr>
        <w:pStyle w:val="ListBullet"/>
      </w:pPr>
      <w:r>
        <w:t>s</w:t>
      </w:r>
      <w:r w:rsidR="00F55972" w:rsidRPr="00F55972">
        <w:t>tandard non-commodity concerns to be addressed by each cargo type.</w:t>
      </w:r>
    </w:p>
    <w:p w14:paraId="6F02C0D5" w14:textId="4065013D" w:rsidR="00F55972" w:rsidRDefault="00F55972" w:rsidP="00F55972">
      <w:r w:rsidRPr="00F55972">
        <w:t xml:space="preserve">This document forms the basis of </w:t>
      </w:r>
      <w:r w:rsidR="00C264E8">
        <w:t xml:space="preserve">the department’s </w:t>
      </w:r>
      <w:r w:rsidRPr="00F55972">
        <w:t xml:space="preserve">assessment of non-commodity concerns for imported </w:t>
      </w:r>
      <w:r w:rsidR="00B15F6A">
        <w:t>goods</w:t>
      </w:r>
      <w:r w:rsidR="00B15F6A" w:rsidRPr="00F55972">
        <w:t xml:space="preserve"> </w:t>
      </w:r>
      <w:r w:rsidRPr="00F55972">
        <w:t xml:space="preserve">and is the technical reference that </w:t>
      </w:r>
      <w:r w:rsidRPr="006531B9">
        <w:t>informs</w:t>
      </w:r>
      <w:r w:rsidR="006531B9">
        <w:t xml:space="preserve"> </w:t>
      </w:r>
      <w:r w:rsidR="008B33AA">
        <w:t xml:space="preserve">the non-commodity assessments undertaken by </w:t>
      </w:r>
      <w:r w:rsidR="00555C8B">
        <w:t>accredited person</w:t>
      </w:r>
      <w:r w:rsidR="00736903">
        <w:t>s</w:t>
      </w:r>
      <w:r w:rsidRPr="00F55972">
        <w:t xml:space="preserve"> </w:t>
      </w:r>
      <w:r w:rsidR="008B33AA">
        <w:t xml:space="preserve">covered </w:t>
      </w:r>
      <w:r w:rsidRPr="00F55972">
        <w:t xml:space="preserve">under </w:t>
      </w:r>
      <w:r w:rsidR="00736903">
        <w:t>the</w:t>
      </w:r>
      <w:r w:rsidR="00350C73">
        <w:t xml:space="preserve"> Class 19.1</w:t>
      </w:r>
      <w:r w:rsidR="00736903">
        <w:t xml:space="preserve"> </w:t>
      </w:r>
      <w:r w:rsidR="006531B9">
        <w:t>Non</w:t>
      </w:r>
      <w:r w:rsidR="00350C73">
        <w:t>-</w:t>
      </w:r>
      <w:r w:rsidR="006531B9">
        <w:t xml:space="preserve">Commodity for Containerised Cargo Clearance </w:t>
      </w:r>
      <w:r w:rsidR="0016294C">
        <w:t>a</w:t>
      </w:r>
      <w:r w:rsidR="000207BF">
        <w:t>pproved arrangement.</w:t>
      </w:r>
    </w:p>
    <w:p w14:paraId="57ACAD87" w14:textId="611CFFA7" w:rsidR="009063CE" w:rsidRDefault="009063CE" w:rsidP="009063CE">
      <w:r w:rsidRPr="006F5682">
        <w:t>This document refers to AQIS where AQIS remains current in IT systems and</w:t>
      </w:r>
      <w:r w:rsidR="000207BF">
        <w:t xml:space="preserve"> </w:t>
      </w:r>
      <w:r w:rsidR="0016294C">
        <w:t xml:space="preserve">departmental </w:t>
      </w:r>
      <w:r w:rsidR="0016294C" w:rsidRPr="006F5682">
        <w:t>approved</w:t>
      </w:r>
      <w:r w:rsidR="000207BF">
        <w:t xml:space="preserve"> arrangements</w:t>
      </w:r>
      <w:r w:rsidRPr="006F5682">
        <w:t>.</w:t>
      </w:r>
    </w:p>
    <w:p w14:paraId="168A0184" w14:textId="7EFD7C38" w:rsidR="00F55972" w:rsidRPr="00AA7DDF" w:rsidRDefault="003C6065" w:rsidP="005B30DF">
      <w:pPr>
        <w:pStyle w:val="Heading3unnumbered"/>
      </w:pPr>
      <w:bookmarkStart w:id="14" w:name="_Toc423605768"/>
      <w:bookmarkStart w:id="15" w:name="_Toc424544662"/>
      <w:bookmarkStart w:id="16" w:name="_Toc70596414"/>
      <w:bookmarkStart w:id="17" w:name="_Toc70949409"/>
      <w:r w:rsidRPr="00AA7DDF">
        <w:t>Critical o</w:t>
      </w:r>
      <w:r w:rsidR="00F55972" w:rsidRPr="00AA7DDF">
        <w:t>utcomes</w:t>
      </w:r>
      <w:bookmarkEnd w:id="14"/>
      <w:bookmarkEnd w:id="15"/>
      <w:bookmarkEnd w:id="16"/>
      <w:bookmarkEnd w:id="17"/>
    </w:p>
    <w:p w14:paraId="4768E6E4" w14:textId="1BF7C8F3" w:rsidR="003B6BD1" w:rsidRDefault="003A4C3F" w:rsidP="003B6BD1">
      <w:r>
        <w:t xml:space="preserve">This policy has 3 </w:t>
      </w:r>
      <w:r w:rsidR="003B6BD1">
        <w:t>critical outcomes</w:t>
      </w:r>
      <w:r>
        <w:t>:</w:t>
      </w:r>
    </w:p>
    <w:p w14:paraId="1E6E8CAD" w14:textId="077C3442" w:rsidR="003B6BD1" w:rsidRDefault="008C6833" w:rsidP="00B27DA0">
      <w:pPr>
        <w:pStyle w:val="ListBullet"/>
      </w:pPr>
      <w:r>
        <w:lastRenderedPageBreak/>
        <w:t>p</w:t>
      </w:r>
      <w:r w:rsidR="003B6BD1">
        <w:t xml:space="preserve">rovide parameters to support </w:t>
      </w:r>
      <w:r w:rsidR="00A12F56">
        <w:t>the department</w:t>
      </w:r>
      <w:r w:rsidR="003B6BD1">
        <w:t xml:space="preserve"> in determining the level of non-</w:t>
      </w:r>
      <w:r w:rsidR="00B85A0B">
        <w:t>commodity-based</w:t>
      </w:r>
      <w:r w:rsidR="003B6BD1">
        <w:t xml:space="preserve"> </w:t>
      </w:r>
      <w:r w:rsidR="00EC5F8C">
        <w:t>b</w:t>
      </w:r>
      <w:r w:rsidR="003B6BD1">
        <w:t>iosecurity risk posed by an imported consignment and the appropriate leve</w:t>
      </w:r>
      <w:r w:rsidR="00FA2B73">
        <w:t>l of intervention to be applied</w:t>
      </w:r>
    </w:p>
    <w:p w14:paraId="12178624" w14:textId="3C9FE318" w:rsidR="003B6BD1" w:rsidRDefault="008C6833" w:rsidP="00B27DA0">
      <w:pPr>
        <w:pStyle w:val="ListBullet"/>
      </w:pPr>
      <w:r>
        <w:t>d</w:t>
      </w:r>
      <w:r w:rsidR="003B6BD1">
        <w:t xml:space="preserve">efine information requirements to support </w:t>
      </w:r>
      <w:r w:rsidR="00A12F56">
        <w:t>the department</w:t>
      </w:r>
      <w:r w:rsidR="003B6BD1">
        <w:t xml:space="preserve"> in determining the level of non-</w:t>
      </w:r>
      <w:r w:rsidR="00B85A0B">
        <w:t>commodity-based</w:t>
      </w:r>
      <w:r w:rsidR="003B6BD1">
        <w:t xml:space="preserve"> </w:t>
      </w:r>
      <w:r w:rsidR="00EC5F8C">
        <w:t>b</w:t>
      </w:r>
      <w:r w:rsidR="003B6BD1">
        <w:t>iosecurity risk posed</w:t>
      </w:r>
      <w:r w:rsidR="00FA2B73">
        <w:t xml:space="preserve"> by an imported consignment</w:t>
      </w:r>
    </w:p>
    <w:p w14:paraId="1A8E92A3" w14:textId="1431FC11" w:rsidR="00814C54" w:rsidRDefault="008C6833" w:rsidP="0016294C">
      <w:pPr>
        <w:pStyle w:val="ListBullet"/>
      </w:pPr>
      <w:r>
        <w:t>d</w:t>
      </w:r>
      <w:r w:rsidR="003B6BD1">
        <w:t>efine the parameters for acceptability of the information present</w:t>
      </w:r>
      <w:r>
        <w:t>ed for non-commodity assessment.</w:t>
      </w:r>
    </w:p>
    <w:p w14:paraId="6819BFB9" w14:textId="0AFEC508" w:rsidR="009623CF" w:rsidRPr="00293765" w:rsidRDefault="00DE2648" w:rsidP="00724293">
      <w:pPr>
        <w:pStyle w:val="Heading2unnumbered"/>
      </w:pPr>
      <w:bookmarkStart w:id="18" w:name="_Glossary"/>
      <w:bookmarkStart w:id="19" w:name="_Toc423605770"/>
      <w:bookmarkStart w:id="20" w:name="_Toc424544664"/>
      <w:bookmarkStart w:id="21" w:name="_Toc70596415"/>
      <w:bookmarkEnd w:id="18"/>
      <w:r>
        <w:lastRenderedPageBreak/>
        <w:t>Glossary</w:t>
      </w:r>
      <w:bookmarkEnd w:id="19"/>
      <w:bookmarkEnd w:id="20"/>
      <w:bookmarkEnd w:id="21"/>
    </w:p>
    <w:tbl>
      <w:tblPr>
        <w:tblStyle w:val="TableGrid"/>
        <w:tblW w:w="5000" w:type="pct"/>
        <w:tblLook w:val="04A0" w:firstRow="1" w:lastRow="0" w:firstColumn="1" w:lastColumn="0" w:noHBand="0" w:noVBand="1"/>
      </w:tblPr>
      <w:tblGrid>
        <w:gridCol w:w="2729"/>
        <w:gridCol w:w="6331"/>
      </w:tblGrid>
      <w:tr w:rsidR="0016294C" w14:paraId="79CE519D" w14:textId="77777777" w:rsidTr="00C035FC">
        <w:trPr>
          <w:cantSplit/>
          <w:tblHeader/>
        </w:trPr>
        <w:tc>
          <w:tcPr>
            <w:tcW w:w="1506" w:type="pct"/>
          </w:tcPr>
          <w:p w14:paraId="3180BBE8" w14:textId="49AB0F98" w:rsidR="0016294C" w:rsidRPr="007A743F" w:rsidRDefault="0016294C" w:rsidP="0016294C">
            <w:pPr>
              <w:pStyle w:val="TableHeading"/>
            </w:pPr>
            <w:r>
              <w:t>Term</w:t>
            </w:r>
          </w:p>
        </w:tc>
        <w:tc>
          <w:tcPr>
            <w:tcW w:w="3494" w:type="pct"/>
          </w:tcPr>
          <w:p w14:paraId="32B58C26" w14:textId="0EEE62BD" w:rsidR="0016294C" w:rsidRPr="007A743F" w:rsidRDefault="0016294C" w:rsidP="0016294C">
            <w:pPr>
              <w:pStyle w:val="TableHeading"/>
            </w:pPr>
            <w:r>
              <w:t>Definition</w:t>
            </w:r>
          </w:p>
        </w:tc>
      </w:tr>
      <w:tr w:rsidR="000D3423" w14:paraId="292AD13B" w14:textId="77777777" w:rsidTr="00C035FC">
        <w:trPr>
          <w:cantSplit/>
        </w:trPr>
        <w:tc>
          <w:tcPr>
            <w:tcW w:w="1506" w:type="pct"/>
          </w:tcPr>
          <w:p w14:paraId="3EDD0F72" w14:textId="77777777" w:rsidR="000D3423" w:rsidRPr="007A743F" w:rsidRDefault="000D3423" w:rsidP="007A743F">
            <w:pPr>
              <w:pStyle w:val="TableText"/>
              <w:rPr>
                <w:szCs w:val="18"/>
              </w:rPr>
            </w:pPr>
            <w:r w:rsidRPr="007A743F">
              <w:rPr>
                <w:szCs w:val="18"/>
              </w:rPr>
              <w:t>AQIS Entity Identifier (AEI)</w:t>
            </w:r>
            <w:r w:rsidRPr="007A743F" w:rsidDel="00CC09DB">
              <w:rPr>
                <w:szCs w:val="18"/>
              </w:rPr>
              <w:t xml:space="preserve"> </w:t>
            </w:r>
          </w:p>
        </w:tc>
        <w:tc>
          <w:tcPr>
            <w:tcW w:w="3494" w:type="pct"/>
          </w:tcPr>
          <w:p w14:paraId="41A67031" w14:textId="502CA4FB" w:rsidR="000D3423" w:rsidRPr="007A743F" w:rsidRDefault="00A02F26" w:rsidP="007A743F">
            <w:pPr>
              <w:pStyle w:val="TableText"/>
              <w:rPr>
                <w:szCs w:val="18"/>
              </w:rPr>
            </w:pPr>
            <w:r>
              <w:rPr>
                <w:szCs w:val="18"/>
              </w:rPr>
              <w:t>T</w:t>
            </w:r>
            <w:r w:rsidR="000D3423" w:rsidRPr="007A743F">
              <w:rPr>
                <w:szCs w:val="18"/>
              </w:rPr>
              <w:t>reatment provider number for offshore treatment providers.</w:t>
            </w:r>
          </w:p>
        </w:tc>
      </w:tr>
      <w:tr w:rsidR="000D3423" w14:paraId="7C2F2765" w14:textId="77777777" w:rsidTr="00C035FC">
        <w:trPr>
          <w:cantSplit/>
        </w:trPr>
        <w:tc>
          <w:tcPr>
            <w:tcW w:w="1506" w:type="pct"/>
          </w:tcPr>
          <w:p w14:paraId="6AA99E92" w14:textId="77777777" w:rsidR="000D3423" w:rsidRPr="007A743F" w:rsidRDefault="000D3423" w:rsidP="007A743F">
            <w:pPr>
              <w:pStyle w:val="TableText"/>
              <w:rPr>
                <w:szCs w:val="18"/>
              </w:rPr>
            </w:pPr>
            <w:r w:rsidRPr="007A743F">
              <w:rPr>
                <w:szCs w:val="18"/>
              </w:rPr>
              <w:t>AQIS Entity Identifier (AEI) field</w:t>
            </w:r>
          </w:p>
        </w:tc>
        <w:tc>
          <w:tcPr>
            <w:tcW w:w="3494" w:type="pct"/>
          </w:tcPr>
          <w:p w14:paraId="08353497" w14:textId="38AFB291" w:rsidR="000D3423" w:rsidRPr="007A743F" w:rsidRDefault="00BC10CE" w:rsidP="007A743F">
            <w:pPr>
              <w:pStyle w:val="TableText"/>
              <w:rPr>
                <w:szCs w:val="18"/>
              </w:rPr>
            </w:pPr>
            <w:r>
              <w:rPr>
                <w:szCs w:val="18"/>
              </w:rPr>
              <w:t>ICS</w:t>
            </w:r>
            <w:r w:rsidR="000D3423" w:rsidRPr="007A743F">
              <w:rPr>
                <w:szCs w:val="18"/>
              </w:rPr>
              <w:t xml:space="preserve"> field used to record the </w:t>
            </w:r>
            <w:r w:rsidR="00A6752E">
              <w:rPr>
                <w:szCs w:val="18"/>
              </w:rPr>
              <w:t xml:space="preserve">offshore </w:t>
            </w:r>
            <w:r w:rsidR="000D3423" w:rsidRPr="007A743F">
              <w:rPr>
                <w:szCs w:val="18"/>
              </w:rPr>
              <w:t>treatment provider number.</w:t>
            </w:r>
          </w:p>
        </w:tc>
      </w:tr>
      <w:tr w:rsidR="000D3423" w14:paraId="27CBEF70" w14:textId="77777777" w:rsidTr="00C035FC">
        <w:trPr>
          <w:cantSplit/>
        </w:trPr>
        <w:tc>
          <w:tcPr>
            <w:tcW w:w="1506" w:type="pct"/>
          </w:tcPr>
          <w:p w14:paraId="380743C7" w14:textId="77777777" w:rsidR="000D3423" w:rsidRPr="007A743F" w:rsidRDefault="000D3423" w:rsidP="007A743F">
            <w:pPr>
              <w:pStyle w:val="TableText"/>
              <w:rPr>
                <w:szCs w:val="18"/>
              </w:rPr>
            </w:pPr>
            <w:r w:rsidRPr="007A743F">
              <w:rPr>
                <w:szCs w:val="18"/>
              </w:rPr>
              <w:t>AQIS Identification Number (AIN)</w:t>
            </w:r>
          </w:p>
        </w:tc>
        <w:tc>
          <w:tcPr>
            <w:tcW w:w="3494" w:type="pct"/>
          </w:tcPr>
          <w:p w14:paraId="09C00D53" w14:textId="5BC20494" w:rsidR="000D3423" w:rsidRPr="007A743F" w:rsidRDefault="00A02F26" w:rsidP="007A743F">
            <w:pPr>
              <w:pStyle w:val="TableText"/>
              <w:rPr>
                <w:szCs w:val="18"/>
              </w:rPr>
            </w:pPr>
            <w:r>
              <w:rPr>
                <w:szCs w:val="18"/>
              </w:rPr>
              <w:t>T</w:t>
            </w:r>
            <w:r w:rsidR="000D3423" w:rsidRPr="007A743F">
              <w:rPr>
                <w:szCs w:val="18"/>
              </w:rPr>
              <w:t>reatment provider number for companies approved by the department who are registered for the Gamma Irradiation Offshore Treatment Providers Scheme and the Ethylene Oxide Offshore Treatment Providers Scheme.</w:t>
            </w:r>
          </w:p>
        </w:tc>
      </w:tr>
      <w:tr w:rsidR="007A6922" w14:paraId="50DE3907" w14:textId="77777777" w:rsidTr="00C035FC">
        <w:trPr>
          <w:cantSplit/>
        </w:trPr>
        <w:tc>
          <w:tcPr>
            <w:tcW w:w="1506" w:type="pct"/>
          </w:tcPr>
          <w:p w14:paraId="61E5FD9E" w14:textId="67344762" w:rsidR="007A6922" w:rsidRPr="007A743F" w:rsidRDefault="007A6922" w:rsidP="007A743F">
            <w:pPr>
              <w:pStyle w:val="TableText"/>
              <w:rPr>
                <w:szCs w:val="18"/>
              </w:rPr>
            </w:pPr>
            <w:r w:rsidRPr="007A743F">
              <w:rPr>
                <w:szCs w:val="18"/>
              </w:rPr>
              <w:t>BICON</w:t>
            </w:r>
          </w:p>
        </w:tc>
        <w:tc>
          <w:tcPr>
            <w:tcW w:w="3494" w:type="pct"/>
          </w:tcPr>
          <w:p w14:paraId="4F3F77A8" w14:textId="3D3681F9" w:rsidR="007A6922" w:rsidRPr="007A743F" w:rsidRDefault="00A02F26" w:rsidP="007A743F">
            <w:pPr>
              <w:pStyle w:val="TableText"/>
              <w:rPr>
                <w:szCs w:val="18"/>
              </w:rPr>
            </w:pPr>
            <w:r>
              <w:rPr>
                <w:szCs w:val="18"/>
              </w:rPr>
              <w:t>T</w:t>
            </w:r>
            <w:r w:rsidR="007A6922" w:rsidRPr="007A743F">
              <w:rPr>
                <w:szCs w:val="18"/>
              </w:rPr>
              <w:t xml:space="preserve">he department’s </w:t>
            </w:r>
            <w:r w:rsidR="00197DFC">
              <w:rPr>
                <w:szCs w:val="18"/>
              </w:rPr>
              <w:t xml:space="preserve">Biosecurity </w:t>
            </w:r>
            <w:r w:rsidR="007A6922" w:rsidRPr="007A743F">
              <w:rPr>
                <w:szCs w:val="18"/>
              </w:rPr>
              <w:t>import conditions system.</w:t>
            </w:r>
          </w:p>
        </w:tc>
      </w:tr>
      <w:tr w:rsidR="000D3423" w14:paraId="020BF5A5" w14:textId="77777777" w:rsidTr="00C035FC">
        <w:trPr>
          <w:cantSplit/>
        </w:trPr>
        <w:tc>
          <w:tcPr>
            <w:tcW w:w="1506" w:type="pct"/>
          </w:tcPr>
          <w:p w14:paraId="55AD5DB3" w14:textId="77777777" w:rsidR="000D3423" w:rsidRPr="007A743F" w:rsidRDefault="000D3423" w:rsidP="007A743F">
            <w:pPr>
              <w:pStyle w:val="TableText"/>
              <w:rPr>
                <w:szCs w:val="18"/>
              </w:rPr>
            </w:pPr>
            <w:r w:rsidRPr="007A743F">
              <w:rPr>
                <w:szCs w:val="18"/>
              </w:rPr>
              <w:t xml:space="preserve">Break bulk </w:t>
            </w:r>
          </w:p>
        </w:tc>
        <w:tc>
          <w:tcPr>
            <w:tcW w:w="3494" w:type="pct"/>
          </w:tcPr>
          <w:p w14:paraId="76F076D6" w14:textId="6F250FFC" w:rsidR="000D3423" w:rsidRPr="007A743F" w:rsidRDefault="00A02F26" w:rsidP="007A743F">
            <w:pPr>
              <w:pStyle w:val="TableText"/>
              <w:rPr>
                <w:szCs w:val="18"/>
              </w:rPr>
            </w:pPr>
            <w:r>
              <w:rPr>
                <w:szCs w:val="18"/>
              </w:rPr>
              <w:t>C</w:t>
            </w:r>
            <w:r w:rsidR="000D3423" w:rsidRPr="007A743F">
              <w:rPr>
                <w:szCs w:val="18"/>
              </w:rPr>
              <w:t xml:space="preserve">argo </w:t>
            </w:r>
            <w:r w:rsidR="00131CCE" w:rsidRPr="007A743F">
              <w:rPr>
                <w:szCs w:val="18"/>
              </w:rPr>
              <w:t>type</w:t>
            </w:r>
            <w:r w:rsidR="00501392">
              <w:rPr>
                <w:szCs w:val="18"/>
              </w:rPr>
              <w:t xml:space="preserve"> </w:t>
            </w:r>
            <w:r w:rsidR="00163BDF">
              <w:rPr>
                <w:szCs w:val="18"/>
              </w:rPr>
              <w:t>describing</w:t>
            </w:r>
            <w:r w:rsidR="00163BDF" w:rsidRPr="007A743F">
              <w:rPr>
                <w:szCs w:val="18"/>
              </w:rPr>
              <w:t xml:space="preserve"> goods</w:t>
            </w:r>
            <w:r w:rsidR="00131CCE" w:rsidRPr="007A743F">
              <w:rPr>
                <w:szCs w:val="18"/>
              </w:rPr>
              <w:t xml:space="preserve"> </w:t>
            </w:r>
            <w:r w:rsidR="000D3423" w:rsidRPr="007A743F">
              <w:rPr>
                <w:szCs w:val="18"/>
              </w:rPr>
              <w:t xml:space="preserve">that </w:t>
            </w:r>
            <w:r w:rsidR="00131CCE" w:rsidRPr="007A743F">
              <w:rPr>
                <w:szCs w:val="18"/>
              </w:rPr>
              <w:t>are</w:t>
            </w:r>
            <w:r w:rsidR="000D3423" w:rsidRPr="007A743F">
              <w:rPr>
                <w:szCs w:val="18"/>
              </w:rPr>
              <w:t xml:space="preserve"> transported by sea but not in a shipping container or bulk in ship holds. Examples of break bulk cargo include machinery, </w:t>
            </w:r>
            <w:proofErr w:type="gramStart"/>
            <w:r w:rsidR="000D3423" w:rsidRPr="007A743F">
              <w:rPr>
                <w:szCs w:val="18"/>
              </w:rPr>
              <w:t>vehicles</w:t>
            </w:r>
            <w:proofErr w:type="gramEnd"/>
            <w:r w:rsidR="000D3423" w:rsidRPr="007A743F">
              <w:rPr>
                <w:szCs w:val="18"/>
              </w:rPr>
              <w:t xml:space="preserve"> and timber.</w:t>
            </w:r>
          </w:p>
        </w:tc>
      </w:tr>
      <w:tr w:rsidR="000D3423" w14:paraId="39424BA2" w14:textId="77777777" w:rsidTr="00C035FC">
        <w:trPr>
          <w:cantSplit/>
        </w:trPr>
        <w:tc>
          <w:tcPr>
            <w:tcW w:w="1506" w:type="pct"/>
          </w:tcPr>
          <w:p w14:paraId="1FDB5ED6" w14:textId="77777777" w:rsidR="000D3423" w:rsidRPr="007A743F" w:rsidRDefault="000D3423" w:rsidP="007A743F">
            <w:pPr>
              <w:pStyle w:val="TableText"/>
              <w:rPr>
                <w:szCs w:val="18"/>
              </w:rPr>
            </w:pPr>
            <w:r w:rsidRPr="007A743F">
              <w:rPr>
                <w:szCs w:val="18"/>
              </w:rPr>
              <w:t>Bulk (in hold)</w:t>
            </w:r>
          </w:p>
        </w:tc>
        <w:tc>
          <w:tcPr>
            <w:tcW w:w="3494" w:type="pct"/>
          </w:tcPr>
          <w:p w14:paraId="3DD1EB72" w14:textId="7BE33147" w:rsidR="000D3423" w:rsidRPr="007A743F" w:rsidRDefault="008C00FE" w:rsidP="007A743F">
            <w:pPr>
              <w:pStyle w:val="TableText"/>
              <w:rPr>
                <w:szCs w:val="18"/>
              </w:rPr>
            </w:pPr>
            <w:r>
              <w:rPr>
                <w:szCs w:val="18"/>
              </w:rPr>
              <w:t>C</w:t>
            </w:r>
            <w:r w:rsidR="00131CCE" w:rsidRPr="007A743F">
              <w:rPr>
                <w:szCs w:val="18"/>
              </w:rPr>
              <w:t xml:space="preserve">argo type where </w:t>
            </w:r>
            <w:r w:rsidR="00B15F6A" w:rsidRPr="007A743F">
              <w:rPr>
                <w:szCs w:val="18"/>
              </w:rPr>
              <w:t xml:space="preserve">goods </w:t>
            </w:r>
            <w:r w:rsidR="00131CCE" w:rsidRPr="007A743F">
              <w:rPr>
                <w:szCs w:val="18"/>
              </w:rPr>
              <w:t xml:space="preserve">are </w:t>
            </w:r>
            <w:r w:rsidR="000D3423" w:rsidRPr="007A743F">
              <w:rPr>
                <w:szCs w:val="18"/>
              </w:rPr>
              <w:t xml:space="preserve">transported loose within the holds of ships designed for this purpose, </w:t>
            </w:r>
            <w:r w:rsidR="00AE0F03" w:rsidRPr="007A743F">
              <w:rPr>
                <w:szCs w:val="18"/>
              </w:rPr>
              <w:t>for example</w:t>
            </w:r>
            <w:r w:rsidR="000D3423" w:rsidRPr="007A743F">
              <w:rPr>
                <w:szCs w:val="18"/>
              </w:rPr>
              <w:t xml:space="preserve"> grain or fertiliser.</w:t>
            </w:r>
          </w:p>
        </w:tc>
      </w:tr>
      <w:tr w:rsidR="000D3423" w14:paraId="59BF93C6" w14:textId="77777777" w:rsidTr="00C035FC">
        <w:trPr>
          <w:cantSplit/>
        </w:trPr>
        <w:tc>
          <w:tcPr>
            <w:tcW w:w="1506" w:type="pct"/>
          </w:tcPr>
          <w:p w14:paraId="3F5C49D0" w14:textId="77777777" w:rsidR="000D3423" w:rsidRPr="007A743F" w:rsidRDefault="000D3423" w:rsidP="007A743F">
            <w:pPr>
              <w:pStyle w:val="TableText"/>
              <w:rPr>
                <w:szCs w:val="18"/>
              </w:rPr>
            </w:pPr>
            <w:r w:rsidRPr="007A743F">
              <w:rPr>
                <w:szCs w:val="18"/>
              </w:rPr>
              <w:t>Dangerous goods</w:t>
            </w:r>
          </w:p>
        </w:tc>
        <w:tc>
          <w:tcPr>
            <w:tcW w:w="3494" w:type="pct"/>
          </w:tcPr>
          <w:p w14:paraId="528880BC" w14:textId="01D7D76D" w:rsidR="00691840" w:rsidRPr="007A743F" w:rsidRDefault="008C00FE" w:rsidP="007A743F">
            <w:pPr>
              <w:pStyle w:val="TableText"/>
              <w:rPr>
                <w:szCs w:val="18"/>
              </w:rPr>
            </w:pPr>
            <w:r>
              <w:rPr>
                <w:szCs w:val="18"/>
              </w:rPr>
              <w:t>C</w:t>
            </w:r>
            <w:r w:rsidR="000D3423" w:rsidRPr="007A743F">
              <w:rPr>
                <w:szCs w:val="18"/>
              </w:rPr>
              <w:t>onsignments which present a potential work health and safety risk</w:t>
            </w:r>
            <w:r w:rsidR="00AE0F03" w:rsidRPr="007A743F">
              <w:rPr>
                <w:szCs w:val="18"/>
              </w:rPr>
              <w:t>;</w:t>
            </w:r>
            <w:r w:rsidR="000D3423" w:rsidRPr="007A743F">
              <w:rPr>
                <w:szCs w:val="18"/>
              </w:rPr>
              <w:t xml:space="preserve"> </w:t>
            </w:r>
            <w:r w:rsidR="00AE0F03" w:rsidRPr="007A743F">
              <w:rPr>
                <w:szCs w:val="18"/>
              </w:rPr>
              <w:t>for example,</w:t>
            </w:r>
            <w:r w:rsidR="000D3423" w:rsidRPr="007A743F">
              <w:rPr>
                <w:szCs w:val="18"/>
              </w:rPr>
              <w:t xml:space="preserve"> explosives, gases, flammable liquids, flammable solids, oxidising substances, toxic and infections substances, radioactive material, </w:t>
            </w:r>
            <w:proofErr w:type="gramStart"/>
            <w:r w:rsidR="000D3423" w:rsidRPr="007A743F">
              <w:rPr>
                <w:szCs w:val="18"/>
              </w:rPr>
              <w:t>corrosives</w:t>
            </w:r>
            <w:proofErr w:type="gramEnd"/>
            <w:r w:rsidR="000D3423" w:rsidRPr="007A743F">
              <w:rPr>
                <w:szCs w:val="18"/>
              </w:rPr>
              <w:t xml:space="preserve"> and other hazardous material.</w:t>
            </w:r>
          </w:p>
        </w:tc>
      </w:tr>
      <w:tr w:rsidR="000D3423" w14:paraId="48E2036E" w14:textId="77777777" w:rsidTr="00C035FC">
        <w:trPr>
          <w:cantSplit/>
        </w:trPr>
        <w:tc>
          <w:tcPr>
            <w:tcW w:w="1506" w:type="pct"/>
          </w:tcPr>
          <w:p w14:paraId="2594E6DA" w14:textId="77777777" w:rsidR="000D3423" w:rsidRPr="007A743F" w:rsidRDefault="000D3423" w:rsidP="007A743F">
            <w:pPr>
              <w:pStyle w:val="TableText"/>
              <w:rPr>
                <w:szCs w:val="18"/>
              </w:rPr>
            </w:pPr>
            <w:r w:rsidRPr="007A743F">
              <w:rPr>
                <w:szCs w:val="18"/>
              </w:rPr>
              <w:t>Dunnage</w:t>
            </w:r>
          </w:p>
        </w:tc>
        <w:tc>
          <w:tcPr>
            <w:tcW w:w="3494" w:type="pct"/>
          </w:tcPr>
          <w:p w14:paraId="5C68FD74" w14:textId="50702233" w:rsidR="000D3423" w:rsidRPr="007A743F" w:rsidRDefault="008C00FE" w:rsidP="007A743F">
            <w:pPr>
              <w:pStyle w:val="TableText"/>
              <w:rPr>
                <w:szCs w:val="18"/>
              </w:rPr>
            </w:pPr>
            <w:r>
              <w:rPr>
                <w:szCs w:val="18"/>
              </w:rPr>
              <w:t>M</w:t>
            </w:r>
            <w:r w:rsidR="000D3423" w:rsidRPr="007A743F">
              <w:rPr>
                <w:szCs w:val="18"/>
              </w:rPr>
              <w:t>aterial used to support or stabilise a consignment during transport which is not attached to, or forming part of, the consignment.</w:t>
            </w:r>
          </w:p>
          <w:p w14:paraId="42D03730" w14:textId="5510D550" w:rsidR="000D3423" w:rsidRPr="007A743F" w:rsidRDefault="000D3423" w:rsidP="007A743F">
            <w:pPr>
              <w:pStyle w:val="TableText"/>
              <w:rPr>
                <w:szCs w:val="18"/>
              </w:rPr>
            </w:pPr>
            <w:r w:rsidRPr="007A743F">
              <w:rPr>
                <w:szCs w:val="18"/>
              </w:rPr>
              <w:t xml:space="preserve">Examples of dunnage include used tyres, </w:t>
            </w:r>
            <w:proofErr w:type="gramStart"/>
            <w:r w:rsidRPr="007A743F">
              <w:rPr>
                <w:szCs w:val="18"/>
              </w:rPr>
              <w:t>drums</w:t>
            </w:r>
            <w:proofErr w:type="gramEnd"/>
            <w:r w:rsidRPr="007A743F">
              <w:rPr>
                <w:szCs w:val="18"/>
              </w:rPr>
              <w:t xml:space="preserve"> and timber. </w:t>
            </w:r>
            <w:r w:rsidR="00155BE6">
              <w:rPr>
                <w:szCs w:val="18"/>
              </w:rPr>
              <w:t xml:space="preserve"> Refer to</w:t>
            </w:r>
            <w:r w:rsidR="00155BE6" w:rsidRPr="007A743F">
              <w:rPr>
                <w:szCs w:val="18"/>
              </w:rPr>
              <w:t xml:space="preserve"> </w:t>
            </w:r>
            <w:hyperlink r:id="rId22" w:history="1">
              <w:r w:rsidR="00F257EB" w:rsidRPr="007A743F">
                <w:rPr>
                  <w:rStyle w:val="Hyperlink"/>
                  <w:szCs w:val="18"/>
                </w:rPr>
                <w:t>BICON</w:t>
              </w:r>
            </w:hyperlink>
            <w:r w:rsidRPr="007A743F">
              <w:rPr>
                <w:szCs w:val="18"/>
              </w:rPr>
              <w:t xml:space="preserve"> for more information.</w:t>
            </w:r>
          </w:p>
        </w:tc>
      </w:tr>
      <w:tr w:rsidR="000D3423" w14:paraId="5AAFEB48" w14:textId="77777777" w:rsidTr="00C035FC">
        <w:trPr>
          <w:cantSplit/>
        </w:trPr>
        <w:tc>
          <w:tcPr>
            <w:tcW w:w="1506" w:type="pct"/>
          </w:tcPr>
          <w:p w14:paraId="21AA6862" w14:textId="77777777" w:rsidR="000D3423" w:rsidRPr="007A743F" w:rsidRDefault="000D3423" w:rsidP="007A743F">
            <w:pPr>
              <w:pStyle w:val="TableText"/>
              <w:rPr>
                <w:szCs w:val="18"/>
              </w:rPr>
            </w:pPr>
            <w:r w:rsidRPr="007A743F">
              <w:rPr>
                <w:szCs w:val="18"/>
              </w:rPr>
              <w:t>FCL</w:t>
            </w:r>
          </w:p>
        </w:tc>
        <w:tc>
          <w:tcPr>
            <w:tcW w:w="3494" w:type="pct"/>
          </w:tcPr>
          <w:p w14:paraId="21732DC7" w14:textId="78DCE1CE" w:rsidR="000D3423" w:rsidRPr="007A743F" w:rsidRDefault="008C00FE" w:rsidP="007A743F">
            <w:pPr>
              <w:pStyle w:val="TableText"/>
              <w:rPr>
                <w:szCs w:val="18"/>
              </w:rPr>
            </w:pPr>
            <w:r>
              <w:rPr>
                <w:szCs w:val="18"/>
              </w:rPr>
              <w:t>F</w:t>
            </w:r>
            <w:r w:rsidR="000D3423" w:rsidRPr="007A743F">
              <w:rPr>
                <w:szCs w:val="18"/>
              </w:rPr>
              <w:t xml:space="preserve">ull </w:t>
            </w:r>
            <w:r w:rsidR="00AF421B">
              <w:rPr>
                <w:szCs w:val="18"/>
              </w:rPr>
              <w:t>c</w:t>
            </w:r>
            <w:r w:rsidR="000D3423" w:rsidRPr="007A743F">
              <w:rPr>
                <w:szCs w:val="18"/>
              </w:rPr>
              <w:t xml:space="preserve">ontainer </w:t>
            </w:r>
            <w:r w:rsidR="00AF421B">
              <w:rPr>
                <w:szCs w:val="18"/>
              </w:rPr>
              <w:t>l</w:t>
            </w:r>
            <w:r w:rsidR="000D3423" w:rsidRPr="007A743F">
              <w:rPr>
                <w:szCs w:val="18"/>
              </w:rPr>
              <w:t>oad (</w:t>
            </w:r>
            <w:r w:rsidR="00147D50" w:rsidRPr="007A743F">
              <w:rPr>
                <w:szCs w:val="18"/>
              </w:rPr>
              <w:t>s</w:t>
            </w:r>
            <w:r w:rsidR="000D3423" w:rsidRPr="007A743F">
              <w:rPr>
                <w:szCs w:val="18"/>
              </w:rPr>
              <w:t xml:space="preserve">ingle </w:t>
            </w:r>
            <w:r w:rsidR="00147D50" w:rsidRPr="007A743F">
              <w:rPr>
                <w:szCs w:val="18"/>
              </w:rPr>
              <w:t>s</w:t>
            </w:r>
            <w:r w:rsidR="000D3423" w:rsidRPr="007A743F">
              <w:rPr>
                <w:szCs w:val="18"/>
              </w:rPr>
              <w:t xml:space="preserve">upplier – </w:t>
            </w:r>
            <w:r w:rsidR="00147D50" w:rsidRPr="007A743F">
              <w:rPr>
                <w:szCs w:val="18"/>
              </w:rPr>
              <w:t>s</w:t>
            </w:r>
            <w:r w:rsidR="000D3423" w:rsidRPr="007A743F">
              <w:rPr>
                <w:szCs w:val="18"/>
              </w:rPr>
              <w:t xml:space="preserve">ingle </w:t>
            </w:r>
            <w:r w:rsidR="00147D50" w:rsidRPr="007A743F">
              <w:rPr>
                <w:szCs w:val="18"/>
              </w:rPr>
              <w:t>i</w:t>
            </w:r>
            <w:r w:rsidR="000D3423" w:rsidRPr="007A743F">
              <w:rPr>
                <w:szCs w:val="18"/>
              </w:rPr>
              <w:t>mporter)</w:t>
            </w:r>
          </w:p>
        </w:tc>
      </w:tr>
      <w:tr w:rsidR="000D3423" w14:paraId="00CDCF50" w14:textId="77777777" w:rsidTr="00C035FC">
        <w:trPr>
          <w:cantSplit/>
        </w:trPr>
        <w:tc>
          <w:tcPr>
            <w:tcW w:w="1506" w:type="pct"/>
          </w:tcPr>
          <w:p w14:paraId="29E207A4" w14:textId="77777777" w:rsidR="000D3423" w:rsidRPr="007A743F" w:rsidRDefault="000D3423" w:rsidP="007A743F">
            <w:pPr>
              <w:pStyle w:val="TableText"/>
              <w:rPr>
                <w:szCs w:val="18"/>
              </w:rPr>
            </w:pPr>
            <w:r w:rsidRPr="007A743F">
              <w:rPr>
                <w:szCs w:val="18"/>
              </w:rPr>
              <w:t>FCX</w:t>
            </w:r>
          </w:p>
        </w:tc>
        <w:tc>
          <w:tcPr>
            <w:tcW w:w="3494" w:type="pct"/>
          </w:tcPr>
          <w:p w14:paraId="5F4BFA4A" w14:textId="4CCFA687" w:rsidR="000D3423" w:rsidRPr="007A743F" w:rsidRDefault="008C00FE" w:rsidP="007A743F">
            <w:pPr>
              <w:pStyle w:val="TableText"/>
              <w:rPr>
                <w:szCs w:val="18"/>
              </w:rPr>
            </w:pPr>
            <w:r>
              <w:rPr>
                <w:szCs w:val="18"/>
              </w:rPr>
              <w:t>F</w:t>
            </w:r>
            <w:r w:rsidR="000D3423" w:rsidRPr="007A743F">
              <w:rPr>
                <w:szCs w:val="18"/>
              </w:rPr>
              <w:t xml:space="preserve">ull </w:t>
            </w:r>
            <w:r w:rsidR="00AF421B">
              <w:rPr>
                <w:szCs w:val="18"/>
              </w:rPr>
              <w:t>c</w:t>
            </w:r>
            <w:r w:rsidR="000D3423" w:rsidRPr="007A743F">
              <w:rPr>
                <w:szCs w:val="18"/>
              </w:rPr>
              <w:t xml:space="preserve">ontainer </w:t>
            </w:r>
            <w:r w:rsidR="00AF421B">
              <w:rPr>
                <w:szCs w:val="18"/>
              </w:rPr>
              <w:t>l</w:t>
            </w:r>
            <w:r w:rsidR="000D3423" w:rsidRPr="007A743F">
              <w:rPr>
                <w:szCs w:val="18"/>
              </w:rPr>
              <w:t>oad (</w:t>
            </w:r>
            <w:r w:rsidR="00147D50" w:rsidRPr="007A743F">
              <w:rPr>
                <w:szCs w:val="18"/>
              </w:rPr>
              <w:t>m</w:t>
            </w:r>
            <w:r w:rsidR="000D3423" w:rsidRPr="007A743F">
              <w:rPr>
                <w:szCs w:val="18"/>
              </w:rPr>
              <w:t xml:space="preserve">ultiple </w:t>
            </w:r>
            <w:r w:rsidR="00147D50" w:rsidRPr="007A743F">
              <w:rPr>
                <w:szCs w:val="18"/>
              </w:rPr>
              <w:t>s</w:t>
            </w:r>
            <w:r w:rsidR="000D3423" w:rsidRPr="007A743F">
              <w:rPr>
                <w:szCs w:val="18"/>
              </w:rPr>
              <w:t xml:space="preserve">uppliers – </w:t>
            </w:r>
            <w:r w:rsidR="00147D50" w:rsidRPr="007A743F">
              <w:rPr>
                <w:szCs w:val="18"/>
              </w:rPr>
              <w:t>s</w:t>
            </w:r>
            <w:r w:rsidR="000D3423" w:rsidRPr="007A743F">
              <w:rPr>
                <w:szCs w:val="18"/>
              </w:rPr>
              <w:t xml:space="preserve">ingle </w:t>
            </w:r>
            <w:r w:rsidR="00147D50" w:rsidRPr="007A743F">
              <w:rPr>
                <w:szCs w:val="18"/>
              </w:rPr>
              <w:t>i</w:t>
            </w:r>
            <w:r w:rsidR="000D3423" w:rsidRPr="007A743F">
              <w:rPr>
                <w:szCs w:val="18"/>
              </w:rPr>
              <w:t>mporter)</w:t>
            </w:r>
          </w:p>
        </w:tc>
      </w:tr>
      <w:tr w:rsidR="00AC2615" w14:paraId="7643C7C1" w14:textId="77777777" w:rsidTr="00C035FC">
        <w:trPr>
          <w:cantSplit/>
        </w:trPr>
        <w:tc>
          <w:tcPr>
            <w:tcW w:w="1506" w:type="pct"/>
          </w:tcPr>
          <w:p w14:paraId="09A3D283" w14:textId="77777777" w:rsidR="00AC2615" w:rsidRPr="007A743F" w:rsidRDefault="00AC2615" w:rsidP="007A743F">
            <w:pPr>
              <w:pStyle w:val="TableText"/>
              <w:rPr>
                <w:szCs w:val="18"/>
              </w:rPr>
            </w:pPr>
            <w:r w:rsidRPr="007A743F">
              <w:rPr>
                <w:szCs w:val="18"/>
              </w:rPr>
              <w:t>Integrated Cargo System (ICS)</w:t>
            </w:r>
          </w:p>
        </w:tc>
        <w:tc>
          <w:tcPr>
            <w:tcW w:w="3494" w:type="pct"/>
          </w:tcPr>
          <w:p w14:paraId="6CCFAD99" w14:textId="55346B46" w:rsidR="00AC2615" w:rsidRPr="007A743F" w:rsidRDefault="008C00FE" w:rsidP="007A743F">
            <w:pPr>
              <w:pStyle w:val="TableText"/>
              <w:rPr>
                <w:szCs w:val="18"/>
              </w:rPr>
            </w:pPr>
            <w:r>
              <w:rPr>
                <w:szCs w:val="18"/>
              </w:rPr>
              <w:t>E</w:t>
            </w:r>
            <w:r w:rsidR="00AC2615" w:rsidRPr="007A743F">
              <w:rPr>
                <w:szCs w:val="18"/>
              </w:rPr>
              <w:t xml:space="preserve">lectronic system used to lodge import declarations with the Department of </w:t>
            </w:r>
            <w:r w:rsidR="00690679">
              <w:rPr>
                <w:szCs w:val="18"/>
              </w:rPr>
              <w:t>Home Affairs.</w:t>
            </w:r>
          </w:p>
        </w:tc>
      </w:tr>
      <w:tr w:rsidR="00F343D4" w14:paraId="075B1809" w14:textId="77777777" w:rsidTr="00C035FC">
        <w:trPr>
          <w:cantSplit/>
        </w:trPr>
        <w:tc>
          <w:tcPr>
            <w:tcW w:w="1506" w:type="pct"/>
          </w:tcPr>
          <w:p w14:paraId="21533D03" w14:textId="7AD626D2" w:rsidR="00F343D4" w:rsidRPr="007A743F" w:rsidRDefault="00F343D4" w:rsidP="00F343D4">
            <w:pPr>
              <w:pStyle w:val="TableText"/>
              <w:rPr>
                <w:szCs w:val="18"/>
              </w:rPr>
            </w:pPr>
            <w:r w:rsidRPr="007A743F">
              <w:rPr>
                <w:szCs w:val="18"/>
              </w:rPr>
              <w:t>ISO tank</w:t>
            </w:r>
            <w:r w:rsidR="0061430E">
              <w:rPr>
                <w:szCs w:val="18"/>
              </w:rPr>
              <w:t>s</w:t>
            </w:r>
          </w:p>
        </w:tc>
        <w:tc>
          <w:tcPr>
            <w:tcW w:w="3494" w:type="pct"/>
          </w:tcPr>
          <w:p w14:paraId="11586659" w14:textId="10DC7BEF" w:rsidR="00F343D4" w:rsidRPr="007A743F" w:rsidRDefault="008C00FE" w:rsidP="00F343D4">
            <w:pPr>
              <w:pStyle w:val="TableText"/>
              <w:rPr>
                <w:szCs w:val="18"/>
              </w:rPr>
            </w:pPr>
            <w:r>
              <w:rPr>
                <w:szCs w:val="18"/>
              </w:rPr>
              <w:t>S</w:t>
            </w:r>
            <w:r w:rsidR="00F343D4" w:rsidRPr="007A743F">
              <w:rPr>
                <w:szCs w:val="18"/>
              </w:rPr>
              <w:t xml:space="preserve">teel cylindrical containers mounted in a rigid steel framework used to carry bulk liquids or chemicals. Also known as tank containers, </w:t>
            </w:r>
            <w:proofErr w:type="spellStart"/>
            <w:r w:rsidR="00F343D4" w:rsidRPr="007A743F">
              <w:rPr>
                <w:szCs w:val="18"/>
              </w:rPr>
              <w:t>tanktainers</w:t>
            </w:r>
            <w:proofErr w:type="spellEnd"/>
            <w:r w:rsidR="00F343D4" w:rsidRPr="007A743F">
              <w:rPr>
                <w:szCs w:val="18"/>
              </w:rPr>
              <w:t xml:space="preserve">, bulk liquid containers (BL) or </w:t>
            </w:r>
            <w:proofErr w:type="spellStart"/>
            <w:r w:rsidR="00F343D4" w:rsidRPr="007A743F">
              <w:rPr>
                <w:szCs w:val="18"/>
              </w:rPr>
              <w:t>ISOtainer</w:t>
            </w:r>
            <w:proofErr w:type="spellEnd"/>
            <w:r w:rsidR="00F343D4" w:rsidRPr="007A743F">
              <w:rPr>
                <w:szCs w:val="18"/>
              </w:rPr>
              <w:t>.</w:t>
            </w:r>
          </w:p>
        </w:tc>
      </w:tr>
      <w:tr w:rsidR="00F343D4" w14:paraId="03105B41" w14:textId="77777777" w:rsidTr="00C035FC">
        <w:trPr>
          <w:cantSplit/>
        </w:trPr>
        <w:tc>
          <w:tcPr>
            <w:tcW w:w="1506" w:type="pct"/>
          </w:tcPr>
          <w:p w14:paraId="4CB5D17C" w14:textId="77777777" w:rsidR="00F343D4" w:rsidRPr="007A743F" w:rsidRDefault="00F343D4" w:rsidP="00F343D4">
            <w:pPr>
              <w:pStyle w:val="TableText"/>
              <w:rPr>
                <w:szCs w:val="18"/>
              </w:rPr>
            </w:pPr>
            <w:r w:rsidRPr="007A743F">
              <w:rPr>
                <w:szCs w:val="18"/>
              </w:rPr>
              <w:t>ISPM 15</w:t>
            </w:r>
          </w:p>
        </w:tc>
        <w:tc>
          <w:tcPr>
            <w:tcW w:w="3494" w:type="pct"/>
          </w:tcPr>
          <w:p w14:paraId="76324F12" w14:textId="77777777" w:rsidR="00F343D4" w:rsidRPr="007A743F" w:rsidRDefault="00F343D4" w:rsidP="00F343D4">
            <w:pPr>
              <w:pStyle w:val="TableText"/>
              <w:rPr>
                <w:szCs w:val="18"/>
              </w:rPr>
            </w:pPr>
            <w:r w:rsidRPr="007A743F">
              <w:rPr>
                <w:szCs w:val="18"/>
              </w:rPr>
              <w:t>International Standards for Phytosanitary Measures No. 15—</w:t>
            </w:r>
            <w:hyperlink r:id="rId23" w:history="1">
              <w:r w:rsidRPr="007A743F">
                <w:rPr>
                  <w:rStyle w:val="Hyperlink"/>
                  <w:szCs w:val="18"/>
                </w:rPr>
                <w:t>Guidelines for regulating wood packaging material in international trade</w:t>
              </w:r>
            </w:hyperlink>
            <w:r w:rsidRPr="007A743F">
              <w:rPr>
                <w:szCs w:val="18"/>
              </w:rPr>
              <w:t>.</w:t>
            </w:r>
          </w:p>
        </w:tc>
      </w:tr>
      <w:tr w:rsidR="00450E27" w14:paraId="1E3ED496" w14:textId="77777777" w:rsidTr="7DF91417">
        <w:trPr>
          <w:cantSplit/>
        </w:trPr>
        <w:tc>
          <w:tcPr>
            <w:tcW w:w="1506" w:type="pct"/>
          </w:tcPr>
          <w:p w14:paraId="6EB4F235" w14:textId="462F3102" w:rsidR="00450E27" w:rsidRPr="007A743F" w:rsidRDefault="00450E27" w:rsidP="00450E27">
            <w:pPr>
              <w:pStyle w:val="TableText"/>
              <w:rPr>
                <w:szCs w:val="18"/>
              </w:rPr>
            </w:pPr>
            <w:r>
              <w:rPr>
                <w:szCs w:val="18"/>
              </w:rPr>
              <w:t>Khapra beetle</w:t>
            </w:r>
            <w:r w:rsidR="00C340C8">
              <w:rPr>
                <w:szCs w:val="18"/>
              </w:rPr>
              <w:t xml:space="preserve"> target</w:t>
            </w:r>
            <w:r>
              <w:rPr>
                <w:szCs w:val="18"/>
              </w:rPr>
              <w:t xml:space="preserve"> risk container</w:t>
            </w:r>
          </w:p>
        </w:tc>
        <w:tc>
          <w:tcPr>
            <w:tcW w:w="3494" w:type="pct"/>
          </w:tcPr>
          <w:p w14:paraId="2EBCDB89" w14:textId="485770E4" w:rsidR="00450E27" w:rsidRPr="007A743F" w:rsidRDefault="008C00FE" w:rsidP="7DF91417">
            <w:pPr>
              <w:pStyle w:val="TableText"/>
            </w:pPr>
            <w:r>
              <w:t>R</w:t>
            </w:r>
            <w:r w:rsidR="00122F22">
              <w:t xml:space="preserve">efer to </w:t>
            </w:r>
            <w:hyperlink r:id="rId24" w:history="1">
              <w:r w:rsidR="00122F22" w:rsidRPr="7DF91417">
                <w:rPr>
                  <w:rStyle w:val="Hyperlink"/>
                </w:rPr>
                <w:t xml:space="preserve">Urgent actions to protect against khapra beetle (Trogoderma </w:t>
              </w:r>
              <w:proofErr w:type="spellStart"/>
              <w:r w:rsidR="00122F22" w:rsidRPr="7DF91417">
                <w:rPr>
                  <w:rStyle w:val="Hyperlink"/>
                </w:rPr>
                <w:t>granarium</w:t>
              </w:r>
              <w:proofErr w:type="spellEnd"/>
              <w:r w:rsidR="00204D6B" w:rsidRPr="7DF91417">
                <w:rPr>
                  <w:rStyle w:val="Hyperlink"/>
                </w:rPr>
                <w:t>)</w:t>
              </w:r>
            </w:hyperlink>
            <w:r w:rsidR="00B9265B">
              <w:rPr>
                <w:rStyle w:val="Hyperlink"/>
              </w:rPr>
              <w:t>.</w:t>
            </w:r>
          </w:p>
        </w:tc>
      </w:tr>
      <w:tr w:rsidR="00450E27" w14:paraId="19204CD2" w14:textId="77777777" w:rsidTr="00C035FC">
        <w:trPr>
          <w:cantSplit/>
        </w:trPr>
        <w:tc>
          <w:tcPr>
            <w:tcW w:w="1506" w:type="pct"/>
          </w:tcPr>
          <w:p w14:paraId="25898DE1" w14:textId="77777777" w:rsidR="00450E27" w:rsidRPr="007A743F" w:rsidRDefault="00450E27" w:rsidP="00450E27">
            <w:pPr>
              <w:pStyle w:val="TableText"/>
              <w:rPr>
                <w:szCs w:val="18"/>
              </w:rPr>
            </w:pPr>
            <w:r w:rsidRPr="007A743F">
              <w:rPr>
                <w:szCs w:val="18"/>
              </w:rPr>
              <w:t>LCL</w:t>
            </w:r>
          </w:p>
        </w:tc>
        <w:tc>
          <w:tcPr>
            <w:tcW w:w="3494" w:type="pct"/>
          </w:tcPr>
          <w:p w14:paraId="2914AC3C" w14:textId="3E9D13B3" w:rsidR="00450E27" w:rsidRPr="007A743F" w:rsidRDefault="008C00FE" w:rsidP="00450E27">
            <w:pPr>
              <w:pStyle w:val="TableText"/>
              <w:rPr>
                <w:szCs w:val="18"/>
              </w:rPr>
            </w:pPr>
            <w:r>
              <w:rPr>
                <w:szCs w:val="18"/>
              </w:rPr>
              <w:t>L</w:t>
            </w:r>
            <w:r w:rsidR="00450E27" w:rsidRPr="007A743F">
              <w:rPr>
                <w:szCs w:val="18"/>
              </w:rPr>
              <w:t>ess than a container load (multiple suppliers – multiple importers)</w:t>
            </w:r>
          </w:p>
        </w:tc>
      </w:tr>
      <w:tr w:rsidR="00450E27" w14:paraId="6448A516" w14:textId="77777777" w:rsidTr="7DF91417">
        <w:trPr>
          <w:cantSplit/>
        </w:trPr>
        <w:tc>
          <w:tcPr>
            <w:tcW w:w="1506" w:type="pct"/>
          </w:tcPr>
          <w:p w14:paraId="35488CA5" w14:textId="6AC36982" w:rsidR="00450E27" w:rsidRPr="007A743F" w:rsidRDefault="00450E27" w:rsidP="00450E27">
            <w:pPr>
              <w:pStyle w:val="TableText"/>
              <w:rPr>
                <w:szCs w:val="18"/>
              </w:rPr>
            </w:pPr>
            <w:r>
              <w:rPr>
                <w:szCs w:val="18"/>
              </w:rPr>
              <w:t>Metro, rural, split and grain growing post codes</w:t>
            </w:r>
          </w:p>
        </w:tc>
        <w:tc>
          <w:tcPr>
            <w:tcW w:w="3494" w:type="pct"/>
          </w:tcPr>
          <w:p w14:paraId="3B486B49" w14:textId="5D92B544" w:rsidR="00450E27" w:rsidRPr="007A743F" w:rsidRDefault="008C00FE" w:rsidP="00450E27">
            <w:pPr>
              <w:pStyle w:val="TableText"/>
              <w:rPr>
                <w:szCs w:val="18"/>
              </w:rPr>
            </w:pPr>
            <w:r>
              <w:rPr>
                <w:szCs w:val="18"/>
              </w:rPr>
              <w:t>P</w:t>
            </w:r>
            <w:r w:rsidR="00450E27">
              <w:rPr>
                <w:szCs w:val="18"/>
              </w:rPr>
              <w:t xml:space="preserve">ost code classifications as stipulated by the department. Refer to </w:t>
            </w:r>
            <w:hyperlink r:id="rId25" w:history="1">
              <w:r w:rsidR="00450E27" w:rsidRPr="00D008D0">
                <w:rPr>
                  <w:rStyle w:val="Hyperlink"/>
                  <w:szCs w:val="18"/>
                </w:rPr>
                <w:t>Regional postcode delivery classifications</w:t>
              </w:r>
            </w:hyperlink>
            <w:r w:rsidR="00450E27">
              <w:rPr>
                <w:szCs w:val="18"/>
              </w:rPr>
              <w:t>.</w:t>
            </w:r>
          </w:p>
        </w:tc>
      </w:tr>
      <w:tr w:rsidR="00450E27" w14:paraId="6872934A" w14:textId="77777777" w:rsidTr="00C035FC">
        <w:trPr>
          <w:cantSplit/>
        </w:trPr>
        <w:tc>
          <w:tcPr>
            <w:tcW w:w="1506" w:type="pct"/>
          </w:tcPr>
          <w:p w14:paraId="7C095152" w14:textId="4004A232" w:rsidR="00450E27" w:rsidRPr="007A743F" w:rsidRDefault="00450E27" w:rsidP="00450E27">
            <w:pPr>
              <w:pStyle w:val="TableText"/>
              <w:rPr>
                <w:szCs w:val="18"/>
              </w:rPr>
            </w:pPr>
            <w:r>
              <w:rPr>
                <w:szCs w:val="18"/>
              </w:rPr>
              <w:t>Person in c</w:t>
            </w:r>
            <w:r w:rsidRPr="007A743F">
              <w:rPr>
                <w:szCs w:val="18"/>
              </w:rPr>
              <w:t>harge of the goods</w:t>
            </w:r>
          </w:p>
        </w:tc>
        <w:tc>
          <w:tcPr>
            <w:tcW w:w="3494" w:type="pct"/>
          </w:tcPr>
          <w:p w14:paraId="0C81BE6A" w14:textId="1137790F" w:rsidR="00450E27" w:rsidRPr="007A743F" w:rsidRDefault="008C00FE" w:rsidP="00450E27">
            <w:pPr>
              <w:pStyle w:val="TableText"/>
              <w:rPr>
                <w:rFonts w:asciiTheme="majorHAnsi" w:hAnsiTheme="majorHAnsi"/>
                <w:szCs w:val="18"/>
              </w:rPr>
            </w:pPr>
            <w:r>
              <w:rPr>
                <w:rFonts w:asciiTheme="majorHAnsi" w:hAnsiTheme="majorHAnsi"/>
                <w:szCs w:val="18"/>
              </w:rPr>
              <w:t>I</w:t>
            </w:r>
            <w:r w:rsidR="00450E27" w:rsidRPr="007A743F">
              <w:rPr>
                <w:rFonts w:asciiTheme="majorHAnsi" w:hAnsiTheme="majorHAnsi"/>
                <w:szCs w:val="18"/>
              </w:rPr>
              <w:t xml:space="preserve">n relation to </w:t>
            </w:r>
            <w:r w:rsidR="00450E27" w:rsidRPr="0016294C">
              <w:t>goods, person in charge refers to the owner of the goods or a person (other than a biosecurity officer or biosecurity enforcement officer)</w:t>
            </w:r>
            <w:r w:rsidR="00450E27" w:rsidRPr="007A743F">
              <w:rPr>
                <w:rFonts w:asciiTheme="majorHAnsi" w:hAnsiTheme="majorHAnsi"/>
                <w:szCs w:val="18"/>
              </w:rPr>
              <w:t xml:space="preserve"> who is in possession or control of the goods.</w:t>
            </w:r>
          </w:p>
        </w:tc>
      </w:tr>
      <w:tr w:rsidR="00450E27" w14:paraId="7B3E551B" w14:textId="77777777" w:rsidTr="00C035FC">
        <w:trPr>
          <w:cantSplit/>
        </w:trPr>
        <w:tc>
          <w:tcPr>
            <w:tcW w:w="1506" w:type="pct"/>
          </w:tcPr>
          <w:p w14:paraId="58129D31" w14:textId="77777777" w:rsidR="00450E27" w:rsidRPr="007A743F" w:rsidRDefault="00450E27" w:rsidP="00450E27">
            <w:pPr>
              <w:pStyle w:val="TableText"/>
              <w:rPr>
                <w:szCs w:val="18"/>
              </w:rPr>
            </w:pPr>
            <w:r w:rsidRPr="007A743F">
              <w:rPr>
                <w:szCs w:val="18"/>
              </w:rPr>
              <w:t>Reconstituted wood products</w:t>
            </w:r>
          </w:p>
        </w:tc>
        <w:tc>
          <w:tcPr>
            <w:tcW w:w="3494" w:type="pct"/>
          </w:tcPr>
          <w:p w14:paraId="5D254E6B" w14:textId="691F4D3D" w:rsidR="00450E27" w:rsidRPr="007A743F" w:rsidRDefault="008C00FE" w:rsidP="00450E27">
            <w:pPr>
              <w:pStyle w:val="TableText"/>
              <w:rPr>
                <w:szCs w:val="18"/>
              </w:rPr>
            </w:pPr>
            <w:r>
              <w:rPr>
                <w:szCs w:val="18"/>
              </w:rPr>
              <w:t>W</w:t>
            </w:r>
            <w:r w:rsidR="00450E27" w:rsidRPr="007A743F">
              <w:rPr>
                <w:szCs w:val="18"/>
              </w:rPr>
              <w:t xml:space="preserve">ood products that </w:t>
            </w:r>
            <w:proofErr w:type="gramStart"/>
            <w:r w:rsidR="00450E27" w:rsidRPr="007A743F">
              <w:rPr>
                <w:szCs w:val="18"/>
              </w:rPr>
              <w:t>as a result of</w:t>
            </w:r>
            <w:proofErr w:type="gramEnd"/>
            <w:r w:rsidR="00450E27" w:rsidRPr="007A743F">
              <w:rPr>
                <w:szCs w:val="18"/>
              </w:rPr>
              <w:t xml:space="preserve"> the manufacturing process no longer contain solid wood. These include particleboard, chipboard, </w:t>
            </w:r>
            <w:proofErr w:type="spellStart"/>
            <w:r w:rsidR="00450E27" w:rsidRPr="007A743F">
              <w:rPr>
                <w:szCs w:val="18"/>
              </w:rPr>
              <w:t>masonite</w:t>
            </w:r>
            <w:proofErr w:type="spellEnd"/>
            <w:r w:rsidR="00450E27" w:rsidRPr="007A743F">
              <w:rPr>
                <w:szCs w:val="18"/>
              </w:rPr>
              <w:t xml:space="preserve">, oriented strand board, medium and </w:t>
            </w:r>
            <w:r w:rsidR="000858FB" w:rsidRPr="007A743F">
              <w:rPr>
                <w:szCs w:val="18"/>
              </w:rPr>
              <w:t>high-density</w:t>
            </w:r>
            <w:r w:rsidR="00450E27" w:rsidRPr="007A743F">
              <w:rPr>
                <w:szCs w:val="18"/>
              </w:rPr>
              <w:t xml:space="preserve"> fibreboard. See BICON for more information.</w:t>
            </w:r>
          </w:p>
        </w:tc>
      </w:tr>
      <w:tr w:rsidR="00450E27" w14:paraId="02B223E1" w14:textId="77777777" w:rsidTr="00C035FC">
        <w:trPr>
          <w:cantSplit/>
        </w:trPr>
        <w:tc>
          <w:tcPr>
            <w:tcW w:w="1506" w:type="pct"/>
          </w:tcPr>
          <w:p w14:paraId="2153DEC7" w14:textId="639FC670" w:rsidR="00450E27" w:rsidRPr="007A743F" w:rsidRDefault="00450E27" w:rsidP="00450E27">
            <w:pPr>
              <w:pStyle w:val="TableText"/>
              <w:rPr>
                <w:szCs w:val="18"/>
              </w:rPr>
            </w:pPr>
            <w:r w:rsidRPr="007A743F">
              <w:rPr>
                <w:szCs w:val="18"/>
              </w:rPr>
              <w:t>Refrigerated container (reefer)</w:t>
            </w:r>
          </w:p>
        </w:tc>
        <w:tc>
          <w:tcPr>
            <w:tcW w:w="3494" w:type="pct"/>
          </w:tcPr>
          <w:p w14:paraId="29963669" w14:textId="038CB552" w:rsidR="00450E27" w:rsidRPr="007A743F" w:rsidRDefault="008C00FE" w:rsidP="00450E27">
            <w:pPr>
              <w:pStyle w:val="TableText"/>
              <w:rPr>
                <w:szCs w:val="18"/>
              </w:rPr>
            </w:pPr>
            <w:r>
              <w:rPr>
                <w:szCs w:val="18"/>
              </w:rPr>
              <w:t>A</w:t>
            </w:r>
            <w:r w:rsidR="00450E27" w:rsidRPr="007A743F">
              <w:rPr>
                <w:szCs w:val="18"/>
              </w:rPr>
              <w:t xml:space="preserve"> </w:t>
            </w:r>
            <w:r w:rsidR="000858FB" w:rsidRPr="007A743F">
              <w:rPr>
                <w:szCs w:val="18"/>
              </w:rPr>
              <w:t>temperature-controlled</w:t>
            </w:r>
            <w:r w:rsidR="00450E27" w:rsidRPr="007A743F">
              <w:rPr>
                <w:szCs w:val="18"/>
              </w:rPr>
              <w:t xml:space="preserve"> container used in intermodal freight transportation of temperature sensitive goods.</w:t>
            </w:r>
          </w:p>
        </w:tc>
      </w:tr>
      <w:tr w:rsidR="006024F5" w14:paraId="57D10EAB" w14:textId="77777777" w:rsidTr="00C035FC">
        <w:trPr>
          <w:cantSplit/>
        </w:trPr>
        <w:tc>
          <w:tcPr>
            <w:tcW w:w="1506" w:type="pct"/>
          </w:tcPr>
          <w:p w14:paraId="341E4D0C" w14:textId="3BB9E709" w:rsidR="006024F5" w:rsidRPr="007A743F" w:rsidRDefault="006024F5" w:rsidP="006024F5">
            <w:pPr>
              <w:pStyle w:val="TableText"/>
              <w:rPr>
                <w:szCs w:val="18"/>
              </w:rPr>
            </w:pPr>
            <w:r w:rsidRPr="00A02F26">
              <w:rPr>
                <w:szCs w:val="18"/>
              </w:rPr>
              <w:lastRenderedPageBreak/>
              <w:t>Refrigerated container (reefer) - hard frozen</w:t>
            </w:r>
          </w:p>
        </w:tc>
        <w:tc>
          <w:tcPr>
            <w:tcW w:w="3494" w:type="pct"/>
          </w:tcPr>
          <w:p w14:paraId="097E92C4" w14:textId="65E11351" w:rsidR="006024F5" w:rsidRDefault="006024F5" w:rsidP="006024F5">
            <w:pPr>
              <w:pStyle w:val="TableText"/>
              <w:rPr>
                <w:szCs w:val="18"/>
              </w:rPr>
            </w:pPr>
            <w:r>
              <w:rPr>
                <w:szCs w:val="18"/>
              </w:rPr>
              <w:t xml:space="preserve">Containers </w:t>
            </w:r>
            <w:r w:rsidRPr="007A743F">
              <w:rPr>
                <w:szCs w:val="18"/>
              </w:rPr>
              <w:t>of goods which have been continuously maintained at –18°C (0°F) or below for a period of at least seven days.</w:t>
            </w:r>
          </w:p>
        </w:tc>
      </w:tr>
      <w:tr w:rsidR="006024F5" w14:paraId="7FE1DAEB" w14:textId="77777777" w:rsidTr="00C035FC">
        <w:trPr>
          <w:cantSplit/>
        </w:trPr>
        <w:tc>
          <w:tcPr>
            <w:tcW w:w="1506" w:type="pct"/>
          </w:tcPr>
          <w:p w14:paraId="07171807" w14:textId="4814BD37" w:rsidR="006024F5" w:rsidRPr="007A743F" w:rsidRDefault="006024F5" w:rsidP="006024F5">
            <w:pPr>
              <w:pStyle w:val="TableText"/>
              <w:rPr>
                <w:szCs w:val="18"/>
              </w:rPr>
            </w:pPr>
            <w:r w:rsidRPr="007A743F">
              <w:rPr>
                <w:szCs w:val="18"/>
              </w:rPr>
              <w:t>Ship’</w:t>
            </w:r>
            <w:r>
              <w:rPr>
                <w:szCs w:val="18"/>
              </w:rPr>
              <w:t>s</w:t>
            </w:r>
            <w:r w:rsidRPr="007A743F">
              <w:rPr>
                <w:szCs w:val="18"/>
              </w:rPr>
              <w:t xml:space="preserve"> stores</w:t>
            </w:r>
          </w:p>
        </w:tc>
        <w:tc>
          <w:tcPr>
            <w:tcW w:w="3494" w:type="pct"/>
          </w:tcPr>
          <w:p w14:paraId="1C017B3F" w14:textId="1727A671" w:rsidR="006024F5" w:rsidRPr="007A743F" w:rsidRDefault="006024F5" w:rsidP="006024F5">
            <w:pPr>
              <w:pStyle w:val="TableText"/>
              <w:rPr>
                <w:szCs w:val="18"/>
              </w:rPr>
            </w:pPr>
            <w:r>
              <w:rPr>
                <w:szCs w:val="18"/>
              </w:rPr>
              <w:t>I</w:t>
            </w:r>
            <w:r w:rsidRPr="007A743F">
              <w:rPr>
                <w:szCs w:val="18"/>
              </w:rPr>
              <w:t>nventory carried on board a vessel/aircraft to meet its daily requirements, such as food, water, cleaning, medical and safety supplies. This may also include goods being transhipped from one vessel to another which are held ‘under bond’. See BICON for more information.</w:t>
            </w:r>
          </w:p>
        </w:tc>
      </w:tr>
      <w:tr w:rsidR="006024F5" w14:paraId="68A0CE4F" w14:textId="77777777" w:rsidTr="00C035FC">
        <w:trPr>
          <w:cantSplit/>
        </w:trPr>
        <w:tc>
          <w:tcPr>
            <w:tcW w:w="1506" w:type="pct"/>
          </w:tcPr>
          <w:p w14:paraId="16985F6C" w14:textId="77777777" w:rsidR="006024F5" w:rsidRPr="007A743F" w:rsidRDefault="006024F5" w:rsidP="006024F5">
            <w:pPr>
              <w:pStyle w:val="TableText"/>
              <w:rPr>
                <w:szCs w:val="18"/>
              </w:rPr>
            </w:pPr>
            <w:r w:rsidRPr="007A743F">
              <w:rPr>
                <w:szCs w:val="18"/>
              </w:rPr>
              <w:t>Timber packaging</w:t>
            </w:r>
          </w:p>
        </w:tc>
        <w:tc>
          <w:tcPr>
            <w:tcW w:w="3494" w:type="pct"/>
          </w:tcPr>
          <w:p w14:paraId="5EDA5C0A" w14:textId="5EABCA2F" w:rsidR="006024F5" w:rsidRPr="007A743F" w:rsidRDefault="006024F5" w:rsidP="006024F5">
            <w:pPr>
              <w:pStyle w:val="TableText"/>
              <w:rPr>
                <w:szCs w:val="18"/>
              </w:rPr>
            </w:pPr>
            <w:r>
              <w:rPr>
                <w:szCs w:val="18"/>
              </w:rPr>
              <w:t>A</w:t>
            </w:r>
            <w:r w:rsidRPr="007A743F">
              <w:rPr>
                <w:szCs w:val="18"/>
              </w:rPr>
              <w:t xml:space="preserve">ll solid timber, or articles made thereof, used to support, </w:t>
            </w:r>
            <w:proofErr w:type="gramStart"/>
            <w:r w:rsidRPr="007A743F">
              <w:rPr>
                <w:szCs w:val="18"/>
              </w:rPr>
              <w:t>secure</w:t>
            </w:r>
            <w:proofErr w:type="gramEnd"/>
            <w:r w:rsidRPr="007A743F">
              <w:rPr>
                <w:szCs w:val="18"/>
              </w:rPr>
              <w:t xml:space="preserve"> or protect a consignment that constitute a part of the consignment (that is, attached to the consignment).</w:t>
            </w:r>
            <w:r>
              <w:rPr>
                <w:szCs w:val="18"/>
              </w:rPr>
              <w:t xml:space="preserve"> E</w:t>
            </w:r>
            <w:r w:rsidRPr="007A743F">
              <w:rPr>
                <w:szCs w:val="18"/>
              </w:rPr>
              <w:t xml:space="preserve">xamples of packaging include pallets, crating, packaging blocks, cases, load boards, pallet collars, </w:t>
            </w:r>
            <w:proofErr w:type="gramStart"/>
            <w:r w:rsidRPr="007A743F">
              <w:rPr>
                <w:szCs w:val="18"/>
              </w:rPr>
              <w:t>gluts</w:t>
            </w:r>
            <w:proofErr w:type="gramEnd"/>
            <w:r w:rsidRPr="007A743F">
              <w:rPr>
                <w:szCs w:val="18"/>
              </w:rPr>
              <w:t xml:space="preserve"> and skids.</w:t>
            </w:r>
          </w:p>
          <w:p w14:paraId="7A09E4F0" w14:textId="7E562A9F" w:rsidR="006024F5" w:rsidRPr="007A743F" w:rsidRDefault="006024F5" w:rsidP="006024F5">
            <w:pPr>
              <w:pStyle w:val="TableText"/>
              <w:rPr>
                <w:szCs w:val="18"/>
              </w:rPr>
            </w:pPr>
            <w:r>
              <w:rPr>
                <w:szCs w:val="18"/>
              </w:rPr>
              <w:t>P</w:t>
            </w:r>
            <w:r w:rsidRPr="007A743F">
              <w:rPr>
                <w:szCs w:val="18"/>
              </w:rPr>
              <w:t>ackaging material made entirely from reconstituted wood or plywood/veneer is not required to be declared as timber packaging or dunnage as they are not considered to pose a biosecurity risk.</w:t>
            </w:r>
          </w:p>
        </w:tc>
      </w:tr>
      <w:tr w:rsidR="006024F5" w14:paraId="608872CF" w14:textId="77777777" w:rsidTr="00C035FC">
        <w:trPr>
          <w:cantSplit/>
        </w:trPr>
        <w:tc>
          <w:tcPr>
            <w:tcW w:w="1506" w:type="pct"/>
          </w:tcPr>
          <w:p w14:paraId="15FF3831" w14:textId="77777777" w:rsidR="006024F5" w:rsidRPr="007A743F" w:rsidRDefault="006024F5" w:rsidP="006024F5">
            <w:pPr>
              <w:pStyle w:val="TableText"/>
              <w:rPr>
                <w:szCs w:val="18"/>
              </w:rPr>
            </w:pPr>
            <w:r w:rsidRPr="007A743F">
              <w:rPr>
                <w:szCs w:val="18"/>
              </w:rPr>
              <w:t>Unacceptable packaging material</w:t>
            </w:r>
          </w:p>
        </w:tc>
        <w:tc>
          <w:tcPr>
            <w:tcW w:w="3494" w:type="pct"/>
          </w:tcPr>
          <w:p w14:paraId="66297C0A" w14:textId="0A53BCEC" w:rsidR="006024F5" w:rsidRPr="007A743F" w:rsidRDefault="006024F5" w:rsidP="00460795">
            <w:pPr>
              <w:pStyle w:val="TableText"/>
              <w:rPr>
                <w:szCs w:val="18"/>
              </w:rPr>
            </w:pPr>
            <w:r>
              <w:rPr>
                <w:szCs w:val="18"/>
              </w:rPr>
              <w:t>P</w:t>
            </w:r>
            <w:r w:rsidRPr="007A743F">
              <w:rPr>
                <w:szCs w:val="18"/>
              </w:rPr>
              <w:t>ackaging materials not permitted</w:t>
            </w:r>
            <w:r>
              <w:rPr>
                <w:szCs w:val="18"/>
              </w:rPr>
              <w:t xml:space="preserve"> as stipulated in the BICON Non-commodity case.</w:t>
            </w:r>
          </w:p>
        </w:tc>
      </w:tr>
    </w:tbl>
    <w:p w14:paraId="1376D9EF" w14:textId="00345F64" w:rsidR="00041F84" w:rsidRDefault="00041F84" w:rsidP="00041F84">
      <w:pPr>
        <w:pStyle w:val="Caption"/>
        <w:sectPr w:rsidR="00041F84" w:rsidSect="00041F84">
          <w:pgSz w:w="11906" w:h="16838"/>
          <w:pgMar w:top="1418" w:right="1418" w:bottom="1418" w:left="1418" w:header="567" w:footer="456" w:gutter="0"/>
          <w:pgNumType w:start="1"/>
          <w:cols w:space="708"/>
          <w:docGrid w:linePitch="360"/>
        </w:sectPr>
      </w:pPr>
      <w:bookmarkStart w:id="22" w:name="_Toc423605771"/>
      <w:bookmarkStart w:id="23" w:name="_Toc424544665"/>
    </w:p>
    <w:p w14:paraId="4E789B79" w14:textId="67FF1E52" w:rsidR="00041F84" w:rsidRPr="00041F84" w:rsidRDefault="002B1320" w:rsidP="00041F84">
      <w:pPr>
        <w:pStyle w:val="Heading2unnumbered"/>
      </w:pPr>
      <w:bookmarkStart w:id="24" w:name="_Toc70596416"/>
      <w:bookmarkStart w:id="25" w:name="_Toc70949411"/>
      <w:r w:rsidRPr="00293765">
        <w:lastRenderedPageBreak/>
        <w:t>Policy</w:t>
      </w:r>
      <w:bookmarkEnd w:id="22"/>
      <w:bookmarkEnd w:id="23"/>
      <w:bookmarkEnd w:id="24"/>
      <w:bookmarkEnd w:id="25"/>
    </w:p>
    <w:p w14:paraId="3298F3DE" w14:textId="77777777" w:rsidR="00A972CC" w:rsidRPr="00AA7DDF" w:rsidRDefault="00CC14A1" w:rsidP="004443D2">
      <w:pPr>
        <w:pStyle w:val="Heading3"/>
      </w:pPr>
      <w:bookmarkStart w:id="26" w:name="_Non‐commodity_concerns"/>
      <w:bookmarkStart w:id="27" w:name="_Toc423605772"/>
      <w:bookmarkStart w:id="28" w:name="_Toc424544666"/>
      <w:bookmarkStart w:id="29" w:name="_Toc70596417"/>
      <w:bookmarkStart w:id="30" w:name="_Toc70949412"/>
      <w:bookmarkEnd w:id="26"/>
      <w:r w:rsidRPr="00724293">
        <w:t>N</w:t>
      </w:r>
      <w:r w:rsidR="003277FA" w:rsidRPr="00724293">
        <w:t>on</w:t>
      </w:r>
      <w:r w:rsidR="003277FA" w:rsidRPr="00AA7DDF">
        <w:t>‐commodity concerns</w:t>
      </w:r>
      <w:bookmarkEnd w:id="27"/>
      <w:bookmarkEnd w:id="28"/>
      <w:bookmarkEnd w:id="29"/>
      <w:bookmarkEnd w:id="30"/>
    </w:p>
    <w:bookmarkStart w:id="31" w:name="_Toc419962778"/>
    <w:p w14:paraId="30D06065" w14:textId="3FD28561" w:rsidR="00B0216E" w:rsidRDefault="00797E0A" w:rsidP="0016294C">
      <w:r>
        <w:fldChar w:fldCharType="begin"/>
      </w:r>
      <w:r>
        <w:instrText xml:space="preserve"> REF _Ref490130797 \h </w:instrText>
      </w:r>
      <w:r>
        <w:fldChar w:fldCharType="separate"/>
      </w:r>
      <w:r w:rsidR="00BE1C1D">
        <w:t xml:space="preserve">Table </w:t>
      </w:r>
      <w:r w:rsidR="00BE1C1D">
        <w:rPr>
          <w:noProof/>
        </w:rPr>
        <w:t>1</w:t>
      </w:r>
      <w:r>
        <w:fldChar w:fldCharType="end"/>
      </w:r>
      <w:r w:rsidR="00D724F1">
        <w:t xml:space="preserve"> </w:t>
      </w:r>
      <w:r w:rsidR="0021010D" w:rsidRPr="0021010D">
        <w:t>indicates non-commodity concerns</w:t>
      </w:r>
      <w:r w:rsidR="00AB76AA">
        <w:t xml:space="preserve"> related </w:t>
      </w:r>
      <w:r w:rsidR="00AF0C29">
        <w:t>to</w:t>
      </w:r>
      <w:r w:rsidR="00AB76AA">
        <w:t xml:space="preserve"> each cargo type and the documentation required to address the concern.</w:t>
      </w:r>
      <w:bookmarkEnd w:id="31"/>
    </w:p>
    <w:p w14:paraId="066261DF" w14:textId="3E315CED" w:rsidR="00797E0A" w:rsidRDefault="00797E0A" w:rsidP="00797E0A">
      <w:pPr>
        <w:pStyle w:val="Caption"/>
      </w:pPr>
      <w:bookmarkStart w:id="32" w:name="_Ref490130797"/>
      <w:bookmarkStart w:id="33" w:name="_Ref69809441"/>
      <w:bookmarkStart w:id="34" w:name="_Ref490130790"/>
      <w:bookmarkStart w:id="35" w:name="NCCT"/>
      <w:r>
        <w:t xml:space="preserve">Table </w:t>
      </w:r>
      <w:bookmarkEnd w:id="32"/>
      <w:bookmarkEnd w:id="33"/>
      <w:r w:rsidR="0005691E">
        <w:t>1</w:t>
      </w:r>
      <w:r>
        <w:t xml:space="preserve"> Non-commodity concerns</w:t>
      </w:r>
      <w:bookmarkEnd w:id="34"/>
    </w:p>
    <w:tbl>
      <w:tblPr>
        <w:tblStyle w:val="TableGrid10"/>
        <w:tblW w:w="4984" w:type="pct"/>
        <w:tblLayout w:type="fixed"/>
        <w:tblLook w:val="04A0" w:firstRow="1" w:lastRow="0" w:firstColumn="1" w:lastColumn="0" w:noHBand="0" w:noVBand="1"/>
      </w:tblPr>
      <w:tblGrid>
        <w:gridCol w:w="2548"/>
        <w:gridCol w:w="1386"/>
        <w:gridCol w:w="1448"/>
        <w:gridCol w:w="1275"/>
        <w:gridCol w:w="1799"/>
        <w:gridCol w:w="1888"/>
        <w:gridCol w:w="2153"/>
        <w:gridCol w:w="1450"/>
      </w:tblGrid>
      <w:tr w:rsidR="00B707D1" w14:paraId="5005ACC8" w14:textId="77777777" w:rsidTr="00E07986">
        <w:tc>
          <w:tcPr>
            <w:tcW w:w="913" w:type="pct"/>
            <w:vMerge w:val="restart"/>
          </w:tcPr>
          <w:p w14:paraId="78FAB3EA" w14:textId="77777777" w:rsidR="00B707D1" w:rsidRPr="00451A7A" w:rsidRDefault="00B707D1" w:rsidP="00451A7A">
            <w:pPr>
              <w:pStyle w:val="TableHeading"/>
            </w:pPr>
            <w:r w:rsidRPr="00451A7A">
              <w:t>Cargo type</w:t>
            </w:r>
          </w:p>
        </w:tc>
        <w:tc>
          <w:tcPr>
            <w:tcW w:w="497" w:type="pct"/>
          </w:tcPr>
          <w:p w14:paraId="44D523C0" w14:textId="77777777" w:rsidR="00B707D1" w:rsidRPr="00451A7A" w:rsidRDefault="00B707D1" w:rsidP="00451A7A">
            <w:pPr>
              <w:pStyle w:val="TableHeading"/>
            </w:pPr>
            <w:r w:rsidRPr="00451A7A">
              <w:t>Container concerns</w:t>
            </w:r>
          </w:p>
        </w:tc>
        <w:tc>
          <w:tcPr>
            <w:tcW w:w="1621" w:type="pct"/>
            <w:gridSpan w:val="3"/>
          </w:tcPr>
          <w:p w14:paraId="3FC958FD" w14:textId="77777777" w:rsidR="00B707D1" w:rsidRPr="00451A7A" w:rsidRDefault="00B707D1" w:rsidP="00451A7A">
            <w:pPr>
              <w:pStyle w:val="TableHeading"/>
            </w:pPr>
            <w:r w:rsidRPr="00451A7A">
              <w:t>Packaging and dunnage concerns</w:t>
            </w:r>
          </w:p>
        </w:tc>
        <w:tc>
          <w:tcPr>
            <w:tcW w:w="677" w:type="pct"/>
          </w:tcPr>
          <w:p w14:paraId="2A67AC64" w14:textId="77777777" w:rsidR="00B707D1" w:rsidRPr="00451A7A" w:rsidRDefault="00B707D1" w:rsidP="00451A7A">
            <w:pPr>
              <w:pStyle w:val="TableHeading"/>
            </w:pPr>
            <w:r w:rsidRPr="00451A7A">
              <w:t>Destination concerns</w:t>
            </w:r>
          </w:p>
        </w:tc>
        <w:tc>
          <w:tcPr>
            <w:tcW w:w="772" w:type="pct"/>
          </w:tcPr>
          <w:p w14:paraId="664D40EE" w14:textId="00AEBDF2" w:rsidR="00B707D1" w:rsidRPr="00451A7A" w:rsidRDefault="00B707D1" w:rsidP="00451A7A">
            <w:pPr>
              <w:pStyle w:val="TableHeading"/>
            </w:pPr>
            <w:r w:rsidRPr="00451A7A">
              <w:t>Khapra</w:t>
            </w:r>
            <w:r w:rsidR="004570DD" w:rsidRPr="00451A7A">
              <w:t xml:space="preserve"> beetle</w:t>
            </w:r>
            <w:r w:rsidRPr="00451A7A">
              <w:t xml:space="preserve"> concerns</w:t>
            </w:r>
          </w:p>
        </w:tc>
        <w:tc>
          <w:tcPr>
            <w:tcW w:w="520" w:type="pct"/>
          </w:tcPr>
          <w:p w14:paraId="3CC0EB0A" w14:textId="50C02B4A" w:rsidR="00B707D1" w:rsidRPr="00451A7A" w:rsidRDefault="00B707D1" w:rsidP="00451A7A">
            <w:pPr>
              <w:pStyle w:val="TableHeading"/>
            </w:pPr>
            <w:r w:rsidRPr="00451A7A">
              <w:t>Ship</w:t>
            </w:r>
            <w:r w:rsidR="004570DD" w:rsidRPr="00451A7A">
              <w:t>’s</w:t>
            </w:r>
            <w:r w:rsidRPr="00451A7A">
              <w:t xml:space="preserve"> hold cleanliness</w:t>
            </w:r>
          </w:p>
        </w:tc>
      </w:tr>
      <w:tr w:rsidR="00B707D1" w14:paraId="0573A599" w14:textId="77777777" w:rsidTr="00E07986">
        <w:tc>
          <w:tcPr>
            <w:tcW w:w="913" w:type="pct"/>
            <w:vMerge/>
            <w:vAlign w:val="center"/>
          </w:tcPr>
          <w:p w14:paraId="04C25FCF" w14:textId="77777777" w:rsidR="00B707D1" w:rsidRDefault="00B707D1" w:rsidP="00B707D1"/>
        </w:tc>
        <w:tc>
          <w:tcPr>
            <w:tcW w:w="497" w:type="pct"/>
          </w:tcPr>
          <w:p w14:paraId="2FE231F0" w14:textId="77777777" w:rsidR="00B707D1" w:rsidRPr="00906D46" w:rsidRDefault="00B707D1" w:rsidP="00B707D1">
            <w:pPr>
              <w:pStyle w:val="TableText"/>
            </w:pPr>
            <w:r w:rsidRPr="007B35D8">
              <w:t xml:space="preserve">Cleanliness </w:t>
            </w:r>
            <w:r>
              <w:t>statement</w:t>
            </w:r>
          </w:p>
        </w:tc>
        <w:tc>
          <w:tcPr>
            <w:tcW w:w="519" w:type="pct"/>
          </w:tcPr>
          <w:p w14:paraId="13A27E56" w14:textId="77777777" w:rsidR="00B707D1" w:rsidRPr="00906D46" w:rsidRDefault="00B707D1" w:rsidP="00B707D1">
            <w:pPr>
              <w:pStyle w:val="TableText"/>
            </w:pPr>
            <w:r>
              <w:t xml:space="preserve">Unacceptable </w:t>
            </w:r>
            <w:r w:rsidRPr="003B6BD1">
              <w:t xml:space="preserve">packaging material </w:t>
            </w:r>
            <w:r>
              <w:t>statement</w:t>
            </w:r>
          </w:p>
        </w:tc>
        <w:tc>
          <w:tcPr>
            <w:tcW w:w="457" w:type="pct"/>
          </w:tcPr>
          <w:p w14:paraId="5BD55AEB" w14:textId="77777777" w:rsidR="00B707D1" w:rsidRPr="00906D46" w:rsidRDefault="00B707D1" w:rsidP="00B707D1">
            <w:pPr>
              <w:pStyle w:val="TableText"/>
            </w:pPr>
            <w:r w:rsidRPr="00A1798C">
              <w:t>Timber</w:t>
            </w:r>
            <w:r>
              <w:t xml:space="preserve"> statement </w:t>
            </w:r>
          </w:p>
        </w:tc>
        <w:tc>
          <w:tcPr>
            <w:tcW w:w="645" w:type="pct"/>
          </w:tcPr>
          <w:p w14:paraId="230DD39F" w14:textId="77777777" w:rsidR="00B707D1" w:rsidRPr="00906D46" w:rsidRDefault="00B707D1" w:rsidP="00B707D1">
            <w:pPr>
              <w:pStyle w:val="TableText"/>
            </w:pPr>
            <w:r>
              <w:t>ISPM 15 statement or treatment certificate (if timber declared)</w:t>
            </w:r>
          </w:p>
        </w:tc>
        <w:tc>
          <w:tcPr>
            <w:tcW w:w="677" w:type="pct"/>
          </w:tcPr>
          <w:p w14:paraId="647C43F7" w14:textId="77777777" w:rsidR="00B707D1" w:rsidRPr="00906D46" w:rsidRDefault="00B707D1" w:rsidP="00B707D1">
            <w:pPr>
              <w:pStyle w:val="TableText"/>
            </w:pPr>
            <w:r>
              <w:t>Rural tailgate inspection</w:t>
            </w:r>
          </w:p>
        </w:tc>
        <w:tc>
          <w:tcPr>
            <w:tcW w:w="772" w:type="pct"/>
          </w:tcPr>
          <w:p w14:paraId="0E484655" w14:textId="7804A38C" w:rsidR="00B707D1" w:rsidRDefault="00B707D1" w:rsidP="00B707D1">
            <w:pPr>
              <w:pStyle w:val="TableText"/>
            </w:pPr>
            <w:r>
              <w:t xml:space="preserve">Containers packed in a </w:t>
            </w:r>
            <w:r w:rsidR="000858FB">
              <w:t>k</w:t>
            </w:r>
            <w:r>
              <w:t xml:space="preserve">hapra </w:t>
            </w:r>
            <w:r w:rsidR="004570DD">
              <w:t xml:space="preserve">target </w:t>
            </w:r>
            <w:r>
              <w:t>risk country destined for unpack in a grain growing postcode</w:t>
            </w:r>
          </w:p>
        </w:tc>
        <w:tc>
          <w:tcPr>
            <w:tcW w:w="520" w:type="pct"/>
          </w:tcPr>
          <w:p w14:paraId="05BED811" w14:textId="77777777" w:rsidR="00B707D1" w:rsidRPr="00906D46" w:rsidRDefault="00B707D1" w:rsidP="00B707D1">
            <w:pPr>
              <w:pStyle w:val="TableText"/>
            </w:pPr>
            <w:r>
              <w:t xml:space="preserve">Ship </w:t>
            </w:r>
            <w:r w:rsidRPr="004F00FB">
              <w:t>cleanliness certificate</w:t>
            </w:r>
          </w:p>
        </w:tc>
      </w:tr>
      <w:tr w:rsidR="00B707D1" w14:paraId="04FA2D2B" w14:textId="77777777" w:rsidTr="00E07986">
        <w:tc>
          <w:tcPr>
            <w:tcW w:w="913" w:type="pct"/>
            <w:vAlign w:val="center"/>
          </w:tcPr>
          <w:p w14:paraId="40A49282" w14:textId="77777777" w:rsidR="00B707D1" w:rsidRPr="00906D46" w:rsidRDefault="00B707D1" w:rsidP="00B707D1">
            <w:pPr>
              <w:pStyle w:val="TableText"/>
            </w:pPr>
            <w:r w:rsidRPr="00906D46">
              <w:t xml:space="preserve">Transhipment </w:t>
            </w:r>
            <w:r w:rsidRPr="00C035FC">
              <w:rPr>
                <w:b/>
                <w:vertAlign w:val="superscript"/>
              </w:rPr>
              <w:t>ab</w:t>
            </w:r>
          </w:p>
        </w:tc>
        <w:tc>
          <w:tcPr>
            <w:tcW w:w="497" w:type="pct"/>
          </w:tcPr>
          <w:p w14:paraId="04955A59" w14:textId="77777777" w:rsidR="00B707D1" w:rsidRPr="00906D46" w:rsidRDefault="00B707D1" w:rsidP="00B707D1">
            <w:pPr>
              <w:pStyle w:val="TableText"/>
            </w:pPr>
            <w:r w:rsidRPr="00906D46">
              <w:t>No</w:t>
            </w:r>
          </w:p>
        </w:tc>
        <w:tc>
          <w:tcPr>
            <w:tcW w:w="519" w:type="pct"/>
          </w:tcPr>
          <w:p w14:paraId="70B7C8FE" w14:textId="77777777" w:rsidR="00B707D1" w:rsidRPr="00906D46" w:rsidRDefault="00B707D1" w:rsidP="00B707D1">
            <w:pPr>
              <w:pStyle w:val="TableText"/>
            </w:pPr>
            <w:r w:rsidRPr="00906D46">
              <w:t>No</w:t>
            </w:r>
          </w:p>
        </w:tc>
        <w:tc>
          <w:tcPr>
            <w:tcW w:w="457" w:type="pct"/>
          </w:tcPr>
          <w:p w14:paraId="55A6AF1C" w14:textId="77777777" w:rsidR="00B707D1" w:rsidRPr="00906D46" w:rsidRDefault="00B707D1" w:rsidP="00B707D1">
            <w:pPr>
              <w:pStyle w:val="TableText"/>
            </w:pPr>
            <w:r w:rsidRPr="00906D46">
              <w:t>No</w:t>
            </w:r>
          </w:p>
        </w:tc>
        <w:tc>
          <w:tcPr>
            <w:tcW w:w="645" w:type="pct"/>
          </w:tcPr>
          <w:p w14:paraId="7698A24E" w14:textId="77777777" w:rsidR="00B707D1" w:rsidRPr="00906D46" w:rsidRDefault="00B707D1" w:rsidP="00B707D1">
            <w:pPr>
              <w:pStyle w:val="TableText"/>
            </w:pPr>
            <w:r w:rsidRPr="00906D46">
              <w:t>No</w:t>
            </w:r>
          </w:p>
        </w:tc>
        <w:tc>
          <w:tcPr>
            <w:tcW w:w="677" w:type="pct"/>
          </w:tcPr>
          <w:p w14:paraId="58978212" w14:textId="77777777" w:rsidR="00B707D1" w:rsidRPr="00906D46" w:rsidRDefault="00B707D1" w:rsidP="00B707D1">
            <w:pPr>
              <w:pStyle w:val="TableText"/>
            </w:pPr>
            <w:r w:rsidRPr="00906D46">
              <w:t>No</w:t>
            </w:r>
          </w:p>
        </w:tc>
        <w:tc>
          <w:tcPr>
            <w:tcW w:w="772" w:type="pct"/>
          </w:tcPr>
          <w:p w14:paraId="4765D091" w14:textId="77777777" w:rsidR="00B707D1" w:rsidRPr="00906D46" w:rsidRDefault="00B707D1" w:rsidP="00B707D1">
            <w:pPr>
              <w:pStyle w:val="TableText"/>
            </w:pPr>
            <w:r>
              <w:t>No</w:t>
            </w:r>
          </w:p>
        </w:tc>
        <w:tc>
          <w:tcPr>
            <w:tcW w:w="520" w:type="pct"/>
          </w:tcPr>
          <w:p w14:paraId="27FF3753" w14:textId="77777777" w:rsidR="00B707D1" w:rsidRPr="00906D46" w:rsidRDefault="00B707D1" w:rsidP="00B707D1">
            <w:pPr>
              <w:pStyle w:val="TableText"/>
            </w:pPr>
            <w:r w:rsidRPr="00906D46">
              <w:t>No</w:t>
            </w:r>
          </w:p>
        </w:tc>
      </w:tr>
      <w:tr w:rsidR="00B707D1" w14:paraId="7E775B67" w14:textId="77777777" w:rsidTr="00E07986">
        <w:tc>
          <w:tcPr>
            <w:tcW w:w="913" w:type="pct"/>
            <w:vAlign w:val="center"/>
          </w:tcPr>
          <w:p w14:paraId="0CA37F13" w14:textId="77777777" w:rsidR="00B707D1" w:rsidRPr="00906D46" w:rsidRDefault="00B707D1" w:rsidP="00B707D1">
            <w:pPr>
              <w:pStyle w:val="TableText"/>
            </w:pPr>
            <w:r w:rsidRPr="00906D46">
              <w:t>Unaccompanied personal effects</w:t>
            </w:r>
            <w:r w:rsidRPr="00906D46">
              <w:rPr>
                <w:b/>
              </w:rPr>
              <w:t xml:space="preserve"> </w:t>
            </w:r>
            <w:r w:rsidRPr="00C035FC">
              <w:rPr>
                <w:b/>
                <w:vertAlign w:val="superscript"/>
              </w:rPr>
              <w:t>b</w:t>
            </w:r>
          </w:p>
        </w:tc>
        <w:tc>
          <w:tcPr>
            <w:tcW w:w="497" w:type="pct"/>
          </w:tcPr>
          <w:p w14:paraId="774EB512" w14:textId="77777777" w:rsidR="00B707D1" w:rsidRPr="00906D46" w:rsidRDefault="00B707D1" w:rsidP="00B707D1">
            <w:pPr>
              <w:pStyle w:val="TableText"/>
            </w:pPr>
            <w:r w:rsidRPr="00906D46">
              <w:t>No</w:t>
            </w:r>
          </w:p>
        </w:tc>
        <w:tc>
          <w:tcPr>
            <w:tcW w:w="519" w:type="pct"/>
          </w:tcPr>
          <w:p w14:paraId="21856415" w14:textId="77777777" w:rsidR="00B707D1" w:rsidRPr="00906D46" w:rsidRDefault="00B707D1" w:rsidP="00B707D1">
            <w:pPr>
              <w:pStyle w:val="TableText"/>
            </w:pPr>
            <w:r w:rsidRPr="00906D46">
              <w:t>No</w:t>
            </w:r>
          </w:p>
        </w:tc>
        <w:tc>
          <w:tcPr>
            <w:tcW w:w="457" w:type="pct"/>
          </w:tcPr>
          <w:p w14:paraId="155D4CE1" w14:textId="77777777" w:rsidR="00B707D1" w:rsidRPr="00906D46" w:rsidRDefault="00B707D1" w:rsidP="00B707D1">
            <w:pPr>
              <w:pStyle w:val="TableText"/>
            </w:pPr>
            <w:r w:rsidRPr="00906D46">
              <w:t>No</w:t>
            </w:r>
          </w:p>
        </w:tc>
        <w:tc>
          <w:tcPr>
            <w:tcW w:w="645" w:type="pct"/>
          </w:tcPr>
          <w:p w14:paraId="375AFFA6" w14:textId="77777777" w:rsidR="00B707D1" w:rsidRPr="00906D46" w:rsidRDefault="00B707D1" w:rsidP="00B707D1">
            <w:pPr>
              <w:pStyle w:val="TableText"/>
            </w:pPr>
            <w:r w:rsidRPr="00906D46">
              <w:t>No</w:t>
            </w:r>
          </w:p>
        </w:tc>
        <w:tc>
          <w:tcPr>
            <w:tcW w:w="677" w:type="pct"/>
          </w:tcPr>
          <w:p w14:paraId="390E47B7" w14:textId="77777777" w:rsidR="00B707D1" w:rsidRPr="00906D46" w:rsidRDefault="00B707D1" w:rsidP="00B707D1">
            <w:pPr>
              <w:pStyle w:val="TableText"/>
            </w:pPr>
            <w:r w:rsidRPr="00906D46">
              <w:t>No</w:t>
            </w:r>
          </w:p>
        </w:tc>
        <w:tc>
          <w:tcPr>
            <w:tcW w:w="772" w:type="pct"/>
          </w:tcPr>
          <w:p w14:paraId="73E20B19" w14:textId="77777777" w:rsidR="00B707D1" w:rsidRPr="00906D46" w:rsidRDefault="00B707D1" w:rsidP="00B707D1">
            <w:pPr>
              <w:pStyle w:val="TableText"/>
            </w:pPr>
            <w:r>
              <w:t>No</w:t>
            </w:r>
          </w:p>
        </w:tc>
        <w:tc>
          <w:tcPr>
            <w:tcW w:w="520" w:type="pct"/>
          </w:tcPr>
          <w:p w14:paraId="41D0B332" w14:textId="77777777" w:rsidR="00B707D1" w:rsidRPr="00906D46" w:rsidRDefault="00B707D1" w:rsidP="00B707D1">
            <w:pPr>
              <w:pStyle w:val="TableText"/>
            </w:pPr>
            <w:r w:rsidRPr="00906D46">
              <w:t>No</w:t>
            </w:r>
          </w:p>
        </w:tc>
      </w:tr>
      <w:tr w:rsidR="00B707D1" w14:paraId="51E987CB" w14:textId="77777777" w:rsidTr="00E07986">
        <w:tc>
          <w:tcPr>
            <w:tcW w:w="913" w:type="pct"/>
          </w:tcPr>
          <w:p w14:paraId="43FA813E" w14:textId="77777777" w:rsidR="00B707D1" w:rsidRPr="00906D46" w:rsidRDefault="00B707D1" w:rsidP="00B707D1">
            <w:pPr>
              <w:pStyle w:val="TableText"/>
            </w:pPr>
            <w:r w:rsidRPr="00906D46">
              <w:t xml:space="preserve">Airfreight </w:t>
            </w:r>
            <w:r w:rsidRPr="00C035FC">
              <w:rPr>
                <w:b/>
                <w:vertAlign w:val="superscript"/>
              </w:rPr>
              <w:t>b</w:t>
            </w:r>
          </w:p>
        </w:tc>
        <w:tc>
          <w:tcPr>
            <w:tcW w:w="497" w:type="pct"/>
          </w:tcPr>
          <w:p w14:paraId="7C3D070E" w14:textId="77777777" w:rsidR="00B707D1" w:rsidRPr="00906D46" w:rsidRDefault="00B707D1" w:rsidP="00B707D1">
            <w:pPr>
              <w:pStyle w:val="TableText"/>
            </w:pPr>
            <w:r w:rsidRPr="00906D46">
              <w:t>No</w:t>
            </w:r>
          </w:p>
        </w:tc>
        <w:tc>
          <w:tcPr>
            <w:tcW w:w="519" w:type="pct"/>
          </w:tcPr>
          <w:p w14:paraId="4C4494A1" w14:textId="77777777" w:rsidR="00B707D1" w:rsidRPr="00906D46" w:rsidRDefault="00B707D1" w:rsidP="00B707D1">
            <w:pPr>
              <w:pStyle w:val="TableText"/>
            </w:pPr>
            <w:r w:rsidRPr="00906D46">
              <w:t>No</w:t>
            </w:r>
          </w:p>
        </w:tc>
        <w:tc>
          <w:tcPr>
            <w:tcW w:w="457" w:type="pct"/>
          </w:tcPr>
          <w:p w14:paraId="7E06B7BB" w14:textId="77777777" w:rsidR="00B707D1" w:rsidRPr="00906D46" w:rsidRDefault="00B707D1" w:rsidP="00B707D1">
            <w:pPr>
              <w:pStyle w:val="TableText"/>
            </w:pPr>
            <w:r w:rsidRPr="00906D46">
              <w:t>No</w:t>
            </w:r>
          </w:p>
        </w:tc>
        <w:tc>
          <w:tcPr>
            <w:tcW w:w="645" w:type="pct"/>
          </w:tcPr>
          <w:p w14:paraId="62C37991" w14:textId="77777777" w:rsidR="00B707D1" w:rsidRPr="00906D46" w:rsidRDefault="00B707D1" w:rsidP="00B707D1">
            <w:pPr>
              <w:pStyle w:val="TableText"/>
            </w:pPr>
            <w:r w:rsidRPr="00906D46">
              <w:t>No</w:t>
            </w:r>
          </w:p>
        </w:tc>
        <w:tc>
          <w:tcPr>
            <w:tcW w:w="677" w:type="pct"/>
          </w:tcPr>
          <w:p w14:paraId="001B9A9A" w14:textId="77777777" w:rsidR="00B707D1" w:rsidRPr="00906D46" w:rsidRDefault="00B707D1" w:rsidP="00B707D1">
            <w:pPr>
              <w:pStyle w:val="TableText"/>
            </w:pPr>
            <w:r w:rsidRPr="00906D46">
              <w:t>No</w:t>
            </w:r>
          </w:p>
        </w:tc>
        <w:tc>
          <w:tcPr>
            <w:tcW w:w="772" w:type="pct"/>
          </w:tcPr>
          <w:p w14:paraId="3E06C124" w14:textId="77777777" w:rsidR="00B707D1" w:rsidRPr="00906D46" w:rsidRDefault="00B707D1" w:rsidP="00B707D1">
            <w:pPr>
              <w:pStyle w:val="TableText"/>
            </w:pPr>
            <w:r>
              <w:t>No</w:t>
            </w:r>
          </w:p>
        </w:tc>
        <w:tc>
          <w:tcPr>
            <w:tcW w:w="520" w:type="pct"/>
          </w:tcPr>
          <w:p w14:paraId="242C4897" w14:textId="77777777" w:rsidR="00B707D1" w:rsidRPr="00906D46" w:rsidRDefault="00B707D1" w:rsidP="00B707D1">
            <w:pPr>
              <w:pStyle w:val="TableText"/>
            </w:pPr>
            <w:r w:rsidRPr="00906D46">
              <w:t>No</w:t>
            </w:r>
          </w:p>
        </w:tc>
      </w:tr>
      <w:tr w:rsidR="00B707D1" w14:paraId="41B6B6EB" w14:textId="77777777" w:rsidTr="00E07986">
        <w:tc>
          <w:tcPr>
            <w:tcW w:w="913" w:type="pct"/>
          </w:tcPr>
          <w:p w14:paraId="070B66C5" w14:textId="77777777" w:rsidR="00B707D1" w:rsidRPr="00906D46" w:rsidRDefault="00B707D1" w:rsidP="00B707D1">
            <w:pPr>
              <w:pStyle w:val="TableText"/>
            </w:pPr>
            <w:r w:rsidRPr="00906D46">
              <w:t xml:space="preserve">Bulk (in hold) </w:t>
            </w:r>
            <w:r w:rsidRPr="00C035FC">
              <w:rPr>
                <w:b/>
                <w:vertAlign w:val="superscript"/>
              </w:rPr>
              <w:t>b</w:t>
            </w:r>
          </w:p>
        </w:tc>
        <w:tc>
          <w:tcPr>
            <w:tcW w:w="497" w:type="pct"/>
          </w:tcPr>
          <w:p w14:paraId="5B7235E2" w14:textId="77777777" w:rsidR="00B707D1" w:rsidRPr="00906D46" w:rsidRDefault="00B707D1" w:rsidP="00B707D1">
            <w:pPr>
              <w:pStyle w:val="TableText"/>
            </w:pPr>
            <w:r w:rsidRPr="00906D46">
              <w:t>No</w:t>
            </w:r>
          </w:p>
        </w:tc>
        <w:tc>
          <w:tcPr>
            <w:tcW w:w="519" w:type="pct"/>
          </w:tcPr>
          <w:p w14:paraId="478A0049" w14:textId="77777777" w:rsidR="00B707D1" w:rsidRPr="00906D46" w:rsidRDefault="00B707D1" w:rsidP="00B707D1">
            <w:pPr>
              <w:pStyle w:val="TableText"/>
            </w:pPr>
            <w:r w:rsidRPr="00906D46">
              <w:t>No</w:t>
            </w:r>
          </w:p>
        </w:tc>
        <w:tc>
          <w:tcPr>
            <w:tcW w:w="457" w:type="pct"/>
          </w:tcPr>
          <w:p w14:paraId="1439BA8D" w14:textId="77777777" w:rsidR="00B707D1" w:rsidRPr="00906D46" w:rsidRDefault="00B707D1" w:rsidP="00B707D1">
            <w:pPr>
              <w:pStyle w:val="TableText"/>
            </w:pPr>
            <w:r w:rsidRPr="00906D46">
              <w:t>No</w:t>
            </w:r>
          </w:p>
        </w:tc>
        <w:tc>
          <w:tcPr>
            <w:tcW w:w="645" w:type="pct"/>
          </w:tcPr>
          <w:p w14:paraId="05B67863" w14:textId="77777777" w:rsidR="00B707D1" w:rsidRPr="00906D46" w:rsidRDefault="00B707D1" w:rsidP="00B707D1">
            <w:pPr>
              <w:pStyle w:val="TableText"/>
            </w:pPr>
            <w:r w:rsidRPr="00906D46">
              <w:t>No</w:t>
            </w:r>
          </w:p>
        </w:tc>
        <w:tc>
          <w:tcPr>
            <w:tcW w:w="677" w:type="pct"/>
          </w:tcPr>
          <w:p w14:paraId="4435142E" w14:textId="77777777" w:rsidR="00B707D1" w:rsidRPr="00906D46" w:rsidRDefault="00B707D1" w:rsidP="00B707D1">
            <w:pPr>
              <w:pStyle w:val="TableText"/>
            </w:pPr>
            <w:r w:rsidRPr="00906D46">
              <w:t>No</w:t>
            </w:r>
          </w:p>
        </w:tc>
        <w:tc>
          <w:tcPr>
            <w:tcW w:w="772" w:type="pct"/>
          </w:tcPr>
          <w:p w14:paraId="4353F49D" w14:textId="77777777" w:rsidR="00B707D1" w:rsidRPr="00906D46" w:rsidRDefault="00B707D1" w:rsidP="00B707D1">
            <w:pPr>
              <w:pStyle w:val="TableText"/>
            </w:pPr>
            <w:r>
              <w:t>No</w:t>
            </w:r>
          </w:p>
        </w:tc>
        <w:tc>
          <w:tcPr>
            <w:tcW w:w="520" w:type="pct"/>
          </w:tcPr>
          <w:p w14:paraId="06DC04F4" w14:textId="77777777" w:rsidR="00B707D1" w:rsidRPr="00906D46" w:rsidRDefault="00B707D1" w:rsidP="00B707D1">
            <w:pPr>
              <w:pStyle w:val="TableText"/>
            </w:pPr>
            <w:r w:rsidRPr="00906D46">
              <w:t>Yes</w:t>
            </w:r>
          </w:p>
        </w:tc>
      </w:tr>
      <w:tr w:rsidR="00B707D1" w14:paraId="31B543B8" w14:textId="77777777" w:rsidTr="00E07986">
        <w:tc>
          <w:tcPr>
            <w:tcW w:w="913" w:type="pct"/>
          </w:tcPr>
          <w:p w14:paraId="19942AA4" w14:textId="77777777" w:rsidR="00B707D1" w:rsidRPr="00906D46" w:rsidRDefault="00B707D1" w:rsidP="00B707D1">
            <w:pPr>
              <w:pStyle w:val="TableText"/>
            </w:pPr>
            <w:r w:rsidRPr="00906D46">
              <w:t>Break Bulk</w:t>
            </w:r>
            <w:r w:rsidRPr="00C035FC">
              <w:rPr>
                <w:vertAlign w:val="superscript"/>
              </w:rPr>
              <w:t xml:space="preserve"> </w:t>
            </w:r>
            <w:r w:rsidRPr="00C035FC">
              <w:rPr>
                <w:b/>
                <w:vertAlign w:val="superscript"/>
              </w:rPr>
              <w:t>b</w:t>
            </w:r>
          </w:p>
        </w:tc>
        <w:tc>
          <w:tcPr>
            <w:tcW w:w="497" w:type="pct"/>
          </w:tcPr>
          <w:p w14:paraId="6434A42D" w14:textId="77777777" w:rsidR="00B707D1" w:rsidRPr="00906D46" w:rsidRDefault="00B707D1" w:rsidP="00B707D1">
            <w:pPr>
              <w:pStyle w:val="TableText"/>
            </w:pPr>
            <w:r w:rsidRPr="00906D46">
              <w:t>No</w:t>
            </w:r>
          </w:p>
        </w:tc>
        <w:tc>
          <w:tcPr>
            <w:tcW w:w="519" w:type="pct"/>
          </w:tcPr>
          <w:p w14:paraId="528B40F1" w14:textId="77777777" w:rsidR="00B707D1" w:rsidRPr="00906D46" w:rsidRDefault="00B707D1" w:rsidP="00B707D1">
            <w:pPr>
              <w:pStyle w:val="TableText"/>
            </w:pPr>
            <w:r w:rsidRPr="00906D46">
              <w:t>No</w:t>
            </w:r>
          </w:p>
        </w:tc>
        <w:tc>
          <w:tcPr>
            <w:tcW w:w="457" w:type="pct"/>
          </w:tcPr>
          <w:p w14:paraId="43473B49" w14:textId="77777777" w:rsidR="00B707D1" w:rsidRPr="00906D46" w:rsidRDefault="00B707D1" w:rsidP="00B707D1">
            <w:pPr>
              <w:pStyle w:val="TableText"/>
            </w:pPr>
            <w:r w:rsidRPr="00906D46">
              <w:t>No</w:t>
            </w:r>
          </w:p>
        </w:tc>
        <w:tc>
          <w:tcPr>
            <w:tcW w:w="645" w:type="pct"/>
          </w:tcPr>
          <w:p w14:paraId="1EBA4247" w14:textId="77777777" w:rsidR="00B707D1" w:rsidRPr="00906D46" w:rsidRDefault="00B707D1" w:rsidP="00B707D1">
            <w:pPr>
              <w:pStyle w:val="TableText"/>
            </w:pPr>
            <w:r w:rsidRPr="00906D46">
              <w:t>No</w:t>
            </w:r>
          </w:p>
        </w:tc>
        <w:tc>
          <w:tcPr>
            <w:tcW w:w="677" w:type="pct"/>
          </w:tcPr>
          <w:p w14:paraId="6A8D60B4" w14:textId="77777777" w:rsidR="00B707D1" w:rsidRPr="00906D46" w:rsidRDefault="00B707D1" w:rsidP="00B707D1">
            <w:pPr>
              <w:pStyle w:val="TableText"/>
            </w:pPr>
            <w:r w:rsidRPr="00906D46">
              <w:t>No</w:t>
            </w:r>
          </w:p>
        </w:tc>
        <w:tc>
          <w:tcPr>
            <w:tcW w:w="772" w:type="pct"/>
          </w:tcPr>
          <w:p w14:paraId="4CC3BB19" w14:textId="77777777" w:rsidR="00B707D1" w:rsidRPr="00906D46" w:rsidRDefault="00B707D1" w:rsidP="00B707D1">
            <w:pPr>
              <w:pStyle w:val="TableText"/>
            </w:pPr>
            <w:r>
              <w:t>No</w:t>
            </w:r>
          </w:p>
        </w:tc>
        <w:tc>
          <w:tcPr>
            <w:tcW w:w="520" w:type="pct"/>
          </w:tcPr>
          <w:p w14:paraId="0BED8288" w14:textId="77777777" w:rsidR="00B707D1" w:rsidRPr="00906D46" w:rsidRDefault="00B707D1" w:rsidP="00B707D1">
            <w:pPr>
              <w:pStyle w:val="TableText"/>
            </w:pPr>
            <w:r w:rsidRPr="00906D46">
              <w:t>No</w:t>
            </w:r>
          </w:p>
        </w:tc>
      </w:tr>
      <w:tr w:rsidR="00B707D1" w14:paraId="1AC40632" w14:textId="77777777" w:rsidTr="00E07986">
        <w:tc>
          <w:tcPr>
            <w:tcW w:w="913" w:type="pct"/>
          </w:tcPr>
          <w:p w14:paraId="11F3B90C" w14:textId="06C6D328" w:rsidR="00B707D1" w:rsidRPr="00906D46" w:rsidRDefault="00B707D1" w:rsidP="00B707D1">
            <w:pPr>
              <w:pStyle w:val="TableText"/>
            </w:pPr>
            <w:r w:rsidRPr="00906D46">
              <w:t>Bulk liquid containers</w:t>
            </w:r>
            <w:r w:rsidR="00F049C8">
              <w:t>/ISO tank</w:t>
            </w:r>
          </w:p>
        </w:tc>
        <w:tc>
          <w:tcPr>
            <w:tcW w:w="497" w:type="pct"/>
          </w:tcPr>
          <w:p w14:paraId="4E0EB49C" w14:textId="77777777" w:rsidR="00B707D1" w:rsidRPr="00906D46" w:rsidRDefault="00B707D1" w:rsidP="00B707D1">
            <w:pPr>
              <w:pStyle w:val="TableText"/>
            </w:pPr>
            <w:r w:rsidRPr="00906D46">
              <w:t>No</w:t>
            </w:r>
          </w:p>
        </w:tc>
        <w:tc>
          <w:tcPr>
            <w:tcW w:w="519" w:type="pct"/>
          </w:tcPr>
          <w:p w14:paraId="2533A7CE" w14:textId="77777777" w:rsidR="00B707D1" w:rsidRPr="00906D46" w:rsidRDefault="00B707D1" w:rsidP="00B707D1">
            <w:pPr>
              <w:pStyle w:val="TableText"/>
            </w:pPr>
            <w:r w:rsidRPr="00906D46">
              <w:t>No</w:t>
            </w:r>
          </w:p>
        </w:tc>
        <w:tc>
          <w:tcPr>
            <w:tcW w:w="457" w:type="pct"/>
          </w:tcPr>
          <w:p w14:paraId="49B9493A" w14:textId="77777777" w:rsidR="00B707D1" w:rsidRPr="00906D46" w:rsidRDefault="00B707D1" w:rsidP="00B707D1">
            <w:pPr>
              <w:pStyle w:val="TableText"/>
            </w:pPr>
            <w:r w:rsidRPr="00906D46">
              <w:t>No</w:t>
            </w:r>
          </w:p>
        </w:tc>
        <w:tc>
          <w:tcPr>
            <w:tcW w:w="645" w:type="pct"/>
          </w:tcPr>
          <w:p w14:paraId="643B032B" w14:textId="77777777" w:rsidR="00B707D1" w:rsidRPr="00906D46" w:rsidRDefault="00B707D1" w:rsidP="00B707D1">
            <w:pPr>
              <w:pStyle w:val="TableText"/>
            </w:pPr>
            <w:r w:rsidRPr="00906D46">
              <w:t>No</w:t>
            </w:r>
          </w:p>
        </w:tc>
        <w:tc>
          <w:tcPr>
            <w:tcW w:w="677" w:type="pct"/>
          </w:tcPr>
          <w:p w14:paraId="46F5854D" w14:textId="77777777" w:rsidR="00B707D1" w:rsidRPr="00906D46" w:rsidRDefault="00B707D1" w:rsidP="00B707D1">
            <w:pPr>
              <w:pStyle w:val="TableText"/>
            </w:pPr>
            <w:r w:rsidRPr="00906D46">
              <w:t>Yes</w:t>
            </w:r>
          </w:p>
        </w:tc>
        <w:tc>
          <w:tcPr>
            <w:tcW w:w="772" w:type="pct"/>
          </w:tcPr>
          <w:p w14:paraId="5407BE67" w14:textId="77777777" w:rsidR="00B707D1" w:rsidRPr="00906D46" w:rsidRDefault="00B707D1" w:rsidP="00B707D1">
            <w:pPr>
              <w:pStyle w:val="TableText"/>
            </w:pPr>
            <w:r>
              <w:t>No</w:t>
            </w:r>
          </w:p>
        </w:tc>
        <w:tc>
          <w:tcPr>
            <w:tcW w:w="520" w:type="pct"/>
          </w:tcPr>
          <w:p w14:paraId="482050AE" w14:textId="77777777" w:rsidR="00B707D1" w:rsidRPr="00906D46" w:rsidRDefault="00B707D1" w:rsidP="00B707D1">
            <w:pPr>
              <w:pStyle w:val="TableText"/>
            </w:pPr>
            <w:r w:rsidRPr="00906D46">
              <w:t>No</w:t>
            </w:r>
          </w:p>
        </w:tc>
      </w:tr>
      <w:tr w:rsidR="00B707D1" w14:paraId="3E33CE54" w14:textId="77777777" w:rsidTr="00E07986">
        <w:tc>
          <w:tcPr>
            <w:tcW w:w="913" w:type="pct"/>
          </w:tcPr>
          <w:p w14:paraId="6D2E5D9D" w14:textId="6FE50B6F" w:rsidR="00B707D1" w:rsidRPr="00AF2B89" w:rsidRDefault="00F358B2" w:rsidP="00B707D1">
            <w:pPr>
              <w:pStyle w:val="TableText"/>
            </w:pPr>
            <w:r w:rsidRPr="00AF2B89">
              <w:t>Reefer</w:t>
            </w:r>
            <w:r w:rsidR="00E561D3">
              <w:t xml:space="preserve"> - </w:t>
            </w:r>
            <w:r w:rsidRPr="00AF2B89">
              <w:t>h</w:t>
            </w:r>
            <w:r w:rsidR="00B707D1" w:rsidRPr="00AF2B89">
              <w:t>ard frozen</w:t>
            </w:r>
          </w:p>
        </w:tc>
        <w:tc>
          <w:tcPr>
            <w:tcW w:w="497" w:type="pct"/>
          </w:tcPr>
          <w:p w14:paraId="26CA4BBE" w14:textId="77777777" w:rsidR="00B707D1" w:rsidRPr="00906D46" w:rsidRDefault="00B707D1" w:rsidP="00B707D1">
            <w:pPr>
              <w:pStyle w:val="TableText"/>
            </w:pPr>
            <w:r w:rsidRPr="00906D46">
              <w:t>No</w:t>
            </w:r>
          </w:p>
        </w:tc>
        <w:tc>
          <w:tcPr>
            <w:tcW w:w="519" w:type="pct"/>
          </w:tcPr>
          <w:p w14:paraId="39C88DAB" w14:textId="77777777" w:rsidR="00B707D1" w:rsidRPr="00906D46" w:rsidRDefault="00B707D1" w:rsidP="00B707D1">
            <w:pPr>
              <w:pStyle w:val="TableText"/>
            </w:pPr>
            <w:r w:rsidRPr="00906D46">
              <w:t>No</w:t>
            </w:r>
          </w:p>
        </w:tc>
        <w:tc>
          <w:tcPr>
            <w:tcW w:w="457" w:type="pct"/>
          </w:tcPr>
          <w:p w14:paraId="5DEFA433" w14:textId="77777777" w:rsidR="00B707D1" w:rsidRPr="00906D46" w:rsidRDefault="00B707D1" w:rsidP="00B707D1">
            <w:pPr>
              <w:pStyle w:val="TableText"/>
            </w:pPr>
            <w:r w:rsidRPr="00906D46">
              <w:t>No</w:t>
            </w:r>
          </w:p>
        </w:tc>
        <w:tc>
          <w:tcPr>
            <w:tcW w:w="645" w:type="pct"/>
          </w:tcPr>
          <w:p w14:paraId="4D7B1284" w14:textId="77777777" w:rsidR="00B707D1" w:rsidRPr="00906D46" w:rsidRDefault="00B707D1" w:rsidP="00B707D1">
            <w:pPr>
              <w:pStyle w:val="TableText"/>
            </w:pPr>
            <w:r w:rsidRPr="00906D46">
              <w:t>No</w:t>
            </w:r>
          </w:p>
        </w:tc>
        <w:tc>
          <w:tcPr>
            <w:tcW w:w="677" w:type="pct"/>
          </w:tcPr>
          <w:p w14:paraId="05823191" w14:textId="77777777" w:rsidR="00B707D1" w:rsidRPr="00906D46" w:rsidRDefault="00B707D1" w:rsidP="00B707D1">
            <w:pPr>
              <w:pStyle w:val="TableText"/>
            </w:pPr>
            <w:r w:rsidRPr="00906D46">
              <w:t>Yes</w:t>
            </w:r>
          </w:p>
        </w:tc>
        <w:tc>
          <w:tcPr>
            <w:tcW w:w="772" w:type="pct"/>
          </w:tcPr>
          <w:p w14:paraId="6EB43275" w14:textId="77777777" w:rsidR="00B707D1" w:rsidRPr="00906D46" w:rsidRDefault="00B707D1" w:rsidP="00B707D1">
            <w:pPr>
              <w:pStyle w:val="TableText"/>
            </w:pPr>
            <w:r>
              <w:t>No</w:t>
            </w:r>
          </w:p>
        </w:tc>
        <w:tc>
          <w:tcPr>
            <w:tcW w:w="520" w:type="pct"/>
          </w:tcPr>
          <w:p w14:paraId="1200A7D8" w14:textId="77777777" w:rsidR="00B707D1" w:rsidRPr="00906D46" w:rsidRDefault="00B707D1" w:rsidP="00B707D1">
            <w:pPr>
              <w:pStyle w:val="TableText"/>
            </w:pPr>
            <w:r w:rsidRPr="00906D46">
              <w:t>No</w:t>
            </w:r>
          </w:p>
        </w:tc>
      </w:tr>
      <w:tr w:rsidR="008E182D" w14:paraId="482C5B31" w14:textId="77777777" w:rsidTr="00E07986">
        <w:tc>
          <w:tcPr>
            <w:tcW w:w="913" w:type="pct"/>
          </w:tcPr>
          <w:p w14:paraId="29DC4824" w14:textId="6687D069" w:rsidR="008E182D" w:rsidRPr="00AF2B89" w:rsidRDefault="008E182D" w:rsidP="00B707D1">
            <w:pPr>
              <w:pStyle w:val="TableText"/>
            </w:pPr>
            <w:r w:rsidRPr="00AF2B89">
              <w:t>Reefer</w:t>
            </w:r>
            <w:r w:rsidR="00E561D3">
              <w:t xml:space="preserve"> - </w:t>
            </w:r>
            <w:r w:rsidR="00160211">
              <w:t>not hard frozen</w:t>
            </w:r>
          </w:p>
        </w:tc>
        <w:tc>
          <w:tcPr>
            <w:tcW w:w="497" w:type="pct"/>
          </w:tcPr>
          <w:p w14:paraId="02C85DEE" w14:textId="655443C9" w:rsidR="008E182D" w:rsidRPr="00906D46" w:rsidRDefault="008E182D" w:rsidP="00B707D1">
            <w:pPr>
              <w:pStyle w:val="TableText"/>
            </w:pPr>
            <w:r>
              <w:t>Yes</w:t>
            </w:r>
          </w:p>
        </w:tc>
        <w:tc>
          <w:tcPr>
            <w:tcW w:w="519" w:type="pct"/>
          </w:tcPr>
          <w:p w14:paraId="5BC82690" w14:textId="71642798" w:rsidR="008E182D" w:rsidRPr="00906D46" w:rsidRDefault="008E182D" w:rsidP="00B707D1">
            <w:pPr>
              <w:pStyle w:val="TableText"/>
            </w:pPr>
            <w:r>
              <w:t>Yes</w:t>
            </w:r>
          </w:p>
        </w:tc>
        <w:tc>
          <w:tcPr>
            <w:tcW w:w="457" w:type="pct"/>
          </w:tcPr>
          <w:p w14:paraId="287C3783" w14:textId="07E966BD" w:rsidR="008E182D" w:rsidRPr="00906D46" w:rsidRDefault="008E182D" w:rsidP="00B707D1">
            <w:pPr>
              <w:pStyle w:val="TableText"/>
            </w:pPr>
            <w:r>
              <w:t>Yes</w:t>
            </w:r>
          </w:p>
        </w:tc>
        <w:tc>
          <w:tcPr>
            <w:tcW w:w="645" w:type="pct"/>
          </w:tcPr>
          <w:p w14:paraId="406A54DC" w14:textId="116419B5" w:rsidR="008E182D" w:rsidRPr="00906D46" w:rsidRDefault="008E182D" w:rsidP="00B707D1">
            <w:pPr>
              <w:pStyle w:val="TableText"/>
            </w:pPr>
            <w:r>
              <w:t>Yes</w:t>
            </w:r>
          </w:p>
        </w:tc>
        <w:tc>
          <w:tcPr>
            <w:tcW w:w="677" w:type="pct"/>
          </w:tcPr>
          <w:p w14:paraId="4A466592" w14:textId="17650CE3" w:rsidR="008E182D" w:rsidRPr="00906D46" w:rsidRDefault="008E182D" w:rsidP="00B707D1">
            <w:pPr>
              <w:pStyle w:val="TableText"/>
            </w:pPr>
            <w:r>
              <w:t>Yes</w:t>
            </w:r>
          </w:p>
        </w:tc>
        <w:tc>
          <w:tcPr>
            <w:tcW w:w="772" w:type="pct"/>
          </w:tcPr>
          <w:p w14:paraId="09B3703A" w14:textId="55AB600D" w:rsidR="008E182D" w:rsidRDefault="008E182D" w:rsidP="00B707D1">
            <w:pPr>
              <w:pStyle w:val="TableText"/>
            </w:pPr>
            <w:r>
              <w:t>No</w:t>
            </w:r>
          </w:p>
        </w:tc>
        <w:tc>
          <w:tcPr>
            <w:tcW w:w="520" w:type="pct"/>
          </w:tcPr>
          <w:p w14:paraId="43E520E9" w14:textId="0C1917E7" w:rsidR="008E182D" w:rsidRPr="00906D46" w:rsidRDefault="008E182D" w:rsidP="00B707D1">
            <w:pPr>
              <w:pStyle w:val="TableText"/>
            </w:pPr>
            <w:r>
              <w:t>No</w:t>
            </w:r>
          </w:p>
        </w:tc>
      </w:tr>
      <w:tr w:rsidR="00B707D1" w14:paraId="69ADE9A7" w14:textId="77777777" w:rsidTr="00E07986">
        <w:tc>
          <w:tcPr>
            <w:tcW w:w="913" w:type="pct"/>
          </w:tcPr>
          <w:p w14:paraId="647F4395" w14:textId="77777777" w:rsidR="00B707D1" w:rsidRPr="00906D46" w:rsidRDefault="00B707D1" w:rsidP="00B707D1">
            <w:pPr>
              <w:pStyle w:val="TableText"/>
            </w:pPr>
            <w:r w:rsidRPr="00906D46">
              <w:t xml:space="preserve">FCL/X </w:t>
            </w:r>
            <w:r w:rsidRPr="00C035FC">
              <w:rPr>
                <w:b/>
                <w:vertAlign w:val="superscript"/>
              </w:rPr>
              <w:t>c</w:t>
            </w:r>
          </w:p>
        </w:tc>
        <w:tc>
          <w:tcPr>
            <w:tcW w:w="497" w:type="pct"/>
          </w:tcPr>
          <w:p w14:paraId="01508785" w14:textId="77777777" w:rsidR="00B707D1" w:rsidRPr="00906D46" w:rsidRDefault="00B707D1" w:rsidP="00B707D1">
            <w:pPr>
              <w:pStyle w:val="TableText"/>
            </w:pPr>
            <w:r w:rsidRPr="00906D46">
              <w:t>Yes</w:t>
            </w:r>
          </w:p>
        </w:tc>
        <w:tc>
          <w:tcPr>
            <w:tcW w:w="519" w:type="pct"/>
          </w:tcPr>
          <w:p w14:paraId="096BAB5F" w14:textId="77777777" w:rsidR="00B707D1" w:rsidRPr="00906D46" w:rsidRDefault="00B707D1" w:rsidP="00B707D1">
            <w:pPr>
              <w:pStyle w:val="TableText"/>
            </w:pPr>
            <w:r w:rsidRPr="00906D46">
              <w:t>Yes</w:t>
            </w:r>
          </w:p>
        </w:tc>
        <w:tc>
          <w:tcPr>
            <w:tcW w:w="457" w:type="pct"/>
          </w:tcPr>
          <w:p w14:paraId="029A1BE1" w14:textId="77777777" w:rsidR="00B707D1" w:rsidRPr="00906D46" w:rsidRDefault="00B707D1" w:rsidP="00B707D1">
            <w:pPr>
              <w:pStyle w:val="TableText"/>
            </w:pPr>
            <w:r w:rsidRPr="00906D46">
              <w:t>Yes</w:t>
            </w:r>
          </w:p>
        </w:tc>
        <w:tc>
          <w:tcPr>
            <w:tcW w:w="645" w:type="pct"/>
          </w:tcPr>
          <w:p w14:paraId="6D2C46D6" w14:textId="77777777" w:rsidR="00B707D1" w:rsidRPr="00906D46" w:rsidRDefault="00B707D1" w:rsidP="00B707D1">
            <w:pPr>
              <w:pStyle w:val="TableText"/>
            </w:pPr>
            <w:r w:rsidRPr="00906D46">
              <w:t>Yes</w:t>
            </w:r>
          </w:p>
        </w:tc>
        <w:tc>
          <w:tcPr>
            <w:tcW w:w="677" w:type="pct"/>
          </w:tcPr>
          <w:p w14:paraId="56A67BDD" w14:textId="77777777" w:rsidR="00B707D1" w:rsidRPr="00906D46" w:rsidRDefault="00B707D1" w:rsidP="00B707D1">
            <w:pPr>
              <w:pStyle w:val="TableText"/>
            </w:pPr>
            <w:r w:rsidRPr="00906D46">
              <w:t>Yes</w:t>
            </w:r>
          </w:p>
        </w:tc>
        <w:tc>
          <w:tcPr>
            <w:tcW w:w="772" w:type="pct"/>
          </w:tcPr>
          <w:p w14:paraId="4BEAA6AD" w14:textId="774999FC" w:rsidR="00B707D1" w:rsidRPr="00906D46" w:rsidRDefault="00B707D1" w:rsidP="00B707D1">
            <w:pPr>
              <w:pStyle w:val="TableText"/>
            </w:pPr>
            <w:r>
              <w:t>Yes</w:t>
            </w:r>
            <w:r w:rsidR="007A21A5" w:rsidRPr="00864710">
              <w:rPr>
                <w:b/>
                <w:vertAlign w:val="superscript"/>
              </w:rPr>
              <w:t xml:space="preserve"> d</w:t>
            </w:r>
          </w:p>
        </w:tc>
        <w:tc>
          <w:tcPr>
            <w:tcW w:w="520" w:type="pct"/>
          </w:tcPr>
          <w:p w14:paraId="04090914" w14:textId="77777777" w:rsidR="00B707D1" w:rsidRPr="00906D46" w:rsidRDefault="00B707D1" w:rsidP="00B707D1">
            <w:pPr>
              <w:pStyle w:val="TableText"/>
            </w:pPr>
            <w:r w:rsidRPr="00906D46">
              <w:t>No</w:t>
            </w:r>
          </w:p>
        </w:tc>
      </w:tr>
      <w:tr w:rsidR="00B707D1" w14:paraId="62969E38" w14:textId="77777777" w:rsidTr="00E07986">
        <w:tc>
          <w:tcPr>
            <w:tcW w:w="913" w:type="pct"/>
          </w:tcPr>
          <w:p w14:paraId="4FE99E02" w14:textId="77777777" w:rsidR="00B707D1" w:rsidRPr="00906D46" w:rsidRDefault="00B707D1" w:rsidP="00B707D1">
            <w:pPr>
              <w:pStyle w:val="TableText"/>
            </w:pPr>
            <w:r w:rsidRPr="00906D46">
              <w:t>LCL</w:t>
            </w:r>
          </w:p>
        </w:tc>
        <w:tc>
          <w:tcPr>
            <w:tcW w:w="497" w:type="pct"/>
          </w:tcPr>
          <w:p w14:paraId="505F939C" w14:textId="77777777" w:rsidR="00B707D1" w:rsidRPr="00906D46" w:rsidRDefault="00B707D1" w:rsidP="00B707D1">
            <w:pPr>
              <w:pStyle w:val="TableText"/>
            </w:pPr>
            <w:r w:rsidRPr="00906D46">
              <w:t>No</w:t>
            </w:r>
          </w:p>
        </w:tc>
        <w:tc>
          <w:tcPr>
            <w:tcW w:w="519" w:type="pct"/>
          </w:tcPr>
          <w:p w14:paraId="7DAE9C30" w14:textId="77777777" w:rsidR="00B707D1" w:rsidRPr="00906D46" w:rsidRDefault="00B707D1" w:rsidP="00B707D1">
            <w:pPr>
              <w:pStyle w:val="TableText"/>
            </w:pPr>
            <w:r w:rsidRPr="00906D46">
              <w:t>Yes</w:t>
            </w:r>
          </w:p>
        </w:tc>
        <w:tc>
          <w:tcPr>
            <w:tcW w:w="457" w:type="pct"/>
          </w:tcPr>
          <w:p w14:paraId="2EAAD972" w14:textId="77777777" w:rsidR="00B707D1" w:rsidRPr="00906D46" w:rsidRDefault="00B707D1" w:rsidP="00B707D1">
            <w:pPr>
              <w:pStyle w:val="TableText"/>
            </w:pPr>
            <w:r w:rsidRPr="00906D46">
              <w:t>Yes</w:t>
            </w:r>
          </w:p>
        </w:tc>
        <w:tc>
          <w:tcPr>
            <w:tcW w:w="645" w:type="pct"/>
          </w:tcPr>
          <w:p w14:paraId="6B64B591" w14:textId="77777777" w:rsidR="00B707D1" w:rsidRPr="00906D46" w:rsidRDefault="00B707D1" w:rsidP="00B707D1">
            <w:pPr>
              <w:pStyle w:val="TableText"/>
            </w:pPr>
            <w:r w:rsidRPr="00906D46">
              <w:t>Yes</w:t>
            </w:r>
          </w:p>
        </w:tc>
        <w:tc>
          <w:tcPr>
            <w:tcW w:w="677" w:type="pct"/>
          </w:tcPr>
          <w:p w14:paraId="11965CA3" w14:textId="77777777" w:rsidR="00B707D1" w:rsidRPr="00906D46" w:rsidRDefault="00B707D1" w:rsidP="00B707D1">
            <w:pPr>
              <w:pStyle w:val="TableText"/>
            </w:pPr>
            <w:r w:rsidRPr="00906D46">
              <w:t>No</w:t>
            </w:r>
          </w:p>
        </w:tc>
        <w:tc>
          <w:tcPr>
            <w:tcW w:w="772" w:type="pct"/>
          </w:tcPr>
          <w:p w14:paraId="506C8E7D" w14:textId="77777777" w:rsidR="00B707D1" w:rsidRPr="00906D46" w:rsidRDefault="00B707D1" w:rsidP="00B707D1">
            <w:pPr>
              <w:pStyle w:val="TableText"/>
            </w:pPr>
            <w:r>
              <w:t>No</w:t>
            </w:r>
          </w:p>
        </w:tc>
        <w:tc>
          <w:tcPr>
            <w:tcW w:w="520" w:type="pct"/>
          </w:tcPr>
          <w:p w14:paraId="6FA330DE" w14:textId="77777777" w:rsidR="00B707D1" w:rsidRPr="00906D46" w:rsidRDefault="00B707D1" w:rsidP="00B707D1">
            <w:pPr>
              <w:pStyle w:val="TableText"/>
            </w:pPr>
            <w:r w:rsidRPr="00906D46">
              <w:t>No</w:t>
            </w:r>
          </w:p>
        </w:tc>
      </w:tr>
    </w:tbl>
    <w:bookmarkEnd w:id="35"/>
    <w:p w14:paraId="74465EC3" w14:textId="7DED4C03" w:rsidR="00906D46" w:rsidRDefault="00906D46" w:rsidP="00906D46">
      <w:pPr>
        <w:pStyle w:val="FigureTableNoteSource"/>
      </w:pPr>
      <w:proofErr w:type="spellStart"/>
      <w:r>
        <w:rPr>
          <w:b/>
        </w:rPr>
        <w:t>a</w:t>
      </w:r>
      <w:proofErr w:type="spellEnd"/>
      <w:r w:rsidRPr="00C035FC">
        <w:rPr>
          <w:b/>
        </w:rPr>
        <w:t xml:space="preserve"> </w:t>
      </w:r>
      <w:r w:rsidR="001D2C33">
        <w:t>d</w:t>
      </w:r>
      <w:r w:rsidRPr="00A335DA">
        <w:t>oes not include ship</w:t>
      </w:r>
      <w:r w:rsidR="008E182D">
        <w:t>’s</w:t>
      </w:r>
      <w:r w:rsidRPr="00A335DA">
        <w:t xml:space="preserve"> stores to be used on cruise vessels</w:t>
      </w:r>
      <w:r>
        <w:t xml:space="preserve">. </w:t>
      </w:r>
      <w:r>
        <w:rPr>
          <w:b/>
        </w:rPr>
        <w:t>b</w:t>
      </w:r>
      <w:r w:rsidRPr="00A335DA">
        <w:t xml:space="preserve"> outside the scope of the </w:t>
      </w:r>
      <w:r w:rsidR="00A74CF8">
        <w:t xml:space="preserve">class 19.1 </w:t>
      </w:r>
      <w:r w:rsidRPr="00A335DA">
        <w:t xml:space="preserve">non-commodity for </w:t>
      </w:r>
      <w:r w:rsidR="001D2C33">
        <w:t>c</w:t>
      </w:r>
      <w:r w:rsidRPr="00A335DA">
        <w:t xml:space="preserve">ontainerised </w:t>
      </w:r>
      <w:r w:rsidR="001D2C33">
        <w:t>c</w:t>
      </w:r>
      <w:r w:rsidRPr="00A335DA">
        <w:t xml:space="preserve">argo </w:t>
      </w:r>
      <w:r w:rsidR="001D2C33">
        <w:t>c</w:t>
      </w:r>
      <w:r w:rsidRPr="00A335DA">
        <w:t xml:space="preserve">learance </w:t>
      </w:r>
      <w:r w:rsidR="001D2C33">
        <w:t>a</w:t>
      </w:r>
      <w:r>
        <w:t xml:space="preserve">pproved arrangement. </w:t>
      </w:r>
      <w:r>
        <w:rPr>
          <w:b/>
        </w:rPr>
        <w:t xml:space="preserve">c </w:t>
      </w:r>
      <w:r>
        <w:t xml:space="preserve">FCL/X include </w:t>
      </w:r>
      <w:r w:rsidRPr="00A62E49">
        <w:t>f</w:t>
      </w:r>
      <w:r>
        <w:t xml:space="preserve">lat rack, high cube containers and </w:t>
      </w:r>
      <w:r w:rsidRPr="00A62E49">
        <w:t>open top</w:t>
      </w:r>
      <w:r w:rsidR="0000339B">
        <w:t>/side</w:t>
      </w:r>
      <w:r w:rsidRPr="00A62E49">
        <w:t xml:space="preserve"> </w:t>
      </w:r>
      <w:r w:rsidR="00212093" w:rsidRPr="00A62E49">
        <w:t>general-purpose</w:t>
      </w:r>
      <w:r>
        <w:t xml:space="preserve"> containers</w:t>
      </w:r>
      <w:r w:rsidRPr="006C6278">
        <w:t>.</w:t>
      </w:r>
      <w:r w:rsidR="007A21A5" w:rsidRPr="006C6278">
        <w:t xml:space="preserve"> </w:t>
      </w:r>
      <w:r w:rsidR="007A21A5" w:rsidRPr="00E07986">
        <w:rPr>
          <w:b/>
          <w:bCs/>
        </w:rPr>
        <w:t>d</w:t>
      </w:r>
      <w:r w:rsidR="007A21A5" w:rsidRPr="006C6278">
        <w:t xml:space="preserve"> FCL/X </w:t>
      </w:r>
      <w:r w:rsidR="00966C76" w:rsidRPr="006C6278">
        <w:t xml:space="preserve">include </w:t>
      </w:r>
      <w:r w:rsidR="00D10B90" w:rsidRPr="006C6278">
        <w:t xml:space="preserve">open top/side and </w:t>
      </w:r>
      <w:r w:rsidR="00212093" w:rsidRPr="006C6278">
        <w:t>general-purpose</w:t>
      </w:r>
      <w:r w:rsidR="00502B4E" w:rsidRPr="006C6278">
        <w:t xml:space="preserve"> high cube</w:t>
      </w:r>
      <w:r w:rsidR="00EF553C" w:rsidRPr="006C6278">
        <w:t xml:space="preserve"> containers</w:t>
      </w:r>
      <w:r w:rsidR="00966C76" w:rsidRPr="006C6278">
        <w:t xml:space="preserve"> only</w:t>
      </w:r>
      <w:r w:rsidR="00EF553C" w:rsidRPr="006C6278">
        <w:t>.</w:t>
      </w:r>
    </w:p>
    <w:p w14:paraId="35398536" w14:textId="77777777" w:rsidR="007B7D38" w:rsidRDefault="007B7D38" w:rsidP="007B7D38">
      <w:pPr>
        <w:sectPr w:rsidR="007B7D38" w:rsidSect="0088135C">
          <w:pgSz w:w="16838" w:h="11906" w:orient="landscape"/>
          <w:pgMar w:top="1418" w:right="1418" w:bottom="1418" w:left="1418" w:header="567" w:footer="456" w:gutter="0"/>
          <w:cols w:space="708"/>
          <w:docGrid w:linePitch="360"/>
        </w:sectPr>
      </w:pPr>
    </w:p>
    <w:p w14:paraId="3CE0DEE1" w14:textId="1D4D3ED0" w:rsidR="00A972CC" w:rsidRPr="005D0012" w:rsidRDefault="004E6847" w:rsidP="005D0012">
      <w:pPr>
        <w:pStyle w:val="Heading3"/>
      </w:pPr>
      <w:bookmarkStart w:id="36" w:name="_Toc69819490"/>
      <w:bookmarkStart w:id="37" w:name="_Toc423605773"/>
      <w:bookmarkStart w:id="38" w:name="_Toc424544667"/>
      <w:bookmarkStart w:id="39" w:name="_Toc70596418"/>
      <w:bookmarkStart w:id="40" w:name="_Toc70949413"/>
      <w:bookmarkEnd w:id="36"/>
      <w:r w:rsidRPr="005D0012">
        <w:lastRenderedPageBreak/>
        <w:t xml:space="preserve">Cargo types exempt from </w:t>
      </w:r>
      <w:r w:rsidR="00FE43EC" w:rsidRPr="005D0012">
        <w:t>standard n</w:t>
      </w:r>
      <w:r w:rsidRPr="005D0012">
        <w:t>on‐</w:t>
      </w:r>
      <w:r w:rsidR="003277FA" w:rsidRPr="005D0012">
        <w:t>commodity information requirements</w:t>
      </w:r>
      <w:bookmarkEnd w:id="37"/>
      <w:bookmarkEnd w:id="38"/>
      <w:bookmarkEnd w:id="39"/>
      <w:bookmarkEnd w:id="40"/>
    </w:p>
    <w:p w14:paraId="19D34584" w14:textId="554A71EB" w:rsidR="00A972CC" w:rsidRPr="009718FC" w:rsidRDefault="004E6847" w:rsidP="009718FC">
      <w:pPr>
        <w:pStyle w:val="Heading4"/>
      </w:pPr>
      <w:r w:rsidRPr="009718FC">
        <w:t>Tranship</w:t>
      </w:r>
      <w:r w:rsidR="0088150B" w:rsidRPr="009718FC">
        <w:t>p</w:t>
      </w:r>
      <w:r w:rsidRPr="009718FC">
        <w:t xml:space="preserve">ed </w:t>
      </w:r>
      <w:r w:rsidR="00B15F6A">
        <w:t>goods</w:t>
      </w:r>
    </w:p>
    <w:p w14:paraId="591EA262" w14:textId="19AF633C" w:rsidR="00092132" w:rsidRDefault="00B15F6A" w:rsidP="00113BB1">
      <w:r>
        <w:t>Goods</w:t>
      </w:r>
      <w:r w:rsidRPr="00724293">
        <w:t xml:space="preserve"> </w:t>
      </w:r>
      <w:r w:rsidR="004E6847" w:rsidRPr="00724293">
        <w:t xml:space="preserve">that </w:t>
      </w:r>
      <w:r>
        <w:t>are</w:t>
      </w:r>
      <w:r w:rsidR="004E6847" w:rsidRPr="00724293">
        <w:t xml:space="preserve"> being transhipped, other than ships’ stores to be used on cruise vessels, </w:t>
      </w:r>
      <w:r>
        <w:t>are</w:t>
      </w:r>
      <w:r w:rsidR="004E6847" w:rsidRPr="00724293">
        <w:t xml:space="preserve"> exempt from all non-commodity information requirements.</w:t>
      </w:r>
    </w:p>
    <w:p w14:paraId="074863BE" w14:textId="71A77AF2" w:rsidR="00092132" w:rsidRDefault="004E6847" w:rsidP="00113BB1">
      <w:r w:rsidRPr="00724293">
        <w:t xml:space="preserve">Consignments of ships’ stores that are to be used on cruise vessels </w:t>
      </w:r>
      <w:r w:rsidR="008501CA">
        <w:t xml:space="preserve">must be reported to </w:t>
      </w:r>
      <w:r w:rsidR="00772FE9">
        <w:t>the department</w:t>
      </w:r>
      <w:r w:rsidRPr="00724293">
        <w:t xml:space="preserve"> and are required to meet all non-commodity information requirements </w:t>
      </w:r>
      <w:r w:rsidR="00A87AC7">
        <w:t>for</w:t>
      </w:r>
      <w:r w:rsidRPr="00724293">
        <w:t xml:space="preserve"> the applicable cargo type.</w:t>
      </w:r>
    </w:p>
    <w:p w14:paraId="7F273734" w14:textId="3DB8DFA6" w:rsidR="00092132" w:rsidRDefault="004E6847" w:rsidP="00113BB1">
      <w:r w:rsidRPr="00724293">
        <w:rPr>
          <w:rStyle w:val="Strong"/>
        </w:rPr>
        <w:t>Action</w:t>
      </w:r>
      <w:r w:rsidR="00A738F0" w:rsidRPr="00724293">
        <w:t>:</w:t>
      </w:r>
      <w:r w:rsidRPr="00724293">
        <w:t xml:space="preserve"> </w:t>
      </w:r>
      <w:r w:rsidR="003277C3">
        <w:t>Because</w:t>
      </w:r>
      <w:r w:rsidR="003277C3" w:rsidRPr="00724293">
        <w:t xml:space="preserve"> </w:t>
      </w:r>
      <w:r w:rsidRPr="00724293">
        <w:t xml:space="preserve">transhipments (other than ships’ stores) are not routinely reported to </w:t>
      </w:r>
      <w:r w:rsidR="00A12F56">
        <w:t>the department</w:t>
      </w:r>
      <w:r w:rsidRPr="00724293">
        <w:t xml:space="preserve">, no action is taken </w:t>
      </w:r>
      <w:r w:rsidR="00C64F28">
        <w:t>for</w:t>
      </w:r>
      <w:r w:rsidRPr="00724293">
        <w:t xml:space="preserve"> these cargoes</w:t>
      </w:r>
      <w:r w:rsidR="008F5E03" w:rsidRPr="00724293">
        <w:t>, unless volunteered</w:t>
      </w:r>
      <w:r w:rsidR="00554513">
        <w:t xml:space="preserve"> by the </w:t>
      </w:r>
      <w:r w:rsidR="00072B1C">
        <w:t>person in charge.</w:t>
      </w:r>
    </w:p>
    <w:p w14:paraId="1E7DB529" w14:textId="77777777" w:rsidR="00A972CC" w:rsidRPr="00293765" w:rsidRDefault="004E6847" w:rsidP="002B6565">
      <w:pPr>
        <w:pStyle w:val="Heading4"/>
        <w:keepNext/>
      </w:pPr>
      <w:r w:rsidRPr="00293765">
        <w:t>Unaccompanied personal effects consignments</w:t>
      </w:r>
    </w:p>
    <w:p w14:paraId="579BB5B1" w14:textId="30D3708E" w:rsidR="00092132" w:rsidRDefault="00BB390A" w:rsidP="00113BB1">
      <w:r>
        <w:t>All lodgement types for u</w:t>
      </w:r>
      <w:r w:rsidR="004E6847">
        <w:t>naccompanied personal effects are exempt from standard non</w:t>
      </w:r>
      <w:r w:rsidR="003B40E3">
        <w:noBreakHyphen/>
      </w:r>
      <w:r w:rsidR="004E6847">
        <w:t xml:space="preserve">commodity information requirements </w:t>
      </w:r>
      <w:r w:rsidR="00C64F28">
        <w:t>because of</w:t>
      </w:r>
      <w:r w:rsidR="004E6847">
        <w:t xml:space="preserve"> commodity</w:t>
      </w:r>
      <w:r w:rsidR="00C64F28">
        <w:t>-</w:t>
      </w:r>
      <w:r w:rsidR="004E6847">
        <w:t>specific clearance processes.</w:t>
      </w:r>
    </w:p>
    <w:p w14:paraId="0B96324D" w14:textId="7B896042" w:rsidR="00092132" w:rsidRDefault="0065289A" w:rsidP="00113BB1">
      <w:r w:rsidRPr="00756BD2">
        <w:rPr>
          <w:b/>
        </w:rPr>
        <w:t>Action</w:t>
      </w:r>
      <w:r w:rsidR="00756BD2" w:rsidRPr="00756BD2">
        <w:rPr>
          <w:b/>
        </w:rPr>
        <w:t xml:space="preserve">: </w:t>
      </w:r>
      <w:r w:rsidR="004E6847">
        <w:t>Consignments must be identified as unaccompanied personal effects in the</w:t>
      </w:r>
      <w:r w:rsidR="00AC2615">
        <w:t xml:space="preserve"> </w:t>
      </w:r>
      <w:r w:rsidR="00B0216E">
        <w:t>Integrated</w:t>
      </w:r>
      <w:r w:rsidR="00AC2615">
        <w:t xml:space="preserve"> Cargo System</w:t>
      </w:r>
      <w:r w:rsidR="004E6847">
        <w:t xml:space="preserve"> </w:t>
      </w:r>
      <w:r w:rsidR="00AC2615">
        <w:t>(</w:t>
      </w:r>
      <w:r w:rsidR="004E6847">
        <w:t>ICS</w:t>
      </w:r>
      <w:r w:rsidR="00AC2615">
        <w:t>)</w:t>
      </w:r>
      <w:r w:rsidR="004E6847">
        <w:t xml:space="preserve"> and </w:t>
      </w:r>
      <w:r w:rsidR="008501CA">
        <w:t>must be</w:t>
      </w:r>
      <w:r w:rsidR="004E6847">
        <w:t xml:space="preserve"> referr</w:t>
      </w:r>
      <w:r w:rsidR="008501CA">
        <w:t xml:space="preserve">ed to </w:t>
      </w:r>
      <w:r w:rsidR="00A12F56">
        <w:t>the department</w:t>
      </w:r>
      <w:r w:rsidR="003C6065">
        <w:t xml:space="preserve"> for clearance.</w:t>
      </w:r>
    </w:p>
    <w:p w14:paraId="1C147623" w14:textId="77777777" w:rsidR="00A972CC" w:rsidRPr="00293765" w:rsidRDefault="004E6847" w:rsidP="00AA7DDF">
      <w:pPr>
        <w:pStyle w:val="Heading4"/>
      </w:pPr>
      <w:r w:rsidRPr="00293765">
        <w:t>Air freight consignments</w:t>
      </w:r>
    </w:p>
    <w:p w14:paraId="5804DF1A" w14:textId="787EB41C" w:rsidR="00092132" w:rsidRDefault="004E6847" w:rsidP="00113BB1">
      <w:r>
        <w:t xml:space="preserve">Air freight consignments are exempt from standard non-commodity information requirements </w:t>
      </w:r>
      <w:r w:rsidR="00F157D4">
        <w:t xml:space="preserve">because </w:t>
      </w:r>
      <w:r>
        <w:t xml:space="preserve">surveys have indicated that non-commodity concerns are minimal within this class of </w:t>
      </w:r>
      <w:r w:rsidR="00B15F6A">
        <w:t>goods.</w:t>
      </w:r>
    </w:p>
    <w:p w14:paraId="4DEFBFBC" w14:textId="77777777" w:rsidR="00092132" w:rsidRDefault="009A4287" w:rsidP="00113BB1">
      <w:r w:rsidRPr="00756BD2">
        <w:rPr>
          <w:b/>
        </w:rPr>
        <w:t xml:space="preserve">Action: </w:t>
      </w:r>
      <w:r w:rsidR="004E6847">
        <w:t xml:space="preserve">Non-commodity concerns </w:t>
      </w:r>
      <w:r w:rsidR="0044525E">
        <w:t>for</w:t>
      </w:r>
      <w:r w:rsidR="004E6847">
        <w:t xml:space="preserve"> air freight consignments are addressed through ongoing surveillance of air freight facilities and are addressed on a case-by-case basis.</w:t>
      </w:r>
    </w:p>
    <w:p w14:paraId="019B8098" w14:textId="77777777" w:rsidR="00A972CC" w:rsidRPr="00293765" w:rsidRDefault="004E6847" w:rsidP="00AA7DDF">
      <w:pPr>
        <w:pStyle w:val="Heading4"/>
      </w:pPr>
      <w:r w:rsidRPr="00293765">
        <w:t>Bulk (in hold) cargo</w:t>
      </w:r>
    </w:p>
    <w:p w14:paraId="45A0ECE8" w14:textId="77777777" w:rsidR="00092132" w:rsidRDefault="004E6847" w:rsidP="00113BB1">
      <w:r>
        <w:t xml:space="preserve">Bulk (in hold) consignments subject to </w:t>
      </w:r>
      <w:r w:rsidR="00A43925">
        <w:t>b</w:t>
      </w:r>
      <w:r>
        <w:t xml:space="preserve">iosecurity intervention require a </w:t>
      </w:r>
      <w:r w:rsidR="00A43925">
        <w:t>s</w:t>
      </w:r>
      <w:r>
        <w:t xml:space="preserve">hip </w:t>
      </w:r>
      <w:r w:rsidR="00A43925">
        <w:t>c</w:t>
      </w:r>
      <w:r>
        <w:t xml:space="preserve">leanliness </w:t>
      </w:r>
      <w:r w:rsidR="00A43925">
        <w:t>c</w:t>
      </w:r>
      <w:r>
        <w:t xml:space="preserve">ertificate and/or </w:t>
      </w:r>
      <w:r w:rsidR="00A43925">
        <w:t>s</w:t>
      </w:r>
      <w:r>
        <w:t xml:space="preserve">hip </w:t>
      </w:r>
      <w:r w:rsidR="00A43925">
        <w:t>s</w:t>
      </w:r>
      <w:r>
        <w:t xml:space="preserve">urveyor’s </w:t>
      </w:r>
      <w:r w:rsidR="00A43925">
        <w:t>i</w:t>
      </w:r>
      <w:r>
        <w:t xml:space="preserve">nspection </w:t>
      </w:r>
      <w:r w:rsidR="00A43925">
        <w:t>r</w:t>
      </w:r>
      <w:r>
        <w:t>eport attesting to the cleanliness of the hold/s prior to loading.</w:t>
      </w:r>
    </w:p>
    <w:p w14:paraId="49AD6822" w14:textId="6DED7F63" w:rsidR="00092132" w:rsidRDefault="009A4287" w:rsidP="00113BB1">
      <w:r w:rsidRPr="00756BD2">
        <w:rPr>
          <w:b/>
        </w:rPr>
        <w:t>Action:</w:t>
      </w:r>
      <w:r w:rsidR="00F32D66">
        <w:rPr>
          <w:b/>
        </w:rPr>
        <w:t xml:space="preserve"> </w:t>
      </w:r>
      <w:r w:rsidR="004E6847">
        <w:t xml:space="preserve">Where bulk (in hold) cargo requires a </w:t>
      </w:r>
      <w:r w:rsidR="00A43925">
        <w:t>s</w:t>
      </w:r>
      <w:r w:rsidR="004E6847">
        <w:t xml:space="preserve">hip </w:t>
      </w:r>
      <w:r w:rsidR="00A43925">
        <w:t>c</w:t>
      </w:r>
      <w:r w:rsidR="004E6847">
        <w:t xml:space="preserve">leanliness </w:t>
      </w:r>
      <w:r w:rsidR="00A43925">
        <w:t>c</w:t>
      </w:r>
      <w:r w:rsidR="004E6847">
        <w:t xml:space="preserve">ertificate and/or </w:t>
      </w:r>
      <w:r w:rsidR="00A43925">
        <w:t>s</w:t>
      </w:r>
      <w:r w:rsidR="004E6847">
        <w:t xml:space="preserve">hip </w:t>
      </w:r>
      <w:r w:rsidR="00A43925">
        <w:t>s</w:t>
      </w:r>
      <w:r w:rsidR="004E6847">
        <w:t xml:space="preserve">urveyor’s </w:t>
      </w:r>
      <w:r w:rsidR="00A43925">
        <w:t>i</w:t>
      </w:r>
      <w:r w:rsidR="004E6847">
        <w:t xml:space="preserve">nspection </w:t>
      </w:r>
      <w:r w:rsidR="00A43925">
        <w:t>r</w:t>
      </w:r>
      <w:r w:rsidR="004E6847">
        <w:t xml:space="preserve">eport and </w:t>
      </w:r>
      <w:r w:rsidR="00CA31A1">
        <w:t xml:space="preserve">if </w:t>
      </w:r>
      <w:r w:rsidR="004E6847">
        <w:t xml:space="preserve">one cannot be presented, the </w:t>
      </w:r>
      <w:r w:rsidR="00B15F6A">
        <w:t xml:space="preserve">goods </w:t>
      </w:r>
      <w:r w:rsidR="004E6847">
        <w:t xml:space="preserve">may be refused discharge or may be subject to increased intervention including sampling, inspection, </w:t>
      </w:r>
      <w:proofErr w:type="gramStart"/>
      <w:r w:rsidR="004E6847">
        <w:t>treatment</w:t>
      </w:r>
      <w:proofErr w:type="gramEnd"/>
      <w:r w:rsidR="004E6847">
        <w:t xml:space="preserve"> or export.</w:t>
      </w:r>
    </w:p>
    <w:p w14:paraId="1C80BC37" w14:textId="77777777" w:rsidR="004D1FBF" w:rsidRPr="00293765" w:rsidRDefault="004D1FBF" w:rsidP="00AA7DDF">
      <w:pPr>
        <w:pStyle w:val="Heading4"/>
      </w:pPr>
      <w:r w:rsidRPr="00293765">
        <w:t>Break bulk consignments</w:t>
      </w:r>
    </w:p>
    <w:p w14:paraId="11C157FC" w14:textId="77777777" w:rsidR="00092132" w:rsidRDefault="004D1FBF" w:rsidP="00113BB1">
      <w:r>
        <w:t>Break bulk consignments are exempt from standard non-commodity information requirements.</w:t>
      </w:r>
    </w:p>
    <w:p w14:paraId="41591565" w14:textId="581BE220" w:rsidR="00092132" w:rsidRDefault="00736903" w:rsidP="00113BB1">
      <w:r w:rsidRPr="00736903">
        <w:rPr>
          <w:b/>
        </w:rPr>
        <w:t>Note:</w:t>
      </w:r>
      <w:r>
        <w:t xml:space="preserve"> </w:t>
      </w:r>
      <w:r w:rsidR="004D1FBF">
        <w:t xml:space="preserve">Non-commodity concerns </w:t>
      </w:r>
      <w:r w:rsidR="00BA39F7">
        <w:t>fo</w:t>
      </w:r>
      <w:r w:rsidR="009718FC">
        <w:t>r</w:t>
      </w:r>
      <w:r w:rsidR="004D1FBF">
        <w:t xml:space="preserve"> break bulk consignments are addressed through ongoing surveillance of port facilities and are addressed on a case-by-case basis.</w:t>
      </w:r>
    </w:p>
    <w:p w14:paraId="0371D71C" w14:textId="394510CE" w:rsidR="00757A43" w:rsidRDefault="00451A7A" w:rsidP="00724293">
      <w:pPr>
        <w:pStyle w:val="Heading3"/>
      </w:pPr>
      <w:bookmarkStart w:id="41" w:name="_Toc70596419"/>
      <w:bookmarkStart w:id="42" w:name="_Toc70949414"/>
      <w:bookmarkStart w:id="43" w:name="_Toc423605774"/>
      <w:bookmarkStart w:id="44" w:name="_Toc424544668"/>
      <w:r>
        <w:t>K</w:t>
      </w:r>
      <w:r w:rsidR="00757A43">
        <w:t>hapra beetle concerns</w:t>
      </w:r>
      <w:bookmarkEnd w:id="41"/>
      <w:bookmarkEnd w:id="42"/>
    </w:p>
    <w:p w14:paraId="1EB9A0C0" w14:textId="393CB59C" w:rsidR="00757A43" w:rsidRDefault="002D4EA0" w:rsidP="00864710">
      <w:pPr>
        <w:pStyle w:val="Heading4"/>
      </w:pPr>
      <w:r>
        <w:t xml:space="preserve">Packing origin - </w:t>
      </w:r>
      <w:r w:rsidR="00757A43">
        <w:t>Unpack destinatio</w:t>
      </w:r>
      <w:r>
        <w:t>n</w:t>
      </w:r>
    </w:p>
    <w:p w14:paraId="6294257D" w14:textId="322EF543" w:rsidR="00AB617E" w:rsidRPr="00FE07F8" w:rsidRDefault="002D4EA0" w:rsidP="002D4EA0">
      <w:pPr>
        <w:pStyle w:val="CommentText"/>
        <w:rPr>
          <w:sz w:val="22"/>
          <w:szCs w:val="22"/>
        </w:rPr>
      </w:pPr>
      <w:r w:rsidRPr="7DF91417">
        <w:rPr>
          <w:sz w:val="22"/>
          <w:szCs w:val="22"/>
        </w:rPr>
        <w:t xml:space="preserve">All FCL/X containers that </w:t>
      </w:r>
      <w:r w:rsidR="00C4616B" w:rsidRPr="7DF91417">
        <w:rPr>
          <w:sz w:val="22"/>
          <w:szCs w:val="22"/>
        </w:rPr>
        <w:t xml:space="preserve">are </w:t>
      </w:r>
      <w:r w:rsidRPr="7DF91417">
        <w:rPr>
          <w:sz w:val="22"/>
          <w:szCs w:val="22"/>
        </w:rPr>
        <w:t>packed in a khapra beetle country</w:t>
      </w:r>
      <w:r w:rsidR="00695F2A" w:rsidRPr="7DF91417">
        <w:rPr>
          <w:sz w:val="22"/>
          <w:szCs w:val="22"/>
        </w:rPr>
        <w:t xml:space="preserve"> and</w:t>
      </w:r>
      <w:r w:rsidRPr="7DF91417">
        <w:rPr>
          <w:sz w:val="22"/>
          <w:szCs w:val="22"/>
        </w:rPr>
        <w:t xml:space="preserve"> </w:t>
      </w:r>
      <w:r w:rsidR="00C4616B" w:rsidRPr="7DF91417">
        <w:rPr>
          <w:sz w:val="22"/>
          <w:szCs w:val="22"/>
        </w:rPr>
        <w:t>are</w:t>
      </w:r>
      <w:r w:rsidRPr="7DF91417">
        <w:rPr>
          <w:sz w:val="22"/>
          <w:szCs w:val="22"/>
        </w:rPr>
        <w:t xml:space="preserve"> destined for unpack </w:t>
      </w:r>
      <w:r w:rsidR="00695F2A" w:rsidRPr="7DF91417">
        <w:rPr>
          <w:sz w:val="22"/>
          <w:szCs w:val="22"/>
        </w:rPr>
        <w:t>in</w:t>
      </w:r>
      <w:r w:rsidRPr="7DF91417">
        <w:rPr>
          <w:sz w:val="22"/>
          <w:szCs w:val="22"/>
        </w:rPr>
        <w:t xml:space="preserve"> a </w:t>
      </w:r>
      <w:hyperlink r:id="rId26" w:history="1">
        <w:r w:rsidRPr="7DF91417">
          <w:rPr>
            <w:rStyle w:val="Hyperlink"/>
            <w:sz w:val="22"/>
            <w:szCs w:val="22"/>
          </w:rPr>
          <w:t>grain growing post code</w:t>
        </w:r>
      </w:hyperlink>
      <w:r w:rsidRPr="7DF91417">
        <w:rPr>
          <w:sz w:val="22"/>
          <w:szCs w:val="22"/>
        </w:rPr>
        <w:t xml:space="preserve"> </w:t>
      </w:r>
      <w:r w:rsidR="003D0435" w:rsidRPr="7DF91417">
        <w:rPr>
          <w:sz w:val="22"/>
          <w:szCs w:val="22"/>
        </w:rPr>
        <w:t xml:space="preserve">in Australia, </w:t>
      </w:r>
      <w:r w:rsidRPr="7DF91417">
        <w:rPr>
          <w:sz w:val="22"/>
          <w:szCs w:val="22"/>
        </w:rPr>
        <w:t>must be treated</w:t>
      </w:r>
      <w:r w:rsidR="00DB0DF1" w:rsidRPr="7DF91417">
        <w:rPr>
          <w:sz w:val="22"/>
          <w:szCs w:val="22"/>
        </w:rPr>
        <w:t xml:space="preserve"> offshore</w:t>
      </w:r>
      <w:r w:rsidRPr="7DF91417">
        <w:rPr>
          <w:sz w:val="22"/>
          <w:szCs w:val="22"/>
        </w:rPr>
        <w:t xml:space="preserve"> by an approved method</w:t>
      </w:r>
      <w:r w:rsidR="00695F2A" w:rsidRPr="7DF91417">
        <w:rPr>
          <w:sz w:val="22"/>
          <w:szCs w:val="22"/>
        </w:rPr>
        <w:t xml:space="preserve">. </w:t>
      </w:r>
      <w:r w:rsidR="00FD0E99">
        <w:rPr>
          <w:sz w:val="22"/>
          <w:szCs w:val="22"/>
        </w:rPr>
        <w:t>There are 3 a</w:t>
      </w:r>
      <w:r w:rsidR="00223C03">
        <w:rPr>
          <w:sz w:val="22"/>
          <w:szCs w:val="22"/>
        </w:rPr>
        <w:t>pproved</w:t>
      </w:r>
      <w:r w:rsidR="00AB617E" w:rsidRPr="7DF91417">
        <w:rPr>
          <w:sz w:val="22"/>
          <w:szCs w:val="22"/>
        </w:rPr>
        <w:t xml:space="preserve"> khapra beetle treatments for containers</w:t>
      </w:r>
      <w:r w:rsidR="00FD0E99">
        <w:rPr>
          <w:sz w:val="22"/>
          <w:szCs w:val="22"/>
        </w:rPr>
        <w:t>:</w:t>
      </w:r>
      <w:r w:rsidR="00AB617E" w:rsidRPr="7DF91417">
        <w:rPr>
          <w:sz w:val="22"/>
          <w:szCs w:val="22"/>
        </w:rPr>
        <w:t xml:space="preserve"> methyl bromide, heat treatment and </w:t>
      </w:r>
      <w:r w:rsidR="00AB617E" w:rsidRPr="7DF91417">
        <w:rPr>
          <w:sz w:val="22"/>
          <w:szCs w:val="22"/>
        </w:rPr>
        <w:lastRenderedPageBreak/>
        <w:t xml:space="preserve">insecticide spray. Refer to </w:t>
      </w:r>
      <w:hyperlink r:id="rId27" w:history="1">
        <w:r w:rsidR="00AB617E" w:rsidRPr="7DF91417">
          <w:rPr>
            <w:rStyle w:val="Hyperlink"/>
            <w:sz w:val="22"/>
            <w:szCs w:val="22"/>
          </w:rPr>
          <w:t>Sea container measures to protect against khapra beetle (</w:t>
        </w:r>
        <w:r w:rsidR="00AB617E" w:rsidRPr="7DF91417">
          <w:rPr>
            <w:rStyle w:val="Hyperlink"/>
            <w:i/>
            <w:iCs/>
            <w:sz w:val="22"/>
            <w:szCs w:val="22"/>
          </w:rPr>
          <w:t xml:space="preserve">Trogoderma </w:t>
        </w:r>
        <w:proofErr w:type="spellStart"/>
        <w:r w:rsidR="00AB617E" w:rsidRPr="7DF91417">
          <w:rPr>
            <w:rStyle w:val="Hyperlink"/>
            <w:i/>
            <w:iCs/>
            <w:sz w:val="22"/>
            <w:szCs w:val="22"/>
          </w:rPr>
          <w:t>granarium</w:t>
        </w:r>
        <w:proofErr w:type="spellEnd"/>
        <w:r w:rsidR="00AB617E" w:rsidRPr="7DF91417">
          <w:rPr>
            <w:rStyle w:val="Hyperlink"/>
            <w:sz w:val="22"/>
            <w:szCs w:val="22"/>
          </w:rPr>
          <w:t>)</w:t>
        </w:r>
      </w:hyperlink>
      <w:r w:rsidR="00AB617E" w:rsidRPr="7DF91417">
        <w:rPr>
          <w:sz w:val="22"/>
          <w:szCs w:val="22"/>
        </w:rPr>
        <w:t xml:space="preserve"> for treatment requirements</w:t>
      </w:r>
      <w:r w:rsidR="00A50CD1" w:rsidRPr="7DF91417">
        <w:rPr>
          <w:sz w:val="22"/>
          <w:szCs w:val="22"/>
        </w:rPr>
        <w:t>.</w:t>
      </w:r>
    </w:p>
    <w:p w14:paraId="65A6DAB2" w14:textId="353AF3EE" w:rsidR="002D4EA0" w:rsidRPr="00934603" w:rsidRDefault="002D4EA0" w:rsidP="00FE07F8">
      <w:r w:rsidRPr="00C4616B">
        <w:t xml:space="preserve">Exemptions </w:t>
      </w:r>
      <w:r w:rsidR="00A50CD1" w:rsidRPr="00C4616B">
        <w:t>include:</w:t>
      </w:r>
    </w:p>
    <w:p w14:paraId="4D20BC19" w14:textId="0108E76E" w:rsidR="002D4EA0" w:rsidRPr="00FE07F8" w:rsidRDefault="00C035FC" w:rsidP="00FE07F8">
      <w:pPr>
        <w:pStyle w:val="ListBullet"/>
      </w:pPr>
      <w:r>
        <w:t>i</w:t>
      </w:r>
      <w:r w:rsidR="002D4EA0" w:rsidRPr="00FE07F8">
        <w:t>so</w:t>
      </w:r>
      <w:r w:rsidR="000D2697">
        <w:t xml:space="preserve"> </w:t>
      </w:r>
      <w:r w:rsidR="002D4EA0" w:rsidRPr="00FE07F8">
        <w:t>tanks</w:t>
      </w:r>
    </w:p>
    <w:p w14:paraId="7BDCF853" w14:textId="1D597353" w:rsidR="002D4EA0" w:rsidRPr="00FE07F8" w:rsidRDefault="00C00562" w:rsidP="00FE07F8">
      <w:pPr>
        <w:pStyle w:val="ListBullet"/>
      </w:pPr>
      <w:r>
        <w:t xml:space="preserve">reefers </w:t>
      </w:r>
      <w:r w:rsidR="00490CB1">
        <w:t>– regardless of temperature or operation status</w:t>
      </w:r>
    </w:p>
    <w:p w14:paraId="4833CEE8" w14:textId="0C5455C5" w:rsidR="00A4780B" w:rsidRPr="00FE07F8" w:rsidRDefault="00097F96" w:rsidP="00FE07F8">
      <w:pPr>
        <w:pStyle w:val="ListBullet"/>
      </w:pPr>
      <w:r>
        <w:t>f</w:t>
      </w:r>
      <w:r w:rsidR="0F1C1C84">
        <w:t>lat rack</w:t>
      </w:r>
      <w:r w:rsidR="3BDDD0AB">
        <w:t>s</w:t>
      </w:r>
      <w:r w:rsidR="00C035FC">
        <w:t>.</w:t>
      </w:r>
    </w:p>
    <w:p w14:paraId="3A0F7B98" w14:textId="4CE15A05" w:rsidR="002D4EA0" w:rsidRPr="00113BB1" w:rsidRDefault="00DB0DF1" w:rsidP="00CC014D">
      <w:pPr>
        <w:pStyle w:val="Heading4"/>
      </w:pPr>
      <w:r>
        <w:t>Khapra beetle t</w:t>
      </w:r>
      <w:r w:rsidR="002D4EA0">
        <w:t>reatment</w:t>
      </w:r>
      <w:r w:rsidR="00AB617E">
        <w:t xml:space="preserve"> certification</w:t>
      </w:r>
    </w:p>
    <w:p w14:paraId="4F6FE7FD" w14:textId="4F023C89" w:rsidR="00E474FA" w:rsidRDefault="00AB617E" w:rsidP="00FE07F8">
      <w:r>
        <w:t xml:space="preserve">A treatment certificate that meets </w:t>
      </w:r>
      <w:r w:rsidR="001A7153">
        <w:t>the department’s</w:t>
      </w:r>
      <w:r w:rsidR="0093504D">
        <w:t xml:space="preserve"> </w:t>
      </w:r>
      <w:r>
        <w:t xml:space="preserve">treatment requirements as outlined in the </w:t>
      </w:r>
      <w:proofErr w:type="gramStart"/>
      <w:r w:rsidR="001307BF">
        <w:t>Non-commodity</w:t>
      </w:r>
      <w:proofErr w:type="gramEnd"/>
      <w:r w:rsidR="001307BF">
        <w:t xml:space="preserve"> cargo clearance </w:t>
      </w:r>
      <w:hyperlink r:id="rId28" w:history="1">
        <w:r w:rsidR="00FB637B" w:rsidRPr="00FB637B">
          <w:rPr>
            <w:rStyle w:val="Hyperlink"/>
          </w:rPr>
          <w:t>BICON</w:t>
        </w:r>
      </w:hyperlink>
      <w:r w:rsidR="00FB637B">
        <w:t xml:space="preserve"> case</w:t>
      </w:r>
      <w:r>
        <w:t xml:space="preserve"> will be accepted as evidence that the </w:t>
      </w:r>
      <w:r w:rsidR="00E474FA">
        <w:t>container</w:t>
      </w:r>
      <w:r>
        <w:t xml:space="preserve"> meets </w:t>
      </w:r>
      <w:r w:rsidR="001A7153">
        <w:t>the department’s</w:t>
      </w:r>
      <w:r>
        <w:t xml:space="preserve"> import conditions</w:t>
      </w:r>
      <w:r w:rsidR="00E474FA">
        <w:t>.</w:t>
      </w:r>
    </w:p>
    <w:p w14:paraId="379C0603" w14:textId="11F5B53C" w:rsidR="00757A43" w:rsidRPr="00CC014D" w:rsidRDefault="00E474FA" w:rsidP="00FE07F8">
      <w:pPr>
        <w:rPr>
          <w:rFonts w:ascii="Calibri" w:eastAsia="Times New Roman" w:hAnsi="Calibri" w:cs="Times New Roman"/>
          <w:b/>
          <w:bCs/>
          <w:sz w:val="28"/>
          <w:szCs w:val="24"/>
        </w:rPr>
      </w:pPr>
      <w:r w:rsidRPr="00C035FC">
        <w:rPr>
          <w:b/>
          <w:bCs/>
        </w:rPr>
        <w:t>Action</w:t>
      </w:r>
      <w:r w:rsidRPr="00E474FA">
        <w:t>: Containers classified as high risk must be</w:t>
      </w:r>
      <w:r w:rsidR="00B1112F">
        <w:t xml:space="preserve"> accompanied by an acceptable offshore </w:t>
      </w:r>
      <w:r w:rsidR="00B1112F" w:rsidRPr="00E474FA">
        <w:t>treatment</w:t>
      </w:r>
      <w:r w:rsidRPr="00E474FA">
        <w:t xml:space="preserve"> </w:t>
      </w:r>
      <w:r w:rsidR="00B1112F">
        <w:t>certificate</w:t>
      </w:r>
      <w:r w:rsidRPr="00E474FA">
        <w:t>. Containers that are not treated will be directed for export from Australian territory.</w:t>
      </w:r>
    </w:p>
    <w:p w14:paraId="11969C09" w14:textId="3DEABCAD" w:rsidR="00A972CC" w:rsidRPr="00AA7DDF" w:rsidRDefault="009A4287" w:rsidP="00724293">
      <w:pPr>
        <w:pStyle w:val="Heading3"/>
      </w:pPr>
      <w:bookmarkStart w:id="45" w:name="_Toc70596420"/>
      <w:bookmarkStart w:id="46" w:name="_Toc70949415"/>
      <w:r w:rsidRPr="00AA7DDF">
        <w:t>R</w:t>
      </w:r>
      <w:r w:rsidR="004E6847" w:rsidRPr="00AA7DDF">
        <w:t>ural destination concerns</w:t>
      </w:r>
      <w:bookmarkEnd w:id="43"/>
      <w:bookmarkEnd w:id="44"/>
      <w:bookmarkEnd w:id="45"/>
      <w:bookmarkEnd w:id="46"/>
      <w:r w:rsidR="00153EA4">
        <w:t xml:space="preserve"> only</w:t>
      </w:r>
    </w:p>
    <w:p w14:paraId="59ECBEAA" w14:textId="0E72E330" w:rsidR="00A972CC" w:rsidRPr="00293765" w:rsidRDefault="00101971" w:rsidP="00AA7DDF">
      <w:pPr>
        <w:pStyle w:val="Heading4"/>
      </w:pPr>
      <w:r w:rsidRPr="00293765">
        <w:t>Unpack destination</w:t>
      </w:r>
      <w:r w:rsidR="00463041">
        <w:t>—</w:t>
      </w:r>
      <w:r w:rsidR="004E6847" w:rsidRPr="00293765">
        <w:t xml:space="preserve">rural </w:t>
      </w:r>
      <w:r w:rsidR="00B32D29">
        <w:t>post code</w:t>
      </w:r>
    </w:p>
    <w:p w14:paraId="4E524B33" w14:textId="5718DA59" w:rsidR="00092132" w:rsidRDefault="004E6847" w:rsidP="00FE07F8">
      <w:r w:rsidRPr="00292C6F">
        <w:t xml:space="preserve">All containerised </w:t>
      </w:r>
      <w:r w:rsidR="00B15F6A">
        <w:t>goods</w:t>
      </w:r>
      <w:r w:rsidR="00B15F6A" w:rsidRPr="00292C6F">
        <w:t xml:space="preserve"> </w:t>
      </w:r>
      <w:r w:rsidRPr="00292C6F">
        <w:t xml:space="preserve">destined for unpack in a rural </w:t>
      </w:r>
      <w:r w:rsidR="008072F3">
        <w:t xml:space="preserve">post </w:t>
      </w:r>
      <w:r w:rsidR="00C035FC">
        <w:t xml:space="preserve">code </w:t>
      </w:r>
      <w:r w:rsidR="00C035FC" w:rsidRPr="00292C6F">
        <w:t>are</w:t>
      </w:r>
      <w:r w:rsidRPr="00292C6F">
        <w:t xml:space="preserve"> subject to a rural tailgate inspection </w:t>
      </w:r>
      <w:r w:rsidR="00463041">
        <w:t>before</w:t>
      </w:r>
      <w:r w:rsidRPr="00292C6F">
        <w:t xml:space="preserve"> delivery</w:t>
      </w:r>
      <w:r w:rsidR="005124AB" w:rsidRPr="00292C6F">
        <w:t>. This inspection must occur at a</w:t>
      </w:r>
      <w:r w:rsidR="005457D2">
        <w:t>n approved arrangement site</w:t>
      </w:r>
      <w:r w:rsidR="00092132">
        <w:t xml:space="preserve"> </w:t>
      </w:r>
      <w:r w:rsidR="005124AB" w:rsidRPr="00292C6F">
        <w:t>at the port of discharge.</w:t>
      </w:r>
      <w:r w:rsidR="00292C6F">
        <w:t xml:space="preserve"> </w:t>
      </w:r>
      <w:r w:rsidR="005745AC" w:rsidRPr="00C035FC">
        <w:t xml:space="preserve">See </w:t>
      </w:r>
      <w:hyperlink r:id="rId29" w:history="1">
        <w:r w:rsidR="003578DD" w:rsidRPr="003578DD">
          <w:rPr>
            <w:rStyle w:val="Hyperlink"/>
          </w:rPr>
          <w:t>Regional postcode delivery classifications</w:t>
        </w:r>
      </w:hyperlink>
      <w:r w:rsidR="00323929">
        <w:rPr>
          <w:rStyle w:val="Hyperlink"/>
        </w:rPr>
        <w:t>.</w:t>
      </w:r>
      <w:r w:rsidR="003578DD">
        <w:t xml:space="preserve"> </w:t>
      </w:r>
    </w:p>
    <w:p w14:paraId="7F14774B" w14:textId="16165B15" w:rsidR="002419CB" w:rsidRPr="00113BB1" w:rsidRDefault="00906983" w:rsidP="00ED1CB4">
      <w:r w:rsidRPr="00113BB1">
        <w:rPr>
          <w:rStyle w:val="Strong"/>
        </w:rPr>
        <w:t>Note:</w:t>
      </w:r>
      <w:r w:rsidR="00113BB1">
        <w:rPr>
          <w:b/>
        </w:rPr>
        <w:t xml:space="preserve"> </w:t>
      </w:r>
      <w:r w:rsidR="002419CB" w:rsidRPr="00113BB1">
        <w:t>Rural tailgate inspections consist of an internal and external inspection</w:t>
      </w:r>
      <w:r w:rsidR="0088370B">
        <w:t xml:space="preserve"> at an approved metropolitan location</w:t>
      </w:r>
      <w:r w:rsidR="002419CB" w:rsidRPr="00113BB1">
        <w:t xml:space="preserve">. </w:t>
      </w:r>
      <w:r w:rsidR="00811E71" w:rsidRPr="00113BB1">
        <w:t>Except</w:t>
      </w:r>
      <w:r w:rsidR="00811E71">
        <w:t xml:space="preserve"> for</w:t>
      </w:r>
      <w:r w:rsidR="002419CB" w:rsidRPr="00113BB1">
        <w:t xml:space="preserve"> the following</w:t>
      </w:r>
      <w:r w:rsidR="00A11915">
        <w:t>,</w:t>
      </w:r>
      <w:r w:rsidR="002419CB" w:rsidRPr="00113BB1">
        <w:t xml:space="preserve"> which require an external inspection only:</w:t>
      </w:r>
    </w:p>
    <w:p w14:paraId="4F317BAC" w14:textId="4FF5E723" w:rsidR="002419CB" w:rsidRPr="00FE07F8" w:rsidRDefault="002419CB" w:rsidP="00FE07F8">
      <w:pPr>
        <w:pStyle w:val="ListBullet"/>
      </w:pPr>
      <w:r w:rsidRPr="00FE07F8">
        <w:t>consignme</w:t>
      </w:r>
      <w:r w:rsidR="00113BB1" w:rsidRPr="00FE07F8">
        <w:t>nts containing dangerous goods</w:t>
      </w:r>
    </w:p>
    <w:p w14:paraId="386256F8" w14:textId="27B108BA" w:rsidR="002419CB" w:rsidRPr="00FE07F8" w:rsidRDefault="002419CB" w:rsidP="00EA096A">
      <w:pPr>
        <w:pStyle w:val="ListBullet"/>
      </w:pPr>
      <w:r w:rsidRPr="00FE07F8">
        <w:t>consignment</w:t>
      </w:r>
      <w:r w:rsidR="00113BB1" w:rsidRPr="00FE07F8">
        <w:t>s containing hard frozen goods</w:t>
      </w:r>
    </w:p>
    <w:p w14:paraId="2FAF27A2" w14:textId="73065FB0" w:rsidR="002419CB" w:rsidRPr="00FE07F8" w:rsidRDefault="00DC5820" w:rsidP="00FE07F8">
      <w:pPr>
        <w:pStyle w:val="ListBullet"/>
      </w:pPr>
      <w:r>
        <w:t>i</w:t>
      </w:r>
      <w:r w:rsidR="00113BB1" w:rsidRPr="00FE07F8">
        <w:t>so</w:t>
      </w:r>
      <w:r w:rsidR="00D15D70">
        <w:t xml:space="preserve"> </w:t>
      </w:r>
      <w:r w:rsidR="00113BB1" w:rsidRPr="00FE07F8">
        <w:t>tank</w:t>
      </w:r>
      <w:r w:rsidR="00D15D70">
        <w:t>s</w:t>
      </w:r>
      <w:r w:rsidR="00113BB1" w:rsidRPr="00FE07F8">
        <w:t>.</w:t>
      </w:r>
    </w:p>
    <w:p w14:paraId="33EE71C8" w14:textId="469AEF0A" w:rsidR="00092132" w:rsidRDefault="0065289A" w:rsidP="00DD0B4C">
      <w:pPr>
        <w:pStyle w:val="ListBullet6"/>
      </w:pPr>
      <w:r w:rsidRPr="00292C6F">
        <w:t xml:space="preserve">Action: All containerised </w:t>
      </w:r>
      <w:r w:rsidR="00B15F6A">
        <w:t>goods</w:t>
      </w:r>
      <w:r w:rsidR="00B15F6A" w:rsidRPr="00292C6F">
        <w:t xml:space="preserve"> </w:t>
      </w:r>
      <w:r w:rsidRPr="00292C6F">
        <w:t xml:space="preserve">destined for unpack in a rural </w:t>
      </w:r>
      <w:r w:rsidR="008072F3" w:rsidRPr="003578DD">
        <w:t>post code</w:t>
      </w:r>
      <w:r w:rsidRPr="00292C6F">
        <w:t xml:space="preserve"> </w:t>
      </w:r>
      <w:r w:rsidR="00906983">
        <w:t>must undergo</w:t>
      </w:r>
      <w:r w:rsidRPr="00292C6F">
        <w:t xml:space="preserve"> a rural tailgate inspection </w:t>
      </w:r>
      <w:r w:rsidR="007260F0">
        <w:t>before</w:t>
      </w:r>
      <w:r w:rsidRPr="00292C6F">
        <w:t xml:space="preserve"> delivery.</w:t>
      </w:r>
    </w:p>
    <w:p w14:paraId="5D8FE770" w14:textId="1E8B1AE3" w:rsidR="00A972CC" w:rsidRPr="00293765" w:rsidRDefault="008A48E5" w:rsidP="002B6565">
      <w:pPr>
        <w:pStyle w:val="Heading4"/>
        <w:keepNext/>
      </w:pPr>
      <w:r w:rsidRPr="00293765">
        <w:t>Bulk liquid containers (</w:t>
      </w:r>
      <w:r w:rsidR="00101971" w:rsidRPr="00293765">
        <w:t xml:space="preserve">ISO </w:t>
      </w:r>
      <w:r w:rsidRPr="00293765">
        <w:t>tank</w:t>
      </w:r>
      <w:r w:rsidR="00EA096A">
        <w:t>s</w:t>
      </w:r>
      <w:r w:rsidRPr="00293765">
        <w:t>/tank containers)</w:t>
      </w:r>
    </w:p>
    <w:p w14:paraId="74AE8F19" w14:textId="7B9D9E18" w:rsidR="00092132" w:rsidRDefault="007D68FD" w:rsidP="00113BB1">
      <w:r>
        <w:t>The department</w:t>
      </w:r>
      <w:r w:rsidR="007260F0">
        <w:t xml:space="preserve"> consider</w:t>
      </w:r>
      <w:r>
        <w:t>s</w:t>
      </w:r>
      <w:r w:rsidR="007260F0">
        <w:t xml:space="preserve"> a</w:t>
      </w:r>
      <w:r w:rsidR="008C3E15">
        <w:t>ll ISO t</w:t>
      </w:r>
      <w:r w:rsidR="008A48E5">
        <w:t xml:space="preserve">anks to be FCL consignments, </w:t>
      </w:r>
      <w:r w:rsidR="007260F0">
        <w:t xml:space="preserve">but </w:t>
      </w:r>
      <w:r w:rsidR="008A48E5">
        <w:t>they are exempt from</w:t>
      </w:r>
      <w:r w:rsidR="00101971">
        <w:t xml:space="preserve"> p</w:t>
      </w:r>
      <w:r w:rsidR="008A48E5">
        <w:t>ackaging statements</w:t>
      </w:r>
      <w:r w:rsidR="00D8065C">
        <w:t>,</w:t>
      </w:r>
      <w:r w:rsidR="008A48E5">
        <w:t xml:space="preserve"> cleanliness statements</w:t>
      </w:r>
      <w:r w:rsidR="003827C8">
        <w:t xml:space="preserve"> </w:t>
      </w:r>
      <w:r w:rsidR="00D8065C">
        <w:t xml:space="preserve">and </w:t>
      </w:r>
      <w:r w:rsidR="00EA5832">
        <w:t>k</w:t>
      </w:r>
      <w:r w:rsidR="00D8065C">
        <w:t xml:space="preserve">hapra </w:t>
      </w:r>
      <w:r w:rsidR="003827C8">
        <w:t>measures</w:t>
      </w:r>
      <w:r w:rsidR="008A48E5">
        <w:t xml:space="preserve"> </w:t>
      </w:r>
      <w:r w:rsidR="00A43925">
        <w:t>because of</w:t>
      </w:r>
      <w:r w:rsidR="008A48E5">
        <w:t xml:space="preserve"> their restricted usage, </w:t>
      </w:r>
      <w:proofErr w:type="gramStart"/>
      <w:r w:rsidR="008A48E5">
        <w:t>design</w:t>
      </w:r>
      <w:proofErr w:type="gramEnd"/>
      <w:r w:rsidR="008A48E5">
        <w:t xml:space="preserve"> and construction. Only rural destination concerns are considered </w:t>
      </w:r>
      <w:r w:rsidR="007260F0">
        <w:t>for</w:t>
      </w:r>
      <w:r w:rsidR="008A48E5">
        <w:t xml:space="preserve"> ISO </w:t>
      </w:r>
      <w:r w:rsidR="007260F0">
        <w:t>t</w:t>
      </w:r>
      <w:r w:rsidR="008A48E5">
        <w:t>anks.</w:t>
      </w:r>
    </w:p>
    <w:p w14:paraId="67B4A2FF" w14:textId="6D8B577B" w:rsidR="00092132" w:rsidRDefault="008A48E5" w:rsidP="00113BB1">
      <w:r>
        <w:t xml:space="preserve">ISO </w:t>
      </w:r>
      <w:r w:rsidR="007260F0">
        <w:t>t</w:t>
      </w:r>
      <w:r>
        <w:t xml:space="preserve">ank containers must be identified as such on the </w:t>
      </w:r>
      <w:r w:rsidR="00B736FF">
        <w:t xml:space="preserve">bill of lading </w:t>
      </w:r>
      <w:r>
        <w:t xml:space="preserve">with a statement to that effect (this may also be represented by the international standard codes as per </w:t>
      </w:r>
      <w:hyperlink r:id="rId30" w:history="1">
        <w:r w:rsidRPr="008A48E5">
          <w:rPr>
            <w:rStyle w:val="Hyperlink"/>
          </w:rPr>
          <w:t>ISO 6346</w:t>
        </w:r>
      </w:hyperlink>
      <w:r>
        <w:t>).</w:t>
      </w:r>
    </w:p>
    <w:p w14:paraId="17DE06A7" w14:textId="77777777" w:rsidR="00092132" w:rsidRDefault="009A4287" w:rsidP="00113BB1">
      <w:r w:rsidRPr="00756BD2">
        <w:rPr>
          <w:b/>
        </w:rPr>
        <w:t xml:space="preserve">Action: </w:t>
      </w:r>
      <w:r w:rsidR="008A48E5">
        <w:t xml:space="preserve">Consignments not covered by an acceptable indication of the container being an ISO </w:t>
      </w:r>
      <w:r w:rsidR="00A43925">
        <w:t>t</w:t>
      </w:r>
      <w:r w:rsidR="008A48E5">
        <w:t>ank (</w:t>
      </w:r>
      <w:r w:rsidR="00A43925">
        <w:t>t</w:t>
      </w:r>
      <w:r w:rsidR="008A48E5">
        <w:t xml:space="preserve">ank </w:t>
      </w:r>
      <w:r w:rsidR="00A43925">
        <w:t>c</w:t>
      </w:r>
      <w:r w:rsidR="008A48E5">
        <w:t xml:space="preserve">ontainer) on the </w:t>
      </w:r>
      <w:r w:rsidR="00A43925">
        <w:t>b</w:t>
      </w:r>
      <w:r w:rsidR="008A48E5">
        <w:t xml:space="preserve">ill of </w:t>
      </w:r>
      <w:r w:rsidR="00A43925">
        <w:t>l</w:t>
      </w:r>
      <w:r w:rsidR="008A48E5">
        <w:t xml:space="preserve">ading may be directed for inspection to confirm that the container is an ISO </w:t>
      </w:r>
      <w:r w:rsidR="0002286E">
        <w:t>t</w:t>
      </w:r>
      <w:r w:rsidR="008A48E5">
        <w:t>ank.</w:t>
      </w:r>
    </w:p>
    <w:p w14:paraId="3BB1EB5E" w14:textId="677C7EA5" w:rsidR="00A972CC" w:rsidRPr="00293765" w:rsidRDefault="006E6373" w:rsidP="00AA7DDF">
      <w:pPr>
        <w:pStyle w:val="Heading4"/>
      </w:pPr>
      <w:r>
        <w:t>Reefers – hard frozen</w:t>
      </w:r>
    </w:p>
    <w:p w14:paraId="339F3F8E" w14:textId="092A27F6" w:rsidR="00B0216E" w:rsidRDefault="008A48E5" w:rsidP="00113BB1">
      <w:r>
        <w:t xml:space="preserve">Refrigerated containers (reefers) </w:t>
      </w:r>
      <w:r w:rsidR="00ED514C">
        <w:t>carrying</w:t>
      </w:r>
      <w:r>
        <w:t xml:space="preserve"> </w:t>
      </w:r>
      <w:r w:rsidR="006E6373">
        <w:t xml:space="preserve">goods that are </w:t>
      </w:r>
      <w:r>
        <w:t>hard frozen</w:t>
      </w:r>
      <w:r w:rsidR="007246E1">
        <w:t xml:space="preserve"> only require an external rural tailgate inspection</w:t>
      </w:r>
      <w:r>
        <w:t xml:space="preserve"> </w:t>
      </w:r>
      <w:r w:rsidR="007246E1">
        <w:t xml:space="preserve">and </w:t>
      </w:r>
      <w:r>
        <w:t xml:space="preserve">may be granted </w:t>
      </w:r>
      <w:r w:rsidR="007246E1">
        <w:t xml:space="preserve">an </w:t>
      </w:r>
      <w:r>
        <w:t xml:space="preserve">exemption from packaging and cleanliness </w:t>
      </w:r>
      <w:r>
        <w:lastRenderedPageBreak/>
        <w:t xml:space="preserve">statements. For this exemption to be granted, the temperature must have been continuously maintained at </w:t>
      </w:r>
      <w:r w:rsidR="00DC3F93">
        <w:t>–</w:t>
      </w:r>
      <w:r>
        <w:t>18°C (0°F) or below for a period of at least seven days.</w:t>
      </w:r>
      <w:r w:rsidR="00BD3784">
        <w:t xml:space="preserve"> </w:t>
      </w:r>
    </w:p>
    <w:p w14:paraId="7F55EC38" w14:textId="1F23A785" w:rsidR="00092132" w:rsidRDefault="008A48E5" w:rsidP="00113BB1">
      <w:r>
        <w:t>The hard frozen statement should read:</w:t>
      </w:r>
      <w:r w:rsidR="00DC3F93">
        <w:t xml:space="preserve"> ‘</w:t>
      </w:r>
      <w:r>
        <w:t xml:space="preserve">The goods packed in the container(s) listed on this document, have been continuously maintained at </w:t>
      </w:r>
      <w:r w:rsidR="00DC3F93">
        <w:t>–</w:t>
      </w:r>
      <w:r>
        <w:t xml:space="preserve">18°C (0°F) or below for a period of at least seven </w:t>
      </w:r>
      <w:r w:rsidR="004E1ABA">
        <w:t>days</w:t>
      </w:r>
      <w:r w:rsidR="0062408F">
        <w:t>.</w:t>
      </w:r>
    </w:p>
    <w:p w14:paraId="1E54250B" w14:textId="37B09825" w:rsidR="00092132" w:rsidRDefault="007D68FD" w:rsidP="00113BB1">
      <w:r>
        <w:t>The department</w:t>
      </w:r>
      <w:r w:rsidR="008A48E5">
        <w:t xml:space="preserve"> will accept this statement on:</w:t>
      </w:r>
    </w:p>
    <w:p w14:paraId="1D1DE4D9" w14:textId="77777777" w:rsidR="00B0216E" w:rsidRDefault="00A738F0" w:rsidP="00113BB1">
      <w:pPr>
        <w:pStyle w:val="ListBullet"/>
      </w:pPr>
      <w:r w:rsidRPr="004A0378">
        <w:t>b</w:t>
      </w:r>
      <w:r w:rsidR="008A48E5" w:rsidRPr="004A0378">
        <w:t xml:space="preserve">ill </w:t>
      </w:r>
      <w:r w:rsidR="00565EF3" w:rsidRPr="004A0378">
        <w:t>of lading/waybill</w:t>
      </w:r>
    </w:p>
    <w:p w14:paraId="1EE1281C" w14:textId="77777777" w:rsidR="00B0216E" w:rsidRDefault="00565EF3" w:rsidP="00113BB1">
      <w:pPr>
        <w:pStyle w:val="ListBullet"/>
      </w:pPr>
      <w:r w:rsidRPr="004A0378">
        <w:t>packing list or invoice</w:t>
      </w:r>
    </w:p>
    <w:p w14:paraId="3ECC7464" w14:textId="77777777" w:rsidR="00B0216E" w:rsidRDefault="00A738F0" w:rsidP="00113BB1">
      <w:pPr>
        <w:pStyle w:val="ListBullet"/>
      </w:pPr>
      <w:r w:rsidRPr="004A0378">
        <w:t>b</w:t>
      </w:r>
      <w:r w:rsidR="00435FE0" w:rsidRPr="004A0378">
        <w:t>eneficiary certificates</w:t>
      </w:r>
    </w:p>
    <w:p w14:paraId="4499FF56" w14:textId="77777777" w:rsidR="00B0216E" w:rsidRDefault="00A738F0" w:rsidP="00113BB1">
      <w:pPr>
        <w:pStyle w:val="ListBullet"/>
      </w:pPr>
      <w:r w:rsidRPr="004A0378">
        <w:t>g</w:t>
      </w:r>
      <w:r w:rsidR="008A48E5" w:rsidRPr="004A0378">
        <w:t>overnment</w:t>
      </w:r>
      <w:r w:rsidR="00DC3F93">
        <w:t>-</w:t>
      </w:r>
      <w:r w:rsidR="00565EF3" w:rsidRPr="004A0378">
        <w:t>to</w:t>
      </w:r>
      <w:r w:rsidR="00DC3F93">
        <w:t>-</w:t>
      </w:r>
      <w:r w:rsidR="00565EF3" w:rsidRPr="004A0378">
        <w:t>government certification</w:t>
      </w:r>
    </w:p>
    <w:p w14:paraId="167B4218" w14:textId="7EE3605B" w:rsidR="00092132" w:rsidRDefault="00A738F0" w:rsidP="00B43503">
      <w:pPr>
        <w:pStyle w:val="ListBullet"/>
      </w:pPr>
      <w:r w:rsidRPr="004A0378">
        <w:t>d</w:t>
      </w:r>
      <w:r w:rsidR="008A48E5" w:rsidRPr="004A0378">
        <w:t>elivery order issued by the relevant shipping company</w:t>
      </w:r>
      <w:r w:rsidR="008A37E7">
        <w:t>.</w:t>
      </w:r>
    </w:p>
    <w:p w14:paraId="11A3546F" w14:textId="65297033" w:rsidR="00092132" w:rsidRDefault="008A48E5" w:rsidP="00113BB1">
      <w:r>
        <w:t xml:space="preserve">In the absence of a hard frozen </w:t>
      </w:r>
      <w:r w:rsidR="00ED514C">
        <w:t>statement, a</w:t>
      </w:r>
      <w:r w:rsidR="0007243A">
        <w:t xml:space="preserve"> biosecurity </w:t>
      </w:r>
      <w:r>
        <w:t xml:space="preserve">officer will use the </w:t>
      </w:r>
      <w:r w:rsidR="00727DC2">
        <w:t>shipped on</w:t>
      </w:r>
      <w:r>
        <w:t xml:space="preserve">board date on the bill of lading as commencement of the seven-day minimum period. Where the shipping period is less than seven days, additional documentation may be presented </w:t>
      </w:r>
      <w:r w:rsidR="004E3FB3">
        <w:t xml:space="preserve">that </w:t>
      </w:r>
      <w:r>
        <w:t xml:space="preserve">indicates that the consignment was hard frozen </w:t>
      </w:r>
      <w:r w:rsidR="004E3FB3">
        <w:t>before</w:t>
      </w:r>
      <w:r>
        <w:t xml:space="preserve"> the voyage covered by the current bill of lading or port discharge, such as a temperature statement printout from the reefer.</w:t>
      </w:r>
    </w:p>
    <w:p w14:paraId="41EAE544" w14:textId="425D7DCA" w:rsidR="00092132" w:rsidRDefault="009A4287" w:rsidP="00113BB1">
      <w:r w:rsidRPr="00756BD2">
        <w:rPr>
          <w:b/>
        </w:rPr>
        <w:t>Action:</w:t>
      </w:r>
      <w:r w:rsidR="00BE6E2C" w:rsidRPr="00281F96">
        <w:rPr>
          <w:bCs/>
        </w:rPr>
        <w:t xml:space="preserve"> </w:t>
      </w:r>
      <w:r w:rsidR="007246E1" w:rsidRPr="00281F96">
        <w:rPr>
          <w:bCs/>
        </w:rPr>
        <w:t xml:space="preserve">External rural tailgate only. </w:t>
      </w:r>
      <w:r w:rsidR="008A48E5">
        <w:t xml:space="preserve">Consignments not meeting hard frozen container requirements must meet all non-commodity requirements </w:t>
      </w:r>
      <w:r w:rsidR="00EC584B">
        <w:t>for</w:t>
      </w:r>
      <w:r w:rsidR="008A48E5">
        <w:t xml:space="preserve"> the relevant cargo type.</w:t>
      </w:r>
    </w:p>
    <w:p w14:paraId="6B6A2B5B" w14:textId="7DE1106F" w:rsidR="00A972CC" w:rsidRPr="00AA7DDF" w:rsidRDefault="008A48E5" w:rsidP="00724293">
      <w:pPr>
        <w:pStyle w:val="Heading3"/>
      </w:pPr>
      <w:bookmarkStart w:id="47" w:name="_Toc423605775"/>
      <w:bookmarkStart w:id="48" w:name="_Toc424544669"/>
      <w:bookmarkStart w:id="49" w:name="_Toc70596421"/>
      <w:bookmarkStart w:id="50" w:name="_Toc70949416"/>
      <w:r w:rsidRPr="00AA7DDF">
        <w:t>Non‐commodity concern statements (containers)</w:t>
      </w:r>
      <w:bookmarkEnd w:id="47"/>
      <w:bookmarkEnd w:id="48"/>
      <w:bookmarkEnd w:id="49"/>
      <w:bookmarkEnd w:id="50"/>
    </w:p>
    <w:p w14:paraId="630E311A" w14:textId="4B84831F" w:rsidR="00092132" w:rsidRDefault="00EC584B" w:rsidP="00113BB1">
      <w:r>
        <w:t>T</w:t>
      </w:r>
      <w:r w:rsidR="004E3FB3">
        <w:t>his section outlines t</w:t>
      </w:r>
      <w:r w:rsidR="008A48E5">
        <w:t xml:space="preserve">he requirements for each non-commodity </w:t>
      </w:r>
      <w:r w:rsidR="00CC7018">
        <w:t>statement presented</w:t>
      </w:r>
      <w:r w:rsidR="008A48E5">
        <w:t xml:space="preserve"> to </w:t>
      </w:r>
      <w:r w:rsidR="006373CF">
        <w:t>the department</w:t>
      </w:r>
      <w:r w:rsidR="00EC7275">
        <w:t>.</w:t>
      </w:r>
      <w:r w:rsidR="008A48E5">
        <w:t xml:space="preserve"> </w:t>
      </w:r>
      <w:r w:rsidR="00BE7969">
        <w:t xml:space="preserve">Refer to </w:t>
      </w:r>
      <w:hyperlink w:anchor="NCCT" w:history="1">
        <w:r w:rsidR="00942721">
          <w:rPr>
            <w:rStyle w:val="Hyperlink"/>
          </w:rPr>
          <w:t>t</w:t>
        </w:r>
        <w:r w:rsidR="00BE7969" w:rsidRPr="00BE7969">
          <w:rPr>
            <w:rStyle w:val="Hyperlink"/>
          </w:rPr>
          <w:t xml:space="preserve">able 1 </w:t>
        </w:r>
        <w:proofErr w:type="gramStart"/>
        <w:r w:rsidR="00BE7969" w:rsidRPr="00BE7969">
          <w:rPr>
            <w:rStyle w:val="Hyperlink"/>
          </w:rPr>
          <w:t>Non-commodity</w:t>
        </w:r>
        <w:proofErr w:type="gramEnd"/>
        <w:r w:rsidR="00BE7969" w:rsidRPr="00BE7969">
          <w:rPr>
            <w:rStyle w:val="Hyperlink"/>
          </w:rPr>
          <w:t xml:space="preserve"> concerns.</w:t>
        </w:r>
      </w:hyperlink>
    </w:p>
    <w:p w14:paraId="2EB8B8B4" w14:textId="5EFD1F02" w:rsidR="00092132" w:rsidRDefault="001A7587">
      <w:pPr>
        <w:pStyle w:val="Heading4"/>
      </w:pPr>
      <w:r>
        <w:t xml:space="preserve">Unacceptable </w:t>
      </w:r>
      <w:r w:rsidR="00113BB1">
        <w:t>packaging material statement</w:t>
      </w:r>
    </w:p>
    <w:p w14:paraId="7F0A97BF" w14:textId="14955D24" w:rsidR="00D2691C" w:rsidRDefault="00531254" w:rsidP="00113BB1">
      <w:r>
        <w:t xml:space="preserve">Various cargo types require a statement indicating whether </w:t>
      </w:r>
      <w:r w:rsidR="001F5274">
        <w:t>u</w:t>
      </w:r>
      <w:r w:rsidR="00F8375F" w:rsidRPr="00F8375F">
        <w:t>nacceptable</w:t>
      </w:r>
      <w:r>
        <w:t xml:space="preserve"> packaging material</w:t>
      </w:r>
      <w:r w:rsidR="00F837F3">
        <w:t xml:space="preserve"> </w:t>
      </w:r>
      <w:r>
        <w:t>has been used in t</w:t>
      </w:r>
      <w:r w:rsidR="00FE75E1">
        <w:t>he packaging of the consignment.</w:t>
      </w:r>
      <w:r w:rsidR="003268C7">
        <w:t xml:space="preserve"> </w:t>
      </w:r>
    </w:p>
    <w:p w14:paraId="275147AE" w14:textId="52D4985D" w:rsidR="00BB390A" w:rsidRDefault="00D2691C" w:rsidP="00113BB1">
      <w:r>
        <w:t xml:space="preserve">Unacceptable packaging material </w:t>
      </w:r>
      <w:r w:rsidR="00CC7018">
        <w:t>include</w:t>
      </w:r>
      <w:r w:rsidR="000D7443">
        <w:t xml:space="preserve"> bark, chaff, hay, rice hulls, </w:t>
      </w:r>
      <w:r w:rsidR="00BE5946">
        <w:t>sandbags</w:t>
      </w:r>
      <w:r w:rsidR="000D7443">
        <w:t>, soil bags, used empty bags, used egg cartons, used meat cartons, used tyres, compressed non-timber type material/strawboard including agricultural waste.</w:t>
      </w:r>
      <w:r w:rsidR="001A7587">
        <w:t xml:space="preserve"> </w:t>
      </w:r>
    </w:p>
    <w:p w14:paraId="38E8064C" w14:textId="40E60F69" w:rsidR="00092132" w:rsidRDefault="00531254" w:rsidP="00113BB1">
      <w:r>
        <w:t>The statement should read:</w:t>
      </w:r>
      <w:r w:rsidR="008056E8">
        <w:t xml:space="preserve"> ‘</w:t>
      </w:r>
      <w:r>
        <w:t xml:space="preserve">Have </w:t>
      </w:r>
      <w:r w:rsidR="003268C7">
        <w:t>unacceptable</w:t>
      </w:r>
      <w:r>
        <w:t xml:space="preserve"> packaging materials been used as packaging or dunnage in the consignment covered by this document?</w:t>
      </w:r>
      <w:r w:rsidR="008056E8">
        <w:t>’</w:t>
      </w:r>
      <w:r>
        <w:t xml:space="preserve"> Yes/No</w:t>
      </w:r>
      <w:r w:rsidR="00E86AF8">
        <w:t>.</w:t>
      </w:r>
    </w:p>
    <w:p w14:paraId="384657AB" w14:textId="590B0044" w:rsidR="00092132" w:rsidRDefault="007D68FD" w:rsidP="00113BB1">
      <w:r>
        <w:t>The department</w:t>
      </w:r>
      <w:r w:rsidR="00531254">
        <w:t xml:space="preserve"> will accept </w:t>
      </w:r>
      <w:r w:rsidR="00F704D4">
        <w:t>this</w:t>
      </w:r>
      <w:r w:rsidR="00531254">
        <w:t xml:space="preserve"> statement on</w:t>
      </w:r>
      <w:r w:rsidR="00662C7C">
        <w:t xml:space="preserve"> a</w:t>
      </w:r>
      <w:r w:rsidR="00531254">
        <w:t>:</w:t>
      </w:r>
    </w:p>
    <w:p w14:paraId="7D9E0E96" w14:textId="77777777" w:rsidR="00092132" w:rsidRDefault="000D6C2B" w:rsidP="00113BB1">
      <w:pPr>
        <w:pStyle w:val="ListBullet"/>
      </w:pPr>
      <w:r w:rsidRPr="00143FEC">
        <w:t>p</w:t>
      </w:r>
      <w:r w:rsidR="00531254" w:rsidRPr="00143FEC">
        <w:t>acking declaration</w:t>
      </w:r>
    </w:p>
    <w:p w14:paraId="33A29E08" w14:textId="77777777" w:rsidR="00092132" w:rsidRDefault="000D6C2B" w:rsidP="00113BB1">
      <w:pPr>
        <w:pStyle w:val="ListBullet"/>
      </w:pPr>
      <w:r w:rsidRPr="00143FEC">
        <w:t>p</w:t>
      </w:r>
      <w:r w:rsidR="00531254" w:rsidRPr="00143FEC">
        <w:t>acking list</w:t>
      </w:r>
    </w:p>
    <w:p w14:paraId="00957765" w14:textId="2ACC95D3" w:rsidR="00092132" w:rsidRDefault="00531254" w:rsidP="00113BB1">
      <w:pPr>
        <w:pStyle w:val="ListBullet"/>
      </w:pPr>
      <w:r w:rsidRPr="00143FEC">
        <w:t>invoice</w:t>
      </w:r>
      <w:r w:rsidR="00B7178D">
        <w:t>.</w:t>
      </w:r>
    </w:p>
    <w:p w14:paraId="059C905B" w14:textId="6F7D77F9" w:rsidR="00FE3B21" w:rsidRDefault="00FE3B21" w:rsidP="00C035FC">
      <w:pPr>
        <w:pStyle w:val="ListBullet"/>
        <w:numPr>
          <w:ilvl w:val="0"/>
          <w:numId w:val="0"/>
        </w:numPr>
      </w:pPr>
      <w:r>
        <w:t xml:space="preserve">Where </w:t>
      </w:r>
      <w:r w:rsidR="001A7153">
        <w:t>the department’s</w:t>
      </w:r>
      <w:r w:rsidR="00323929">
        <w:t xml:space="preserve"> </w:t>
      </w:r>
      <w:hyperlink r:id="rId31" w:history="1">
        <w:r w:rsidRPr="00774C59">
          <w:rPr>
            <w:rStyle w:val="Hyperlink"/>
          </w:rPr>
          <w:t>template</w:t>
        </w:r>
        <w:r w:rsidR="00774C59" w:rsidRPr="00774C59">
          <w:rPr>
            <w:rStyle w:val="Hyperlink"/>
          </w:rPr>
          <w:t>s</w:t>
        </w:r>
      </w:hyperlink>
      <w:r>
        <w:t xml:space="preserve"> </w:t>
      </w:r>
      <w:r w:rsidR="00774C59">
        <w:t>are</w:t>
      </w:r>
      <w:r>
        <w:t xml:space="preserve"> not used, the unacceptable packaging statement must declare that unacceptable packaging material has not been used in the consignment.</w:t>
      </w:r>
    </w:p>
    <w:p w14:paraId="2D714D10" w14:textId="32F69766" w:rsidR="00092132" w:rsidRDefault="000543C9" w:rsidP="00113BB1">
      <w:r w:rsidRPr="000543C9">
        <w:rPr>
          <w:b/>
        </w:rPr>
        <w:lastRenderedPageBreak/>
        <w:t>Action:</w:t>
      </w:r>
      <w:r>
        <w:t xml:space="preserve"> </w:t>
      </w:r>
      <w:r w:rsidR="00012D9D">
        <w:t>Where unacceptable</w:t>
      </w:r>
      <w:r>
        <w:t xml:space="preserve"> packaging concerns </w:t>
      </w:r>
      <w:r w:rsidR="00012D9D">
        <w:t>have not been declared, no further action is required</w:t>
      </w:r>
      <w:r>
        <w:t>. In all other instances, consignments will be directed for inspection and/or treatment.</w:t>
      </w:r>
    </w:p>
    <w:p w14:paraId="4957ADFC" w14:textId="19D1A804" w:rsidR="00A972CC" w:rsidRPr="00293765" w:rsidRDefault="00CA51C8" w:rsidP="00AA7DDF">
      <w:pPr>
        <w:pStyle w:val="Heading4"/>
      </w:pPr>
      <w:r>
        <w:t>Timber</w:t>
      </w:r>
      <w:r w:rsidR="00C262CA">
        <w:t>/</w:t>
      </w:r>
      <w:r w:rsidR="00DD0D2E">
        <w:t>b</w:t>
      </w:r>
      <w:r w:rsidR="00C262CA">
        <w:t>amboo</w:t>
      </w:r>
      <w:r>
        <w:t xml:space="preserve"> packaging/dunnage </w:t>
      </w:r>
      <w:r w:rsidR="00531254" w:rsidRPr="00293765">
        <w:t>statement</w:t>
      </w:r>
    </w:p>
    <w:p w14:paraId="43BA812D" w14:textId="73F478C5" w:rsidR="00092132" w:rsidRDefault="00531254" w:rsidP="00113BB1">
      <w:r>
        <w:t>Various cargo types require a statement indicating whether timber</w:t>
      </w:r>
      <w:r w:rsidR="00361F4C">
        <w:t xml:space="preserve"> or bamboo</w:t>
      </w:r>
      <w:r>
        <w:t xml:space="preserve"> packaging or dunnage has been used in the packaging of the consignment as </w:t>
      </w:r>
      <w:r w:rsidRPr="00685C8E">
        <w:t xml:space="preserve">indicated </w:t>
      </w:r>
      <w:r w:rsidR="00864096" w:rsidRPr="00685C8E">
        <w:t xml:space="preserve">in the table in </w:t>
      </w:r>
      <w:hyperlink w:anchor="NCCT" w:history="1">
        <w:r w:rsidR="00FB79AE" w:rsidRPr="00FB79AE">
          <w:rPr>
            <w:rStyle w:val="Hyperlink"/>
          </w:rPr>
          <w:t xml:space="preserve">table 1 </w:t>
        </w:r>
        <w:proofErr w:type="gramStart"/>
        <w:r w:rsidR="00FB79AE" w:rsidRPr="00FB79AE">
          <w:rPr>
            <w:rStyle w:val="Hyperlink"/>
          </w:rPr>
          <w:t>Non-commodity</w:t>
        </w:r>
        <w:proofErr w:type="gramEnd"/>
        <w:r w:rsidR="00FB79AE" w:rsidRPr="00FB79AE">
          <w:rPr>
            <w:rStyle w:val="Hyperlink"/>
          </w:rPr>
          <w:t xml:space="preserve"> concerns</w:t>
        </w:r>
      </w:hyperlink>
      <w:r w:rsidR="00FB79AE">
        <w:t>.</w:t>
      </w:r>
    </w:p>
    <w:p w14:paraId="64FA7303" w14:textId="7B4BDA5F" w:rsidR="00092132" w:rsidRDefault="00531254" w:rsidP="00113BB1">
      <w:r>
        <w:t>The statement should read:</w:t>
      </w:r>
      <w:r w:rsidR="008056E8">
        <w:t xml:space="preserve"> ‘</w:t>
      </w:r>
      <w:r>
        <w:t>Has timber</w:t>
      </w:r>
      <w:r w:rsidR="00D55ADB">
        <w:t>/bamboo</w:t>
      </w:r>
      <w:r>
        <w:t xml:space="preserve"> packaging/dunnage been used in consignments covered by this document?</w:t>
      </w:r>
      <w:r w:rsidR="008056E8">
        <w:t>’</w:t>
      </w:r>
      <w:r w:rsidR="003C6065">
        <w:t xml:space="preserve"> </w:t>
      </w:r>
      <w:r>
        <w:t>Yes</w:t>
      </w:r>
      <w:r w:rsidR="006831B8">
        <w:t xml:space="preserve"> –Timber/ Yes Bamboo</w:t>
      </w:r>
      <w:r>
        <w:t>/No</w:t>
      </w:r>
      <w:r w:rsidR="00E86AF8">
        <w:t>.</w:t>
      </w:r>
    </w:p>
    <w:p w14:paraId="771B27DB" w14:textId="1671D07E" w:rsidR="00092132" w:rsidRDefault="0033145F" w:rsidP="00113BB1">
      <w:r w:rsidRPr="0033145F">
        <w:rPr>
          <w:b/>
        </w:rPr>
        <w:t xml:space="preserve">Note: </w:t>
      </w:r>
      <w:r w:rsidR="00531254">
        <w:t>Packaging made entirely from reconstituted wood</w:t>
      </w:r>
      <w:r w:rsidR="00291E52">
        <w:t>, bamboo laminate</w:t>
      </w:r>
      <w:r w:rsidR="00531254">
        <w:t xml:space="preserve"> or plywood/veneer is not required to be declared as timber packaging or dunnage as the</w:t>
      </w:r>
      <w:r w:rsidR="00A738F0">
        <w:t>y are not considered to pose a b</w:t>
      </w:r>
      <w:r w:rsidR="00531254">
        <w:t>iosecurity risk.</w:t>
      </w:r>
    </w:p>
    <w:p w14:paraId="67D500BB" w14:textId="64FD8B43" w:rsidR="00092132" w:rsidRDefault="007D68FD" w:rsidP="00113BB1">
      <w:r>
        <w:t>The department</w:t>
      </w:r>
      <w:r w:rsidR="00531254">
        <w:t xml:space="preserve"> will accept </w:t>
      </w:r>
      <w:r w:rsidR="00060F6F">
        <w:t>this</w:t>
      </w:r>
      <w:r w:rsidR="00531254">
        <w:t xml:space="preserve"> statement on</w:t>
      </w:r>
      <w:r w:rsidR="00942721">
        <w:t xml:space="preserve"> a</w:t>
      </w:r>
      <w:r w:rsidR="00531254">
        <w:t>:</w:t>
      </w:r>
    </w:p>
    <w:p w14:paraId="7189EFA8" w14:textId="77777777" w:rsidR="00092132" w:rsidRDefault="006745CA" w:rsidP="00113BB1">
      <w:pPr>
        <w:pStyle w:val="ListBullet"/>
      </w:pPr>
      <w:r>
        <w:t>packing declaration</w:t>
      </w:r>
    </w:p>
    <w:p w14:paraId="53BBE52F" w14:textId="77777777" w:rsidR="00092132" w:rsidRDefault="006745CA" w:rsidP="00113BB1">
      <w:pPr>
        <w:pStyle w:val="ListBullet"/>
      </w:pPr>
      <w:r>
        <w:t>packing list</w:t>
      </w:r>
    </w:p>
    <w:p w14:paraId="30E76D2E" w14:textId="4167D48B" w:rsidR="00092132" w:rsidRDefault="006745CA" w:rsidP="00113BB1">
      <w:pPr>
        <w:pStyle w:val="ListBullet"/>
      </w:pPr>
      <w:r>
        <w:t>invoice</w:t>
      </w:r>
      <w:r w:rsidR="00A738F0">
        <w:t>.</w:t>
      </w:r>
    </w:p>
    <w:p w14:paraId="4751C285" w14:textId="4455E64C" w:rsidR="005217F2" w:rsidRPr="00F872DD" w:rsidRDefault="005217F2" w:rsidP="00F872DD">
      <w:pPr>
        <w:rPr>
          <w:b/>
        </w:rPr>
      </w:pPr>
      <w:r w:rsidRPr="00F872DD">
        <w:rPr>
          <w:b/>
        </w:rPr>
        <w:t xml:space="preserve">Action: </w:t>
      </w:r>
      <w:r w:rsidRPr="00F872DD">
        <w:rPr>
          <w:bCs/>
        </w:rPr>
        <w:t>Where timber/bamboo packaging/dunnage has not been declared, no further action is required.</w:t>
      </w:r>
    </w:p>
    <w:p w14:paraId="00BDB8F1" w14:textId="0E8E5063" w:rsidR="00DB2355" w:rsidRPr="00797E0A" w:rsidRDefault="00DB2355" w:rsidP="00797E0A">
      <w:pPr>
        <w:pStyle w:val="Heading4"/>
      </w:pPr>
      <w:r w:rsidRPr="00797E0A">
        <w:t>Timber</w:t>
      </w:r>
      <w:r w:rsidR="00BE2833">
        <w:t>/bamboo</w:t>
      </w:r>
      <w:r w:rsidRPr="00797E0A">
        <w:t xml:space="preserve"> </w:t>
      </w:r>
      <w:r w:rsidR="00C262CA">
        <w:t xml:space="preserve">treatment </w:t>
      </w:r>
      <w:r w:rsidRPr="00797E0A">
        <w:t>statement</w:t>
      </w:r>
      <w:r w:rsidR="00C262CA">
        <w:t>s</w:t>
      </w:r>
      <w:r w:rsidRPr="00797E0A">
        <w:t xml:space="preserve"> </w:t>
      </w:r>
    </w:p>
    <w:p w14:paraId="2ADDDB00" w14:textId="095FE928" w:rsidR="001D7544" w:rsidRDefault="00C262CA" w:rsidP="00797E0A">
      <w:r>
        <w:br/>
      </w:r>
      <w:r w:rsidR="001D7544">
        <w:t xml:space="preserve">Where timber </w:t>
      </w:r>
      <w:r w:rsidR="006831B8">
        <w:t xml:space="preserve">or bamboo </w:t>
      </w:r>
      <w:r w:rsidR="001D7544">
        <w:t>packaging/dunnage has been declared within a consignment, either an ISPM 15 statement, treatment certification or appropriate treatment document are required to accompany the consignment.</w:t>
      </w:r>
    </w:p>
    <w:p w14:paraId="1C274CBE" w14:textId="6F0EB6CD" w:rsidR="001D7544" w:rsidRDefault="00A4780B" w:rsidP="00797E0A">
      <w:r>
        <w:rPr>
          <w:rFonts w:ascii="Calibri" w:eastAsia="Times New Roman" w:hAnsi="Calibri" w:cs="Times New Roman"/>
          <w:b/>
          <w:bCs/>
          <w:sz w:val="28"/>
          <w:szCs w:val="24"/>
        </w:rPr>
        <w:t>5</w:t>
      </w:r>
      <w:r w:rsidR="006831B8" w:rsidRPr="00FF124C">
        <w:rPr>
          <w:rFonts w:ascii="Calibri" w:eastAsia="Times New Roman" w:hAnsi="Calibri" w:cs="Times New Roman"/>
          <w:b/>
          <w:bCs/>
          <w:sz w:val="28"/>
          <w:szCs w:val="24"/>
        </w:rPr>
        <w:t>.3.1 ISPM 15</w:t>
      </w:r>
      <w:r w:rsidR="006831B8">
        <w:rPr>
          <w:rFonts w:ascii="Calibri" w:eastAsia="Times New Roman" w:hAnsi="Calibri" w:cs="Times New Roman"/>
          <w:b/>
          <w:bCs/>
          <w:sz w:val="28"/>
          <w:szCs w:val="24"/>
        </w:rPr>
        <w:br/>
      </w:r>
      <w:r w:rsidR="001D7544">
        <w:t>The ISPM 15 statement should read: ‘All timber packaging/dunnage used in the consignment has been treated and marked in compliance with ISPM 15’.</w:t>
      </w:r>
    </w:p>
    <w:p w14:paraId="2AB7E247" w14:textId="1B5E9047" w:rsidR="001D7544" w:rsidRDefault="007D68FD" w:rsidP="00797E0A">
      <w:r>
        <w:t>The department</w:t>
      </w:r>
      <w:r w:rsidR="001D7544">
        <w:t xml:space="preserve"> will accept </w:t>
      </w:r>
      <w:r w:rsidR="00C44B4D">
        <w:t>this</w:t>
      </w:r>
      <w:r w:rsidR="001D7544">
        <w:t xml:space="preserve"> statement on</w:t>
      </w:r>
      <w:r w:rsidR="008B371A">
        <w:t xml:space="preserve"> a</w:t>
      </w:r>
      <w:r w:rsidR="001D7544">
        <w:t>:</w:t>
      </w:r>
    </w:p>
    <w:p w14:paraId="2D606024" w14:textId="17B1633D" w:rsidR="00E307EB" w:rsidRDefault="001D7544" w:rsidP="00797E0A">
      <w:pPr>
        <w:pStyle w:val="ListBullet"/>
      </w:pPr>
      <w:r>
        <w:t>phytosanitary certificate</w:t>
      </w:r>
    </w:p>
    <w:p w14:paraId="5545C3C3" w14:textId="77777777" w:rsidR="001D7544" w:rsidRDefault="001D7544" w:rsidP="00797E0A">
      <w:pPr>
        <w:pStyle w:val="ListBullet"/>
      </w:pPr>
      <w:r>
        <w:t>packing declaration</w:t>
      </w:r>
    </w:p>
    <w:p w14:paraId="6BF3619B" w14:textId="77777777" w:rsidR="00D55ADB" w:rsidRDefault="001D7544" w:rsidP="00D55ADB">
      <w:pPr>
        <w:pStyle w:val="ListBullet"/>
      </w:pPr>
      <w:r>
        <w:t>packing list</w:t>
      </w:r>
    </w:p>
    <w:p w14:paraId="52AB5E9B" w14:textId="77777777" w:rsidR="00D55ADB" w:rsidRDefault="001D7544" w:rsidP="00D55ADB">
      <w:pPr>
        <w:pStyle w:val="ListBullet"/>
      </w:pPr>
      <w:r>
        <w:t>invoice.</w:t>
      </w:r>
    </w:p>
    <w:p w14:paraId="6BB6C2D7" w14:textId="6C93B540" w:rsidR="00511EA2" w:rsidRDefault="009208D1" w:rsidP="00C262CA">
      <w:pPr>
        <w:rPr>
          <w:rFonts w:asciiTheme="majorHAnsi" w:hAnsiTheme="majorHAnsi" w:cs="Segoe UI"/>
          <w:b/>
          <w:color w:val="343434"/>
        </w:rPr>
      </w:pPr>
      <w:r>
        <w:rPr>
          <w:rFonts w:asciiTheme="majorHAnsi" w:hAnsiTheme="majorHAnsi" w:cs="Segoe UI"/>
          <w:b/>
          <w:color w:val="343434"/>
        </w:rPr>
        <w:t>Note</w:t>
      </w:r>
      <w:r w:rsidR="00D55ADB" w:rsidRPr="00C262CA">
        <w:rPr>
          <w:rFonts w:asciiTheme="majorHAnsi" w:hAnsiTheme="majorHAnsi" w:cs="Segoe UI"/>
          <w:b/>
          <w:color w:val="343434"/>
        </w:rPr>
        <w:t xml:space="preserve">: </w:t>
      </w:r>
    </w:p>
    <w:p w14:paraId="35352E44" w14:textId="633E6508" w:rsidR="00C262CA" w:rsidRPr="00C035FC" w:rsidRDefault="00C262CA" w:rsidP="00C035FC">
      <w:pPr>
        <w:pStyle w:val="ListBullet"/>
        <w:rPr>
          <w:b/>
        </w:rPr>
      </w:pPr>
      <w:r w:rsidRPr="00C035FC">
        <w:t>If timber packaging is declared and an acceptable ISPM15 statement is provided, no further action is required</w:t>
      </w:r>
      <w:r w:rsidRPr="00C035FC">
        <w:rPr>
          <w:b/>
        </w:rPr>
        <w:t>.</w:t>
      </w:r>
    </w:p>
    <w:p w14:paraId="55AA2970" w14:textId="799D3C80" w:rsidR="00D55ADB" w:rsidRPr="00511EA2" w:rsidRDefault="00C262CA" w:rsidP="00C035FC">
      <w:pPr>
        <w:pStyle w:val="ListBullet"/>
      </w:pPr>
      <w:r w:rsidRPr="00C035FC">
        <w:t xml:space="preserve">Note: </w:t>
      </w:r>
      <w:r w:rsidR="00204D2C" w:rsidRPr="00511EA2">
        <w:t>ISPM15 treatment</w:t>
      </w:r>
      <w:r w:rsidR="0079683A" w:rsidRPr="00511EA2">
        <w:t xml:space="preserve">s only apply to timber packaging. An ISPM 15 </w:t>
      </w:r>
      <w:r w:rsidR="00431475" w:rsidRPr="00511EA2">
        <w:t xml:space="preserve">statement </w:t>
      </w:r>
      <w:r w:rsidR="00204D2C" w:rsidRPr="00511EA2">
        <w:t xml:space="preserve">is not acceptable </w:t>
      </w:r>
      <w:r w:rsidR="0079683A" w:rsidRPr="00511EA2">
        <w:t>for bamboo</w:t>
      </w:r>
      <w:r w:rsidR="0079683A" w:rsidRPr="00C035FC">
        <w:t xml:space="preserve"> packaging/dunnage</w:t>
      </w:r>
      <w:r w:rsidR="006A14FA" w:rsidRPr="00C035FC">
        <w:t>.</w:t>
      </w:r>
    </w:p>
    <w:p w14:paraId="5F6EE536" w14:textId="3CC2AC6C" w:rsidR="001D7544" w:rsidRDefault="00A4780B" w:rsidP="00797E0A">
      <w:r>
        <w:rPr>
          <w:rFonts w:ascii="Calibri" w:eastAsia="Times New Roman" w:hAnsi="Calibri" w:cs="Times New Roman"/>
          <w:b/>
          <w:bCs/>
          <w:sz w:val="28"/>
          <w:szCs w:val="24"/>
        </w:rPr>
        <w:lastRenderedPageBreak/>
        <w:t>5</w:t>
      </w:r>
      <w:r w:rsidR="00C262CA" w:rsidRPr="009208D1">
        <w:rPr>
          <w:rFonts w:ascii="Calibri" w:eastAsia="Times New Roman" w:hAnsi="Calibri" w:cs="Times New Roman"/>
          <w:b/>
          <w:bCs/>
          <w:sz w:val="28"/>
          <w:szCs w:val="24"/>
        </w:rPr>
        <w:t xml:space="preserve">.3.2 </w:t>
      </w:r>
      <w:r w:rsidR="00FB377E">
        <w:rPr>
          <w:rFonts w:ascii="Calibri" w:eastAsia="Times New Roman" w:hAnsi="Calibri" w:cs="Times New Roman"/>
          <w:b/>
          <w:bCs/>
          <w:sz w:val="28"/>
          <w:szCs w:val="24"/>
        </w:rPr>
        <w:t>Timber/bamboo packaging t</w:t>
      </w:r>
      <w:r w:rsidR="004C5009" w:rsidRPr="004C5009">
        <w:rPr>
          <w:rFonts w:ascii="Calibri" w:eastAsia="Times New Roman" w:hAnsi="Calibri" w:cs="Times New Roman"/>
          <w:b/>
          <w:bCs/>
          <w:sz w:val="28"/>
          <w:szCs w:val="24"/>
        </w:rPr>
        <w:t>reatment</w:t>
      </w:r>
      <w:r w:rsidR="00C262CA" w:rsidRPr="009208D1">
        <w:rPr>
          <w:rFonts w:ascii="Calibri" w:eastAsia="Times New Roman" w:hAnsi="Calibri" w:cs="Times New Roman"/>
          <w:b/>
          <w:bCs/>
          <w:sz w:val="28"/>
          <w:szCs w:val="24"/>
        </w:rPr>
        <w:t xml:space="preserve"> certifi</w:t>
      </w:r>
      <w:r w:rsidR="007E187C">
        <w:rPr>
          <w:rFonts w:ascii="Calibri" w:eastAsia="Times New Roman" w:hAnsi="Calibri" w:cs="Times New Roman"/>
          <w:b/>
          <w:bCs/>
          <w:sz w:val="28"/>
          <w:szCs w:val="24"/>
        </w:rPr>
        <w:t>cation</w:t>
      </w:r>
      <w:r w:rsidR="00C262CA">
        <w:t xml:space="preserve"> </w:t>
      </w:r>
      <w:r w:rsidR="00C262CA">
        <w:br/>
      </w:r>
      <w:r w:rsidR="001D7544" w:rsidRPr="00407ABE">
        <w:t>A treatment certificate</w:t>
      </w:r>
      <w:r w:rsidR="00B41106">
        <w:t xml:space="preserve">, </w:t>
      </w:r>
      <w:r w:rsidR="001D7544" w:rsidRPr="00407ABE">
        <w:t xml:space="preserve">phytosanitary or government treatment certificate (not ISPM 15 treated) that meets </w:t>
      </w:r>
      <w:r w:rsidR="00C47E15">
        <w:t xml:space="preserve">the department’s </w:t>
      </w:r>
      <w:r w:rsidR="001D7544" w:rsidRPr="00407ABE">
        <w:t xml:space="preserve">treatment requirements as outlined in the import conditions for </w:t>
      </w:r>
      <w:r w:rsidR="001D7544">
        <w:t>t</w:t>
      </w:r>
      <w:r w:rsidR="001D7544" w:rsidRPr="00407ABE">
        <w:t>imber</w:t>
      </w:r>
      <w:r w:rsidR="00496833">
        <w:t>/bamboo</w:t>
      </w:r>
      <w:r w:rsidR="001D7544" w:rsidRPr="00407ABE">
        <w:t xml:space="preserve"> packaging and dunnage</w:t>
      </w:r>
      <w:r w:rsidR="001D7544">
        <w:t xml:space="preserve"> will be accepted</w:t>
      </w:r>
      <w:r w:rsidR="00B41106">
        <w:t xml:space="preserve"> as evidence that the packaging meets </w:t>
      </w:r>
      <w:r w:rsidR="00C47E15">
        <w:t>the department’s</w:t>
      </w:r>
      <w:r w:rsidR="00B41106">
        <w:t xml:space="preserve"> import conditions</w:t>
      </w:r>
      <w:r w:rsidR="005B2F35">
        <w:t>.</w:t>
      </w:r>
    </w:p>
    <w:p w14:paraId="6ECD3A77" w14:textId="7C8AE8E3" w:rsidR="00E21E6D" w:rsidRPr="00C035FC" w:rsidRDefault="00906D46" w:rsidP="00511EA2">
      <w:pPr>
        <w:rPr>
          <w:b/>
        </w:rPr>
      </w:pPr>
      <w:r w:rsidRPr="00C035FC">
        <w:rPr>
          <w:b/>
        </w:rPr>
        <w:t>Note:</w:t>
      </w:r>
      <w:r w:rsidRPr="00C035FC">
        <w:t xml:space="preserve"> </w:t>
      </w:r>
      <w:r w:rsidR="001D7544" w:rsidRPr="00C035FC">
        <w:t>If timber</w:t>
      </w:r>
      <w:r w:rsidR="00BE2833" w:rsidRPr="00C035FC">
        <w:t>/bamboo</w:t>
      </w:r>
      <w:r w:rsidR="001D7544" w:rsidRPr="00C035FC">
        <w:t xml:space="preserve"> packaging is declared and an acceptable treatment certificate is provided, no further action is required</w:t>
      </w:r>
      <w:r w:rsidR="00797E0A" w:rsidRPr="00C035FC">
        <w:rPr>
          <w:b/>
        </w:rPr>
        <w:t>.</w:t>
      </w:r>
    </w:p>
    <w:p w14:paraId="427721A1" w14:textId="28F8314A" w:rsidR="00DB2355" w:rsidRPr="00C035FC" w:rsidRDefault="001D7544" w:rsidP="00511EA2">
      <w:pPr>
        <w:rPr>
          <w:rFonts w:ascii="Calibri" w:hAnsi="Calibri"/>
        </w:rPr>
      </w:pPr>
      <w:r w:rsidRPr="004D1FBF">
        <w:rPr>
          <w:b/>
        </w:rPr>
        <w:t xml:space="preserve">Action: </w:t>
      </w:r>
      <w:r>
        <w:t xml:space="preserve">Where no evidence is provided that the </w:t>
      </w:r>
      <w:r w:rsidR="00BE2833">
        <w:t>packaging</w:t>
      </w:r>
      <w:r>
        <w:t>/dunnage has been treated, the consignment will be directed for inspection and/or treatment</w:t>
      </w:r>
      <w:r w:rsidR="008263C8">
        <w:t>.</w:t>
      </w:r>
    </w:p>
    <w:p w14:paraId="3BEC4E82" w14:textId="258AEE43" w:rsidR="00184CFA" w:rsidRDefault="007143A8" w:rsidP="00184CFA">
      <w:pPr>
        <w:pStyle w:val="Heading4"/>
        <w:keepNext/>
      </w:pPr>
      <w:r>
        <w:t xml:space="preserve"> </w:t>
      </w:r>
      <w:r w:rsidR="00184CFA" w:rsidRPr="00293765">
        <w:t>Cleanliness statement</w:t>
      </w:r>
    </w:p>
    <w:p w14:paraId="738CA777" w14:textId="77777777" w:rsidR="00184CFA" w:rsidRDefault="00184CFA" w:rsidP="00797E0A">
      <w:r>
        <w:t>Various cargo types require a statement to be made indicating whether the container has been cleaned prior to loading. Cleanliness statements are not required for LCL consignments.</w:t>
      </w:r>
    </w:p>
    <w:p w14:paraId="7601830D" w14:textId="77777777" w:rsidR="00184CFA" w:rsidRDefault="00184CFA" w:rsidP="00797E0A">
      <w:r>
        <w:t>A container cleanliness statement should read: ‘The container(s) covered by this document has/have been cleaned and is/are free from material of animal and/or plant origin and soil’.</w:t>
      </w:r>
    </w:p>
    <w:p w14:paraId="330D8F9F" w14:textId="77777777" w:rsidR="00184CFA" w:rsidRDefault="00184CFA" w:rsidP="00797E0A">
      <w:r>
        <w:t>For annual packing declarations only, the container cleanliness statement should read: ‘The container(s) covered by this document will be cleaned and will be free from material of animal and/or plant origin and soil’.</w:t>
      </w:r>
    </w:p>
    <w:p w14:paraId="2A4B9104" w14:textId="76B3E046" w:rsidR="00184CFA" w:rsidRDefault="007D68FD" w:rsidP="00797E0A">
      <w:r>
        <w:t>The department</w:t>
      </w:r>
      <w:r w:rsidR="005B2F35">
        <w:t xml:space="preserve"> </w:t>
      </w:r>
      <w:r w:rsidR="00184CFA">
        <w:t>will accept</w:t>
      </w:r>
      <w:r w:rsidR="00204D2C">
        <w:t xml:space="preserve"> this statement</w:t>
      </w:r>
      <w:r w:rsidR="00184CFA">
        <w:t xml:space="preserve"> on</w:t>
      </w:r>
      <w:r w:rsidR="0029562F">
        <w:t xml:space="preserve"> a</w:t>
      </w:r>
      <w:r w:rsidR="00184CFA">
        <w:t>:</w:t>
      </w:r>
    </w:p>
    <w:p w14:paraId="30072085" w14:textId="77777777" w:rsidR="00184CFA" w:rsidRDefault="00184CFA" w:rsidP="00797E0A">
      <w:pPr>
        <w:pStyle w:val="ListBullet"/>
      </w:pPr>
      <w:r>
        <w:t>cleanliness declaration</w:t>
      </w:r>
    </w:p>
    <w:p w14:paraId="1C774E88" w14:textId="77777777" w:rsidR="00184CFA" w:rsidRDefault="00184CFA" w:rsidP="00797E0A">
      <w:pPr>
        <w:pStyle w:val="ListBullet"/>
      </w:pPr>
      <w:r>
        <w:t>packing declaration</w:t>
      </w:r>
    </w:p>
    <w:p w14:paraId="280C846F" w14:textId="77777777" w:rsidR="00184CFA" w:rsidRDefault="00184CFA" w:rsidP="00797E0A">
      <w:pPr>
        <w:pStyle w:val="ListBullet"/>
      </w:pPr>
      <w:r>
        <w:t>packing list</w:t>
      </w:r>
    </w:p>
    <w:p w14:paraId="034165AD" w14:textId="77777777" w:rsidR="00184CFA" w:rsidRDefault="00184CFA" w:rsidP="00797E0A">
      <w:pPr>
        <w:pStyle w:val="ListBullet"/>
      </w:pPr>
      <w:r>
        <w:t>invoice.</w:t>
      </w:r>
    </w:p>
    <w:p w14:paraId="7EE65F08" w14:textId="12A61A8E" w:rsidR="00184CFA" w:rsidRDefault="00A42634" w:rsidP="00797E0A">
      <w:pPr>
        <w:rPr>
          <w:b/>
        </w:rPr>
      </w:pPr>
      <w:r>
        <w:t xml:space="preserve">For FCX consignments where it can be demonstrated that packing has been done by </w:t>
      </w:r>
      <w:r w:rsidR="00D501C5">
        <w:t xml:space="preserve">one </w:t>
      </w:r>
      <w:r>
        <w:t>supplier</w:t>
      </w:r>
      <w:r w:rsidR="00D501C5">
        <w:t xml:space="preserve"> or by a </w:t>
      </w:r>
      <w:r w:rsidR="00B43503">
        <w:t>third-party</w:t>
      </w:r>
      <w:r w:rsidR="00D501C5">
        <w:t xml:space="preserve"> consolidator</w:t>
      </w:r>
      <w:r>
        <w:t>,</w:t>
      </w:r>
      <w:r w:rsidR="00184CFA" w:rsidRPr="00FE62AB">
        <w:t xml:space="preserve"> </w:t>
      </w:r>
      <w:r w:rsidR="007D68FD">
        <w:t>the department</w:t>
      </w:r>
      <w:r w:rsidR="005B2F35">
        <w:t xml:space="preserve"> </w:t>
      </w:r>
      <w:r w:rsidR="00184CFA" w:rsidRPr="00FE62AB">
        <w:t>will accept a single supplier packing declaration or cleanliness declaration provided the container number is used as a link to the consignment.</w:t>
      </w:r>
    </w:p>
    <w:p w14:paraId="66D8B728" w14:textId="34E3B8D8" w:rsidR="00184CFA" w:rsidRDefault="00184CFA" w:rsidP="00797E0A">
      <w:r w:rsidRPr="00D81AE9">
        <w:rPr>
          <w:b/>
        </w:rPr>
        <w:t xml:space="preserve">Action: </w:t>
      </w:r>
      <w:r w:rsidRPr="00D81AE9">
        <w:t xml:space="preserve">FCL/X consignments not covered by an acceptable container cleanliness statement will be directed for inspection (except </w:t>
      </w:r>
      <w:r w:rsidR="00012D9D">
        <w:t xml:space="preserve">ISO tanks and </w:t>
      </w:r>
      <w:r w:rsidRPr="00D81AE9">
        <w:t>dangerous</w:t>
      </w:r>
      <w:r w:rsidR="00906D46">
        <w:t xml:space="preserve"> or hard frozen</w:t>
      </w:r>
      <w:r w:rsidRPr="00D81AE9">
        <w:t xml:space="preserve"> goods) to verify the container’s cleanliness and compliance with </w:t>
      </w:r>
      <w:r w:rsidR="00C47E15">
        <w:t>the department’s</w:t>
      </w:r>
      <w:r w:rsidRPr="00D81AE9">
        <w:t xml:space="preserve"> packaging requirements.</w:t>
      </w:r>
    </w:p>
    <w:p w14:paraId="39545680" w14:textId="77777777" w:rsidR="00AF56A8" w:rsidRPr="00AA7DDF" w:rsidRDefault="0064278F" w:rsidP="00724293">
      <w:pPr>
        <w:pStyle w:val="Heading3"/>
      </w:pPr>
      <w:bookmarkStart w:id="51" w:name="_Toc423605776"/>
      <w:bookmarkStart w:id="52" w:name="_Toc424544670"/>
      <w:bookmarkStart w:id="53" w:name="_Toc70596422"/>
      <w:bookmarkStart w:id="54" w:name="_Toc70949417"/>
      <w:r w:rsidRPr="00AA7DDF">
        <w:t>Considerations</w:t>
      </w:r>
      <w:bookmarkEnd w:id="51"/>
      <w:bookmarkEnd w:id="52"/>
      <w:bookmarkEnd w:id="53"/>
      <w:bookmarkEnd w:id="54"/>
    </w:p>
    <w:p w14:paraId="73874FB4" w14:textId="77777777" w:rsidR="002D240C" w:rsidRPr="00D81AE9" w:rsidRDefault="000B518E" w:rsidP="002D240C">
      <w:pPr>
        <w:pStyle w:val="Heading4"/>
      </w:pPr>
      <w:r w:rsidRPr="00D81AE9">
        <w:t>Consignments containing d</w:t>
      </w:r>
      <w:r w:rsidR="002D240C" w:rsidRPr="00D81AE9">
        <w:t>angerous goods</w:t>
      </w:r>
    </w:p>
    <w:p w14:paraId="2909991D" w14:textId="6B8A6871" w:rsidR="00092132" w:rsidRPr="00DD0DEF" w:rsidRDefault="00C1262B" w:rsidP="00797E0A">
      <w:r w:rsidRPr="00DD0DEF">
        <w:t xml:space="preserve">Consignments of containerised dangerous goods are exempt from inspections </w:t>
      </w:r>
      <w:r w:rsidR="00E86AF8" w:rsidRPr="00DD0DEF">
        <w:t>for</w:t>
      </w:r>
      <w:r w:rsidRPr="00DD0DEF">
        <w:t xml:space="preserve"> packaging and internal container cleanliness concerns. This </w:t>
      </w:r>
      <w:r w:rsidR="00012D9D">
        <w:t>is due to</w:t>
      </w:r>
      <w:r w:rsidRPr="00DD0DEF">
        <w:t xml:space="preserve"> the work health and safety related risk associated with these types of consignments.</w:t>
      </w:r>
    </w:p>
    <w:p w14:paraId="7043B696" w14:textId="6975723B" w:rsidR="00092132" w:rsidRDefault="008056E8" w:rsidP="00797E0A">
      <w:r>
        <w:t>T</w:t>
      </w:r>
      <w:r w:rsidR="00D43BEF" w:rsidRPr="00D81AE9">
        <w:t xml:space="preserve">he </w:t>
      </w:r>
      <w:r w:rsidR="00085945">
        <w:t>person in charge of goods</w:t>
      </w:r>
      <w:r w:rsidR="00A172D9">
        <w:t>,</w:t>
      </w:r>
      <w:r w:rsidR="00085945" w:rsidRPr="00D81AE9">
        <w:t xml:space="preserve"> </w:t>
      </w:r>
      <w:r w:rsidR="00D43BEF" w:rsidRPr="00D81AE9">
        <w:t xml:space="preserve">or </w:t>
      </w:r>
      <w:r w:rsidR="00A172D9">
        <w:t xml:space="preserve">the </w:t>
      </w:r>
      <w:r w:rsidR="00554513">
        <w:t xml:space="preserve">customs </w:t>
      </w:r>
      <w:r w:rsidR="00D43BEF" w:rsidRPr="00D81AE9">
        <w:t xml:space="preserve">broker </w:t>
      </w:r>
      <w:r>
        <w:t>is responsible for</w:t>
      </w:r>
      <w:r w:rsidR="00D43BEF" w:rsidRPr="00D81AE9">
        <w:t xml:space="preserve"> notify</w:t>
      </w:r>
      <w:r>
        <w:t>ing</w:t>
      </w:r>
      <w:r w:rsidR="00D43BEF" w:rsidRPr="00D81AE9">
        <w:t xml:space="preserve"> </w:t>
      </w:r>
      <w:r w:rsidR="00E90158">
        <w:t xml:space="preserve">the department </w:t>
      </w:r>
      <w:r w:rsidR="00D43BEF" w:rsidRPr="00D81AE9">
        <w:t>of any potential hazards associated with the dangerous goods in the consignment.</w:t>
      </w:r>
    </w:p>
    <w:p w14:paraId="70C09C83" w14:textId="77777777" w:rsidR="00092132" w:rsidRDefault="00E70E01">
      <w:pPr>
        <w:pStyle w:val="Heading4"/>
        <w:keepNext/>
      </w:pPr>
      <w:r w:rsidRPr="00293765">
        <w:lastRenderedPageBreak/>
        <w:t>External container cleanliness</w:t>
      </w:r>
    </w:p>
    <w:p w14:paraId="28414FE4" w14:textId="69228DA9" w:rsidR="00092132" w:rsidRDefault="00E70E01" w:rsidP="00797E0A">
      <w:r w:rsidRPr="00FE75E1">
        <w:t>The cleanliness of the external surfaces of both empty and full shipping containers leaving the wharf</w:t>
      </w:r>
      <w:r w:rsidR="00CB7619">
        <w:t>,</w:t>
      </w:r>
      <w:r w:rsidRPr="00FE75E1">
        <w:t xml:space="preserve"> is randomly </w:t>
      </w:r>
      <w:proofErr w:type="gramStart"/>
      <w:r w:rsidRPr="00FE75E1">
        <w:t>assessed</w:t>
      </w:r>
      <w:proofErr w:type="gramEnd"/>
      <w:r w:rsidRPr="00FE75E1">
        <w:t xml:space="preserve"> and managed </w:t>
      </w:r>
      <w:r w:rsidR="007546BA">
        <w:t>through</w:t>
      </w:r>
      <w:r w:rsidR="007546BA" w:rsidRPr="00FE75E1">
        <w:t xml:space="preserve"> </w:t>
      </w:r>
      <w:r w:rsidRPr="00FE75E1">
        <w:t>wharf-gate inspections. Failed external inspections can be sent for external cleaning at a</w:t>
      </w:r>
      <w:r w:rsidR="00884C67">
        <w:t>n</w:t>
      </w:r>
      <w:r w:rsidRPr="00FE75E1">
        <w:t xml:space="preserve"> </w:t>
      </w:r>
      <w:r w:rsidR="00884C67">
        <w:t>approved arrangement site</w:t>
      </w:r>
      <w:r w:rsidRPr="00FE75E1">
        <w:t xml:space="preserve">, </w:t>
      </w:r>
      <w:r w:rsidR="00573333" w:rsidRPr="00FE75E1">
        <w:t>then</w:t>
      </w:r>
      <w:r w:rsidRPr="00FE75E1">
        <w:t xml:space="preserve"> re-inspected by department officers</w:t>
      </w:r>
      <w:r w:rsidR="00797E0A">
        <w:t xml:space="preserve"> or by </w:t>
      </w:r>
      <w:r w:rsidR="00C6781D">
        <w:t xml:space="preserve">the staff of an </w:t>
      </w:r>
      <w:r w:rsidR="00797E0A">
        <w:t xml:space="preserve">approved </w:t>
      </w:r>
      <w:r w:rsidR="00811E71">
        <w:t>site.</w:t>
      </w:r>
    </w:p>
    <w:p w14:paraId="6CA2B2DF" w14:textId="77777777" w:rsidR="00A972CC" w:rsidRPr="00293765" w:rsidRDefault="0064278F" w:rsidP="00AA7DDF">
      <w:pPr>
        <w:pStyle w:val="Heading4"/>
      </w:pPr>
      <w:r w:rsidRPr="00293765">
        <w:t>Previously accepted statements</w:t>
      </w:r>
    </w:p>
    <w:p w14:paraId="38B4F512" w14:textId="1EA4079C" w:rsidR="00092132" w:rsidRDefault="00031715" w:rsidP="00797E0A">
      <w:r>
        <w:t xml:space="preserve">Where application of this policy would prevent a previously acceptable document from being accepted, the </w:t>
      </w:r>
      <w:r w:rsidR="00583AC6">
        <w:t>biosecurity officer</w:t>
      </w:r>
      <w:r>
        <w:t xml:space="preserve"> is to consult their supervisor/manager </w:t>
      </w:r>
      <w:r w:rsidR="007546BA">
        <w:t>before</w:t>
      </w:r>
      <w:r>
        <w:t xml:space="preserve"> contacting the </w:t>
      </w:r>
      <w:r w:rsidR="00EA3E18">
        <w:t>C</w:t>
      </w:r>
      <w:r w:rsidR="00041035">
        <w:t>argo and conveyances</w:t>
      </w:r>
      <w:r w:rsidR="00EA3E18">
        <w:t xml:space="preserve"> branch </w:t>
      </w:r>
      <w:r>
        <w:t>for clarification.</w:t>
      </w:r>
    </w:p>
    <w:p w14:paraId="112A8849" w14:textId="77777777" w:rsidR="00A972CC" w:rsidRPr="00293765" w:rsidRDefault="0064278F" w:rsidP="00AA7DDF">
      <w:pPr>
        <w:pStyle w:val="Heading4"/>
      </w:pPr>
      <w:r w:rsidRPr="00293765">
        <w:t>Periodic review</w:t>
      </w:r>
    </w:p>
    <w:p w14:paraId="27BB1CB5" w14:textId="2DBA074B" w:rsidR="00092132" w:rsidRDefault="007D68FD" w:rsidP="00797E0A">
      <w:r>
        <w:t>The department</w:t>
      </w:r>
      <w:r w:rsidR="005B2F35">
        <w:t xml:space="preserve"> </w:t>
      </w:r>
      <w:r w:rsidR="00B7178D">
        <w:t>will review t</w:t>
      </w:r>
      <w:r w:rsidR="00CD6564">
        <w:t>his policy every three years or as required.</w:t>
      </w:r>
    </w:p>
    <w:p w14:paraId="50490A78" w14:textId="40E73670" w:rsidR="00092132" w:rsidRDefault="00CD6564" w:rsidP="00797E0A">
      <w:r>
        <w:t>The department welcome</w:t>
      </w:r>
      <w:r w:rsidR="007D68FD">
        <w:t>s</w:t>
      </w:r>
      <w:r>
        <w:t xml:space="preserve"> feedback at any time and may conduct a review earlier if required to ensure the requirements outlined in this document reflect </w:t>
      </w:r>
      <w:r w:rsidR="00B7178D">
        <w:t xml:space="preserve">current </w:t>
      </w:r>
      <w:r>
        <w:t>business practices.</w:t>
      </w:r>
    </w:p>
    <w:p w14:paraId="03E07704" w14:textId="2F6E3F1A" w:rsidR="00BD1B93" w:rsidRDefault="00BD1B93" w:rsidP="00BD1B93">
      <w:pPr>
        <w:pStyle w:val="Heading4"/>
      </w:pPr>
      <w:r>
        <w:t>Consultation</w:t>
      </w:r>
    </w:p>
    <w:p w14:paraId="4DF06DF0" w14:textId="3E7AB0E1" w:rsidR="000835C8" w:rsidRDefault="000835C8" w:rsidP="00797E0A">
      <w:r>
        <w:t>All changes made to this policy are subject to consultation with departmental policy and service delivery staff as well as with key industry stakeholders.</w:t>
      </w:r>
    </w:p>
    <w:p w14:paraId="1D2378B6" w14:textId="77777777" w:rsidR="00A972CC" w:rsidRPr="00AA7DDF" w:rsidRDefault="0064278F" w:rsidP="00724293">
      <w:pPr>
        <w:pStyle w:val="Heading3"/>
      </w:pPr>
      <w:bookmarkStart w:id="55" w:name="_Toc423605777"/>
      <w:bookmarkStart w:id="56" w:name="_Toc424544671"/>
      <w:bookmarkStart w:id="57" w:name="_Toc70596423"/>
      <w:bookmarkStart w:id="58" w:name="_Toc70949418"/>
      <w:r w:rsidRPr="00AA7DDF">
        <w:t>Related documents/information</w:t>
      </w:r>
      <w:bookmarkEnd w:id="55"/>
      <w:bookmarkEnd w:id="56"/>
      <w:bookmarkEnd w:id="57"/>
      <w:bookmarkEnd w:id="58"/>
    </w:p>
    <w:p w14:paraId="74DA8CCB" w14:textId="6DB6D4DA" w:rsidR="00A972CC" w:rsidRPr="00293765" w:rsidRDefault="0064278F" w:rsidP="00AA7DDF">
      <w:pPr>
        <w:pStyle w:val="Heading4"/>
      </w:pPr>
      <w:r w:rsidRPr="00293765">
        <w:t>Minimum document</w:t>
      </w:r>
      <w:r w:rsidR="005313BD">
        <w:t>ary</w:t>
      </w:r>
      <w:r w:rsidRPr="00293765">
        <w:t xml:space="preserve"> requirements</w:t>
      </w:r>
    </w:p>
    <w:p w14:paraId="03A6A0E0" w14:textId="32589156" w:rsidR="003D2C0B" w:rsidRDefault="0064278F" w:rsidP="00797E0A">
      <w:r>
        <w:t xml:space="preserve">Each statement must be made on a document that complies with </w:t>
      </w:r>
      <w:r w:rsidRPr="007374B3">
        <w:t xml:space="preserve">the </w:t>
      </w:r>
      <w:hyperlink r:id="rId32" w:history="1">
        <w:r w:rsidR="00C458E1" w:rsidRPr="003D2C0B">
          <w:rPr>
            <w:rStyle w:val="Hyperlink"/>
          </w:rPr>
          <w:t>Minimum documentary and import declaration requirements policy</w:t>
        </w:r>
      </w:hyperlink>
      <w:r>
        <w:t xml:space="preserve">. </w:t>
      </w:r>
      <w:hyperlink r:id="rId33" w:history="1">
        <w:r w:rsidR="003D2C0B" w:rsidRPr="003D2C0B">
          <w:rPr>
            <w:rStyle w:val="Hyperlink"/>
          </w:rPr>
          <w:t>Acceptable documentation templates</w:t>
        </w:r>
      </w:hyperlink>
      <w:r w:rsidR="003D2C0B">
        <w:t xml:space="preserve"> are provided on </w:t>
      </w:r>
      <w:r w:rsidR="00C47E15">
        <w:t>the department’s</w:t>
      </w:r>
      <w:r w:rsidR="005B2F35">
        <w:t xml:space="preserve"> website.</w:t>
      </w:r>
    </w:p>
    <w:p w14:paraId="79BB9C5D" w14:textId="7868AC82" w:rsidR="00031715" w:rsidRDefault="00CF3BDA" w:rsidP="00AA7DDF">
      <w:pPr>
        <w:pStyle w:val="Heading4"/>
      </w:pPr>
      <w:r>
        <w:t xml:space="preserve">Class 19 </w:t>
      </w:r>
      <w:r w:rsidR="00CB7619">
        <w:t>a</w:t>
      </w:r>
      <w:r w:rsidR="00B40D6F">
        <w:t xml:space="preserve">pproved </w:t>
      </w:r>
      <w:r w:rsidR="00EB6218">
        <w:t>a</w:t>
      </w:r>
      <w:r w:rsidR="00B40D6F">
        <w:t>rrangement</w:t>
      </w:r>
      <w:r w:rsidR="00031715">
        <w:t xml:space="preserve"> </w:t>
      </w:r>
      <w:r w:rsidR="00CB7619">
        <w:t>requirements and conditions policies</w:t>
      </w:r>
    </w:p>
    <w:p w14:paraId="366F7A6C" w14:textId="7FA8145D" w:rsidR="0083646F" w:rsidRPr="0083646F" w:rsidRDefault="0083646F" w:rsidP="00797E0A">
      <w:r w:rsidRPr="0083646F">
        <w:t>This policy document should be read in conjunction with</w:t>
      </w:r>
      <w:r w:rsidR="00F7598D">
        <w:t>:</w:t>
      </w:r>
    </w:p>
    <w:p w14:paraId="772367CB" w14:textId="5DFA85B7" w:rsidR="009553D0" w:rsidRDefault="00A008CD" w:rsidP="00797E0A">
      <w:pPr>
        <w:pStyle w:val="ListBullet"/>
      </w:pPr>
      <w:hyperlink r:id="rId34" w:anchor="class-19" w:history="1">
        <w:r w:rsidR="009553D0" w:rsidRPr="009553D0">
          <w:rPr>
            <w:rStyle w:val="Hyperlink"/>
          </w:rPr>
          <w:t>Requirements and conditions for approved arrangement class 19.1: non-commodity for containerised cargo clearance</w:t>
        </w:r>
      </w:hyperlink>
    </w:p>
    <w:p w14:paraId="67F1137B" w14:textId="6DBCA28B" w:rsidR="009553D0" w:rsidRPr="002E50B3" w:rsidRDefault="00A008CD" w:rsidP="00797E0A">
      <w:pPr>
        <w:pStyle w:val="ListBullet"/>
        <w:rPr>
          <w:rStyle w:val="Hyperlink"/>
          <w:color w:val="auto"/>
          <w:u w:val="none"/>
        </w:rPr>
      </w:pPr>
      <w:hyperlink r:id="rId35" w:anchor="class-19" w:history="1">
        <w:r w:rsidR="009553D0" w:rsidRPr="009553D0">
          <w:rPr>
            <w:rStyle w:val="Hyperlink"/>
          </w:rPr>
          <w:t>Requirements and conditions for approved arrangement class 19.2: automatic entry processing for commodities</w:t>
        </w:r>
      </w:hyperlink>
      <w:r w:rsidR="008263C8">
        <w:rPr>
          <w:rStyle w:val="Hyperlink"/>
        </w:rPr>
        <w:t>.</w:t>
      </w:r>
    </w:p>
    <w:p w14:paraId="7FB297AE" w14:textId="6F5228FC" w:rsidR="002E50B3" w:rsidRDefault="002E50B3" w:rsidP="002E50B3">
      <w:pPr>
        <w:pStyle w:val="Heading4"/>
      </w:pPr>
      <w:r>
        <w:t>BICON</w:t>
      </w:r>
    </w:p>
    <w:p w14:paraId="0171FCE1" w14:textId="3DFB3E7D" w:rsidR="002E50B3" w:rsidRDefault="002E50B3" w:rsidP="002E50B3">
      <w:r w:rsidRPr="0083646F">
        <w:t>This policy document should be read in conjunction with</w:t>
      </w:r>
      <w:r>
        <w:t>:</w:t>
      </w:r>
    </w:p>
    <w:p w14:paraId="6A990D76" w14:textId="3DEFEFEE" w:rsidR="002E50B3" w:rsidRDefault="002E50B3" w:rsidP="002E50B3">
      <w:pPr>
        <w:pStyle w:val="ListParagraph"/>
        <w:numPr>
          <w:ilvl w:val="0"/>
          <w:numId w:val="54"/>
        </w:numPr>
      </w:pPr>
      <w:r>
        <w:t xml:space="preserve">Non-commodity </w:t>
      </w:r>
      <w:hyperlink r:id="rId36" w:history="1">
        <w:r w:rsidRPr="00D106B9">
          <w:rPr>
            <w:rStyle w:val="Hyperlink"/>
          </w:rPr>
          <w:t>BICON</w:t>
        </w:r>
      </w:hyperlink>
      <w:r>
        <w:t xml:space="preserve"> case</w:t>
      </w:r>
    </w:p>
    <w:p w14:paraId="54ED0055" w14:textId="76AB9232" w:rsidR="002E50B3" w:rsidRPr="0083646F" w:rsidRDefault="00451A7A" w:rsidP="002E50B3">
      <w:pPr>
        <w:pStyle w:val="ListParagraph"/>
        <w:numPr>
          <w:ilvl w:val="0"/>
          <w:numId w:val="54"/>
        </w:numPr>
      </w:pPr>
      <w:r>
        <w:t>k</w:t>
      </w:r>
      <w:r w:rsidR="002E50B3">
        <w:t xml:space="preserve">hapra beetle sea container measures </w:t>
      </w:r>
      <w:hyperlink r:id="rId37" w:history="1">
        <w:r w:rsidR="002E50B3" w:rsidRPr="00D106B9">
          <w:rPr>
            <w:rStyle w:val="Hyperlink"/>
          </w:rPr>
          <w:t>BICON</w:t>
        </w:r>
      </w:hyperlink>
      <w:r w:rsidR="002E50B3">
        <w:t xml:space="preserve"> case</w:t>
      </w:r>
      <w:r w:rsidR="008263C8">
        <w:t>.</w:t>
      </w:r>
    </w:p>
    <w:p w14:paraId="45D461A4" w14:textId="77777777" w:rsidR="002E50B3" w:rsidRPr="00C035FC" w:rsidRDefault="002E50B3" w:rsidP="00C035FC">
      <w:pPr>
        <w:pStyle w:val="ListBullet"/>
        <w:numPr>
          <w:ilvl w:val="0"/>
          <w:numId w:val="0"/>
        </w:numPr>
        <w:ind w:left="360" w:hanging="360"/>
      </w:pPr>
    </w:p>
    <w:sectPr w:rsidR="002E50B3" w:rsidRPr="00C035FC" w:rsidSect="008B3B0C">
      <w:pgSz w:w="11906" w:h="16838"/>
      <w:pgMar w:top="1418" w:right="1418" w:bottom="1418" w:left="1418" w:header="567"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DB98" w14:textId="77777777" w:rsidR="00F81A03" w:rsidRDefault="00F81A03" w:rsidP="00267841">
      <w:r>
        <w:separator/>
      </w:r>
    </w:p>
    <w:p w14:paraId="50660E31" w14:textId="77777777" w:rsidR="00F81A03" w:rsidRDefault="00F81A03"/>
    <w:p w14:paraId="763B3B93" w14:textId="77777777" w:rsidR="00F81A03" w:rsidRDefault="00F81A03"/>
  </w:endnote>
  <w:endnote w:type="continuationSeparator" w:id="0">
    <w:p w14:paraId="3B574851" w14:textId="77777777" w:rsidR="00F81A03" w:rsidRDefault="00F81A03" w:rsidP="00267841">
      <w:r>
        <w:continuationSeparator/>
      </w:r>
    </w:p>
    <w:p w14:paraId="1E7E3108" w14:textId="77777777" w:rsidR="00F81A03" w:rsidRDefault="00F81A03"/>
    <w:p w14:paraId="6A2BBF12" w14:textId="77777777" w:rsidR="00F81A03" w:rsidRDefault="00F81A03"/>
  </w:endnote>
  <w:endnote w:type="continuationNotice" w:id="1">
    <w:p w14:paraId="689A45C3" w14:textId="77777777" w:rsidR="00F81A03" w:rsidRPr="00696C70" w:rsidRDefault="00F81A03" w:rsidP="00CF1789">
      <w:pPr>
        <w:pStyle w:val="Footer"/>
      </w:pPr>
    </w:p>
    <w:p w14:paraId="01732C26" w14:textId="77777777" w:rsidR="00F81A03" w:rsidRDefault="00F81A03"/>
    <w:p w14:paraId="3A716D45" w14:textId="77777777" w:rsidR="00F81A03" w:rsidRDefault="00F81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496769"/>
      <w:docPartObj>
        <w:docPartGallery w:val="Page Numbers (Bottom of Page)"/>
        <w:docPartUnique/>
      </w:docPartObj>
    </w:sdtPr>
    <w:sdtEndPr/>
    <w:sdtContent>
      <w:p w14:paraId="335703BE" w14:textId="19ABC7C7" w:rsidR="00B9265B" w:rsidRDefault="00B9265B" w:rsidP="00130F69">
        <w:pPr>
          <w:pStyle w:val="Footer"/>
          <w:jc w:val="center"/>
        </w:pPr>
        <w:r>
          <w:t xml:space="preserve">Department of Agriculture, </w:t>
        </w:r>
        <w:proofErr w:type="gramStart"/>
        <w:r>
          <w:t>Water</w:t>
        </w:r>
        <w:proofErr w:type="gramEnd"/>
        <w:r>
          <w:t xml:space="preserve"> and the Environment</w:t>
        </w:r>
      </w:p>
      <w:p w14:paraId="2C37558F" w14:textId="77777777" w:rsidR="00B9265B" w:rsidRDefault="00B9265B" w:rsidP="00130F69">
        <w:pPr>
          <w:pStyle w:val="Footer"/>
          <w:jc w:val="center"/>
        </w:pPr>
        <w:r>
          <w:fldChar w:fldCharType="begin"/>
        </w:r>
        <w:r>
          <w:instrText xml:space="preserve"> PAGE   \* MERGEFORMAT </w:instrText>
        </w:r>
        <w:r>
          <w:fldChar w:fldCharType="separate"/>
        </w:r>
        <w:r w:rsidR="00A67ED4">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AA20" w14:textId="77777777" w:rsidR="00B9265B" w:rsidRDefault="00B9265B" w:rsidP="00130F6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473E" w14:textId="77777777" w:rsidR="00F81A03" w:rsidRDefault="00F81A03" w:rsidP="00267841">
      <w:r>
        <w:separator/>
      </w:r>
    </w:p>
    <w:p w14:paraId="4AF8DAFB" w14:textId="77777777" w:rsidR="00F81A03" w:rsidRDefault="00F81A03"/>
    <w:p w14:paraId="47F5B7A2" w14:textId="77777777" w:rsidR="00F81A03" w:rsidRDefault="00F81A03"/>
  </w:footnote>
  <w:footnote w:type="continuationSeparator" w:id="0">
    <w:p w14:paraId="6C9C5943" w14:textId="77777777" w:rsidR="00F81A03" w:rsidRDefault="00F81A03" w:rsidP="00267841">
      <w:r>
        <w:continuationSeparator/>
      </w:r>
    </w:p>
    <w:p w14:paraId="45195042" w14:textId="77777777" w:rsidR="00F81A03" w:rsidRDefault="00F81A03"/>
    <w:p w14:paraId="7728C39F" w14:textId="77777777" w:rsidR="00F81A03" w:rsidRDefault="00F81A03"/>
  </w:footnote>
  <w:footnote w:type="continuationNotice" w:id="1">
    <w:p w14:paraId="135831FF" w14:textId="77777777" w:rsidR="00F81A03" w:rsidRPr="00310C6A" w:rsidRDefault="00F81A03" w:rsidP="00CF1789">
      <w:pPr>
        <w:pStyle w:val="Footer"/>
      </w:pPr>
    </w:p>
    <w:p w14:paraId="3982ACEC" w14:textId="77777777" w:rsidR="00F81A03" w:rsidRDefault="00F81A03"/>
    <w:p w14:paraId="6530B6CB" w14:textId="77777777" w:rsidR="00F81A03" w:rsidRDefault="00F81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1554" w14:textId="1B52F3E7" w:rsidR="00B136CA" w:rsidRDefault="00B13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BD5B" w14:textId="5863B624" w:rsidR="00B9265B" w:rsidRDefault="00B9265B" w:rsidP="00130F69">
    <w:pPr>
      <w:pStyle w:val="Header"/>
      <w:jc w:val="center"/>
    </w:pPr>
    <w:r>
      <w:t>Non-commodity information requirements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BC07" w14:textId="0CAB1BB7" w:rsidR="00B9265B" w:rsidRDefault="00B9265B">
    <w:pPr>
      <w:pStyle w:val="Header"/>
    </w:pPr>
    <w:r>
      <w:rPr>
        <w:noProof/>
        <w:lang w:eastAsia="en-AU"/>
      </w:rPr>
      <w:drawing>
        <wp:inline distT="0" distB="0" distL="0" distR="0" wp14:anchorId="45143D43" wp14:editId="4C797527">
          <wp:extent cx="2895889" cy="869132"/>
          <wp:effectExtent l="0" t="0" r="0" b="762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95889" cy="8691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423D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74DD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10F75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42320B32"/>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E406390"/>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470B0A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FCA091A"/>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7382B89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8" w15:restartNumberingAfterBreak="0">
    <w:nsid w:val="01177927"/>
    <w:multiLevelType w:val="multilevel"/>
    <w:tmpl w:val="B75AA1A4"/>
    <w:numStyleLink w:val="headings"/>
  </w:abstractNum>
  <w:abstractNum w:abstractNumId="9" w15:restartNumberingAfterBreak="0">
    <w:nsid w:val="02E379CC"/>
    <w:multiLevelType w:val="hybridMultilevel"/>
    <w:tmpl w:val="B89A8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2E77C36"/>
    <w:multiLevelType w:val="multilevel"/>
    <w:tmpl w:val="B75AA1A4"/>
    <w:numStyleLink w:val="headings"/>
  </w:abstractNum>
  <w:abstractNum w:abstractNumId="11" w15:restartNumberingAfterBreak="0">
    <w:nsid w:val="066D21BC"/>
    <w:multiLevelType w:val="hybridMultilevel"/>
    <w:tmpl w:val="D04A2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F354E0"/>
    <w:multiLevelType w:val="multilevel"/>
    <w:tmpl w:val="B75AA1A4"/>
    <w:numStyleLink w:val="headings"/>
  </w:abstractNum>
  <w:abstractNum w:abstractNumId="13" w15:restartNumberingAfterBreak="0">
    <w:nsid w:val="12853754"/>
    <w:multiLevelType w:val="multilevel"/>
    <w:tmpl w:val="34D09EA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7F0E76"/>
    <w:multiLevelType w:val="multilevel"/>
    <w:tmpl w:val="B75AA1A4"/>
    <w:styleLink w:val="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5" w15:restartNumberingAfterBreak="0">
    <w:nsid w:val="15ED6375"/>
    <w:multiLevelType w:val="hybridMultilevel"/>
    <w:tmpl w:val="83F48618"/>
    <w:lvl w:ilvl="0" w:tplc="97F06232">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240A99"/>
    <w:multiLevelType w:val="hybridMultilevel"/>
    <w:tmpl w:val="64488474"/>
    <w:lvl w:ilvl="0" w:tplc="CC6AB196">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6B606F"/>
    <w:multiLevelType w:val="hybridMultilevel"/>
    <w:tmpl w:val="E0560262"/>
    <w:lvl w:ilvl="0" w:tplc="2774E68A">
      <w:start w:val="1"/>
      <w:numFmt w:val="bullet"/>
      <w:pStyle w:val="TableBullet"/>
      <w:lvlText w:val=""/>
      <w:lvlJc w:val="left"/>
      <w:pPr>
        <w:ind w:left="502" w:hanging="360"/>
      </w:pPr>
      <w:rPr>
        <w:rFonts w:ascii="Symbol" w:hAnsi="Symbol" w:hint="default"/>
      </w:rPr>
    </w:lvl>
    <w:lvl w:ilvl="1" w:tplc="D7F6907A" w:tentative="1">
      <w:start w:val="1"/>
      <w:numFmt w:val="bullet"/>
      <w:lvlText w:val="o"/>
      <w:lvlJc w:val="left"/>
      <w:pPr>
        <w:ind w:left="1222" w:hanging="360"/>
      </w:pPr>
      <w:rPr>
        <w:rFonts w:ascii="Courier New" w:hAnsi="Courier New" w:cs="Courier New" w:hint="default"/>
      </w:rPr>
    </w:lvl>
    <w:lvl w:ilvl="2" w:tplc="0F860D5E" w:tentative="1">
      <w:start w:val="1"/>
      <w:numFmt w:val="bullet"/>
      <w:lvlText w:val=""/>
      <w:lvlJc w:val="left"/>
      <w:pPr>
        <w:ind w:left="1942" w:hanging="360"/>
      </w:pPr>
      <w:rPr>
        <w:rFonts w:ascii="Wingdings" w:hAnsi="Wingdings" w:hint="default"/>
      </w:rPr>
    </w:lvl>
    <w:lvl w:ilvl="3" w:tplc="0D3287B6" w:tentative="1">
      <w:start w:val="1"/>
      <w:numFmt w:val="bullet"/>
      <w:lvlText w:val=""/>
      <w:lvlJc w:val="left"/>
      <w:pPr>
        <w:ind w:left="2662" w:hanging="360"/>
      </w:pPr>
      <w:rPr>
        <w:rFonts w:ascii="Symbol" w:hAnsi="Symbol" w:hint="default"/>
      </w:rPr>
    </w:lvl>
    <w:lvl w:ilvl="4" w:tplc="F4F852D0" w:tentative="1">
      <w:start w:val="1"/>
      <w:numFmt w:val="bullet"/>
      <w:lvlText w:val="o"/>
      <w:lvlJc w:val="left"/>
      <w:pPr>
        <w:ind w:left="3382" w:hanging="360"/>
      </w:pPr>
      <w:rPr>
        <w:rFonts w:ascii="Courier New" w:hAnsi="Courier New" w:cs="Courier New" w:hint="default"/>
      </w:rPr>
    </w:lvl>
    <w:lvl w:ilvl="5" w:tplc="56C8BF6C" w:tentative="1">
      <w:start w:val="1"/>
      <w:numFmt w:val="bullet"/>
      <w:lvlText w:val=""/>
      <w:lvlJc w:val="left"/>
      <w:pPr>
        <w:ind w:left="4102" w:hanging="360"/>
      </w:pPr>
      <w:rPr>
        <w:rFonts w:ascii="Wingdings" w:hAnsi="Wingdings" w:hint="default"/>
      </w:rPr>
    </w:lvl>
    <w:lvl w:ilvl="6" w:tplc="13E81D54" w:tentative="1">
      <w:start w:val="1"/>
      <w:numFmt w:val="bullet"/>
      <w:lvlText w:val=""/>
      <w:lvlJc w:val="left"/>
      <w:pPr>
        <w:ind w:left="4822" w:hanging="360"/>
      </w:pPr>
      <w:rPr>
        <w:rFonts w:ascii="Symbol" w:hAnsi="Symbol" w:hint="default"/>
      </w:rPr>
    </w:lvl>
    <w:lvl w:ilvl="7" w:tplc="79088E44" w:tentative="1">
      <w:start w:val="1"/>
      <w:numFmt w:val="bullet"/>
      <w:lvlText w:val="o"/>
      <w:lvlJc w:val="left"/>
      <w:pPr>
        <w:ind w:left="5542" w:hanging="360"/>
      </w:pPr>
      <w:rPr>
        <w:rFonts w:ascii="Courier New" w:hAnsi="Courier New" w:cs="Courier New" w:hint="default"/>
      </w:rPr>
    </w:lvl>
    <w:lvl w:ilvl="8" w:tplc="50761258" w:tentative="1">
      <w:start w:val="1"/>
      <w:numFmt w:val="bullet"/>
      <w:lvlText w:val=""/>
      <w:lvlJc w:val="left"/>
      <w:pPr>
        <w:ind w:left="6262" w:hanging="360"/>
      </w:pPr>
      <w:rPr>
        <w:rFonts w:ascii="Wingdings" w:hAnsi="Wingdings" w:hint="default"/>
      </w:rPr>
    </w:lvl>
  </w:abstractNum>
  <w:abstractNum w:abstractNumId="18" w15:restartNumberingAfterBreak="0">
    <w:nsid w:val="25BF523A"/>
    <w:multiLevelType w:val="hybridMultilevel"/>
    <w:tmpl w:val="90CC5560"/>
    <w:lvl w:ilvl="0" w:tplc="CED2EEC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4854D5"/>
    <w:multiLevelType w:val="hybridMultilevel"/>
    <w:tmpl w:val="1938DBBE"/>
    <w:lvl w:ilvl="0" w:tplc="FE70BF78">
      <w:start w:val="1"/>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3F5342"/>
    <w:multiLevelType w:val="hybridMultilevel"/>
    <w:tmpl w:val="970C12BE"/>
    <w:lvl w:ilvl="0" w:tplc="140C83EC">
      <w:start w:val="1"/>
      <w:numFmt w:val="bullet"/>
      <w:lvlText w:val=""/>
      <w:lvlJc w:val="left"/>
      <w:pPr>
        <w:ind w:left="720" w:hanging="360"/>
      </w:pPr>
      <w:rPr>
        <w:rFonts w:ascii="Symbol" w:hAnsi="Symbol" w:hint="default"/>
      </w:rPr>
    </w:lvl>
    <w:lvl w:ilvl="1" w:tplc="6A9A075E" w:tentative="1">
      <w:start w:val="1"/>
      <w:numFmt w:val="bullet"/>
      <w:lvlText w:val="o"/>
      <w:lvlJc w:val="left"/>
      <w:pPr>
        <w:ind w:left="1440" w:hanging="360"/>
      </w:pPr>
      <w:rPr>
        <w:rFonts w:ascii="Courier New" w:hAnsi="Courier New" w:cs="Courier New" w:hint="default"/>
      </w:rPr>
    </w:lvl>
    <w:lvl w:ilvl="2" w:tplc="F0882C22" w:tentative="1">
      <w:start w:val="1"/>
      <w:numFmt w:val="bullet"/>
      <w:lvlText w:val=""/>
      <w:lvlJc w:val="left"/>
      <w:pPr>
        <w:ind w:left="2160" w:hanging="360"/>
      </w:pPr>
      <w:rPr>
        <w:rFonts w:ascii="Wingdings" w:hAnsi="Wingdings" w:hint="default"/>
      </w:rPr>
    </w:lvl>
    <w:lvl w:ilvl="3" w:tplc="6966D1FA" w:tentative="1">
      <w:start w:val="1"/>
      <w:numFmt w:val="bullet"/>
      <w:lvlText w:val=""/>
      <w:lvlJc w:val="left"/>
      <w:pPr>
        <w:ind w:left="2880" w:hanging="360"/>
      </w:pPr>
      <w:rPr>
        <w:rFonts w:ascii="Symbol" w:hAnsi="Symbol" w:hint="default"/>
      </w:rPr>
    </w:lvl>
    <w:lvl w:ilvl="4" w:tplc="E014178E" w:tentative="1">
      <w:start w:val="1"/>
      <w:numFmt w:val="bullet"/>
      <w:lvlText w:val="o"/>
      <w:lvlJc w:val="left"/>
      <w:pPr>
        <w:ind w:left="3600" w:hanging="360"/>
      </w:pPr>
      <w:rPr>
        <w:rFonts w:ascii="Courier New" w:hAnsi="Courier New" w:cs="Courier New" w:hint="default"/>
      </w:rPr>
    </w:lvl>
    <w:lvl w:ilvl="5" w:tplc="251E3BAC" w:tentative="1">
      <w:start w:val="1"/>
      <w:numFmt w:val="bullet"/>
      <w:lvlText w:val=""/>
      <w:lvlJc w:val="left"/>
      <w:pPr>
        <w:ind w:left="4320" w:hanging="360"/>
      </w:pPr>
      <w:rPr>
        <w:rFonts w:ascii="Wingdings" w:hAnsi="Wingdings" w:hint="default"/>
      </w:rPr>
    </w:lvl>
    <w:lvl w:ilvl="6" w:tplc="C8A4F6A8" w:tentative="1">
      <w:start w:val="1"/>
      <w:numFmt w:val="bullet"/>
      <w:lvlText w:val=""/>
      <w:lvlJc w:val="left"/>
      <w:pPr>
        <w:ind w:left="5040" w:hanging="360"/>
      </w:pPr>
      <w:rPr>
        <w:rFonts w:ascii="Symbol" w:hAnsi="Symbol" w:hint="default"/>
      </w:rPr>
    </w:lvl>
    <w:lvl w:ilvl="7" w:tplc="375E7A04" w:tentative="1">
      <w:start w:val="1"/>
      <w:numFmt w:val="bullet"/>
      <w:lvlText w:val="o"/>
      <w:lvlJc w:val="left"/>
      <w:pPr>
        <w:ind w:left="5760" w:hanging="360"/>
      </w:pPr>
      <w:rPr>
        <w:rFonts w:ascii="Courier New" w:hAnsi="Courier New" w:cs="Courier New" w:hint="default"/>
      </w:rPr>
    </w:lvl>
    <w:lvl w:ilvl="8" w:tplc="820EF674" w:tentative="1">
      <w:start w:val="1"/>
      <w:numFmt w:val="bullet"/>
      <w:lvlText w:val=""/>
      <w:lvlJc w:val="left"/>
      <w:pPr>
        <w:ind w:left="6480" w:hanging="360"/>
      </w:pPr>
      <w:rPr>
        <w:rFonts w:ascii="Wingdings" w:hAnsi="Wingdings" w:hint="default"/>
      </w:rPr>
    </w:lvl>
  </w:abstractNum>
  <w:abstractNum w:abstractNumId="21" w15:restartNumberingAfterBreak="0">
    <w:nsid w:val="2FD8364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1A39AC"/>
    <w:multiLevelType w:val="multilevel"/>
    <w:tmpl w:val="B966FED8"/>
    <w:lvl w:ilvl="0">
      <w:start w:val="1"/>
      <w:numFmt w:val="none"/>
      <w:lvlText w:val=""/>
      <w:lvlJc w:val="left"/>
      <w:pPr>
        <w:tabs>
          <w:tab w:val="num" w:pos="0"/>
        </w:tabs>
        <w:ind w:left="0" w:firstLine="0"/>
      </w:pPr>
      <w:rPr>
        <w:rFonts w:hint="default"/>
      </w:rPr>
    </w:lvl>
    <w:lvl w:ilvl="1">
      <w:start w:val="1"/>
      <w:numFmt w:val="none"/>
      <w:suff w:val="nothing"/>
      <w:lvlText w:val=""/>
      <w:lvlJc w:val="left"/>
      <w:pPr>
        <w:ind w:left="0" w:firstLine="0"/>
      </w:pPr>
      <w:rPr>
        <w:rFonts w:hint="default"/>
      </w:rPr>
    </w:lvl>
    <w:lvl w:ilvl="2">
      <w:start w:val="1"/>
      <w:numFmt w:val="decimal"/>
      <w:lvlText w:val="%3"/>
      <w:lvlJc w:val="left"/>
      <w:pPr>
        <w:ind w:left="1134" w:hanging="1134"/>
      </w:pPr>
      <w:rPr>
        <w:rFonts w:hint="default"/>
      </w:rPr>
    </w:lvl>
    <w:lvl w:ilvl="3">
      <w:start w:val="1"/>
      <w:numFmt w:val="decimal"/>
      <w:lvlText w:val="%3.%4"/>
      <w:lvlJc w:val="left"/>
      <w:pPr>
        <w:tabs>
          <w:tab w:val="num" w:pos="1134"/>
        </w:tabs>
        <w:ind w:left="1134" w:hanging="1134"/>
      </w:pPr>
      <w:rPr>
        <w:rFonts w:hint="default"/>
      </w:rPr>
    </w:lvl>
    <w:lvl w:ilvl="4">
      <w:start w:val="1"/>
      <w:numFmt w:val="decimal"/>
      <w:lvlText w:val="%3.%4.%5"/>
      <w:lvlJc w:val="left"/>
      <w:pPr>
        <w:tabs>
          <w:tab w:val="num" w:pos="1134"/>
        </w:tabs>
        <w:ind w:left="1134" w:hanging="113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36FF0998"/>
    <w:multiLevelType w:val="multilevel"/>
    <w:tmpl w:val="B75AA1A4"/>
    <w:numStyleLink w:val="headings"/>
  </w:abstractNum>
  <w:abstractNum w:abstractNumId="24" w15:restartNumberingAfterBreak="0">
    <w:nsid w:val="38D32B64"/>
    <w:multiLevelType w:val="hybridMultilevel"/>
    <w:tmpl w:val="CC58D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15235E"/>
    <w:multiLevelType w:val="hybridMultilevel"/>
    <w:tmpl w:val="E63C5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7" w15:restartNumberingAfterBreak="0">
    <w:nsid w:val="414F4729"/>
    <w:multiLevelType w:val="multilevel"/>
    <w:tmpl w:val="DA322B0E"/>
    <w:numStyleLink w:val="List1"/>
  </w:abstractNum>
  <w:abstractNum w:abstractNumId="28" w15:restartNumberingAfterBreak="0">
    <w:nsid w:val="416B69EC"/>
    <w:multiLevelType w:val="multilevel"/>
    <w:tmpl w:val="B75AA1A4"/>
    <w:numStyleLink w:val="headings"/>
  </w:abstractNum>
  <w:abstractNum w:abstractNumId="29" w15:restartNumberingAfterBreak="0">
    <w:nsid w:val="48DE2E4A"/>
    <w:multiLevelType w:val="hybridMultilevel"/>
    <w:tmpl w:val="B7086130"/>
    <w:lvl w:ilvl="0" w:tplc="4190A6B0">
      <w:start w:val="1"/>
      <w:numFmt w:val="bullet"/>
      <w:pStyle w:val="BoxTextBullet"/>
      <w:lvlText w:val=""/>
      <w:lvlJc w:val="left"/>
      <w:pPr>
        <w:ind w:left="720" w:hanging="360"/>
      </w:pPr>
      <w:rPr>
        <w:rFonts w:ascii="Symbol" w:hAnsi="Symbol" w:hint="default"/>
      </w:rPr>
    </w:lvl>
    <w:lvl w:ilvl="1" w:tplc="5D38B40C" w:tentative="1">
      <w:start w:val="1"/>
      <w:numFmt w:val="bullet"/>
      <w:lvlText w:val="o"/>
      <w:lvlJc w:val="left"/>
      <w:pPr>
        <w:ind w:left="1440" w:hanging="360"/>
      </w:pPr>
      <w:rPr>
        <w:rFonts w:ascii="Courier New" w:hAnsi="Courier New" w:cs="Courier New" w:hint="default"/>
      </w:rPr>
    </w:lvl>
    <w:lvl w:ilvl="2" w:tplc="DA64E3DE" w:tentative="1">
      <w:start w:val="1"/>
      <w:numFmt w:val="bullet"/>
      <w:lvlText w:val=""/>
      <w:lvlJc w:val="left"/>
      <w:pPr>
        <w:ind w:left="2160" w:hanging="360"/>
      </w:pPr>
      <w:rPr>
        <w:rFonts w:ascii="Wingdings" w:hAnsi="Wingdings" w:hint="default"/>
      </w:rPr>
    </w:lvl>
    <w:lvl w:ilvl="3" w:tplc="44560C3A" w:tentative="1">
      <w:start w:val="1"/>
      <w:numFmt w:val="bullet"/>
      <w:lvlText w:val=""/>
      <w:lvlJc w:val="left"/>
      <w:pPr>
        <w:ind w:left="2880" w:hanging="360"/>
      </w:pPr>
      <w:rPr>
        <w:rFonts w:ascii="Symbol" w:hAnsi="Symbol" w:hint="default"/>
      </w:rPr>
    </w:lvl>
    <w:lvl w:ilvl="4" w:tplc="79067A00" w:tentative="1">
      <w:start w:val="1"/>
      <w:numFmt w:val="bullet"/>
      <w:lvlText w:val="o"/>
      <w:lvlJc w:val="left"/>
      <w:pPr>
        <w:ind w:left="3600" w:hanging="360"/>
      </w:pPr>
      <w:rPr>
        <w:rFonts w:ascii="Courier New" w:hAnsi="Courier New" w:cs="Courier New" w:hint="default"/>
      </w:rPr>
    </w:lvl>
    <w:lvl w:ilvl="5" w:tplc="DC3471AE" w:tentative="1">
      <w:start w:val="1"/>
      <w:numFmt w:val="bullet"/>
      <w:lvlText w:val=""/>
      <w:lvlJc w:val="left"/>
      <w:pPr>
        <w:ind w:left="4320" w:hanging="360"/>
      </w:pPr>
      <w:rPr>
        <w:rFonts w:ascii="Wingdings" w:hAnsi="Wingdings" w:hint="default"/>
      </w:rPr>
    </w:lvl>
    <w:lvl w:ilvl="6" w:tplc="AF8E7480" w:tentative="1">
      <w:start w:val="1"/>
      <w:numFmt w:val="bullet"/>
      <w:lvlText w:val=""/>
      <w:lvlJc w:val="left"/>
      <w:pPr>
        <w:ind w:left="5040" w:hanging="360"/>
      </w:pPr>
      <w:rPr>
        <w:rFonts w:ascii="Symbol" w:hAnsi="Symbol" w:hint="default"/>
      </w:rPr>
    </w:lvl>
    <w:lvl w:ilvl="7" w:tplc="C7BCFA38" w:tentative="1">
      <w:start w:val="1"/>
      <w:numFmt w:val="bullet"/>
      <w:lvlText w:val="o"/>
      <w:lvlJc w:val="left"/>
      <w:pPr>
        <w:ind w:left="5760" w:hanging="360"/>
      </w:pPr>
      <w:rPr>
        <w:rFonts w:ascii="Courier New" w:hAnsi="Courier New" w:cs="Courier New" w:hint="default"/>
      </w:rPr>
    </w:lvl>
    <w:lvl w:ilvl="8" w:tplc="D546814A" w:tentative="1">
      <w:start w:val="1"/>
      <w:numFmt w:val="bullet"/>
      <w:lvlText w:val=""/>
      <w:lvlJc w:val="left"/>
      <w:pPr>
        <w:ind w:left="6480" w:hanging="360"/>
      </w:pPr>
      <w:rPr>
        <w:rFonts w:ascii="Wingdings" w:hAnsi="Wingdings" w:hint="default"/>
      </w:rPr>
    </w:lvl>
  </w:abstractNum>
  <w:abstractNum w:abstractNumId="30" w15:restartNumberingAfterBreak="0">
    <w:nsid w:val="49003935"/>
    <w:multiLevelType w:val="hybridMultilevel"/>
    <w:tmpl w:val="C6DC8880"/>
    <w:lvl w:ilvl="0" w:tplc="0068CC12">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2" w15:restartNumberingAfterBreak="0">
    <w:nsid w:val="5CB717FC"/>
    <w:multiLevelType w:val="multilevel"/>
    <w:tmpl w:val="DA322B0E"/>
    <w:numStyleLink w:val="List1"/>
  </w:abstractNum>
  <w:abstractNum w:abstractNumId="33" w15:restartNumberingAfterBreak="0">
    <w:nsid w:val="5DA1292D"/>
    <w:multiLevelType w:val="hybridMultilevel"/>
    <w:tmpl w:val="ACFCC910"/>
    <w:lvl w:ilvl="0" w:tplc="15E2DDD2">
      <w:start w:val="1"/>
      <w:numFmt w:val="bullet"/>
      <w:pStyle w:val="ListBullet3"/>
      <w:lvlText w:val=""/>
      <w:lvlJc w:val="left"/>
      <w:pPr>
        <w:ind w:left="1080" w:hanging="360"/>
      </w:pPr>
      <w:rPr>
        <w:rFonts w:ascii="Symbol" w:hAnsi="Symbol" w:hint="default"/>
      </w:rPr>
    </w:lvl>
    <w:lvl w:ilvl="1" w:tplc="039A9E4C">
      <w:start w:val="1"/>
      <w:numFmt w:val="bullet"/>
      <w:lvlText w:val="o"/>
      <w:lvlJc w:val="left"/>
      <w:pPr>
        <w:ind w:left="1800" w:hanging="360"/>
      </w:pPr>
      <w:rPr>
        <w:rFonts w:ascii="Courier New" w:hAnsi="Courier New" w:cs="Courier New" w:hint="default"/>
      </w:rPr>
    </w:lvl>
    <w:lvl w:ilvl="2" w:tplc="697AD79C" w:tentative="1">
      <w:start w:val="1"/>
      <w:numFmt w:val="bullet"/>
      <w:lvlText w:val=""/>
      <w:lvlJc w:val="left"/>
      <w:pPr>
        <w:ind w:left="2520" w:hanging="360"/>
      </w:pPr>
      <w:rPr>
        <w:rFonts w:ascii="Wingdings" w:hAnsi="Wingdings" w:hint="default"/>
      </w:rPr>
    </w:lvl>
    <w:lvl w:ilvl="3" w:tplc="F536A0F6" w:tentative="1">
      <w:start w:val="1"/>
      <w:numFmt w:val="bullet"/>
      <w:lvlText w:val=""/>
      <w:lvlJc w:val="left"/>
      <w:pPr>
        <w:ind w:left="3240" w:hanging="360"/>
      </w:pPr>
      <w:rPr>
        <w:rFonts w:ascii="Symbol" w:hAnsi="Symbol" w:hint="default"/>
      </w:rPr>
    </w:lvl>
    <w:lvl w:ilvl="4" w:tplc="6AD03566" w:tentative="1">
      <w:start w:val="1"/>
      <w:numFmt w:val="bullet"/>
      <w:lvlText w:val="o"/>
      <w:lvlJc w:val="left"/>
      <w:pPr>
        <w:ind w:left="3960" w:hanging="360"/>
      </w:pPr>
      <w:rPr>
        <w:rFonts w:ascii="Courier New" w:hAnsi="Courier New" w:cs="Courier New" w:hint="default"/>
      </w:rPr>
    </w:lvl>
    <w:lvl w:ilvl="5" w:tplc="EC2287EC" w:tentative="1">
      <w:start w:val="1"/>
      <w:numFmt w:val="bullet"/>
      <w:lvlText w:val=""/>
      <w:lvlJc w:val="left"/>
      <w:pPr>
        <w:ind w:left="4680" w:hanging="360"/>
      </w:pPr>
      <w:rPr>
        <w:rFonts w:ascii="Wingdings" w:hAnsi="Wingdings" w:hint="default"/>
      </w:rPr>
    </w:lvl>
    <w:lvl w:ilvl="6" w:tplc="D1AC3EBE" w:tentative="1">
      <w:start w:val="1"/>
      <w:numFmt w:val="bullet"/>
      <w:lvlText w:val=""/>
      <w:lvlJc w:val="left"/>
      <w:pPr>
        <w:ind w:left="5400" w:hanging="360"/>
      </w:pPr>
      <w:rPr>
        <w:rFonts w:ascii="Symbol" w:hAnsi="Symbol" w:hint="default"/>
      </w:rPr>
    </w:lvl>
    <w:lvl w:ilvl="7" w:tplc="66A8AC8E" w:tentative="1">
      <w:start w:val="1"/>
      <w:numFmt w:val="bullet"/>
      <w:lvlText w:val="o"/>
      <w:lvlJc w:val="left"/>
      <w:pPr>
        <w:ind w:left="6120" w:hanging="360"/>
      </w:pPr>
      <w:rPr>
        <w:rFonts w:ascii="Courier New" w:hAnsi="Courier New" w:cs="Courier New" w:hint="default"/>
      </w:rPr>
    </w:lvl>
    <w:lvl w:ilvl="8" w:tplc="56F44F1C" w:tentative="1">
      <w:start w:val="1"/>
      <w:numFmt w:val="bullet"/>
      <w:lvlText w:val=""/>
      <w:lvlJc w:val="left"/>
      <w:pPr>
        <w:ind w:left="6840" w:hanging="360"/>
      </w:pPr>
      <w:rPr>
        <w:rFonts w:ascii="Wingdings" w:hAnsi="Wingdings" w:hint="default"/>
      </w:rPr>
    </w:lvl>
  </w:abstractNum>
  <w:abstractNum w:abstractNumId="34" w15:restartNumberingAfterBreak="0">
    <w:nsid w:val="63DB1A87"/>
    <w:multiLevelType w:val="hybridMultilevel"/>
    <w:tmpl w:val="AA368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8B70928"/>
    <w:multiLevelType w:val="multilevel"/>
    <w:tmpl w:val="CCF09A70"/>
    <w:styleLink w:val="Headings1234numbered"/>
    <w:lvl w:ilvl="0">
      <w:start w:val="1"/>
      <w:numFmt w:val="none"/>
      <w:lvlText w:val=""/>
      <w:lvlJc w:val="left"/>
      <w:pPr>
        <w:tabs>
          <w:tab w:val="num" w:pos="0"/>
        </w:tabs>
        <w:ind w:left="0" w:firstLine="0"/>
      </w:pPr>
      <w:rPr>
        <w:rFonts w:hint="default"/>
      </w:rPr>
    </w:lvl>
    <w:lvl w:ilvl="1">
      <w:start w:val="1"/>
      <w:numFmt w:val="decimal"/>
      <w:lvlText w:val="%2"/>
      <w:lvlJc w:val="left"/>
      <w:pPr>
        <w:tabs>
          <w:tab w:val="num" w:pos="1134"/>
        </w:tabs>
        <w:ind w:left="0" w:firstLine="0"/>
      </w:pPr>
      <w:rPr>
        <w:rFonts w:hint="default"/>
      </w:rPr>
    </w:lvl>
    <w:lvl w:ilvl="2">
      <w:start w:val="1"/>
      <w:numFmt w:val="decimal"/>
      <w:lvlText w:val="%2.%3"/>
      <w:lvlJc w:val="left"/>
      <w:pPr>
        <w:tabs>
          <w:tab w:val="num" w:pos="1134"/>
        </w:tabs>
        <w:ind w:left="0" w:firstLine="0"/>
      </w:pPr>
      <w:rPr>
        <w:rFonts w:hint="default"/>
      </w:rPr>
    </w:lvl>
    <w:lvl w:ilvl="3">
      <w:start w:val="1"/>
      <w:numFmt w:val="decimal"/>
      <w:lvlText w:val="%2.%3.%4"/>
      <w:lvlJc w:val="left"/>
      <w:pPr>
        <w:tabs>
          <w:tab w:val="num" w:pos="1134"/>
        </w:tabs>
        <w:ind w:left="0" w:firstLine="0"/>
      </w:pPr>
      <w:rPr>
        <w:rFonts w:hint="default"/>
      </w:rPr>
    </w:lvl>
    <w:lvl w:ilvl="4">
      <w:start w:val="1"/>
      <w:numFmt w:val="decimal"/>
      <w:lvlText w:val="%2.%3.%4.%5"/>
      <w:lvlJc w:val="left"/>
      <w:pPr>
        <w:tabs>
          <w:tab w:val="num" w:pos="1134"/>
        </w:tabs>
        <w:ind w:left="0" w:firstLine="0"/>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7" w15:restartNumberingAfterBreak="0">
    <w:nsid w:val="78890531"/>
    <w:multiLevelType w:val="hybridMultilevel"/>
    <w:tmpl w:val="C7F0C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A5463D"/>
    <w:multiLevelType w:val="multilevel"/>
    <w:tmpl w:val="B5F8595E"/>
    <w:lvl w:ilvl="0">
      <w:start w:val="1"/>
      <w:numFmt w:val="decimal"/>
      <w:pStyle w:val="Heading3"/>
      <w:lvlText w:val="%1"/>
      <w:lvlJc w:val="left"/>
      <w:pPr>
        <w:ind w:left="567" w:hanging="567"/>
      </w:pPr>
      <w:rPr>
        <w:rFonts w:hint="default"/>
      </w:rPr>
    </w:lvl>
    <w:lvl w:ilvl="1">
      <w:start w:val="1"/>
      <w:numFmt w:val="decimal"/>
      <w:pStyle w:val="Heading4"/>
      <w:lvlText w:val="%1.%2"/>
      <w:lvlJc w:val="left"/>
      <w:pPr>
        <w:ind w:left="567" w:hanging="567"/>
      </w:pPr>
      <w:rPr>
        <w:rFonts w:hint="default"/>
      </w:rPr>
    </w:lvl>
    <w:lvl w:ilvl="2">
      <w:start w:val="1"/>
      <w:numFmt w:val="decimal"/>
      <w:pStyle w:val="Heading5"/>
      <w:lvlText w:val="%1.%2.%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num w:numId="1">
    <w:abstractNumId w:val="7"/>
  </w:num>
  <w:num w:numId="2">
    <w:abstractNumId w:val="6"/>
    <w:lvlOverride w:ilvl="0">
      <w:startOverride w:val="1"/>
    </w:lvlOverride>
  </w:num>
  <w:num w:numId="3">
    <w:abstractNumId w:val="36"/>
    <w:lvlOverride w:ilvl="0">
      <w:startOverride w:val="1"/>
    </w:lvlOverride>
  </w:num>
  <w:num w:numId="4">
    <w:abstractNumId w:val="29"/>
  </w:num>
  <w:num w:numId="5">
    <w:abstractNumId w:val="17"/>
  </w:num>
  <w:num w:numId="6">
    <w:abstractNumId w:val="26"/>
    <w:lvlOverride w:ilvl="0">
      <w:startOverride w:val="1"/>
    </w:lvlOverride>
  </w:num>
  <w:num w:numId="7">
    <w:abstractNumId w:val="31"/>
  </w:num>
  <w:num w:numId="8">
    <w:abstractNumId w:val="20"/>
  </w:num>
  <w:num w:numId="9">
    <w:abstractNumId w:val="33"/>
  </w:num>
  <w:num w:numId="10">
    <w:abstractNumId w:val="35"/>
  </w:num>
  <w:num w:numId="11">
    <w:abstractNumId w:val="32"/>
  </w:num>
  <w:num w:numId="12">
    <w:abstractNumId w:val="22"/>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26"/>
    <w:lvlOverride w:ilvl="0">
      <w:startOverride w:val="1"/>
    </w:lvlOverride>
  </w:num>
  <w:num w:numId="19">
    <w:abstractNumId w:val="26"/>
    <w:lvlOverride w:ilvl="0">
      <w:startOverride w:val="1"/>
    </w:lvlOverride>
  </w:num>
  <w:num w:numId="20">
    <w:abstractNumId w:val="26"/>
    <w:lvlOverride w:ilvl="0">
      <w:startOverride w:val="1"/>
    </w:lvlOverride>
  </w:num>
  <w:num w:numId="21">
    <w:abstractNumId w:val="13"/>
  </w:num>
  <w:num w:numId="22">
    <w:abstractNumId w:val="22"/>
  </w:num>
  <w:num w:numId="23">
    <w:abstractNumId w:val="18"/>
  </w:num>
  <w:num w:numId="24">
    <w:abstractNumId w:val="21"/>
  </w:num>
  <w:num w:numId="25">
    <w:abstractNumId w:val="14"/>
  </w:num>
  <w:num w:numId="26">
    <w:abstractNumId w:val="12"/>
  </w:num>
  <w:num w:numId="27">
    <w:abstractNumId w:val="28"/>
  </w:num>
  <w:num w:numId="28">
    <w:abstractNumId w:val="23"/>
  </w:num>
  <w:num w:numId="29">
    <w:abstractNumId w:val="10"/>
  </w:num>
  <w:num w:numId="30">
    <w:abstractNumId w:val="5"/>
  </w:num>
  <w:num w:numId="31">
    <w:abstractNumId w:val="4"/>
  </w:num>
  <w:num w:numId="32">
    <w:abstractNumId w:val="3"/>
  </w:num>
  <w:num w:numId="33">
    <w:abstractNumId w:val="1"/>
  </w:num>
  <w:num w:numId="34">
    <w:abstractNumId w:val="0"/>
  </w:num>
  <w:num w:numId="35">
    <w:abstractNumId w:val="2"/>
  </w:num>
  <w:num w:numId="36">
    <w:abstractNumId w:val="8"/>
  </w:num>
  <w:num w:numId="37">
    <w:abstractNumId w:val="7"/>
  </w:num>
  <w:num w:numId="38">
    <w:abstractNumId w:val="6"/>
    <w:lvlOverride w:ilvl="0">
      <w:startOverride w:val="1"/>
    </w:lvlOverride>
  </w:num>
  <w:num w:numId="39">
    <w:abstractNumId w:val="30"/>
  </w:num>
  <w:num w:numId="40">
    <w:abstractNumId w:val="38"/>
  </w:num>
  <w:num w:numId="41">
    <w:abstractNumId w:val="38"/>
  </w:num>
  <w:num w:numId="42">
    <w:abstractNumId w:val="6"/>
    <w:lvlOverride w:ilvl="0">
      <w:startOverride w:val="1"/>
    </w:lvlOverride>
  </w:num>
  <w:num w:numId="43">
    <w:abstractNumId w:val="4"/>
  </w:num>
  <w:num w:numId="44">
    <w:abstractNumId w:val="3"/>
  </w:num>
  <w:num w:numId="45">
    <w:abstractNumId w:val="19"/>
  </w:num>
  <w:num w:numId="46">
    <w:abstractNumId w:val="38"/>
  </w:num>
  <w:num w:numId="47">
    <w:abstractNumId w:val="37"/>
  </w:num>
  <w:num w:numId="48">
    <w:abstractNumId w:val="16"/>
  </w:num>
  <w:num w:numId="49">
    <w:abstractNumId w:val="15"/>
  </w:num>
  <w:num w:numId="50">
    <w:abstractNumId w:val="11"/>
  </w:num>
  <w:num w:numId="51">
    <w:abstractNumId w:val="38"/>
  </w:num>
  <w:num w:numId="52">
    <w:abstractNumId w:val="9"/>
  </w:num>
  <w:num w:numId="53">
    <w:abstractNumId w:val="7"/>
  </w:num>
  <w:num w:numId="54">
    <w:abstractNumId w:val="24"/>
  </w:num>
  <w:num w:numId="55">
    <w:abstractNumId w:val="7"/>
  </w:num>
  <w:num w:numId="56">
    <w:abstractNumId w:val="38"/>
  </w:num>
  <w:num w:numId="57">
    <w:abstractNumId w:val="38"/>
  </w:num>
  <w:num w:numId="58">
    <w:abstractNumId w:val="7"/>
  </w:num>
  <w:num w:numId="59">
    <w:abstractNumId w:val="27"/>
  </w:num>
  <w:num w:numId="60">
    <w:abstractNumId w:val="25"/>
  </w:num>
  <w:num w:numId="6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A2"/>
    <w:rsid w:val="000008A6"/>
    <w:rsid w:val="00000C72"/>
    <w:rsid w:val="00001B76"/>
    <w:rsid w:val="000020B5"/>
    <w:rsid w:val="000027C9"/>
    <w:rsid w:val="0000339B"/>
    <w:rsid w:val="000039FD"/>
    <w:rsid w:val="000045BE"/>
    <w:rsid w:val="0000510A"/>
    <w:rsid w:val="00005693"/>
    <w:rsid w:val="00006FBD"/>
    <w:rsid w:val="00007FD4"/>
    <w:rsid w:val="00010036"/>
    <w:rsid w:val="00011A8A"/>
    <w:rsid w:val="000121BF"/>
    <w:rsid w:val="000121D4"/>
    <w:rsid w:val="000125BB"/>
    <w:rsid w:val="0001266F"/>
    <w:rsid w:val="00012D9D"/>
    <w:rsid w:val="00014EF6"/>
    <w:rsid w:val="0001504C"/>
    <w:rsid w:val="000150DB"/>
    <w:rsid w:val="000152F2"/>
    <w:rsid w:val="000165F4"/>
    <w:rsid w:val="00017A65"/>
    <w:rsid w:val="000207BF"/>
    <w:rsid w:val="00020B9F"/>
    <w:rsid w:val="0002273A"/>
    <w:rsid w:val="0002286E"/>
    <w:rsid w:val="000232C5"/>
    <w:rsid w:val="00023C00"/>
    <w:rsid w:val="00023EDB"/>
    <w:rsid w:val="000257A6"/>
    <w:rsid w:val="0002655F"/>
    <w:rsid w:val="000304DC"/>
    <w:rsid w:val="00030743"/>
    <w:rsid w:val="00030DBE"/>
    <w:rsid w:val="00031715"/>
    <w:rsid w:val="0003332B"/>
    <w:rsid w:val="00033EE3"/>
    <w:rsid w:val="00034415"/>
    <w:rsid w:val="00034582"/>
    <w:rsid w:val="0003507A"/>
    <w:rsid w:val="000353F7"/>
    <w:rsid w:val="000357D6"/>
    <w:rsid w:val="00037065"/>
    <w:rsid w:val="00037CCB"/>
    <w:rsid w:val="00037CDE"/>
    <w:rsid w:val="000409CF"/>
    <w:rsid w:val="00041035"/>
    <w:rsid w:val="000413BD"/>
    <w:rsid w:val="00041766"/>
    <w:rsid w:val="0004192A"/>
    <w:rsid w:val="00041B91"/>
    <w:rsid w:val="00041C73"/>
    <w:rsid w:val="00041D7C"/>
    <w:rsid w:val="00041F84"/>
    <w:rsid w:val="0004353E"/>
    <w:rsid w:val="00044210"/>
    <w:rsid w:val="00044441"/>
    <w:rsid w:val="00044A45"/>
    <w:rsid w:val="00044B19"/>
    <w:rsid w:val="00045C03"/>
    <w:rsid w:val="00045C0E"/>
    <w:rsid w:val="00046640"/>
    <w:rsid w:val="00050458"/>
    <w:rsid w:val="000509C7"/>
    <w:rsid w:val="00050D60"/>
    <w:rsid w:val="00051020"/>
    <w:rsid w:val="00051268"/>
    <w:rsid w:val="0005234D"/>
    <w:rsid w:val="00052573"/>
    <w:rsid w:val="00052941"/>
    <w:rsid w:val="000543C9"/>
    <w:rsid w:val="000552AB"/>
    <w:rsid w:val="00055E1D"/>
    <w:rsid w:val="00055ED4"/>
    <w:rsid w:val="00056540"/>
    <w:rsid w:val="0005660A"/>
    <w:rsid w:val="0005691E"/>
    <w:rsid w:val="00057C26"/>
    <w:rsid w:val="00057D63"/>
    <w:rsid w:val="00060F6F"/>
    <w:rsid w:val="0006118A"/>
    <w:rsid w:val="00062969"/>
    <w:rsid w:val="00063145"/>
    <w:rsid w:val="0006372E"/>
    <w:rsid w:val="0006578D"/>
    <w:rsid w:val="000657DE"/>
    <w:rsid w:val="00066293"/>
    <w:rsid w:val="00066BCD"/>
    <w:rsid w:val="000670F5"/>
    <w:rsid w:val="00067C92"/>
    <w:rsid w:val="00067D89"/>
    <w:rsid w:val="00072255"/>
    <w:rsid w:val="0007238F"/>
    <w:rsid w:val="0007243A"/>
    <w:rsid w:val="00072B1C"/>
    <w:rsid w:val="00072BB5"/>
    <w:rsid w:val="00072BD4"/>
    <w:rsid w:val="00072F5D"/>
    <w:rsid w:val="00073001"/>
    <w:rsid w:val="00073076"/>
    <w:rsid w:val="00073C5D"/>
    <w:rsid w:val="0007466B"/>
    <w:rsid w:val="00074FA1"/>
    <w:rsid w:val="00075D6B"/>
    <w:rsid w:val="00075E46"/>
    <w:rsid w:val="00075F7A"/>
    <w:rsid w:val="000762B2"/>
    <w:rsid w:val="00076791"/>
    <w:rsid w:val="000768B4"/>
    <w:rsid w:val="00076E21"/>
    <w:rsid w:val="00076F1E"/>
    <w:rsid w:val="00080CD7"/>
    <w:rsid w:val="0008128C"/>
    <w:rsid w:val="000812F7"/>
    <w:rsid w:val="0008175A"/>
    <w:rsid w:val="00081CCC"/>
    <w:rsid w:val="00082202"/>
    <w:rsid w:val="0008286D"/>
    <w:rsid w:val="00082B00"/>
    <w:rsid w:val="00082BFB"/>
    <w:rsid w:val="00082BFC"/>
    <w:rsid w:val="00083505"/>
    <w:rsid w:val="000835C8"/>
    <w:rsid w:val="000838C0"/>
    <w:rsid w:val="00083BBC"/>
    <w:rsid w:val="00083FCE"/>
    <w:rsid w:val="00084FAB"/>
    <w:rsid w:val="000858FB"/>
    <w:rsid w:val="00085945"/>
    <w:rsid w:val="00085A2C"/>
    <w:rsid w:val="0008679E"/>
    <w:rsid w:val="00086969"/>
    <w:rsid w:val="0008702B"/>
    <w:rsid w:val="00087F29"/>
    <w:rsid w:val="000908B8"/>
    <w:rsid w:val="000917A0"/>
    <w:rsid w:val="000918D3"/>
    <w:rsid w:val="00092132"/>
    <w:rsid w:val="00092BD5"/>
    <w:rsid w:val="00092F0D"/>
    <w:rsid w:val="00097278"/>
    <w:rsid w:val="00097F1D"/>
    <w:rsid w:val="00097F96"/>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18E"/>
    <w:rsid w:val="000B57B0"/>
    <w:rsid w:val="000B5817"/>
    <w:rsid w:val="000B5859"/>
    <w:rsid w:val="000B5D1C"/>
    <w:rsid w:val="000B654F"/>
    <w:rsid w:val="000B66AE"/>
    <w:rsid w:val="000B670E"/>
    <w:rsid w:val="000B6B51"/>
    <w:rsid w:val="000B76C6"/>
    <w:rsid w:val="000C124D"/>
    <w:rsid w:val="000C17F5"/>
    <w:rsid w:val="000C1F61"/>
    <w:rsid w:val="000C4A92"/>
    <w:rsid w:val="000C4F8B"/>
    <w:rsid w:val="000C5064"/>
    <w:rsid w:val="000C55B6"/>
    <w:rsid w:val="000C6D11"/>
    <w:rsid w:val="000C6D47"/>
    <w:rsid w:val="000C77CB"/>
    <w:rsid w:val="000D0236"/>
    <w:rsid w:val="000D0A73"/>
    <w:rsid w:val="000D1B32"/>
    <w:rsid w:val="000D2697"/>
    <w:rsid w:val="000D3423"/>
    <w:rsid w:val="000D4B9C"/>
    <w:rsid w:val="000D51AA"/>
    <w:rsid w:val="000D5726"/>
    <w:rsid w:val="000D5CBE"/>
    <w:rsid w:val="000D65F7"/>
    <w:rsid w:val="000D6C2B"/>
    <w:rsid w:val="000D7377"/>
    <w:rsid w:val="000D7443"/>
    <w:rsid w:val="000E04F1"/>
    <w:rsid w:val="000E04FE"/>
    <w:rsid w:val="000E0801"/>
    <w:rsid w:val="000E1B48"/>
    <w:rsid w:val="000E2148"/>
    <w:rsid w:val="000E2D89"/>
    <w:rsid w:val="000E3A1C"/>
    <w:rsid w:val="000E5684"/>
    <w:rsid w:val="000E56B1"/>
    <w:rsid w:val="000F036B"/>
    <w:rsid w:val="000F041C"/>
    <w:rsid w:val="000F061B"/>
    <w:rsid w:val="000F28CF"/>
    <w:rsid w:val="000F2911"/>
    <w:rsid w:val="000F2CCB"/>
    <w:rsid w:val="000F4AC8"/>
    <w:rsid w:val="000F4E34"/>
    <w:rsid w:val="000F582A"/>
    <w:rsid w:val="000F598F"/>
    <w:rsid w:val="000F6B5F"/>
    <w:rsid w:val="000F6E35"/>
    <w:rsid w:val="000F7AC8"/>
    <w:rsid w:val="00101971"/>
    <w:rsid w:val="00102736"/>
    <w:rsid w:val="001029E3"/>
    <w:rsid w:val="00103291"/>
    <w:rsid w:val="00103B88"/>
    <w:rsid w:val="00104AFD"/>
    <w:rsid w:val="0010519D"/>
    <w:rsid w:val="00105AC2"/>
    <w:rsid w:val="00106A53"/>
    <w:rsid w:val="00106C5B"/>
    <w:rsid w:val="00106F10"/>
    <w:rsid w:val="00107171"/>
    <w:rsid w:val="0011051E"/>
    <w:rsid w:val="00111035"/>
    <w:rsid w:val="00113808"/>
    <w:rsid w:val="00113BB1"/>
    <w:rsid w:val="00114AAB"/>
    <w:rsid w:val="00115AEC"/>
    <w:rsid w:val="00115E20"/>
    <w:rsid w:val="00115FB0"/>
    <w:rsid w:val="00116C8D"/>
    <w:rsid w:val="00116CED"/>
    <w:rsid w:val="00117CC0"/>
    <w:rsid w:val="00120DE4"/>
    <w:rsid w:val="00121944"/>
    <w:rsid w:val="00122F22"/>
    <w:rsid w:val="0012363D"/>
    <w:rsid w:val="00124376"/>
    <w:rsid w:val="001247FB"/>
    <w:rsid w:val="00124CCD"/>
    <w:rsid w:val="00125F3B"/>
    <w:rsid w:val="00126045"/>
    <w:rsid w:val="001267E6"/>
    <w:rsid w:val="001272F3"/>
    <w:rsid w:val="001307BF"/>
    <w:rsid w:val="00130F69"/>
    <w:rsid w:val="0013137B"/>
    <w:rsid w:val="00131CCE"/>
    <w:rsid w:val="001320CF"/>
    <w:rsid w:val="00132C2A"/>
    <w:rsid w:val="00132D29"/>
    <w:rsid w:val="00135269"/>
    <w:rsid w:val="00137026"/>
    <w:rsid w:val="00137058"/>
    <w:rsid w:val="001371F1"/>
    <w:rsid w:val="00137452"/>
    <w:rsid w:val="00137B2F"/>
    <w:rsid w:val="00140403"/>
    <w:rsid w:val="0014069B"/>
    <w:rsid w:val="00140ABD"/>
    <w:rsid w:val="00140B61"/>
    <w:rsid w:val="001419F7"/>
    <w:rsid w:val="00141A65"/>
    <w:rsid w:val="00142E21"/>
    <w:rsid w:val="00143503"/>
    <w:rsid w:val="001437F8"/>
    <w:rsid w:val="00143FEC"/>
    <w:rsid w:val="00144632"/>
    <w:rsid w:val="00144DA9"/>
    <w:rsid w:val="001452E6"/>
    <w:rsid w:val="0014629B"/>
    <w:rsid w:val="001466E8"/>
    <w:rsid w:val="001469AD"/>
    <w:rsid w:val="001470DF"/>
    <w:rsid w:val="001477AB"/>
    <w:rsid w:val="00147851"/>
    <w:rsid w:val="00147B62"/>
    <w:rsid w:val="00147D50"/>
    <w:rsid w:val="00150924"/>
    <w:rsid w:val="00151225"/>
    <w:rsid w:val="0015124D"/>
    <w:rsid w:val="00151FED"/>
    <w:rsid w:val="00152A7F"/>
    <w:rsid w:val="00152C97"/>
    <w:rsid w:val="001535F1"/>
    <w:rsid w:val="001536F6"/>
    <w:rsid w:val="00153EA4"/>
    <w:rsid w:val="00153F7A"/>
    <w:rsid w:val="001558C9"/>
    <w:rsid w:val="00155BE6"/>
    <w:rsid w:val="00155F0B"/>
    <w:rsid w:val="001568B8"/>
    <w:rsid w:val="0015764B"/>
    <w:rsid w:val="001576A2"/>
    <w:rsid w:val="001578A4"/>
    <w:rsid w:val="00157C13"/>
    <w:rsid w:val="00157C7C"/>
    <w:rsid w:val="00157D1E"/>
    <w:rsid w:val="00160211"/>
    <w:rsid w:val="00161ACC"/>
    <w:rsid w:val="00161D96"/>
    <w:rsid w:val="00162233"/>
    <w:rsid w:val="0016294C"/>
    <w:rsid w:val="00162F72"/>
    <w:rsid w:val="00163BDF"/>
    <w:rsid w:val="00164202"/>
    <w:rsid w:val="0016454F"/>
    <w:rsid w:val="00164AB2"/>
    <w:rsid w:val="001654D0"/>
    <w:rsid w:val="001656DF"/>
    <w:rsid w:val="00165E98"/>
    <w:rsid w:val="00166452"/>
    <w:rsid w:val="00166505"/>
    <w:rsid w:val="00167417"/>
    <w:rsid w:val="0017118A"/>
    <w:rsid w:val="0017195A"/>
    <w:rsid w:val="00171AD9"/>
    <w:rsid w:val="00172A5F"/>
    <w:rsid w:val="00172BDB"/>
    <w:rsid w:val="00173C56"/>
    <w:rsid w:val="00174B32"/>
    <w:rsid w:val="00174F3A"/>
    <w:rsid w:val="00175477"/>
    <w:rsid w:val="0017615D"/>
    <w:rsid w:val="00181533"/>
    <w:rsid w:val="00182084"/>
    <w:rsid w:val="00183833"/>
    <w:rsid w:val="00183CE1"/>
    <w:rsid w:val="00183D14"/>
    <w:rsid w:val="001846E8"/>
    <w:rsid w:val="00184AAE"/>
    <w:rsid w:val="00184CFA"/>
    <w:rsid w:val="001853F3"/>
    <w:rsid w:val="00185963"/>
    <w:rsid w:val="00185EBD"/>
    <w:rsid w:val="00186088"/>
    <w:rsid w:val="0018762B"/>
    <w:rsid w:val="00187D46"/>
    <w:rsid w:val="00190057"/>
    <w:rsid w:val="00190F9D"/>
    <w:rsid w:val="001912C6"/>
    <w:rsid w:val="00191565"/>
    <w:rsid w:val="00191E2B"/>
    <w:rsid w:val="00192613"/>
    <w:rsid w:val="001926EB"/>
    <w:rsid w:val="00192B7F"/>
    <w:rsid w:val="00192F3E"/>
    <w:rsid w:val="00193001"/>
    <w:rsid w:val="00193D66"/>
    <w:rsid w:val="001944D0"/>
    <w:rsid w:val="00195D43"/>
    <w:rsid w:val="00196211"/>
    <w:rsid w:val="00197838"/>
    <w:rsid w:val="00197DFC"/>
    <w:rsid w:val="001A03C7"/>
    <w:rsid w:val="001A0D11"/>
    <w:rsid w:val="001A12B2"/>
    <w:rsid w:val="001A1A0B"/>
    <w:rsid w:val="001A1B5E"/>
    <w:rsid w:val="001A2162"/>
    <w:rsid w:val="001A21CB"/>
    <w:rsid w:val="001A24EC"/>
    <w:rsid w:val="001A3315"/>
    <w:rsid w:val="001A45FD"/>
    <w:rsid w:val="001A4983"/>
    <w:rsid w:val="001A5035"/>
    <w:rsid w:val="001A5465"/>
    <w:rsid w:val="001A5E82"/>
    <w:rsid w:val="001A618A"/>
    <w:rsid w:val="001A6572"/>
    <w:rsid w:val="001A68C3"/>
    <w:rsid w:val="001A69E5"/>
    <w:rsid w:val="001A7153"/>
    <w:rsid w:val="001A7587"/>
    <w:rsid w:val="001A7C00"/>
    <w:rsid w:val="001A7F88"/>
    <w:rsid w:val="001B01D3"/>
    <w:rsid w:val="001B02BE"/>
    <w:rsid w:val="001B1A40"/>
    <w:rsid w:val="001B1BDB"/>
    <w:rsid w:val="001B1C7D"/>
    <w:rsid w:val="001B3503"/>
    <w:rsid w:val="001B35DE"/>
    <w:rsid w:val="001B36FC"/>
    <w:rsid w:val="001B37E2"/>
    <w:rsid w:val="001B4470"/>
    <w:rsid w:val="001B4FBE"/>
    <w:rsid w:val="001B6877"/>
    <w:rsid w:val="001B68C3"/>
    <w:rsid w:val="001B71AF"/>
    <w:rsid w:val="001C147B"/>
    <w:rsid w:val="001C1D7F"/>
    <w:rsid w:val="001C2157"/>
    <w:rsid w:val="001C2F2D"/>
    <w:rsid w:val="001C2F7B"/>
    <w:rsid w:val="001C391A"/>
    <w:rsid w:val="001C4161"/>
    <w:rsid w:val="001C50A0"/>
    <w:rsid w:val="001C6898"/>
    <w:rsid w:val="001C6A9B"/>
    <w:rsid w:val="001C7F63"/>
    <w:rsid w:val="001D14F7"/>
    <w:rsid w:val="001D157D"/>
    <w:rsid w:val="001D1DE5"/>
    <w:rsid w:val="001D1FB9"/>
    <w:rsid w:val="001D2444"/>
    <w:rsid w:val="001D2C33"/>
    <w:rsid w:val="001D43A0"/>
    <w:rsid w:val="001D54A4"/>
    <w:rsid w:val="001D6225"/>
    <w:rsid w:val="001D6563"/>
    <w:rsid w:val="001D702D"/>
    <w:rsid w:val="001D71DC"/>
    <w:rsid w:val="001D7544"/>
    <w:rsid w:val="001D7F09"/>
    <w:rsid w:val="001E0BF4"/>
    <w:rsid w:val="001E0C7D"/>
    <w:rsid w:val="001E13E5"/>
    <w:rsid w:val="001E2A52"/>
    <w:rsid w:val="001E3121"/>
    <w:rsid w:val="001E36E8"/>
    <w:rsid w:val="001E3831"/>
    <w:rsid w:val="001E3E73"/>
    <w:rsid w:val="001E5501"/>
    <w:rsid w:val="001E5818"/>
    <w:rsid w:val="001E6427"/>
    <w:rsid w:val="001E67EB"/>
    <w:rsid w:val="001E6E04"/>
    <w:rsid w:val="001F0308"/>
    <w:rsid w:val="001F1528"/>
    <w:rsid w:val="001F1897"/>
    <w:rsid w:val="001F1F5A"/>
    <w:rsid w:val="001F2331"/>
    <w:rsid w:val="001F25B1"/>
    <w:rsid w:val="001F3911"/>
    <w:rsid w:val="001F4186"/>
    <w:rsid w:val="001F5274"/>
    <w:rsid w:val="001F629E"/>
    <w:rsid w:val="001F7E9C"/>
    <w:rsid w:val="00200708"/>
    <w:rsid w:val="00200903"/>
    <w:rsid w:val="00201135"/>
    <w:rsid w:val="0020114C"/>
    <w:rsid w:val="002013A9"/>
    <w:rsid w:val="00201EE2"/>
    <w:rsid w:val="00202144"/>
    <w:rsid w:val="00203CC0"/>
    <w:rsid w:val="00204D2C"/>
    <w:rsid w:val="00204D6B"/>
    <w:rsid w:val="00205651"/>
    <w:rsid w:val="00206FF0"/>
    <w:rsid w:val="002072BC"/>
    <w:rsid w:val="00207CAC"/>
    <w:rsid w:val="0021010D"/>
    <w:rsid w:val="00210233"/>
    <w:rsid w:val="002105B1"/>
    <w:rsid w:val="0021080C"/>
    <w:rsid w:val="00210C13"/>
    <w:rsid w:val="00212093"/>
    <w:rsid w:val="00212EDE"/>
    <w:rsid w:val="002142FC"/>
    <w:rsid w:val="0021543F"/>
    <w:rsid w:val="002161BF"/>
    <w:rsid w:val="002170F2"/>
    <w:rsid w:val="00217D3A"/>
    <w:rsid w:val="00217F02"/>
    <w:rsid w:val="002202FB"/>
    <w:rsid w:val="00220522"/>
    <w:rsid w:val="00220DF1"/>
    <w:rsid w:val="00221012"/>
    <w:rsid w:val="00223164"/>
    <w:rsid w:val="002231C2"/>
    <w:rsid w:val="00223740"/>
    <w:rsid w:val="00223C03"/>
    <w:rsid w:val="002246DD"/>
    <w:rsid w:val="002251C5"/>
    <w:rsid w:val="00225776"/>
    <w:rsid w:val="0022648D"/>
    <w:rsid w:val="00226A69"/>
    <w:rsid w:val="00226EEE"/>
    <w:rsid w:val="00227FE6"/>
    <w:rsid w:val="00231138"/>
    <w:rsid w:val="0023139E"/>
    <w:rsid w:val="00231B21"/>
    <w:rsid w:val="00231C98"/>
    <w:rsid w:val="002327C2"/>
    <w:rsid w:val="00232891"/>
    <w:rsid w:val="0023338C"/>
    <w:rsid w:val="00233AB4"/>
    <w:rsid w:val="0023438B"/>
    <w:rsid w:val="002348DE"/>
    <w:rsid w:val="002360AA"/>
    <w:rsid w:val="00236100"/>
    <w:rsid w:val="0023774F"/>
    <w:rsid w:val="00237871"/>
    <w:rsid w:val="00237993"/>
    <w:rsid w:val="00241122"/>
    <w:rsid w:val="002419CB"/>
    <w:rsid w:val="00242775"/>
    <w:rsid w:val="00242E2E"/>
    <w:rsid w:val="00244CD6"/>
    <w:rsid w:val="00245B6B"/>
    <w:rsid w:val="00245D70"/>
    <w:rsid w:val="00246104"/>
    <w:rsid w:val="0024645F"/>
    <w:rsid w:val="00246554"/>
    <w:rsid w:val="00246824"/>
    <w:rsid w:val="00246D4F"/>
    <w:rsid w:val="00247E51"/>
    <w:rsid w:val="00250855"/>
    <w:rsid w:val="00250E19"/>
    <w:rsid w:val="00251614"/>
    <w:rsid w:val="00251760"/>
    <w:rsid w:val="002517E7"/>
    <w:rsid w:val="00251A2E"/>
    <w:rsid w:val="0025201A"/>
    <w:rsid w:val="002525A6"/>
    <w:rsid w:val="00252E72"/>
    <w:rsid w:val="0025379E"/>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5748A"/>
    <w:rsid w:val="002600E2"/>
    <w:rsid w:val="00260D16"/>
    <w:rsid w:val="00262A31"/>
    <w:rsid w:val="0026328F"/>
    <w:rsid w:val="00263AEF"/>
    <w:rsid w:val="00263BE0"/>
    <w:rsid w:val="00263EB3"/>
    <w:rsid w:val="00265C44"/>
    <w:rsid w:val="002667AC"/>
    <w:rsid w:val="00266DAF"/>
    <w:rsid w:val="00266DEC"/>
    <w:rsid w:val="002677C7"/>
    <w:rsid w:val="00267841"/>
    <w:rsid w:val="0027025E"/>
    <w:rsid w:val="00270FF8"/>
    <w:rsid w:val="00271356"/>
    <w:rsid w:val="00271FD5"/>
    <w:rsid w:val="002746EF"/>
    <w:rsid w:val="00275F76"/>
    <w:rsid w:val="002761E6"/>
    <w:rsid w:val="002773A5"/>
    <w:rsid w:val="00277BB9"/>
    <w:rsid w:val="00281272"/>
    <w:rsid w:val="00281BAA"/>
    <w:rsid w:val="00281C1B"/>
    <w:rsid w:val="00281F96"/>
    <w:rsid w:val="0028208A"/>
    <w:rsid w:val="002821C0"/>
    <w:rsid w:val="002824DE"/>
    <w:rsid w:val="002838D8"/>
    <w:rsid w:val="00283C9E"/>
    <w:rsid w:val="00283ED9"/>
    <w:rsid w:val="00284507"/>
    <w:rsid w:val="00284C40"/>
    <w:rsid w:val="00285FB3"/>
    <w:rsid w:val="00286E8D"/>
    <w:rsid w:val="00290680"/>
    <w:rsid w:val="00291E52"/>
    <w:rsid w:val="00291FC3"/>
    <w:rsid w:val="00292794"/>
    <w:rsid w:val="00292A9C"/>
    <w:rsid w:val="00292C6F"/>
    <w:rsid w:val="00293535"/>
    <w:rsid w:val="00293765"/>
    <w:rsid w:val="0029486E"/>
    <w:rsid w:val="00294B17"/>
    <w:rsid w:val="0029562F"/>
    <w:rsid w:val="002967C1"/>
    <w:rsid w:val="002967DE"/>
    <w:rsid w:val="00297BA9"/>
    <w:rsid w:val="00297D32"/>
    <w:rsid w:val="00297F64"/>
    <w:rsid w:val="002A0EEA"/>
    <w:rsid w:val="002A17FB"/>
    <w:rsid w:val="002A209A"/>
    <w:rsid w:val="002A23DD"/>
    <w:rsid w:val="002A2E7D"/>
    <w:rsid w:val="002A2F85"/>
    <w:rsid w:val="002A33CC"/>
    <w:rsid w:val="002A33E4"/>
    <w:rsid w:val="002A4CE2"/>
    <w:rsid w:val="002A54CA"/>
    <w:rsid w:val="002A584F"/>
    <w:rsid w:val="002A5D62"/>
    <w:rsid w:val="002A6BE6"/>
    <w:rsid w:val="002A736B"/>
    <w:rsid w:val="002A7718"/>
    <w:rsid w:val="002B115C"/>
    <w:rsid w:val="002B11DB"/>
    <w:rsid w:val="002B1209"/>
    <w:rsid w:val="002B1320"/>
    <w:rsid w:val="002B257E"/>
    <w:rsid w:val="002B2FC4"/>
    <w:rsid w:val="002B3A00"/>
    <w:rsid w:val="002B3E57"/>
    <w:rsid w:val="002B3F79"/>
    <w:rsid w:val="002B495A"/>
    <w:rsid w:val="002B60D4"/>
    <w:rsid w:val="002B6565"/>
    <w:rsid w:val="002B7460"/>
    <w:rsid w:val="002B77D7"/>
    <w:rsid w:val="002B7DB6"/>
    <w:rsid w:val="002C0D29"/>
    <w:rsid w:val="002C1642"/>
    <w:rsid w:val="002C1836"/>
    <w:rsid w:val="002C18CA"/>
    <w:rsid w:val="002C1BB0"/>
    <w:rsid w:val="002C1CDF"/>
    <w:rsid w:val="002C1E54"/>
    <w:rsid w:val="002C2070"/>
    <w:rsid w:val="002C2976"/>
    <w:rsid w:val="002C2C3D"/>
    <w:rsid w:val="002C38E0"/>
    <w:rsid w:val="002C4020"/>
    <w:rsid w:val="002C476B"/>
    <w:rsid w:val="002C5D39"/>
    <w:rsid w:val="002C65AB"/>
    <w:rsid w:val="002C66B5"/>
    <w:rsid w:val="002C69F8"/>
    <w:rsid w:val="002C70CC"/>
    <w:rsid w:val="002C7389"/>
    <w:rsid w:val="002C73A2"/>
    <w:rsid w:val="002C7486"/>
    <w:rsid w:val="002C76B4"/>
    <w:rsid w:val="002C771E"/>
    <w:rsid w:val="002D0571"/>
    <w:rsid w:val="002D064E"/>
    <w:rsid w:val="002D07F5"/>
    <w:rsid w:val="002D0BDB"/>
    <w:rsid w:val="002D10B6"/>
    <w:rsid w:val="002D12A8"/>
    <w:rsid w:val="002D17A3"/>
    <w:rsid w:val="002D23C0"/>
    <w:rsid w:val="002D240C"/>
    <w:rsid w:val="002D2A1D"/>
    <w:rsid w:val="002D4180"/>
    <w:rsid w:val="002D4884"/>
    <w:rsid w:val="002D49A7"/>
    <w:rsid w:val="002D4EA0"/>
    <w:rsid w:val="002D570E"/>
    <w:rsid w:val="002D6011"/>
    <w:rsid w:val="002D6678"/>
    <w:rsid w:val="002D770B"/>
    <w:rsid w:val="002E05B5"/>
    <w:rsid w:val="002E15C1"/>
    <w:rsid w:val="002E1F51"/>
    <w:rsid w:val="002E32CD"/>
    <w:rsid w:val="002E369B"/>
    <w:rsid w:val="002E36E9"/>
    <w:rsid w:val="002E371A"/>
    <w:rsid w:val="002E49EC"/>
    <w:rsid w:val="002E50B3"/>
    <w:rsid w:val="002E58BF"/>
    <w:rsid w:val="002E5AAD"/>
    <w:rsid w:val="002E6F1A"/>
    <w:rsid w:val="002F08A6"/>
    <w:rsid w:val="002F0E6B"/>
    <w:rsid w:val="002F10AE"/>
    <w:rsid w:val="002F1780"/>
    <w:rsid w:val="002F17E3"/>
    <w:rsid w:val="002F1BC1"/>
    <w:rsid w:val="002F1D72"/>
    <w:rsid w:val="002F2530"/>
    <w:rsid w:val="002F274D"/>
    <w:rsid w:val="002F3062"/>
    <w:rsid w:val="002F35FB"/>
    <w:rsid w:val="002F36A9"/>
    <w:rsid w:val="002F37D3"/>
    <w:rsid w:val="002F397E"/>
    <w:rsid w:val="002F461F"/>
    <w:rsid w:val="002F4918"/>
    <w:rsid w:val="002F4C2D"/>
    <w:rsid w:val="002F5064"/>
    <w:rsid w:val="002F5DD6"/>
    <w:rsid w:val="002F5F8F"/>
    <w:rsid w:val="002F62C7"/>
    <w:rsid w:val="002F6488"/>
    <w:rsid w:val="002F71D2"/>
    <w:rsid w:val="002F726C"/>
    <w:rsid w:val="002F788D"/>
    <w:rsid w:val="00301561"/>
    <w:rsid w:val="00301E66"/>
    <w:rsid w:val="003020C4"/>
    <w:rsid w:val="003022CA"/>
    <w:rsid w:val="00302DDC"/>
    <w:rsid w:val="00302F2E"/>
    <w:rsid w:val="003035F8"/>
    <w:rsid w:val="00303A9F"/>
    <w:rsid w:val="0030459A"/>
    <w:rsid w:val="00306516"/>
    <w:rsid w:val="00306EA5"/>
    <w:rsid w:val="00307048"/>
    <w:rsid w:val="00307782"/>
    <w:rsid w:val="0031086C"/>
    <w:rsid w:val="00310C6A"/>
    <w:rsid w:val="00310C71"/>
    <w:rsid w:val="00311643"/>
    <w:rsid w:val="00311AE5"/>
    <w:rsid w:val="00312187"/>
    <w:rsid w:val="00313686"/>
    <w:rsid w:val="00313B55"/>
    <w:rsid w:val="00313FC3"/>
    <w:rsid w:val="00314FB0"/>
    <w:rsid w:val="003165F8"/>
    <w:rsid w:val="00316C39"/>
    <w:rsid w:val="0031752B"/>
    <w:rsid w:val="0032021B"/>
    <w:rsid w:val="003205C6"/>
    <w:rsid w:val="00320B83"/>
    <w:rsid w:val="00320C9A"/>
    <w:rsid w:val="00320E3E"/>
    <w:rsid w:val="003217B8"/>
    <w:rsid w:val="00321E6D"/>
    <w:rsid w:val="00322325"/>
    <w:rsid w:val="00322505"/>
    <w:rsid w:val="00322BD2"/>
    <w:rsid w:val="0032367D"/>
    <w:rsid w:val="00323929"/>
    <w:rsid w:val="00323CBD"/>
    <w:rsid w:val="00324256"/>
    <w:rsid w:val="003244ED"/>
    <w:rsid w:val="0032481D"/>
    <w:rsid w:val="00325C6F"/>
    <w:rsid w:val="003268C7"/>
    <w:rsid w:val="00326A34"/>
    <w:rsid w:val="003277C3"/>
    <w:rsid w:val="003277FA"/>
    <w:rsid w:val="00330AA8"/>
    <w:rsid w:val="00330B23"/>
    <w:rsid w:val="0033145F"/>
    <w:rsid w:val="00331C28"/>
    <w:rsid w:val="00331E25"/>
    <w:rsid w:val="003322ED"/>
    <w:rsid w:val="003329E9"/>
    <w:rsid w:val="00332DB8"/>
    <w:rsid w:val="003333D4"/>
    <w:rsid w:val="00333663"/>
    <w:rsid w:val="003339BE"/>
    <w:rsid w:val="003340EB"/>
    <w:rsid w:val="00334B8E"/>
    <w:rsid w:val="00335B32"/>
    <w:rsid w:val="00335CD5"/>
    <w:rsid w:val="00336225"/>
    <w:rsid w:val="00336F6D"/>
    <w:rsid w:val="003375D8"/>
    <w:rsid w:val="003376BE"/>
    <w:rsid w:val="00340EFA"/>
    <w:rsid w:val="00342B3D"/>
    <w:rsid w:val="0034357E"/>
    <w:rsid w:val="003435B5"/>
    <w:rsid w:val="00343B1C"/>
    <w:rsid w:val="0034406C"/>
    <w:rsid w:val="00344197"/>
    <w:rsid w:val="00344DE6"/>
    <w:rsid w:val="0034528A"/>
    <w:rsid w:val="003453B6"/>
    <w:rsid w:val="00345A0B"/>
    <w:rsid w:val="003466E4"/>
    <w:rsid w:val="003468F6"/>
    <w:rsid w:val="00346D3D"/>
    <w:rsid w:val="003475C2"/>
    <w:rsid w:val="00347812"/>
    <w:rsid w:val="00347E8B"/>
    <w:rsid w:val="003502BF"/>
    <w:rsid w:val="00350747"/>
    <w:rsid w:val="00350C73"/>
    <w:rsid w:val="00351FA5"/>
    <w:rsid w:val="00352441"/>
    <w:rsid w:val="003524A5"/>
    <w:rsid w:val="00352605"/>
    <w:rsid w:val="00354D6A"/>
    <w:rsid w:val="0035581B"/>
    <w:rsid w:val="00355E15"/>
    <w:rsid w:val="00356108"/>
    <w:rsid w:val="003567B9"/>
    <w:rsid w:val="00356F49"/>
    <w:rsid w:val="003578DD"/>
    <w:rsid w:val="003609D9"/>
    <w:rsid w:val="00360FC0"/>
    <w:rsid w:val="003618B4"/>
    <w:rsid w:val="00361F4C"/>
    <w:rsid w:val="00362AF5"/>
    <w:rsid w:val="00362E5F"/>
    <w:rsid w:val="003637BA"/>
    <w:rsid w:val="003641A4"/>
    <w:rsid w:val="00364BFC"/>
    <w:rsid w:val="00364FA3"/>
    <w:rsid w:val="0036556E"/>
    <w:rsid w:val="003663EB"/>
    <w:rsid w:val="00366DFB"/>
    <w:rsid w:val="00366E41"/>
    <w:rsid w:val="003675C3"/>
    <w:rsid w:val="00370220"/>
    <w:rsid w:val="00370809"/>
    <w:rsid w:val="00370B4F"/>
    <w:rsid w:val="00370EA0"/>
    <w:rsid w:val="00371057"/>
    <w:rsid w:val="0037133F"/>
    <w:rsid w:val="00371FB4"/>
    <w:rsid w:val="0037207E"/>
    <w:rsid w:val="0037223D"/>
    <w:rsid w:val="00372606"/>
    <w:rsid w:val="0037284F"/>
    <w:rsid w:val="00372A43"/>
    <w:rsid w:val="00372CF5"/>
    <w:rsid w:val="003730CC"/>
    <w:rsid w:val="00373501"/>
    <w:rsid w:val="003752B3"/>
    <w:rsid w:val="00375355"/>
    <w:rsid w:val="0037626B"/>
    <w:rsid w:val="00376515"/>
    <w:rsid w:val="003769A7"/>
    <w:rsid w:val="003808AB"/>
    <w:rsid w:val="00380CB0"/>
    <w:rsid w:val="0038217A"/>
    <w:rsid w:val="0038231F"/>
    <w:rsid w:val="003827C8"/>
    <w:rsid w:val="00382CF2"/>
    <w:rsid w:val="003834ED"/>
    <w:rsid w:val="00383FB8"/>
    <w:rsid w:val="003841DB"/>
    <w:rsid w:val="0038425D"/>
    <w:rsid w:val="0038456A"/>
    <w:rsid w:val="00384D41"/>
    <w:rsid w:val="00384E58"/>
    <w:rsid w:val="00386DCD"/>
    <w:rsid w:val="003873A0"/>
    <w:rsid w:val="0038793A"/>
    <w:rsid w:val="00390285"/>
    <w:rsid w:val="003907B7"/>
    <w:rsid w:val="003908A9"/>
    <w:rsid w:val="003912D2"/>
    <w:rsid w:val="00391BC5"/>
    <w:rsid w:val="00392846"/>
    <w:rsid w:val="00393C00"/>
    <w:rsid w:val="00394186"/>
    <w:rsid w:val="00394B1D"/>
    <w:rsid w:val="00394B8A"/>
    <w:rsid w:val="0039642D"/>
    <w:rsid w:val="00396A21"/>
    <w:rsid w:val="00396FE1"/>
    <w:rsid w:val="0039769F"/>
    <w:rsid w:val="0039776B"/>
    <w:rsid w:val="0039777A"/>
    <w:rsid w:val="003A1544"/>
    <w:rsid w:val="003A1F8A"/>
    <w:rsid w:val="003A31D4"/>
    <w:rsid w:val="003A3AB0"/>
    <w:rsid w:val="003A43E0"/>
    <w:rsid w:val="003A4C3F"/>
    <w:rsid w:val="003A4D54"/>
    <w:rsid w:val="003A6D6E"/>
    <w:rsid w:val="003A6FCF"/>
    <w:rsid w:val="003A75E1"/>
    <w:rsid w:val="003B11C9"/>
    <w:rsid w:val="003B18E4"/>
    <w:rsid w:val="003B19C9"/>
    <w:rsid w:val="003B19E9"/>
    <w:rsid w:val="003B1BCB"/>
    <w:rsid w:val="003B1CD5"/>
    <w:rsid w:val="003B40E3"/>
    <w:rsid w:val="003B41DB"/>
    <w:rsid w:val="003B4543"/>
    <w:rsid w:val="003B490D"/>
    <w:rsid w:val="003B4A60"/>
    <w:rsid w:val="003B5279"/>
    <w:rsid w:val="003B585C"/>
    <w:rsid w:val="003B5935"/>
    <w:rsid w:val="003B5B5B"/>
    <w:rsid w:val="003B6A4C"/>
    <w:rsid w:val="003B6BD1"/>
    <w:rsid w:val="003B729B"/>
    <w:rsid w:val="003B732F"/>
    <w:rsid w:val="003B79E1"/>
    <w:rsid w:val="003C2026"/>
    <w:rsid w:val="003C22F7"/>
    <w:rsid w:val="003C4B0B"/>
    <w:rsid w:val="003C4E62"/>
    <w:rsid w:val="003C5005"/>
    <w:rsid w:val="003C5E30"/>
    <w:rsid w:val="003C6065"/>
    <w:rsid w:val="003C6B5F"/>
    <w:rsid w:val="003D0435"/>
    <w:rsid w:val="003D1904"/>
    <w:rsid w:val="003D19F7"/>
    <w:rsid w:val="003D1F05"/>
    <w:rsid w:val="003D1FD1"/>
    <w:rsid w:val="003D2C0B"/>
    <w:rsid w:val="003D3B3E"/>
    <w:rsid w:val="003D55FB"/>
    <w:rsid w:val="003D6E73"/>
    <w:rsid w:val="003E1159"/>
    <w:rsid w:val="003E1175"/>
    <w:rsid w:val="003E179A"/>
    <w:rsid w:val="003E1B9E"/>
    <w:rsid w:val="003E265E"/>
    <w:rsid w:val="003E2FDF"/>
    <w:rsid w:val="003E3DD5"/>
    <w:rsid w:val="003E455B"/>
    <w:rsid w:val="003E4B01"/>
    <w:rsid w:val="003E503E"/>
    <w:rsid w:val="003E5A42"/>
    <w:rsid w:val="003E6254"/>
    <w:rsid w:val="003E6619"/>
    <w:rsid w:val="003E706F"/>
    <w:rsid w:val="003E75BA"/>
    <w:rsid w:val="003E7998"/>
    <w:rsid w:val="003E7A8B"/>
    <w:rsid w:val="003E7C5D"/>
    <w:rsid w:val="003F021E"/>
    <w:rsid w:val="003F14CD"/>
    <w:rsid w:val="003F1A50"/>
    <w:rsid w:val="003F1BF8"/>
    <w:rsid w:val="003F2249"/>
    <w:rsid w:val="003F2A1D"/>
    <w:rsid w:val="003F3A57"/>
    <w:rsid w:val="003F45EF"/>
    <w:rsid w:val="003F4F9F"/>
    <w:rsid w:val="003F51B7"/>
    <w:rsid w:val="003F5C65"/>
    <w:rsid w:val="003F6734"/>
    <w:rsid w:val="003F6D9D"/>
    <w:rsid w:val="003F7358"/>
    <w:rsid w:val="003F7397"/>
    <w:rsid w:val="003F7DFB"/>
    <w:rsid w:val="003F7F35"/>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ABE"/>
    <w:rsid w:val="00407E91"/>
    <w:rsid w:val="00407EF5"/>
    <w:rsid w:val="00407F6C"/>
    <w:rsid w:val="00407F74"/>
    <w:rsid w:val="00410E90"/>
    <w:rsid w:val="00411178"/>
    <w:rsid w:val="00411526"/>
    <w:rsid w:val="00411B04"/>
    <w:rsid w:val="00413053"/>
    <w:rsid w:val="00413B42"/>
    <w:rsid w:val="0041423E"/>
    <w:rsid w:val="00414417"/>
    <w:rsid w:val="00414BAC"/>
    <w:rsid w:val="00414F28"/>
    <w:rsid w:val="004164E4"/>
    <w:rsid w:val="0041651B"/>
    <w:rsid w:val="00416BCE"/>
    <w:rsid w:val="00416DDC"/>
    <w:rsid w:val="00421318"/>
    <w:rsid w:val="004213A2"/>
    <w:rsid w:val="00421EC4"/>
    <w:rsid w:val="004229FD"/>
    <w:rsid w:val="00422FFD"/>
    <w:rsid w:val="00423860"/>
    <w:rsid w:val="00423A97"/>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9DC"/>
    <w:rsid w:val="00430AB1"/>
    <w:rsid w:val="0043110D"/>
    <w:rsid w:val="00431475"/>
    <w:rsid w:val="00432A10"/>
    <w:rsid w:val="00432AE9"/>
    <w:rsid w:val="00432E44"/>
    <w:rsid w:val="0043315F"/>
    <w:rsid w:val="0043318B"/>
    <w:rsid w:val="004335F6"/>
    <w:rsid w:val="00433D4A"/>
    <w:rsid w:val="00435424"/>
    <w:rsid w:val="00435FE0"/>
    <w:rsid w:val="00436184"/>
    <w:rsid w:val="00436C67"/>
    <w:rsid w:val="00437F93"/>
    <w:rsid w:val="004401CA"/>
    <w:rsid w:val="0044021F"/>
    <w:rsid w:val="00440D8E"/>
    <w:rsid w:val="004411B8"/>
    <w:rsid w:val="00441882"/>
    <w:rsid w:val="004418CA"/>
    <w:rsid w:val="00442ED7"/>
    <w:rsid w:val="00443104"/>
    <w:rsid w:val="00443868"/>
    <w:rsid w:val="00444066"/>
    <w:rsid w:val="004443D2"/>
    <w:rsid w:val="004443ED"/>
    <w:rsid w:val="00444D96"/>
    <w:rsid w:val="00444E80"/>
    <w:rsid w:val="0044525E"/>
    <w:rsid w:val="0044567B"/>
    <w:rsid w:val="00445CEE"/>
    <w:rsid w:val="004470C1"/>
    <w:rsid w:val="00450E27"/>
    <w:rsid w:val="004519FB"/>
    <w:rsid w:val="00451A7A"/>
    <w:rsid w:val="00451D43"/>
    <w:rsid w:val="00452412"/>
    <w:rsid w:val="00452593"/>
    <w:rsid w:val="00452A40"/>
    <w:rsid w:val="00452F3A"/>
    <w:rsid w:val="004546B7"/>
    <w:rsid w:val="00455354"/>
    <w:rsid w:val="0045546B"/>
    <w:rsid w:val="00455779"/>
    <w:rsid w:val="004558E8"/>
    <w:rsid w:val="00455B9E"/>
    <w:rsid w:val="0045621B"/>
    <w:rsid w:val="004570DD"/>
    <w:rsid w:val="004578FF"/>
    <w:rsid w:val="00460795"/>
    <w:rsid w:val="00460A87"/>
    <w:rsid w:val="00460F78"/>
    <w:rsid w:val="004614BC"/>
    <w:rsid w:val="004615AA"/>
    <w:rsid w:val="00461A51"/>
    <w:rsid w:val="00462F75"/>
    <w:rsid w:val="00463041"/>
    <w:rsid w:val="00463549"/>
    <w:rsid w:val="00463666"/>
    <w:rsid w:val="00463F3E"/>
    <w:rsid w:val="004643EF"/>
    <w:rsid w:val="00464443"/>
    <w:rsid w:val="00464E93"/>
    <w:rsid w:val="0046563C"/>
    <w:rsid w:val="00465E52"/>
    <w:rsid w:val="004660D4"/>
    <w:rsid w:val="0046659D"/>
    <w:rsid w:val="00467353"/>
    <w:rsid w:val="004675EC"/>
    <w:rsid w:val="00467B8E"/>
    <w:rsid w:val="00467D01"/>
    <w:rsid w:val="00467F54"/>
    <w:rsid w:val="00472100"/>
    <w:rsid w:val="00472659"/>
    <w:rsid w:val="00472ED2"/>
    <w:rsid w:val="004732E7"/>
    <w:rsid w:val="00473C6A"/>
    <w:rsid w:val="00474818"/>
    <w:rsid w:val="00475160"/>
    <w:rsid w:val="00476F32"/>
    <w:rsid w:val="00477E84"/>
    <w:rsid w:val="00477F1F"/>
    <w:rsid w:val="00482D52"/>
    <w:rsid w:val="00483AE8"/>
    <w:rsid w:val="00484A1A"/>
    <w:rsid w:val="00484D03"/>
    <w:rsid w:val="0048518B"/>
    <w:rsid w:val="0048553B"/>
    <w:rsid w:val="00486452"/>
    <w:rsid w:val="00487C43"/>
    <w:rsid w:val="00490443"/>
    <w:rsid w:val="00490CB1"/>
    <w:rsid w:val="0049128F"/>
    <w:rsid w:val="004916D9"/>
    <w:rsid w:val="0049272F"/>
    <w:rsid w:val="00492E12"/>
    <w:rsid w:val="004933D3"/>
    <w:rsid w:val="004947D8"/>
    <w:rsid w:val="00495A06"/>
    <w:rsid w:val="00496418"/>
    <w:rsid w:val="00496652"/>
    <w:rsid w:val="00496833"/>
    <w:rsid w:val="00496A7F"/>
    <w:rsid w:val="00496E7E"/>
    <w:rsid w:val="004971DA"/>
    <w:rsid w:val="0049774D"/>
    <w:rsid w:val="00497FA6"/>
    <w:rsid w:val="004A0378"/>
    <w:rsid w:val="004A0A74"/>
    <w:rsid w:val="004A0BD3"/>
    <w:rsid w:val="004A0D6F"/>
    <w:rsid w:val="004A285C"/>
    <w:rsid w:val="004A4310"/>
    <w:rsid w:val="004A5C88"/>
    <w:rsid w:val="004A6006"/>
    <w:rsid w:val="004A7C75"/>
    <w:rsid w:val="004B1DF0"/>
    <w:rsid w:val="004B2001"/>
    <w:rsid w:val="004B23D7"/>
    <w:rsid w:val="004B292C"/>
    <w:rsid w:val="004B2A00"/>
    <w:rsid w:val="004B2AA0"/>
    <w:rsid w:val="004B2EB4"/>
    <w:rsid w:val="004B391B"/>
    <w:rsid w:val="004B3F2F"/>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28AF"/>
    <w:rsid w:val="004C3484"/>
    <w:rsid w:val="004C430F"/>
    <w:rsid w:val="004C4820"/>
    <w:rsid w:val="004C5009"/>
    <w:rsid w:val="004C5223"/>
    <w:rsid w:val="004C5767"/>
    <w:rsid w:val="004C5AF3"/>
    <w:rsid w:val="004C5B22"/>
    <w:rsid w:val="004C5B5A"/>
    <w:rsid w:val="004C5FB0"/>
    <w:rsid w:val="004C6B2A"/>
    <w:rsid w:val="004C7134"/>
    <w:rsid w:val="004C7A36"/>
    <w:rsid w:val="004C7FEE"/>
    <w:rsid w:val="004C7FFA"/>
    <w:rsid w:val="004D0A93"/>
    <w:rsid w:val="004D17C0"/>
    <w:rsid w:val="004D1962"/>
    <w:rsid w:val="004D19EE"/>
    <w:rsid w:val="004D1FBF"/>
    <w:rsid w:val="004D219F"/>
    <w:rsid w:val="004D2C19"/>
    <w:rsid w:val="004D45FA"/>
    <w:rsid w:val="004D4BA0"/>
    <w:rsid w:val="004D4D66"/>
    <w:rsid w:val="004D536C"/>
    <w:rsid w:val="004D56A7"/>
    <w:rsid w:val="004D6DEE"/>
    <w:rsid w:val="004E0D46"/>
    <w:rsid w:val="004E14BD"/>
    <w:rsid w:val="004E1711"/>
    <w:rsid w:val="004E1ABA"/>
    <w:rsid w:val="004E1E54"/>
    <w:rsid w:val="004E2293"/>
    <w:rsid w:val="004E2582"/>
    <w:rsid w:val="004E31D1"/>
    <w:rsid w:val="004E3FB3"/>
    <w:rsid w:val="004E4683"/>
    <w:rsid w:val="004E4862"/>
    <w:rsid w:val="004E54AE"/>
    <w:rsid w:val="004E5D19"/>
    <w:rsid w:val="004E60BD"/>
    <w:rsid w:val="004E6847"/>
    <w:rsid w:val="004E79B1"/>
    <w:rsid w:val="004F00FB"/>
    <w:rsid w:val="004F06E7"/>
    <w:rsid w:val="004F165E"/>
    <w:rsid w:val="004F1C24"/>
    <w:rsid w:val="004F288F"/>
    <w:rsid w:val="004F2AD5"/>
    <w:rsid w:val="004F2C05"/>
    <w:rsid w:val="004F2C93"/>
    <w:rsid w:val="004F3928"/>
    <w:rsid w:val="004F3CE8"/>
    <w:rsid w:val="004F3FBE"/>
    <w:rsid w:val="004F49E8"/>
    <w:rsid w:val="004F4C6E"/>
    <w:rsid w:val="004F51D5"/>
    <w:rsid w:val="004F5A9B"/>
    <w:rsid w:val="004F6EEA"/>
    <w:rsid w:val="00501392"/>
    <w:rsid w:val="00501BF1"/>
    <w:rsid w:val="00501FE0"/>
    <w:rsid w:val="00502B4E"/>
    <w:rsid w:val="00503C66"/>
    <w:rsid w:val="00504994"/>
    <w:rsid w:val="00505082"/>
    <w:rsid w:val="00506663"/>
    <w:rsid w:val="00506E2E"/>
    <w:rsid w:val="005073DC"/>
    <w:rsid w:val="005074D5"/>
    <w:rsid w:val="00510618"/>
    <w:rsid w:val="00510B17"/>
    <w:rsid w:val="0051105A"/>
    <w:rsid w:val="00511373"/>
    <w:rsid w:val="0051138C"/>
    <w:rsid w:val="00511BD6"/>
    <w:rsid w:val="00511DAF"/>
    <w:rsid w:val="00511E0E"/>
    <w:rsid w:val="00511EA2"/>
    <w:rsid w:val="0051214E"/>
    <w:rsid w:val="005124AB"/>
    <w:rsid w:val="005129D4"/>
    <w:rsid w:val="00512A59"/>
    <w:rsid w:val="005135E2"/>
    <w:rsid w:val="005136EF"/>
    <w:rsid w:val="00513C8B"/>
    <w:rsid w:val="0051444D"/>
    <w:rsid w:val="0051476D"/>
    <w:rsid w:val="005148CB"/>
    <w:rsid w:val="00514AB9"/>
    <w:rsid w:val="00515B4D"/>
    <w:rsid w:val="00516BDA"/>
    <w:rsid w:val="0051715D"/>
    <w:rsid w:val="00517AD6"/>
    <w:rsid w:val="005200CE"/>
    <w:rsid w:val="00521015"/>
    <w:rsid w:val="005212E4"/>
    <w:rsid w:val="005217F2"/>
    <w:rsid w:val="0052206F"/>
    <w:rsid w:val="00522BC2"/>
    <w:rsid w:val="00523B54"/>
    <w:rsid w:val="0052534C"/>
    <w:rsid w:val="00525450"/>
    <w:rsid w:val="00525E99"/>
    <w:rsid w:val="00526497"/>
    <w:rsid w:val="00526DD3"/>
    <w:rsid w:val="00526E30"/>
    <w:rsid w:val="0052700A"/>
    <w:rsid w:val="005277EA"/>
    <w:rsid w:val="0053096C"/>
    <w:rsid w:val="00530E23"/>
    <w:rsid w:val="00531254"/>
    <w:rsid w:val="005313BD"/>
    <w:rsid w:val="00531659"/>
    <w:rsid w:val="005324DD"/>
    <w:rsid w:val="005326BF"/>
    <w:rsid w:val="005326EF"/>
    <w:rsid w:val="005327E8"/>
    <w:rsid w:val="00533889"/>
    <w:rsid w:val="0053534F"/>
    <w:rsid w:val="00535BB3"/>
    <w:rsid w:val="00537198"/>
    <w:rsid w:val="00537ADB"/>
    <w:rsid w:val="005412E1"/>
    <w:rsid w:val="00542D2E"/>
    <w:rsid w:val="00543134"/>
    <w:rsid w:val="0054318A"/>
    <w:rsid w:val="005432E3"/>
    <w:rsid w:val="00543CE3"/>
    <w:rsid w:val="0054421C"/>
    <w:rsid w:val="00544B37"/>
    <w:rsid w:val="00544C1D"/>
    <w:rsid w:val="00545502"/>
    <w:rsid w:val="005457D2"/>
    <w:rsid w:val="00545FAE"/>
    <w:rsid w:val="005462B3"/>
    <w:rsid w:val="00546502"/>
    <w:rsid w:val="00546F63"/>
    <w:rsid w:val="00547112"/>
    <w:rsid w:val="005476EF"/>
    <w:rsid w:val="005478E4"/>
    <w:rsid w:val="00547CE0"/>
    <w:rsid w:val="005517FF"/>
    <w:rsid w:val="00551877"/>
    <w:rsid w:val="00553194"/>
    <w:rsid w:val="0055410B"/>
    <w:rsid w:val="005542D1"/>
    <w:rsid w:val="00554513"/>
    <w:rsid w:val="00554960"/>
    <w:rsid w:val="00554FA2"/>
    <w:rsid w:val="005558B7"/>
    <w:rsid w:val="00555C8B"/>
    <w:rsid w:val="00555E31"/>
    <w:rsid w:val="00555F57"/>
    <w:rsid w:val="00555FC1"/>
    <w:rsid w:val="00556345"/>
    <w:rsid w:val="0055649E"/>
    <w:rsid w:val="00557311"/>
    <w:rsid w:val="00557829"/>
    <w:rsid w:val="005603F5"/>
    <w:rsid w:val="0056044F"/>
    <w:rsid w:val="00560D0B"/>
    <w:rsid w:val="00561167"/>
    <w:rsid w:val="005617AF"/>
    <w:rsid w:val="00561A0A"/>
    <w:rsid w:val="00562061"/>
    <w:rsid w:val="005632FD"/>
    <w:rsid w:val="0056403E"/>
    <w:rsid w:val="00564125"/>
    <w:rsid w:val="00565337"/>
    <w:rsid w:val="00565579"/>
    <w:rsid w:val="00565D7A"/>
    <w:rsid w:val="00565EF3"/>
    <w:rsid w:val="0056698B"/>
    <w:rsid w:val="00566CDA"/>
    <w:rsid w:val="005679B4"/>
    <w:rsid w:val="00570397"/>
    <w:rsid w:val="0057067B"/>
    <w:rsid w:val="005707D0"/>
    <w:rsid w:val="0057096D"/>
    <w:rsid w:val="00570FD4"/>
    <w:rsid w:val="005710E3"/>
    <w:rsid w:val="0057159D"/>
    <w:rsid w:val="0057166A"/>
    <w:rsid w:val="0057258C"/>
    <w:rsid w:val="005728A5"/>
    <w:rsid w:val="00572CCA"/>
    <w:rsid w:val="00572E47"/>
    <w:rsid w:val="0057327C"/>
    <w:rsid w:val="00573333"/>
    <w:rsid w:val="00573704"/>
    <w:rsid w:val="00573807"/>
    <w:rsid w:val="005741E8"/>
    <w:rsid w:val="005745AC"/>
    <w:rsid w:val="00576337"/>
    <w:rsid w:val="005765E4"/>
    <w:rsid w:val="0057671C"/>
    <w:rsid w:val="005768EE"/>
    <w:rsid w:val="00576B0A"/>
    <w:rsid w:val="00576DAF"/>
    <w:rsid w:val="00576E29"/>
    <w:rsid w:val="0057704E"/>
    <w:rsid w:val="0057767F"/>
    <w:rsid w:val="00580202"/>
    <w:rsid w:val="00580522"/>
    <w:rsid w:val="005812F9"/>
    <w:rsid w:val="0058240B"/>
    <w:rsid w:val="0058256A"/>
    <w:rsid w:val="00582CFC"/>
    <w:rsid w:val="005831DA"/>
    <w:rsid w:val="00583AC6"/>
    <w:rsid w:val="005852D5"/>
    <w:rsid w:val="0058595C"/>
    <w:rsid w:val="00585B06"/>
    <w:rsid w:val="005869CE"/>
    <w:rsid w:val="00587FBF"/>
    <w:rsid w:val="00590662"/>
    <w:rsid w:val="005915D8"/>
    <w:rsid w:val="00591B19"/>
    <w:rsid w:val="00592679"/>
    <w:rsid w:val="0059333E"/>
    <w:rsid w:val="00593CA6"/>
    <w:rsid w:val="00594334"/>
    <w:rsid w:val="00594A40"/>
    <w:rsid w:val="005958F2"/>
    <w:rsid w:val="00595B1F"/>
    <w:rsid w:val="00596C04"/>
    <w:rsid w:val="00596D63"/>
    <w:rsid w:val="0059778C"/>
    <w:rsid w:val="005978C8"/>
    <w:rsid w:val="005A0829"/>
    <w:rsid w:val="005A09BB"/>
    <w:rsid w:val="005A0FC8"/>
    <w:rsid w:val="005A14E1"/>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2F35"/>
    <w:rsid w:val="005B30DF"/>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640D"/>
    <w:rsid w:val="005C6CEC"/>
    <w:rsid w:val="005C72BE"/>
    <w:rsid w:val="005C77B4"/>
    <w:rsid w:val="005C7ABE"/>
    <w:rsid w:val="005D0012"/>
    <w:rsid w:val="005D00CA"/>
    <w:rsid w:val="005D1782"/>
    <w:rsid w:val="005D1EA5"/>
    <w:rsid w:val="005D246B"/>
    <w:rsid w:val="005D2B8B"/>
    <w:rsid w:val="005D4D5F"/>
    <w:rsid w:val="005D5179"/>
    <w:rsid w:val="005D51CC"/>
    <w:rsid w:val="005D561A"/>
    <w:rsid w:val="005D660A"/>
    <w:rsid w:val="005D6C0F"/>
    <w:rsid w:val="005D77A5"/>
    <w:rsid w:val="005D7B41"/>
    <w:rsid w:val="005D7BD7"/>
    <w:rsid w:val="005E168A"/>
    <w:rsid w:val="005E18F9"/>
    <w:rsid w:val="005E23FB"/>
    <w:rsid w:val="005E3148"/>
    <w:rsid w:val="005E3F32"/>
    <w:rsid w:val="005E41EC"/>
    <w:rsid w:val="005E4210"/>
    <w:rsid w:val="005E49A6"/>
    <w:rsid w:val="005E541D"/>
    <w:rsid w:val="005E5B4A"/>
    <w:rsid w:val="005E66AC"/>
    <w:rsid w:val="005E6A42"/>
    <w:rsid w:val="005E7B56"/>
    <w:rsid w:val="005E7C32"/>
    <w:rsid w:val="005F026B"/>
    <w:rsid w:val="005F03AE"/>
    <w:rsid w:val="005F0B56"/>
    <w:rsid w:val="005F18A6"/>
    <w:rsid w:val="005F2551"/>
    <w:rsid w:val="005F2AF4"/>
    <w:rsid w:val="005F2EEC"/>
    <w:rsid w:val="005F3885"/>
    <w:rsid w:val="005F39A5"/>
    <w:rsid w:val="005F42E1"/>
    <w:rsid w:val="005F4921"/>
    <w:rsid w:val="005F5A23"/>
    <w:rsid w:val="005F5C2B"/>
    <w:rsid w:val="005F5D9C"/>
    <w:rsid w:val="00600F0A"/>
    <w:rsid w:val="006024F5"/>
    <w:rsid w:val="0060271E"/>
    <w:rsid w:val="00602E10"/>
    <w:rsid w:val="00603400"/>
    <w:rsid w:val="00603D5C"/>
    <w:rsid w:val="006048B5"/>
    <w:rsid w:val="00605113"/>
    <w:rsid w:val="0060588A"/>
    <w:rsid w:val="00605AEB"/>
    <w:rsid w:val="00605ED9"/>
    <w:rsid w:val="00607373"/>
    <w:rsid w:val="0060779C"/>
    <w:rsid w:val="00607F95"/>
    <w:rsid w:val="006103BE"/>
    <w:rsid w:val="00610D0C"/>
    <w:rsid w:val="00611E11"/>
    <w:rsid w:val="00612295"/>
    <w:rsid w:val="006127D1"/>
    <w:rsid w:val="0061363E"/>
    <w:rsid w:val="006141A3"/>
    <w:rsid w:val="0061430E"/>
    <w:rsid w:val="0061542D"/>
    <w:rsid w:val="00616486"/>
    <w:rsid w:val="00617820"/>
    <w:rsid w:val="00620144"/>
    <w:rsid w:val="006210B8"/>
    <w:rsid w:val="00621557"/>
    <w:rsid w:val="00621A33"/>
    <w:rsid w:val="00621A78"/>
    <w:rsid w:val="00621A7E"/>
    <w:rsid w:val="00621ACD"/>
    <w:rsid w:val="00622AEF"/>
    <w:rsid w:val="0062352A"/>
    <w:rsid w:val="0062358C"/>
    <w:rsid w:val="0062408F"/>
    <w:rsid w:val="0062435B"/>
    <w:rsid w:val="00624B3C"/>
    <w:rsid w:val="0062686F"/>
    <w:rsid w:val="00627344"/>
    <w:rsid w:val="006274E6"/>
    <w:rsid w:val="00627A06"/>
    <w:rsid w:val="006300E5"/>
    <w:rsid w:val="00630B5C"/>
    <w:rsid w:val="00631A43"/>
    <w:rsid w:val="00631B08"/>
    <w:rsid w:val="00631EA6"/>
    <w:rsid w:val="0063272C"/>
    <w:rsid w:val="00632D50"/>
    <w:rsid w:val="0063313F"/>
    <w:rsid w:val="006336FC"/>
    <w:rsid w:val="0063409E"/>
    <w:rsid w:val="006343CE"/>
    <w:rsid w:val="006344C2"/>
    <w:rsid w:val="00635315"/>
    <w:rsid w:val="0063561D"/>
    <w:rsid w:val="00635CE8"/>
    <w:rsid w:val="00636D82"/>
    <w:rsid w:val="0063716B"/>
    <w:rsid w:val="006373CF"/>
    <w:rsid w:val="0063774B"/>
    <w:rsid w:val="00637AAD"/>
    <w:rsid w:val="00640F7A"/>
    <w:rsid w:val="00641192"/>
    <w:rsid w:val="00641FA5"/>
    <w:rsid w:val="0064278F"/>
    <w:rsid w:val="00642F61"/>
    <w:rsid w:val="00644B6C"/>
    <w:rsid w:val="006450AD"/>
    <w:rsid w:val="00645EE2"/>
    <w:rsid w:val="00646234"/>
    <w:rsid w:val="00646FF6"/>
    <w:rsid w:val="00647DDA"/>
    <w:rsid w:val="0065049F"/>
    <w:rsid w:val="00650D95"/>
    <w:rsid w:val="00651D2B"/>
    <w:rsid w:val="00651D36"/>
    <w:rsid w:val="00651E20"/>
    <w:rsid w:val="0065289A"/>
    <w:rsid w:val="006531B9"/>
    <w:rsid w:val="00653887"/>
    <w:rsid w:val="00654729"/>
    <w:rsid w:val="006552CE"/>
    <w:rsid w:val="006553AB"/>
    <w:rsid w:val="00655A20"/>
    <w:rsid w:val="00655C5F"/>
    <w:rsid w:val="00655E8A"/>
    <w:rsid w:val="00655FE0"/>
    <w:rsid w:val="006561EF"/>
    <w:rsid w:val="0065672D"/>
    <w:rsid w:val="00656EF1"/>
    <w:rsid w:val="0065745F"/>
    <w:rsid w:val="00660817"/>
    <w:rsid w:val="00660C1F"/>
    <w:rsid w:val="00662C7C"/>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5CA"/>
    <w:rsid w:val="00674E67"/>
    <w:rsid w:val="00675FAF"/>
    <w:rsid w:val="0067665B"/>
    <w:rsid w:val="0067673F"/>
    <w:rsid w:val="0068058C"/>
    <w:rsid w:val="006805E5"/>
    <w:rsid w:val="00680976"/>
    <w:rsid w:val="00680E29"/>
    <w:rsid w:val="006813D4"/>
    <w:rsid w:val="00681C89"/>
    <w:rsid w:val="006831B8"/>
    <w:rsid w:val="0068323B"/>
    <w:rsid w:val="006839AB"/>
    <w:rsid w:val="00683C2E"/>
    <w:rsid w:val="00684A68"/>
    <w:rsid w:val="006854F7"/>
    <w:rsid w:val="00685C8E"/>
    <w:rsid w:val="006867F6"/>
    <w:rsid w:val="00687131"/>
    <w:rsid w:val="00690679"/>
    <w:rsid w:val="0069079D"/>
    <w:rsid w:val="00690824"/>
    <w:rsid w:val="006909CE"/>
    <w:rsid w:val="00690A18"/>
    <w:rsid w:val="00691840"/>
    <w:rsid w:val="00692C9B"/>
    <w:rsid w:val="00693568"/>
    <w:rsid w:val="00693F24"/>
    <w:rsid w:val="00694406"/>
    <w:rsid w:val="00694FF9"/>
    <w:rsid w:val="0069563C"/>
    <w:rsid w:val="00695F2A"/>
    <w:rsid w:val="0069687F"/>
    <w:rsid w:val="00696C70"/>
    <w:rsid w:val="006976AE"/>
    <w:rsid w:val="006A0197"/>
    <w:rsid w:val="006A14FA"/>
    <w:rsid w:val="006A1CE8"/>
    <w:rsid w:val="006A27B0"/>
    <w:rsid w:val="006A3CD8"/>
    <w:rsid w:val="006A3F0E"/>
    <w:rsid w:val="006A4293"/>
    <w:rsid w:val="006A436F"/>
    <w:rsid w:val="006A4B31"/>
    <w:rsid w:val="006A4EE4"/>
    <w:rsid w:val="006A5233"/>
    <w:rsid w:val="006A7338"/>
    <w:rsid w:val="006A740A"/>
    <w:rsid w:val="006A7BB6"/>
    <w:rsid w:val="006A7CE4"/>
    <w:rsid w:val="006B04CB"/>
    <w:rsid w:val="006B0D48"/>
    <w:rsid w:val="006B0F34"/>
    <w:rsid w:val="006B1292"/>
    <w:rsid w:val="006B176D"/>
    <w:rsid w:val="006B1B63"/>
    <w:rsid w:val="006B234D"/>
    <w:rsid w:val="006B37B7"/>
    <w:rsid w:val="006B39E9"/>
    <w:rsid w:val="006B46F2"/>
    <w:rsid w:val="006B5152"/>
    <w:rsid w:val="006B5BC7"/>
    <w:rsid w:val="006B5F7E"/>
    <w:rsid w:val="006B6604"/>
    <w:rsid w:val="006B6F54"/>
    <w:rsid w:val="006B7086"/>
    <w:rsid w:val="006B71E3"/>
    <w:rsid w:val="006B73BD"/>
    <w:rsid w:val="006B7F60"/>
    <w:rsid w:val="006C0EE8"/>
    <w:rsid w:val="006C181F"/>
    <w:rsid w:val="006C1849"/>
    <w:rsid w:val="006C1B75"/>
    <w:rsid w:val="006C202E"/>
    <w:rsid w:val="006C2101"/>
    <w:rsid w:val="006C26D7"/>
    <w:rsid w:val="006C3158"/>
    <w:rsid w:val="006C486E"/>
    <w:rsid w:val="006C5433"/>
    <w:rsid w:val="006C5E7D"/>
    <w:rsid w:val="006C621B"/>
    <w:rsid w:val="006C6278"/>
    <w:rsid w:val="006C6597"/>
    <w:rsid w:val="006C75D4"/>
    <w:rsid w:val="006C7608"/>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D6A58"/>
    <w:rsid w:val="006D6F1D"/>
    <w:rsid w:val="006E0122"/>
    <w:rsid w:val="006E074D"/>
    <w:rsid w:val="006E0BB4"/>
    <w:rsid w:val="006E1CA1"/>
    <w:rsid w:val="006E1EFC"/>
    <w:rsid w:val="006E2CB7"/>
    <w:rsid w:val="006E31EA"/>
    <w:rsid w:val="006E339B"/>
    <w:rsid w:val="006E39B1"/>
    <w:rsid w:val="006E5A26"/>
    <w:rsid w:val="006E6373"/>
    <w:rsid w:val="006E6494"/>
    <w:rsid w:val="006E77BC"/>
    <w:rsid w:val="006F0C57"/>
    <w:rsid w:val="006F189D"/>
    <w:rsid w:val="006F2643"/>
    <w:rsid w:val="006F2E79"/>
    <w:rsid w:val="006F31E7"/>
    <w:rsid w:val="006F4911"/>
    <w:rsid w:val="006F500C"/>
    <w:rsid w:val="006F6740"/>
    <w:rsid w:val="007003FE"/>
    <w:rsid w:val="00700502"/>
    <w:rsid w:val="0070084A"/>
    <w:rsid w:val="00701738"/>
    <w:rsid w:val="00701DD1"/>
    <w:rsid w:val="00701F08"/>
    <w:rsid w:val="00702CB5"/>
    <w:rsid w:val="00703709"/>
    <w:rsid w:val="00703F23"/>
    <w:rsid w:val="00704995"/>
    <w:rsid w:val="00704F1C"/>
    <w:rsid w:val="00706508"/>
    <w:rsid w:val="0070731E"/>
    <w:rsid w:val="00707D2B"/>
    <w:rsid w:val="00710571"/>
    <w:rsid w:val="007106CF"/>
    <w:rsid w:val="00710888"/>
    <w:rsid w:val="00710C82"/>
    <w:rsid w:val="007111CB"/>
    <w:rsid w:val="007111DF"/>
    <w:rsid w:val="00711D5E"/>
    <w:rsid w:val="007122F4"/>
    <w:rsid w:val="007126D7"/>
    <w:rsid w:val="00712706"/>
    <w:rsid w:val="007129AA"/>
    <w:rsid w:val="00712AD1"/>
    <w:rsid w:val="00712B8C"/>
    <w:rsid w:val="007143A8"/>
    <w:rsid w:val="0071476E"/>
    <w:rsid w:val="00714EF6"/>
    <w:rsid w:val="007152DF"/>
    <w:rsid w:val="00715A59"/>
    <w:rsid w:val="00716CE1"/>
    <w:rsid w:val="0071736F"/>
    <w:rsid w:val="007177CA"/>
    <w:rsid w:val="00717868"/>
    <w:rsid w:val="00717A77"/>
    <w:rsid w:val="00717FD5"/>
    <w:rsid w:val="007201E4"/>
    <w:rsid w:val="00720573"/>
    <w:rsid w:val="007207BB"/>
    <w:rsid w:val="00720E1A"/>
    <w:rsid w:val="00721310"/>
    <w:rsid w:val="007213F8"/>
    <w:rsid w:val="0072153D"/>
    <w:rsid w:val="00722835"/>
    <w:rsid w:val="00722F83"/>
    <w:rsid w:val="007234C8"/>
    <w:rsid w:val="00723F52"/>
    <w:rsid w:val="00723F60"/>
    <w:rsid w:val="00724293"/>
    <w:rsid w:val="00724377"/>
    <w:rsid w:val="007246E1"/>
    <w:rsid w:val="0072505B"/>
    <w:rsid w:val="007260F0"/>
    <w:rsid w:val="00726CF5"/>
    <w:rsid w:val="00727898"/>
    <w:rsid w:val="007279CD"/>
    <w:rsid w:val="00727DC2"/>
    <w:rsid w:val="007316EC"/>
    <w:rsid w:val="00732008"/>
    <w:rsid w:val="00732118"/>
    <w:rsid w:val="007323F7"/>
    <w:rsid w:val="007336EF"/>
    <w:rsid w:val="00733DF4"/>
    <w:rsid w:val="0073435D"/>
    <w:rsid w:val="0073483A"/>
    <w:rsid w:val="00735C67"/>
    <w:rsid w:val="00736903"/>
    <w:rsid w:val="007371F0"/>
    <w:rsid w:val="00737235"/>
    <w:rsid w:val="0073730F"/>
    <w:rsid w:val="007374B3"/>
    <w:rsid w:val="00737A18"/>
    <w:rsid w:val="00737B34"/>
    <w:rsid w:val="00737F4B"/>
    <w:rsid w:val="007409D0"/>
    <w:rsid w:val="00741431"/>
    <w:rsid w:val="0074204B"/>
    <w:rsid w:val="00742122"/>
    <w:rsid w:val="00742978"/>
    <w:rsid w:val="0074342F"/>
    <w:rsid w:val="00743F32"/>
    <w:rsid w:val="00744CEC"/>
    <w:rsid w:val="00744F40"/>
    <w:rsid w:val="00745130"/>
    <w:rsid w:val="00745477"/>
    <w:rsid w:val="007465A9"/>
    <w:rsid w:val="007467A3"/>
    <w:rsid w:val="00746FDF"/>
    <w:rsid w:val="007471F8"/>
    <w:rsid w:val="00747640"/>
    <w:rsid w:val="0075033D"/>
    <w:rsid w:val="0075084F"/>
    <w:rsid w:val="007509BE"/>
    <w:rsid w:val="0075111C"/>
    <w:rsid w:val="0075164A"/>
    <w:rsid w:val="00751B8E"/>
    <w:rsid w:val="00751B96"/>
    <w:rsid w:val="00751D2C"/>
    <w:rsid w:val="00752819"/>
    <w:rsid w:val="007528C6"/>
    <w:rsid w:val="00752BA9"/>
    <w:rsid w:val="00753AC2"/>
    <w:rsid w:val="00753CAB"/>
    <w:rsid w:val="00753FAA"/>
    <w:rsid w:val="00754161"/>
    <w:rsid w:val="007546BA"/>
    <w:rsid w:val="007547B9"/>
    <w:rsid w:val="00754F2E"/>
    <w:rsid w:val="00755BF3"/>
    <w:rsid w:val="00755D43"/>
    <w:rsid w:val="00756BD2"/>
    <w:rsid w:val="00756F49"/>
    <w:rsid w:val="00757068"/>
    <w:rsid w:val="007574F0"/>
    <w:rsid w:val="00757A43"/>
    <w:rsid w:val="00757D09"/>
    <w:rsid w:val="00760266"/>
    <w:rsid w:val="00760364"/>
    <w:rsid w:val="007609D6"/>
    <w:rsid w:val="00761E68"/>
    <w:rsid w:val="007624BA"/>
    <w:rsid w:val="00764057"/>
    <w:rsid w:val="007641D1"/>
    <w:rsid w:val="00764264"/>
    <w:rsid w:val="00764583"/>
    <w:rsid w:val="00766C5E"/>
    <w:rsid w:val="0076749A"/>
    <w:rsid w:val="007675A5"/>
    <w:rsid w:val="00770C0B"/>
    <w:rsid w:val="00770D5B"/>
    <w:rsid w:val="00770EB5"/>
    <w:rsid w:val="00771465"/>
    <w:rsid w:val="00771E99"/>
    <w:rsid w:val="00772AE8"/>
    <w:rsid w:val="00772F61"/>
    <w:rsid w:val="00772FE9"/>
    <w:rsid w:val="0077325B"/>
    <w:rsid w:val="00773327"/>
    <w:rsid w:val="00773A05"/>
    <w:rsid w:val="00774C59"/>
    <w:rsid w:val="00776AE6"/>
    <w:rsid w:val="00776BB1"/>
    <w:rsid w:val="007778F8"/>
    <w:rsid w:val="00777FC7"/>
    <w:rsid w:val="0078050C"/>
    <w:rsid w:val="00780819"/>
    <w:rsid w:val="00780E3B"/>
    <w:rsid w:val="00781426"/>
    <w:rsid w:val="00781B81"/>
    <w:rsid w:val="00782046"/>
    <w:rsid w:val="00784104"/>
    <w:rsid w:val="00784744"/>
    <w:rsid w:val="00784F32"/>
    <w:rsid w:val="0078552E"/>
    <w:rsid w:val="007859E0"/>
    <w:rsid w:val="00785C95"/>
    <w:rsid w:val="00785FBD"/>
    <w:rsid w:val="00786176"/>
    <w:rsid w:val="007864A0"/>
    <w:rsid w:val="00786825"/>
    <w:rsid w:val="00786D71"/>
    <w:rsid w:val="00786EBD"/>
    <w:rsid w:val="00787C3E"/>
    <w:rsid w:val="00787EB6"/>
    <w:rsid w:val="007906BB"/>
    <w:rsid w:val="007907B2"/>
    <w:rsid w:val="0079094E"/>
    <w:rsid w:val="0079125B"/>
    <w:rsid w:val="007915FB"/>
    <w:rsid w:val="00791CB7"/>
    <w:rsid w:val="00791DF5"/>
    <w:rsid w:val="007928DF"/>
    <w:rsid w:val="00793ABC"/>
    <w:rsid w:val="00794FCD"/>
    <w:rsid w:val="00795456"/>
    <w:rsid w:val="00796168"/>
    <w:rsid w:val="00796446"/>
    <w:rsid w:val="007966D2"/>
    <w:rsid w:val="0079683A"/>
    <w:rsid w:val="00797E0A"/>
    <w:rsid w:val="00797E5B"/>
    <w:rsid w:val="007A0032"/>
    <w:rsid w:val="007A041D"/>
    <w:rsid w:val="007A07E9"/>
    <w:rsid w:val="007A1DCC"/>
    <w:rsid w:val="007A21A5"/>
    <w:rsid w:val="007A25C7"/>
    <w:rsid w:val="007A3974"/>
    <w:rsid w:val="007A424A"/>
    <w:rsid w:val="007A431C"/>
    <w:rsid w:val="007A452D"/>
    <w:rsid w:val="007A4C7E"/>
    <w:rsid w:val="007A55F1"/>
    <w:rsid w:val="007A634D"/>
    <w:rsid w:val="007A63C6"/>
    <w:rsid w:val="007A6723"/>
    <w:rsid w:val="007A6922"/>
    <w:rsid w:val="007A743F"/>
    <w:rsid w:val="007A7DE1"/>
    <w:rsid w:val="007B0C7D"/>
    <w:rsid w:val="007B160E"/>
    <w:rsid w:val="007B2AD2"/>
    <w:rsid w:val="007B3348"/>
    <w:rsid w:val="007B35D8"/>
    <w:rsid w:val="007B5406"/>
    <w:rsid w:val="007B5D53"/>
    <w:rsid w:val="007B5E2F"/>
    <w:rsid w:val="007B6092"/>
    <w:rsid w:val="007B61D9"/>
    <w:rsid w:val="007B6340"/>
    <w:rsid w:val="007B6896"/>
    <w:rsid w:val="007B6F51"/>
    <w:rsid w:val="007B7877"/>
    <w:rsid w:val="007B7D38"/>
    <w:rsid w:val="007C0F80"/>
    <w:rsid w:val="007C1731"/>
    <w:rsid w:val="007C23B9"/>
    <w:rsid w:val="007C4245"/>
    <w:rsid w:val="007C42FD"/>
    <w:rsid w:val="007C486E"/>
    <w:rsid w:val="007C4B03"/>
    <w:rsid w:val="007C53D2"/>
    <w:rsid w:val="007C6867"/>
    <w:rsid w:val="007C741F"/>
    <w:rsid w:val="007C7797"/>
    <w:rsid w:val="007C7874"/>
    <w:rsid w:val="007C7981"/>
    <w:rsid w:val="007C7FD4"/>
    <w:rsid w:val="007D08B7"/>
    <w:rsid w:val="007D18D9"/>
    <w:rsid w:val="007D1E45"/>
    <w:rsid w:val="007D2B0B"/>
    <w:rsid w:val="007D334B"/>
    <w:rsid w:val="007D366D"/>
    <w:rsid w:val="007D3AEB"/>
    <w:rsid w:val="007D3EBE"/>
    <w:rsid w:val="007D42C4"/>
    <w:rsid w:val="007D461F"/>
    <w:rsid w:val="007D547A"/>
    <w:rsid w:val="007D5C1A"/>
    <w:rsid w:val="007D5D0A"/>
    <w:rsid w:val="007D640A"/>
    <w:rsid w:val="007D6446"/>
    <w:rsid w:val="007D6474"/>
    <w:rsid w:val="007D68FD"/>
    <w:rsid w:val="007D6B17"/>
    <w:rsid w:val="007D7443"/>
    <w:rsid w:val="007D7606"/>
    <w:rsid w:val="007E0704"/>
    <w:rsid w:val="007E0C3C"/>
    <w:rsid w:val="007E13D5"/>
    <w:rsid w:val="007E187C"/>
    <w:rsid w:val="007E19D0"/>
    <w:rsid w:val="007E2C9D"/>
    <w:rsid w:val="007E36BE"/>
    <w:rsid w:val="007E379E"/>
    <w:rsid w:val="007E484F"/>
    <w:rsid w:val="007E594E"/>
    <w:rsid w:val="007E5BCD"/>
    <w:rsid w:val="007E6169"/>
    <w:rsid w:val="007E619A"/>
    <w:rsid w:val="007E7602"/>
    <w:rsid w:val="007F0B1C"/>
    <w:rsid w:val="007F18EF"/>
    <w:rsid w:val="007F2BAB"/>
    <w:rsid w:val="007F2C9F"/>
    <w:rsid w:val="007F2E89"/>
    <w:rsid w:val="007F2ED3"/>
    <w:rsid w:val="007F4681"/>
    <w:rsid w:val="007F537A"/>
    <w:rsid w:val="007F5EE4"/>
    <w:rsid w:val="007F63D1"/>
    <w:rsid w:val="007F64C4"/>
    <w:rsid w:val="007F6F33"/>
    <w:rsid w:val="007F6FD8"/>
    <w:rsid w:val="007F77A0"/>
    <w:rsid w:val="007F77C4"/>
    <w:rsid w:val="007F7EBD"/>
    <w:rsid w:val="00800C49"/>
    <w:rsid w:val="0080195C"/>
    <w:rsid w:val="00801B49"/>
    <w:rsid w:val="00803744"/>
    <w:rsid w:val="00803901"/>
    <w:rsid w:val="0080467A"/>
    <w:rsid w:val="008047D6"/>
    <w:rsid w:val="008048DC"/>
    <w:rsid w:val="00804B66"/>
    <w:rsid w:val="0080537A"/>
    <w:rsid w:val="0080560E"/>
    <w:rsid w:val="008056E8"/>
    <w:rsid w:val="00805700"/>
    <w:rsid w:val="008072F3"/>
    <w:rsid w:val="00807D21"/>
    <w:rsid w:val="00807DF2"/>
    <w:rsid w:val="0081050A"/>
    <w:rsid w:val="008116BA"/>
    <w:rsid w:val="00811E71"/>
    <w:rsid w:val="008120AB"/>
    <w:rsid w:val="0081266C"/>
    <w:rsid w:val="00812AD9"/>
    <w:rsid w:val="008130BA"/>
    <w:rsid w:val="00813BF0"/>
    <w:rsid w:val="00813F2F"/>
    <w:rsid w:val="008143C7"/>
    <w:rsid w:val="008145D6"/>
    <w:rsid w:val="00814C54"/>
    <w:rsid w:val="00815C01"/>
    <w:rsid w:val="00815E22"/>
    <w:rsid w:val="00816305"/>
    <w:rsid w:val="0081685B"/>
    <w:rsid w:val="008168AD"/>
    <w:rsid w:val="00816FAA"/>
    <w:rsid w:val="00817497"/>
    <w:rsid w:val="00817C22"/>
    <w:rsid w:val="00817C6A"/>
    <w:rsid w:val="00817E99"/>
    <w:rsid w:val="0082011C"/>
    <w:rsid w:val="008206E4"/>
    <w:rsid w:val="0082091C"/>
    <w:rsid w:val="008209AB"/>
    <w:rsid w:val="008210CA"/>
    <w:rsid w:val="008232F7"/>
    <w:rsid w:val="008233F2"/>
    <w:rsid w:val="00823ABF"/>
    <w:rsid w:val="00823B80"/>
    <w:rsid w:val="00823DC9"/>
    <w:rsid w:val="00823FA2"/>
    <w:rsid w:val="00824AD4"/>
    <w:rsid w:val="00825771"/>
    <w:rsid w:val="0082590A"/>
    <w:rsid w:val="008259B5"/>
    <w:rsid w:val="008263C8"/>
    <w:rsid w:val="00826463"/>
    <w:rsid w:val="00826C7A"/>
    <w:rsid w:val="00827585"/>
    <w:rsid w:val="00827D9F"/>
    <w:rsid w:val="00827F39"/>
    <w:rsid w:val="008306C1"/>
    <w:rsid w:val="008307E6"/>
    <w:rsid w:val="00830E24"/>
    <w:rsid w:val="00831196"/>
    <w:rsid w:val="00831351"/>
    <w:rsid w:val="00831591"/>
    <w:rsid w:val="00832BB9"/>
    <w:rsid w:val="00832C9C"/>
    <w:rsid w:val="00832FE7"/>
    <w:rsid w:val="008330A3"/>
    <w:rsid w:val="0083564E"/>
    <w:rsid w:val="008356E6"/>
    <w:rsid w:val="00835A9F"/>
    <w:rsid w:val="00835D93"/>
    <w:rsid w:val="0083646F"/>
    <w:rsid w:val="00837790"/>
    <w:rsid w:val="008408F1"/>
    <w:rsid w:val="008419E1"/>
    <w:rsid w:val="00841B10"/>
    <w:rsid w:val="00841C87"/>
    <w:rsid w:val="008423F6"/>
    <w:rsid w:val="00842E9E"/>
    <w:rsid w:val="00843D66"/>
    <w:rsid w:val="00844186"/>
    <w:rsid w:val="00844782"/>
    <w:rsid w:val="00844C17"/>
    <w:rsid w:val="008501CA"/>
    <w:rsid w:val="008502AB"/>
    <w:rsid w:val="0085041D"/>
    <w:rsid w:val="008504C2"/>
    <w:rsid w:val="00850664"/>
    <w:rsid w:val="00851C46"/>
    <w:rsid w:val="00851FAC"/>
    <w:rsid w:val="00853295"/>
    <w:rsid w:val="00853466"/>
    <w:rsid w:val="00853A8C"/>
    <w:rsid w:val="00854E32"/>
    <w:rsid w:val="00855CEF"/>
    <w:rsid w:val="00856AF0"/>
    <w:rsid w:val="008605EB"/>
    <w:rsid w:val="00860633"/>
    <w:rsid w:val="00860EB3"/>
    <w:rsid w:val="0086143A"/>
    <w:rsid w:val="00861C93"/>
    <w:rsid w:val="0086235E"/>
    <w:rsid w:val="00862912"/>
    <w:rsid w:val="00862A3F"/>
    <w:rsid w:val="008630B5"/>
    <w:rsid w:val="00863992"/>
    <w:rsid w:val="00864096"/>
    <w:rsid w:val="00864710"/>
    <w:rsid w:val="00867B59"/>
    <w:rsid w:val="00867E9C"/>
    <w:rsid w:val="008704AF"/>
    <w:rsid w:val="00870C2E"/>
    <w:rsid w:val="00870C9A"/>
    <w:rsid w:val="00870DAA"/>
    <w:rsid w:val="008718B4"/>
    <w:rsid w:val="0087271C"/>
    <w:rsid w:val="008731F5"/>
    <w:rsid w:val="00873262"/>
    <w:rsid w:val="008737CC"/>
    <w:rsid w:val="008738DA"/>
    <w:rsid w:val="00873E15"/>
    <w:rsid w:val="00874F7B"/>
    <w:rsid w:val="008751F1"/>
    <w:rsid w:val="00875BB4"/>
    <w:rsid w:val="00875C89"/>
    <w:rsid w:val="00875E24"/>
    <w:rsid w:val="008766F4"/>
    <w:rsid w:val="008806E7"/>
    <w:rsid w:val="0088135C"/>
    <w:rsid w:val="0088150B"/>
    <w:rsid w:val="00881B78"/>
    <w:rsid w:val="008825A4"/>
    <w:rsid w:val="0088370B"/>
    <w:rsid w:val="0088409A"/>
    <w:rsid w:val="008845A2"/>
    <w:rsid w:val="008847BC"/>
    <w:rsid w:val="00884C67"/>
    <w:rsid w:val="008850E2"/>
    <w:rsid w:val="00886B47"/>
    <w:rsid w:val="00887DE8"/>
    <w:rsid w:val="00890D46"/>
    <w:rsid w:val="00890D61"/>
    <w:rsid w:val="00892B45"/>
    <w:rsid w:val="008932A6"/>
    <w:rsid w:val="008934E9"/>
    <w:rsid w:val="008939C0"/>
    <w:rsid w:val="008A0E66"/>
    <w:rsid w:val="008A1166"/>
    <w:rsid w:val="008A12BF"/>
    <w:rsid w:val="008A184B"/>
    <w:rsid w:val="008A35E3"/>
    <w:rsid w:val="008A37E7"/>
    <w:rsid w:val="008A48E5"/>
    <w:rsid w:val="008A4D24"/>
    <w:rsid w:val="008A5786"/>
    <w:rsid w:val="008A5BD7"/>
    <w:rsid w:val="008A6D13"/>
    <w:rsid w:val="008A778C"/>
    <w:rsid w:val="008A7931"/>
    <w:rsid w:val="008A79B4"/>
    <w:rsid w:val="008A7EF3"/>
    <w:rsid w:val="008B00D4"/>
    <w:rsid w:val="008B04BF"/>
    <w:rsid w:val="008B0F3C"/>
    <w:rsid w:val="008B15B5"/>
    <w:rsid w:val="008B2007"/>
    <w:rsid w:val="008B33AA"/>
    <w:rsid w:val="008B36ED"/>
    <w:rsid w:val="008B371A"/>
    <w:rsid w:val="008B3802"/>
    <w:rsid w:val="008B3B0C"/>
    <w:rsid w:val="008B4097"/>
    <w:rsid w:val="008B63BC"/>
    <w:rsid w:val="008B63E8"/>
    <w:rsid w:val="008B6AB5"/>
    <w:rsid w:val="008B7552"/>
    <w:rsid w:val="008C00FE"/>
    <w:rsid w:val="008C03D3"/>
    <w:rsid w:val="008C07F0"/>
    <w:rsid w:val="008C0930"/>
    <w:rsid w:val="008C2804"/>
    <w:rsid w:val="008C3720"/>
    <w:rsid w:val="008C3759"/>
    <w:rsid w:val="008C3D0C"/>
    <w:rsid w:val="008C3E15"/>
    <w:rsid w:val="008C41D2"/>
    <w:rsid w:val="008C4C90"/>
    <w:rsid w:val="008C4CFD"/>
    <w:rsid w:val="008C6833"/>
    <w:rsid w:val="008C6E36"/>
    <w:rsid w:val="008D0D53"/>
    <w:rsid w:val="008D0E59"/>
    <w:rsid w:val="008D1D33"/>
    <w:rsid w:val="008D249B"/>
    <w:rsid w:val="008D32CC"/>
    <w:rsid w:val="008D3ABD"/>
    <w:rsid w:val="008D3F7C"/>
    <w:rsid w:val="008D4249"/>
    <w:rsid w:val="008D5495"/>
    <w:rsid w:val="008D5BBE"/>
    <w:rsid w:val="008D61A8"/>
    <w:rsid w:val="008D629F"/>
    <w:rsid w:val="008D6CA2"/>
    <w:rsid w:val="008D6E21"/>
    <w:rsid w:val="008E006C"/>
    <w:rsid w:val="008E0093"/>
    <w:rsid w:val="008E1645"/>
    <w:rsid w:val="008E17F9"/>
    <w:rsid w:val="008E182D"/>
    <w:rsid w:val="008E36BD"/>
    <w:rsid w:val="008E42AE"/>
    <w:rsid w:val="008E53E8"/>
    <w:rsid w:val="008E5F19"/>
    <w:rsid w:val="008E61BE"/>
    <w:rsid w:val="008E6528"/>
    <w:rsid w:val="008F00EF"/>
    <w:rsid w:val="008F0DCF"/>
    <w:rsid w:val="008F0FBD"/>
    <w:rsid w:val="008F1087"/>
    <w:rsid w:val="008F19DB"/>
    <w:rsid w:val="008F1A42"/>
    <w:rsid w:val="008F284F"/>
    <w:rsid w:val="008F2B7A"/>
    <w:rsid w:val="008F2DB3"/>
    <w:rsid w:val="008F36DB"/>
    <w:rsid w:val="008F473D"/>
    <w:rsid w:val="008F4E0C"/>
    <w:rsid w:val="008F5E03"/>
    <w:rsid w:val="008F5F5D"/>
    <w:rsid w:val="008F6FA5"/>
    <w:rsid w:val="008F7097"/>
    <w:rsid w:val="00900381"/>
    <w:rsid w:val="009017BE"/>
    <w:rsid w:val="00901E57"/>
    <w:rsid w:val="0090391A"/>
    <w:rsid w:val="00903BA4"/>
    <w:rsid w:val="009056D8"/>
    <w:rsid w:val="00905BF4"/>
    <w:rsid w:val="009063CE"/>
    <w:rsid w:val="00906433"/>
    <w:rsid w:val="00906901"/>
    <w:rsid w:val="00906983"/>
    <w:rsid w:val="00906D46"/>
    <w:rsid w:val="0090717C"/>
    <w:rsid w:val="00907C1C"/>
    <w:rsid w:val="00910371"/>
    <w:rsid w:val="00912107"/>
    <w:rsid w:val="00912289"/>
    <w:rsid w:val="00912A7F"/>
    <w:rsid w:val="00912ACC"/>
    <w:rsid w:val="00913C94"/>
    <w:rsid w:val="00914674"/>
    <w:rsid w:val="00915695"/>
    <w:rsid w:val="00915991"/>
    <w:rsid w:val="00915A00"/>
    <w:rsid w:val="00916187"/>
    <w:rsid w:val="0091741E"/>
    <w:rsid w:val="00917D73"/>
    <w:rsid w:val="00920507"/>
    <w:rsid w:val="009208D1"/>
    <w:rsid w:val="00920C44"/>
    <w:rsid w:val="00920D0B"/>
    <w:rsid w:val="0092243D"/>
    <w:rsid w:val="0092245A"/>
    <w:rsid w:val="00922863"/>
    <w:rsid w:val="009230C6"/>
    <w:rsid w:val="00923F0C"/>
    <w:rsid w:val="00924CCA"/>
    <w:rsid w:val="009255EE"/>
    <w:rsid w:val="00925763"/>
    <w:rsid w:val="00925DAB"/>
    <w:rsid w:val="00926590"/>
    <w:rsid w:val="00926FC2"/>
    <w:rsid w:val="0092717A"/>
    <w:rsid w:val="00927512"/>
    <w:rsid w:val="009277E3"/>
    <w:rsid w:val="00931522"/>
    <w:rsid w:val="0093264D"/>
    <w:rsid w:val="00932710"/>
    <w:rsid w:val="0093289F"/>
    <w:rsid w:val="00932B62"/>
    <w:rsid w:val="00933451"/>
    <w:rsid w:val="009337EB"/>
    <w:rsid w:val="00933AFC"/>
    <w:rsid w:val="00933CAF"/>
    <w:rsid w:val="009345B6"/>
    <w:rsid w:val="00934603"/>
    <w:rsid w:val="00934906"/>
    <w:rsid w:val="0093504D"/>
    <w:rsid w:val="0093560E"/>
    <w:rsid w:val="009357EB"/>
    <w:rsid w:val="00935B07"/>
    <w:rsid w:val="009369F8"/>
    <w:rsid w:val="00936FB6"/>
    <w:rsid w:val="0093747A"/>
    <w:rsid w:val="009374B3"/>
    <w:rsid w:val="00937A39"/>
    <w:rsid w:val="00937AE9"/>
    <w:rsid w:val="009402F5"/>
    <w:rsid w:val="00942721"/>
    <w:rsid w:val="00942F37"/>
    <w:rsid w:val="0094314E"/>
    <w:rsid w:val="0094419E"/>
    <w:rsid w:val="00944457"/>
    <w:rsid w:val="009444D7"/>
    <w:rsid w:val="00944F4D"/>
    <w:rsid w:val="00945403"/>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2BBD"/>
    <w:rsid w:val="00954641"/>
    <w:rsid w:val="009547FF"/>
    <w:rsid w:val="009553D0"/>
    <w:rsid w:val="009561D3"/>
    <w:rsid w:val="009564DD"/>
    <w:rsid w:val="00956B8E"/>
    <w:rsid w:val="009573A5"/>
    <w:rsid w:val="0095744A"/>
    <w:rsid w:val="00957548"/>
    <w:rsid w:val="00957D33"/>
    <w:rsid w:val="00960C20"/>
    <w:rsid w:val="00960C29"/>
    <w:rsid w:val="0096129E"/>
    <w:rsid w:val="009613EA"/>
    <w:rsid w:val="00961CF1"/>
    <w:rsid w:val="009621EC"/>
    <w:rsid w:val="009623CF"/>
    <w:rsid w:val="00962462"/>
    <w:rsid w:val="009625AB"/>
    <w:rsid w:val="00962604"/>
    <w:rsid w:val="009635FF"/>
    <w:rsid w:val="009637D0"/>
    <w:rsid w:val="009649FB"/>
    <w:rsid w:val="00964CAC"/>
    <w:rsid w:val="00964D57"/>
    <w:rsid w:val="00964FB0"/>
    <w:rsid w:val="009653DA"/>
    <w:rsid w:val="00965D9F"/>
    <w:rsid w:val="0096610C"/>
    <w:rsid w:val="00966C76"/>
    <w:rsid w:val="0096704E"/>
    <w:rsid w:val="00967AD1"/>
    <w:rsid w:val="00967B6C"/>
    <w:rsid w:val="00971694"/>
    <w:rsid w:val="009718FC"/>
    <w:rsid w:val="00971A9A"/>
    <w:rsid w:val="00971AF5"/>
    <w:rsid w:val="00972240"/>
    <w:rsid w:val="00972747"/>
    <w:rsid w:val="00972C97"/>
    <w:rsid w:val="00972E8D"/>
    <w:rsid w:val="009731C9"/>
    <w:rsid w:val="00973BAC"/>
    <w:rsid w:val="00974218"/>
    <w:rsid w:val="00975410"/>
    <w:rsid w:val="009760D1"/>
    <w:rsid w:val="00976F6F"/>
    <w:rsid w:val="009776D0"/>
    <w:rsid w:val="00980672"/>
    <w:rsid w:val="0098073C"/>
    <w:rsid w:val="00981C0C"/>
    <w:rsid w:val="009833F0"/>
    <w:rsid w:val="009839E5"/>
    <w:rsid w:val="00983CDD"/>
    <w:rsid w:val="00983EFF"/>
    <w:rsid w:val="00984ABB"/>
    <w:rsid w:val="00984ADC"/>
    <w:rsid w:val="00984E0B"/>
    <w:rsid w:val="0098534A"/>
    <w:rsid w:val="00985E10"/>
    <w:rsid w:val="00985EB0"/>
    <w:rsid w:val="009863A4"/>
    <w:rsid w:val="00986A66"/>
    <w:rsid w:val="00987024"/>
    <w:rsid w:val="00987F7A"/>
    <w:rsid w:val="00990670"/>
    <w:rsid w:val="00992B09"/>
    <w:rsid w:val="00993A4D"/>
    <w:rsid w:val="009948A3"/>
    <w:rsid w:val="00995424"/>
    <w:rsid w:val="00995DCD"/>
    <w:rsid w:val="009963D1"/>
    <w:rsid w:val="00996B52"/>
    <w:rsid w:val="009973F9"/>
    <w:rsid w:val="009A12AF"/>
    <w:rsid w:val="009A1550"/>
    <w:rsid w:val="009A1DB5"/>
    <w:rsid w:val="009A27B6"/>
    <w:rsid w:val="009A2B28"/>
    <w:rsid w:val="009A2EFA"/>
    <w:rsid w:val="009A32CB"/>
    <w:rsid w:val="009A37C5"/>
    <w:rsid w:val="009A4287"/>
    <w:rsid w:val="009A5522"/>
    <w:rsid w:val="009A57DC"/>
    <w:rsid w:val="009A62D5"/>
    <w:rsid w:val="009A6602"/>
    <w:rsid w:val="009A6756"/>
    <w:rsid w:val="009A6A9F"/>
    <w:rsid w:val="009A7D0B"/>
    <w:rsid w:val="009B0DCC"/>
    <w:rsid w:val="009B1ADD"/>
    <w:rsid w:val="009B20EB"/>
    <w:rsid w:val="009B2408"/>
    <w:rsid w:val="009B2FD9"/>
    <w:rsid w:val="009B3254"/>
    <w:rsid w:val="009B36A7"/>
    <w:rsid w:val="009B3B4A"/>
    <w:rsid w:val="009B5205"/>
    <w:rsid w:val="009B56E7"/>
    <w:rsid w:val="009B6C7A"/>
    <w:rsid w:val="009B78FA"/>
    <w:rsid w:val="009C1089"/>
    <w:rsid w:val="009C2EF6"/>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63"/>
    <w:rsid w:val="009D62D4"/>
    <w:rsid w:val="009D6A7F"/>
    <w:rsid w:val="009D7AF8"/>
    <w:rsid w:val="009D7CC3"/>
    <w:rsid w:val="009E1122"/>
    <w:rsid w:val="009E1178"/>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372"/>
    <w:rsid w:val="009F2B39"/>
    <w:rsid w:val="009F312B"/>
    <w:rsid w:val="009F45F4"/>
    <w:rsid w:val="009F6E68"/>
    <w:rsid w:val="009F7FB2"/>
    <w:rsid w:val="00A008CD"/>
    <w:rsid w:val="00A00BB3"/>
    <w:rsid w:val="00A00C3A"/>
    <w:rsid w:val="00A010E2"/>
    <w:rsid w:val="00A01763"/>
    <w:rsid w:val="00A01999"/>
    <w:rsid w:val="00A01D02"/>
    <w:rsid w:val="00A021B0"/>
    <w:rsid w:val="00A02251"/>
    <w:rsid w:val="00A02598"/>
    <w:rsid w:val="00A02F26"/>
    <w:rsid w:val="00A03B2B"/>
    <w:rsid w:val="00A03E5C"/>
    <w:rsid w:val="00A0417E"/>
    <w:rsid w:val="00A042E5"/>
    <w:rsid w:val="00A04650"/>
    <w:rsid w:val="00A04BB4"/>
    <w:rsid w:val="00A057C3"/>
    <w:rsid w:val="00A05A79"/>
    <w:rsid w:val="00A06906"/>
    <w:rsid w:val="00A078ED"/>
    <w:rsid w:val="00A079F5"/>
    <w:rsid w:val="00A11566"/>
    <w:rsid w:val="00A11915"/>
    <w:rsid w:val="00A12105"/>
    <w:rsid w:val="00A12461"/>
    <w:rsid w:val="00A12797"/>
    <w:rsid w:val="00A12F56"/>
    <w:rsid w:val="00A13250"/>
    <w:rsid w:val="00A13BBD"/>
    <w:rsid w:val="00A14455"/>
    <w:rsid w:val="00A14635"/>
    <w:rsid w:val="00A14F1A"/>
    <w:rsid w:val="00A150E6"/>
    <w:rsid w:val="00A165C4"/>
    <w:rsid w:val="00A16766"/>
    <w:rsid w:val="00A169D8"/>
    <w:rsid w:val="00A172D9"/>
    <w:rsid w:val="00A1773E"/>
    <w:rsid w:val="00A177EC"/>
    <w:rsid w:val="00A1798C"/>
    <w:rsid w:val="00A179B2"/>
    <w:rsid w:val="00A20426"/>
    <w:rsid w:val="00A20953"/>
    <w:rsid w:val="00A212A9"/>
    <w:rsid w:val="00A213DA"/>
    <w:rsid w:val="00A21F35"/>
    <w:rsid w:val="00A2231B"/>
    <w:rsid w:val="00A2255B"/>
    <w:rsid w:val="00A226FC"/>
    <w:rsid w:val="00A22CF8"/>
    <w:rsid w:val="00A22EAE"/>
    <w:rsid w:val="00A23990"/>
    <w:rsid w:val="00A24407"/>
    <w:rsid w:val="00A24D9C"/>
    <w:rsid w:val="00A25102"/>
    <w:rsid w:val="00A25E45"/>
    <w:rsid w:val="00A25E60"/>
    <w:rsid w:val="00A25FDA"/>
    <w:rsid w:val="00A26254"/>
    <w:rsid w:val="00A262F3"/>
    <w:rsid w:val="00A30741"/>
    <w:rsid w:val="00A32258"/>
    <w:rsid w:val="00A322A9"/>
    <w:rsid w:val="00A32BBE"/>
    <w:rsid w:val="00A32BBF"/>
    <w:rsid w:val="00A32E08"/>
    <w:rsid w:val="00A335DA"/>
    <w:rsid w:val="00A33B9F"/>
    <w:rsid w:val="00A33FD9"/>
    <w:rsid w:val="00A34672"/>
    <w:rsid w:val="00A34729"/>
    <w:rsid w:val="00A34F9A"/>
    <w:rsid w:val="00A35FAB"/>
    <w:rsid w:val="00A360B5"/>
    <w:rsid w:val="00A36330"/>
    <w:rsid w:val="00A364F9"/>
    <w:rsid w:val="00A36703"/>
    <w:rsid w:val="00A373FD"/>
    <w:rsid w:val="00A40184"/>
    <w:rsid w:val="00A40C43"/>
    <w:rsid w:val="00A42232"/>
    <w:rsid w:val="00A425EF"/>
    <w:rsid w:val="00A42634"/>
    <w:rsid w:val="00A42B10"/>
    <w:rsid w:val="00A432EF"/>
    <w:rsid w:val="00A436B9"/>
    <w:rsid w:val="00A43925"/>
    <w:rsid w:val="00A43CFC"/>
    <w:rsid w:val="00A444EA"/>
    <w:rsid w:val="00A44EF0"/>
    <w:rsid w:val="00A45B03"/>
    <w:rsid w:val="00A47547"/>
    <w:rsid w:val="00A4754D"/>
    <w:rsid w:val="00A4780B"/>
    <w:rsid w:val="00A504A2"/>
    <w:rsid w:val="00A50CD1"/>
    <w:rsid w:val="00A51010"/>
    <w:rsid w:val="00A52284"/>
    <w:rsid w:val="00A527B5"/>
    <w:rsid w:val="00A5282D"/>
    <w:rsid w:val="00A52B8C"/>
    <w:rsid w:val="00A52B8F"/>
    <w:rsid w:val="00A533C0"/>
    <w:rsid w:val="00A53734"/>
    <w:rsid w:val="00A556EF"/>
    <w:rsid w:val="00A56857"/>
    <w:rsid w:val="00A574A6"/>
    <w:rsid w:val="00A57F0B"/>
    <w:rsid w:val="00A6086C"/>
    <w:rsid w:val="00A608AB"/>
    <w:rsid w:val="00A62E49"/>
    <w:rsid w:val="00A63978"/>
    <w:rsid w:val="00A63A45"/>
    <w:rsid w:val="00A64917"/>
    <w:rsid w:val="00A649A6"/>
    <w:rsid w:val="00A65731"/>
    <w:rsid w:val="00A66506"/>
    <w:rsid w:val="00A6752E"/>
    <w:rsid w:val="00A67961"/>
    <w:rsid w:val="00A67ED4"/>
    <w:rsid w:val="00A72527"/>
    <w:rsid w:val="00A73187"/>
    <w:rsid w:val="00A738F0"/>
    <w:rsid w:val="00A73F66"/>
    <w:rsid w:val="00A74BD1"/>
    <w:rsid w:val="00A74CF8"/>
    <w:rsid w:val="00A75071"/>
    <w:rsid w:val="00A756D1"/>
    <w:rsid w:val="00A75A8D"/>
    <w:rsid w:val="00A775E2"/>
    <w:rsid w:val="00A8086B"/>
    <w:rsid w:val="00A8109A"/>
    <w:rsid w:val="00A81C7F"/>
    <w:rsid w:val="00A821C0"/>
    <w:rsid w:val="00A8233F"/>
    <w:rsid w:val="00A82925"/>
    <w:rsid w:val="00A82B7C"/>
    <w:rsid w:val="00A82B89"/>
    <w:rsid w:val="00A82CBA"/>
    <w:rsid w:val="00A82E80"/>
    <w:rsid w:val="00A8313D"/>
    <w:rsid w:val="00A87167"/>
    <w:rsid w:val="00A87AC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2CC"/>
    <w:rsid w:val="00A97436"/>
    <w:rsid w:val="00A97BFA"/>
    <w:rsid w:val="00A97E0C"/>
    <w:rsid w:val="00AA04F7"/>
    <w:rsid w:val="00AA27FA"/>
    <w:rsid w:val="00AA298B"/>
    <w:rsid w:val="00AA2F94"/>
    <w:rsid w:val="00AA3175"/>
    <w:rsid w:val="00AA4085"/>
    <w:rsid w:val="00AA64BE"/>
    <w:rsid w:val="00AA74CF"/>
    <w:rsid w:val="00AA7CA7"/>
    <w:rsid w:val="00AA7DDF"/>
    <w:rsid w:val="00AA7ECC"/>
    <w:rsid w:val="00AB1066"/>
    <w:rsid w:val="00AB14B5"/>
    <w:rsid w:val="00AB14CA"/>
    <w:rsid w:val="00AB5143"/>
    <w:rsid w:val="00AB523E"/>
    <w:rsid w:val="00AB54D3"/>
    <w:rsid w:val="00AB55ED"/>
    <w:rsid w:val="00AB617E"/>
    <w:rsid w:val="00AB76AA"/>
    <w:rsid w:val="00AB7C9C"/>
    <w:rsid w:val="00AC195F"/>
    <w:rsid w:val="00AC1BA9"/>
    <w:rsid w:val="00AC1F2C"/>
    <w:rsid w:val="00AC2267"/>
    <w:rsid w:val="00AC2330"/>
    <w:rsid w:val="00AC2615"/>
    <w:rsid w:val="00AC3AC6"/>
    <w:rsid w:val="00AC3D89"/>
    <w:rsid w:val="00AC4D9F"/>
    <w:rsid w:val="00AC51E5"/>
    <w:rsid w:val="00AC5EC7"/>
    <w:rsid w:val="00AC663D"/>
    <w:rsid w:val="00AC6B23"/>
    <w:rsid w:val="00AC6B9E"/>
    <w:rsid w:val="00AC7D48"/>
    <w:rsid w:val="00AD04A0"/>
    <w:rsid w:val="00AD052F"/>
    <w:rsid w:val="00AD0807"/>
    <w:rsid w:val="00AD2DF9"/>
    <w:rsid w:val="00AD32C5"/>
    <w:rsid w:val="00AD374E"/>
    <w:rsid w:val="00AD3CF8"/>
    <w:rsid w:val="00AD3F03"/>
    <w:rsid w:val="00AD417A"/>
    <w:rsid w:val="00AD4586"/>
    <w:rsid w:val="00AD516A"/>
    <w:rsid w:val="00AD558F"/>
    <w:rsid w:val="00AD563F"/>
    <w:rsid w:val="00AD56A9"/>
    <w:rsid w:val="00AD5CED"/>
    <w:rsid w:val="00AD641D"/>
    <w:rsid w:val="00AD72A1"/>
    <w:rsid w:val="00AD7912"/>
    <w:rsid w:val="00AD7FDC"/>
    <w:rsid w:val="00AE04AF"/>
    <w:rsid w:val="00AE0EA5"/>
    <w:rsid w:val="00AE0F03"/>
    <w:rsid w:val="00AE19A4"/>
    <w:rsid w:val="00AE1C63"/>
    <w:rsid w:val="00AE23E5"/>
    <w:rsid w:val="00AE242D"/>
    <w:rsid w:val="00AE35A0"/>
    <w:rsid w:val="00AE3692"/>
    <w:rsid w:val="00AE3B4E"/>
    <w:rsid w:val="00AE3D0F"/>
    <w:rsid w:val="00AE5570"/>
    <w:rsid w:val="00AE578C"/>
    <w:rsid w:val="00AE7659"/>
    <w:rsid w:val="00AE7BBC"/>
    <w:rsid w:val="00AF0AF0"/>
    <w:rsid w:val="00AF0C29"/>
    <w:rsid w:val="00AF2157"/>
    <w:rsid w:val="00AF2B89"/>
    <w:rsid w:val="00AF2D57"/>
    <w:rsid w:val="00AF31F1"/>
    <w:rsid w:val="00AF421B"/>
    <w:rsid w:val="00AF47FE"/>
    <w:rsid w:val="00AF4814"/>
    <w:rsid w:val="00AF54DD"/>
    <w:rsid w:val="00AF56A8"/>
    <w:rsid w:val="00AF68AA"/>
    <w:rsid w:val="00AF6BCB"/>
    <w:rsid w:val="00AF757F"/>
    <w:rsid w:val="00AF7C6D"/>
    <w:rsid w:val="00B007DA"/>
    <w:rsid w:val="00B01907"/>
    <w:rsid w:val="00B01A43"/>
    <w:rsid w:val="00B01B84"/>
    <w:rsid w:val="00B0216E"/>
    <w:rsid w:val="00B02FC7"/>
    <w:rsid w:val="00B03F61"/>
    <w:rsid w:val="00B05142"/>
    <w:rsid w:val="00B0608F"/>
    <w:rsid w:val="00B0783B"/>
    <w:rsid w:val="00B07E1D"/>
    <w:rsid w:val="00B1091C"/>
    <w:rsid w:val="00B10D52"/>
    <w:rsid w:val="00B110B0"/>
    <w:rsid w:val="00B1112F"/>
    <w:rsid w:val="00B11E4E"/>
    <w:rsid w:val="00B12332"/>
    <w:rsid w:val="00B124EF"/>
    <w:rsid w:val="00B13256"/>
    <w:rsid w:val="00B13376"/>
    <w:rsid w:val="00B134C9"/>
    <w:rsid w:val="00B136CA"/>
    <w:rsid w:val="00B13FAE"/>
    <w:rsid w:val="00B14544"/>
    <w:rsid w:val="00B14E6A"/>
    <w:rsid w:val="00B15014"/>
    <w:rsid w:val="00B1572C"/>
    <w:rsid w:val="00B15A1B"/>
    <w:rsid w:val="00B15F6A"/>
    <w:rsid w:val="00B1623B"/>
    <w:rsid w:val="00B16514"/>
    <w:rsid w:val="00B166E2"/>
    <w:rsid w:val="00B16B79"/>
    <w:rsid w:val="00B178B1"/>
    <w:rsid w:val="00B20293"/>
    <w:rsid w:val="00B210AC"/>
    <w:rsid w:val="00B21174"/>
    <w:rsid w:val="00B21462"/>
    <w:rsid w:val="00B2156D"/>
    <w:rsid w:val="00B22356"/>
    <w:rsid w:val="00B2239F"/>
    <w:rsid w:val="00B2242D"/>
    <w:rsid w:val="00B23417"/>
    <w:rsid w:val="00B2347B"/>
    <w:rsid w:val="00B2454C"/>
    <w:rsid w:val="00B2464C"/>
    <w:rsid w:val="00B2471A"/>
    <w:rsid w:val="00B24914"/>
    <w:rsid w:val="00B24982"/>
    <w:rsid w:val="00B258A4"/>
    <w:rsid w:val="00B25B47"/>
    <w:rsid w:val="00B26C0B"/>
    <w:rsid w:val="00B27C5A"/>
    <w:rsid w:val="00B27D07"/>
    <w:rsid w:val="00B27DA0"/>
    <w:rsid w:val="00B27DDD"/>
    <w:rsid w:val="00B300E6"/>
    <w:rsid w:val="00B31508"/>
    <w:rsid w:val="00B31736"/>
    <w:rsid w:val="00B32082"/>
    <w:rsid w:val="00B32D29"/>
    <w:rsid w:val="00B3353B"/>
    <w:rsid w:val="00B3378F"/>
    <w:rsid w:val="00B33AD7"/>
    <w:rsid w:val="00B33AE2"/>
    <w:rsid w:val="00B34AA0"/>
    <w:rsid w:val="00B35841"/>
    <w:rsid w:val="00B369F1"/>
    <w:rsid w:val="00B36AE0"/>
    <w:rsid w:val="00B36C2C"/>
    <w:rsid w:val="00B36FD2"/>
    <w:rsid w:val="00B379DB"/>
    <w:rsid w:val="00B37AFB"/>
    <w:rsid w:val="00B40885"/>
    <w:rsid w:val="00B40D6F"/>
    <w:rsid w:val="00B41106"/>
    <w:rsid w:val="00B41CAE"/>
    <w:rsid w:val="00B4299C"/>
    <w:rsid w:val="00B43503"/>
    <w:rsid w:val="00B4499D"/>
    <w:rsid w:val="00B44FE9"/>
    <w:rsid w:val="00B4536A"/>
    <w:rsid w:val="00B455D6"/>
    <w:rsid w:val="00B467DB"/>
    <w:rsid w:val="00B477D1"/>
    <w:rsid w:val="00B47918"/>
    <w:rsid w:val="00B512F7"/>
    <w:rsid w:val="00B51865"/>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07D1"/>
    <w:rsid w:val="00B7163D"/>
    <w:rsid w:val="00B7178D"/>
    <w:rsid w:val="00B71AC1"/>
    <w:rsid w:val="00B724F0"/>
    <w:rsid w:val="00B72BF5"/>
    <w:rsid w:val="00B73015"/>
    <w:rsid w:val="00B736FF"/>
    <w:rsid w:val="00B73C23"/>
    <w:rsid w:val="00B74DCF"/>
    <w:rsid w:val="00B75A26"/>
    <w:rsid w:val="00B75F2A"/>
    <w:rsid w:val="00B76916"/>
    <w:rsid w:val="00B7724D"/>
    <w:rsid w:val="00B776F2"/>
    <w:rsid w:val="00B77A40"/>
    <w:rsid w:val="00B805D0"/>
    <w:rsid w:val="00B815AA"/>
    <w:rsid w:val="00B81CAA"/>
    <w:rsid w:val="00B820FD"/>
    <w:rsid w:val="00B83047"/>
    <w:rsid w:val="00B832DB"/>
    <w:rsid w:val="00B83484"/>
    <w:rsid w:val="00B84742"/>
    <w:rsid w:val="00B84869"/>
    <w:rsid w:val="00B84E9E"/>
    <w:rsid w:val="00B854B2"/>
    <w:rsid w:val="00B85521"/>
    <w:rsid w:val="00B85A0B"/>
    <w:rsid w:val="00B85BC4"/>
    <w:rsid w:val="00B867A7"/>
    <w:rsid w:val="00B8755B"/>
    <w:rsid w:val="00B87972"/>
    <w:rsid w:val="00B87AF3"/>
    <w:rsid w:val="00B90A13"/>
    <w:rsid w:val="00B91664"/>
    <w:rsid w:val="00B9265B"/>
    <w:rsid w:val="00B9327E"/>
    <w:rsid w:val="00B93425"/>
    <w:rsid w:val="00B9342F"/>
    <w:rsid w:val="00B93A7D"/>
    <w:rsid w:val="00B94F39"/>
    <w:rsid w:val="00B9544F"/>
    <w:rsid w:val="00B954A2"/>
    <w:rsid w:val="00B95F1E"/>
    <w:rsid w:val="00B96657"/>
    <w:rsid w:val="00B96AEF"/>
    <w:rsid w:val="00B97A63"/>
    <w:rsid w:val="00B97B09"/>
    <w:rsid w:val="00BA01B3"/>
    <w:rsid w:val="00BA01BB"/>
    <w:rsid w:val="00BA0C7B"/>
    <w:rsid w:val="00BA1456"/>
    <w:rsid w:val="00BA1FD4"/>
    <w:rsid w:val="00BA28E6"/>
    <w:rsid w:val="00BA2984"/>
    <w:rsid w:val="00BA30DD"/>
    <w:rsid w:val="00BA3185"/>
    <w:rsid w:val="00BA39F7"/>
    <w:rsid w:val="00BA39F8"/>
    <w:rsid w:val="00BA4171"/>
    <w:rsid w:val="00BA4963"/>
    <w:rsid w:val="00BA4E90"/>
    <w:rsid w:val="00BA51CA"/>
    <w:rsid w:val="00BA533F"/>
    <w:rsid w:val="00BA57F5"/>
    <w:rsid w:val="00BA65F8"/>
    <w:rsid w:val="00BA7721"/>
    <w:rsid w:val="00BA7D27"/>
    <w:rsid w:val="00BB17E3"/>
    <w:rsid w:val="00BB1DCC"/>
    <w:rsid w:val="00BB28AE"/>
    <w:rsid w:val="00BB390A"/>
    <w:rsid w:val="00BB4C26"/>
    <w:rsid w:val="00BB4CF5"/>
    <w:rsid w:val="00BB4DD6"/>
    <w:rsid w:val="00BB5794"/>
    <w:rsid w:val="00BB70FE"/>
    <w:rsid w:val="00BB73C7"/>
    <w:rsid w:val="00BB7447"/>
    <w:rsid w:val="00BB7820"/>
    <w:rsid w:val="00BB79D2"/>
    <w:rsid w:val="00BB7E4B"/>
    <w:rsid w:val="00BC00DE"/>
    <w:rsid w:val="00BC0AC5"/>
    <w:rsid w:val="00BC10CE"/>
    <w:rsid w:val="00BC21D1"/>
    <w:rsid w:val="00BC24FA"/>
    <w:rsid w:val="00BC2B61"/>
    <w:rsid w:val="00BC2DED"/>
    <w:rsid w:val="00BC2E0A"/>
    <w:rsid w:val="00BC4CF9"/>
    <w:rsid w:val="00BC5D69"/>
    <w:rsid w:val="00BC5F62"/>
    <w:rsid w:val="00BC622D"/>
    <w:rsid w:val="00BC68E9"/>
    <w:rsid w:val="00BC7153"/>
    <w:rsid w:val="00BC752B"/>
    <w:rsid w:val="00BC7887"/>
    <w:rsid w:val="00BC7C94"/>
    <w:rsid w:val="00BD03D0"/>
    <w:rsid w:val="00BD1B93"/>
    <w:rsid w:val="00BD21EC"/>
    <w:rsid w:val="00BD2614"/>
    <w:rsid w:val="00BD3784"/>
    <w:rsid w:val="00BD37BF"/>
    <w:rsid w:val="00BD38A9"/>
    <w:rsid w:val="00BD39CF"/>
    <w:rsid w:val="00BD3AC7"/>
    <w:rsid w:val="00BD3BBC"/>
    <w:rsid w:val="00BD3FF9"/>
    <w:rsid w:val="00BD6533"/>
    <w:rsid w:val="00BD65AB"/>
    <w:rsid w:val="00BD6FC6"/>
    <w:rsid w:val="00BD74CB"/>
    <w:rsid w:val="00BD7C2B"/>
    <w:rsid w:val="00BD7C2F"/>
    <w:rsid w:val="00BE138B"/>
    <w:rsid w:val="00BE1A29"/>
    <w:rsid w:val="00BE1C1D"/>
    <w:rsid w:val="00BE225B"/>
    <w:rsid w:val="00BE2390"/>
    <w:rsid w:val="00BE262D"/>
    <w:rsid w:val="00BE277F"/>
    <w:rsid w:val="00BE2833"/>
    <w:rsid w:val="00BE2AB3"/>
    <w:rsid w:val="00BE2D65"/>
    <w:rsid w:val="00BE2F6E"/>
    <w:rsid w:val="00BE30A8"/>
    <w:rsid w:val="00BE3253"/>
    <w:rsid w:val="00BE32FD"/>
    <w:rsid w:val="00BE3484"/>
    <w:rsid w:val="00BE394D"/>
    <w:rsid w:val="00BE39E3"/>
    <w:rsid w:val="00BE3A30"/>
    <w:rsid w:val="00BE3B3A"/>
    <w:rsid w:val="00BE3E00"/>
    <w:rsid w:val="00BE5698"/>
    <w:rsid w:val="00BE5946"/>
    <w:rsid w:val="00BE5F08"/>
    <w:rsid w:val="00BE6594"/>
    <w:rsid w:val="00BE69E4"/>
    <w:rsid w:val="00BE6BA8"/>
    <w:rsid w:val="00BE6E2C"/>
    <w:rsid w:val="00BE7658"/>
    <w:rsid w:val="00BE7969"/>
    <w:rsid w:val="00BF0A7E"/>
    <w:rsid w:val="00BF20C3"/>
    <w:rsid w:val="00BF2323"/>
    <w:rsid w:val="00BF269B"/>
    <w:rsid w:val="00BF296A"/>
    <w:rsid w:val="00BF29C2"/>
    <w:rsid w:val="00BF3D88"/>
    <w:rsid w:val="00BF3EE7"/>
    <w:rsid w:val="00BF3F61"/>
    <w:rsid w:val="00BF4240"/>
    <w:rsid w:val="00BF4BB3"/>
    <w:rsid w:val="00BF596A"/>
    <w:rsid w:val="00BF6A24"/>
    <w:rsid w:val="00BF6F82"/>
    <w:rsid w:val="00BF743E"/>
    <w:rsid w:val="00BF7618"/>
    <w:rsid w:val="00C00185"/>
    <w:rsid w:val="00C00562"/>
    <w:rsid w:val="00C00FB0"/>
    <w:rsid w:val="00C01326"/>
    <w:rsid w:val="00C01FCD"/>
    <w:rsid w:val="00C02B0E"/>
    <w:rsid w:val="00C02EBA"/>
    <w:rsid w:val="00C035FC"/>
    <w:rsid w:val="00C0410D"/>
    <w:rsid w:val="00C04A7D"/>
    <w:rsid w:val="00C04AC3"/>
    <w:rsid w:val="00C04EFD"/>
    <w:rsid w:val="00C056FA"/>
    <w:rsid w:val="00C05DAC"/>
    <w:rsid w:val="00C06268"/>
    <w:rsid w:val="00C06993"/>
    <w:rsid w:val="00C071F0"/>
    <w:rsid w:val="00C07254"/>
    <w:rsid w:val="00C10124"/>
    <w:rsid w:val="00C11554"/>
    <w:rsid w:val="00C11CF7"/>
    <w:rsid w:val="00C1262B"/>
    <w:rsid w:val="00C135A3"/>
    <w:rsid w:val="00C13B58"/>
    <w:rsid w:val="00C14061"/>
    <w:rsid w:val="00C14E00"/>
    <w:rsid w:val="00C153D8"/>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9F7"/>
    <w:rsid w:val="00C25E5A"/>
    <w:rsid w:val="00C262CA"/>
    <w:rsid w:val="00C264E8"/>
    <w:rsid w:val="00C26A78"/>
    <w:rsid w:val="00C27069"/>
    <w:rsid w:val="00C30D69"/>
    <w:rsid w:val="00C310BF"/>
    <w:rsid w:val="00C314D6"/>
    <w:rsid w:val="00C31B9D"/>
    <w:rsid w:val="00C31EAD"/>
    <w:rsid w:val="00C320BD"/>
    <w:rsid w:val="00C32419"/>
    <w:rsid w:val="00C32E4E"/>
    <w:rsid w:val="00C340C8"/>
    <w:rsid w:val="00C3419C"/>
    <w:rsid w:val="00C34541"/>
    <w:rsid w:val="00C34818"/>
    <w:rsid w:val="00C35995"/>
    <w:rsid w:val="00C35AE3"/>
    <w:rsid w:val="00C36919"/>
    <w:rsid w:val="00C37179"/>
    <w:rsid w:val="00C373A4"/>
    <w:rsid w:val="00C37A9D"/>
    <w:rsid w:val="00C37CC5"/>
    <w:rsid w:val="00C4070E"/>
    <w:rsid w:val="00C40ABD"/>
    <w:rsid w:val="00C40BE1"/>
    <w:rsid w:val="00C41043"/>
    <w:rsid w:val="00C41A64"/>
    <w:rsid w:val="00C42601"/>
    <w:rsid w:val="00C4306C"/>
    <w:rsid w:val="00C43779"/>
    <w:rsid w:val="00C44B4D"/>
    <w:rsid w:val="00C45603"/>
    <w:rsid w:val="00C458E1"/>
    <w:rsid w:val="00C45BA4"/>
    <w:rsid w:val="00C45C23"/>
    <w:rsid w:val="00C45F76"/>
    <w:rsid w:val="00C4616B"/>
    <w:rsid w:val="00C46353"/>
    <w:rsid w:val="00C46E75"/>
    <w:rsid w:val="00C473BE"/>
    <w:rsid w:val="00C478E1"/>
    <w:rsid w:val="00C47A73"/>
    <w:rsid w:val="00C47B25"/>
    <w:rsid w:val="00C47E15"/>
    <w:rsid w:val="00C51858"/>
    <w:rsid w:val="00C51CF9"/>
    <w:rsid w:val="00C5212B"/>
    <w:rsid w:val="00C5219C"/>
    <w:rsid w:val="00C52565"/>
    <w:rsid w:val="00C52994"/>
    <w:rsid w:val="00C52A72"/>
    <w:rsid w:val="00C52FA6"/>
    <w:rsid w:val="00C54783"/>
    <w:rsid w:val="00C54B2C"/>
    <w:rsid w:val="00C54C2F"/>
    <w:rsid w:val="00C54C8F"/>
    <w:rsid w:val="00C55202"/>
    <w:rsid w:val="00C55CEE"/>
    <w:rsid w:val="00C57CCD"/>
    <w:rsid w:val="00C57F35"/>
    <w:rsid w:val="00C60C85"/>
    <w:rsid w:val="00C60DD3"/>
    <w:rsid w:val="00C610DD"/>
    <w:rsid w:val="00C611AF"/>
    <w:rsid w:val="00C61EFD"/>
    <w:rsid w:val="00C62B41"/>
    <w:rsid w:val="00C632F9"/>
    <w:rsid w:val="00C636C2"/>
    <w:rsid w:val="00C64F28"/>
    <w:rsid w:val="00C6575B"/>
    <w:rsid w:val="00C6604C"/>
    <w:rsid w:val="00C6781D"/>
    <w:rsid w:val="00C703A2"/>
    <w:rsid w:val="00C708FD"/>
    <w:rsid w:val="00C7285C"/>
    <w:rsid w:val="00C73419"/>
    <w:rsid w:val="00C73E52"/>
    <w:rsid w:val="00C7414B"/>
    <w:rsid w:val="00C7416F"/>
    <w:rsid w:val="00C743EF"/>
    <w:rsid w:val="00C74F80"/>
    <w:rsid w:val="00C75E69"/>
    <w:rsid w:val="00C7619F"/>
    <w:rsid w:val="00C76725"/>
    <w:rsid w:val="00C76988"/>
    <w:rsid w:val="00C77E6E"/>
    <w:rsid w:val="00C801E2"/>
    <w:rsid w:val="00C80857"/>
    <w:rsid w:val="00C82AB7"/>
    <w:rsid w:val="00C82BD9"/>
    <w:rsid w:val="00C83D63"/>
    <w:rsid w:val="00C84CAF"/>
    <w:rsid w:val="00C85281"/>
    <w:rsid w:val="00C8534A"/>
    <w:rsid w:val="00C8544D"/>
    <w:rsid w:val="00C8555C"/>
    <w:rsid w:val="00C85585"/>
    <w:rsid w:val="00C85B33"/>
    <w:rsid w:val="00C86656"/>
    <w:rsid w:val="00C866AA"/>
    <w:rsid w:val="00C904E7"/>
    <w:rsid w:val="00C90DA3"/>
    <w:rsid w:val="00C9113D"/>
    <w:rsid w:val="00C926A0"/>
    <w:rsid w:val="00C92A8A"/>
    <w:rsid w:val="00C93120"/>
    <w:rsid w:val="00C93300"/>
    <w:rsid w:val="00C93D49"/>
    <w:rsid w:val="00C94C2A"/>
    <w:rsid w:val="00C95418"/>
    <w:rsid w:val="00C95DDD"/>
    <w:rsid w:val="00CA16C8"/>
    <w:rsid w:val="00CA18CC"/>
    <w:rsid w:val="00CA1D3E"/>
    <w:rsid w:val="00CA2711"/>
    <w:rsid w:val="00CA27AA"/>
    <w:rsid w:val="00CA31A1"/>
    <w:rsid w:val="00CA3FC4"/>
    <w:rsid w:val="00CA515A"/>
    <w:rsid w:val="00CA51C8"/>
    <w:rsid w:val="00CA53B7"/>
    <w:rsid w:val="00CA61F3"/>
    <w:rsid w:val="00CA652D"/>
    <w:rsid w:val="00CA68AF"/>
    <w:rsid w:val="00CA6961"/>
    <w:rsid w:val="00CA6DE5"/>
    <w:rsid w:val="00CB00EE"/>
    <w:rsid w:val="00CB0D8B"/>
    <w:rsid w:val="00CB1AA6"/>
    <w:rsid w:val="00CB1ED7"/>
    <w:rsid w:val="00CB2A2D"/>
    <w:rsid w:val="00CB2CA4"/>
    <w:rsid w:val="00CB3DC2"/>
    <w:rsid w:val="00CB3FB2"/>
    <w:rsid w:val="00CB5E4B"/>
    <w:rsid w:val="00CB62A4"/>
    <w:rsid w:val="00CB6D38"/>
    <w:rsid w:val="00CB7147"/>
    <w:rsid w:val="00CB7619"/>
    <w:rsid w:val="00CB7650"/>
    <w:rsid w:val="00CC014D"/>
    <w:rsid w:val="00CC0184"/>
    <w:rsid w:val="00CC058A"/>
    <w:rsid w:val="00CC09DB"/>
    <w:rsid w:val="00CC14A1"/>
    <w:rsid w:val="00CC2713"/>
    <w:rsid w:val="00CC3601"/>
    <w:rsid w:val="00CC375B"/>
    <w:rsid w:val="00CC4D16"/>
    <w:rsid w:val="00CC4F16"/>
    <w:rsid w:val="00CC57DF"/>
    <w:rsid w:val="00CC6318"/>
    <w:rsid w:val="00CC637E"/>
    <w:rsid w:val="00CC7018"/>
    <w:rsid w:val="00CC7A2C"/>
    <w:rsid w:val="00CD004F"/>
    <w:rsid w:val="00CD05F2"/>
    <w:rsid w:val="00CD0745"/>
    <w:rsid w:val="00CD1116"/>
    <w:rsid w:val="00CD1212"/>
    <w:rsid w:val="00CD1913"/>
    <w:rsid w:val="00CD1E41"/>
    <w:rsid w:val="00CD31A4"/>
    <w:rsid w:val="00CD3459"/>
    <w:rsid w:val="00CD4B6D"/>
    <w:rsid w:val="00CD53D0"/>
    <w:rsid w:val="00CD5916"/>
    <w:rsid w:val="00CD608F"/>
    <w:rsid w:val="00CD6402"/>
    <w:rsid w:val="00CD6564"/>
    <w:rsid w:val="00CD72CD"/>
    <w:rsid w:val="00CD7948"/>
    <w:rsid w:val="00CE00BC"/>
    <w:rsid w:val="00CE0984"/>
    <w:rsid w:val="00CE0CC5"/>
    <w:rsid w:val="00CE19F7"/>
    <w:rsid w:val="00CE1E84"/>
    <w:rsid w:val="00CE254E"/>
    <w:rsid w:val="00CE3138"/>
    <w:rsid w:val="00CE36A6"/>
    <w:rsid w:val="00CE372E"/>
    <w:rsid w:val="00CE38B4"/>
    <w:rsid w:val="00CE38FA"/>
    <w:rsid w:val="00CE38FF"/>
    <w:rsid w:val="00CE4F67"/>
    <w:rsid w:val="00CE52F1"/>
    <w:rsid w:val="00CE619A"/>
    <w:rsid w:val="00CE6241"/>
    <w:rsid w:val="00CE67D8"/>
    <w:rsid w:val="00CE71C6"/>
    <w:rsid w:val="00CE7DB3"/>
    <w:rsid w:val="00CF0980"/>
    <w:rsid w:val="00CF1789"/>
    <w:rsid w:val="00CF199F"/>
    <w:rsid w:val="00CF36A9"/>
    <w:rsid w:val="00CF3BDA"/>
    <w:rsid w:val="00CF3C71"/>
    <w:rsid w:val="00CF43C2"/>
    <w:rsid w:val="00CF48E4"/>
    <w:rsid w:val="00CF4973"/>
    <w:rsid w:val="00CF552B"/>
    <w:rsid w:val="00CF6C52"/>
    <w:rsid w:val="00CF73DB"/>
    <w:rsid w:val="00CF742D"/>
    <w:rsid w:val="00D008D0"/>
    <w:rsid w:val="00D00C1C"/>
    <w:rsid w:val="00D02377"/>
    <w:rsid w:val="00D02666"/>
    <w:rsid w:val="00D02C8C"/>
    <w:rsid w:val="00D03BE8"/>
    <w:rsid w:val="00D04495"/>
    <w:rsid w:val="00D04F93"/>
    <w:rsid w:val="00D05235"/>
    <w:rsid w:val="00D05255"/>
    <w:rsid w:val="00D05646"/>
    <w:rsid w:val="00D0597D"/>
    <w:rsid w:val="00D05D72"/>
    <w:rsid w:val="00D060FC"/>
    <w:rsid w:val="00D064FD"/>
    <w:rsid w:val="00D06679"/>
    <w:rsid w:val="00D06A34"/>
    <w:rsid w:val="00D06F81"/>
    <w:rsid w:val="00D07027"/>
    <w:rsid w:val="00D0729C"/>
    <w:rsid w:val="00D07A41"/>
    <w:rsid w:val="00D07D7A"/>
    <w:rsid w:val="00D1025E"/>
    <w:rsid w:val="00D106B9"/>
    <w:rsid w:val="00D10831"/>
    <w:rsid w:val="00D10B90"/>
    <w:rsid w:val="00D1150D"/>
    <w:rsid w:val="00D133A3"/>
    <w:rsid w:val="00D13493"/>
    <w:rsid w:val="00D135F5"/>
    <w:rsid w:val="00D137AC"/>
    <w:rsid w:val="00D1452E"/>
    <w:rsid w:val="00D152D4"/>
    <w:rsid w:val="00D15306"/>
    <w:rsid w:val="00D155AD"/>
    <w:rsid w:val="00D15ABB"/>
    <w:rsid w:val="00D15D70"/>
    <w:rsid w:val="00D16F81"/>
    <w:rsid w:val="00D1780C"/>
    <w:rsid w:val="00D17B1E"/>
    <w:rsid w:val="00D205AC"/>
    <w:rsid w:val="00D2080D"/>
    <w:rsid w:val="00D20A05"/>
    <w:rsid w:val="00D211E0"/>
    <w:rsid w:val="00D21608"/>
    <w:rsid w:val="00D22005"/>
    <w:rsid w:val="00D23258"/>
    <w:rsid w:val="00D2351B"/>
    <w:rsid w:val="00D241A8"/>
    <w:rsid w:val="00D24576"/>
    <w:rsid w:val="00D24AA4"/>
    <w:rsid w:val="00D24CAD"/>
    <w:rsid w:val="00D2528C"/>
    <w:rsid w:val="00D254C0"/>
    <w:rsid w:val="00D25C1B"/>
    <w:rsid w:val="00D26832"/>
    <w:rsid w:val="00D2691C"/>
    <w:rsid w:val="00D272B1"/>
    <w:rsid w:val="00D274C4"/>
    <w:rsid w:val="00D2774B"/>
    <w:rsid w:val="00D30556"/>
    <w:rsid w:val="00D30D8B"/>
    <w:rsid w:val="00D31730"/>
    <w:rsid w:val="00D32434"/>
    <w:rsid w:val="00D33390"/>
    <w:rsid w:val="00D33537"/>
    <w:rsid w:val="00D335F6"/>
    <w:rsid w:val="00D339B5"/>
    <w:rsid w:val="00D33A82"/>
    <w:rsid w:val="00D34F34"/>
    <w:rsid w:val="00D3538A"/>
    <w:rsid w:val="00D35778"/>
    <w:rsid w:val="00D36F3C"/>
    <w:rsid w:val="00D37829"/>
    <w:rsid w:val="00D37C48"/>
    <w:rsid w:val="00D40A76"/>
    <w:rsid w:val="00D40BCF"/>
    <w:rsid w:val="00D40EEC"/>
    <w:rsid w:val="00D41B54"/>
    <w:rsid w:val="00D42291"/>
    <w:rsid w:val="00D425DE"/>
    <w:rsid w:val="00D43BEF"/>
    <w:rsid w:val="00D43E18"/>
    <w:rsid w:val="00D45543"/>
    <w:rsid w:val="00D4611F"/>
    <w:rsid w:val="00D47AB7"/>
    <w:rsid w:val="00D47EE5"/>
    <w:rsid w:val="00D501C5"/>
    <w:rsid w:val="00D50B99"/>
    <w:rsid w:val="00D50FAD"/>
    <w:rsid w:val="00D511F9"/>
    <w:rsid w:val="00D51D62"/>
    <w:rsid w:val="00D52D0D"/>
    <w:rsid w:val="00D532D3"/>
    <w:rsid w:val="00D54A0F"/>
    <w:rsid w:val="00D54DBA"/>
    <w:rsid w:val="00D554D6"/>
    <w:rsid w:val="00D55ADB"/>
    <w:rsid w:val="00D55C97"/>
    <w:rsid w:val="00D5678F"/>
    <w:rsid w:val="00D650D6"/>
    <w:rsid w:val="00D6511D"/>
    <w:rsid w:val="00D70130"/>
    <w:rsid w:val="00D70631"/>
    <w:rsid w:val="00D70C93"/>
    <w:rsid w:val="00D71A17"/>
    <w:rsid w:val="00D72440"/>
    <w:rsid w:val="00D724F1"/>
    <w:rsid w:val="00D728E8"/>
    <w:rsid w:val="00D733F0"/>
    <w:rsid w:val="00D73BB8"/>
    <w:rsid w:val="00D74C51"/>
    <w:rsid w:val="00D75210"/>
    <w:rsid w:val="00D755C5"/>
    <w:rsid w:val="00D75C7D"/>
    <w:rsid w:val="00D77035"/>
    <w:rsid w:val="00D7746D"/>
    <w:rsid w:val="00D7793D"/>
    <w:rsid w:val="00D77BAC"/>
    <w:rsid w:val="00D8014A"/>
    <w:rsid w:val="00D8065C"/>
    <w:rsid w:val="00D80834"/>
    <w:rsid w:val="00D809CF"/>
    <w:rsid w:val="00D80CC3"/>
    <w:rsid w:val="00D81452"/>
    <w:rsid w:val="00D81515"/>
    <w:rsid w:val="00D81AE9"/>
    <w:rsid w:val="00D81B7E"/>
    <w:rsid w:val="00D81F5F"/>
    <w:rsid w:val="00D82024"/>
    <w:rsid w:val="00D820BD"/>
    <w:rsid w:val="00D835B5"/>
    <w:rsid w:val="00D83938"/>
    <w:rsid w:val="00D8399A"/>
    <w:rsid w:val="00D8413C"/>
    <w:rsid w:val="00D8618C"/>
    <w:rsid w:val="00D87422"/>
    <w:rsid w:val="00D87730"/>
    <w:rsid w:val="00D87DD9"/>
    <w:rsid w:val="00D87EF0"/>
    <w:rsid w:val="00D90149"/>
    <w:rsid w:val="00D90536"/>
    <w:rsid w:val="00D908DE"/>
    <w:rsid w:val="00D90B9E"/>
    <w:rsid w:val="00D91015"/>
    <w:rsid w:val="00D9154B"/>
    <w:rsid w:val="00D917E6"/>
    <w:rsid w:val="00D94154"/>
    <w:rsid w:val="00D9565D"/>
    <w:rsid w:val="00D96E10"/>
    <w:rsid w:val="00D978A9"/>
    <w:rsid w:val="00D97EA3"/>
    <w:rsid w:val="00DA0174"/>
    <w:rsid w:val="00DA01C2"/>
    <w:rsid w:val="00DA054A"/>
    <w:rsid w:val="00DA08FD"/>
    <w:rsid w:val="00DA09E7"/>
    <w:rsid w:val="00DA114C"/>
    <w:rsid w:val="00DA18E4"/>
    <w:rsid w:val="00DA2009"/>
    <w:rsid w:val="00DA3315"/>
    <w:rsid w:val="00DA62AA"/>
    <w:rsid w:val="00DA7B1A"/>
    <w:rsid w:val="00DA7C4F"/>
    <w:rsid w:val="00DB0244"/>
    <w:rsid w:val="00DB0DF1"/>
    <w:rsid w:val="00DB158F"/>
    <w:rsid w:val="00DB16B2"/>
    <w:rsid w:val="00DB2355"/>
    <w:rsid w:val="00DB4535"/>
    <w:rsid w:val="00DB4FA4"/>
    <w:rsid w:val="00DB525A"/>
    <w:rsid w:val="00DB698F"/>
    <w:rsid w:val="00DC0034"/>
    <w:rsid w:val="00DC0487"/>
    <w:rsid w:val="00DC0621"/>
    <w:rsid w:val="00DC0DD2"/>
    <w:rsid w:val="00DC2391"/>
    <w:rsid w:val="00DC3F93"/>
    <w:rsid w:val="00DC462A"/>
    <w:rsid w:val="00DC5820"/>
    <w:rsid w:val="00DC5C81"/>
    <w:rsid w:val="00DC5F59"/>
    <w:rsid w:val="00DC62DE"/>
    <w:rsid w:val="00DC66C0"/>
    <w:rsid w:val="00DC7C33"/>
    <w:rsid w:val="00DD03F8"/>
    <w:rsid w:val="00DD077B"/>
    <w:rsid w:val="00DD0B4C"/>
    <w:rsid w:val="00DD0D2E"/>
    <w:rsid w:val="00DD0DEF"/>
    <w:rsid w:val="00DD1185"/>
    <w:rsid w:val="00DD11AD"/>
    <w:rsid w:val="00DD11CB"/>
    <w:rsid w:val="00DD1A68"/>
    <w:rsid w:val="00DD2BCC"/>
    <w:rsid w:val="00DD35EF"/>
    <w:rsid w:val="00DD4A22"/>
    <w:rsid w:val="00DD5409"/>
    <w:rsid w:val="00DD6810"/>
    <w:rsid w:val="00DD6A95"/>
    <w:rsid w:val="00DD7D43"/>
    <w:rsid w:val="00DE07A2"/>
    <w:rsid w:val="00DE1A24"/>
    <w:rsid w:val="00DE2648"/>
    <w:rsid w:val="00DE27EB"/>
    <w:rsid w:val="00DE3855"/>
    <w:rsid w:val="00DE387E"/>
    <w:rsid w:val="00DE46E8"/>
    <w:rsid w:val="00DE4C24"/>
    <w:rsid w:val="00DE5820"/>
    <w:rsid w:val="00DE590F"/>
    <w:rsid w:val="00DE75B2"/>
    <w:rsid w:val="00DE7C8E"/>
    <w:rsid w:val="00DF16C9"/>
    <w:rsid w:val="00DF1B46"/>
    <w:rsid w:val="00DF226A"/>
    <w:rsid w:val="00DF39D4"/>
    <w:rsid w:val="00DF3B1E"/>
    <w:rsid w:val="00DF4172"/>
    <w:rsid w:val="00DF45FD"/>
    <w:rsid w:val="00DF4B8B"/>
    <w:rsid w:val="00DF510B"/>
    <w:rsid w:val="00DF60D4"/>
    <w:rsid w:val="00DF633B"/>
    <w:rsid w:val="00DF6539"/>
    <w:rsid w:val="00DF76C2"/>
    <w:rsid w:val="00DF7831"/>
    <w:rsid w:val="00E0075F"/>
    <w:rsid w:val="00E012C3"/>
    <w:rsid w:val="00E01887"/>
    <w:rsid w:val="00E01A10"/>
    <w:rsid w:val="00E01A2D"/>
    <w:rsid w:val="00E02C9C"/>
    <w:rsid w:val="00E041DB"/>
    <w:rsid w:val="00E0423D"/>
    <w:rsid w:val="00E043C9"/>
    <w:rsid w:val="00E0450A"/>
    <w:rsid w:val="00E06221"/>
    <w:rsid w:val="00E0631C"/>
    <w:rsid w:val="00E0681E"/>
    <w:rsid w:val="00E06AC4"/>
    <w:rsid w:val="00E07721"/>
    <w:rsid w:val="00E07728"/>
    <w:rsid w:val="00E07986"/>
    <w:rsid w:val="00E07F58"/>
    <w:rsid w:val="00E10E21"/>
    <w:rsid w:val="00E12BE0"/>
    <w:rsid w:val="00E1388A"/>
    <w:rsid w:val="00E13C2B"/>
    <w:rsid w:val="00E13F24"/>
    <w:rsid w:val="00E144D4"/>
    <w:rsid w:val="00E14AC2"/>
    <w:rsid w:val="00E15480"/>
    <w:rsid w:val="00E156CC"/>
    <w:rsid w:val="00E16AF1"/>
    <w:rsid w:val="00E16EB0"/>
    <w:rsid w:val="00E17571"/>
    <w:rsid w:val="00E176BC"/>
    <w:rsid w:val="00E207FB"/>
    <w:rsid w:val="00E20D63"/>
    <w:rsid w:val="00E20DBB"/>
    <w:rsid w:val="00E20E0C"/>
    <w:rsid w:val="00E21E6D"/>
    <w:rsid w:val="00E22DF2"/>
    <w:rsid w:val="00E23AA8"/>
    <w:rsid w:val="00E2444C"/>
    <w:rsid w:val="00E258DE"/>
    <w:rsid w:val="00E25ED9"/>
    <w:rsid w:val="00E26B74"/>
    <w:rsid w:val="00E307EB"/>
    <w:rsid w:val="00E30B21"/>
    <w:rsid w:val="00E31D91"/>
    <w:rsid w:val="00E339DC"/>
    <w:rsid w:val="00E33DE7"/>
    <w:rsid w:val="00E33F6D"/>
    <w:rsid w:val="00E341E1"/>
    <w:rsid w:val="00E3466B"/>
    <w:rsid w:val="00E3610A"/>
    <w:rsid w:val="00E3693C"/>
    <w:rsid w:val="00E36DF7"/>
    <w:rsid w:val="00E37690"/>
    <w:rsid w:val="00E37F4E"/>
    <w:rsid w:val="00E400BD"/>
    <w:rsid w:val="00E404C8"/>
    <w:rsid w:val="00E41012"/>
    <w:rsid w:val="00E415B1"/>
    <w:rsid w:val="00E42101"/>
    <w:rsid w:val="00E42262"/>
    <w:rsid w:val="00E426C3"/>
    <w:rsid w:val="00E4549D"/>
    <w:rsid w:val="00E46BD6"/>
    <w:rsid w:val="00E474FA"/>
    <w:rsid w:val="00E50159"/>
    <w:rsid w:val="00E501D6"/>
    <w:rsid w:val="00E503A8"/>
    <w:rsid w:val="00E504C8"/>
    <w:rsid w:val="00E505F7"/>
    <w:rsid w:val="00E506BD"/>
    <w:rsid w:val="00E50B7C"/>
    <w:rsid w:val="00E50D5B"/>
    <w:rsid w:val="00E51601"/>
    <w:rsid w:val="00E52CCA"/>
    <w:rsid w:val="00E539EE"/>
    <w:rsid w:val="00E54189"/>
    <w:rsid w:val="00E54CEA"/>
    <w:rsid w:val="00E54D1A"/>
    <w:rsid w:val="00E54D4E"/>
    <w:rsid w:val="00E5591C"/>
    <w:rsid w:val="00E55CC5"/>
    <w:rsid w:val="00E561D3"/>
    <w:rsid w:val="00E5795A"/>
    <w:rsid w:val="00E6023E"/>
    <w:rsid w:val="00E60289"/>
    <w:rsid w:val="00E607ED"/>
    <w:rsid w:val="00E61C85"/>
    <w:rsid w:val="00E621E3"/>
    <w:rsid w:val="00E6310E"/>
    <w:rsid w:val="00E6364B"/>
    <w:rsid w:val="00E64852"/>
    <w:rsid w:val="00E64CA9"/>
    <w:rsid w:val="00E65228"/>
    <w:rsid w:val="00E66582"/>
    <w:rsid w:val="00E66D5F"/>
    <w:rsid w:val="00E6762C"/>
    <w:rsid w:val="00E67763"/>
    <w:rsid w:val="00E67CEC"/>
    <w:rsid w:val="00E70342"/>
    <w:rsid w:val="00E70E01"/>
    <w:rsid w:val="00E710FE"/>
    <w:rsid w:val="00E7138D"/>
    <w:rsid w:val="00E7188D"/>
    <w:rsid w:val="00E71DFE"/>
    <w:rsid w:val="00E73B1C"/>
    <w:rsid w:val="00E7407D"/>
    <w:rsid w:val="00E74235"/>
    <w:rsid w:val="00E7458D"/>
    <w:rsid w:val="00E74A2A"/>
    <w:rsid w:val="00E766AD"/>
    <w:rsid w:val="00E76852"/>
    <w:rsid w:val="00E76B7B"/>
    <w:rsid w:val="00E778CC"/>
    <w:rsid w:val="00E81421"/>
    <w:rsid w:val="00E82D6A"/>
    <w:rsid w:val="00E82DF7"/>
    <w:rsid w:val="00E83CAA"/>
    <w:rsid w:val="00E845EF"/>
    <w:rsid w:val="00E8601C"/>
    <w:rsid w:val="00E86AF8"/>
    <w:rsid w:val="00E874E6"/>
    <w:rsid w:val="00E87BD6"/>
    <w:rsid w:val="00E87F24"/>
    <w:rsid w:val="00E90158"/>
    <w:rsid w:val="00E9019D"/>
    <w:rsid w:val="00E9160D"/>
    <w:rsid w:val="00E921A5"/>
    <w:rsid w:val="00E92EE4"/>
    <w:rsid w:val="00E93351"/>
    <w:rsid w:val="00E93B3C"/>
    <w:rsid w:val="00E93F19"/>
    <w:rsid w:val="00E943FE"/>
    <w:rsid w:val="00E94868"/>
    <w:rsid w:val="00E96193"/>
    <w:rsid w:val="00E969E5"/>
    <w:rsid w:val="00E96EE5"/>
    <w:rsid w:val="00EA04F3"/>
    <w:rsid w:val="00EA096A"/>
    <w:rsid w:val="00EA18C8"/>
    <w:rsid w:val="00EA1E65"/>
    <w:rsid w:val="00EA2814"/>
    <w:rsid w:val="00EA2831"/>
    <w:rsid w:val="00EA35EB"/>
    <w:rsid w:val="00EA3E11"/>
    <w:rsid w:val="00EA3E18"/>
    <w:rsid w:val="00EA4366"/>
    <w:rsid w:val="00EA4D02"/>
    <w:rsid w:val="00EA5003"/>
    <w:rsid w:val="00EA5832"/>
    <w:rsid w:val="00EA6AD7"/>
    <w:rsid w:val="00EA7C4D"/>
    <w:rsid w:val="00EA7CF6"/>
    <w:rsid w:val="00EB005E"/>
    <w:rsid w:val="00EB0D15"/>
    <w:rsid w:val="00EB0D19"/>
    <w:rsid w:val="00EB1339"/>
    <w:rsid w:val="00EB2107"/>
    <w:rsid w:val="00EB2491"/>
    <w:rsid w:val="00EB2F39"/>
    <w:rsid w:val="00EB3552"/>
    <w:rsid w:val="00EB3DC6"/>
    <w:rsid w:val="00EB3EFF"/>
    <w:rsid w:val="00EB4461"/>
    <w:rsid w:val="00EB5162"/>
    <w:rsid w:val="00EB58C6"/>
    <w:rsid w:val="00EB59D8"/>
    <w:rsid w:val="00EB5D27"/>
    <w:rsid w:val="00EB6182"/>
    <w:rsid w:val="00EB6218"/>
    <w:rsid w:val="00EB7803"/>
    <w:rsid w:val="00EB78D8"/>
    <w:rsid w:val="00EC03E5"/>
    <w:rsid w:val="00EC12B4"/>
    <w:rsid w:val="00EC40FC"/>
    <w:rsid w:val="00EC468C"/>
    <w:rsid w:val="00EC4F4D"/>
    <w:rsid w:val="00EC56E8"/>
    <w:rsid w:val="00EC584B"/>
    <w:rsid w:val="00EC5F8C"/>
    <w:rsid w:val="00EC66E0"/>
    <w:rsid w:val="00EC6C88"/>
    <w:rsid w:val="00EC7275"/>
    <w:rsid w:val="00ED0B83"/>
    <w:rsid w:val="00ED0C7A"/>
    <w:rsid w:val="00ED14FA"/>
    <w:rsid w:val="00ED1896"/>
    <w:rsid w:val="00ED1B1D"/>
    <w:rsid w:val="00ED1C3D"/>
    <w:rsid w:val="00ED1CB4"/>
    <w:rsid w:val="00ED1DE3"/>
    <w:rsid w:val="00ED26D3"/>
    <w:rsid w:val="00ED4173"/>
    <w:rsid w:val="00ED514C"/>
    <w:rsid w:val="00ED5DE1"/>
    <w:rsid w:val="00ED6916"/>
    <w:rsid w:val="00EE0413"/>
    <w:rsid w:val="00EE0CB0"/>
    <w:rsid w:val="00EE25D5"/>
    <w:rsid w:val="00EE35E9"/>
    <w:rsid w:val="00EE3E6F"/>
    <w:rsid w:val="00EE40B9"/>
    <w:rsid w:val="00EE40FA"/>
    <w:rsid w:val="00EE45D7"/>
    <w:rsid w:val="00EE4940"/>
    <w:rsid w:val="00EE4DDF"/>
    <w:rsid w:val="00EE5467"/>
    <w:rsid w:val="00EE647D"/>
    <w:rsid w:val="00EE7C56"/>
    <w:rsid w:val="00EE7CF2"/>
    <w:rsid w:val="00EF03FE"/>
    <w:rsid w:val="00EF196A"/>
    <w:rsid w:val="00EF1E68"/>
    <w:rsid w:val="00EF20D2"/>
    <w:rsid w:val="00EF35E0"/>
    <w:rsid w:val="00EF375D"/>
    <w:rsid w:val="00EF4CAE"/>
    <w:rsid w:val="00EF4D02"/>
    <w:rsid w:val="00EF553C"/>
    <w:rsid w:val="00EF6C19"/>
    <w:rsid w:val="00EF70AD"/>
    <w:rsid w:val="00EF7BB3"/>
    <w:rsid w:val="00F001C1"/>
    <w:rsid w:val="00F00CF7"/>
    <w:rsid w:val="00F017A7"/>
    <w:rsid w:val="00F02109"/>
    <w:rsid w:val="00F022D0"/>
    <w:rsid w:val="00F026CC"/>
    <w:rsid w:val="00F02970"/>
    <w:rsid w:val="00F049C8"/>
    <w:rsid w:val="00F053C8"/>
    <w:rsid w:val="00F05D93"/>
    <w:rsid w:val="00F05EFB"/>
    <w:rsid w:val="00F05F9C"/>
    <w:rsid w:val="00F0613D"/>
    <w:rsid w:val="00F1051A"/>
    <w:rsid w:val="00F10AD6"/>
    <w:rsid w:val="00F10B6B"/>
    <w:rsid w:val="00F11CBC"/>
    <w:rsid w:val="00F126C4"/>
    <w:rsid w:val="00F12FAF"/>
    <w:rsid w:val="00F133D6"/>
    <w:rsid w:val="00F13EB3"/>
    <w:rsid w:val="00F141A8"/>
    <w:rsid w:val="00F14C57"/>
    <w:rsid w:val="00F157D4"/>
    <w:rsid w:val="00F158C4"/>
    <w:rsid w:val="00F16C67"/>
    <w:rsid w:val="00F17C7D"/>
    <w:rsid w:val="00F17E47"/>
    <w:rsid w:val="00F22EC4"/>
    <w:rsid w:val="00F23914"/>
    <w:rsid w:val="00F23EEA"/>
    <w:rsid w:val="00F2434C"/>
    <w:rsid w:val="00F24B27"/>
    <w:rsid w:val="00F25291"/>
    <w:rsid w:val="00F257EB"/>
    <w:rsid w:val="00F26383"/>
    <w:rsid w:val="00F26B08"/>
    <w:rsid w:val="00F26C19"/>
    <w:rsid w:val="00F27132"/>
    <w:rsid w:val="00F27247"/>
    <w:rsid w:val="00F27598"/>
    <w:rsid w:val="00F30015"/>
    <w:rsid w:val="00F307DB"/>
    <w:rsid w:val="00F30C91"/>
    <w:rsid w:val="00F31DBA"/>
    <w:rsid w:val="00F31E35"/>
    <w:rsid w:val="00F32501"/>
    <w:rsid w:val="00F32D66"/>
    <w:rsid w:val="00F32DF1"/>
    <w:rsid w:val="00F343D4"/>
    <w:rsid w:val="00F358B2"/>
    <w:rsid w:val="00F3650B"/>
    <w:rsid w:val="00F36F52"/>
    <w:rsid w:val="00F37EB1"/>
    <w:rsid w:val="00F40306"/>
    <w:rsid w:val="00F405CD"/>
    <w:rsid w:val="00F40AE8"/>
    <w:rsid w:val="00F41BCA"/>
    <w:rsid w:val="00F42029"/>
    <w:rsid w:val="00F420A6"/>
    <w:rsid w:val="00F42917"/>
    <w:rsid w:val="00F42F46"/>
    <w:rsid w:val="00F430E5"/>
    <w:rsid w:val="00F44642"/>
    <w:rsid w:val="00F46E09"/>
    <w:rsid w:val="00F47A06"/>
    <w:rsid w:val="00F5092F"/>
    <w:rsid w:val="00F510FA"/>
    <w:rsid w:val="00F52AF4"/>
    <w:rsid w:val="00F53197"/>
    <w:rsid w:val="00F53406"/>
    <w:rsid w:val="00F53A15"/>
    <w:rsid w:val="00F548BA"/>
    <w:rsid w:val="00F55972"/>
    <w:rsid w:val="00F55BDB"/>
    <w:rsid w:val="00F6047C"/>
    <w:rsid w:val="00F604F0"/>
    <w:rsid w:val="00F60AF6"/>
    <w:rsid w:val="00F61E46"/>
    <w:rsid w:val="00F62D5A"/>
    <w:rsid w:val="00F632AE"/>
    <w:rsid w:val="00F63BE6"/>
    <w:rsid w:val="00F650DD"/>
    <w:rsid w:val="00F65BAE"/>
    <w:rsid w:val="00F65E58"/>
    <w:rsid w:val="00F65F0C"/>
    <w:rsid w:val="00F66D09"/>
    <w:rsid w:val="00F675EF"/>
    <w:rsid w:val="00F67870"/>
    <w:rsid w:val="00F7006E"/>
    <w:rsid w:val="00F704D4"/>
    <w:rsid w:val="00F70A0D"/>
    <w:rsid w:val="00F70BA5"/>
    <w:rsid w:val="00F71962"/>
    <w:rsid w:val="00F722CA"/>
    <w:rsid w:val="00F723BA"/>
    <w:rsid w:val="00F72739"/>
    <w:rsid w:val="00F7288C"/>
    <w:rsid w:val="00F7304C"/>
    <w:rsid w:val="00F7377E"/>
    <w:rsid w:val="00F73F44"/>
    <w:rsid w:val="00F748DF"/>
    <w:rsid w:val="00F74A14"/>
    <w:rsid w:val="00F750B4"/>
    <w:rsid w:val="00F751D8"/>
    <w:rsid w:val="00F7598D"/>
    <w:rsid w:val="00F76871"/>
    <w:rsid w:val="00F777D7"/>
    <w:rsid w:val="00F8014F"/>
    <w:rsid w:val="00F81A03"/>
    <w:rsid w:val="00F81DC4"/>
    <w:rsid w:val="00F82556"/>
    <w:rsid w:val="00F8375F"/>
    <w:rsid w:val="00F837F3"/>
    <w:rsid w:val="00F83A72"/>
    <w:rsid w:val="00F8402D"/>
    <w:rsid w:val="00F84506"/>
    <w:rsid w:val="00F846F2"/>
    <w:rsid w:val="00F848BC"/>
    <w:rsid w:val="00F84A3E"/>
    <w:rsid w:val="00F850C1"/>
    <w:rsid w:val="00F85690"/>
    <w:rsid w:val="00F8657D"/>
    <w:rsid w:val="00F86BCA"/>
    <w:rsid w:val="00F872DD"/>
    <w:rsid w:val="00F905FD"/>
    <w:rsid w:val="00F9064E"/>
    <w:rsid w:val="00F908B1"/>
    <w:rsid w:val="00F9124A"/>
    <w:rsid w:val="00F91D7B"/>
    <w:rsid w:val="00F920A9"/>
    <w:rsid w:val="00F92348"/>
    <w:rsid w:val="00F92F11"/>
    <w:rsid w:val="00F93571"/>
    <w:rsid w:val="00F93CD9"/>
    <w:rsid w:val="00F94157"/>
    <w:rsid w:val="00F94275"/>
    <w:rsid w:val="00F94D17"/>
    <w:rsid w:val="00F957C5"/>
    <w:rsid w:val="00F95E57"/>
    <w:rsid w:val="00F963D9"/>
    <w:rsid w:val="00F96ABB"/>
    <w:rsid w:val="00F975B4"/>
    <w:rsid w:val="00FA0359"/>
    <w:rsid w:val="00FA0DEC"/>
    <w:rsid w:val="00FA0F52"/>
    <w:rsid w:val="00FA1062"/>
    <w:rsid w:val="00FA1357"/>
    <w:rsid w:val="00FA1464"/>
    <w:rsid w:val="00FA1949"/>
    <w:rsid w:val="00FA1C2E"/>
    <w:rsid w:val="00FA1C8B"/>
    <w:rsid w:val="00FA2B73"/>
    <w:rsid w:val="00FA3301"/>
    <w:rsid w:val="00FA33F0"/>
    <w:rsid w:val="00FA4650"/>
    <w:rsid w:val="00FA5637"/>
    <w:rsid w:val="00FA5B48"/>
    <w:rsid w:val="00FA5D0D"/>
    <w:rsid w:val="00FA75EF"/>
    <w:rsid w:val="00FA7EF6"/>
    <w:rsid w:val="00FB00EA"/>
    <w:rsid w:val="00FB0D61"/>
    <w:rsid w:val="00FB1006"/>
    <w:rsid w:val="00FB18EB"/>
    <w:rsid w:val="00FB2C4B"/>
    <w:rsid w:val="00FB377E"/>
    <w:rsid w:val="00FB3934"/>
    <w:rsid w:val="00FB3A31"/>
    <w:rsid w:val="00FB3BC4"/>
    <w:rsid w:val="00FB41D0"/>
    <w:rsid w:val="00FB5F84"/>
    <w:rsid w:val="00FB637B"/>
    <w:rsid w:val="00FB6E52"/>
    <w:rsid w:val="00FB79AE"/>
    <w:rsid w:val="00FB7EF5"/>
    <w:rsid w:val="00FC03CC"/>
    <w:rsid w:val="00FC0E72"/>
    <w:rsid w:val="00FC1980"/>
    <w:rsid w:val="00FC245A"/>
    <w:rsid w:val="00FC2F5A"/>
    <w:rsid w:val="00FC377B"/>
    <w:rsid w:val="00FC4BFC"/>
    <w:rsid w:val="00FC6918"/>
    <w:rsid w:val="00FD0154"/>
    <w:rsid w:val="00FD058B"/>
    <w:rsid w:val="00FD0955"/>
    <w:rsid w:val="00FD0C0A"/>
    <w:rsid w:val="00FD0E99"/>
    <w:rsid w:val="00FD1049"/>
    <w:rsid w:val="00FD1420"/>
    <w:rsid w:val="00FD14A3"/>
    <w:rsid w:val="00FD1D5F"/>
    <w:rsid w:val="00FD2124"/>
    <w:rsid w:val="00FD2274"/>
    <w:rsid w:val="00FD2DF3"/>
    <w:rsid w:val="00FD35D0"/>
    <w:rsid w:val="00FD4D99"/>
    <w:rsid w:val="00FD6E7C"/>
    <w:rsid w:val="00FD700F"/>
    <w:rsid w:val="00FD7837"/>
    <w:rsid w:val="00FE0575"/>
    <w:rsid w:val="00FE07F8"/>
    <w:rsid w:val="00FE1E9E"/>
    <w:rsid w:val="00FE3B21"/>
    <w:rsid w:val="00FE4104"/>
    <w:rsid w:val="00FE43EC"/>
    <w:rsid w:val="00FE45A3"/>
    <w:rsid w:val="00FE469F"/>
    <w:rsid w:val="00FE49B4"/>
    <w:rsid w:val="00FE5903"/>
    <w:rsid w:val="00FE60DA"/>
    <w:rsid w:val="00FE62AB"/>
    <w:rsid w:val="00FE6DCF"/>
    <w:rsid w:val="00FE75E1"/>
    <w:rsid w:val="00FE78CC"/>
    <w:rsid w:val="00FE7B52"/>
    <w:rsid w:val="00FF05D1"/>
    <w:rsid w:val="00FF0822"/>
    <w:rsid w:val="00FF220E"/>
    <w:rsid w:val="00FF3569"/>
    <w:rsid w:val="00FF57CE"/>
    <w:rsid w:val="00FF5E52"/>
    <w:rsid w:val="00FF5F2F"/>
    <w:rsid w:val="00FF7097"/>
    <w:rsid w:val="00FF77DE"/>
    <w:rsid w:val="00FF7881"/>
    <w:rsid w:val="0D928363"/>
    <w:rsid w:val="0F1C1C84"/>
    <w:rsid w:val="2365F4C7"/>
    <w:rsid w:val="241FD637"/>
    <w:rsid w:val="312BEC5D"/>
    <w:rsid w:val="37000708"/>
    <w:rsid w:val="3BDDD0AB"/>
    <w:rsid w:val="41B63C1B"/>
    <w:rsid w:val="5AD7D063"/>
    <w:rsid w:val="7DF914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205869D"/>
  <w15:docId w15:val="{16624484-FE5B-4B52-9870-D3F98AEA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42"/>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8C6833"/>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next w:val="Normal"/>
    <w:link w:val="Heading2Char"/>
    <w:uiPriority w:val="3"/>
    <w:qFormat/>
    <w:rsid w:val="008C6833"/>
    <w:pPr>
      <w:keepNext/>
      <w:keepLines/>
      <w:pageBreakBefore/>
      <w:spacing w:before="240" w:after="120"/>
      <w:outlineLvl w:val="1"/>
    </w:pPr>
    <w:rPr>
      <w:rFonts w:ascii="Calibri" w:eastAsia="Times New Roman" w:hAnsi="Calibri"/>
      <w:bCs/>
      <w:sz w:val="56"/>
      <w:szCs w:val="24"/>
      <w:lang w:eastAsia="en-US"/>
    </w:rPr>
  </w:style>
  <w:style w:type="paragraph" w:styleId="Heading3">
    <w:name w:val="heading 3"/>
    <w:next w:val="Normal"/>
    <w:link w:val="Heading3Char"/>
    <w:uiPriority w:val="4"/>
    <w:qFormat/>
    <w:rsid w:val="009718FC"/>
    <w:pPr>
      <w:keepNext/>
      <w:keepLines/>
      <w:numPr>
        <w:numId w:val="41"/>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9718FC"/>
    <w:pPr>
      <w:numPr>
        <w:ilvl w:val="1"/>
        <w:numId w:val="41"/>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numPr>
        <w:ilvl w:val="2"/>
        <w:numId w:val="41"/>
      </w:numPr>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6"/>
    <w:rsid w:val="00CF1789"/>
    <w:pPr>
      <w:tabs>
        <w:tab w:val="center" w:pos="4820"/>
      </w:tabs>
    </w:pPr>
    <w:rPr>
      <w:rFonts w:ascii="Calibri" w:hAnsi="Calibri"/>
      <w:sz w:val="20"/>
    </w:rPr>
  </w:style>
  <w:style w:type="character" w:customStyle="1" w:styleId="HeaderChar">
    <w:name w:val="Header Char"/>
    <w:basedOn w:val="DefaultParagraphFont"/>
    <w:link w:val="Header"/>
    <w:uiPriority w:val="26"/>
    <w:rsid w:val="00CF1789"/>
    <w:rPr>
      <w:rFonts w:ascii="Calibri" w:eastAsiaTheme="minorHAnsi" w:hAnsi="Calibri" w:cstheme="minorBidi"/>
      <w:szCs w:val="22"/>
      <w:lang w:val="en-US" w:eastAsia="en-US"/>
    </w:rPr>
  </w:style>
  <w:style w:type="paragraph" w:styleId="Footer">
    <w:name w:val="footer"/>
    <w:basedOn w:val="Normal"/>
    <w:link w:val="FooterChar"/>
    <w:uiPriority w:val="99"/>
    <w:rsid w:val="00CF1789"/>
    <w:pPr>
      <w:tabs>
        <w:tab w:val="right" w:pos="9072"/>
      </w:tabs>
    </w:pPr>
    <w:rPr>
      <w:rFonts w:ascii="Calibri" w:hAnsi="Calibri"/>
      <w:sz w:val="20"/>
    </w:rPr>
  </w:style>
  <w:style w:type="character" w:customStyle="1" w:styleId="FooterChar">
    <w:name w:val="Footer Char"/>
    <w:basedOn w:val="DefaultParagraphFont"/>
    <w:link w:val="Footer"/>
    <w:uiPriority w:val="99"/>
    <w:rsid w:val="00CF1789"/>
    <w:rPr>
      <w:rFonts w:ascii="Calibri" w:eastAsiaTheme="minorHAnsi" w:hAnsi="Calibri" w:cstheme="minorBidi"/>
      <w:szCs w:val="22"/>
      <w:lang w:val="en-US" w:eastAsia="en-US"/>
    </w:rPr>
  </w:style>
  <w:style w:type="paragraph" w:styleId="CommentSubject">
    <w:name w:val="annotation subject"/>
    <w:basedOn w:val="Normal"/>
    <w:link w:val="CommentSubjectChar"/>
    <w:uiPriority w:val="99"/>
    <w:semiHidden/>
    <w:unhideWhenUsed/>
    <w:rsid w:val="009C2EF6"/>
    <w:rPr>
      <w:b/>
      <w:bCs/>
    </w:rPr>
  </w:style>
  <w:style w:type="character" w:customStyle="1" w:styleId="CommentSubjectChar">
    <w:name w:val="Comment Subject Char"/>
    <w:basedOn w:val="DefaultParagraphFont"/>
    <w:link w:val="CommentSubject"/>
    <w:uiPriority w:val="99"/>
    <w:semiHidden/>
    <w:rsid w:val="009C2EF6"/>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756F49"/>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724293"/>
    <w:rPr>
      <w:rFonts w:ascii="Calibri" w:eastAsia="Times New Roman" w:hAnsi="Calibri"/>
      <w:bCs/>
      <w:sz w:val="56"/>
      <w:szCs w:val="24"/>
      <w:lang w:eastAsia="en-US"/>
    </w:rPr>
  </w:style>
  <w:style w:type="character" w:customStyle="1" w:styleId="Heading3Char">
    <w:name w:val="Heading 3 Char"/>
    <w:basedOn w:val="DefaultParagraphFont"/>
    <w:link w:val="Heading3"/>
    <w:uiPriority w:val="4"/>
    <w:rsid w:val="00B02FC7"/>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B02FC7"/>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pPr>
    <w:rPr>
      <w:sz w:val="20"/>
    </w:rPr>
  </w:style>
  <w:style w:type="paragraph" w:styleId="Caption">
    <w:name w:val="caption"/>
    <w:basedOn w:val="Normal"/>
    <w:next w:val="Normal"/>
    <w:uiPriority w:val="12"/>
    <w:qFormat/>
    <w:rsid w:val="00724293"/>
    <w:pPr>
      <w:keepNext/>
      <w:spacing w:before="240"/>
      <w:outlineLvl w:val="4"/>
    </w:pPr>
    <w:rPr>
      <w:rFonts w:ascii="Calibri" w:hAnsi="Calibri"/>
      <w:b/>
      <w:bCs/>
      <w:szCs w:val="18"/>
    </w:rPr>
  </w:style>
  <w:style w:type="paragraph" w:customStyle="1" w:styleId="FigureTableNoteSource">
    <w:name w:val="Figure/Table Note/Source"/>
    <w:basedOn w:val="Normal"/>
    <w:next w:val="Normal"/>
    <w:uiPriority w:val="16"/>
    <w:qFormat/>
    <w:rsid w:val="00724293"/>
    <w:pPr>
      <w:spacing w:after="240"/>
      <w:contextualSpacing/>
    </w:pPr>
    <w:rPr>
      <w:rFonts w:ascii="Calibri" w:hAnsi="Calibri"/>
      <w:sz w:val="18"/>
    </w:rPr>
  </w:style>
  <w:style w:type="paragraph" w:styleId="Subtitle">
    <w:name w:val="Subtitle"/>
    <w:basedOn w:val="Normal"/>
    <w:next w:val="Normal"/>
    <w:link w:val="SubtitleChar"/>
    <w:uiPriority w:val="23"/>
    <w:qFormat/>
    <w:rsid w:val="003B585C"/>
    <w:pPr>
      <w:keepNext/>
      <w:keepLines/>
      <w:spacing w:after="240"/>
      <w:outlineLvl w:val="1"/>
    </w:pPr>
    <w:rPr>
      <w:rFonts w:ascii="Calibri" w:hAnsi="Calibri"/>
      <w:bCs/>
      <w:sz w:val="56"/>
      <w:szCs w:val="26"/>
    </w:rPr>
  </w:style>
  <w:style w:type="character" w:customStyle="1" w:styleId="SubtitleChar">
    <w:name w:val="Subtitle Char"/>
    <w:basedOn w:val="DefaultParagraphFont"/>
    <w:link w:val="Subtitle"/>
    <w:uiPriority w:val="23"/>
    <w:rsid w:val="003B585C"/>
    <w:rPr>
      <w:rFonts w:ascii="Calibri" w:eastAsiaTheme="minorHAnsi" w:hAnsi="Calibri" w:cstheme="minorBidi"/>
      <w:bCs/>
      <w:sz w:val="56"/>
      <w:szCs w:val="26"/>
      <w:lang w:eastAsia="en-US"/>
    </w:rPr>
  </w:style>
  <w:style w:type="paragraph" w:styleId="TOCHeading">
    <w:name w:val="TOC Heading"/>
    <w:next w:val="Normal"/>
    <w:uiPriority w:val="39"/>
    <w:qFormat/>
    <w:rsid w:val="008B2007"/>
    <w:pPr>
      <w:keepNext/>
      <w:keepLines/>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CD1913"/>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CD1913"/>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99"/>
    <w:qFormat/>
    <w:rsid w:val="00B27DA0"/>
    <w:pPr>
      <w:numPr>
        <w:numId w:val="37"/>
      </w:numPr>
      <w:spacing w:before="120" w:after="120"/>
    </w:pPr>
  </w:style>
  <w:style w:type="paragraph" w:styleId="TableofFigures">
    <w:name w:val="table of figures"/>
    <w:basedOn w:val="Normal"/>
    <w:next w:val="Normal"/>
    <w:uiPriority w:val="99"/>
    <w:rsid w:val="003B585C"/>
  </w:style>
  <w:style w:type="paragraph" w:styleId="ListBullet2">
    <w:name w:val="List Bullet 2"/>
    <w:basedOn w:val="Normal"/>
    <w:uiPriority w:val="8"/>
    <w:qFormat/>
    <w:rsid w:val="008C6833"/>
    <w:pPr>
      <w:numPr>
        <w:numId w:val="42"/>
      </w:numPr>
      <w:spacing w:before="120" w:after="120"/>
      <w:contextualSpacing/>
    </w:pPr>
  </w:style>
  <w:style w:type="paragraph" w:styleId="ListNumber">
    <w:name w:val="List Number"/>
    <w:basedOn w:val="Normal"/>
    <w:uiPriority w:val="9"/>
    <w:qFormat/>
    <w:rsid w:val="003B585C"/>
    <w:pPr>
      <w:numPr>
        <w:numId w:val="6"/>
      </w:numPr>
      <w:tabs>
        <w:tab w:val="left" w:pos="284"/>
      </w:tabs>
    </w:pPr>
  </w:style>
  <w:style w:type="paragraph" w:styleId="ListNumber2">
    <w:name w:val="List Number 2"/>
    <w:uiPriority w:val="10"/>
    <w:qFormat/>
    <w:rsid w:val="003B585C"/>
    <w:pPr>
      <w:numPr>
        <w:numId w:val="3"/>
      </w:numPr>
      <w:tabs>
        <w:tab w:val="left" w:pos="567"/>
      </w:tabs>
      <w:spacing w:before="120" w:after="120" w:line="264" w:lineRule="auto"/>
      <w:ind w:left="568" w:hanging="284"/>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22"/>
    <w:qFormat/>
    <w:rsid w:val="003B585C"/>
    <w:rPr>
      <w:b/>
      <w:bCs/>
    </w:rPr>
  </w:style>
  <w:style w:type="character" w:styleId="Emphasis">
    <w:name w:val="Emphasis"/>
    <w:basedOn w:val="DefaultParagraphFont"/>
    <w:uiPriority w:val="20"/>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sz w:val="13"/>
      <w:szCs w:val="13"/>
    </w:rPr>
  </w:style>
  <w:style w:type="paragraph" w:customStyle="1" w:styleId="BoxTextBullet">
    <w:name w:val="Box Text Bullet"/>
    <w:basedOn w:val="BoxText"/>
    <w:uiPriority w:val="21"/>
    <w:qFormat/>
    <w:rsid w:val="003B585C"/>
    <w:pPr>
      <w:numPr>
        <w:numId w:val="4"/>
      </w:numPr>
      <w:ind w:left="357" w:hanging="357"/>
    </w:pPr>
  </w:style>
  <w:style w:type="paragraph" w:customStyle="1" w:styleId="TableBullet">
    <w:name w:val="Table Bullet"/>
    <w:basedOn w:val="TableText"/>
    <w:uiPriority w:val="15"/>
    <w:qFormat/>
    <w:rsid w:val="003B585C"/>
    <w:pPr>
      <w:numPr>
        <w:numId w:val="5"/>
      </w:numPr>
      <w:ind w:left="284" w:hanging="284"/>
    </w:pPr>
  </w:style>
  <w:style w:type="paragraph" w:styleId="DocumentMap">
    <w:name w:val="Document Map"/>
    <w:basedOn w:val="Normal"/>
    <w:link w:val="DocumentMapChar"/>
    <w:uiPriority w:val="99"/>
    <w:semiHidden/>
    <w:unhideWhenUsed/>
    <w:rsid w:val="003B585C"/>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rPr>
      <w:b/>
    </w:rPr>
  </w:style>
  <w:style w:type="paragraph" w:customStyle="1" w:styleId="Securityclassification">
    <w:name w:val="Security classification"/>
    <w:basedOn w:val="Header"/>
    <w:next w:val="Header"/>
    <w:uiPriority w:val="26"/>
    <w:qFormat/>
    <w:rsid w:val="003B585C"/>
    <w:rPr>
      <w:b/>
      <w:caps/>
      <w:color w:val="FF0000"/>
      <w:sz w:val="36"/>
      <w:szCs w:val="36"/>
    </w:rPr>
  </w:style>
  <w:style w:type="paragraph" w:customStyle="1" w:styleId="DisseminationLimitingMarker">
    <w:name w:val="Dissemination Limiting Marker"/>
    <w:basedOn w:val="Header"/>
    <w:next w:val="Header"/>
    <w:uiPriority w:val="27"/>
    <w:rsid w:val="003B585C"/>
    <w:rPr>
      <w:b/>
      <w:sz w:val="36"/>
      <w:szCs w:val="36"/>
    </w:rPr>
  </w:style>
  <w:style w:type="character" w:styleId="FootnoteReference">
    <w:name w:val="footnote reference"/>
    <w:basedOn w:val="DefaultParagraphFont"/>
    <w:uiPriority w:val="99"/>
    <w:semiHidden/>
    <w:unhideWhenUsed/>
    <w:rsid w:val="003B585C"/>
    <w:rPr>
      <w:vertAlign w:val="superscript"/>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7"/>
      </w:numPr>
    </w:pPr>
  </w:style>
  <w:style w:type="paragraph" w:styleId="Title">
    <w:name w:val="Title"/>
    <w:basedOn w:val="Normal"/>
    <w:next w:val="Normal"/>
    <w:link w:val="TitleChar"/>
    <w:uiPriority w:val="10"/>
    <w:semiHidden/>
    <w:qFormat/>
    <w:rsid w:val="003B585C"/>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Heading2unnumbered">
    <w:name w:val="Heading 2 unnumbered"/>
    <w:next w:val="Normal"/>
    <w:qFormat/>
    <w:rsid w:val="00724293"/>
    <w:pPr>
      <w:pageBreakBefore/>
      <w:spacing w:after="240"/>
      <w:outlineLvl w:val="1"/>
    </w:pPr>
    <w:rPr>
      <w:rFonts w:ascii="Calibri" w:eastAsiaTheme="minorEastAsia" w:hAnsi="Calibri" w:cstheme="minorBidi"/>
      <w:bCs/>
      <w:color w:val="000000"/>
      <w:sz w:val="56"/>
      <w:szCs w:val="28"/>
      <w:lang w:eastAsia="ja-JP"/>
    </w:rPr>
  </w:style>
  <w:style w:type="paragraph" w:styleId="ListBullet3">
    <w:name w:val="List Bullet 3"/>
    <w:basedOn w:val="Normal"/>
    <w:uiPriority w:val="99"/>
    <w:semiHidden/>
    <w:rsid w:val="00143FEC"/>
    <w:pPr>
      <w:numPr>
        <w:numId w:val="9"/>
      </w:numPr>
      <w:spacing w:after="120"/>
      <w:ind w:left="1417" w:hanging="357"/>
      <w:contextualSpacing/>
    </w:pPr>
  </w:style>
  <w:style w:type="paragraph" w:styleId="ListParagraph">
    <w:name w:val="List Paragraph"/>
    <w:basedOn w:val="Normal"/>
    <w:link w:val="ListParagraphChar"/>
    <w:uiPriority w:val="34"/>
    <w:qFormat/>
    <w:rsid w:val="001B35DE"/>
    <w:pPr>
      <w:spacing w:before="100" w:after="100"/>
      <w:ind w:left="720"/>
      <w:contextualSpacing/>
    </w:pPr>
    <w:rPr>
      <w:rFonts w:eastAsia="Times New Roman"/>
      <w:bCs/>
      <w:szCs w:val="24"/>
    </w:rPr>
  </w:style>
  <w:style w:type="paragraph" w:styleId="Revision">
    <w:name w:val="Revision"/>
    <w:hidden/>
    <w:uiPriority w:val="99"/>
    <w:semiHidden/>
    <w:rsid w:val="00F55972"/>
    <w:rPr>
      <w:rFonts w:asciiTheme="minorHAnsi" w:eastAsiaTheme="minorHAnsi" w:hAnsiTheme="minorHAnsi" w:cstheme="minorBidi"/>
      <w:sz w:val="22"/>
      <w:szCs w:val="22"/>
      <w:lang w:eastAsia="en-US"/>
    </w:rPr>
  </w:style>
  <w:style w:type="paragraph" w:customStyle="1" w:styleId="NormalIndent1">
    <w:name w:val="Normal Indent1"/>
    <w:basedOn w:val="Normal"/>
    <w:qFormat/>
    <w:rsid w:val="002B6565"/>
    <w:pPr>
      <w:ind w:left="567"/>
    </w:pPr>
  </w:style>
  <w:style w:type="paragraph" w:customStyle="1" w:styleId="Heading3unnumbered">
    <w:name w:val="Heading 3 unnumbered"/>
    <w:next w:val="Normal"/>
    <w:link w:val="Heading3unnumberedChar"/>
    <w:qFormat/>
    <w:rsid w:val="00217D3A"/>
    <w:pPr>
      <w:keepNext/>
      <w:keepLines/>
      <w:spacing w:before="240"/>
      <w:outlineLvl w:val="2"/>
    </w:pPr>
    <w:rPr>
      <w:rFonts w:ascii="Calibri" w:eastAsia="Times New Roman" w:hAnsi="Calibri"/>
      <w:b/>
      <w:bCs/>
      <w:sz w:val="36"/>
      <w:szCs w:val="24"/>
      <w:lang w:eastAsia="en-US"/>
    </w:rPr>
  </w:style>
  <w:style w:type="paragraph" w:customStyle="1" w:styleId="Heading4unnumbered">
    <w:name w:val="Heading 4 unnumbered"/>
    <w:link w:val="Heading4unnumberedChar"/>
    <w:qFormat/>
    <w:rsid w:val="002B1320"/>
    <w:pPr>
      <w:outlineLvl w:val="3"/>
    </w:pPr>
    <w:rPr>
      <w:rFonts w:ascii="Calibri" w:eastAsia="Times New Roman" w:hAnsi="Calibri"/>
      <w:b/>
      <w:bCs/>
      <w:sz w:val="28"/>
      <w:szCs w:val="24"/>
      <w:lang w:eastAsia="en-US"/>
    </w:rPr>
  </w:style>
  <w:style w:type="character" w:customStyle="1" w:styleId="Heading3unnumberedChar">
    <w:name w:val="Heading 3 unnumbered Char"/>
    <w:basedOn w:val="Heading3Char"/>
    <w:link w:val="Heading3unnumbered"/>
    <w:rsid w:val="00217D3A"/>
    <w:rPr>
      <w:rFonts w:ascii="Calibri" w:eastAsia="Times New Roman" w:hAnsi="Calibri"/>
      <w:b/>
      <w:bCs/>
      <w:sz w:val="36"/>
      <w:szCs w:val="24"/>
      <w:lang w:eastAsia="en-US"/>
    </w:rPr>
  </w:style>
  <w:style w:type="numbering" w:customStyle="1" w:styleId="Headings1234numbered">
    <w:name w:val="Headings 1234 numbered"/>
    <w:uiPriority w:val="99"/>
    <w:rsid w:val="002B1320"/>
    <w:pPr>
      <w:numPr>
        <w:numId w:val="10"/>
      </w:numPr>
    </w:pPr>
  </w:style>
  <w:style w:type="character" w:customStyle="1" w:styleId="Heading4unnumberedChar">
    <w:name w:val="Heading 4 unnumbered Char"/>
    <w:basedOn w:val="Heading4Char"/>
    <w:link w:val="Heading4unnumbered"/>
    <w:rsid w:val="002B1320"/>
    <w:rPr>
      <w:rFonts w:ascii="Calibri" w:eastAsia="Times New Roman" w:hAnsi="Calibri"/>
      <w:b/>
      <w:bCs/>
      <w:sz w:val="28"/>
      <w:szCs w:val="24"/>
      <w:lang w:eastAsia="en-US"/>
    </w:rPr>
  </w:style>
  <w:style w:type="character" w:customStyle="1" w:styleId="ListParagraphChar">
    <w:name w:val="List Paragraph Char"/>
    <w:basedOn w:val="DefaultParagraphFont"/>
    <w:link w:val="ListParagraph"/>
    <w:uiPriority w:val="34"/>
    <w:rsid w:val="001B35DE"/>
    <w:rPr>
      <w:rFonts w:asciiTheme="minorHAnsi" w:eastAsia="Times New Roman" w:hAnsiTheme="minorHAnsi" w:cstheme="minorBidi"/>
      <w:bCs/>
      <w:sz w:val="22"/>
      <w:szCs w:val="24"/>
      <w:lang w:eastAsia="en-US"/>
    </w:rPr>
  </w:style>
  <w:style w:type="paragraph" w:customStyle="1" w:styleId="Listparagraph2">
    <w:name w:val="List paragraph 2"/>
    <w:basedOn w:val="Normal"/>
    <w:link w:val="Listparagraph2Char"/>
    <w:rsid w:val="001B35DE"/>
    <w:pPr>
      <w:spacing w:before="100"/>
    </w:pPr>
    <w:rPr>
      <w:rFonts w:eastAsia="Times New Roman"/>
      <w:bCs/>
      <w:szCs w:val="24"/>
    </w:rPr>
  </w:style>
  <w:style w:type="character" w:customStyle="1" w:styleId="Listparagraph2Char">
    <w:name w:val="List paragraph 2 Char"/>
    <w:basedOn w:val="DefaultParagraphFont"/>
    <w:link w:val="Listparagraph2"/>
    <w:rsid w:val="001B35DE"/>
    <w:rPr>
      <w:rFonts w:asciiTheme="minorHAnsi" w:eastAsia="Times New Roman" w:hAnsiTheme="minorHAnsi" w:cstheme="minorBidi"/>
      <w:bCs/>
      <w:sz w:val="22"/>
      <w:szCs w:val="24"/>
      <w:lang w:eastAsia="en-US"/>
    </w:rPr>
  </w:style>
  <w:style w:type="paragraph" w:customStyle="1" w:styleId="Default">
    <w:name w:val="Default"/>
    <w:rsid w:val="00691840"/>
    <w:pPr>
      <w:autoSpaceDE w:val="0"/>
      <w:autoSpaceDN w:val="0"/>
      <w:adjustRightInd w:val="0"/>
    </w:pPr>
    <w:rPr>
      <w:rFonts w:ascii="Calibri" w:hAnsi="Calibri" w:cs="Calibri"/>
      <w:color w:val="000000"/>
      <w:sz w:val="24"/>
      <w:szCs w:val="24"/>
    </w:rPr>
  </w:style>
  <w:style w:type="numbering" w:customStyle="1" w:styleId="headings">
    <w:name w:val="headings"/>
    <w:uiPriority w:val="99"/>
    <w:rsid w:val="004443D2"/>
    <w:pPr>
      <w:numPr>
        <w:numId w:val="25"/>
      </w:numPr>
    </w:pPr>
  </w:style>
  <w:style w:type="paragraph" w:customStyle="1" w:styleId="Heading1sub">
    <w:name w:val="Heading 1 sub"/>
    <w:basedOn w:val="Subtitle"/>
    <w:qFormat/>
    <w:rsid w:val="008C6833"/>
    <w:pPr>
      <w:spacing w:line="240" w:lineRule="auto"/>
    </w:pPr>
  </w:style>
  <w:style w:type="paragraph" w:customStyle="1" w:styleId="ListBullet6">
    <w:name w:val="List Bullet 6"/>
    <w:basedOn w:val="ListBullet2"/>
    <w:qFormat/>
    <w:rsid w:val="002B6565"/>
    <w:pPr>
      <w:numPr>
        <w:numId w:val="0"/>
      </w:numPr>
    </w:pPr>
  </w:style>
  <w:style w:type="paragraph" w:styleId="ListBullet4">
    <w:name w:val="List Bullet 4"/>
    <w:basedOn w:val="Normal"/>
    <w:uiPriority w:val="99"/>
    <w:semiHidden/>
    <w:rsid w:val="00DD0DEF"/>
    <w:pPr>
      <w:numPr>
        <w:numId w:val="43"/>
      </w:numPr>
      <w:tabs>
        <w:tab w:val="clear" w:pos="1209"/>
        <w:tab w:val="left" w:pos="284"/>
      </w:tabs>
      <w:spacing w:before="120" w:after="120"/>
      <w:ind w:left="851" w:hanging="284"/>
    </w:pPr>
  </w:style>
  <w:style w:type="paragraph" w:styleId="ListBullet5">
    <w:name w:val="List Bullet 5"/>
    <w:basedOn w:val="Normal"/>
    <w:uiPriority w:val="99"/>
    <w:semiHidden/>
    <w:rsid w:val="002B6565"/>
    <w:pPr>
      <w:numPr>
        <w:numId w:val="44"/>
      </w:numPr>
      <w:contextualSpacing/>
    </w:pPr>
  </w:style>
  <w:style w:type="character" w:styleId="CommentReference">
    <w:name w:val="annotation reference"/>
    <w:basedOn w:val="DefaultParagraphFont"/>
    <w:semiHidden/>
    <w:unhideWhenUsed/>
    <w:rsid w:val="00C82AB7"/>
    <w:rPr>
      <w:sz w:val="16"/>
      <w:szCs w:val="16"/>
    </w:rPr>
  </w:style>
  <w:style w:type="paragraph" w:styleId="CommentText">
    <w:name w:val="annotation text"/>
    <w:basedOn w:val="Normal"/>
    <w:link w:val="CommentTextChar"/>
    <w:unhideWhenUsed/>
    <w:rsid w:val="00C82AB7"/>
    <w:pPr>
      <w:spacing w:line="240" w:lineRule="auto"/>
    </w:pPr>
    <w:rPr>
      <w:sz w:val="20"/>
      <w:szCs w:val="20"/>
    </w:rPr>
  </w:style>
  <w:style w:type="character" w:customStyle="1" w:styleId="CommentTextChar">
    <w:name w:val="Comment Text Char"/>
    <w:basedOn w:val="DefaultParagraphFont"/>
    <w:link w:val="CommentText"/>
    <w:rsid w:val="00C82AB7"/>
    <w:rPr>
      <w:rFonts w:eastAsiaTheme="minorHAnsi" w:cstheme="minorBidi"/>
      <w:lang w:eastAsia="en-US"/>
    </w:rPr>
  </w:style>
  <w:style w:type="paragraph" w:customStyle="1" w:styleId="Definition">
    <w:name w:val="Definition"/>
    <w:aliases w:val="dd"/>
    <w:basedOn w:val="Normal"/>
    <w:link w:val="DefinitionChar"/>
    <w:rsid w:val="001B68C3"/>
    <w:pPr>
      <w:spacing w:before="180" w:after="0" w:line="240" w:lineRule="auto"/>
      <w:ind w:left="1134"/>
    </w:pPr>
    <w:rPr>
      <w:rFonts w:ascii="Times New Roman" w:eastAsia="Times New Roman" w:hAnsi="Times New Roman" w:cs="Times New Roman"/>
      <w:szCs w:val="20"/>
      <w:lang w:eastAsia="en-AU"/>
    </w:rPr>
  </w:style>
  <w:style w:type="paragraph" w:customStyle="1" w:styleId="definitiontitle">
    <w:name w:val="definition title"/>
    <w:basedOn w:val="Definition"/>
    <w:link w:val="definitiontitleChar"/>
    <w:qFormat/>
    <w:rsid w:val="001B68C3"/>
    <w:pPr>
      <w:spacing w:before="0"/>
      <w:ind w:left="0"/>
    </w:pPr>
    <w:rPr>
      <w:b/>
      <w:i/>
      <w:sz w:val="24"/>
      <w:szCs w:val="24"/>
    </w:rPr>
  </w:style>
  <w:style w:type="character" w:customStyle="1" w:styleId="DefinitionChar">
    <w:name w:val="Definition Char"/>
    <w:aliases w:val="dd Char"/>
    <w:basedOn w:val="DefaultParagraphFont"/>
    <w:link w:val="Definition"/>
    <w:rsid w:val="001B68C3"/>
    <w:rPr>
      <w:rFonts w:ascii="Times New Roman" w:eastAsia="Times New Roman" w:hAnsi="Times New Roman"/>
      <w:sz w:val="22"/>
    </w:rPr>
  </w:style>
  <w:style w:type="character" w:customStyle="1" w:styleId="definitiontitleChar">
    <w:name w:val="definition title Char"/>
    <w:basedOn w:val="DefinitionChar"/>
    <w:link w:val="definitiontitle"/>
    <w:rsid w:val="001B68C3"/>
    <w:rPr>
      <w:rFonts w:ascii="Times New Roman" w:eastAsia="Times New Roman" w:hAnsi="Times New Roman"/>
      <w:b/>
      <w:i/>
      <w:sz w:val="24"/>
      <w:szCs w:val="24"/>
    </w:rPr>
  </w:style>
  <w:style w:type="character" w:customStyle="1" w:styleId="UnresolvedMention1">
    <w:name w:val="Unresolved Mention1"/>
    <w:basedOn w:val="DefaultParagraphFont"/>
    <w:uiPriority w:val="99"/>
    <w:unhideWhenUsed/>
    <w:rsid w:val="00CB7619"/>
    <w:rPr>
      <w:color w:val="605E5C"/>
      <w:shd w:val="clear" w:color="auto" w:fill="E1DFDD"/>
    </w:rPr>
  </w:style>
  <w:style w:type="table" w:customStyle="1" w:styleId="TableGrid10">
    <w:name w:val="Table Grid1"/>
    <w:basedOn w:val="TableNormal"/>
    <w:next w:val="TableGrid"/>
    <w:uiPriority w:val="59"/>
    <w:rsid w:val="00B707D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4E4862"/>
    <w:rPr>
      <w:color w:val="2B579A"/>
      <w:shd w:val="clear" w:color="auto" w:fill="E1DFDD"/>
    </w:rPr>
  </w:style>
  <w:style w:type="paragraph" w:customStyle="1" w:styleId="Normalsmall">
    <w:name w:val="Normal small"/>
    <w:qFormat/>
    <w:pPr>
      <w:spacing w:after="120" w:line="276" w:lineRule="auto"/>
    </w:pPr>
    <w:rPr>
      <w:rFonts w:eastAsiaTheme="minorHAnsi" w:cstheme="minorBidi"/>
      <w:sz w:val="18"/>
      <w:szCs w:val="18"/>
      <w:lang w:eastAsia="en-US"/>
    </w:rPr>
  </w:style>
  <w:style w:type="character" w:styleId="UnresolvedMention">
    <w:name w:val="Unresolved Mention"/>
    <w:basedOn w:val="DefaultParagraphFont"/>
    <w:uiPriority w:val="99"/>
    <w:semiHidden/>
    <w:unhideWhenUsed/>
    <w:rsid w:val="00A00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2068720783">
          <w:marLeft w:val="0"/>
          <w:marRight w:val="0"/>
          <w:marTop w:val="0"/>
          <w:marBottom w:val="0"/>
          <w:divBdr>
            <w:top w:val="none" w:sz="0" w:space="0" w:color="auto"/>
            <w:left w:val="none" w:sz="0" w:space="0" w:color="auto"/>
            <w:bottom w:val="none" w:sz="0" w:space="0" w:color="auto"/>
            <w:right w:val="none" w:sz="0" w:space="0" w:color="auto"/>
          </w:divBdr>
          <w:divsChild>
            <w:div w:id="2026596092">
              <w:marLeft w:val="0"/>
              <w:marRight w:val="0"/>
              <w:marTop w:val="0"/>
              <w:marBottom w:val="0"/>
              <w:divBdr>
                <w:top w:val="none" w:sz="0" w:space="0" w:color="auto"/>
                <w:left w:val="none" w:sz="0" w:space="0" w:color="auto"/>
                <w:bottom w:val="none" w:sz="0" w:space="0" w:color="auto"/>
                <w:right w:val="none" w:sz="0" w:space="0" w:color="auto"/>
              </w:divBdr>
              <w:divsChild>
                <w:div w:id="25453992">
                  <w:marLeft w:val="0"/>
                  <w:marRight w:val="0"/>
                  <w:marTop w:val="0"/>
                  <w:marBottom w:val="0"/>
                  <w:divBdr>
                    <w:top w:val="none" w:sz="0" w:space="0" w:color="auto"/>
                    <w:left w:val="none" w:sz="0" w:space="0" w:color="auto"/>
                    <w:bottom w:val="none" w:sz="0" w:space="0" w:color="auto"/>
                    <w:right w:val="none" w:sz="0" w:space="0" w:color="auto"/>
                  </w:divBdr>
                  <w:divsChild>
                    <w:div w:id="1983121809">
                      <w:marLeft w:val="0"/>
                      <w:marRight w:val="0"/>
                      <w:marTop w:val="0"/>
                      <w:marBottom w:val="0"/>
                      <w:divBdr>
                        <w:top w:val="none" w:sz="0" w:space="0" w:color="auto"/>
                        <w:left w:val="none" w:sz="0" w:space="0" w:color="auto"/>
                        <w:bottom w:val="none" w:sz="0" w:space="0" w:color="auto"/>
                        <w:right w:val="none" w:sz="0" w:space="0" w:color="auto"/>
                      </w:divBdr>
                      <w:divsChild>
                        <w:div w:id="1718159977">
                          <w:marLeft w:val="0"/>
                          <w:marRight w:val="0"/>
                          <w:marTop w:val="0"/>
                          <w:marBottom w:val="0"/>
                          <w:divBdr>
                            <w:top w:val="none" w:sz="0" w:space="0" w:color="auto"/>
                            <w:left w:val="none" w:sz="0" w:space="0" w:color="auto"/>
                            <w:bottom w:val="none" w:sz="0" w:space="0" w:color="auto"/>
                            <w:right w:val="none" w:sz="0" w:space="0" w:color="auto"/>
                          </w:divBdr>
                          <w:divsChild>
                            <w:div w:id="1996563001">
                              <w:marLeft w:val="0"/>
                              <w:marRight w:val="0"/>
                              <w:marTop w:val="225"/>
                              <w:marBottom w:val="0"/>
                              <w:divBdr>
                                <w:top w:val="none" w:sz="0" w:space="0" w:color="auto"/>
                                <w:left w:val="none" w:sz="0" w:space="0" w:color="auto"/>
                                <w:bottom w:val="none" w:sz="0" w:space="0" w:color="auto"/>
                                <w:right w:val="none" w:sz="0" w:space="0" w:color="auto"/>
                              </w:divBdr>
                              <w:divsChild>
                                <w:div w:id="1876380553">
                                  <w:marLeft w:val="0"/>
                                  <w:marRight w:val="0"/>
                                  <w:marTop w:val="0"/>
                                  <w:marBottom w:val="0"/>
                                  <w:divBdr>
                                    <w:top w:val="none" w:sz="0" w:space="0" w:color="auto"/>
                                    <w:left w:val="none" w:sz="0" w:space="0" w:color="auto"/>
                                    <w:bottom w:val="none" w:sz="0" w:space="0" w:color="auto"/>
                                    <w:right w:val="none" w:sz="0" w:space="0" w:color="auto"/>
                                  </w:divBdr>
                                  <w:divsChild>
                                    <w:div w:id="172845750">
                                      <w:marLeft w:val="0"/>
                                      <w:marRight w:val="0"/>
                                      <w:marTop w:val="0"/>
                                      <w:marBottom w:val="0"/>
                                      <w:divBdr>
                                        <w:top w:val="none" w:sz="0" w:space="0" w:color="auto"/>
                                        <w:left w:val="none" w:sz="0" w:space="0" w:color="auto"/>
                                        <w:bottom w:val="none" w:sz="0" w:space="0" w:color="auto"/>
                                        <w:right w:val="none" w:sz="0" w:space="0" w:color="auto"/>
                                      </w:divBdr>
                                      <w:divsChild>
                                        <w:div w:id="1922442616">
                                          <w:marLeft w:val="0"/>
                                          <w:marRight w:val="0"/>
                                          <w:marTop w:val="0"/>
                                          <w:marBottom w:val="0"/>
                                          <w:divBdr>
                                            <w:top w:val="none" w:sz="0" w:space="0" w:color="auto"/>
                                            <w:left w:val="none" w:sz="0" w:space="0" w:color="auto"/>
                                            <w:bottom w:val="none" w:sz="0" w:space="0" w:color="auto"/>
                                            <w:right w:val="none" w:sz="0" w:space="0" w:color="auto"/>
                                          </w:divBdr>
                                          <w:divsChild>
                                            <w:div w:id="843399999">
                                              <w:marLeft w:val="0"/>
                                              <w:marRight w:val="0"/>
                                              <w:marTop w:val="0"/>
                                              <w:marBottom w:val="0"/>
                                              <w:divBdr>
                                                <w:top w:val="none" w:sz="0" w:space="0" w:color="auto"/>
                                                <w:left w:val="none" w:sz="0" w:space="0" w:color="auto"/>
                                                <w:bottom w:val="none" w:sz="0" w:space="0" w:color="auto"/>
                                                <w:right w:val="none" w:sz="0" w:space="0" w:color="auto"/>
                                              </w:divBdr>
                                              <w:divsChild>
                                                <w:div w:id="915018614">
                                                  <w:marLeft w:val="0"/>
                                                  <w:marRight w:val="0"/>
                                                  <w:marTop w:val="0"/>
                                                  <w:marBottom w:val="0"/>
                                                  <w:divBdr>
                                                    <w:top w:val="none" w:sz="0" w:space="0" w:color="auto"/>
                                                    <w:left w:val="none" w:sz="0" w:space="0" w:color="auto"/>
                                                    <w:bottom w:val="none" w:sz="0" w:space="0" w:color="auto"/>
                                                    <w:right w:val="none" w:sz="0" w:space="0" w:color="auto"/>
                                                  </w:divBdr>
                                                  <w:divsChild>
                                                    <w:div w:id="1842433027">
                                                      <w:marLeft w:val="0"/>
                                                      <w:marRight w:val="0"/>
                                                      <w:marTop w:val="0"/>
                                                      <w:marBottom w:val="0"/>
                                                      <w:divBdr>
                                                        <w:top w:val="none" w:sz="0" w:space="0" w:color="auto"/>
                                                        <w:left w:val="none" w:sz="0" w:space="0" w:color="auto"/>
                                                        <w:bottom w:val="none" w:sz="0" w:space="0" w:color="auto"/>
                                                        <w:right w:val="none" w:sz="0" w:space="0" w:color="auto"/>
                                                      </w:divBdr>
                                                      <w:divsChild>
                                                        <w:div w:id="9145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60237">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pyright@awe.gov.au" TargetMode="External"/><Relationship Id="rId18" Type="http://schemas.openxmlformats.org/officeDocument/2006/relationships/header" Target="header2.xml"/><Relationship Id="rId26" Type="http://schemas.openxmlformats.org/officeDocument/2006/relationships/hyperlink" Target="https://www.awe.gov.au/import/online-services/delivery-postcode/summary"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awe.gov.au/import/arrival/arrangements/requiremen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s://www.awe.gov.au/import/online-services/delivery-postcode/summary" TargetMode="External"/><Relationship Id="rId33" Type="http://schemas.openxmlformats.org/officeDocument/2006/relationships/hyperlink" Target="https://www.awe.gov.au/import/arrival/clearance-inspection/documentary-requirements/templat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header" Target="header3.xml"/><Relationship Id="rId29" Type="http://schemas.openxmlformats.org/officeDocument/2006/relationships/hyperlink" Target="https://www.awe.gov.au/import/online-services/delivery-postcode/summ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we.gov.au/pests-diseases-weeds/plant/khapra-beetle/urgent-actions" TargetMode="External"/><Relationship Id="rId32" Type="http://schemas.openxmlformats.org/officeDocument/2006/relationships/hyperlink" Target="https://www.awe.gov.au/import/arrival/clearance-inspection/documentary-requirements/minimum-document-requirements-policy" TargetMode="External"/><Relationship Id="rId37" Type="http://schemas.openxmlformats.org/officeDocument/2006/relationships/hyperlink" Target="https://bicon.agriculture.gov.au/BiconWeb4.0" TargetMode="External"/><Relationship Id="rId5" Type="http://schemas.openxmlformats.org/officeDocument/2006/relationships/customXml" Target="../customXml/item5.xml"/><Relationship Id="rId15" Type="http://schemas.openxmlformats.org/officeDocument/2006/relationships/hyperlink" Target="https://www.awe.gov.au/sites/default/files/sitecollectiondocuments/biosecurity/import/general-info/documentary-requirements/non-commodity-policy.pdf" TargetMode="External"/><Relationship Id="rId23" Type="http://schemas.openxmlformats.org/officeDocument/2006/relationships/hyperlink" Target="https://www.ippc.int/en" TargetMode="External"/><Relationship Id="rId28" Type="http://schemas.openxmlformats.org/officeDocument/2006/relationships/hyperlink" Target="https://bicon.agriculture.gov.au/BiconWeb4.0" TargetMode="External"/><Relationship Id="rId36" Type="http://schemas.openxmlformats.org/officeDocument/2006/relationships/hyperlink" Target="https://bicon.agriculture.gov.au/BiconWeb4.0"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awe.gov.au/import/arrival/clearance-inspection/documentary-requirements/templa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bicon.agriculture.gov.au/BiconWeb4.0" TargetMode="External"/><Relationship Id="rId27" Type="http://schemas.openxmlformats.org/officeDocument/2006/relationships/hyperlink" Target="https://www.awe.gov.au/pests-diseases-weeds/plant/khapra-beetle/sea-container-measures" TargetMode="External"/><Relationship Id="rId30" Type="http://schemas.openxmlformats.org/officeDocument/2006/relationships/hyperlink" Target="http://www.iso.org/iso/home.htm" TargetMode="External"/><Relationship Id="rId35" Type="http://schemas.openxmlformats.org/officeDocument/2006/relationships/hyperlink" Target="https://www.awe.gov.au/import/arrival/arrangements/requireme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2" ma:contentTypeDescription="Create a new document." ma:contentTypeScope="" ma:versionID="a5143e1911898fb410846de8a0990f3a">
  <xsd:schema xmlns:xsd="http://www.w3.org/2001/XMLSchema" xmlns:xs="http://www.w3.org/2001/XMLSchema" xmlns:p="http://schemas.microsoft.com/office/2006/metadata/properties" xmlns:ns2="762d8928-0daf-4069-9c35-589ded0002d7" xmlns:ns3="8c858643-2136-437b-905a-79b326f4e2e1" targetNamespace="http://schemas.microsoft.com/office/2006/metadata/properties" ma:root="true" ma:fieldsID="3ddc4ab734e31693bfea367a65f88b4a" ns2:_="" ns3:_="">
    <xsd:import namespace="762d8928-0daf-4069-9c35-589ded0002d7"/>
    <xsd:import namespace="8c858643-2136-437b-905a-79b326f4e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14EE8F9-7FB7-4AC5-987C-68DACEB0A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2300D-EE46-42A1-96C4-56A38208C23E}">
  <ds:schemaRefs>
    <ds:schemaRef ds:uri="http://schemas.microsoft.com/sharepoint/v3/contenttype/forms"/>
  </ds:schemaRefs>
</ds:datastoreItem>
</file>

<file path=customXml/itemProps3.xml><?xml version="1.0" encoding="utf-8"?>
<ds:datastoreItem xmlns:ds="http://schemas.openxmlformats.org/officeDocument/2006/customXml" ds:itemID="{E866C340-3AEA-4ADD-9F1E-DAF3945D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25704-1CE3-4D37-8597-0858A7E93FEB}">
  <ds:schemaRefs>
    <ds:schemaRef ds:uri="http://purl.org/dc/terms/"/>
    <ds:schemaRef ds:uri="http://schemas.openxmlformats.org/package/2006/metadata/core-properties"/>
    <ds:schemaRef ds:uri="8c858643-2136-437b-905a-79b326f4e2e1"/>
    <ds:schemaRef ds:uri="http://schemas.microsoft.com/office/2006/documentManagement/types"/>
    <ds:schemaRef ds:uri="http://schemas.microsoft.com/office/infopath/2007/PartnerControls"/>
    <ds:schemaRef ds:uri="http://purl.org/dc/elements/1.1/"/>
    <ds:schemaRef ds:uri="http://schemas.microsoft.com/office/2006/metadata/properties"/>
    <ds:schemaRef ds:uri="762d8928-0daf-4069-9c35-589ded0002d7"/>
    <ds:schemaRef ds:uri="http://www.w3.org/XML/1998/namespace"/>
    <ds:schemaRef ds:uri="http://purl.org/dc/dcmitype/"/>
  </ds:schemaRefs>
</ds:datastoreItem>
</file>

<file path=customXml/itemProps5.xml><?xml version="1.0" encoding="utf-8"?>
<ds:datastoreItem xmlns:ds="http://schemas.openxmlformats.org/officeDocument/2006/customXml" ds:itemID="{5815E2EF-DEBF-47FD-B38A-39208AC4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3936</Words>
  <Characters>22438</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Non-commodity information requirements policy</vt:lpstr>
    </vt:vector>
  </TitlesOfParts>
  <LinksUpToDate>false</LinksUpToDate>
  <CharactersWithSpaces>26322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Non-commodity information requirements policy</dc:title>
  <dc:subject/>
  <dc:creator>Department of Agriculture, Water and the Environment</dc:creator>
  <cp:keywords/>
  <cp:lastPrinted>2017-11-14T20:57:00Z</cp:lastPrinted>
  <dcterms:created xsi:type="dcterms:W3CDTF">2021-09-08T22:31:00Z</dcterms:created>
  <dcterms:modified xsi:type="dcterms:W3CDTF">2021-10-28T22:33:00Z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ies>
</file>