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46A" w:rsidRPr="00B55CBF" w:rsidRDefault="0074246A" w:rsidP="0074246A">
      <w:pPr>
        <w:jc w:val="center"/>
        <w:rPr>
          <w:b/>
        </w:rPr>
      </w:pPr>
      <w:bookmarkStart w:id="0" w:name="_GoBack"/>
      <w:bookmarkEnd w:id="0"/>
      <w:r w:rsidRPr="00B55CBF">
        <w:rPr>
          <w:b/>
        </w:rPr>
        <w:t>ENVIRONMENT AND INVASIVES COMMITTEE</w:t>
      </w:r>
    </w:p>
    <w:p w:rsidR="0074246A" w:rsidRDefault="0074246A" w:rsidP="0074246A">
      <w:pPr>
        <w:jc w:val="center"/>
        <w:rPr>
          <w:b/>
          <w:sz w:val="22"/>
        </w:rPr>
      </w:pPr>
      <w:r w:rsidRPr="00B55CBF">
        <w:rPr>
          <w:b/>
          <w:sz w:val="22"/>
        </w:rPr>
        <w:t>Sectoral Committee of the National Biosecurity Committee</w:t>
      </w:r>
    </w:p>
    <w:p w:rsidR="0074246A" w:rsidRPr="00B55CBF" w:rsidRDefault="0074246A" w:rsidP="0074246A">
      <w:pPr>
        <w:pStyle w:val="Heading1"/>
        <w:numPr>
          <w:ilvl w:val="0"/>
          <w:numId w:val="0"/>
        </w:numPr>
        <w:spacing w:before="0"/>
        <w:jc w:val="center"/>
        <w:rPr>
          <w:color w:val="auto"/>
          <w:sz w:val="24"/>
        </w:rPr>
      </w:pPr>
      <w:bookmarkStart w:id="1" w:name="_Toc511735679"/>
      <w:r w:rsidRPr="00B55CBF">
        <w:rPr>
          <w:color w:val="auto"/>
          <w:sz w:val="24"/>
        </w:rPr>
        <w:t>TERMS OF REFERENCE</w:t>
      </w:r>
      <w:bookmarkEnd w:id="1"/>
    </w:p>
    <w:p w:rsidR="0074246A" w:rsidRPr="00F72CC2" w:rsidRDefault="0074246A" w:rsidP="0074246A">
      <w:pPr>
        <w:rPr>
          <w:rStyle w:val="Strong"/>
        </w:rPr>
      </w:pPr>
      <w:r w:rsidRPr="00F72CC2">
        <w:rPr>
          <w:rStyle w:val="Strong"/>
        </w:rPr>
        <w:t xml:space="preserve">Purpose </w:t>
      </w:r>
      <w:r w:rsidRPr="00F72CC2">
        <w:rPr>
          <w:rStyle w:val="Strong"/>
        </w:rPr>
        <w:tab/>
      </w:r>
    </w:p>
    <w:p w:rsidR="0074246A" w:rsidRPr="00AC6827" w:rsidRDefault="0074246A" w:rsidP="0074246A">
      <w:r w:rsidRPr="00B81E6A">
        <w:rPr>
          <w:rFonts w:cs="Arial"/>
        </w:rPr>
        <w:t xml:space="preserve">The </w:t>
      </w:r>
      <w:r>
        <w:rPr>
          <w:rFonts w:cs="Arial"/>
        </w:rPr>
        <w:t>Environment and Invasives Committee</w:t>
      </w:r>
      <w:r w:rsidRPr="00A316FC">
        <w:rPr>
          <w:rFonts w:cs="Arial"/>
        </w:rPr>
        <w:t xml:space="preserve"> (</w:t>
      </w:r>
      <w:r>
        <w:rPr>
          <w:rFonts w:cs="Arial"/>
        </w:rPr>
        <w:t>EIC</w:t>
      </w:r>
      <w:r w:rsidRPr="00A316FC">
        <w:rPr>
          <w:rFonts w:cs="Arial"/>
        </w:rPr>
        <w:t>)</w:t>
      </w:r>
      <w:r w:rsidRPr="00AC6827">
        <w:rPr>
          <w:rFonts w:cs="Arial"/>
        </w:rPr>
        <w:t xml:space="preserve"> will provide national policy leadership on the identification, prevention and management of invasive</w:t>
      </w:r>
      <w:r w:rsidRPr="00AC6827">
        <w:rPr>
          <w:rStyle w:val="FootnoteReference"/>
          <w:rFonts w:asciiTheme="minorHAnsi" w:eastAsiaTheme="majorEastAsia" w:hAnsiTheme="minorHAnsi" w:cs="Arial"/>
        </w:rPr>
        <w:footnoteReference w:id="1"/>
      </w:r>
      <w:r w:rsidRPr="00AC6827">
        <w:rPr>
          <w:rFonts w:cs="Arial"/>
        </w:rPr>
        <w:t xml:space="preserve"> </w:t>
      </w:r>
      <w:r>
        <w:rPr>
          <w:rFonts w:cs="Arial"/>
        </w:rPr>
        <w:t>plant, vertebrate and invertebrate</w:t>
      </w:r>
      <w:r w:rsidRPr="00AC6827">
        <w:rPr>
          <w:rFonts w:cs="Arial"/>
        </w:rPr>
        <w:t xml:space="preserve"> species</w:t>
      </w:r>
      <w:r w:rsidRPr="00AC6827">
        <w:t xml:space="preserve"> </w:t>
      </w:r>
      <w:r>
        <w:t xml:space="preserve">that adversely </w:t>
      </w:r>
      <w:r w:rsidRPr="007D381E">
        <w:t>impact the environment, economy and community</w:t>
      </w:r>
      <w:r w:rsidRPr="00AC6827">
        <w:t xml:space="preserve">. </w:t>
      </w:r>
      <w:r w:rsidRPr="00AC6827">
        <w:rPr>
          <w:rFonts w:cs="Arial"/>
        </w:rPr>
        <w:t>The committee will provide a national mechanism for identification and resolution of national priorities on</w:t>
      </w:r>
      <w:r>
        <w:rPr>
          <w:rFonts w:cs="Arial"/>
        </w:rPr>
        <w:t xml:space="preserve"> freshwater aquatic</w:t>
      </w:r>
      <w:r w:rsidRPr="00AC6827">
        <w:t xml:space="preserve"> and terrestrial </w:t>
      </w:r>
      <w:r>
        <w:t xml:space="preserve">invasive species and </w:t>
      </w:r>
      <w:r w:rsidRPr="00AC6827">
        <w:t xml:space="preserve">any other species </w:t>
      </w:r>
      <w:r w:rsidRPr="00AC6827">
        <w:rPr>
          <w:rFonts w:cs="Arial"/>
        </w:rPr>
        <w:t xml:space="preserve">where there is an environmental </w:t>
      </w:r>
      <w:r>
        <w:rPr>
          <w:rFonts w:cs="Arial"/>
        </w:rPr>
        <w:t xml:space="preserve">or community </w:t>
      </w:r>
      <w:r w:rsidRPr="00AC6827">
        <w:rPr>
          <w:rFonts w:cs="Arial"/>
        </w:rPr>
        <w:t>b</w:t>
      </w:r>
      <w:r>
        <w:rPr>
          <w:rFonts w:cs="Arial"/>
        </w:rPr>
        <w:t>iosecurity</w:t>
      </w:r>
      <w:r w:rsidRPr="00AC6827">
        <w:rPr>
          <w:rStyle w:val="FootnoteReference"/>
          <w:rFonts w:asciiTheme="minorHAnsi" w:eastAsiaTheme="majorEastAsia" w:hAnsiTheme="minorHAnsi" w:cs="Arial"/>
        </w:rPr>
        <w:footnoteReference w:id="2"/>
      </w:r>
      <w:r w:rsidRPr="00AC6827">
        <w:rPr>
          <w:rFonts w:cs="Arial"/>
        </w:rPr>
        <w:t xml:space="preserve"> </w:t>
      </w:r>
      <w:r>
        <w:rPr>
          <w:rFonts w:cs="Arial"/>
        </w:rPr>
        <w:t>impact where it is</w:t>
      </w:r>
      <w:r w:rsidRPr="00AC6827">
        <w:rPr>
          <w:rFonts w:cs="Arial"/>
        </w:rPr>
        <w:t xml:space="preserve"> found not to be the responsibility of any other sectoral committee.</w:t>
      </w:r>
    </w:p>
    <w:p w:rsidR="0074246A" w:rsidRPr="00AC6827" w:rsidRDefault="0074246A" w:rsidP="0074246A">
      <w:pPr>
        <w:rPr>
          <w:rFonts w:cs="Arial"/>
        </w:rPr>
      </w:pPr>
      <w:r>
        <w:rPr>
          <w:rFonts w:cs="Arial"/>
        </w:rPr>
        <w:t xml:space="preserve">It </w:t>
      </w:r>
      <w:r w:rsidRPr="00AC6827">
        <w:rPr>
          <w:rFonts w:cs="Arial"/>
        </w:rPr>
        <w:t xml:space="preserve">will also provide national policy leadership on environmental biosecurity more broadly, including </w:t>
      </w:r>
      <w:r>
        <w:rPr>
          <w:rFonts w:cs="Arial"/>
        </w:rPr>
        <w:t xml:space="preserve">engaging with stakeholders and </w:t>
      </w:r>
      <w:r w:rsidRPr="00AC6827">
        <w:rPr>
          <w:rFonts w:cs="Arial"/>
        </w:rPr>
        <w:t>working with other national sectoral committees to provide the National Biosecurity Committee (NBC) with consistent and consolidated advice on environmental biosecurity issues across the national biosecurity system.</w:t>
      </w:r>
    </w:p>
    <w:p w:rsidR="0074246A" w:rsidRPr="00F72CC2" w:rsidRDefault="0074246A" w:rsidP="0074246A">
      <w:pPr>
        <w:rPr>
          <w:b/>
        </w:rPr>
      </w:pPr>
      <w:r>
        <w:rPr>
          <w:b/>
        </w:rPr>
        <w:t>Roles and Responsibilities</w:t>
      </w:r>
    </w:p>
    <w:p w:rsidR="0074246A" w:rsidRPr="00AE2832" w:rsidRDefault="0074246A" w:rsidP="0074246A">
      <w:pPr>
        <w:ind w:left="360" w:hanging="360"/>
        <w:rPr>
          <w:rFonts w:asciiTheme="minorHAnsi" w:hAnsiTheme="minorHAnsi"/>
        </w:rPr>
      </w:pPr>
      <w:r>
        <w:rPr>
          <w:rFonts w:asciiTheme="minorHAnsi" w:hAnsiTheme="minorHAnsi"/>
        </w:rPr>
        <w:t>The EIC will provide n</w:t>
      </w:r>
      <w:r w:rsidRPr="00AE2832">
        <w:rPr>
          <w:rFonts w:asciiTheme="minorHAnsi" w:hAnsiTheme="minorHAnsi"/>
        </w:rPr>
        <w:t xml:space="preserve">ational policy leadership </w:t>
      </w:r>
      <w:r>
        <w:rPr>
          <w:rFonts w:asciiTheme="minorHAnsi" w:hAnsiTheme="minorHAnsi"/>
        </w:rPr>
        <w:t>by</w:t>
      </w:r>
      <w:r w:rsidRPr="00AE2832">
        <w:rPr>
          <w:rFonts w:asciiTheme="minorHAnsi" w:hAnsiTheme="minorHAnsi"/>
        </w:rPr>
        <w:t>:</w:t>
      </w:r>
    </w:p>
    <w:p w:rsidR="0074246A" w:rsidRDefault="0074246A" w:rsidP="0074246A">
      <w:pPr>
        <w:pStyle w:val="ListParagraph"/>
        <w:numPr>
          <w:ilvl w:val="0"/>
          <w:numId w:val="5"/>
        </w:numPr>
        <w:ind w:right="-213" w:hanging="357"/>
        <w:contextualSpacing w:val="0"/>
      </w:pPr>
      <w:proofErr w:type="gramStart"/>
      <w:r>
        <w:rPr>
          <w:rFonts w:cs="Arial"/>
        </w:rPr>
        <w:t>delivering</w:t>
      </w:r>
      <w:proofErr w:type="gramEnd"/>
      <w:r>
        <w:rPr>
          <w:rFonts w:cs="Arial"/>
        </w:rPr>
        <w:t xml:space="preserve"> </w:t>
      </w:r>
      <w:r w:rsidRPr="00AE2832">
        <w:rPr>
          <w:rFonts w:cs="Arial"/>
        </w:rPr>
        <w:t>an integrated and effective national approach to the prevention</w:t>
      </w:r>
      <w:r>
        <w:rPr>
          <w:rFonts w:cs="Arial"/>
        </w:rPr>
        <w:t>,</w:t>
      </w:r>
      <w:r w:rsidRPr="00AE2832">
        <w:rPr>
          <w:rFonts w:cs="Arial"/>
        </w:rPr>
        <w:t xml:space="preserve"> </w:t>
      </w:r>
      <w:r>
        <w:t>detection</w:t>
      </w:r>
      <w:r w:rsidRPr="00AE2832">
        <w:t>, identif</w:t>
      </w:r>
      <w:r>
        <w:t>ication</w:t>
      </w:r>
      <w:r w:rsidRPr="00AE2832">
        <w:t xml:space="preserve">, </w:t>
      </w:r>
      <w:r>
        <w:t>response and management</w:t>
      </w:r>
      <w:r w:rsidRPr="00AE2832">
        <w:t xml:space="preserve"> </w:t>
      </w:r>
      <w:r w:rsidRPr="00AE2832">
        <w:rPr>
          <w:rFonts w:cs="Arial"/>
        </w:rPr>
        <w:t xml:space="preserve">of </w:t>
      </w:r>
      <w:r w:rsidRPr="00AE2832">
        <w:t>emerging and established invasive species that affect the environment, the economy and the community</w:t>
      </w:r>
      <w:r>
        <w:t>.</w:t>
      </w:r>
    </w:p>
    <w:p w:rsidR="0074246A" w:rsidRDefault="0074246A" w:rsidP="0074246A">
      <w:pPr>
        <w:pStyle w:val="ListParagraph"/>
        <w:numPr>
          <w:ilvl w:val="0"/>
          <w:numId w:val="5"/>
        </w:numPr>
        <w:spacing w:before="100" w:beforeAutospacing="1" w:after="100" w:afterAutospacing="1"/>
        <w:ind w:right="-213"/>
      </w:pPr>
      <w:proofErr w:type="gramStart"/>
      <w:r w:rsidRPr="00396D5B">
        <w:t>supporting</w:t>
      </w:r>
      <w:proofErr w:type="gramEnd"/>
      <w:r w:rsidRPr="00396D5B">
        <w:t xml:space="preserve"> the development and implementation of a nationally consistent and effective approach to biological control programs, activities and associated governance, administrative and legislative processes (where relevant). This includes the consideration of nominations of plant and vertebrate target species for biological control activities, both in individual jurisdictions and nationally. </w:t>
      </w:r>
    </w:p>
    <w:p w:rsidR="0074246A" w:rsidRDefault="0074246A" w:rsidP="0074246A">
      <w:pPr>
        <w:pStyle w:val="ListParagraph"/>
        <w:numPr>
          <w:ilvl w:val="0"/>
          <w:numId w:val="5"/>
        </w:numPr>
        <w:ind w:right="-213" w:hanging="357"/>
        <w:contextualSpacing w:val="0"/>
      </w:pPr>
      <w:r w:rsidRPr="00AE2832">
        <w:t>develop</w:t>
      </w:r>
      <w:r>
        <w:t>ing</w:t>
      </w:r>
      <w:r w:rsidRPr="00AE2832">
        <w:t xml:space="preserve"> and implement</w:t>
      </w:r>
      <w:r>
        <w:t>ing national strategies</w:t>
      </w:r>
      <w:r w:rsidRPr="00AE2832">
        <w:t xml:space="preserve"> </w:t>
      </w:r>
      <w:r>
        <w:t>to:</w:t>
      </w:r>
    </w:p>
    <w:p w:rsidR="0074246A" w:rsidRPr="00AE2832" w:rsidRDefault="0074246A" w:rsidP="00931616">
      <w:pPr>
        <w:pStyle w:val="ListParagraph"/>
        <w:numPr>
          <w:ilvl w:val="1"/>
          <w:numId w:val="5"/>
        </w:numPr>
        <w:ind w:left="709" w:right="-213" w:hanging="283"/>
        <w:contextualSpacing w:val="0"/>
      </w:pPr>
      <w:r w:rsidRPr="00AE2832">
        <w:t>ensur</w:t>
      </w:r>
      <w:r>
        <w:t>e</w:t>
      </w:r>
      <w:r w:rsidRPr="00AE2832">
        <w:t xml:space="preserve"> a clear governance structure for the management of relevant species</w:t>
      </w:r>
      <w:r>
        <w:t xml:space="preserve"> of national importance</w:t>
      </w:r>
      <w:r w:rsidRPr="00AE2832">
        <w:t xml:space="preserve"> within the national biosecurity system</w:t>
      </w:r>
      <w:r>
        <w:t>, and</w:t>
      </w:r>
    </w:p>
    <w:p w:rsidR="0074246A" w:rsidRDefault="0074246A" w:rsidP="00931616">
      <w:pPr>
        <w:pStyle w:val="ListParagraph"/>
        <w:numPr>
          <w:ilvl w:val="1"/>
          <w:numId w:val="5"/>
        </w:numPr>
        <w:ind w:left="709" w:right="-213" w:hanging="283"/>
        <w:contextualSpacing w:val="0"/>
      </w:pPr>
      <w:proofErr w:type="gramStart"/>
      <w:r w:rsidRPr="00AE2832">
        <w:t>prioritis</w:t>
      </w:r>
      <w:r>
        <w:t>e</w:t>
      </w:r>
      <w:proofErr w:type="gramEnd"/>
      <w:r w:rsidRPr="00AE2832">
        <w:t xml:space="preserve"> research, development and extension </w:t>
      </w:r>
      <w:r>
        <w:t>in invasive species biosecurity.</w:t>
      </w:r>
    </w:p>
    <w:p w:rsidR="0074246A" w:rsidRDefault="0074246A" w:rsidP="0074246A">
      <w:pPr>
        <w:pStyle w:val="ListParagraph"/>
        <w:numPr>
          <w:ilvl w:val="0"/>
          <w:numId w:val="5"/>
        </w:numPr>
        <w:ind w:right="-213"/>
        <w:contextualSpacing w:val="0"/>
      </w:pPr>
      <w:proofErr w:type="gramStart"/>
      <w:r w:rsidRPr="001E1A44">
        <w:t>supporting</w:t>
      </w:r>
      <w:proofErr w:type="gramEnd"/>
      <w:r w:rsidRPr="001E1A44">
        <w:t xml:space="preserve"> national communication and stakeholder engagement on invasive species, including leading engagement with environmental biosecurity stakeholders.</w:t>
      </w:r>
    </w:p>
    <w:p w:rsidR="0074246A" w:rsidRDefault="0074246A" w:rsidP="0074246A">
      <w:pPr>
        <w:pStyle w:val="ListParagraph"/>
        <w:numPr>
          <w:ilvl w:val="0"/>
          <w:numId w:val="5"/>
        </w:numPr>
        <w:ind w:right="-213" w:hanging="357"/>
        <w:contextualSpacing w:val="0"/>
      </w:pPr>
      <w:r>
        <w:t xml:space="preserve">assisting </w:t>
      </w:r>
      <w:r w:rsidRPr="00AE2832">
        <w:t xml:space="preserve">the </w:t>
      </w:r>
      <w:r>
        <w:t>efforts of the Commonwealth</w:t>
      </w:r>
      <w:r w:rsidRPr="00AE2832">
        <w:t xml:space="preserve"> to meet </w:t>
      </w:r>
      <w:r>
        <w:t>Australia’s</w:t>
      </w:r>
      <w:r w:rsidRPr="00AE2832">
        <w:t xml:space="preserve"> obligations under</w:t>
      </w:r>
      <w:r>
        <w:t xml:space="preserve"> multilateral environmental agreements, being</w:t>
      </w:r>
      <w:r w:rsidRPr="00AE2832">
        <w:t xml:space="preserve"> the </w:t>
      </w:r>
      <w:r w:rsidRPr="00696FDE">
        <w:rPr>
          <w:i/>
        </w:rPr>
        <w:t>Convention on Biological Diversity</w:t>
      </w:r>
      <w:r w:rsidRPr="00AE2832">
        <w:t xml:space="preserve"> </w:t>
      </w:r>
      <w:r>
        <w:t xml:space="preserve">(CBD) and the </w:t>
      </w:r>
      <w:r w:rsidRPr="00696FDE">
        <w:rPr>
          <w:i/>
        </w:rPr>
        <w:t xml:space="preserve">Sustainable Development Agenda and the Sustainable Development Goals </w:t>
      </w:r>
      <w:r>
        <w:t xml:space="preserve">(SDG) </w:t>
      </w:r>
      <w:r w:rsidRPr="007A571E">
        <w:t>as</w:t>
      </w:r>
      <w:r w:rsidRPr="00AE2832">
        <w:t xml:space="preserve"> they relate to environmental biosecurity</w:t>
      </w:r>
      <w:r>
        <w:t>:</w:t>
      </w:r>
    </w:p>
    <w:p w:rsidR="0074246A" w:rsidRPr="00E22224" w:rsidRDefault="0074246A" w:rsidP="00931616">
      <w:pPr>
        <w:pStyle w:val="ListNumber"/>
        <w:numPr>
          <w:ilvl w:val="1"/>
          <w:numId w:val="5"/>
        </w:numPr>
        <w:spacing w:before="120" w:beforeAutospacing="0" w:after="120" w:afterAutospacing="0" w:line="240" w:lineRule="auto"/>
        <w:ind w:left="709" w:hanging="283"/>
        <w:rPr>
          <w:i w:val="0"/>
        </w:rPr>
      </w:pPr>
      <w:r w:rsidRPr="00E22224">
        <w:rPr>
          <w:i w:val="0"/>
        </w:rPr>
        <w:lastRenderedPageBreak/>
        <w:t xml:space="preserve">CBD Aichi Biodiversity Target 9: By 2020, invasive alien species and pathways are identified and prioritized, priority species are controlled or eradicated, and measures are in place to manage pathways to prevent their introduction and establishment, </w:t>
      </w:r>
    </w:p>
    <w:p w:rsidR="0074246A" w:rsidRPr="00E22224" w:rsidRDefault="0074246A" w:rsidP="00931616">
      <w:pPr>
        <w:pStyle w:val="ListNumber"/>
        <w:numPr>
          <w:ilvl w:val="1"/>
          <w:numId w:val="5"/>
        </w:numPr>
        <w:spacing w:before="120" w:beforeAutospacing="0" w:after="120" w:afterAutospacing="0" w:line="240" w:lineRule="auto"/>
        <w:ind w:left="709" w:hanging="283"/>
        <w:rPr>
          <w:i w:val="0"/>
        </w:rPr>
      </w:pPr>
      <w:r w:rsidRPr="00E22224">
        <w:rPr>
          <w:i w:val="0"/>
        </w:rPr>
        <w:t>SDG 15.8: By 2020, introduce measures to prevent the introduction and significantly reduce the impact of invasive alien species on land and water ecosystems and control or eradicate the priority species</w:t>
      </w:r>
    </w:p>
    <w:p w:rsidR="0074246A" w:rsidRPr="00E22224" w:rsidRDefault="0074246A" w:rsidP="00931616">
      <w:pPr>
        <w:pStyle w:val="ListNumber"/>
        <w:numPr>
          <w:ilvl w:val="2"/>
          <w:numId w:val="5"/>
        </w:numPr>
        <w:spacing w:before="120" w:beforeAutospacing="0" w:after="120" w:afterAutospacing="0" w:line="240" w:lineRule="auto"/>
        <w:ind w:left="993" w:hanging="142"/>
        <w:rPr>
          <w:i w:val="0"/>
        </w:rPr>
      </w:pPr>
      <w:r w:rsidRPr="00E22224">
        <w:rPr>
          <w:i w:val="0"/>
        </w:rPr>
        <w:t>Indicator 15.8.1: Proportion of countries adopting relevant national legislation and adequately resourcing the prevention or control of invasive alien species [indicator methodology still under development].</w:t>
      </w:r>
    </w:p>
    <w:p w:rsidR="0074246A" w:rsidRDefault="0074246A" w:rsidP="0074246A">
      <w:pPr>
        <w:pStyle w:val="ListParagraph"/>
        <w:numPr>
          <w:ilvl w:val="0"/>
          <w:numId w:val="5"/>
        </w:numPr>
        <w:spacing w:before="0" w:after="0"/>
        <w:ind w:left="357" w:right="-215" w:hanging="357"/>
      </w:pPr>
      <w:proofErr w:type="gramStart"/>
      <w:r w:rsidRPr="00AE2832">
        <w:t>providing</w:t>
      </w:r>
      <w:proofErr w:type="gramEnd"/>
      <w:r w:rsidRPr="00AE2832">
        <w:t xml:space="preserve"> th</w:t>
      </w:r>
      <w:r>
        <w:t>e NBC</w:t>
      </w:r>
      <w:r w:rsidRPr="00AE2832">
        <w:t xml:space="preserve"> with advice on national invasive species policy issues</w:t>
      </w:r>
      <w:r>
        <w:t xml:space="preserve"> and the </w:t>
      </w:r>
      <w:r w:rsidRPr="00AE2832">
        <w:t>National Environmental Biosecurity Response Agreement</w:t>
      </w:r>
      <w:r>
        <w:t xml:space="preserve"> (NEBRA).</w:t>
      </w:r>
    </w:p>
    <w:p w:rsidR="0074246A" w:rsidRDefault="0074246A" w:rsidP="0074246A">
      <w:pPr>
        <w:rPr>
          <w:rFonts w:asciiTheme="minorHAnsi" w:hAnsiTheme="minorHAnsi" w:cs="Arial"/>
          <w:b/>
        </w:rPr>
      </w:pPr>
      <w:r>
        <w:rPr>
          <w:rFonts w:asciiTheme="minorHAnsi" w:hAnsiTheme="minorHAnsi" w:cs="Arial"/>
          <w:b/>
        </w:rPr>
        <w:t>Chair</w:t>
      </w:r>
    </w:p>
    <w:p w:rsidR="0074246A" w:rsidRPr="00B55CBF" w:rsidRDefault="0074246A" w:rsidP="0074246A">
      <w:pPr>
        <w:rPr>
          <w:b/>
          <w:bCs/>
        </w:rPr>
      </w:pPr>
      <w:r>
        <w:rPr>
          <w:rFonts w:asciiTheme="minorHAnsi" w:hAnsiTheme="minorHAnsi" w:cs="Arial"/>
        </w:rPr>
        <w:t>T</w:t>
      </w:r>
      <w:r w:rsidRPr="00AC6827">
        <w:rPr>
          <w:rFonts w:asciiTheme="minorHAnsi" w:hAnsiTheme="minorHAnsi" w:cs="Arial"/>
        </w:rPr>
        <w:t>he Chair of the</w:t>
      </w:r>
      <w:r w:rsidRPr="004628D6">
        <w:rPr>
          <w:rFonts w:asciiTheme="minorHAnsi" w:hAnsiTheme="minorHAnsi" w:cs="Arial"/>
        </w:rPr>
        <w:t xml:space="preserve"> </w:t>
      </w:r>
      <w:r>
        <w:rPr>
          <w:rFonts w:asciiTheme="minorHAnsi" w:hAnsiTheme="minorHAnsi"/>
        </w:rPr>
        <w:t xml:space="preserve">EIC </w:t>
      </w:r>
      <w:r w:rsidRPr="00AC6827">
        <w:rPr>
          <w:rFonts w:asciiTheme="minorHAnsi" w:hAnsiTheme="minorHAnsi" w:cs="Arial"/>
        </w:rPr>
        <w:t xml:space="preserve">must be a member of the NBC and will rotate every two years.  </w:t>
      </w:r>
    </w:p>
    <w:p w:rsidR="0074246A" w:rsidRPr="00B55CBF" w:rsidRDefault="0074246A" w:rsidP="0074246A">
      <w:pPr>
        <w:rPr>
          <w:rFonts w:asciiTheme="minorHAnsi" w:hAnsiTheme="minorHAnsi" w:cs="Arial"/>
          <w:b/>
        </w:rPr>
      </w:pPr>
      <w:r>
        <w:rPr>
          <w:rFonts w:asciiTheme="minorHAnsi" w:hAnsiTheme="minorHAnsi" w:cs="Arial"/>
          <w:b/>
        </w:rPr>
        <w:t>Membership</w:t>
      </w:r>
    </w:p>
    <w:p w:rsidR="0074246A" w:rsidRPr="00AC6827" w:rsidRDefault="0074246A" w:rsidP="0074246A">
      <w:pPr>
        <w:rPr>
          <w:rFonts w:asciiTheme="minorHAnsi" w:hAnsiTheme="minorHAnsi" w:cs="Arial"/>
        </w:rPr>
      </w:pPr>
      <w:r w:rsidRPr="00AC6827">
        <w:rPr>
          <w:rFonts w:asciiTheme="minorHAnsi" w:hAnsiTheme="minorHAnsi" w:cs="Arial"/>
        </w:rPr>
        <w:t>One member representing the Commonwealth and each state and territory jurisdiction.</w:t>
      </w:r>
    </w:p>
    <w:p w:rsidR="0074246A" w:rsidRDefault="0074246A" w:rsidP="00931616">
      <w:pPr>
        <w:rPr>
          <w:rFonts w:asciiTheme="minorHAnsi" w:hAnsiTheme="minorHAnsi" w:cs="Arial"/>
        </w:rPr>
      </w:pPr>
      <w:r>
        <w:rPr>
          <w:rFonts w:asciiTheme="minorHAnsi" w:hAnsiTheme="minorHAnsi" w:cs="Arial"/>
        </w:rPr>
        <w:t>To ensure coverage of both general biosecurity and environmental biosecurity, m</w:t>
      </w:r>
      <w:r w:rsidRPr="00AC6827">
        <w:rPr>
          <w:rFonts w:asciiTheme="minorHAnsi" w:hAnsiTheme="minorHAnsi" w:cs="Arial"/>
        </w:rPr>
        <w:t xml:space="preserve">embership may </w:t>
      </w:r>
      <w:r>
        <w:rPr>
          <w:rFonts w:asciiTheme="minorHAnsi" w:hAnsiTheme="minorHAnsi" w:cs="Arial"/>
        </w:rPr>
        <w:t>comprise</w:t>
      </w:r>
      <w:r w:rsidRPr="00AC6827">
        <w:rPr>
          <w:rFonts w:asciiTheme="minorHAnsi" w:hAnsiTheme="minorHAnsi" w:cs="Arial"/>
        </w:rPr>
        <w:t xml:space="preserve"> up to two officials from relevant agencies</w:t>
      </w:r>
      <w:r>
        <w:rPr>
          <w:rFonts w:asciiTheme="minorHAnsi" w:hAnsiTheme="minorHAnsi" w:cs="Arial"/>
        </w:rPr>
        <w:t>. However, jurisdictional members</w:t>
      </w:r>
      <w:r w:rsidRPr="00AC6827">
        <w:rPr>
          <w:rFonts w:asciiTheme="minorHAnsi" w:hAnsiTheme="minorHAnsi" w:cs="Arial"/>
        </w:rPr>
        <w:t xml:space="preserve"> must bring a single jurisdictional view to the meeting.</w:t>
      </w:r>
      <w:r>
        <w:rPr>
          <w:rFonts w:asciiTheme="minorHAnsi" w:hAnsiTheme="minorHAnsi" w:cs="Arial"/>
        </w:rPr>
        <w:t xml:space="preserve"> Accordingly, the below table will be updated to reflect any additional agencies. </w:t>
      </w:r>
    </w:p>
    <w:tbl>
      <w:tblPr>
        <w:tblStyle w:val="TableGrid"/>
        <w:tblW w:w="9349" w:type="dxa"/>
        <w:tblInd w:w="-5" w:type="dxa"/>
        <w:tblLayout w:type="fixed"/>
        <w:tblLook w:val="04A0" w:firstRow="1" w:lastRow="0" w:firstColumn="1" w:lastColumn="0" w:noHBand="0" w:noVBand="1"/>
      </w:tblPr>
      <w:tblGrid>
        <w:gridCol w:w="2240"/>
        <w:gridCol w:w="7109"/>
      </w:tblGrid>
      <w:tr w:rsidR="0074246A" w:rsidRPr="00AC6827" w:rsidTr="00A95545">
        <w:trPr>
          <w:trHeight w:val="296"/>
        </w:trPr>
        <w:tc>
          <w:tcPr>
            <w:tcW w:w="2240" w:type="dxa"/>
          </w:tcPr>
          <w:p w:rsidR="0074246A" w:rsidRPr="00AC6827" w:rsidRDefault="0074246A" w:rsidP="003A2B7D">
            <w:pPr>
              <w:overflowPunct w:val="0"/>
              <w:autoSpaceDE w:val="0"/>
              <w:autoSpaceDN w:val="0"/>
              <w:adjustRightInd w:val="0"/>
              <w:rPr>
                <w:rFonts w:asciiTheme="minorHAnsi" w:hAnsiTheme="minorHAnsi" w:cs="Arial"/>
                <w:b/>
              </w:rPr>
            </w:pPr>
            <w:r w:rsidRPr="00AC6827">
              <w:rPr>
                <w:rFonts w:asciiTheme="minorHAnsi" w:hAnsiTheme="minorHAnsi" w:cs="Arial"/>
                <w:b/>
              </w:rPr>
              <w:t>Jurisdiction</w:t>
            </w:r>
          </w:p>
        </w:tc>
        <w:tc>
          <w:tcPr>
            <w:tcW w:w="7109" w:type="dxa"/>
            <w:shd w:val="clear" w:color="auto" w:fill="auto"/>
          </w:tcPr>
          <w:p w:rsidR="0074246A" w:rsidRPr="00AC6827" w:rsidRDefault="0074246A" w:rsidP="003A2B7D">
            <w:pPr>
              <w:overflowPunct w:val="0"/>
              <w:autoSpaceDE w:val="0"/>
              <w:autoSpaceDN w:val="0"/>
              <w:adjustRightInd w:val="0"/>
              <w:rPr>
                <w:rFonts w:asciiTheme="minorHAnsi" w:hAnsiTheme="minorHAnsi" w:cs="Arial"/>
                <w:b/>
              </w:rPr>
            </w:pPr>
            <w:r w:rsidRPr="00696FDE">
              <w:rPr>
                <w:rFonts w:asciiTheme="minorHAnsi" w:hAnsiTheme="minorHAnsi" w:cs="Arial"/>
                <w:b/>
              </w:rPr>
              <w:t>Member Agency</w:t>
            </w:r>
            <w:r>
              <w:rPr>
                <w:rFonts w:asciiTheme="minorHAnsi" w:hAnsiTheme="minorHAnsi" w:cs="Arial"/>
                <w:b/>
              </w:rPr>
              <w:t xml:space="preserve"> </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Commonwealth</w:t>
            </w:r>
          </w:p>
        </w:tc>
        <w:tc>
          <w:tcPr>
            <w:tcW w:w="7109" w:type="dxa"/>
            <w:vAlign w:val="center"/>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Agri</w:t>
            </w:r>
            <w:r w:rsidR="007B52D4">
              <w:rPr>
                <w:rFonts w:asciiTheme="minorHAnsi" w:hAnsiTheme="minorHAnsi" w:cs="Arial"/>
              </w:rPr>
              <w:t>culture and Water Resources,</w:t>
            </w:r>
          </w:p>
          <w:p w:rsidR="0074246A"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the Environment and Energy</w:t>
            </w:r>
            <w:r w:rsidR="007B52D4">
              <w:rPr>
                <w:rFonts w:asciiTheme="minorHAnsi" w:hAnsiTheme="minorHAnsi" w:cs="Arial"/>
              </w:rPr>
              <w:t>, and</w:t>
            </w:r>
          </w:p>
          <w:p w:rsidR="007B52D4" w:rsidRPr="00AC6827" w:rsidRDefault="007B52D4" w:rsidP="003A2B7D">
            <w:pPr>
              <w:overflowPunct w:val="0"/>
              <w:autoSpaceDE w:val="0"/>
              <w:autoSpaceDN w:val="0"/>
              <w:adjustRightInd w:val="0"/>
              <w:rPr>
                <w:rFonts w:asciiTheme="minorHAnsi" w:hAnsiTheme="minorHAnsi" w:cs="Arial"/>
              </w:rPr>
            </w:pPr>
            <w:r>
              <w:rPr>
                <w:rFonts w:asciiTheme="minorHAnsi" w:hAnsiTheme="minorHAnsi" w:cs="Arial"/>
              </w:rPr>
              <w:t>Australian Chief Environmental Biosecurity Officer (CEBO)</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New South Wales</w:t>
            </w:r>
          </w:p>
        </w:tc>
        <w:tc>
          <w:tcPr>
            <w:tcW w:w="7109" w:type="dxa"/>
            <w:vAlign w:val="center"/>
          </w:tcPr>
          <w:p w:rsidR="0074246A"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Primary Industries</w:t>
            </w:r>
            <w:r w:rsidR="003F5824">
              <w:rPr>
                <w:rFonts w:asciiTheme="minorHAnsi" w:hAnsiTheme="minorHAnsi" w:cs="Arial"/>
              </w:rPr>
              <w:t>, and</w:t>
            </w:r>
          </w:p>
          <w:p w:rsidR="0074246A" w:rsidRPr="00F72CC2" w:rsidRDefault="0074246A" w:rsidP="003A2B7D">
            <w:pPr>
              <w:overflowPunct w:val="0"/>
              <w:autoSpaceDE w:val="0"/>
              <w:autoSpaceDN w:val="0"/>
              <w:adjustRightInd w:val="0"/>
              <w:rPr>
                <w:rFonts w:asciiTheme="minorHAnsi" w:hAnsiTheme="minorHAnsi" w:cs="Arial"/>
              </w:rPr>
            </w:pPr>
            <w:r w:rsidRPr="00F72CC2">
              <w:rPr>
                <w:rFonts w:asciiTheme="minorHAnsi" w:hAnsiTheme="minorHAnsi"/>
                <w:iCs/>
                <w:color w:val="000000"/>
                <w:szCs w:val="24"/>
                <w:lang w:val="en-US"/>
              </w:rPr>
              <w:t>Office of Environment and Heritage</w:t>
            </w:r>
          </w:p>
        </w:tc>
      </w:tr>
      <w:tr w:rsidR="003F5824" w:rsidRPr="00AC6827" w:rsidTr="00162E77">
        <w:trPr>
          <w:trHeight w:val="1076"/>
        </w:trPr>
        <w:tc>
          <w:tcPr>
            <w:tcW w:w="2240" w:type="dxa"/>
          </w:tcPr>
          <w:p w:rsidR="003F5824" w:rsidRPr="00AC6827" w:rsidRDefault="003F5824" w:rsidP="003A2B7D">
            <w:pPr>
              <w:overflowPunct w:val="0"/>
              <w:autoSpaceDE w:val="0"/>
              <w:autoSpaceDN w:val="0"/>
              <w:adjustRightInd w:val="0"/>
              <w:rPr>
                <w:rFonts w:asciiTheme="minorHAnsi" w:hAnsiTheme="minorHAnsi" w:cs="Arial"/>
              </w:rPr>
            </w:pPr>
            <w:r w:rsidRPr="00AC6827">
              <w:rPr>
                <w:rFonts w:asciiTheme="minorHAnsi" w:hAnsiTheme="minorHAnsi" w:cs="Arial"/>
              </w:rPr>
              <w:t>Queensland</w:t>
            </w:r>
          </w:p>
        </w:tc>
        <w:tc>
          <w:tcPr>
            <w:tcW w:w="7109" w:type="dxa"/>
            <w:vAlign w:val="center"/>
          </w:tcPr>
          <w:p w:rsidR="003F5824" w:rsidRPr="00AC6827" w:rsidRDefault="003F5824"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Agriculture and Fisheries</w:t>
            </w:r>
            <w:r>
              <w:rPr>
                <w:rFonts w:asciiTheme="minorHAnsi" w:hAnsiTheme="minorHAnsi" w:cs="Arial"/>
              </w:rPr>
              <w:t>, and</w:t>
            </w:r>
          </w:p>
          <w:p w:rsidR="003F5824" w:rsidRPr="00AC6827" w:rsidRDefault="003F5824" w:rsidP="003A2B7D">
            <w:pPr>
              <w:overflowPunct w:val="0"/>
              <w:autoSpaceDE w:val="0"/>
              <w:autoSpaceDN w:val="0"/>
              <w:adjustRightInd w:val="0"/>
              <w:rPr>
                <w:rFonts w:asciiTheme="minorHAnsi" w:hAnsiTheme="minorHAnsi" w:cs="Arial"/>
              </w:rPr>
            </w:pPr>
            <w:r>
              <w:rPr>
                <w:rFonts w:asciiTheme="minorHAnsi" w:hAnsiTheme="minorHAnsi" w:cs="Arial"/>
              </w:rPr>
              <w:t>Department of Environment and Science</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Northern Territory</w:t>
            </w:r>
          </w:p>
        </w:tc>
        <w:tc>
          <w:tcPr>
            <w:tcW w:w="7109" w:type="dxa"/>
            <w:vAlign w:val="center"/>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Environment and Natural Resources</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 xml:space="preserve">Tasmania </w:t>
            </w:r>
          </w:p>
        </w:tc>
        <w:tc>
          <w:tcPr>
            <w:tcW w:w="7109" w:type="dxa"/>
            <w:vAlign w:val="center"/>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Primary Industries, Parks, Water and Environment</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Western Australia</w:t>
            </w:r>
          </w:p>
        </w:tc>
        <w:tc>
          <w:tcPr>
            <w:tcW w:w="7109" w:type="dxa"/>
            <w:vAlign w:val="center"/>
          </w:tcPr>
          <w:p w:rsidR="0074246A"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 xml:space="preserve">Department of </w:t>
            </w:r>
            <w:r>
              <w:rPr>
                <w:rFonts w:asciiTheme="minorHAnsi" w:hAnsiTheme="minorHAnsi" w:cs="Arial"/>
              </w:rPr>
              <w:t>Primary Industries and Regional Development</w:t>
            </w:r>
          </w:p>
          <w:p w:rsidR="00DC2067" w:rsidRPr="00AC6827" w:rsidRDefault="00DC2067" w:rsidP="003A2B7D">
            <w:pPr>
              <w:overflowPunct w:val="0"/>
              <w:autoSpaceDE w:val="0"/>
              <w:autoSpaceDN w:val="0"/>
              <w:adjustRightInd w:val="0"/>
              <w:rPr>
                <w:rFonts w:asciiTheme="minorHAnsi" w:hAnsiTheme="minorHAnsi" w:cs="Arial"/>
              </w:rPr>
            </w:pPr>
            <w:r w:rsidRPr="00820649">
              <w:rPr>
                <w:szCs w:val="24"/>
              </w:rPr>
              <w:t>Department of Biodiversity, Conservation and Attractions</w:t>
            </w:r>
          </w:p>
        </w:tc>
      </w:tr>
      <w:tr w:rsidR="0074246A" w:rsidRPr="00AC6827" w:rsidTr="0074246A">
        <w:trPr>
          <w:cantSplit/>
        </w:trPr>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South Australia</w:t>
            </w:r>
          </w:p>
        </w:tc>
        <w:tc>
          <w:tcPr>
            <w:tcW w:w="7109" w:type="dxa"/>
            <w:vAlign w:val="center"/>
          </w:tcPr>
          <w:p w:rsidR="0074246A"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Department of Primary Industries and Regions</w:t>
            </w:r>
            <w:r>
              <w:rPr>
                <w:rFonts w:asciiTheme="minorHAnsi" w:hAnsiTheme="minorHAnsi" w:cs="Arial"/>
              </w:rPr>
              <w:t xml:space="preserve"> South Australia</w:t>
            </w:r>
            <w:r w:rsidR="003F5824">
              <w:rPr>
                <w:rFonts w:asciiTheme="minorHAnsi" w:hAnsiTheme="minorHAnsi" w:cs="Arial"/>
              </w:rPr>
              <w:t>, and</w:t>
            </w:r>
          </w:p>
          <w:p w:rsidR="0074246A" w:rsidRPr="00F72CC2" w:rsidRDefault="0074246A" w:rsidP="003A2B7D">
            <w:pPr>
              <w:overflowPunct w:val="0"/>
              <w:autoSpaceDE w:val="0"/>
              <w:autoSpaceDN w:val="0"/>
              <w:adjustRightInd w:val="0"/>
              <w:rPr>
                <w:rFonts w:asciiTheme="minorHAnsi" w:hAnsiTheme="minorHAnsi" w:cs="Arial"/>
              </w:rPr>
            </w:pPr>
            <w:r w:rsidRPr="00F72CC2">
              <w:rPr>
                <w:rFonts w:asciiTheme="minorHAnsi" w:hAnsiTheme="minorHAnsi"/>
                <w:iCs/>
                <w:color w:val="000000"/>
                <w:szCs w:val="24"/>
              </w:rPr>
              <w:t>Department for Environment and Water</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Australian Capital Territory</w:t>
            </w:r>
          </w:p>
        </w:tc>
        <w:tc>
          <w:tcPr>
            <w:tcW w:w="7109" w:type="dxa"/>
            <w:vAlign w:val="center"/>
          </w:tcPr>
          <w:p w:rsidR="0074246A" w:rsidRPr="00AC6827" w:rsidRDefault="0074246A" w:rsidP="003A2B7D">
            <w:pPr>
              <w:overflowPunct w:val="0"/>
              <w:autoSpaceDE w:val="0"/>
              <w:autoSpaceDN w:val="0"/>
              <w:adjustRightInd w:val="0"/>
              <w:rPr>
                <w:rFonts w:asciiTheme="minorHAnsi" w:hAnsiTheme="minorHAnsi" w:cs="Arial"/>
              </w:rPr>
            </w:pPr>
            <w:r>
              <w:rPr>
                <w:rFonts w:asciiTheme="minorHAnsi" w:hAnsiTheme="minorHAnsi" w:cs="Arial"/>
              </w:rPr>
              <w:t xml:space="preserve">Environment, </w:t>
            </w:r>
            <w:r w:rsidRPr="00AC6827">
              <w:rPr>
                <w:rFonts w:asciiTheme="minorHAnsi" w:hAnsiTheme="minorHAnsi" w:cs="Arial"/>
              </w:rPr>
              <w:t>Planning and Sustainable Development Directorate</w:t>
            </w:r>
          </w:p>
        </w:tc>
      </w:tr>
      <w:tr w:rsidR="0074246A" w:rsidRPr="00AC6827" w:rsidTr="003A2B7D">
        <w:tc>
          <w:tcPr>
            <w:tcW w:w="2240" w:type="dxa"/>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Victoria</w:t>
            </w:r>
          </w:p>
        </w:tc>
        <w:tc>
          <w:tcPr>
            <w:tcW w:w="7109" w:type="dxa"/>
            <w:vAlign w:val="center"/>
          </w:tcPr>
          <w:p w:rsidR="0074246A" w:rsidRPr="00AC6827" w:rsidRDefault="0074246A" w:rsidP="00A92B12">
            <w:pPr>
              <w:overflowPunct w:val="0"/>
              <w:autoSpaceDE w:val="0"/>
              <w:autoSpaceDN w:val="0"/>
              <w:adjustRightInd w:val="0"/>
              <w:rPr>
                <w:rFonts w:asciiTheme="minorHAnsi" w:hAnsiTheme="minorHAnsi" w:cs="Arial"/>
              </w:rPr>
            </w:pPr>
            <w:r w:rsidRPr="00AC6827">
              <w:rPr>
                <w:rFonts w:asciiTheme="minorHAnsi" w:hAnsiTheme="minorHAnsi" w:cs="Arial"/>
              </w:rPr>
              <w:t xml:space="preserve">Department of Jobs, </w:t>
            </w:r>
            <w:r w:rsidR="00A92B12">
              <w:rPr>
                <w:rFonts w:asciiTheme="minorHAnsi" w:hAnsiTheme="minorHAnsi" w:cs="Arial"/>
              </w:rPr>
              <w:t>Precincts and Regions</w:t>
            </w:r>
          </w:p>
        </w:tc>
      </w:tr>
    </w:tbl>
    <w:p w:rsidR="00DC2067" w:rsidRDefault="00DC2067" w:rsidP="0074246A">
      <w:pPr>
        <w:rPr>
          <w:rFonts w:asciiTheme="minorHAnsi" w:hAnsiTheme="minorHAnsi"/>
          <w:b/>
          <w:bCs/>
        </w:rPr>
      </w:pPr>
    </w:p>
    <w:p w:rsidR="0074246A" w:rsidRPr="00422A4F" w:rsidRDefault="00422A4F" w:rsidP="0074246A">
      <w:pPr>
        <w:rPr>
          <w:rFonts w:asciiTheme="minorHAnsi" w:hAnsiTheme="minorHAnsi"/>
          <w:b/>
          <w:bCs/>
        </w:rPr>
      </w:pPr>
      <w:r w:rsidRPr="00422A4F">
        <w:rPr>
          <w:rFonts w:asciiTheme="minorHAnsi" w:hAnsiTheme="minorHAnsi"/>
          <w:b/>
          <w:bCs/>
        </w:rPr>
        <w:t>Observers</w:t>
      </w:r>
      <w:r w:rsidR="0074246A" w:rsidRPr="00422A4F">
        <w:rPr>
          <w:rFonts w:asciiTheme="minorHAnsi" w:hAnsiTheme="minorHAnsi"/>
          <w:b/>
          <w:bCs/>
        </w:rPr>
        <w:t xml:space="preserve"> </w:t>
      </w:r>
    </w:p>
    <w:tbl>
      <w:tblPr>
        <w:tblStyle w:val="TableGrid"/>
        <w:tblW w:w="9214" w:type="dxa"/>
        <w:tblInd w:w="-5" w:type="dxa"/>
        <w:tblLayout w:type="fixed"/>
        <w:tblLook w:val="04A0" w:firstRow="1" w:lastRow="0" w:firstColumn="1" w:lastColumn="0" w:noHBand="0" w:noVBand="1"/>
      </w:tblPr>
      <w:tblGrid>
        <w:gridCol w:w="9214"/>
      </w:tblGrid>
      <w:tr w:rsidR="0074246A" w:rsidRPr="00AC6827" w:rsidTr="007B52D4">
        <w:tc>
          <w:tcPr>
            <w:tcW w:w="9214" w:type="dxa"/>
          </w:tcPr>
          <w:p w:rsidR="0074246A" w:rsidRPr="00AC6827" w:rsidRDefault="0074246A" w:rsidP="003A2B7D">
            <w:pPr>
              <w:overflowPunct w:val="0"/>
              <w:autoSpaceDE w:val="0"/>
              <w:autoSpaceDN w:val="0"/>
              <w:adjustRightInd w:val="0"/>
              <w:rPr>
                <w:rFonts w:asciiTheme="minorHAnsi" w:hAnsiTheme="minorHAnsi" w:cs="Arial"/>
                <w:b/>
              </w:rPr>
            </w:pPr>
            <w:r w:rsidRPr="00AC6827">
              <w:rPr>
                <w:rFonts w:asciiTheme="minorHAnsi" w:hAnsiTheme="minorHAnsi" w:cs="Arial"/>
              </w:rPr>
              <w:t>Commonwealth Scientific and Industrial Research Organisation (CSIRO)</w:t>
            </w:r>
          </w:p>
        </w:tc>
      </w:tr>
      <w:tr w:rsidR="0074246A" w:rsidRPr="00AC6827" w:rsidTr="007B52D4">
        <w:tc>
          <w:tcPr>
            <w:tcW w:w="9214" w:type="dxa"/>
            <w:vAlign w:val="center"/>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Plant Health Australia</w:t>
            </w:r>
            <w:r>
              <w:rPr>
                <w:rFonts w:asciiTheme="minorHAnsi" w:hAnsiTheme="minorHAnsi" w:cs="Arial"/>
              </w:rPr>
              <w:t xml:space="preserve"> (PHA)</w:t>
            </w:r>
          </w:p>
        </w:tc>
      </w:tr>
      <w:tr w:rsidR="0057735A" w:rsidRPr="00AC6827" w:rsidTr="007B52D4">
        <w:tc>
          <w:tcPr>
            <w:tcW w:w="9214" w:type="dxa"/>
            <w:vAlign w:val="center"/>
          </w:tcPr>
          <w:p w:rsidR="0057735A" w:rsidRPr="00AC6827" w:rsidRDefault="0057735A" w:rsidP="003A2B7D">
            <w:pPr>
              <w:overflowPunct w:val="0"/>
              <w:autoSpaceDE w:val="0"/>
              <w:autoSpaceDN w:val="0"/>
              <w:adjustRightInd w:val="0"/>
              <w:rPr>
                <w:rFonts w:asciiTheme="minorHAnsi" w:hAnsiTheme="minorHAnsi" w:cs="Arial"/>
              </w:rPr>
            </w:pPr>
            <w:r>
              <w:rPr>
                <w:rFonts w:asciiTheme="minorHAnsi" w:hAnsiTheme="minorHAnsi" w:cs="Arial"/>
              </w:rPr>
              <w:t>Animal Health Australia</w:t>
            </w:r>
          </w:p>
        </w:tc>
      </w:tr>
      <w:tr w:rsidR="0074246A" w:rsidRPr="00AC6827" w:rsidTr="007B52D4">
        <w:tc>
          <w:tcPr>
            <w:tcW w:w="9214" w:type="dxa"/>
            <w:vAlign w:val="center"/>
          </w:tcPr>
          <w:p w:rsidR="0074246A" w:rsidRPr="00AC6827" w:rsidRDefault="0074246A" w:rsidP="003A2B7D">
            <w:pPr>
              <w:overflowPunct w:val="0"/>
              <w:autoSpaceDE w:val="0"/>
              <w:autoSpaceDN w:val="0"/>
              <w:adjustRightInd w:val="0"/>
              <w:rPr>
                <w:rFonts w:asciiTheme="minorHAnsi" w:hAnsiTheme="minorHAnsi" w:cs="Arial"/>
              </w:rPr>
            </w:pPr>
            <w:r w:rsidRPr="00AC6827">
              <w:rPr>
                <w:rFonts w:asciiTheme="minorHAnsi" w:hAnsiTheme="minorHAnsi" w:cs="Arial"/>
              </w:rPr>
              <w:t>Centre for Invasive Species Solutions (CISS)</w:t>
            </w:r>
          </w:p>
        </w:tc>
      </w:tr>
      <w:tr w:rsidR="0074246A" w:rsidRPr="00AC6827" w:rsidTr="007B52D4">
        <w:tc>
          <w:tcPr>
            <w:tcW w:w="9214" w:type="dxa"/>
            <w:vAlign w:val="center"/>
          </w:tcPr>
          <w:p w:rsidR="0074246A" w:rsidRPr="00AC6827" w:rsidRDefault="0074246A" w:rsidP="003A2B7D">
            <w:pPr>
              <w:overflowPunct w:val="0"/>
              <w:autoSpaceDE w:val="0"/>
              <w:autoSpaceDN w:val="0"/>
              <w:adjustRightInd w:val="0"/>
              <w:rPr>
                <w:rFonts w:asciiTheme="minorHAnsi" w:hAnsiTheme="minorHAnsi" w:cs="Arial"/>
              </w:rPr>
            </w:pPr>
            <w:r w:rsidRPr="004C4E25">
              <w:rPr>
                <w:rFonts w:asciiTheme="minorHAnsi" w:hAnsiTheme="minorHAnsi" w:cs="Arial"/>
              </w:rPr>
              <w:t>Australian Bureau of Agricultural and Resource Economics and Sciences (ABARES)</w:t>
            </w:r>
          </w:p>
        </w:tc>
      </w:tr>
      <w:tr w:rsidR="002C45C5" w:rsidRPr="00AC6827" w:rsidTr="007B52D4">
        <w:tc>
          <w:tcPr>
            <w:tcW w:w="9214" w:type="dxa"/>
            <w:vAlign w:val="center"/>
          </w:tcPr>
          <w:p w:rsidR="002C45C5" w:rsidRPr="004C4E25" w:rsidRDefault="002C45C5" w:rsidP="003A2B7D">
            <w:pPr>
              <w:overflowPunct w:val="0"/>
              <w:autoSpaceDE w:val="0"/>
              <w:autoSpaceDN w:val="0"/>
              <w:adjustRightInd w:val="0"/>
              <w:rPr>
                <w:rFonts w:asciiTheme="minorHAnsi" w:hAnsiTheme="minorHAnsi" w:cs="Arial"/>
              </w:rPr>
            </w:pPr>
            <w:r>
              <w:rPr>
                <w:rFonts w:asciiTheme="minorHAnsi" w:hAnsiTheme="minorHAnsi" w:cs="Arial"/>
              </w:rPr>
              <w:t>Wildlife Health Australia (WHA)</w:t>
            </w:r>
          </w:p>
        </w:tc>
      </w:tr>
      <w:tr w:rsidR="0074246A" w:rsidRPr="00AC6827" w:rsidTr="007B52D4">
        <w:tc>
          <w:tcPr>
            <w:tcW w:w="9214" w:type="dxa"/>
            <w:vAlign w:val="center"/>
          </w:tcPr>
          <w:p w:rsidR="0074246A" w:rsidRPr="00AC6827" w:rsidRDefault="0074246A" w:rsidP="003A2B7D">
            <w:pPr>
              <w:overflowPunct w:val="0"/>
              <w:autoSpaceDE w:val="0"/>
              <w:autoSpaceDN w:val="0"/>
              <w:adjustRightInd w:val="0"/>
              <w:rPr>
                <w:rFonts w:asciiTheme="minorHAnsi" w:hAnsiTheme="minorHAnsi" w:cs="Arial"/>
              </w:rPr>
            </w:pPr>
            <w:r>
              <w:rPr>
                <w:rFonts w:asciiTheme="minorHAnsi" w:hAnsiTheme="minorHAnsi" w:cs="Arial"/>
              </w:rPr>
              <w:t>Note: Other o</w:t>
            </w:r>
            <w:r w:rsidRPr="00AC6827">
              <w:rPr>
                <w:rFonts w:asciiTheme="minorHAnsi" w:hAnsiTheme="minorHAnsi" w:cs="Arial"/>
              </w:rPr>
              <w:t>bservers may be invited for specific agenda items, as required</w:t>
            </w:r>
          </w:p>
        </w:tc>
      </w:tr>
    </w:tbl>
    <w:p w:rsidR="0074246A" w:rsidRPr="00F72CC2" w:rsidRDefault="0074246A" w:rsidP="0074246A">
      <w:pPr>
        <w:rPr>
          <w:rStyle w:val="Strong"/>
        </w:rPr>
      </w:pPr>
      <w:r w:rsidRPr="00F72CC2">
        <w:rPr>
          <w:rStyle w:val="Strong"/>
        </w:rPr>
        <w:t xml:space="preserve">Governance arrangements </w:t>
      </w:r>
    </w:p>
    <w:p w:rsidR="0074246A" w:rsidRPr="00AC6827" w:rsidRDefault="0074246A" w:rsidP="0074246A">
      <w:pPr>
        <w:pStyle w:val="NoSpacing"/>
        <w:rPr>
          <w:rFonts w:eastAsia="Calibri" w:cs="Arial"/>
          <w:sz w:val="24"/>
          <w:szCs w:val="24"/>
          <w:lang w:val="en-AU"/>
        </w:rPr>
      </w:pPr>
      <w:r w:rsidRPr="00AC6827">
        <w:rPr>
          <w:rFonts w:eastAsia="Calibri" w:cs="Arial"/>
          <w:sz w:val="24"/>
          <w:szCs w:val="24"/>
          <w:lang w:val="en-AU"/>
        </w:rPr>
        <w:t>In addressing these terms of reference, the committee will:</w:t>
      </w:r>
    </w:p>
    <w:p w:rsidR="0074246A" w:rsidRDefault="0074246A" w:rsidP="0074246A">
      <w:pPr>
        <w:pStyle w:val="ListBullet"/>
        <w:numPr>
          <w:ilvl w:val="0"/>
          <w:numId w:val="1"/>
        </w:numPr>
        <w:spacing w:before="120"/>
        <w:rPr>
          <w:rFonts w:asciiTheme="minorHAnsi" w:hAnsiTheme="minorHAnsi"/>
        </w:rPr>
      </w:pPr>
      <w:r>
        <w:rPr>
          <w:rFonts w:asciiTheme="minorHAnsi" w:hAnsiTheme="minorHAnsi"/>
        </w:rPr>
        <w:t>m</w:t>
      </w:r>
      <w:r w:rsidRPr="00AC6827">
        <w:rPr>
          <w:rFonts w:asciiTheme="minorHAnsi" w:hAnsiTheme="minorHAnsi"/>
        </w:rPr>
        <w:t>eet at least twice annually, either face-to-face or</w:t>
      </w:r>
      <w:r>
        <w:rPr>
          <w:rFonts w:asciiTheme="minorHAnsi" w:hAnsiTheme="minorHAnsi"/>
        </w:rPr>
        <w:t xml:space="preserve"> by teleconference as required</w:t>
      </w:r>
    </w:p>
    <w:p w:rsidR="0074246A" w:rsidRPr="00AC6827" w:rsidRDefault="0074246A" w:rsidP="0074246A">
      <w:pPr>
        <w:pStyle w:val="ListParagraph"/>
        <w:numPr>
          <w:ilvl w:val="0"/>
          <w:numId w:val="1"/>
        </w:numPr>
        <w:ind w:right="-213"/>
        <w:contextualSpacing w:val="0"/>
      </w:pPr>
      <w:r>
        <w:t>a</w:t>
      </w:r>
      <w:r w:rsidRPr="00AC6827">
        <w:t xml:space="preserve">gree to a strategic work plan, to be reviewed every 12 months and approved by the NBC, with progress assessed as </w:t>
      </w:r>
      <w:r>
        <w:t>a standing item at each meeting</w:t>
      </w:r>
    </w:p>
    <w:p w:rsidR="0074246A" w:rsidRDefault="0074246A" w:rsidP="0074246A">
      <w:pPr>
        <w:pStyle w:val="ListParagraph"/>
        <w:numPr>
          <w:ilvl w:val="0"/>
          <w:numId w:val="1"/>
        </w:numPr>
        <w:ind w:right="-213"/>
        <w:contextualSpacing w:val="0"/>
      </w:pPr>
      <w:r>
        <w:t>m</w:t>
      </w:r>
      <w:r w:rsidRPr="00AC6827">
        <w:t>aintain appropriate linkages with other sectoral committees to avoid duplication of work or gaps in coverage across sectors</w:t>
      </w:r>
      <w:r>
        <w:t>, and</w:t>
      </w:r>
    </w:p>
    <w:p w:rsidR="0074246A" w:rsidRDefault="0074246A" w:rsidP="0074246A">
      <w:pPr>
        <w:pStyle w:val="ListParagraph"/>
        <w:numPr>
          <w:ilvl w:val="0"/>
          <w:numId w:val="1"/>
        </w:numPr>
        <w:ind w:right="-213"/>
        <w:contextualSpacing w:val="0"/>
      </w:pPr>
      <w:proofErr w:type="gramStart"/>
      <w:r>
        <w:t>f</w:t>
      </w:r>
      <w:r w:rsidRPr="00AC6827">
        <w:t>orm</w:t>
      </w:r>
      <w:proofErr w:type="gramEnd"/>
      <w:r w:rsidRPr="00AC6827">
        <w:t xml:space="preserve"> advisory </w:t>
      </w:r>
      <w:r>
        <w:t>or working groups</w:t>
      </w:r>
      <w:r w:rsidRPr="00AC6827">
        <w:t xml:space="preserve"> and, when required, task groups to progress priority activities</w:t>
      </w:r>
      <w:r>
        <w:t xml:space="preserve">. </w:t>
      </w:r>
    </w:p>
    <w:p w:rsidR="0074246A" w:rsidRPr="00FC01F4" w:rsidRDefault="0074246A" w:rsidP="0074246A">
      <w:pPr>
        <w:rPr>
          <w:rFonts w:asciiTheme="minorHAnsi" w:hAnsiTheme="minorHAnsi" w:cs="Arial"/>
        </w:rPr>
      </w:pPr>
      <w:r w:rsidRPr="00FC01F4">
        <w:rPr>
          <w:rFonts w:asciiTheme="minorHAnsi" w:hAnsiTheme="minorHAnsi" w:cs="Arial"/>
        </w:rPr>
        <w:t xml:space="preserve">Secretariat support for the </w:t>
      </w:r>
      <w:r>
        <w:rPr>
          <w:rFonts w:asciiTheme="minorHAnsi" w:hAnsiTheme="minorHAnsi" w:cs="Arial"/>
        </w:rPr>
        <w:t>EIC</w:t>
      </w:r>
      <w:r w:rsidRPr="00FC01F4">
        <w:rPr>
          <w:rFonts w:asciiTheme="minorHAnsi" w:hAnsiTheme="minorHAnsi" w:cs="Arial"/>
        </w:rPr>
        <w:t xml:space="preserve"> is provided by the Australian Government Department of Agriculture and Water Resources.</w:t>
      </w:r>
    </w:p>
    <w:p w:rsidR="0074246A" w:rsidRDefault="0074246A" w:rsidP="0074246A">
      <w:pPr>
        <w:rPr>
          <w:rFonts w:asciiTheme="minorHAnsi" w:hAnsiTheme="minorHAnsi" w:cs="Arial"/>
        </w:rPr>
      </w:pPr>
      <w:r w:rsidRPr="00FC01F4">
        <w:rPr>
          <w:rFonts w:asciiTheme="minorHAnsi" w:hAnsiTheme="minorHAnsi" w:cs="Arial"/>
        </w:rPr>
        <w:t xml:space="preserve">The Secretariat will prepare a record of each meeting setting out decisions and action items. </w:t>
      </w:r>
    </w:p>
    <w:p w:rsidR="0074246A" w:rsidRPr="009A5393" w:rsidRDefault="0074246A" w:rsidP="0074246A">
      <w:r w:rsidRPr="00804BC9">
        <w:rPr>
          <w:rFonts w:asciiTheme="minorHAnsi" w:hAnsiTheme="minorHAnsi"/>
        </w:rPr>
        <w:t xml:space="preserve">All other arrangements and processes </w:t>
      </w:r>
      <w:r w:rsidR="00C83843">
        <w:rPr>
          <w:rFonts w:asciiTheme="minorHAnsi" w:hAnsiTheme="minorHAnsi"/>
        </w:rPr>
        <w:t>are</w:t>
      </w:r>
      <w:r w:rsidRPr="00804BC9">
        <w:rPr>
          <w:rFonts w:asciiTheme="minorHAnsi" w:hAnsiTheme="minorHAnsi"/>
        </w:rPr>
        <w:t xml:space="preserve"> detailed within the committee’s operational guidelines. </w:t>
      </w:r>
    </w:p>
    <w:p w:rsidR="0074246A" w:rsidRPr="00F72CC2" w:rsidRDefault="0074246A" w:rsidP="0074246A">
      <w:pPr>
        <w:rPr>
          <w:b/>
          <w:i/>
        </w:rPr>
      </w:pPr>
      <w:r w:rsidRPr="00F72CC2">
        <w:rPr>
          <w:b/>
        </w:rPr>
        <w:t>Reporting</w:t>
      </w:r>
    </w:p>
    <w:p w:rsidR="0074246A" w:rsidRPr="00AC6827" w:rsidRDefault="0074246A" w:rsidP="0074246A">
      <w:pPr>
        <w:rPr>
          <w:rFonts w:asciiTheme="minorHAnsi" w:hAnsiTheme="minorHAnsi"/>
        </w:rPr>
      </w:pPr>
      <w:r w:rsidRPr="00AC6827">
        <w:rPr>
          <w:rFonts w:asciiTheme="minorHAnsi" w:hAnsiTheme="minorHAnsi"/>
        </w:rPr>
        <w:t>The</w:t>
      </w:r>
      <w:r>
        <w:rPr>
          <w:rFonts w:asciiTheme="minorHAnsi" w:hAnsiTheme="minorHAnsi"/>
        </w:rPr>
        <w:t xml:space="preserve"> EIC</w:t>
      </w:r>
      <w:r w:rsidRPr="00AC6827">
        <w:rPr>
          <w:rFonts w:asciiTheme="minorHAnsi" w:hAnsiTheme="minorHAnsi"/>
        </w:rPr>
        <w:t xml:space="preserve"> will report to </w:t>
      </w:r>
      <w:r>
        <w:rPr>
          <w:rFonts w:asciiTheme="minorHAnsi" w:hAnsiTheme="minorHAnsi"/>
        </w:rPr>
        <w:t xml:space="preserve">NBC at </w:t>
      </w:r>
      <w:r w:rsidRPr="00AC6827">
        <w:rPr>
          <w:rFonts w:asciiTheme="minorHAnsi" w:hAnsiTheme="minorHAnsi"/>
        </w:rPr>
        <w:t>each NBC meeting on:</w:t>
      </w:r>
    </w:p>
    <w:p w:rsidR="0074246A" w:rsidRPr="00AC6827" w:rsidRDefault="0074246A" w:rsidP="0074246A">
      <w:pPr>
        <w:pStyle w:val="ListBullet"/>
        <w:spacing w:before="120"/>
        <w:rPr>
          <w:rFonts w:asciiTheme="minorHAnsi" w:hAnsiTheme="minorHAnsi"/>
        </w:rPr>
      </w:pPr>
      <w:r w:rsidRPr="00AC6827">
        <w:rPr>
          <w:rFonts w:asciiTheme="minorHAnsi" w:hAnsiTheme="minorHAnsi"/>
        </w:rPr>
        <w:t>progress against the strategic work plan</w:t>
      </w:r>
    </w:p>
    <w:p w:rsidR="0074246A" w:rsidRPr="00AC6827" w:rsidRDefault="0074246A" w:rsidP="0074246A">
      <w:pPr>
        <w:pStyle w:val="ListBullet"/>
        <w:spacing w:before="120"/>
        <w:rPr>
          <w:rFonts w:asciiTheme="minorHAnsi" w:hAnsiTheme="minorHAnsi"/>
        </w:rPr>
      </w:pPr>
      <w:r w:rsidRPr="00AC6827">
        <w:rPr>
          <w:rFonts w:asciiTheme="minorHAnsi" w:hAnsiTheme="minorHAnsi"/>
        </w:rPr>
        <w:t>work priorities, if these have changed significantly from those outlined in the strategic work plan</w:t>
      </w:r>
      <w:r>
        <w:rPr>
          <w:rFonts w:asciiTheme="minorHAnsi" w:hAnsiTheme="minorHAnsi"/>
        </w:rPr>
        <w:t>, and</w:t>
      </w:r>
    </w:p>
    <w:p w:rsidR="0074246A" w:rsidRPr="00717AC9" w:rsidRDefault="0074246A" w:rsidP="0074246A">
      <w:pPr>
        <w:pStyle w:val="ListBullet"/>
        <w:spacing w:before="120"/>
        <w:rPr>
          <w:rFonts w:asciiTheme="minorHAnsi" w:hAnsiTheme="minorHAnsi"/>
        </w:rPr>
      </w:pPr>
      <w:proofErr w:type="gramStart"/>
      <w:r w:rsidRPr="00AC6827">
        <w:rPr>
          <w:rFonts w:asciiTheme="minorHAnsi" w:hAnsiTheme="minorHAnsi"/>
        </w:rPr>
        <w:t>any</w:t>
      </w:r>
      <w:proofErr w:type="gramEnd"/>
      <w:r w:rsidRPr="00AC6827">
        <w:rPr>
          <w:rFonts w:asciiTheme="minorHAnsi" w:hAnsiTheme="minorHAnsi"/>
        </w:rPr>
        <w:t xml:space="preserve"> issues that affect the ability of </w:t>
      </w:r>
      <w:r>
        <w:rPr>
          <w:rFonts w:asciiTheme="minorHAnsi" w:hAnsiTheme="minorHAnsi"/>
          <w:lang w:eastAsia="en-AU"/>
        </w:rPr>
        <w:t>the EIC</w:t>
      </w:r>
      <w:r w:rsidRPr="00AC6827">
        <w:rPr>
          <w:rFonts w:asciiTheme="minorHAnsi" w:hAnsiTheme="minorHAnsi"/>
        </w:rPr>
        <w:t xml:space="preserve"> to progress its approved work plan</w:t>
      </w:r>
      <w:r>
        <w:rPr>
          <w:rFonts w:asciiTheme="minorHAnsi" w:hAnsiTheme="minorHAnsi"/>
        </w:rPr>
        <w:t>.</w:t>
      </w:r>
    </w:p>
    <w:p w:rsidR="002C45C5" w:rsidRPr="002C45C5" w:rsidRDefault="0074246A" w:rsidP="0074246A">
      <w:pPr>
        <w:rPr>
          <w:rFonts w:asciiTheme="minorHAnsi" w:hAnsiTheme="minorHAnsi"/>
        </w:rPr>
      </w:pPr>
      <w:r w:rsidRPr="00AC6827">
        <w:rPr>
          <w:rFonts w:asciiTheme="minorHAnsi" w:hAnsiTheme="minorHAnsi"/>
        </w:rPr>
        <w:t xml:space="preserve">Advisory committees </w:t>
      </w:r>
      <w:r>
        <w:rPr>
          <w:rFonts w:asciiTheme="minorHAnsi" w:hAnsiTheme="minorHAnsi"/>
        </w:rPr>
        <w:t xml:space="preserve">or working groups </w:t>
      </w:r>
      <w:r w:rsidRPr="00AC6827">
        <w:rPr>
          <w:rFonts w:asciiTheme="minorHAnsi" w:hAnsiTheme="minorHAnsi"/>
        </w:rPr>
        <w:t>will p</w:t>
      </w:r>
      <w:r>
        <w:rPr>
          <w:rFonts w:asciiTheme="minorHAnsi" w:hAnsiTheme="minorHAnsi"/>
        </w:rPr>
        <w:t>rovide a draft work plan for EIC</w:t>
      </w:r>
      <w:r w:rsidRPr="00AC6827">
        <w:rPr>
          <w:rFonts w:asciiTheme="minorHAnsi" w:hAnsiTheme="minorHAnsi"/>
        </w:rPr>
        <w:t xml:space="preserve"> consideration by May each year. If task groups are established they will have specific reporting timeframes.</w:t>
      </w:r>
    </w:p>
    <w:p w:rsidR="0074246A" w:rsidRPr="00F72CC2" w:rsidRDefault="0074246A" w:rsidP="0074246A">
      <w:pPr>
        <w:rPr>
          <w:b/>
          <w:i/>
        </w:rPr>
      </w:pPr>
      <w:r w:rsidRPr="00F72CC2">
        <w:rPr>
          <w:b/>
        </w:rPr>
        <w:t xml:space="preserve">Review of terms of reference  </w:t>
      </w:r>
    </w:p>
    <w:p w:rsidR="0074246A" w:rsidRPr="00AC6827" w:rsidRDefault="0074246A" w:rsidP="0074246A">
      <w:pPr>
        <w:rPr>
          <w:rFonts w:asciiTheme="minorHAnsi" w:hAnsiTheme="minorHAnsi" w:cs="Arial"/>
        </w:rPr>
      </w:pPr>
      <w:r w:rsidRPr="00AC6827">
        <w:rPr>
          <w:rFonts w:asciiTheme="minorHAnsi" w:hAnsiTheme="minorHAnsi" w:cs="Arial"/>
        </w:rPr>
        <w:t>The terms of reference will be reviewed every two years, unless there is a requirement to revise it earlier</w:t>
      </w:r>
      <w:r>
        <w:rPr>
          <w:rFonts w:asciiTheme="minorHAnsi" w:hAnsiTheme="minorHAnsi" w:cs="Arial"/>
        </w:rPr>
        <w:t>.</w:t>
      </w:r>
    </w:p>
    <w:p w:rsidR="00931616" w:rsidRDefault="00931616" w:rsidP="0074246A">
      <w:pPr>
        <w:rPr>
          <w:b/>
        </w:rPr>
      </w:pPr>
    </w:p>
    <w:p w:rsidR="0074246A" w:rsidRPr="00F72CC2" w:rsidDel="00A461C4" w:rsidRDefault="0074246A" w:rsidP="0074246A">
      <w:pPr>
        <w:rPr>
          <w:b/>
          <w:i/>
        </w:rPr>
      </w:pPr>
      <w:r w:rsidRPr="00F72CC2" w:rsidDel="00A461C4">
        <w:rPr>
          <w:b/>
        </w:rPr>
        <w:lastRenderedPageBreak/>
        <w:t xml:space="preserve">Financial expenditure </w:t>
      </w:r>
    </w:p>
    <w:p w:rsidR="0074246A" w:rsidRPr="00AC6827" w:rsidDel="00A461C4" w:rsidRDefault="0074246A" w:rsidP="0074246A">
      <w:pPr>
        <w:rPr>
          <w:rFonts w:asciiTheme="minorHAnsi" w:hAnsiTheme="minorHAnsi" w:cs="Arial"/>
        </w:rPr>
      </w:pPr>
      <w:r w:rsidRPr="00AC6827" w:rsidDel="00A461C4">
        <w:rPr>
          <w:rFonts w:asciiTheme="minorHAnsi" w:hAnsiTheme="minorHAnsi" w:cs="Arial"/>
        </w:rPr>
        <w:t xml:space="preserve">It is the responsibility of </w:t>
      </w:r>
      <w:r>
        <w:rPr>
          <w:rFonts w:asciiTheme="minorHAnsi" w:hAnsiTheme="minorHAnsi" w:cs="Arial"/>
        </w:rPr>
        <w:t>EIC</w:t>
      </w:r>
      <w:r w:rsidDel="00A461C4">
        <w:rPr>
          <w:rFonts w:asciiTheme="minorHAnsi" w:hAnsiTheme="minorHAnsi" w:cs="Arial"/>
        </w:rPr>
        <w:t xml:space="preserve"> </w:t>
      </w:r>
      <w:r w:rsidRPr="00AC6827" w:rsidDel="00A461C4">
        <w:rPr>
          <w:rFonts w:asciiTheme="minorHAnsi" w:hAnsiTheme="minorHAnsi" w:cs="Arial"/>
        </w:rPr>
        <w:t xml:space="preserve">members to ensure they are in a position to represent their governments at meetings and make relational decisions requiring a financial commitment. </w:t>
      </w:r>
    </w:p>
    <w:p w:rsidR="0074246A" w:rsidRPr="00F72CC2" w:rsidDel="00A461C4" w:rsidRDefault="00134456" w:rsidP="0074246A">
      <w:pPr>
        <w:rPr>
          <w:b/>
          <w:i/>
        </w:rPr>
      </w:pPr>
      <w:r>
        <w:rPr>
          <w:b/>
        </w:rPr>
        <w:t>Sub-</w:t>
      </w:r>
      <w:r w:rsidR="00EC145D">
        <w:rPr>
          <w:b/>
        </w:rPr>
        <w:t>groups</w:t>
      </w:r>
    </w:p>
    <w:p w:rsidR="0074246A" w:rsidRDefault="0074246A" w:rsidP="00A95545">
      <w:pPr>
        <w:rPr>
          <w:rFonts w:asciiTheme="minorHAnsi" w:hAnsiTheme="minorHAnsi" w:cs="Arial"/>
        </w:rPr>
      </w:pPr>
      <w:r w:rsidRPr="00AC6827" w:rsidDel="00A461C4">
        <w:rPr>
          <w:rFonts w:asciiTheme="minorHAnsi" w:hAnsiTheme="minorHAnsi" w:cs="Arial"/>
        </w:rPr>
        <w:t xml:space="preserve">The </w:t>
      </w:r>
      <w:r>
        <w:rPr>
          <w:rFonts w:asciiTheme="minorHAnsi" w:hAnsiTheme="minorHAnsi"/>
        </w:rPr>
        <w:t>EIC</w:t>
      </w:r>
      <w:r w:rsidDel="00A461C4">
        <w:rPr>
          <w:rFonts w:asciiTheme="minorHAnsi" w:hAnsiTheme="minorHAnsi" w:cs="Arial"/>
        </w:rPr>
        <w:t xml:space="preserve"> is supported by </w:t>
      </w:r>
      <w:r>
        <w:rPr>
          <w:rFonts w:asciiTheme="minorHAnsi" w:hAnsiTheme="minorHAnsi" w:cs="Arial"/>
        </w:rPr>
        <w:t>five</w:t>
      </w:r>
      <w:r w:rsidR="00EC145D">
        <w:rPr>
          <w:rFonts w:asciiTheme="minorHAnsi" w:hAnsiTheme="minorHAnsi" w:cs="Arial"/>
        </w:rPr>
        <w:t xml:space="preserve"> sub-group</w:t>
      </w:r>
      <w:r w:rsidDel="00A461C4">
        <w:rPr>
          <w:rFonts w:asciiTheme="minorHAnsi" w:hAnsiTheme="minorHAnsi" w:cs="Arial"/>
        </w:rPr>
        <w:t xml:space="preserve">s. </w:t>
      </w:r>
      <w:r>
        <w:rPr>
          <w:rFonts w:asciiTheme="minorHAnsi" w:hAnsiTheme="minorHAnsi" w:cs="Arial"/>
        </w:rPr>
        <w:t>Four</w:t>
      </w:r>
      <w:r w:rsidDel="00A461C4">
        <w:rPr>
          <w:rFonts w:asciiTheme="minorHAnsi" w:hAnsiTheme="minorHAnsi" w:cs="Arial"/>
        </w:rPr>
        <w:t xml:space="preserve"> are technical working groups</w:t>
      </w:r>
      <w:r w:rsidRPr="00AC6827" w:rsidDel="00A461C4">
        <w:rPr>
          <w:rFonts w:asciiTheme="minorHAnsi" w:hAnsiTheme="minorHAnsi" w:cs="Arial"/>
        </w:rPr>
        <w:t xml:space="preserve">, comprising officers from the </w:t>
      </w:r>
      <w:r>
        <w:rPr>
          <w:rFonts w:asciiTheme="minorHAnsi" w:hAnsiTheme="minorHAnsi" w:cs="Arial"/>
        </w:rPr>
        <w:t>Commonwealth</w:t>
      </w:r>
      <w:r w:rsidRPr="00AC6827" w:rsidDel="00A461C4">
        <w:rPr>
          <w:rFonts w:asciiTheme="minorHAnsi" w:hAnsiTheme="minorHAnsi" w:cs="Arial"/>
        </w:rPr>
        <w:t>, state and territory governments as well as non-govern</w:t>
      </w:r>
      <w:r w:rsidDel="00A461C4">
        <w:rPr>
          <w:rFonts w:asciiTheme="minorHAnsi" w:hAnsiTheme="minorHAnsi" w:cs="Arial"/>
        </w:rPr>
        <w:t xml:space="preserve">ment experts where appropriate. </w:t>
      </w:r>
      <w:r>
        <w:rPr>
          <w:rFonts w:asciiTheme="minorHAnsi" w:hAnsiTheme="minorHAnsi" w:cs="Arial"/>
        </w:rPr>
        <w:t xml:space="preserve">There is </w:t>
      </w:r>
      <w:r w:rsidR="008A4E58">
        <w:rPr>
          <w:rFonts w:asciiTheme="minorHAnsi" w:hAnsiTheme="minorHAnsi" w:cs="Arial"/>
        </w:rPr>
        <w:t xml:space="preserve">also </w:t>
      </w:r>
      <w:r>
        <w:rPr>
          <w:rFonts w:asciiTheme="minorHAnsi" w:hAnsiTheme="minorHAnsi" w:cs="Arial"/>
        </w:rPr>
        <w:t xml:space="preserve">one </w:t>
      </w:r>
      <w:r w:rsidR="008A4E58">
        <w:rPr>
          <w:rFonts w:asciiTheme="minorHAnsi" w:hAnsiTheme="minorHAnsi" w:cs="Arial"/>
        </w:rPr>
        <w:t xml:space="preserve">advisory </w:t>
      </w:r>
      <w:r>
        <w:rPr>
          <w:rFonts w:asciiTheme="minorHAnsi" w:hAnsiTheme="minorHAnsi" w:cs="Arial"/>
        </w:rPr>
        <w:t>group that</w:t>
      </w:r>
      <w:r w:rsidR="008A4E58">
        <w:rPr>
          <w:rFonts w:asciiTheme="minorHAnsi" w:hAnsiTheme="minorHAnsi" w:cs="Arial"/>
        </w:rPr>
        <w:t xml:space="preserve"> is largely comprised of non-government representatives</w:t>
      </w:r>
      <w:r>
        <w:rPr>
          <w:rFonts w:asciiTheme="minorHAnsi" w:hAnsiTheme="minorHAnsi" w:cs="Arial"/>
        </w:rPr>
        <w:t>.</w:t>
      </w:r>
    </w:p>
    <w:tbl>
      <w:tblPr>
        <w:tblStyle w:val="TableGrid"/>
        <w:tblW w:w="5266" w:type="pct"/>
        <w:tblLayout w:type="fixed"/>
        <w:tblLook w:val="04A0" w:firstRow="1" w:lastRow="0" w:firstColumn="1" w:lastColumn="0" w:noHBand="0" w:noVBand="1"/>
      </w:tblPr>
      <w:tblGrid>
        <w:gridCol w:w="5878"/>
        <w:gridCol w:w="3618"/>
      </w:tblGrid>
      <w:tr w:rsidR="0074246A" w:rsidRPr="00AC6827" w:rsidDel="00A461C4" w:rsidTr="003A2B7D">
        <w:trPr>
          <w:tblHeader/>
        </w:trPr>
        <w:tc>
          <w:tcPr>
            <w:tcW w:w="3095" w:type="pct"/>
            <w:shd w:val="clear" w:color="auto" w:fill="000000" w:themeFill="text1"/>
            <w:vAlign w:val="center"/>
          </w:tcPr>
          <w:p w:rsidR="0074246A" w:rsidRPr="00AC6827" w:rsidDel="00A461C4" w:rsidRDefault="0074246A" w:rsidP="003A2B7D">
            <w:pPr>
              <w:tabs>
                <w:tab w:val="left" w:pos="592"/>
              </w:tabs>
              <w:jc w:val="center"/>
              <w:rPr>
                <w:rFonts w:asciiTheme="minorHAnsi" w:hAnsiTheme="minorHAnsi"/>
                <w:b/>
                <w:color w:val="FFFFFF" w:themeColor="background1"/>
              </w:rPr>
            </w:pPr>
            <w:r w:rsidDel="00A461C4">
              <w:rPr>
                <w:rFonts w:asciiTheme="minorHAnsi" w:hAnsiTheme="minorHAnsi"/>
                <w:b/>
                <w:color w:val="FFFFFF" w:themeColor="background1"/>
              </w:rPr>
              <w:t>Working</w:t>
            </w:r>
            <w:r>
              <w:rPr>
                <w:rFonts w:asciiTheme="minorHAnsi" w:hAnsiTheme="minorHAnsi"/>
                <w:b/>
                <w:color w:val="FFFFFF" w:themeColor="background1"/>
              </w:rPr>
              <w:t xml:space="preserve"> and Task</w:t>
            </w:r>
            <w:r w:rsidDel="00A461C4">
              <w:rPr>
                <w:rFonts w:asciiTheme="minorHAnsi" w:hAnsiTheme="minorHAnsi"/>
                <w:b/>
                <w:color w:val="FFFFFF" w:themeColor="background1"/>
              </w:rPr>
              <w:t xml:space="preserve"> Groups</w:t>
            </w:r>
          </w:p>
        </w:tc>
        <w:tc>
          <w:tcPr>
            <w:tcW w:w="1905" w:type="pct"/>
            <w:shd w:val="clear" w:color="auto" w:fill="000000" w:themeFill="text1"/>
            <w:vAlign w:val="center"/>
          </w:tcPr>
          <w:p w:rsidR="0074246A" w:rsidRPr="00AC6827" w:rsidDel="00A461C4" w:rsidRDefault="0074246A" w:rsidP="003A2B7D">
            <w:pPr>
              <w:tabs>
                <w:tab w:val="left" w:pos="592"/>
              </w:tabs>
              <w:jc w:val="center"/>
              <w:rPr>
                <w:rFonts w:asciiTheme="minorHAnsi" w:hAnsiTheme="minorHAnsi"/>
                <w:b/>
                <w:color w:val="FFFFFF" w:themeColor="background1"/>
              </w:rPr>
            </w:pPr>
            <w:r w:rsidRPr="00AC6827" w:rsidDel="00A461C4">
              <w:rPr>
                <w:rFonts w:asciiTheme="minorHAnsi" w:hAnsiTheme="minorHAnsi"/>
                <w:b/>
                <w:color w:val="FFFFFF" w:themeColor="background1"/>
              </w:rPr>
              <w:t>Chair</w:t>
            </w:r>
          </w:p>
        </w:tc>
      </w:tr>
      <w:tr w:rsidR="0074246A" w:rsidRPr="00AC6827" w:rsidDel="00A461C4" w:rsidTr="00E31C61">
        <w:trPr>
          <w:trHeight w:val="1160"/>
        </w:trPr>
        <w:tc>
          <w:tcPr>
            <w:tcW w:w="3095" w:type="pct"/>
            <w:vAlign w:val="center"/>
          </w:tcPr>
          <w:p w:rsidR="0074246A" w:rsidRPr="00AC6827" w:rsidDel="00A461C4" w:rsidRDefault="0074246A" w:rsidP="003A2B7D">
            <w:pPr>
              <w:tabs>
                <w:tab w:val="left" w:pos="592"/>
              </w:tabs>
              <w:rPr>
                <w:rFonts w:asciiTheme="minorHAnsi" w:hAnsiTheme="minorHAnsi" w:cs="Arial"/>
              </w:rPr>
            </w:pPr>
            <w:r w:rsidDel="00A461C4">
              <w:t>Freshwater Vertebrates and Invertebrates Working Group</w:t>
            </w:r>
          </w:p>
        </w:tc>
        <w:tc>
          <w:tcPr>
            <w:tcW w:w="1905" w:type="pct"/>
            <w:vAlign w:val="center"/>
          </w:tcPr>
          <w:p w:rsidR="0074246A" w:rsidRPr="00AC6827" w:rsidDel="00A461C4" w:rsidRDefault="00A7722F" w:rsidP="0074246A">
            <w:pPr>
              <w:tabs>
                <w:tab w:val="left" w:pos="592"/>
              </w:tabs>
              <w:spacing w:after="0"/>
              <w:jc w:val="center"/>
              <w:rPr>
                <w:rFonts w:asciiTheme="minorHAnsi" w:hAnsiTheme="minorHAnsi" w:cs="Arial"/>
              </w:rPr>
            </w:pPr>
            <w:r>
              <w:rPr>
                <w:rFonts w:asciiTheme="minorHAnsi" w:hAnsiTheme="minorHAnsi" w:cs="Arial"/>
              </w:rPr>
              <w:t>Queensland</w:t>
            </w:r>
            <w:r w:rsidR="00B94F24">
              <w:rPr>
                <w:rFonts w:asciiTheme="minorHAnsi" w:hAnsiTheme="minorHAnsi" w:cs="Arial"/>
              </w:rPr>
              <w:t xml:space="preserve"> </w:t>
            </w:r>
            <w:r w:rsidRPr="00AC6827">
              <w:rPr>
                <w:rFonts w:asciiTheme="minorHAnsi" w:hAnsiTheme="minorHAnsi" w:cs="Arial"/>
              </w:rPr>
              <w:t>Department of Agriculture and Fisheries</w:t>
            </w:r>
          </w:p>
        </w:tc>
      </w:tr>
      <w:tr w:rsidR="0074246A" w:rsidRPr="00AC6827" w:rsidDel="00A461C4" w:rsidTr="003A2B7D">
        <w:tc>
          <w:tcPr>
            <w:tcW w:w="3095" w:type="pct"/>
            <w:vAlign w:val="center"/>
          </w:tcPr>
          <w:p w:rsidR="0074246A" w:rsidRPr="00AC6827" w:rsidDel="00A461C4" w:rsidRDefault="0074246A" w:rsidP="003A2B7D">
            <w:pPr>
              <w:tabs>
                <w:tab w:val="left" w:pos="592"/>
              </w:tabs>
              <w:rPr>
                <w:rFonts w:asciiTheme="minorHAnsi" w:hAnsiTheme="minorHAnsi" w:cs="Arial"/>
              </w:rPr>
            </w:pPr>
            <w:r w:rsidRPr="000C6DA4" w:rsidDel="00A461C4">
              <w:t>Weeds Working Group</w:t>
            </w:r>
          </w:p>
        </w:tc>
        <w:tc>
          <w:tcPr>
            <w:tcW w:w="1905" w:type="pct"/>
          </w:tcPr>
          <w:p w:rsidR="0074246A" w:rsidRPr="00AC6827" w:rsidDel="00A461C4" w:rsidRDefault="001D5F02" w:rsidP="003A2B7D">
            <w:pPr>
              <w:tabs>
                <w:tab w:val="left" w:pos="592"/>
              </w:tabs>
              <w:jc w:val="center"/>
              <w:rPr>
                <w:rFonts w:asciiTheme="minorHAnsi" w:hAnsiTheme="minorHAnsi" w:cs="Arial"/>
              </w:rPr>
            </w:pPr>
            <w:r>
              <w:rPr>
                <w:rFonts w:asciiTheme="minorHAnsi" w:hAnsiTheme="minorHAnsi" w:cs="Arial"/>
              </w:rPr>
              <w:t xml:space="preserve">South </w:t>
            </w:r>
            <w:r w:rsidR="0005239E">
              <w:rPr>
                <w:rFonts w:asciiTheme="minorHAnsi" w:hAnsiTheme="minorHAnsi" w:cs="Arial"/>
              </w:rPr>
              <w:t xml:space="preserve">Australia Department of </w:t>
            </w:r>
            <w:r w:rsidR="0005239E" w:rsidRPr="0005239E">
              <w:rPr>
                <w:rFonts w:asciiTheme="minorHAnsi" w:hAnsiTheme="minorHAnsi" w:cs="Arial"/>
                <w:iCs/>
                <w:lang w:val="en-US"/>
              </w:rPr>
              <w:t>Primary Industries &amp; Regions</w:t>
            </w:r>
          </w:p>
        </w:tc>
      </w:tr>
      <w:tr w:rsidR="0074246A" w:rsidRPr="00AC6827" w:rsidDel="00A461C4" w:rsidTr="00E31C61">
        <w:trPr>
          <w:trHeight w:val="849"/>
        </w:trPr>
        <w:tc>
          <w:tcPr>
            <w:tcW w:w="3095" w:type="pct"/>
            <w:vAlign w:val="center"/>
          </w:tcPr>
          <w:p w:rsidR="0074246A" w:rsidRPr="00AC6827" w:rsidDel="00A461C4" w:rsidRDefault="0074246A" w:rsidP="003A2B7D">
            <w:pPr>
              <w:tabs>
                <w:tab w:val="left" w:pos="592"/>
              </w:tabs>
              <w:rPr>
                <w:rFonts w:asciiTheme="minorHAnsi" w:hAnsiTheme="minorHAnsi" w:cs="Arial"/>
              </w:rPr>
            </w:pPr>
            <w:r w:rsidDel="00A461C4">
              <w:t xml:space="preserve">Terrestrial </w:t>
            </w:r>
            <w:r w:rsidRPr="000C6DA4" w:rsidDel="00A461C4">
              <w:t>Vertebrates Working Group</w:t>
            </w:r>
          </w:p>
        </w:tc>
        <w:tc>
          <w:tcPr>
            <w:tcW w:w="1905" w:type="pct"/>
          </w:tcPr>
          <w:p w:rsidR="0074246A" w:rsidRPr="00AC6827" w:rsidDel="00A461C4" w:rsidRDefault="0074246A" w:rsidP="0074246A">
            <w:pPr>
              <w:tabs>
                <w:tab w:val="left" w:pos="592"/>
              </w:tabs>
              <w:spacing w:after="0"/>
              <w:jc w:val="center"/>
              <w:rPr>
                <w:rFonts w:asciiTheme="minorHAnsi" w:hAnsiTheme="minorHAnsi" w:cs="Arial"/>
              </w:rPr>
            </w:pPr>
            <w:r>
              <w:rPr>
                <w:rFonts w:asciiTheme="minorHAnsi" w:hAnsiTheme="minorHAnsi" w:cs="Arial"/>
              </w:rPr>
              <w:t>New South Wales Office of Environment and Heritage</w:t>
            </w:r>
          </w:p>
        </w:tc>
      </w:tr>
      <w:tr w:rsidR="0074246A" w:rsidRPr="00AC6827" w:rsidDel="00A461C4" w:rsidTr="00E31C61">
        <w:trPr>
          <w:trHeight w:val="846"/>
        </w:trPr>
        <w:tc>
          <w:tcPr>
            <w:tcW w:w="3095" w:type="pct"/>
            <w:vAlign w:val="center"/>
          </w:tcPr>
          <w:p w:rsidR="0074246A" w:rsidRPr="00AC6827" w:rsidDel="00A461C4" w:rsidRDefault="0074246A" w:rsidP="003A2B7D">
            <w:pPr>
              <w:rPr>
                <w:rFonts w:asciiTheme="minorHAnsi" w:hAnsiTheme="minorHAnsi" w:cs="Arial"/>
              </w:rPr>
            </w:pPr>
            <w:r w:rsidDel="00A461C4">
              <w:t>Terrestrial I</w:t>
            </w:r>
            <w:r w:rsidRPr="000C6DA4" w:rsidDel="00A461C4">
              <w:t>nvertebrates Working Group</w:t>
            </w:r>
          </w:p>
        </w:tc>
        <w:tc>
          <w:tcPr>
            <w:tcW w:w="1905" w:type="pct"/>
          </w:tcPr>
          <w:p w:rsidR="0074246A" w:rsidRPr="00AC6827" w:rsidDel="00A461C4" w:rsidRDefault="0074246A" w:rsidP="0074246A">
            <w:pPr>
              <w:tabs>
                <w:tab w:val="left" w:pos="592"/>
              </w:tabs>
              <w:spacing w:after="0"/>
              <w:jc w:val="center"/>
              <w:rPr>
                <w:rFonts w:asciiTheme="minorHAnsi" w:hAnsiTheme="minorHAnsi" w:cs="Arial"/>
              </w:rPr>
            </w:pPr>
            <w:r>
              <w:rPr>
                <w:rFonts w:asciiTheme="minorHAnsi" w:hAnsiTheme="minorHAnsi" w:cs="Arial"/>
              </w:rPr>
              <w:t>New South Wales Department of Primary Industries</w:t>
            </w:r>
          </w:p>
        </w:tc>
      </w:tr>
      <w:tr w:rsidR="0074246A" w:rsidRPr="00AC6827" w:rsidDel="00A461C4" w:rsidTr="00E31C61">
        <w:trPr>
          <w:trHeight w:val="852"/>
        </w:trPr>
        <w:tc>
          <w:tcPr>
            <w:tcW w:w="3095" w:type="pct"/>
            <w:vAlign w:val="center"/>
          </w:tcPr>
          <w:p w:rsidR="0074246A" w:rsidRPr="00AC6827" w:rsidDel="00A461C4" w:rsidRDefault="0074246A" w:rsidP="00FC7A29">
            <w:pPr>
              <w:rPr>
                <w:rFonts w:asciiTheme="minorHAnsi" w:hAnsiTheme="minorHAnsi" w:cs="Arial"/>
              </w:rPr>
            </w:pPr>
            <w:r w:rsidRPr="00AC6827" w:rsidDel="00A461C4">
              <w:rPr>
                <w:rFonts w:asciiTheme="minorHAnsi" w:hAnsiTheme="minorHAnsi" w:cs="Arial"/>
              </w:rPr>
              <w:t xml:space="preserve">Environmental Biosecurity Advisory </w:t>
            </w:r>
            <w:r w:rsidR="00FC7A29">
              <w:rPr>
                <w:rFonts w:asciiTheme="minorHAnsi" w:hAnsiTheme="minorHAnsi" w:cs="Arial"/>
              </w:rPr>
              <w:t>Group</w:t>
            </w:r>
          </w:p>
        </w:tc>
        <w:tc>
          <w:tcPr>
            <w:tcW w:w="1905" w:type="pct"/>
          </w:tcPr>
          <w:p w:rsidR="0074246A" w:rsidRPr="00AC6827" w:rsidDel="00A461C4" w:rsidRDefault="00FC7A29" w:rsidP="0074246A">
            <w:pPr>
              <w:tabs>
                <w:tab w:val="left" w:pos="592"/>
              </w:tabs>
              <w:spacing w:after="0"/>
              <w:jc w:val="center"/>
              <w:rPr>
                <w:rFonts w:asciiTheme="minorHAnsi" w:hAnsiTheme="minorHAnsi" w:cs="Arial"/>
              </w:rPr>
            </w:pPr>
            <w:r>
              <w:rPr>
                <w:rFonts w:asciiTheme="minorHAnsi" w:hAnsiTheme="minorHAnsi" w:cs="Arial"/>
              </w:rPr>
              <w:t>Australian Chief Environmental Biosecurity Officer</w:t>
            </w:r>
          </w:p>
        </w:tc>
      </w:tr>
    </w:tbl>
    <w:p w:rsidR="0074246A" w:rsidRPr="002936E7" w:rsidRDefault="0074246A" w:rsidP="00425D6B">
      <w:pPr>
        <w:spacing w:before="240"/>
        <w:rPr>
          <w:b/>
          <w:i/>
        </w:rPr>
      </w:pPr>
      <w:r w:rsidRPr="00CC5F6D">
        <w:t xml:space="preserve">Governance arrangements for </w:t>
      </w:r>
      <w:r w:rsidR="00060A5E">
        <w:t>sub-</w:t>
      </w:r>
      <w:r w:rsidRPr="00CC5F6D">
        <w:t xml:space="preserve">groups are set out in the </w:t>
      </w:r>
      <w:r>
        <w:t xml:space="preserve">EIC </w:t>
      </w:r>
      <w:r w:rsidRPr="00CC5F6D">
        <w:t>operating guidelines.</w:t>
      </w:r>
    </w:p>
    <w:p w:rsidR="006050AF" w:rsidRPr="00F72CC2" w:rsidDel="00696FDE" w:rsidRDefault="006050AF" w:rsidP="006050AF">
      <w:pPr>
        <w:rPr>
          <w:b/>
          <w:i/>
        </w:rPr>
      </w:pPr>
      <w:r w:rsidRPr="00F72CC2" w:rsidDel="00696FDE">
        <w:rPr>
          <w:b/>
        </w:rPr>
        <w:t xml:space="preserve">Sunset clauses </w:t>
      </w:r>
    </w:p>
    <w:p w:rsidR="006050AF" w:rsidDel="00696FDE" w:rsidRDefault="006050AF" w:rsidP="006050AF">
      <w:pPr>
        <w:pStyle w:val="ListBullet"/>
        <w:spacing w:before="120"/>
        <w:rPr>
          <w:rFonts w:asciiTheme="minorHAnsi" w:hAnsiTheme="minorHAnsi"/>
        </w:rPr>
      </w:pPr>
      <w:r>
        <w:rPr>
          <w:rFonts w:asciiTheme="minorHAnsi" w:hAnsiTheme="minorHAnsi"/>
        </w:rPr>
        <w:t>Working and advisory groups</w:t>
      </w:r>
      <w:r w:rsidDel="00696FDE">
        <w:rPr>
          <w:rFonts w:asciiTheme="minorHAnsi" w:hAnsiTheme="minorHAnsi"/>
        </w:rPr>
        <w:t xml:space="preserve"> are ongoing. </w:t>
      </w:r>
    </w:p>
    <w:p w:rsidR="006050AF" w:rsidRPr="00AC6827" w:rsidDel="00696FDE" w:rsidRDefault="006050AF" w:rsidP="006050AF">
      <w:pPr>
        <w:pStyle w:val="ListBullet"/>
        <w:spacing w:before="120"/>
        <w:rPr>
          <w:rFonts w:asciiTheme="minorHAnsi" w:hAnsiTheme="minorHAnsi"/>
        </w:rPr>
      </w:pPr>
      <w:r>
        <w:rPr>
          <w:rFonts w:asciiTheme="minorHAnsi" w:hAnsiTheme="minorHAnsi"/>
          <w:lang w:eastAsia="en-AU"/>
        </w:rPr>
        <w:t>Task</w:t>
      </w:r>
      <w:r w:rsidDel="00696FDE">
        <w:rPr>
          <w:rFonts w:asciiTheme="minorHAnsi" w:hAnsiTheme="minorHAnsi"/>
        </w:rPr>
        <w:t xml:space="preserve"> </w:t>
      </w:r>
      <w:r w:rsidRPr="00AC6827" w:rsidDel="00696FDE">
        <w:rPr>
          <w:rFonts w:asciiTheme="minorHAnsi" w:hAnsiTheme="minorHAnsi"/>
        </w:rPr>
        <w:t xml:space="preserve">groups are to be </w:t>
      </w:r>
      <w:r w:rsidDel="00696FDE">
        <w:rPr>
          <w:rFonts w:asciiTheme="minorHAnsi" w:hAnsiTheme="minorHAnsi"/>
        </w:rPr>
        <w:t xml:space="preserve">time-limited or </w:t>
      </w:r>
      <w:r w:rsidRPr="00AC6827" w:rsidDel="00696FDE">
        <w:rPr>
          <w:rFonts w:asciiTheme="minorHAnsi" w:hAnsiTheme="minorHAnsi"/>
        </w:rPr>
        <w:t xml:space="preserve">reviewed annually, unless otherwise provided in their terms of reference.  </w:t>
      </w:r>
    </w:p>
    <w:p w:rsidR="006050AF" w:rsidRPr="00AC6827" w:rsidDel="00696FDE" w:rsidRDefault="006050AF" w:rsidP="006050AF">
      <w:pPr>
        <w:pStyle w:val="ListBullet"/>
        <w:spacing w:before="120"/>
        <w:rPr>
          <w:rFonts w:asciiTheme="minorHAnsi" w:hAnsiTheme="minorHAnsi"/>
          <w:lang w:val="en-GB"/>
        </w:rPr>
      </w:pPr>
      <w:r w:rsidRPr="00AC6827" w:rsidDel="00696FDE">
        <w:rPr>
          <w:rFonts w:asciiTheme="minorHAnsi" w:hAnsiTheme="minorHAnsi"/>
          <w:lang w:val="en-GB"/>
        </w:rPr>
        <w:t xml:space="preserve">Observer status will be reviewed every two years, aligned with the review of the committee terms of reference. </w:t>
      </w:r>
    </w:p>
    <w:p w:rsidR="0074246A" w:rsidRPr="0074246A" w:rsidRDefault="00FC7A29" w:rsidP="0074246A">
      <w:pPr>
        <w:rPr>
          <w:rFonts w:asciiTheme="minorHAnsi" w:hAnsiTheme="minorHAnsi"/>
          <w:sz w:val="14"/>
          <w:szCs w:val="20"/>
        </w:rPr>
      </w:pPr>
      <w:r>
        <w:rPr>
          <w:rFonts w:asciiTheme="minorHAnsi" w:hAnsiTheme="minorHAnsi"/>
          <w:sz w:val="14"/>
          <w:szCs w:val="20"/>
        </w:rPr>
        <w:t>Version history:</w:t>
      </w:r>
    </w:p>
    <w:tbl>
      <w:tblPr>
        <w:tblStyle w:val="TableGrid"/>
        <w:tblpPr w:leftFromText="180" w:rightFromText="180" w:vertAnchor="text" w:tblpY="1"/>
        <w:tblOverlap w:val="never"/>
        <w:tblW w:w="9493" w:type="dxa"/>
        <w:tblLook w:val="04A0" w:firstRow="1" w:lastRow="0" w:firstColumn="1" w:lastColumn="0" w:noHBand="0" w:noVBand="1"/>
      </w:tblPr>
      <w:tblGrid>
        <w:gridCol w:w="1129"/>
        <w:gridCol w:w="1701"/>
        <w:gridCol w:w="6663"/>
      </w:tblGrid>
      <w:tr w:rsidR="00931616" w:rsidRPr="0074246A" w:rsidTr="00425D6B">
        <w:tc>
          <w:tcPr>
            <w:tcW w:w="1129" w:type="dxa"/>
          </w:tcPr>
          <w:p w:rsidR="00931616" w:rsidRPr="0074246A" w:rsidRDefault="00931616" w:rsidP="0074246A">
            <w:pPr>
              <w:rPr>
                <w:rFonts w:asciiTheme="minorHAnsi" w:hAnsiTheme="minorHAnsi"/>
                <w:sz w:val="14"/>
                <w:szCs w:val="20"/>
              </w:rPr>
            </w:pPr>
            <w:r w:rsidRPr="0074246A">
              <w:rPr>
                <w:rFonts w:asciiTheme="minorHAnsi" w:hAnsiTheme="minorHAnsi"/>
                <w:sz w:val="14"/>
                <w:szCs w:val="20"/>
              </w:rPr>
              <w:t>Version: 1</w:t>
            </w:r>
          </w:p>
        </w:tc>
        <w:tc>
          <w:tcPr>
            <w:tcW w:w="1701" w:type="dxa"/>
          </w:tcPr>
          <w:p w:rsidR="00931616" w:rsidRPr="0074246A" w:rsidRDefault="00931616" w:rsidP="0074246A">
            <w:pPr>
              <w:rPr>
                <w:rFonts w:asciiTheme="minorHAnsi" w:hAnsiTheme="minorHAnsi"/>
                <w:sz w:val="14"/>
                <w:szCs w:val="20"/>
              </w:rPr>
            </w:pPr>
            <w:r w:rsidRPr="0074246A">
              <w:rPr>
                <w:rFonts w:asciiTheme="minorHAnsi" w:hAnsiTheme="minorHAnsi"/>
                <w:sz w:val="14"/>
                <w:szCs w:val="20"/>
              </w:rPr>
              <w:t>Date: 14 February 2018</w:t>
            </w:r>
          </w:p>
        </w:tc>
        <w:tc>
          <w:tcPr>
            <w:tcW w:w="6663" w:type="dxa"/>
          </w:tcPr>
          <w:p w:rsidR="00931616" w:rsidRPr="0074246A" w:rsidRDefault="00931616" w:rsidP="0074246A">
            <w:pPr>
              <w:rPr>
                <w:rFonts w:asciiTheme="minorHAnsi" w:hAnsiTheme="minorHAnsi"/>
                <w:sz w:val="14"/>
                <w:szCs w:val="20"/>
              </w:rPr>
            </w:pPr>
            <w:r>
              <w:rPr>
                <w:rFonts w:asciiTheme="minorHAnsi" w:hAnsiTheme="minorHAnsi"/>
                <w:sz w:val="14"/>
                <w:szCs w:val="20"/>
              </w:rPr>
              <w:t>Endorsed by National Biosecurity Committee</w:t>
            </w:r>
            <w:r w:rsidR="003D53BD">
              <w:rPr>
                <w:rFonts w:asciiTheme="minorHAnsi" w:hAnsiTheme="minorHAnsi"/>
                <w:sz w:val="14"/>
                <w:szCs w:val="20"/>
              </w:rPr>
              <w:t xml:space="preserve"> at NBC27.</w:t>
            </w:r>
          </w:p>
        </w:tc>
      </w:tr>
      <w:tr w:rsidR="00931616" w:rsidRPr="0074246A" w:rsidTr="00425D6B">
        <w:tc>
          <w:tcPr>
            <w:tcW w:w="1129" w:type="dxa"/>
          </w:tcPr>
          <w:p w:rsidR="00931616" w:rsidRPr="0074246A" w:rsidRDefault="00931616" w:rsidP="0074246A">
            <w:pPr>
              <w:rPr>
                <w:rFonts w:asciiTheme="minorHAnsi" w:hAnsiTheme="minorHAnsi"/>
                <w:sz w:val="14"/>
                <w:szCs w:val="20"/>
              </w:rPr>
            </w:pPr>
            <w:r>
              <w:rPr>
                <w:rFonts w:asciiTheme="minorHAnsi" w:hAnsiTheme="minorHAnsi"/>
                <w:sz w:val="14"/>
                <w:szCs w:val="20"/>
              </w:rPr>
              <w:t>Version 1.1</w:t>
            </w:r>
          </w:p>
        </w:tc>
        <w:tc>
          <w:tcPr>
            <w:tcW w:w="1701" w:type="dxa"/>
          </w:tcPr>
          <w:p w:rsidR="00931616" w:rsidRPr="0074246A" w:rsidRDefault="00931616" w:rsidP="00931616">
            <w:pPr>
              <w:rPr>
                <w:rFonts w:asciiTheme="minorHAnsi" w:hAnsiTheme="minorHAnsi"/>
                <w:sz w:val="14"/>
                <w:szCs w:val="20"/>
              </w:rPr>
            </w:pPr>
            <w:r>
              <w:rPr>
                <w:rFonts w:asciiTheme="minorHAnsi" w:hAnsiTheme="minorHAnsi"/>
                <w:sz w:val="14"/>
                <w:szCs w:val="20"/>
              </w:rPr>
              <w:t>Date: 7 December 2018</w:t>
            </w:r>
          </w:p>
        </w:tc>
        <w:tc>
          <w:tcPr>
            <w:tcW w:w="6663" w:type="dxa"/>
          </w:tcPr>
          <w:p w:rsidR="00931616" w:rsidRPr="0074246A" w:rsidRDefault="00051CE5" w:rsidP="003D53BD">
            <w:pPr>
              <w:rPr>
                <w:rFonts w:asciiTheme="minorHAnsi" w:hAnsiTheme="minorHAnsi"/>
                <w:sz w:val="14"/>
                <w:szCs w:val="20"/>
              </w:rPr>
            </w:pPr>
            <w:r>
              <w:rPr>
                <w:rFonts w:asciiTheme="minorHAnsi" w:hAnsiTheme="minorHAnsi"/>
                <w:sz w:val="14"/>
                <w:szCs w:val="20"/>
              </w:rPr>
              <w:t>Inclusion of</w:t>
            </w:r>
            <w:r w:rsidR="00931616">
              <w:rPr>
                <w:rFonts w:asciiTheme="minorHAnsi" w:hAnsiTheme="minorHAnsi"/>
                <w:sz w:val="14"/>
                <w:szCs w:val="20"/>
              </w:rPr>
              <w:t xml:space="preserve"> Australian Chief Environmental Biosecurity Officer as observer</w:t>
            </w:r>
            <w:r w:rsidR="00FC7A29">
              <w:rPr>
                <w:rFonts w:asciiTheme="minorHAnsi" w:hAnsiTheme="minorHAnsi"/>
                <w:sz w:val="14"/>
                <w:szCs w:val="20"/>
              </w:rPr>
              <w:t xml:space="preserve"> and chair of Environmental Biosecurity Advisory Group</w:t>
            </w:r>
            <w:r>
              <w:rPr>
                <w:rFonts w:asciiTheme="minorHAnsi" w:hAnsiTheme="minorHAnsi"/>
                <w:sz w:val="14"/>
                <w:szCs w:val="20"/>
              </w:rPr>
              <w:t>, at request of National Biosecurity Committee</w:t>
            </w:r>
            <w:r w:rsidR="00FC7A29">
              <w:rPr>
                <w:rFonts w:asciiTheme="minorHAnsi" w:hAnsiTheme="minorHAnsi"/>
                <w:sz w:val="14"/>
                <w:szCs w:val="20"/>
              </w:rPr>
              <w:t>.</w:t>
            </w:r>
            <w:r>
              <w:rPr>
                <w:rFonts w:asciiTheme="minorHAnsi" w:hAnsiTheme="minorHAnsi"/>
                <w:sz w:val="14"/>
                <w:szCs w:val="20"/>
              </w:rPr>
              <w:t xml:space="preserve"> </w:t>
            </w:r>
          </w:p>
        </w:tc>
      </w:tr>
      <w:tr w:rsidR="00051CE5" w:rsidRPr="0074246A" w:rsidTr="00425D6B">
        <w:tc>
          <w:tcPr>
            <w:tcW w:w="1129" w:type="dxa"/>
          </w:tcPr>
          <w:p w:rsidR="00051CE5" w:rsidRDefault="00051CE5" w:rsidP="0074246A">
            <w:pPr>
              <w:rPr>
                <w:rFonts w:asciiTheme="minorHAnsi" w:hAnsiTheme="minorHAnsi"/>
                <w:sz w:val="14"/>
                <w:szCs w:val="20"/>
              </w:rPr>
            </w:pPr>
            <w:r>
              <w:rPr>
                <w:rFonts w:asciiTheme="minorHAnsi" w:hAnsiTheme="minorHAnsi"/>
                <w:sz w:val="14"/>
                <w:szCs w:val="20"/>
              </w:rPr>
              <w:t xml:space="preserve">Version: 2 </w:t>
            </w:r>
          </w:p>
        </w:tc>
        <w:tc>
          <w:tcPr>
            <w:tcW w:w="1701" w:type="dxa"/>
          </w:tcPr>
          <w:p w:rsidR="00051CE5" w:rsidRDefault="00051CE5" w:rsidP="006B1835">
            <w:pPr>
              <w:rPr>
                <w:rFonts w:asciiTheme="minorHAnsi" w:hAnsiTheme="minorHAnsi"/>
                <w:sz w:val="14"/>
                <w:szCs w:val="20"/>
              </w:rPr>
            </w:pPr>
            <w:r>
              <w:rPr>
                <w:rFonts w:asciiTheme="minorHAnsi" w:hAnsiTheme="minorHAnsi"/>
                <w:sz w:val="14"/>
                <w:szCs w:val="20"/>
              </w:rPr>
              <w:t xml:space="preserve">Date: </w:t>
            </w:r>
            <w:r w:rsidR="00074FAA">
              <w:rPr>
                <w:rFonts w:asciiTheme="minorHAnsi" w:hAnsiTheme="minorHAnsi"/>
                <w:sz w:val="14"/>
                <w:szCs w:val="20"/>
              </w:rPr>
              <w:t>23</w:t>
            </w:r>
            <w:r>
              <w:rPr>
                <w:rFonts w:asciiTheme="minorHAnsi" w:hAnsiTheme="minorHAnsi"/>
                <w:sz w:val="14"/>
                <w:szCs w:val="20"/>
              </w:rPr>
              <w:t xml:space="preserve"> </w:t>
            </w:r>
            <w:r w:rsidR="006B1835">
              <w:rPr>
                <w:rFonts w:asciiTheme="minorHAnsi" w:hAnsiTheme="minorHAnsi"/>
                <w:sz w:val="14"/>
                <w:szCs w:val="20"/>
              </w:rPr>
              <w:t>May</w:t>
            </w:r>
            <w:r>
              <w:rPr>
                <w:rFonts w:asciiTheme="minorHAnsi" w:hAnsiTheme="minorHAnsi"/>
                <w:sz w:val="14"/>
                <w:szCs w:val="20"/>
              </w:rPr>
              <w:t xml:space="preserve"> 2019</w:t>
            </w:r>
          </w:p>
        </w:tc>
        <w:tc>
          <w:tcPr>
            <w:tcW w:w="6663" w:type="dxa"/>
          </w:tcPr>
          <w:p w:rsidR="00051CE5" w:rsidRDefault="00051CE5" w:rsidP="004A4AF1">
            <w:pPr>
              <w:rPr>
                <w:rFonts w:asciiTheme="minorHAnsi" w:hAnsiTheme="minorHAnsi"/>
                <w:sz w:val="14"/>
                <w:szCs w:val="20"/>
              </w:rPr>
            </w:pPr>
            <w:r>
              <w:rPr>
                <w:rFonts w:asciiTheme="minorHAnsi" w:hAnsiTheme="minorHAnsi"/>
                <w:sz w:val="14"/>
                <w:szCs w:val="20"/>
              </w:rPr>
              <w:t>Inclusion of Department of Environment and Science as a co-member for Queensland</w:t>
            </w:r>
            <w:r w:rsidR="004A4AF1">
              <w:rPr>
                <w:rFonts w:asciiTheme="minorHAnsi" w:hAnsiTheme="minorHAnsi"/>
                <w:sz w:val="14"/>
                <w:szCs w:val="20"/>
              </w:rPr>
              <w:t xml:space="preserve"> and Queensland</w:t>
            </w:r>
            <w:r w:rsidR="004A4AF1" w:rsidRPr="004A4AF1">
              <w:rPr>
                <w:rFonts w:asciiTheme="minorHAnsi" w:hAnsiTheme="minorHAnsi"/>
                <w:sz w:val="14"/>
                <w:szCs w:val="20"/>
              </w:rPr>
              <w:t xml:space="preserve"> Department of Agriculture and Fisheries</w:t>
            </w:r>
            <w:r w:rsidR="004A4AF1">
              <w:rPr>
                <w:rFonts w:asciiTheme="minorHAnsi" w:hAnsiTheme="minorHAnsi"/>
                <w:sz w:val="14"/>
                <w:szCs w:val="20"/>
              </w:rPr>
              <w:t xml:space="preserve"> as the chair of the FVIWG</w:t>
            </w:r>
            <w:r>
              <w:rPr>
                <w:rFonts w:asciiTheme="minorHAnsi" w:hAnsiTheme="minorHAnsi"/>
                <w:sz w:val="14"/>
                <w:szCs w:val="20"/>
              </w:rPr>
              <w:t>.</w:t>
            </w:r>
            <w:r w:rsidR="009A23ED">
              <w:rPr>
                <w:rFonts w:asciiTheme="minorHAnsi" w:hAnsiTheme="minorHAnsi"/>
                <w:sz w:val="14"/>
                <w:szCs w:val="20"/>
              </w:rPr>
              <w:t xml:space="preserve"> </w:t>
            </w:r>
            <w:r w:rsidR="006050AF">
              <w:rPr>
                <w:rFonts w:asciiTheme="minorHAnsi" w:hAnsiTheme="minorHAnsi"/>
                <w:sz w:val="14"/>
                <w:szCs w:val="20"/>
              </w:rPr>
              <w:t>Minor changes to improve clarity (e.g. ‘Working and Task Groups’ changed to ‘Sub Groups’</w:t>
            </w:r>
            <w:r w:rsidR="00BA1C95">
              <w:rPr>
                <w:rFonts w:asciiTheme="minorHAnsi" w:hAnsiTheme="minorHAnsi"/>
                <w:sz w:val="14"/>
                <w:szCs w:val="20"/>
              </w:rPr>
              <w:t>, moved ‘Sunset Clauses’ section to end</w:t>
            </w:r>
            <w:r w:rsidR="006050AF">
              <w:rPr>
                <w:rFonts w:asciiTheme="minorHAnsi" w:hAnsiTheme="minorHAnsi"/>
                <w:sz w:val="14"/>
                <w:szCs w:val="20"/>
              </w:rPr>
              <w:t xml:space="preserve">). </w:t>
            </w:r>
            <w:r w:rsidR="009A23ED">
              <w:rPr>
                <w:rFonts w:asciiTheme="minorHAnsi" w:hAnsiTheme="minorHAnsi"/>
                <w:sz w:val="14"/>
                <w:szCs w:val="20"/>
              </w:rPr>
              <w:t xml:space="preserve">Endorsed </w:t>
            </w:r>
            <w:r>
              <w:rPr>
                <w:rFonts w:asciiTheme="minorHAnsi" w:hAnsiTheme="minorHAnsi"/>
                <w:sz w:val="14"/>
                <w:szCs w:val="20"/>
              </w:rPr>
              <w:t>by National Biosecurity Committee</w:t>
            </w:r>
            <w:r w:rsidR="003D53BD">
              <w:rPr>
                <w:rFonts w:asciiTheme="minorHAnsi" w:hAnsiTheme="minorHAnsi"/>
                <w:sz w:val="14"/>
                <w:szCs w:val="20"/>
              </w:rPr>
              <w:t xml:space="preserve"> out of session</w:t>
            </w:r>
            <w:r>
              <w:rPr>
                <w:rFonts w:asciiTheme="minorHAnsi" w:hAnsiTheme="minorHAnsi"/>
                <w:sz w:val="14"/>
                <w:szCs w:val="20"/>
              </w:rPr>
              <w:t>.</w:t>
            </w:r>
          </w:p>
        </w:tc>
      </w:tr>
      <w:tr w:rsidR="00BA03F8" w:rsidRPr="0074246A" w:rsidTr="008126C2">
        <w:tc>
          <w:tcPr>
            <w:tcW w:w="1129" w:type="dxa"/>
          </w:tcPr>
          <w:p w:rsidR="00BA03F8" w:rsidRDefault="00BA03F8" w:rsidP="008126C2">
            <w:pPr>
              <w:rPr>
                <w:rFonts w:asciiTheme="minorHAnsi" w:hAnsiTheme="minorHAnsi"/>
                <w:sz w:val="14"/>
                <w:szCs w:val="20"/>
              </w:rPr>
            </w:pPr>
            <w:r>
              <w:rPr>
                <w:rFonts w:asciiTheme="minorHAnsi" w:hAnsiTheme="minorHAnsi"/>
                <w:sz w:val="14"/>
                <w:szCs w:val="20"/>
              </w:rPr>
              <w:t>Version: 3</w:t>
            </w:r>
          </w:p>
        </w:tc>
        <w:tc>
          <w:tcPr>
            <w:tcW w:w="1701" w:type="dxa"/>
          </w:tcPr>
          <w:p w:rsidR="00BA03F8" w:rsidRDefault="00BA03F8" w:rsidP="00BA03F8">
            <w:pPr>
              <w:rPr>
                <w:rFonts w:asciiTheme="minorHAnsi" w:hAnsiTheme="minorHAnsi"/>
                <w:sz w:val="14"/>
                <w:szCs w:val="20"/>
              </w:rPr>
            </w:pPr>
            <w:r>
              <w:rPr>
                <w:rFonts w:asciiTheme="minorHAnsi" w:hAnsiTheme="minorHAnsi"/>
                <w:sz w:val="14"/>
                <w:szCs w:val="20"/>
              </w:rPr>
              <w:t>Date: 24 September 2019</w:t>
            </w:r>
          </w:p>
        </w:tc>
        <w:tc>
          <w:tcPr>
            <w:tcW w:w="6663" w:type="dxa"/>
          </w:tcPr>
          <w:p w:rsidR="00BA03F8" w:rsidRDefault="007B52D4" w:rsidP="00E62DCB">
            <w:pPr>
              <w:rPr>
                <w:rFonts w:asciiTheme="minorHAnsi" w:hAnsiTheme="minorHAnsi"/>
                <w:sz w:val="14"/>
                <w:szCs w:val="20"/>
              </w:rPr>
            </w:pPr>
            <w:r>
              <w:rPr>
                <w:sz w:val="14"/>
                <w:szCs w:val="20"/>
              </w:rPr>
              <w:t xml:space="preserve">Inclusion of Australian Chief Environmental Biosecurity Officer a member, rather than observer of the Committee, and the </w:t>
            </w:r>
            <w:r w:rsidRPr="00BA03F8">
              <w:rPr>
                <w:sz w:val="14"/>
                <w:szCs w:val="20"/>
              </w:rPr>
              <w:t>Department of Biodiversity, Conservation and Attractions</w:t>
            </w:r>
            <w:r>
              <w:rPr>
                <w:sz w:val="14"/>
                <w:szCs w:val="20"/>
              </w:rPr>
              <w:t xml:space="preserve"> as a co-member for Western Australia.</w:t>
            </w:r>
          </w:p>
        </w:tc>
      </w:tr>
    </w:tbl>
    <w:p w:rsidR="006D68D2" w:rsidRDefault="00B6120A"/>
    <w:sectPr w:rsidR="006D68D2" w:rsidSect="00080816">
      <w:footerReference w:type="default" r:id="rId8"/>
      <w:pgSz w:w="11906" w:h="16838"/>
      <w:pgMar w:top="993" w:right="1440" w:bottom="567" w:left="1440" w:header="68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55E0" w:rsidRDefault="004355E0" w:rsidP="0074246A">
      <w:pPr>
        <w:spacing w:before="0" w:after="0"/>
      </w:pPr>
      <w:r>
        <w:separator/>
      </w:r>
    </w:p>
  </w:endnote>
  <w:endnote w:type="continuationSeparator" w:id="0">
    <w:p w:rsidR="004355E0" w:rsidRDefault="004355E0" w:rsidP="0074246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973299"/>
      <w:docPartObj>
        <w:docPartGallery w:val="Page Numbers (Bottom of Page)"/>
        <w:docPartUnique/>
      </w:docPartObj>
    </w:sdtPr>
    <w:sdtEndPr>
      <w:rPr>
        <w:noProof/>
      </w:rPr>
    </w:sdtEndPr>
    <w:sdtContent>
      <w:p w:rsidR="0074246A" w:rsidRDefault="0074246A">
        <w:pPr>
          <w:pStyle w:val="Footer"/>
          <w:jc w:val="right"/>
        </w:pPr>
        <w:r>
          <w:fldChar w:fldCharType="begin"/>
        </w:r>
        <w:r>
          <w:instrText xml:space="preserve"> PAGE   \* MERGEFORMAT </w:instrText>
        </w:r>
        <w:r>
          <w:fldChar w:fldCharType="separate"/>
        </w:r>
        <w:r w:rsidR="00B6120A">
          <w:rPr>
            <w:noProof/>
          </w:rPr>
          <w:t>1</w:t>
        </w:r>
        <w:r>
          <w:rPr>
            <w:noProof/>
          </w:rPr>
          <w:fldChar w:fldCharType="end"/>
        </w:r>
      </w:p>
    </w:sdtContent>
  </w:sdt>
  <w:p w:rsidR="0074246A" w:rsidRDefault="007424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55E0" w:rsidRDefault="004355E0" w:rsidP="0074246A">
      <w:pPr>
        <w:spacing w:before="0" w:after="0"/>
      </w:pPr>
      <w:r>
        <w:separator/>
      </w:r>
    </w:p>
  </w:footnote>
  <w:footnote w:type="continuationSeparator" w:id="0">
    <w:p w:rsidR="004355E0" w:rsidRDefault="004355E0" w:rsidP="0074246A">
      <w:pPr>
        <w:spacing w:before="0" w:after="0"/>
      </w:pPr>
      <w:r>
        <w:continuationSeparator/>
      </w:r>
    </w:p>
  </w:footnote>
  <w:footnote w:id="1">
    <w:p w:rsidR="0074246A" w:rsidRPr="001C360E" w:rsidRDefault="0074246A" w:rsidP="00DC2067">
      <w:pPr>
        <w:pStyle w:val="FootnoteText"/>
        <w:spacing w:before="0" w:after="0"/>
        <w:rPr>
          <w:rFonts w:asciiTheme="minorHAnsi" w:hAnsiTheme="minorHAnsi"/>
          <w:sz w:val="18"/>
        </w:rPr>
      </w:pPr>
      <w:r w:rsidRPr="001C360E">
        <w:rPr>
          <w:rStyle w:val="FootnoteReference"/>
          <w:rFonts w:asciiTheme="minorHAnsi" w:eastAsiaTheme="majorEastAsia" w:hAnsiTheme="minorHAnsi"/>
          <w:sz w:val="16"/>
          <w:szCs w:val="24"/>
          <w:lang w:val="en-US" w:bidi="en-US"/>
        </w:rPr>
        <w:footnoteRef/>
      </w:r>
      <w:r w:rsidRPr="001C360E">
        <w:rPr>
          <w:rStyle w:val="FootnoteReference"/>
          <w:rFonts w:asciiTheme="minorHAnsi" w:eastAsiaTheme="majorEastAsia" w:hAnsiTheme="minorHAnsi"/>
          <w:sz w:val="16"/>
          <w:szCs w:val="24"/>
          <w:lang w:val="en-US" w:bidi="en-US"/>
        </w:rPr>
        <w:t xml:space="preserve"> </w:t>
      </w:r>
      <w:r w:rsidRPr="001C360E">
        <w:rPr>
          <w:rFonts w:asciiTheme="minorHAnsi" w:hAnsiTheme="minorHAnsi"/>
          <w:sz w:val="14"/>
          <w:lang w:val="en-US" w:bidi="en-US"/>
        </w:rPr>
        <w:t>An invasive species is a species occurring, as a result of human activities, beyond its accepted normal distribution and which threatens valued environmental, agricultural or other social resources by the damage it causes.</w:t>
      </w:r>
    </w:p>
  </w:footnote>
  <w:footnote w:id="2">
    <w:p w:rsidR="0074246A" w:rsidRPr="001C360E" w:rsidRDefault="0074246A" w:rsidP="0074246A">
      <w:pPr>
        <w:outlineLvl w:val="2"/>
        <w:rPr>
          <w:rFonts w:asciiTheme="minorHAnsi" w:hAnsiTheme="minorHAnsi" w:cs="Arial"/>
          <w:sz w:val="14"/>
        </w:rPr>
      </w:pPr>
      <w:r w:rsidRPr="001C360E">
        <w:rPr>
          <w:rStyle w:val="FootnoteReference"/>
          <w:rFonts w:asciiTheme="minorHAnsi" w:eastAsiaTheme="majorEastAsia" w:hAnsiTheme="minorHAnsi"/>
          <w:sz w:val="16"/>
        </w:rPr>
        <w:footnoteRef/>
      </w:r>
      <w:r w:rsidRPr="001C360E">
        <w:rPr>
          <w:rFonts w:asciiTheme="minorHAnsi" w:hAnsiTheme="minorHAnsi"/>
          <w:sz w:val="16"/>
        </w:rPr>
        <w:t xml:space="preserve"> </w:t>
      </w:r>
      <w:r w:rsidRPr="001C360E">
        <w:rPr>
          <w:rFonts w:asciiTheme="minorHAnsi" w:hAnsiTheme="minorHAnsi" w:cs="Arial"/>
          <w:sz w:val="14"/>
        </w:rPr>
        <w:t xml:space="preserve">Environmental biosecurity is the protection of the environment and/or social amenity from the risks and negative effects of pests and diseases entering, emerging, establishing or spreading in Australia. </w:t>
      </w:r>
    </w:p>
    <w:p w:rsidR="0074246A" w:rsidRPr="001C360E" w:rsidRDefault="0074246A" w:rsidP="00DC2067">
      <w:pPr>
        <w:tabs>
          <w:tab w:val="center" w:pos="4513"/>
        </w:tabs>
        <w:spacing w:after="0" w:line="276" w:lineRule="auto"/>
        <w:outlineLvl w:val="2"/>
        <w:rPr>
          <w:rFonts w:asciiTheme="minorHAnsi" w:hAnsiTheme="minorHAnsi" w:cs="Arial"/>
          <w:i/>
          <w:sz w:val="14"/>
        </w:rPr>
      </w:pPr>
      <w:r w:rsidRPr="001C360E">
        <w:rPr>
          <w:rFonts w:asciiTheme="minorHAnsi" w:hAnsiTheme="minorHAnsi" w:cs="Arial"/>
          <w:sz w:val="14"/>
        </w:rPr>
        <w:t xml:space="preserve">Under this definition: </w:t>
      </w:r>
      <w:r w:rsidR="00DC2067">
        <w:rPr>
          <w:rFonts w:asciiTheme="minorHAnsi" w:hAnsiTheme="minorHAnsi" w:cs="Arial"/>
          <w:sz w:val="14"/>
        </w:rPr>
        <w:tab/>
      </w:r>
    </w:p>
    <w:p w:rsidR="0074246A" w:rsidRPr="001C360E" w:rsidRDefault="0074246A" w:rsidP="00DC2067">
      <w:pPr>
        <w:numPr>
          <w:ilvl w:val="1"/>
          <w:numId w:val="4"/>
        </w:numPr>
        <w:spacing w:before="0" w:after="100" w:afterAutospacing="1" w:line="276" w:lineRule="auto"/>
        <w:outlineLvl w:val="2"/>
        <w:rPr>
          <w:rFonts w:asciiTheme="minorHAnsi" w:hAnsiTheme="minorHAnsi" w:cs="Arial"/>
          <w:sz w:val="14"/>
        </w:rPr>
      </w:pPr>
      <w:r w:rsidRPr="001C360E">
        <w:rPr>
          <w:rFonts w:asciiTheme="minorHAnsi" w:hAnsiTheme="minorHAnsi" w:cs="Arial"/>
          <w:i/>
          <w:sz w:val="14"/>
        </w:rPr>
        <w:t>the environment</w:t>
      </w:r>
      <w:r w:rsidRPr="001C360E">
        <w:rPr>
          <w:rFonts w:asciiTheme="minorHAnsi" w:hAnsiTheme="minorHAnsi" w:cs="Arial"/>
          <w:sz w:val="14"/>
        </w:rPr>
        <w:t xml:space="preserve"> includes Australia’s natural terrestrial, inland water and marine ecosystems and their constituent parts, and its natural and physical resources</w:t>
      </w:r>
    </w:p>
    <w:p w:rsidR="0074246A" w:rsidRPr="001C360E" w:rsidRDefault="0074246A" w:rsidP="0074246A">
      <w:pPr>
        <w:numPr>
          <w:ilvl w:val="1"/>
          <w:numId w:val="4"/>
        </w:numPr>
        <w:spacing w:before="100" w:beforeAutospacing="1" w:after="100" w:afterAutospacing="1" w:line="276" w:lineRule="auto"/>
        <w:outlineLvl w:val="2"/>
        <w:rPr>
          <w:rFonts w:asciiTheme="minorHAnsi" w:hAnsiTheme="minorHAnsi" w:cs="Arial"/>
          <w:sz w:val="14"/>
        </w:rPr>
      </w:pPr>
      <w:r w:rsidRPr="001C360E">
        <w:rPr>
          <w:rFonts w:asciiTheme="minorHAnsi" w:hAnsiTheme="minorHAnsi" w:cs="Arial"/>
          <w:i/>
          <w:sz w:val="14"/>
        </w:rPr>
        <w:t>social amenity</w:t>
      </w:r>
      <w:r w:rsidRPr="001C360E">
        <w:rPr>
          <w:rFonts w:asciiTheme="minorHAnsi" w:hAnsiTheme="minorHAnsi" w:cs="Arial"/>
          <w:sz w:val="14"/>
        </w:rPr>
        <w:t xml:space="preserve"> includes the social, economic and cultural aspects of the environment, including tourism, human infrastructure, cultural assets and national image</w:t>
      </w:r>
    </w:p>
    <w:p w:rsidR="0074246A" w:rsidRDefault="0074246A" w:rsidP="00DC2067">
      <w:pPr>
        <w:numPr>
          <w:ilvl w:val="1"/>
          <w:numId w:val="4"/>
        </w:numPr>
        <w:spacing w:before="0" w:after="0" w:line="276" w:lineRule="auto"/>
        <w:outlineLvl w:val="2"/>
      </w:pPr>
      <w:proofErr w:type="gramStart"/>
      <w:r w:rsidRPr="001C360E">
        <w:rPr>
          <w:rFonts w:asciiTheme="minorHAnsi" w:hAnsiTheme="minorHAnsi" w:cs="Arial"/>
          <w:sz w:val="14"/>
        </w:rPr>
        <w:t>human</w:t>
      </w:r>
      <w:proofErr w:type="gramEnd"/>
      <w:r w:rsidRPr="001C360E">
        <w:rPr>
          <w:rFonts w:asciiTheme="minorHAnsi" w:hAnsiTheme="minorHAnsi" w:cs="Arial"/>
          <w:sz w:val="14"/>
        </w:rPr>
        <w:t xml:space="preserve"> health impacts of pests and diseases are not captured.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26750FF"/>
    <w:multiLevelType w:val="multilevel"/>
    <w:tmpl w:val="DEC6F58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1E611AEF"/>
    <w:multiLevelType w:val="multilevel"/>
    <w:tmpl w:val="E3049BC4"/>
    <w:lvl w:ilvl="0">
      <w:start w:val="1"/>
      <w:numFmt w:val="decimal"/>
      <w:lvlText w:val="%1."/>
      <w:lvlJc w:val="left"/>
      <w:pPr>
        <w:ind w:left="369" w:hanging="369"/>
      </w:pPr>
      <w:rPr>
        <w:rFonts w:ascii="Calibri" w:hAnsi="Calibri" w:cs="Calibri" w:hint="default"/>
        <w:sz w:val="22"/>
        <w:szCs w:val="24"/>
      </w:rPr>
    </w:lvl>
    <w:lvl w:ilvl="1">
      <w:start w:val="1"/>
      <w:numFmt w:val="bullet"/>
      <w:lvlText w:val=""/>
      <w:lvlJc w:val="left"/>
      <w:pPr>
        <w:ind w:left="738" w:hanging="369"/>
      </w:pPr>
      <w:rPr>
        <w:rFonts w:ascii="Symbol" w:hAnsi="Symbol" w:hint="default"/>
        <w:sz w:val="16"/>
        <w:szCs w:val="16"/>
      </w:rPr>
    </w:lvl>
    <w:lvl w:ilvl="2">
      <w:start w:val="1"/>
      <w:numFmt w:val="bullet"/>
      <w:lvlText w:val=""/>
      <w:lvlJc w:val="left"/>
      <w:pPr>
        <w:ind w:left="1107" w:hanging="369"/>
      </w:pPr>
      <w:rPr>
        <w:rFonts w:ascii="Symbol" w:hAnsi="Symbol"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3" w15:restartNumberingAfterBreak="0">
    <w:nsid w:val="1F745BC2"/>
    <w:multiLevelType w:val="multilevel"/>
    <w:tmpl w:val="E5E89F92"/>
    <w:numStyleLink w:val="BulletList"/>
  </w:abstractNum>
  <w:abstractNum w:abstractNumId="4" w15:restartNumberingAfterBreak="0">
    <w:nsid w:val="5F994018"/>
    <w:multiLevelType w:val="hybridMultilevel"/>
    <w:tmpl w:val="B306887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7FA77A77"/>
    <w:multiLevelType w:val="hybridMultilevel"/>
    <w:tmpl w:val="6ABC283E"/>
    <w:lvl w:ilvl="0" w:tplc="B6C2E3B6">
      <w:start w:val="1"/>
      <w:numFmt w:val="decimal"/>
      <w:lvlText w:val="%1."/>
      <w:lvlJc w:val="left"/>
      <w:pPr>
        <w:ind w:left="360" w:hanging="360"/>
      </w:pPr>
    </w:lvl>
    <w:lvl w:ilvl="1" w:tplc="2CC4B9DE">
      <w:start w:val="1"/>
      <w:numFmt w:val="lowerLetter"/>
      <w:lvlText w:val="%2."/>
      <w:lvlJc w:val="left"/>
      <w:pPr>
        <w:ind w:left="1080" w:hanging="360"/>
      </w:pPr>
      <w:rPr>
        <w:i w:val="0"/>
      </w:rPr>
    </w:lvl>
    <w:lvl w:ilvl="2" w:tplc="816A6194">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46A"/>
    <w:rsid w:val="00051CE5"/>
    <w:rsid w:val="0005239E"/>
    <w:rsid w:val="00060A5E"/>
    <w:rsid w:val="00074FAA"/>
    <w:rsid w:val="00080816"/>
    <w:rsid w:val="000A564F"/>
    <w:rsid w:val="00134456"/>
    <w:rsid w:val="001A6EF4"/>
    <w:rsid w:val="001D17D9"/>
    <w:rsid w:val="001D5F02"/>
    <w:rsid w:val="002C45C5"/>
    <w:rsid w:val="003D53BD"/>
    <w:rsid w:val="003F5824"/>
    <w:rsid w:val="00422A4F"/>
    <w:rsid w:val="00425D6B"/>
    <w:rsid w:val="004355E0"/>
    <w:rsid w:val="004A4AF1"/>
    <w:rsid w:val="0057735A"/>
    <w:rsid w:val="006050AF"/>
    <w:rsid w:val="006158C3"/>
    <w:rsid w:val="006B1835"/>
    <w:rsid w:val="006C1451"/>
    <w:rsid w:val="0074246A"/>
    <w:rsid w:val="007B52D4"/>
    <w:rsid w:val="008936A7"/>
    <w:rsid w:val="008A4E58"/>
    <w:rsid w:val="00913DD4"/>
    <w:rsid w:val="00931616"/>
    <w:rsid w:val="009A23ED"/>
    <w:rsid w:val="00A363DC"/>
    <w:rsid w:val="00A7722F"/>
    <w:rsid w:val="00A92B12"/>
    <w:rsid w:val="00A95545"/>
    <w:rsid w:val="00B6120A"/>
    <w:rsid w:val="00B94F24"/>
    <w:rsid w:val="00BA03F8"/>
    <w:rsid w:val="00BA1C95"/>
    <w:rsid w:val="00C4104E"/>
    <w:rsid w:val="00C83843"/>
    <w:rsid w:val="00CB6AAB"/>
    <w:rsid w:val="00DC2067"/>
    <w:rsid w:val="00E22224"/>
    <w:rsid w:val="00E31C61"/>
    <w:rsid w:val="00E62DCB"/>
    <w:rsid w:val="00EC145D"/>
    <w:rsid w:val="00F1781D"/>
    <w:rsid w:val="00F2122D"/>
    <w:rsid w:val="00F303A2"/>
    <w:rsid w:val="00F7729D"/>
    <w:rsid w:val="00FC7A2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CCB07C44-1313-42D1-86A3-7AD829672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246A"/>
    <w:pPr>
      <w:spacing w:before="120" w:after="120" w:line="240" w:lineRule="auto"/>
    </w:pPr>
    <w:rPr>
      <w:rFonts w:ascii="Calibri" w:eastAsia="Times New Roman" w:hAnsi="Calibri" w:cs="Times New Roman"/>
      <w:sz w:val="24"/>
      <w:lang w:eastAsia="en-AU"/>
    </w:rPr>
  </w:style>
  <w:style w:type="paragraph" w:styleId="Heading1">
    <w:name w:val="heading 1"/>
    <w:basedOn w:val="Normal"/>
    <w:next w:val="Normal"/>
    <w:link w:val="Heading1Char"/>
    <w:qFormat/>
    <w:rsid w:val="0074246A"/>
    <w:pPr>
      <w:keepNext/>
      <w:numPr>
        <w:numId w:val="6"/>
      </w:numPr>
      <w:spacing w:before="240" w:after="240" w:line="300" w:lineRule="atLeast"/>
      <w:outlineLvl w:val="0"/>
    </w:pPr>
    <w:rPr>
      <w:rFonts w:cs="Arial"/>
      <w:b/>
      <w:bCs/>
      <w:color w:val="222A35" w:themeColor="text2" w:themeShade="80"/>
      <w:kern w:val="32"/>
      <w:sz w:val="32"/>
      <w:szCs w:val="32"/>
    </w:rPr>
  </w:style>
  <w:style w:type="paragraph" w:styleId="Heading2">
    <w:name w:val="heading 2"/>
    <w:basedOn w:val="Normal"/>
    <w:next w:val="Normal"/>
    <w:link w:val="Heading2Char"/>
    <w:uiPriority w:val="9"/>
    <w:unhideWhenUsed/>
    <w:qFormat/>
    <w:rsid w:val="0074246A"/>
    <w:pPr>
      <w:keepNext/>
      <w:keepLines/>
      <w:numPr>
        <w:ilvl w:val="1"/>
        <w:numId w:val="6"/>
      </w:numPr>
      <w:spacing w:before="240" w:after="240" w:line="276" w:lineRule="auto"/>
      <w:outlineLvl w:val="1"/>
    </w:pPr>
    <w:rPr>
      <w:rFonts w:eastAsiaTheme="majorEastAsia" w:cstheme="majorBidi"/>
      <w:b/>
      <w:bCs/>
      <w:color w:val="222A35" w:themeColor="text2" w:themeShade="80"/>
      <w:sz w:val="26"/>
      <w:szCs w:val="26"/>
      <w:lang w:eastAsia="en-US"/>
    </w:rPr>
  </w:style>
  <w:style w:type="paragraph" w:styleId="Heading3">
    <w:name w:val="heading 3"/>
    <w:basedOn w:val="Normal"/>
    <w:next w:val="Normal"/>
    <w:link w:val="Heading3Char"/>
    <w:unhideWhenUsed/>
    <w:qFormat/>
    <w:rsid w:val="0074246A"/>
    <w:pPr>
      <w:keepNext/>
      <w:keepLines/>
      <w:numPr>
        <w:ilvl w:val="2"/>
        <w:numId w:val="6"/>
      </w:numPr>
      <w:spacing w:before="200"/>
      <w:outlineLvl w:val="2"/>
    </w:pPr>
    <w:rPr>
      <w:rFonts w:eastAsiaTheme="majorEastAsia" w:cstheme="majorBidi"/>
      <w:b/>
      <w:bCs/>
      <w:color w:val="222A35" w:themeColor="text2" w:themeShade="80"/>
    </w:rPr>
  </w:style>
  <w:style w:type="paragraph" w:styleId="Heading4">
    <w:name w:val="heading 4"/>
    <w:basedOn w:val="Normal"/>
    <w:next w:val="Normal"/>
    <w:link w:val="Heading4Char"/>
    <w:unhideWhenUsed/>
    <w:qFormat/>
    <w:rsid w:val="0074246A"/>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semiHidden/>
    <w:unhideWhenUsed/>
    <w:qFormat/>
    <w:rsid w:val="0074246A"/>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semiHidden/>
    <w:unhideWhenUsed/>
    <w:qFormat/>
    <w:rsid w:val="0074246A"/>
    <w:pPr>
      <w:keepNext/>
      <w:keepLines/>
      <w:numPr>
        <w:ilvl w:val="5"/>
        <w:numId w:val="6"/>
      </w:numPr>
      <w:spacing w:before="200"/>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semiHidden/>
    <w:unhideWhenUsed/>
    <w:qFormat/>
    <w:rsid w:val="0074246A"/>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semiHidden/>
    <w:unhideWhenUsed/>
    <w:qFormat/>
    <w:rsid w:val="0074246A"/>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74246A"/>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4246A"/>
    <w:rPr>
      <w:rFonts w:ascii="Calibri" w:eastAsia="Times New Roman" w:hAnsi="Calibri" w:cs="Arial"/>
      <w:b/>
      <w:bCs/>
      <w:color w:val="222A35" w:themeColor="text2" w:themeShade="80"/>
      <w:kern w:val="32"/>
      <w:sz w:val="32"/>
      <w:szCs w:val="32"/>
      <w:lang w:eastAsia="en-AU"/>
    </w:rPr>
  </w:style>
  <w:style w:type="character" w:customStyle="1" w:styleId="Heading2Char">
    <w:name w:val="Heading 2 Char"/>
    <w:basedOn w:val="DefaultParagraphFont"/>
    <w:link w:val="Heading2"/>
    <w:uiPriority w:val="9"/>
    <w:rsid w:val="0074246A"/>
    <w:rPr>
      <w:rFonts w:ascii="Calibri" w:eastAsiaTheme="majorEastAsia" w:hAnsi="Calibri" w:cstheme="majorBidi"/>
      <w:b/>
      <w:bCs/>
      <w:color w:val="222A35" w:themeColor="text2" w:themeShade="80"/>
      <w:sz w:val="26"/>
      <w:szCs w:val="26"/>
    </w:rPr>
  </w:style>
  <w:style w:type="character" w:customStyle="1" w:styleId="Heading3Char">
    <w:name w:val="Heading 3 Char"/>
    <w:basedOn w:val="DefaultParagraphFont"/>
    <w:link w:val="Heading3"/>
    <w:rsid w:val="0074246A"/>
    <w:rPr>
      <w:rFonts w:ascii="Calibri" w:eastAsiaTheme="majorEastAsia" w:hAnsi="Calibri" w:cstheme="majorBidi"/>
      <w:b/>
      <w:bCs/>
      <w:color w:val="222A35" w:themeColor="text2" w:themeShade="80"/>
      <w:sz w:val="24"/>
      <w:lang w:eastAsia="en-AU"/>
    </w:rPr>
  </w:style>
  <w:style w:type="character" w:customStyle="1" w:styleId="Heading4Char">
    <w:name w:val="Heading 4 Char"/>
    <w:basedOn w:val="DefaultParagraphFont"/>
    <w:link w:val="Heading4"/>
    <w:rsid w:val="0074246A"/>
    <w:rPr>
      <w:rFonts w:asciiTheme="majorHAnsi" w:eastAsiaTheme="majorEastAsia" w:hAnsiTheme="majorHAnsi" w:cstheme="majorBidi"/>
      <w:i/>
      <w:iCs/>
      <w:color w:val="2E74B5" w:themeColor="accent1" w:themeShade="BF"/>
      <w:sz w:val="24"/>
      <w:lang w:eastAsia="en-AU"/>
    </w:rPr>
  </w:style>
  <w:style w:type="character" w:customStyle="1" w:styleId="Heading5Char">
    <w:name w:val="Heading 5 Char"/>
    <w:basedOn w:val="DefaultParagraphFont"/>
    <w:link w:val="Heading5"/>
    <w:semiHidden/>
    <w:rsid w:val="0074246A"/>
    <w:rPr>
      <w:rFonts w:asciiTheme="majorHAnsi" w:eastAsiaTheme="majorEastAsia" w:hAnsiTheme="majorHAnsi" w:cstheme="majorBidi"/>
      <w:color w:val="2E74B5" w:themeColor="accent1" w:themeShade="BF"/>
      <w:sz w:val="24"/>
      <w:lang w:eastAsia="en-AU"/>
    </w:rPr>
  </w:style>
  <w:style w:type="character" w:customStyle="1" w:styleId="Heading6Char">
    <w:name w:val="Heading 6 Char"/>
    <w:basedOn w:val="DefaultParagraphFont"/>
    <w:link w:val="Heading6"/>
    <w:semiHidden/>
    <w:rsid w:val="0074246A"/>
    <w:rPr>
      <w:rFonts w:asciiTheme="majorHAnsi" w:eastAsiaTheme="majorEastAsia" w:hAnsiTheme="majorHAnsi" w:cstheme="majorBidi"/>
      <w:i/>
      <w:iCs/>
      <w:color w:val="1F4D78" w:themeColor="accent1" w:themeShade="7F"/>
      <w:sz w:val="24"/>
      <w:lang w:eastAsia="en-AU"/>
    </w:rPr>
  </w:style>
  <w:style w:type="character" w:customStyle="1" w:styleId="Heading7Char">
    <w:name w:val="Heading 7 Char"/>
    <w:basedOn w:val="DefaultParagraphFont"/>
    <w:link w:val="Heading7"/>
    <w:semiHidden/>
    <w:rsid w:val="0074246A"/>
    <w:rPr>
      <w:rFonts w:asciiTheme="majorHAnsi" w:eastAsiaTheme="majorEastAsia" w:hAnsiTheme="majorHAnsi" w:cstheme="majorBidi"/>
      <w:i/>
      <w:iCs/>
      <w:color w:val="1F4D78" w:themeColor="accent1" w:themeShade="7F"/>
      <w:sz w:val="24"/>
      <w:lang w:eastAsia="en-AU"/>
    </w:rPr>
  </w:style>
  <w:style w:type="character" w:customStyle="1" w:styleId="Heading8Char">
    <w:name w:val="Heading 8 Char"/>
    <w:basedOn w:val="DefaultParagraphFont"/>
    <w:link w:val="Heading8"/>
    <w:semiHidden/>
    <w:rsid w:val="0074246A"/>
    <w:rPr>
      <w:rFonts w:asciiTheme="majorHAnsi" w:eastAsiaTheme="majorEastAsia" w:hAnsiTheme="majorHAnsi" w:cstheme="majorBidi"/>
      <w:color w:val="272727" w:themeColor="text1" w:themeTint="D8"/>
      <w:sz w:val="21"/>
      <w:szCs w:val="21"/>
      <w:lang w:eastAsia="en-AU"/>
    </w:rPr>
  </w:style>
  <w:style w:type="character" w:customStyle="1" w:styleId="Heading9Char">
    <w:name w:val="Heading 9 Char"/>
    <w:basedOn w:val="DefaultParagraphFont"/>
    <w:link w:val="Heading9"/>
    <w:semiHidden/>
    <w:rsid w:val="0074246A"/>
    <w:rPr>
      <w:rFonts w:asciiTheme="majorHAnsi" w:eastAsiaTheme="majorEastAsia" w:hAnsiTheme="majorHAnsi" w:cstheme="majorBidi"/>
      <w:i/>
      <w:iCs/>
      <w:color w:val="272727" w:themeColor="text1" w:themeTint="D8"/>
      <w:sz w:val="21"/>
      <w:szCs w:val="21"/>
      <w:lang w:eastAsia="en-AU"/>
    </w:rPr>
  </w:style>
  <w:style w:type="character" w:styleId="FootnoteReference">
    <w:name w:val="footnote reference"/>
    <w:basedOn w:val="DefaultParagraphFont"/>
    <w:uiPriority w:val="99"/>
    <w:semiHidden/>
    <w:rsid w:val="0074246A"/>
    <w:rPr>
      <w:vertAlign w:val="superscript"/>
    </w:rPr>
  </w:style>
  <w:style w:type="paragraph" w:styleId="FootnoteText">
    <w:name w:val="footnote text"/>
    <w:basedOn w:val="Normal"/>
    <w:link w:val="FootnoteTextChar"/>
    <w:uiPriority w:val="99"/>
    <w:semiHidden/>
    <w:rsid w:val="0074246A"/>
    <w:rPr>
      <w:sz w:val="20"/>
      <w:szCs w:val="20"/>
    </w:rPr>
  </w:style>
  <w:style w:type="character" w:customStyle="1" w:styleId="FootnoteTextChar">
    <w:name w:val="Footnote Text Char"/>
    <w:basedOn w:val="DefaultParagraphFont"/>
    <w:link w:val="FootnoteText"/>
    <w:uiPriority w:val="99"/>
    <w:semiHidden/>
    <w:rsid w:val="0074246A"/>
    <w:rPr>
      <w:rFonts w:ascii="Calibri" w:eastAsia="Times New Roman" w:hAnsi="Calibri" w:cs="Times New Roman"/>
      <w:sz w:val="20"/>
      <w:szCs w:val="20"/>
      <w:lang w:eastAsia="en-AU"/>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
    <w:basedOn w:val="Normal"/>
    <w:link w:val="ListParagraphChar"/>
    <w:uiPriority w:val="34"/>
    <w:qFormat/>
    <w:rsid w:val="0074246A"/>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rsid w:val="0074246A"/>
    <w:rPr>
      <w:rFonts w:ascii="Calibri" w:eastAsia="Times New Roman" w:hAnsi="Calibri" w:cs="Times New Roman"/>
      <w:sz w:val="24"/>
      <w:lang w:eastAsia="en-AU"/>
    </w:rPr>
  </w:style>
  <w:style w:type="paragraph" w:styleId="NoSpacing">
    <w:name w:val="No Spacing"/>
    <w:link w:val="NoSpacingChar"/>
    <w:uiPriority w:val="1"/>
    <w:qFormat/>
    <w:rsid w:val="0074246A"/>
    <w:pPr>
      <w:spacing w:before="120" w:after="120" w:line="240" w:lineRule="auto"/>
    </w:pPr>
    <w:rPr>
      <w:rFonts w:eastAsiaTheme="minorEastAsia"/>
      <w:lang w:val="en-US"/>
    </w:rPr>
  </w:style>
  <w:style w:type="character" w:customStyle="1" w:styleId="NoSpacingChar">
    <w:name w:val="No Spacing Char"/>
    <w:basedOn w:val="DefaultParagraphFont"/>
    <w:link w:val="NoSpacing"/>
    <w:uiPriority w:val="1"/>
    <w:rsid w:val="0074246A"/>
    <w:rPr>
      <w:rFonts w:eastAsiaTheme="minorEastAsia"/>
      <w:lang w:val="en-US"/>
    </w:rPr>
  </w:style>
  <w:style w:type="table" w:styleId="TableGrid">
    <w:name w:val="Table Grid"/>
    <w:basedOn w:val="TableNormal"/>
    <w:uiPriority w:val="59"/>
    <w:rsid w:val="0074246A"/>
    <w:pPr>
      <w:spacing w:before="120" w:after="120" w:line="240" w:lineRule="auto"/>
    </w:pPr>
    <w:rPr>
      <w:rFonts w:ascii="Calibri" w:eastAsia="Times New Roman" w:hAnsi="Calibri"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74246A"/>
    <w:rPr>
      <w:b/>
      <w:bCs/>
    </w:rPr>
  </w:style>
  <w:style w:type="numbering" w:customStyle="1" w:styleId="BulletList">
    <w:name w:val="Bullet List"/>
    <w:uiPriority w:val="99"/>
    <w:rsid w:val="0074246A"/>
    <w:pPr>
      <w:numPr>
        <w:numId w:val="2"/>
      </w:numPr>
    </w:pPr>
  </w:style>
  <w:style w:type="paragraph" w:styleId="ListBullet">
    <w:name w:val="List Bullet"/>
    <w:basedOn w:val="Normal"/>
    <w:autoRedefine/>
    <w:uiPriority w:val="99"/>
    <w:unhideWhenUsed/>
    <w:qFormat/>
    <w:rsid w:val="0074246A"/>
    <w:pPr>
      <w:numPr>
        <w:numId w:val="3"/>
      </w:numPr>
      <w:spacing w:before="0"/>
    </w:pPr>
    <w:rPr>
      <w:rFonts w:ascii="Times New Roman" w:hAnsi="Times New Roman"/>
      <w:szCs w:val="24"/>
      <w:lang w:val="en-US" w:eastAsia="en-US" w:bidi="en-US"/>
    </w:rPr>
  </w:style>
  <w:style w:type="paragraph" w:styleId="ListBullet2">
    <w:name w:val="List Bullet 2"/>
    <w:basedOn w:val="Normal"/>
    <w:uiPriority w:val="99"/>
    <w:unhideWhenUsed/>
    <w:rsid w:val="0074246A"/>
    <w:pPr>
      <w:numPr>
        <w:ilvl w:val="1"/>
        <w:numId w:val="3"/>
      </w:numPr>
      <w:spacing w:before="0"/>
    </w:pPr>
    <w:rPr>
      <w:rFonts w:ascii="Times New Roman" w:hAnsi="Times New Roman"/>
      <w:szCs w:val="24"/>
      <w:lang w:val="en-US" w:eastAsia="en-US" w:bidi="en-US"/>
    </w:rPr>
  </w:style>
  <w:style w:type="paragraph" w:styleId="ListBullet3">
    <w:name w:val="List Bullet 3"/>
    <w:basedOn w:val="Normal"/>
    <w:uiPriority w:val="99"/>
    <w:unhideWhenUsed/>
    <w:rsid w:val="0074246A"/>
    <w:pPr>
      <w:numPr>
        <w:ilvl w:val="2"/>
        <w:numId w:val="3"/>
      </w:numPr>
      <w:spacing w:before="0"/>
    </w:pPr>
    <w:rPr>
      <w:rFonts w:ascii="Times New Roman" w:hAnsi="Times New Roman"/>
      <w:szCs w:val="24"/>
      <w:lang w:val="en-US" w:eastAsia="en-US" w:bidi="en-US"/>
    </w:rPr>
  </w:style>
  <w:style w:type="paragraph" w:styleId="ListBullet4">
    <w:name w:val="List Bullet 4"/>
    <w:basedOn w:val="Normal"/>
    <w:uiPriority w:val="99"/>
    <w:unhideWhenUsed/>
    <w:rsid w:val="0074246A"/>
    <w:pPr>
      <w:numPr>
        <w:ilvl w:val="3"/>
        <w:numId w:val="3"/>
      </w:numPr>
      <w:spacing w:before="0"/>
    </w:pPr>
    <w:rPr>
      <w:rFonts w:ascii="Times New Roman" w:hAnsi="Times New Roman"/>
      <w:szCs w:val="24"/>
      <w:lang w:val="en-US" w:eastAsia="en-US" w:bidi="en-US"/>
    </w:rPr>
  </w:style>
  <w:style w:type="paragraph" w:styleId="ListBullet5">
    <w:name w:val="List Bullet 5"/>
    <w:basedOn w:val="Normal"/>
    <w:uiPriority w:val="99"/>
    <w:unhideWhenUsed/>
    <w:rsid w:val="0074246A"/>
    <w:pPr>
      <w:numPr>
        <w:ilvl w:val="4"/>
        <w:numId w:val="3"/>
      </w:numPr>
      <w:spacing w:before="0"/>
    </w:pPr>
    <w:rPr>
      <w:rFonts w:ascii="Times New Roman" w:hAnsi="Times New Roman"/>
      <w:szCs w:val="24"/>
      <w:lang w:val="en-US" w:eastAsia="en-US" w:bidi="en-US"/>
    </w:rPr>
  </w:style>
  <w:style w:type="paragraph" w:styleId="ListNumber">
    <w:name w:val="List Number"/>
    <w:basedOn w:val="Normal"/>
    <w:autoRedefine/>
    <w:uiPriority w:val="99"/>
    <w:qFormat/>
    <w:rsid w:val="0074246A"/>
    <w:pPr>
      <w:spacing w:before="100" w:beforeAutospacing="1" w:after="100" w:afterAutospacing="1" w:line="276" w:lineRule="auto"/>
      <w:ind w:left="1134" w:hanging="411"/>
    </w:pPr>
    <w:rPr>
      <w:rFonts w:asciiTheme="minorHAnsi" w:hAnsiTheme="minorHAnsi"/>
      <w:i/>
      <w:szCs w:val="24"/>
      <w:lang w:eastAsia="en-US" w:bidi="en-US"/>
    </w:rPr>
  </w:style>
  <w:style w:type="paragraph" w:styleId="Header">
    <w:name w:val="header"/>
    <w:basedOn w:val="Normal"/>
    <w:link w:val="HeaderChar"/>
    <w:uiPriority w:val="99"/>
    <w:unhideWhenUsed/>
    <w:rsid w:val="0074246A"/>
    <w:pPr>
      <w:tabs>
        <w:tab w:val="center" w:pos="4513"/>
        <w:tab w:val="right" w:pos="9026"/>
      </w:tabs>
      <w:spacing w:before="0" w:after="0"/>
    </w:pPr>
  </w:style>
  <w:style w:type="character" w:customStyle="1" w:styleId="HeaderChar">
    <w:name w:val="Header Char"/>
    <w:basedOn w:val="DefaultParagraphFont"/>
    <w:link w:val="Header"/>
    <w:uiPriority w:val="99"/>
    <w:rsid w:val="0074246A"/>
    <w:rPr>
      <w:rFonts w:ascii="Calibri" w:eastAsia="Times New Roman" w:hAnsi="Calibri" w:cs="Times New Roman"/>
      <w:sz w:val="24"/>
      <w:lang w:eastAsia="en-AU"/>
    </w:rPr>
  </w:style>
  <w:style w:type="paragraph" w:styleId="Footer">
    <w:name w:val="footer"/>
    <w:basedOn w:val="Normal"/>
    <w:link w:val="FooterChar"/>
    <w:uiPriority w:val="99"/>
    <w:unhideWhenUsed/>
    <w:rsid w:val="0074246A"/>
    <w:pPr>
      <w:tabs>
        <w:tab w:val="center" w:pos="4513"/>
        <w:tab w:val="right" w:pos="9026"/>
      </w:tabs>
      <w:spacing w:before="0" w:after="0"/>
    </w:pPr>
  </w:style>
  <w:style w:type="character" w:customStyle="1" w:styleId="FooterChar">
    <w:name w:val="Footer Char"/>
    <w:basedOn w:val="DefaultParagraphFont"/>
    <w:link w:val="Footer"/>
    <w:uiPriority w:val="99"/>
    <w:rsid w:val="0074246A"/>
    <w:rPr>
      <w:rFonts w:ascii="Calibri" w:eastAsia="Times New Roman" w:hAnsi="Calibri" w:cs="Times New Roman"/>
      <w:sz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C985A88F-557B-4A11-BCC8-227CD5F1ED40}">
  <ds:schemaRefs>
    <ds:schemaRef ds:uri="http://schemas.openxmlformats.org/officeDocument/2006/bibliography"/>
  </ds:schemaRefs>
</ds:datastoreItem>
</file>

<file path=customXml/itemProps2.xml><?xml version="1.0" encoding="utf-8"?>
<ds:datastoreItem xmlns:ds="http://schemas.openxmlformats.org/officeDocument/2006/customXml" ds:itemID="{157905EE-61D5-4B3A-97C8-8403CC1743AF}"/>
</file>

<file path=customXml/itemProps3.xml><?xml version="1.0" encoding="utf-8"?>
<ds:datastoreItem xmlns:ds="http://schemas.openxmlformats.org/officeDocument/2006/customXml" ds:itemID="{6B7AE874-57B2-4FCA-AAA1-684B4BD4F3EE}"/>
</file>

<file path=customXml/itemProps4.xml><?xml version="1.0" encoding="utf-8"?>
<ds:datastoreItem xmlns:ds="http://schemas.openxmlformats.org/officeDocument/2006/customXml" ds:itemID="{5EA401BA-5337-426D-AB23-381868A99F99}"/>
</file>

<file path=docProps/app.xml><?xml version="1.0" encoding="utf-8"?>
<Properties xmlns="http://schemas.openxmlformats.org/officeDocument/2006/extended-properties" xmlns:vt="http://schemas.openxmlformats.org/officeDocument/2006/docPropsVTypes">
  <Template>Normal</Template>
  <TotalTime>4</TotalTime>
  <Pages>4</Pages>
  <Words>1325</Words>
  <Characters>7557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8865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 and Invasives Committee Sectoral Committee of the National Biosecurity Committee Terms of Reference</dc:title>
  <dc:subject/>
  <dc:creator>Department of Agriculture</dc:creator>
  <cp:keywords/>
  <dc:description/>
  <cp:lastModifiedBy>Dang, Van</cp:lastModifiedBy>
  <cp:revision>6</cp:revision>
  <dcterms:created xsi:type="dcterms:W3CDTF">2019-09-17T05:47:00Z</dcterms:created>
  <dcterms:modified xsi:type="dcterms:W3CDTF">2019-10-22T02:27:00Z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