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62" w:rsidRPr="00F16EAF" w:rsidRDefault="00A23878" w:rsidP="00DB0C6B">
      <w:pPr>
        <w:pStyle w:val="Heading1"/>
        <w:spacing w:before="1560" w:after="360"/>
        <w:contextualSpacing w:val="0"/>
        <w:rPr>
          <w:sz w:val="56"/>
          <w:szCs w:val="56"/>
        </w:rPr>
      </w:pPr>
      <w:r w:rsidRPr="00F16EAF">
        <w:rPr>
          <w:sz w:val="56"/>
          <w:szCs w:val="56"/>
        </w:rPr>
        <w:t>Is</w:t>
      </w:r>
      <w:r w:rsidR="001E6B90" w:rsidRPr="00F16EAF">
        <w:rPr>
          <w:sz w:val="56"/>
          <w:szCs w:val="56"/>
        </w:rPr>
        <w:t xml:space="preserve"> Australia’s </w:t>
      </w:r>
      <w:r w:rsidRPr="00F16EAF">
        <w:rPr>
          <w:sz w:val="56"/>
          <w:szCs w:val="56"/>
        </w:rPr>
        <w:t xml:space="preserve">national </w:t>
      </w:r>
      <w:r w:rsidR="001E6B90" w:rsidRPr="00F16EAF">
        <w:rPr>
          <w:sz w:val="56"/>
          <w:szCs w:val="56"/>
        </w:rPr>
        <w:t>biosecurity system</w:t>
      </w:r>
      <w:r w:rsidRPr="00F16EAF">
        <w:rPr>
          <w:sz w:val="56"/>
          <w:szCs w:val="56"/>
        </w:rPr>
        <w:t xml:space="preserve"> and the underpinning I</w:t>
      </w:r>
      <w:r w:rsidR="000E411A" w:rsidRPr="00F16EAF">
        <w:rPr>
          <w:sz w:val="56"/>
          <w:szCs w:val="56"/>
        </w:rPr>
        <w:t xml:space="preserve">ntergovernmental </w:t>
      </w:r>
      <w:r w:rsidRPr="00F16EAF">
        <w:rPr>
          <w:sz w:val="56"/>
          <w:szCs w:val="56"/>
        </w:rPr>
        <w:t>A</w:t>
      </w:r>
      <w:r w:rsidR="000E411A" w:rsidRPr="00F16EAF">
        <w:rPr>
          <w:sz w:val="56"/>
          <w:szCs w:val="56"/>
        </w:rPr>
        <w:t xml:space="preserve">greement on </w:t>
      </w:r>
      <w:r w:rsidRPr="00F16EAF">
        <w:rPr>
          <w:sz w:val="56"/>
          <w:szCs w:val="56"/>
        </w:rPr>
        <w:t>B</w:t>
      </w:r>
      <w:r w:rsidR="000E411A" w:rsidRPr="00F16EAF">
        <w:rPr>
          <w:sz w:val="56"/>
          <w:szCs w:val="56"/>
        </w:rPr>
        <w:t>iosecurity</w:t>
      </w:r>
      <w:r w:rsidR="008933E5" w:rsidRPr="00F16EAF">
        <w:rPr>
          <w:sz w:val="56"/>
          <w:szCs w:val="56"/>
        </w:rPr>
        <w:t xml:space="preserve"> </w:t>
      </w:r>
      <w:r w:rsidRPr="00F16EAF">
        <w:rPr>
          <w:sz w:val="56"/>
          <w:szCs w:val="56"/>
        </w:rPr>
        <w:t>fit for the future?</w:t>
      </w:r>
    </w:p>
    <w:p w:rsidR="0003507A" w:rsidRPr="00F16EAF" w:rsidRDefault="00E97EE0" w:rsidP="00DB0C6B">
      <w:pPr>
        <w:pStyle w:val="Heading1"/>
        <w:spacing w:before="600" w:after="360"/>
        <w:contextualSpacing w:val="0"/>
        <w:rPr>
          <w:b w:val="0"/>
          <w:sz w:val="44"/>
          <w:szCs w:val="44"/>
        </w:rPr>
      </w:pPr>
      <w:r w:rsidRPr="00F16EAF">
        <w:rPr>
          <w:b w:val="0"/>
          <w:sz w:val="44"/>
          <w:szCs w:val="44"/>
        </w:rPr>
        <w:t>Discussion</w:t>
      </w:r>
      <w:r w:rsidR="009354C5" w:rsidRPr="00F16EAF">
        <w:rPr>
          <w:b w:val="0"/>
          <w:sz w:val="44"/>
          <w:szCs w:val="44"/>
        </w:rPr>
        <w:t xml:space="preserve"> Paper</w:t>
      </w:r>
    </w:p>
    <w:p w:rsidR="0003507A" w:rsidRPr="00F16EAF" w:rsidRDefault="00EE57D2" w:rsidP="00794F6E">
      <w:pPr>
        <w:pStyle w:val="Author"/>
        <w:spacing w:before="720"/>
      </w:pPr>
      <w:r w:rsidRPr="00F16EAF">
        <w:t>Wendy Craik, Dav</w:t>
      </w:r>
      <w:r w:rsidR="00E35FF0" w:rsidRPr="00F16EAF">
        <w:t>id Palmer and Richard Sheldrake</w:t>
      </w:r>
    </w:p>
    <w:p w:rsidR="00D20A8B" w:rsidRPr="00F16EAF" w:rsidRDefault="00EE57D2" w:rsidP="00D20A8B">
      <w:pPr>
        <w:pStyle w:val="AuthorOrganisationAffiliation"/>
        <w:tabs>
          <w:tab w:val="left" w:pos="7995"/>
        </w:tabs>
      </w:pPr>
      <w:r w:rsidRPr="00F16EAF">
        <w:t>I</w:t>
      </w:r>
      <w:r w:rsidR="008933E5" w:rsidRPr="00F16EAF">
        <w:t>ntergovernmental Agreement on Biosecurity</w:t>
      </w:r>
      <w:r w:rsidRPr="00F16EAF">
        <w:t xml:space="preserve"> </w:t>
      </w:r>
      <w:r w:rsidR="00DB0C6B" w:rsidRPr="00F16EAF">
        <w:t>I</w:t>
      </w:r>
      <w:r w:rsidR="00B21FA0" w:rsidRPr="00F16EAF">
        <w:t xml:space="preserve">ndependent </w:t>
      </w:r>
      <w:r w:rsidR="00DB0C6B" w:rsidRPr="00F16EAF">
        <w:t>R</w:t>
      </w:r>
      <w:r w:rsidR="008933E5" w:rsidRPr="00F16EAF">
        <w:t>ev</w:t>
      </w:r>
      <w:r w:rsidRPr="00F16EAF">
        <w:t xml:space="preserve">iew </w:t>
      </w:r>
      <w:r w:rsidR="00DB0C6B" w:rsidRPr="00F16EAF">
        <w:t>P</w:t>
      </w:r>
      <w:r w:rsidRPr="00F16EAF">
        <w:t>ane</w:t>
      </w:r>
      <w:r w:rsidR="00D20A8B" w:rsidRPr="00F16EAF">
        <w:t>l</w:t>
      </w:r>
    </w:p>
    <w:p w:rsidR="003633D0" w:rsidRPr="00F16EAF" w:rsidRDefault="00562616" w:rsidP="00CA5F73">
      <w:pPr>
        <w:spacing w:before="2880"/>
        <w:jc w:val="right"/>
        <w:rPr>
          <w:b/>
          <w:sz w:val="28"/>
          <w:szCs w:val="28"/>
        </w:rPr>
      </w:pPr>
      <w:r>
        <w:rPr>
          <w:b/>
          <w:sz w:val="28"/>
          <w:szCs w:val="28"/>
        </w:rPr>
        <w:t>May</w:t>
      </w:r>
      <w:r w:rsidR="00E7361E" w:rsidRPr="00F16EAF">
        <w:rPr>
          <w:b/>
          <w:sz w:val="28"/>
          <w:szCs w:val="28"/>
        </w:rPr>
        <w:t xml:space="preserve"> 2016</w:t>
      </w:r>
    </w:p>
    <w:p w:rsidR="00AF2D57" w:rsidRPr="00F16EAF" w:rsidRDefault="005E3F32" w:rsidP="00CF3FB0">
      <w:pPr>
        <w:rPr>
          <w:sz w:val="18"/>
          <w:szCs w:val="18"/>
        </w:rPr>
      </w:pPr>
      <w:r w:rsidRPr="00F16EAF">
        <w:br w:type="page"/>
      </w:r>
      <w:r w:rsidR="00CF3FB0" w:rsidRPr="00F16EAF">
        <w:rPr>
          <w:sz w:val="18"/>
          <w:szCs w:val="18"/>
        </w:rPr>
        <w:lastRenderedPageBreak/>
        <w:t>© Commonwealth of Australia 2016</w:t>
      </w:r>
    </w:p>
    <w:p w:rsidR="00AF2D57" w:rsidRPr="00F16EAF" w:rsidRDefault="00AF2D57" w:rsidP="00CF3FB0">
      <w:pPr>
        <w:spacing w:after="0"/>
        <w:rPr>
          <w:rStyle w:val="Strong"/>
          <w:sz w:val="18"/>
          <w:szCs w:val="18"/>
        </w:rPr>
      </w:pPr>
      <w:r w:rsidRPr="00F16EAF">
        <w:rPr>
          <w:rStyle w:val="Strong"/>
          <w:sz w:val="18"/>
          <w:szCs w:val="18"/>
        </w:rPr>
        <w:t>Ownership of intellectual property rights</w:t>
      </w:r>
    </w:p>
    <w:p w:rsidR="00AF2D57" w:rsidRPr="00F16EAF" w:rsidRDefault="00AF2D57" w:rsidP="00CF3FB0">
      <w:pPr>
        <w:rPr>
          <w:sz w:val="18"/>
          <w:szCs w:val="18"/>
        </w:rPr>
      </w:pPr>
      <w:r w:rsidRPr="00F16EAF">
        <w:rPr>
          <w:sz w:val="18"/>
          <w:szCs w:val="18"/>
        </w:rPr>
        <w:t>Unless otherwise noted, copyright (and any other intellectual property rights, if any) in this publication is owned by the Commonwealth of Australia (referred to as the Commonwealth).</w:t>
      </w:r>
    </w:p>
    <w:p w:rsidR="00AF2D57" w:rsidRPr="00F16EAF" w:rsidRDefault="00AF2D57" w:rsidP="00CF3FB0">
      <w:pPr>
        <w:spacing w:after="0"/>
        <w:rPr>
          <w:rStyle w:val="Strong"/>
          <w:sz w:val="18"/>
          <w:szCs w:val="18"/>
        </w:rPr>
      </w:pPr>
      <w:r w:rsidRPr="00F16EAF">
        <w:rPr>
          <w:rStyle w:val="Strong"/>
          <w:sz w:val="18"/>
          <w:szCs w:val="18"/>
        </w:rPr>
        <w:t>Creative Commons licence</w:t>
      </w:r>
    </w:p>
    <w:p w:rsidR="00AF2D57" w:rsidRPr="00F16EAF" w:rsidRDefault="00AF2D57" w:rsidP="00CF3FB0">
      <w:pPr>
        <w:rPr>
          <w:sz w:val="18"/>
          <w:szCs w:val="18"/>
        </w:rPr>
      </w:pPr>
      <w:r w:rsidRPr="00F16EAF">
        <w:rPr>
          <w:sz w:val="18"/>
          <w:szCs w:val="18"/>
        </w:rPr>
        <w:t>All material in this publication is licensed under a Creative Commons Attribution 3.0 Australia Licence, save for content supplied by third parties, logos and the Commonwealth Coat of Arms.</w:t>
      </w:r>
    </w:p>
    <w:p w:rsidR="00AF2D57" w:rsidRPr="00F16EAF" w:rsidRDefault="005F18A6" w:rsidP="00CF3FB0">
      <w:pPr>
        <w:rPr>
          <w:sz w:val="18"/>
          <w:szCs w:val="18"/>
        </w:rPr>
      </w:pPr>
      <w:r w:rsidRPr="00F16EAF">
        <w:rPr>
          <w:noProof/>
          <w:sz w:val="18"/>
          <w:szCs w:val="18"/>
          <w:lang w:eastAsia="en-AU"/>
        </w:rPr>
        <w:drawing>
          <wp:inline distT="0" distB="0" distL="0" distR="0" wp14:anchorId="13638AF0" wp14:editId="13638AF1">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1"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rsidR="00AF2D57" w:rsidRPr="00F16EAF" w:rsidRDefault="00AF2D57" w:rsidP="00CF3FB0">
      <w:pPr>
        <w:rPr>
          <w:sz w:val="18"/>
          <w:szCs w:val="18"/>
        </w:rPr>
      </w:pPr>
      <w:r w:rsidRPr="00F16EAF">
        <w:rPr>
          <w:sz w:val="18"/>
          <w:szCs w:val="18"/>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2" w:history="1">
        <w:r w:rsidRPr="00F16EAF">
          <w:rPr>
            <w:rStyle w:val="Hyperlink"/>
            <w:sz w:val="18"/>
            <w:szCs w:val="18"/>
          </w:rPr>
          <w:t>creativecommons.org/licenses/by/3.0/au/deed.en</w:t>
        </w:r>
      </w:hyperlink>
      <w:r w:rsidRPr="00F16EAF">
        <w:rPr>
          <w:sz w:val="18"/>
          <w:szCs w:val="18"/>
        </w:rPr>
        <w:t xml:space="preserve">. The full licence terms are available from </w:t>
      </w:r>
      <w:hyperlink r:id="rId13" w:history="1">
        <w:r w:rsidRPr="00F16EAF">
          <w:rPr>
            <w:rStyle w:val="Hyperlink"/>
            <w:sz w:val="18"/>
            <w:szCs w:val="18"/>
          </w:rPr>
          <w:t>creativecommons.org/licenses/by/3.0/au/legalcode</w:t>
        </w:r>
      </w:hyperlink>
      <w:r w:rsidRPr="00F16EAF">
        <w:rPr>
          <w:sz w:val="18"/>
          <w:szCs w:val="18"/>
        </w:rPr>
        <w:t>.</w:t>
      </w:r>
    </w:p>
    <w:p w:rsidR="00973B83" w:rsidRPr="00F16EAF" w:rsidRDefault="00363CEA" w:rsidP="00973B83">
      <w:pPr>
        <w:rPr>
          <w:sz w:val="18"/>
          <w:szCs w:val="18"/>
        </w:rPr>
      </w:pPr>
      <w:r w:rsidRPr="00F16EAF">
        <w:rPr>
          <w:rStyle w:val="Emphasis"/>
          <w:sz w:val="18"/>
          <w:szCs w:val="18"/>
        </w:rPr>
        <w:t xml:space="preserve">Is Australia’s national biosecurity system and the underpinning Intergovernmental Agreement on </w:t>
      </w:r>
      <w:r w:rsidR="009216A3" w:rsidRPr="00F16EAF">
        <w:rPr>
          <w:rStyle w:val="Emphasis"/>
          <w:sz w:val="18"/>
          <w:szCs w:val="18"/>
        </w:rPr>
        <w:t>Biosecurity fit for the future?</w:t>
      </w:r>
      <w:r w:rsidRPr="00F16EAF">
        <w:rPr>
          <w:rStyle w:val="Emphasis"/>
          <w:sz w:val="18"/>
          <w:szCs w:val="18"/>
        </w:rPr>
        <w:t xml:space="preserve"> </w:t>
      </w:r>
      <w:r w:rsidR="00F431FA" w:rsidRPr="00F16EAF">
        <w:rPr>
          <w:rStyle w:val="Emphasis"/>
          <w:sz w:val="18"/>
          <w:szCs w:val="18"/>
        </w:rPr>
        <w:t>D</w:t>
      </w:r>
      <w:r w:rsidR="00CC4E4C" w:rsidRPr="00F16EAF">
        <w:rPr>
          <w:rStyle w:val="Emphasis"/>
          <w:sz w:val="18"/>
          <w:szCs w:val="18"/>
        </w:rPr>
        <w:t>iscussion</w:t>
      </w:r>
      <w:r w:rsidRPr="00F16EAF">
        <w:rPr>
          <w:rStyle w:val="Emphasis"/>
          <w:sz w:val="18"/>
          <w:szCs w:val="18"/>
        </w:rPr>
        <w:t xml:space="preserve"> </w:t>
      </w:r>
      <w:r w:rsidR="009216A3" w:rsidRPr="00F16EAF">
        <w:rPr>
          <w:rStyle w:val="Emphasis"/>
          <w:sz w:val="18"/>
          <w:szCs w:val="18"/>
        </w:rPr>
        <w:t>p</w:t>
      </w:r>
      <w:r w:rsidR="00973B83" w:rsidRPr="00F16EAF">
        <w:rPr>
          <w:rStyle w:val="Emphasis"/>
          <w:sz w:val="18"/>
          <w:szCs w:val="18"/>
        </w:rPr>
        <w:t>aper</w:t>
      </w:r>
      <w:r w:rsidR="0078111A" w:rsidRPr="00F16EAF">
        <w:rPr>
          <w:rStyle w:val="Emphasis"/>
          <w:sz w:val="18"/>
          <w:szCs w:val="18"/>
        </w:rPr>
        <w:t xml:space="preserve"> </w:t>
      </w:r>
      <w:r w:rsidR="00973B83" w:rsidRPr="00F16EAF">
        <w:rPr>
          <w:sz w:val="18"/>
          <w:szCs w:val="18"/>
        </w:rPr>
        <w:t xml:space="preserve">is available at: </w:t>
      </w:r>
      <w:hyperlink r:id="rId14" w:history="1">
        <w:r w:rsidR="00973B83" w:rsidRPr="00F16EAF">
          <w:rPr>
            <w:rStyle w:val="Hyperlink"/>
            <w:sz w:val="18"/>
            <w:szCs w:val="18"/>
          </w:rPr>
          <w:t>www.agriculture.gov.au/igabreview</w:t>
        </w:r>
      </w:hyperlink>
      <w:r w:rsidR="00B1671D" w:rsidRPr="00F16EAF">
        <w:rPr>
          <w:rStyle w:val="Hyperlink"/>
          <w:color w:val="auto"/>
          <w:sz w:val="18"/>
          <w:szCs w:val="18"/>
          <w:u w:val="none"/>
        </w:rPr>
        <w:t>.</w:t>
      </w:r>
    </w:p>
    <w:p w:rsidR="00164202" w:rsidRPr="00F16EAF" w:rsidRDefault="00164202" w:rsidP="00CF3FB0">
      <w:pPr>
        <w:rPr>
          <w:sz w:val="18"/>
          <w:szCs w:val="18"/>
        </w:rPr>
      </w:pPr>
      <w:r w:rsidRPr="00F16EAF">
        <w:rPr>
          <w:sz w:val="18"/>
          <w:szCs w:val="18"/>
        </w:rPr>
        <w:t xml:space="preserve">Inquiries about the licence and any use of this document should be sent to </w:t>
      </w:r>
      <w:hyperlink r:id="rId15" w:history="1">
        <w:r w:rsidR="007C7874" w:rsidRPr="00F16EAF">
          <w:rPr>
            <w:rStyle w:val="Hyperlink"/>
            <w:sz w:val="18"/>
            <w:szCs w:val="18"/>
          </w:rPr>
          <w:t>copyright@agriculture.gov.au</w:t>
        </w:r>
      </w:hyperlink>
      <w:r w:rsidRPr="00F16EAF">
        <w:rPr>
          <w:sz w:val="18"/>
          <w:szCs w:val="18"/>
        </w:rPr>
        <w:t>.</w:t>
      </w:r>
    </w:p>
    <w:p w:rsidR="00AF2D57" w:rsidRPr="00F16EAF" w:rsidRDefault="00164202" w:rsidP="00CF3FB0">
      <w:pPr>
        <w:spacing w:after="0"/>
        <w:rPr>
          <w:sz w:val="18"/>
          <w:szCs w:val="18"/>
        </w:rPr>
      </w:pPr>
      <w:r w:rsidRPr="00F16EAF">
        <w:rPr>
          <w:sz w:val="18"/>
          <w:szCs w:val="18"/>
        </w:rPr>
        <w:t>Department of Agriculture</w:t>
      </w:r>
      <w:r w:rsidR="00EC68D7" w:rsidRPr="00F16EAF">
        <w:rPr>
          <w:sz w:val="18"/>
          <w:szCs w:val="18"/>
        </w:rPr>
        <w:t xml:space="preserve"> and Water Resources</w:t>
      </w:r>
    </w:p>
    <w:p w:rsidR="00AF2D57" w:rsidRPr="00F16EAF" w:rsidRDefault="00AF2D57" w:rsidP="00CF3FB0">
      <w:pPr>
        <w:spacing w:after="0"/>
        <w:rPr>
          <w:sz w:val="18"/>
          <w:szCs w:val="18"/>
        </w:rPr>
      </w:pPr>
      <w:r w:rsidRPr="00F16EAF">
        <w:rPr>
          <w:sz w:val="18"/>
          <w:szCs w:val="18"/>
        </w:rPr>
        <w:t xml:space="preserve">Postal address GPO Box </w:t>
      </w:r>
      <w:r w:rsidR="00164202" w:rsidRPr="00F16EAF">
        <w:rPr>
          <w:sz w:val="18"/>
          <w:szCs w:val="18"/>
        </w:rPr>
        <w:t>858</w:t>
      </w:r>
      <w:r w:rsidR="0040670D" w:rsidRPr="00F16EAF">
        <w:rPr>
          <w:sz w:val="18"/>
          <w:szCs w:val="18"/>
        </w:rPr>
        <w:t xml:space="preserve"> Canberra ACT 2601</w:t>
      </w:r>
    </w:p>
    <w:p w:rsidR="00AF2D57" w:rsidRPr="00F16EAF" w:rsidRDefault="003537FB" w:rsidP="00CF3FB0">
      <w:pPr>
        <w:spacing w:after="0"/>
        <w:rPr>
          <w:sz w:val="18"/>
          <w:szCs w:val="18"/>
        </w:rPr>
      </w:pPr>
      <w:r w:rsidRPr="00F16EAF">
        <w:rPr>
          <w:sz w:val="18"/>
          <w:szCs w:val="18"/>
        </w:rPr>
        <w:t>Telephone 1800 900 090</w:t>
      </w:r>
    </w:p>
    <w:p w:rsidR="00AF2D57" w:rsidRPr="00F16EAF" w:rsidRDefault="00164202" w:rsidP="00CF3FB0">
      <w:pPr>
        <w:spacing w:after="120"/>
        <w:rPr>
          <w:sz w:val="18"/>
          <w:szCs w:val="18"/>
        </w:rPr>
      </w:pPr>
      <w:r w:rsidRPr="00F16EAF">
        <w:rPr>
          <w:sz w:val="18"/>
          <w:szCs w:val="18"/>
        </w:rPr>
        <w:t xml:space="preserve">Web </w:t>
      </w:r>
      <w:hyperlink r:id="rId16" w:history="1">
        <w:r w:rsidR="007C7874" w:rsidRPr="00F16EAF">
          <w:rPr>
            <w:rStyle w:val="Hyperlink"/>
            <w:sz w:val="18"/>
            <w:szCs w:val="18"/>
          </w:rPr>
          <w:t>agriculture.gov.au</w:t>
        </w:r>
      </w:hyperlink>
    </w:p>
    <w:p w:rsidR="0045508C" w:rsidRPr="00893324" w:rsidRDefault="00893324" w:rsidP="00AD00A1">
      <w:pPr>
        <w:rPr>
          <w:rFonts w:ascii="Cambria" w:hAnsi="Cambria"/>
          <w:b/>
        </w:rPr>
      </w:pPr>
      <w:r w:rsidRPr="0038249E">
        <w:rPr>
          <w:iCs/>
          <w:sz w:val="18"/>
          <w:szCs w:val="18"/>
        </w:rPr>
        <w:t xml:space="preserve">This discussion paper has been prepared on the advice of the Intergovernmental Agreement on Biosecurity </w:t>
      </w:r>
      <w:r w:rsidR="0093354A" w:rsidRPr="0038249E">
        <w:rPr>
          <w:iCs/>
          <w:sz w:val="18"/>
          <w:szCs w:val="18"/>
        </w:rPr>
        <w:t>I</w:t>
      </w:r>
      <w:r w:rsidRPr="0038249E">
        <w:rPr>
          <w:iCs/>
          <w:sz w:val="18"/>
          <w:szCs w:val="18"/>
        </w:rPr>
        <w:t xml:space="preserve">ndependent </w:t>
      </w:r>
      <w:r w:rsidR="0093354A" w:rsidRPr="0038249E">
        <w:rPr>
          <w:iCs/>
          <w:sz w:val="18"/>
          <w:szCs w:val="18"/>
        </w:rPr>
        <w:t>R</w:t>
      </w:r>
      <w:r w:rsidRPr="0038249E">
        <w:rPr>
          <w:iCs/>
          <w:sz w:val="18"/>
          <w:szCs w:val="18"/>
        </w:rPr>
        <w:t xml:space="preserve">eview </w:t>
      </w:r>
      <w:r w:rsidR="0093354A" w:rsidRPr="0038249E">
        <w:rPr>
          <w:iCs/>
          <w:sz w:val="18"/>
          <w:szCs w:val="18"/>
        </w:rPr>
        <w:t>P</w:t>
      </w:r>
      <w:r w:rsidRPr="0038249E">
        <w:rPr>
          <w:iCs/>
          <w:sz w:val="18"/>
          <w:szCs w:val="18"/>
        </w:rPr>
        <w:t xml:space="preserve">anel (the review panel). This discussion paper is intended to facilitate and encourage discussion </w:t>
      </w:r>
      <w:r w:rsidR="0026053A">
        <w:rPr>
          <w:iCs/>
          <w:sz w:val="18"/>
          <w:szCs w:val="18"/>
        </w:rPr>
        <w:t>on</w:t>
      </w:r>
      <w:r w:rsidRPr="0038249E">
        <w:rPr>
          <w:iCs/>
          <w:sz w:val="18"/>
          <w:szCs w:val="18"/>
        </w:rPr>
        <w:t xml:space="preserve"> the capacity of Australia’s national biosecurity system</w:t>
      </w:r>
      <w:r w:rsidR="0036692B" w:rsidRPr="0038249E">
        <w:rPr>
          <w:iCs/>
          <w:sz w:val="18"/>
          <w:szCs w:val="18"/>
        </w:rPr>
        <w:t xml:space="preserve"> to manage increased </w:t>
      </w:r>
      <w:r w:rsidR="00830AAF" w:rsidRPr="0038249E">
        <w:rPr>
          <w:iCs/>
          <w:sz w:val="18"/>
          <w:szCs w:val="18"/>
        </w:rPr>
        <w:t xml:space="preserve">biosecurity </w:t>
      </w:r>
      <w:r w:rsidR="0036692B" w:rsidRPr="0038249E">
        <w:rPr>
          <w:iCs/>
          <w:sz w:val="18"/>
          <w:szCs w:val="18"/>
        </w:rPr>
        <w:t>risk</w:t>
      </w:r>
      <w:r w:rsidR="0026053A">
        <w:rPr>
          <w:iCs/>
          <w:sz w:val="18"/>
          <w:szCs w:val="18"/>
        </w:rPr>
        <w:t>,</w:t>
      </w:r>
      <w:r w:rsidRPr="0038249E">
        <w:rPr>
          <w:iCs/>
          <w:sz w:val="18"/>
          <w:szCs w:val="18"/>
        </w:rPr>
        <w:t xml:space="preserve"> and the implementation and effectiveness of the 2012 Intergovernm</w:t>
      </w:r>
      <w:r w:rsidR="0009706C">
        <w:rPr>
          <w:iCs/>
          <w:sz w:val="18"/>
          <w:szCs w:val="18"/>
        </w:rPr>
        <w:t xml:space="preserve">ental Agreement on Biosecurity. </w:t>
      </w:r>
      <w:r w:rsidRPr="0038249E">
        <w:rPr>
          <w:iCs/>
          <w:sz w:val="18"/>
          <w:szCs w:val="18"/>
        </w:rPr>
        <w:t>The views expressed in this discussion paper do not necessarily represent the views of the Australian Government. The Australian Government</w:t>
      </w:r>
      <w:r w:rsidR="00854671" w:rsidRPr="0038249E">
        <w:rPr>
          <w:iCs/>
          <w:sz w:val="18"/>
          <w:szCs w:val="18"/>
        </w:rPr>
        <w:t>—</w:t>
      </w:r>
      <w:r w:rsidRPr="00893324">
        <w:rPr>
          <w:iCs/>
          <w:sz w:val="18"/>
          <w:szCs w:val="18"/>
        </w:rPr>
        <w:t>including the Department of Agriculture and Water Resource</w:t>
      </w:r>
      <w:r w:rsidR="00854671">
        <w:rPr>
          <w:iCs/>
          <w:sz w:val="18"/>
          <w:szCs w:val="18"/>
        </w:rPr>
        <w:t>s, their employees and advisers—</w:t>
      </w:r>
      <w:r w:rsidRPr="00893324">
        <w:rPr>
          <w:iCs/>
          <w:sz w:val="18"/>
          <w:szCs w:val="18"/>
        </w:rPr>
        <w:t>and the review panel members disclaim all liability, including liability for negligence and for any loss, damage, injury, expense or cost incurred by any person as a result of accessing, using or relying upon any of the information in this discussion paper to the maximum extent permitted by law.</w:t>
      </w:r>
      <w:r w:rsidR="0045508C" w:rsidRPr="00893324">
        <w:rPr>
          <w:rFonts w:ascii="Cambria" w:hAnsi="Cambria"/>
          <w:b/>
          <w:bCs/>
        </w:rP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rFonts w:asciiTheme="minorHAnsi" w:hAnsiTheme="minorHAnsi"/>
          <w:b/>
        </w:rPr>
      </w:sdtEndPr>
      <w:sdtContent>
        <w:p w:rsidR="00A50834" w:rsidRPr="00F16EAF" w:rsidRDefault="00A50834">
          <w:pPr>
            <w:pStyle w:val="TOCHeading"/>
          </w:pPr>
          <w:r w:rsidRPr="00F16EAF">
            <w:t>Contents</w:t>
          </w:r>
        </w:p>
        <w:p w:rsidR="002F3AAF" w:rsidRDefault="002A3865">
          <w:pPr>
            <w:pStyle w:val="TOC1"/>
            <w:rPr>
              <w:rFonts w:eastAsiaTheme="minorEastAsia"/>
              <w:b w:val="0"/>
              <w:lang w:eastAsia="en-AU"/>
            </w:rPr>
          </w:pPr>
          <w:r w:rsidRPr="00F16EAF">
            <w:rPr>
              <w:b w:val="0"/>
              <w:noProof w:val="0"/>
            </w:rPr>
            <w:fldChar w:fldCharType="begin"/>
          </w:r>
          <w:r w:rsidRPr="00F16EAF">
            <w:rPr>
              <w:b w:val="0"/>
              <w:noProof w:val="0"/>
            </w:rPr>
            <w:instrText xml:space="preserve"> TOC \h \z \u \t "Heading 2,1,Heading 3,2,Style1,2,TOA Heading,1" </w:instrText>
          </w:r>
          <w:r w:rsidRPr="00F16EAF">
            <w:rPr>
              <w:b w:val="0"/>
              <w:noProof w:val="0"/>
            </w:rPr>
            <w:fldChar w:fldCharType="separate"/>
          </w:r>
          <w:hyperlink w:anchor="_Toc450126724" w:history="1">
            <w:r w:rsidR="002F3AAF" w:rsidRPr="00BC0641">
              <w:rPr>
                <w:rStyle w:val="Hyperlink"/>
              </w:rPr>
              <w:t>1</w:t>
            </w:r>
            <w:r w:rsidR="002F3AAF">
              <w:rPr>
                <w:rFonts w:eastAsiaTheme="minorEastAsia"/>
                <w:b w:val="0"/>
                <w:lang w:eastAsia="en-AU"/>
              </w:rPr>
              <w:tab/>
            </w:r>
            <w:r w:rsidR="002F3AAF" w:rsidRPr="00BC0641">
              <w:rPr>
                <w:rStyle w:val="Hyperlink"/>
              </w:rPr>
              <w:t>The Intergovernmental Agreement on Biosecurity review</w:t>
            </w:r>
            <w:r w:rsidR="002F3AAF">
              <w:rPr>
                <w:webHidden/>
              </w:rPr>
              <w:tab/>
            </w:r>
            <w:r w:rsidR="002F3AAF">
              <w:rPr>
                <w:webHidden/>
              </w:rPr>
              <w:fldChar w:fldCharType="begin"/>
            </w:r>
            <w:r w:rsidR="002F3AAF">
              <w:rPr>
                <w:webHidden/>
              </w:rPr>
              <w:instrText xml:space="preserve"> PAGEREF _Toc450126724 \h </w:instrText>
            </w:r>
            <w:r w:rsidR="002F3AAF">
              <w:rPr>
                <w:webHidden/>
              </w:rPr>
            </w:r>
            <w:r w:rsidR="002F3AAF">
              <w:rPr>
                <w:webHidden/>
              </w:rPr>
              <w:fldChar w:fldCharType="separate"/>
            </w:r>
            <w:r w:rsidR="002F3AAF">
              <w:rPr>
                <w:webHidden/>
              </w:rPr>
              <w:t>1</w:t>
            </w:r>
            <w:r w:rsidR="002F3AAF">
              <w:rPr>
                <w:webHidden/>
              </w:rPr>
              <w:fldChar w:fldCharType="end"/>
            </w:r>
          </w:hyperlink>
        </w:p>
        <w:p w:rsidR="002F3AAF" w:rsidRDefault="002F3AAF">
          <w:pPr>
            <w:pStyle w:val="TOC2"/>
            <w:rPr>
              <w:rFonts w:eastAsiaTheme="minorEastAsia"/>
              <w:lang w:eastAsia="en-AU"/>
            </w:rPr>
          </w:pPr>
          <w:hyperlink w:anchor="_Toc450126725" w:history="1">
            <w:r w:rsidRPr="00BC0641">
              <w:rPr>
                <w:rStyle w:val="Hyperlink"/>
              </w:rPr>
              <w:t>Background</w:t>
            </w:r>
            <w:r>
              <w:rPr>
                <w:webHidden/>
              </w:rPr>
              <w:tab/>
            </w:r>
            <w:r>
              <w:rPr>
                <w:webHidden/>
              </w:rPr>
              <w:fldChar w:fldCharType="begin"/>
            </w:r>
            <w:r>
              <w:rPr>
                <w:webHidden/>
              </w:rPr>
              <w:instrText xml:space="preserve"> PAGEREF _Toc450126725 \h </w:instrText>
            </w:r>
            <w:r>
              <w:rPr>
                <w:webHidden/>
              </w:rPr>
            </w:r>
            <w:r>
              <w:rPr>
                <w:webHidden/>
              </w:rPr>
              <w:fldChar w:fldCharType="separate"/>
            </w:r>
            <w:r>
              <w:rPr>
                <w:webHidden/>
              </w:rPr>
              <w:t>1</w:t>
            </w:r>
            <w:r>
              <w:rPr>
                <w:webHidden/>
              </w:rPr>
              <w:fldChar w:fldCharType="end"/>
            </w:r>
          </w:hyperlink>
        </w:p>
        <w:p w:rsidR="002F3AAF" w:rsidRDefault="002F3AAF">
          <w:pPr>
            <w:pStyle w:val="TOC2"/>
            <w:rPr>
              <w:rFonts w:eastAsiaTheme="minorEastAsia"/>
              <w:lang w:eastAsia="en-AU"/>
            </w:rPr>
          </w:pPr>
          <w:hyperlink w:anchor="_Toc450126726" w:history="1">
            <w:r w:rsidRPr="00BC0641">
              <w:rPr>
                <w:rStyle w:val="Hyperlink"/>
              </w:rPr>
              <w:t>Purpose of the review</w:t>
            </w:r>
            <w:r>
              <w:rPr>
                <w:webHidden/>
              </w:rPr>
              <w:tab/>
            </w:r>
            <w:r>
              <w:rPr>
                <w:webHidden/>
              </w:rPr>
              <w:fldChar w:fldCharType="begin"/>
            </w:r>
            <w:r>
              <w:rPr>
                <w:webHidden/>
              </w:rPr>
              <w:instrText xml:space="preserve"> PAGEREF _Toc450126726 \h </w:instrText>
            </w:r>
            <w:r>
              <w:rPr>
                <w:webHidden/>
              </w:rPr>
            </w:r>
            <w:r>
              <w:rPr>
                <w:webHidden/>
              </w:rPr>
              <w:fldChar w:fldCharType="separate"/>
            </w:r>
            <w:r>
              <w:rPr>
                <w:webHidden/>
              </w:rPr>
              <w:t>2</w:t>
            </w:r>
            <w:r>
              <w:rPr>
                <w:webHidden/>
              </w:rPr>
              <w:fldChar w:fldCharType="end"/>
            </w:r>
          </w:hyperlink>
        </w:p>
        <w:p w:rsidR="002F3AAF" w:rsidRDefault="002F3AAF">
          <w:pPr>
            <w:pStyle w:val="TOC2"/>
            <w:rPr>
              <w:rFonts w:eastAsiaTheme="minorEastAsia"/>
              <w:lang w:eastAsia="en-AU"/>
            </w:rPr>
          </w:pPr>
          <w:hyperlink w:anchor="_Toc450126727" w:history="1">
            <w:r w:rsidRPr="00BC0641">
              <w:rPr>
                <w:rStyle w:val="Hyperlink"/>
              </w:rPr>
              <w:t>Scope of the review</w:t>
            </w:r>
            <w:r>
              <w:rPr>
                <w:webHidden/>
              </w:rPr>
              <w:tab/>
            </w:r>
            <w:r>
              <w:rPr>
                <w:webHidden/>
              </w:rPr>
              <w:fldChar w:fldCharType="begin"/>
            </w:r>
            <w:r>
              <w:rPr>
                <w:webHidden/>
              </w:rPr>
              <w:instrText xml:space="preserve"> PAGEREF _Toc450126727 \h </w:instrText>
            </w:r>
            <w:r>
              <w:rPr>
                <w:webHidden/>
              </w:rPr>
            </w:r>
            <w:r>
              <w:rPr>
                <w:webHidden/>
              </w:rPr>
              <w:fldChar w:fldCharType="separate"/>
            </w:r>
            <w:r>
              <w:rPr>
                <w:webHidden/>
              </w:rPr>
              <w:t>2</w:t>
            </w:r>
            <w:r>
              <w:rPr>
                <w:webHidden/>
              </w:rPr>
              <w:fldChar w:fldCharType="end"/>
            </w:r>
          </w:hyperlink>
        </w:p>
        <w:p w:rsidR="002F3AAF" w:rsidRDefault="002F3AAF">
          <w:pPr>
            <w:pStyle w:val="TOC2"/>
            <w:rPr>
              <w:rFonts w:eastAsiaTheme="minorEastAsia"/>
              <w:lang w:eastAsia="en-AU"/>
            </w:rPr>
          </w:pPr>
          <w:hyperlink w:anchor="_Toc450126728" w:history="1">
            <w:r w:rsidRPr="00BC0641">
              <w:rPr>
                <w:rStyle w:val="Hyperlink"/>
              </w:rPr>
              <w:t>What is not being reviewed</w:t>
            </w:r>
            <w:r>
              <w:rPr>
                <w:webHidden/>
              </w:rPr>
              <w:tab/>
            </w:r>
            <w:r>
              <w:rPr>
                <w:webHidden/>
              </w:rPr>
              <w:fldChar w:fldCharType="begin"/>
            </w:r>
            <w:r>
              <w:rPr>
                <w:webHidden/>
              </w:rPr>
              <w:instrText xml:space="preserve"> PAGEREF _Toc450126728 \h </w:instrText>
            </w:r>
            <w:r>
              <w:rPr>
                <w:webHidden/>
              </w:rPr>
            </w:r>
            <w:r>
              <w:rPr>
                <w:webHidden/>
              </w:rPr>
              <w:fldChar w:fldCharType="separate"/>
            </w:r>
            <w:r>
              <w:rPr>
                <w:webHidden/>
              </w:rPr>
              <w:t>3</w:t>
            </w:r>
            <w:r>
              <w:rPr>
                <w:webHidden/>
              </w:rPr>
              <w:fldChar w:fldCharType="end"/>
            </w:r>
          </w:hyperlink>
        </w:p>
        <w:p w:rsidR="002F3AAF" w:rsidRDefault="002F3AAF">
          <w:pPr>
            <w:pStyle w:val="TOC2"/>
            <w:rPr>
              <w:rFonts w:eastAsiaTheme="minorEastAsia"/>
              <w:lang w:eastAsia="en-AU"/>
            </w:rPr>
          </w:pPr>
          <w:hyperlink w:anchor="_Toc450126729" w:history="1">
            <w:r w:rsidRPr="00BC0641">
              <w:rPr>
                <w:rStyle w:val="Hyperlink"/>
              </w:rPr>
              <w:t>The review panel</w:t>
            </w:r>
            <w:r>
              <w:rPr>
                <w:webHidden/>
              </w:rPr>
              <w:tab/>
            </w:r>
            <w:r>
              <w:rPr>
                <w:webHidden/>
              </w:rPr>
              <w:fldChar w:fldCharType="begin"/>
            </w:r>
            <w:r>
              <w:rPr>
                <w:webHidden/>
              </w:rPr>
              <w:instrText xml:space="preserve"> PAGEREF _Toc450126729 \h </w:instrText>
            </w:r>
            <w:r>
              <w:rPr>
                <w:webHidden/>
              </w:rPr>
            </w:r>
            <w:r>
              <w:rPr>
                <w:webHidden/>
              </w:rPr>
              <w:fldChar w:fldCharType="separate"/>
            </w:r>
            <w:r>
              <w:rPr>
                <w:webHidden/>
              </w:rPr>
              <w:t>3</w:t>
            </w:r>
            <w:r>
              <w:rPr>
                <w:webHidden/>
              </w:rPr>
              <w:fldChar w:fldCharType="end"/>
            </w:r>
          </w:hyperlink>
        </w:p>
        <w:p w:rsidR="002F3AAF" w:rsidRDefault="002F3AAF">
          <w:pPr>
            <w:pStyle w:val="TOC2"/>
            <w:rPr>
              <w:rFonts w:eastAsiaTheme="minorEastAsia"/>
              <w:lang w:eastAsia="en-AU"/>
            </w:rPr>
          </w:pPr>
          <w:hyperlink w:anchor="_Toc450126730" w:history="1">
            <w:r w:rsidRPr="00BC0641">
              <w:rPr>
                <w:rStyle w:val="Hyperlink"/>
              </w:rPr>
              <w:t>Consultation activities and next steps</w:t>
            </w:r>
            <w:r>
              <w:rPr>
                <w:webHidden/>
              </w:rPr>
              <w:tab/>
            </w:r>
            <w:r>
              <w:rPr>
                <w:webHidden/>
              </w:rPr>
              <w:fldChar w:fldCharType="begin"/>
            </w:r>
            <w:r>
              <w:rPr>
                <w:webHidden/>
              </w:rPr>
              <w:instrText xml:space="preserve"> PAGEREF _Toc450126730 \h </w:instrText>
            </w:r>
            <w:r>
              <w:rPr>
                <w:webHidden/>
              </w:rPr>
            </w:r>
            <w:r>
              <w:rPr>
                <w:webHidden/>
              </w:rPr>
              <w:fldChar w:fldCharType="separate"/>
            </w:r>
            <w:r>
              <w:rPr>
                <w:webHidden/>
              </w:rPr>
              <w:t>3</w:t>
            </w:r>
            <w:r>
              <w:rPr>
                <w:webHidden/>
              </w:rPr>
              <w:fldChar w:fldCharType="end"/>
            </w:r>
          </w:hyperlink>
        </w:p>
        <w:p w:rsidR="002F3AAF" w:rsidRDefault="002F3AAF">
          <w:pPr>
            <w:pStyle w:val="TOC1"/>
            <w:rPr>
              <w:rFonts w:eastAsiaTheme="minorEastAsia"/>
              <w:b w:val="0"/>
              <w:lang w:eastAsia="en-AU"/>
            </w:rPr>
          </w:pPr>
          <w:hyperlink w:anchor="_Toc450126731" w:history="1">
            <w:r w:rsidRPr="00BC0641">
              <w:rPr>
                <w:rStyle w:val="Hyperlink"/>
              </w:rPr>
              <w:t>2</w:t>
            </w:r>
            <w:r>
              <w:rPr>
                <w:rFonts w:eastAsiaTheme="minorEastAsia"/>
                <w:b w:val="0"/>
                <w:lang w:eastAsia="en-AU"/>
              </w:rPr>
              <w:tab/>
            </w:r>
            <w:r w:rsidRPr="00BC0641">
              <w:rPr>
                <w:rStyle w:val="Hyperlink"/>
              </w:rPr>
              <w:t>Glossary of terms</w:t>
            </w:r>
            <w:r>
              <w:rPr>
                <w:webHidden/>
              </w:rPr>
              <w:tab/>
            </w:r>
            <w:r>
              <w:rPr>
                <w:webHidden/>
              </w:rPr>
              <w:fldChar w:fldCharType="begin"/>
            </w:r>
            <w:r>
              <w:rPr>
                <w:webHidden/>
              </w:rPr>
              <w:instrText xml:space="preserve"> PAGEREF _Toc450126731 \h </w:instrText>
            </w:r>
            <w:r>
              <w:rPr>
                <w:webHidden/>
              </w:rPr>
            </w:r>
            <w:r>
              <w:rPr>
                <w:webHidden/>
              </w:rPr>
              <w:fldChar w:fldCharType="separate"/>
            </w:r>
            <w:r>
              <w:rPr>
                <w:webHidden/>
              </w:rPr>
              <w:t>4</w:t>
            </w:r>
            <w:r>
              <w:rPr>
                <w:webHidden/>
              </w:rPr>
              <w:fldChar w:fldCharType="end"/>
            </w:r>
          </w:hyperlink>
        </w:p>
        <w:p w:rsidR="002F3AAF" w:rsidRDefault="002F3AAF">
          <w:pPr>
            <w:pStyle w:val="TOC1"/>
            <w:rPr>
              <w:rFonts w:eastAsiaTheme="minorEastAsia"/>
              <w:b w:val="0"/>
              <w:lang w:eastAsia="en-AU"/>
            </w:rPr>
          </w:pPr>
          <w:hyperlink w:anchor="_Toc450126732" w:history="1">
            <w:r w:rsidRPr="00BC0641">
              <w:rPr>
                <w:rStyle w:val="Hyperlink"/>
              </w:rPr>
              <w:t>3</w:t>
            </w:r>
            <w:r>
              <w:rPr>
                <w:rFonts w:eastAsiaTheme="minorEastAsia"/>
                <w:b w:val="0"/>
                <w:lang w:eastAsia="en-AU"/>
              </w:rPr>
              <w:tab/>
            </w:r>
            <w:r w:rsidRPr="00BC0641">
              <w:rPr>
                <w:rStyle w:val="Hyperlink"/>
              </w:rPr>
              <w:t>Australia’s national biosecurity system</w:t>
            </w:r>
            <w:r>
              <w:rPr>
                <w:webHidden/>
              </w:rPr>
              <w:tab/>
            </w:r>
            <w:r>
              <w:rPr>
                <w:webHidden/>
              </w:rPr>
              <w:fldChar w:fldCharType="begin"/>
            </w:r>
            <w:r>
              <w:rPr>
                <w:webHidden/>
              </w:rPr>
              <w:instrText xml:space="preserve"> PAGEREF _Toc450126732 \h </w:instrText>
            </w:r>
            <w:r>
              <w:rPr>
                <w:webHidden/>
              </w:rPr>
            </w:r>
            <w:r>
              <w:rPr>
                <w:webHidden/>
              </w:rPr>
              <w:fldChar w:fldCharType="separate"/>
            </w:r>
            <w:r>
              <w:rPr>
                <w:webHidden/>
              </w:rPr>
              <w:t>6</w:t>
            </w:r>
            <w:r>
              <w:rPr>
                <w:webHidden/>
              </w:rPr>
              <w:fldChar w:fldCharType="end"/>
            </w:r>
          </w:hyperlink>
        </w:p>
        <w:p w:rsidR="002F3AAF" w:rsidRDefault="002F3AAF">
          <w:pPr>
            <w:pStyle w:val="TOC2"/>
            <w:rPr>
              <w:rFonts w:eastAsiaTheme="minorEastAsia"/>
              <w:lang w:eastAsia="en-AU"/>
            </w:rPr>
          </w:pPr>
          <w:hyperlink w:anchor="_Toc450126733" w:history="1">
            <w:r w:rsidRPr="00BC0641">
              <w:rPr>
                <w:rStyle w:val="Hyperlink"/>
              </w:rPr>
              <w:t>Overview</w:t>
            </w:r>
            <w:r>
              <w:rPr>
                <w:webHidden/>
              </w:rPr>
              <w:tab/>
            </w:r>
            <w:r>
              <w:rPr>
                <w:webHidden/>
              </w:rPr>
              <w:fldChar w:fldCharType="begin"/>
            </w:r>
            <w:r>
              <w:rPr>
                <w:webHidden/>
              </w:rPr>
              <w:instrText xml:space="preserve"> PAGEREF _Toc450126733 \h </w:instrText>
            </w:r>
            <w:r>
              <w:rPr>
                <w:webHidden/>
              </w:rPr>
            </w:r>
            <w:r>
              <w:rPr>
                <w:webHidden/>
              </w:rPr>
              <w:fldChar w:fldCharType="separate"/>
            </w:r>
            <w:r>
              <w:rPr>
                <w:webHidden/>
              </w:rPr>
              <w:t>6</w:t>
            </w:r>
            <w:r>
              <w:rPr>
                <w:webHidden/>
              </w:rPr>
              <w:fldChar w:fldCharType="end"/>
            </w:r>
          </w:hyperlink>
        </w:p>
        <w:p w:rsidR="002F3AAF" w:rsidRDefault="002F3AAF">
          <w:pPr>
            <w:pStyle w:val="TOC2"/>
            <w:rPr>
              <w:rFonts w:eastAsiaTheme="minorEastAsia"/>
              <w:lang w:eastAsia="en-AU"/>
            </w:rPr>
          </w:pPr>
          <w:hyperlink w:anchor="_Toc450126734" w:history="1">
            <w:r w:rsidRPr="00BC0641">
              <w:rPr>
                <w:rStyle w:val="Hyperlink"/>
              </w:rPr>
              <w:t>Roles and responsibilities</w:t>
            </w:r>
            <w:r>
              <w:rPr>
                <w:webHidden/>
              </w:rPr>
              <w:tab/>
            </w:r>
            <w:r>
              <w:rPr>
                <w:webHidden/>
              </w:rPr>
              <w:fldChar w:fldCharType="begin"/>
            </w:r>
            <w:r>
              <w:rPr>
                <w:webHidden/>
              </w:rPr>
              <w:instrText xml:space="preserve"> PAGEREF _Toc450126734 \h </w:instrText>
            </w:r>
            <w:r>
              <w:rPr>
                <w:webHidden/>
              </w:rPr>
            </w:r>
            <w:r>
              <w:rPr>
                <w:webHidden/>
              </w:rPr>
              <w:fldChar w:fldCharType="separate"/>
            </w:r>
            <w:r>
              <w:rPr>
                <w:webHidden/>
              </w:rPr>
              <w:t>7</w:t>
            </w:r>
            <w:r>
              <w:rPr>
                <w:webHidden/>
              </w:rPr>
              <w:fldChar w:fldCharType="end"/>
            </w:r>
          </w:hyperlink>
        </w:p>
        <w:p w:rsidR="002F3AAF" w:rsidRDefault="002F3AAF">
          <w:pPr>
            <w:pStyle w:val="TOC1"/>
            <w:rPr>
              <w:rFonts w:eastAsiaTheme="minorEastAsia"/>
              <w:b w:val="0"/>
              <w:lang w:eastAsia="en-AU"/>
            </w:rPr>
          </w:pPr>
          <w:hyperlink w:anchor="_Toc450126735" w:history="1">
            <w:r w:rsidRPr="00BC0641">
              <w:rPr>
                <w:rStyle w:val="Hyperlink"/>
              </w:rPr>
              <w:t>4</w:t>
            </w:r>
            <w:r>
              <w:rPr>
                <w:rFonts w:eastAsiaTheme="minorEastAsia"/>
                <w:b w:val="0"/>
                <w:lang w:eastAsia="en-AU"/>
              </w:rPr>
              <w:tab/>
            </w:r>
            <w:r w:rsidRPr="00BC0641">
              <w:rPr>
                <w:rStyle w:val="Hyperlink"/>
              </w:rPr>
              <w:t>Biosecurity into the future</w:t>
            </w:r>
            <w:r>
              <w:rPr>
                <w:webHidden/>
              </w:rPr>
              <w:tab/>
            </w:r>
            <w:r>
              <w:rPr>
                <w:webHidden/>
              </w:rPr>
              <w:fldChar w:fldCharType="begin"/>
            </w:r>
            <w:r>
              <w:rPr>
                <w:webHidden/>
              </w:rPr>
              <w:instrText xml:space="preserve"> PAGEREF _Toc450126735 \h </w:instrText>
            </w:r>
            <w:r>
              <w:rPr>
                <w:webHidden/>
              </w:rPr>
            </w:r>
            <w:r>
              <w:rPr>
                <w:webHidden/>
              </w:rPr>
              <w:fldChar w:fldCharType="separate"/>
            </w:r>
            <w:r>
              <w:rPr>
                <w:webHidden/>
              </w:rPr>
              <w:t>9</w:t>
            </w:r>
            <w:r>
              <w:rPr>
                <w:webHidden/>
              </w:rPr>
              <w:fldChar w:fldCharType="end"/>
            </w:r>
          </w:hyperlink>
        </w:p>
        <w:p w:rsidR="002F3AAF" w:rsidRDefault="002F3AAF">
          <w:pPr>
            <w:pStyle w:val="TOC2"/>
            <w:rPr>
              <w:rFonts w:eastAsiaTheme="minorEastAsia"/>
              <w:lang w:eastAsia="en-AU"/>
            </w:rPr>
          </w:pPr>
          <w:hyperlink w:anchor="_Toc450126736" w:history="1">
            <w:r w:rsidRPr="00BC0641">
              <w:rPr>
                <w:rStyle w:val="Hyperlink"/>
              </w:rPr>
              <w:t>The Intergovernmental Agreement on Biosecurity</w:t>
            </w:r>
            <w:r>
              <w:rPr>
                <w:webHidden/>
              </w:rPr>
              <w:tab/>
            </w:r>
            <w:r>
              <w:rPr>
                <w:webHidden/>
              </w:rPr>
              <w:fldChar w:fldCharType="begin"/>
            </w:r>
            <w:r>
              <w:rPr>
                <w:webHidden/>
              </w:rPr>
              <w:instrText xml:space="preserve"> PAGEREF _Toc450126736 \h </w:instrText>
            </w:r>
            <w:r>
              <w:rPr>
                <w:webHidden/>
              </w:rPr>
            </w:r>
            <w:r>
              <w:rPr>
                <w:webHidden/>
              </w:rPr>
              <w:fldChar w:fldCharType="separate"/>
            </w:r>
            <w:r>
              <w:rPr>
                <w:webHidden/>
              </w:rPr>
              <w:t>9</w:t>
            </w:r>
            <w:r>
              <w:rPr>
                <w:webHidden/>
              </w:rPr>
              <w:fldChar w:fldCharType="end"/>
            </w:r>
          </w:hyperlink>
        </w:p>
        <w:p w:rsidR="002F3AAF" w:rsidRDefault="002F3AAF">
          <w:pPr>
            <w:pStyle w:val="TOC2"/>
            <w:rPr>
              <w:rFonts w:eastAsiaTheme="minorEastAsia"/>
              <w:lang w:eastAsia="en-AU"/>
            </w:rPr>
          </w:pPr>
          <w:hyperlink w:anchor="_Toc450126737" w:history="1">
            <w:r w:rsidRPr="00BC0641">
              <w:rPr>
                <w:rStyle w:val="Hyperlink"/>
              </w:rPr>
              <w:t>Agreeing to objectives, risks and priorities</w:t>
            </w:r>
            <w:r>
              <w:rPr>
                <w:webHidden/>
              </w:rPr>
              <w:tab/>
            </w:r>
            <w:r>
              <w:rPr>
                <w:webHidden/>
              </w:rPr>
              <w:fldChar w:fldCharType="begin"/>
            </w:r>
            <w:r>
              <w:rPr>
                <w:webHidden/>
              </w:rPr>
              <w:instrText xml:space="preserve"> PAGEREF _Toc450126737 \h </w:instrText>
            </w:r>
            <w:r>
              <w:rPr>
                <w:webHidden/>
              </w:rPr>
            </w:r>
            <w:r>
              <w:rPr>
                <w:webHidden/>
              </w:rPr>
              <w:fldChar w:fldCharType="separate"/>
            </w:r>
            <w:r>
              <w:rPr>
                <w:webHidden/>
              </w:rPr>
              <w:t>11</w:t>
            </w:r>
            <w:r>
              <w:rPr>
                <w:webHidden/>
              </w:rPr>
              <w:fldChar w:fldCharType="end"/>
            </w:r>
          </w:hyperlink>
        </w:p>
        <w:p w:rsidR="002F3AAF" w:rsidRDefault="002F3AAF">
          <w:pPr>
            <w:pStyle w:val="TOC2"/>
            <w:rPr>
              <w:rFonts w:eastAsiaTheme="minorEastAsia"/>
              <w:lang w:eastAsia="en-AU"/>
            </w:rPr>
          </w:pPr>
          <w:hyperlink w:anchor="_Toc450126738" w:history="1">
            <w:r w:rsidRPr="00BC0641">
              <w:rPr>
                <w:rStyle w:val="Hyperlink"/>
              </w:rPr>
              <w:t>Embedding shared responsibility</w:t>
            </w:r>
            <w:r>
              <w:rPr>
                <w:webHidden/>
              </w:rPr>
              <w:tab/>
            </w:r>
            <w:r>
              <w:rPr>
                <w:webHidden/>
              </w:rPr>
              <w:fldChar w:fldCharType="begin"/>
            </w:r>
            <w:r>
              <w:rPr>
                <w:webHidden/>
              </w:rPr>
              <w:instrText xml:space="preserve"> PAGEREF _Toc450126738 \h </w:instrText>
            </w:r>
            <w:r>
              <w:rPr>
                <w:webHidden/>
              </w:rPr>
            </w:r>
            <w:r>
              <w:rPr>
                <w:webHidden/>
              </w:rPr>
              <w:fldChar w:fldCharType="separate"/>
            </w:r>
            <w:r>
              <w:rPr>
                <w:webHidden/>
              </w:rPr>
              <w:t>13</w:t>
            </w:r>
            <w:r>
              <w:rPr>
                <w:webHidden/>
              </w:rPr>
              <w:fldChar w:fldCharType="end"/>
            </w:r>
          </w:hyperlink>
        </w:p>
        <w:p w:rsidR="002F3AAF" w:rsidRDefault="002F3AAF">
          <w:pPr>
            <w:pStyle w:val="TOC2"/>
            <w:rPr>
              <w:rFonts w:eastAsiaTheme="minorEastAsia"/>
              <w:lang w:eastAsia="en-AU"/>
            </w:rPr>
          </w:pPr>
          <w:hyperlink w:anchor="_Toc450126739" w:history="1">
            <w:r w:rsidRPr="00BC0641">
              <w:rPr>
                <w:rStyle w:val="Hyperlink"/>
              </w:rPr>
              <w:t>Funding biosecurity</w:t>
            </w:r>
            <w:r>
              <w:rPr>
                <w:webHidden/>
              </w:rPr>
              <w:tab/>
            </w:r>
            <w:r>
              <w:rPr>
                <w:webHidden/>
              </w:rPr>
              <w:fldChar w:fldCharType="begin"/>
            </w:r>
            <w:r>
              <w:rPr>
                <w:webHidden/>
              </w:rPr>
              <w:instrText xml:space="preserve"> PAGEREF _Toc450126739 \h </w:instrText>
            </w:r>
            <w:r>
              <w:rPr>
                <w:webHidden/>
              </w:rPr>
            </w:r>
            <w:r>
              <w:rPr>
                <w:webHidden/>
              </w:rPr>
              <w:fldChar w:fldCharType="separate"/>
            </w:r>
            <w:r>
              <w:rPr>
                <w:webHidden/>
              </w:rPr>
              <w:t>15</w:t>
            </w:r>
            <w:r>
              <w:rPr>
                <w:webHidden/>
              </w:rPr>
              <w:fldChar w:fldCharType="end"/>
            </w:r>
          </w:hyperlink>
        </w:p>
        <w:p w:rsidR="002F3AAF" w:rsidRDefault="002F3AAF">
          <w:pPr>
            <w:pStyle w:val="TOC2"/>
            <w:rPr>
              <w:rFonts w:eastAsiaTheme="minorEastAsia"/>
              <w:lang w:eastAsia="en-AU"/>
            </w:rPr>
          </w:pPr>
          <w:hyperlink w:anchor="_Toc450126740" w:history="1">
            <w:r w:rsidRPr="00BC0641">
              <w:rPr>
                <w:rStyle w:val="Hyperlink"/>
              </w:rPr>
              <w:t>Market access</w:t>
            </w:r>
            <w:r>
              <w:rPr>
                <w:webHidden/>
              </w:rPr>
              <w:tab/>
            </w:r>
            <w:r>
              <w:rPr>
                <w:webHidden/>
              </w:rPr>
              <w:fldChar w:fldCharType="begin"/>
            </w:r>
            <w:r>
              <w:rPr>
                <w:webHidden/>
              </w:rPr>
              <w:instrText xml:space="preserve"> PAGEREF _Toc450126740 \h </w:instrText>
            </w:r>
            <w:r>
              <w:rPr>
                <w:webHidden/>
              </w:rPr>
            </w:r>
            <w:r>
              <w:rPr>
                <w:webHidden/>
              </w:rPr>
              <w:fldChar w:fldCharType="separate"/>
            </w:r>
            <w:r>
              <w:rPr>
                <w:webHidden/>
              </w:rPr>
              <w:t>18</w:t>
            </w:r>
            <w:r>
              <w:rPr>
                <w:webHidden/>
              </w:rPr>
              <w:fldChar w:fldCharType="end"/>
            </w:r>
          </w:hyperlink>
        </w:p>
        <w:p w:rsidR="002F3AAF" w:rsidRDefault="002F3AAF">
          <w:pPr>
            <w:pStyle w:val="TOC2"/>
            <w:rPr>
              <w:rFonts w:eastAsiaTheme="minorEastAsia"/>
              <w:lang w:eastAsia="en-AU"/>
            </w:rPr>
          </w:pPr>
          <w:hyperlink w:anchor="_Toc450126741" w:history="1">
            <w:r w:rsidRPr="00BC0641">
              <w:rPr>
                <w:rStyle w:val="Hyperlink"/>
              </w:rPr>
              <w:t>The role of research and innovation</w:t>
            </w:r>
            <w:r>
              <w:rPr>
                <w:webHidden/>
              </w:rPr>
              <w:tab/>
            </w:r>
            <w:r>
              <w:rPr>
                <w:webHidden/>
              </w:rPr>
              <w:fldChar w:fldCharType="begin"/>
            </w:r>
            <w:r>
              <w:rPr>
                <w:webHidden/>
              </w:rPr>
              <w:instrText xml:space="preserve"> PAGEREF _Toc450126741 \h </w:instrText>
            </w:r>
            <w:r>
              <w:rPr>
                <w:webHidden/>
              </w:rPr>
            </w:r>
            <w:r>
              <w:rPr>
                <w:webHidden/>
              </w:rPr>
              <w:fldChar w:fldCharType="separate"/>
            </w:r>
            <w:r>
              <w:rPr>
                <w:webHidden/>
              </w:rPr>
              <w:t>19</w:t>
            </w:r>
            <w:r>
              <w:rPr>
                <w:webHidden/>
              </w:rPr>
              <w:fldChar w:fldCharType="end"/>
            </w:r>
          </w:hyperlink>
        </w:p>
        <w:p w:rsidR="002F3AAF" w:rsidRDefault="002F3AAF">
          <w:pPr>
            <w:pStyle w:val="TOC2"/>
            <w:rPr>
              <w:rFonts w:eastAsiaTheme="minorEastAsia"/>
              <w:lang w:eastAsia="en-AU"/>
            </w:rPr>
          </w:pPr>
          <w:hyperlink w:anchor="_Toc450126742" w:history="1">
            <w:r w:rsidRPr="00BC0641">
              <w:rPr>
                <w:rStyle w:val="Hyperlink"/>
              </w:rPr>
              <w:t>Measuring the performance of the national biosecurity system</w:t>
            </w:r>
            <w:r>
              <w:rPr>
                <w:webHidden/>
              </w:rPr>
              <w:tab/>
            </w:r>
            <w:r>
              <w:rPr>
                <w:webHidden/>
              </w:rPr>
              <w:fldChar w:fldCharType="begin"/>
            </w:r>
            <w:r>
              <w:rPr>
                <w:webHidden/>
              </w:rPr>
              <w:instrText xml:space="preserve"> PAGEREF _Toc450126742 \h </w:instrText>
            </w:r>
            <w:r>
              <w:rPr>
                <w:webHidden/>
              </w:rPr>
            </w:r>
            <w:r>
              <w:rPr>
                <w:webHidden/>
              </w:rPr>
              <w:fldChar w:fldCharType="separate"/>
            </w:r>
            <w:r>
              <w:rPr>
                <w:webHidden/>
              </w:rPr>
              <w:t>20</w:t>
            </w:r>
            <w:r>
              <w:rPr>
                <w:webHidden/>
              </w:rPr>
              <w:fldChar w:fldCharType="end"/>
            </w:r>
          </w:hyperlink>
        </w:p>
        <w:p w:rsidR="002F3AAF" w:rsidRDefault="002F3AAF">
          <w:pPr>
            <w:pStyle w:val="TOC2"/>
            <w:rPr>
              <w:rFonts w:eastAsiaTheme="minorEastAsia"/>
              <w:lang w:eastAsia="en-AU"/>
            </w:rPr>
          </w:pPr>
          <w:hyperlink w:anchor="_Toc450126743" w:history="1">
            <w:r w:rsidRPr="00BC0641">
              <w:rPr>
                <w:rStyle w:val="Hyperlink"/>
                <w:i/>
              </w:rPr>
              <w:t>Consolidated list of questions</w:t>
            </w:r>
            <w:r>
              <w:rPr>
                <w:webHidden/>
              </w:rPr>
              <w:tab/>
            </w:r>
            <w:r>
              <w:rPr>
                <w:webHidden/>
              </w:rPr>
              <w:fldChar w:fldCharType="begin"/>
            </w:r>
            <w:r>
              <w:rPr>
                <w:webHidden/>
              </w:rPr>
              <w:instrText xml:space="preserve"> PAGEREF _Toc450126743 \h </w:instrText>
            </w:r>
            <w:r>
              <w:rPr>
                <w:webHidden/>
              </w:rPr>
            </w:r>
            <w:r>
              <w:rPr>
                <w:webHidden/>
              </w:rPr>
              <w:fldChar w:fldCharType="separate"/>
            </w:r>
            <w:r>
              <w:rPr>
                <w:webHidden/>
              </w:rPr>
              <w:t>22</w:t>
            </w:r>
            <w:r>
              <w:rPr>
                <w:webHidden/>
              </w:rPr>
              <w:fldChar w:fldCharType="end"/>
            </w:r>
          </w:hyperlink>
        </w:p>
        <w:p w:rsidR="002F3AAF" w:rsidRDefault="002F3AAF">
          <w:pPr>
            <w:pStyle w:val="TOC1"/>
            <w:rPr>
              <w:rFonts w:eastAsiaTheme="minorEastAsia"/>
              <w:b w:val="0"/>
              <w:lang w:eastAsia="en-AU"/>
            </w:rPr>
          </w:pPr>
          <w:hyperlink w:anchor="_Toc450126744" w:history="1">
            <w:r w:rsidRPr="00BC0641">
              <w:rPr>
                <w:rStyle w:val="Hyperlink"/>
              </w:rPr>
              <w:t>5</w:t>
            </w:r>
            <w:r>
              <w:rPr>
                <w:rFonts w:eastAsiaTheme="minorEastAsia"/>
                <w:b w:val="0"/>
                <w:lang w:eastAsia="en-AU"/>
              </w:rPr>
              <w:tab/>
            </w:r>
            <w:r w:rsidRPr="00BC0641">
              <w:rPr>
                <w:rStyle w:val="Hyperlink"/>
              </w:rPr>
              <w:t>Making a submission</w:t>
            </w:r>
            <w:r>
              <w:rPr>
                <w:webHidden/>
              </w:rPr>
              <w:tab/>
            </w:r>
            <w:r>
              <w:rPr>
                <w:webHidden/>
              </w:rPr>
              <w:fldChar w:fldCharType="begin"/>
            </w:r>
            <w:r>
              <w:rPr>
                <w:webHidden/>
              </w:rPr>
              <w:instrText xml:space="preserve"> PAGEREF _Toc450126744 \h </w:instrText>
            </w:r>
            <w:r>
              <w:rPr>
                <w:webHidden/>
              </w:rPr>
            </w:r>
            <w:r>
              <w:rPr>
                <w:webHidden/>
              </w:rPr>
              <w:fldChar w:fldCharType="separate"/>
            </w:r>
            <w:r>
              <w:rPr>
                <w:webHidden/>
              </w:rPr>
              <w:t>24</w:t>
            </w:r>
            <w:r>
              <w:rPr>
                <w:webHidden/>
              </w:rPr>
              <w:fldChar w:fldCharType="end"/>
            </w:r>
          </w:hyperlink>
        </w:p>
        <w:p w:rsidR="002F3AAF" w:rsidRDefault="002F3AAF">
          <w:pPr>
            <w:pStyle w:val="TOC2"/>
            <w:rPr>
              <w:rFonts w:eastAsiaTheme="minorEastAsia"/>
              <w:lang w:eastAsia="en-AU"/>
            </w:rPr>
          </w:pPr>
          <w:hyperlink w:anchor="_Toc450126745" w:history="1">
            <w:r w:rsidRPr="00BC0641">
              <w:rPr>
                <w:rStyle w:val="Hyperlink"/>
              </w:rPr>
              <w:t>Publication of submissions</w:t>
            </w:r>
            <w:r>
              <w:rPr>
                <w:webHidden/>
              </w:rPr>
              <w:tab/>
            </w:r>
            <w:r>
              <w:rPr>
                <w:webHidden/>
              </w:rPr>
              <w:fldChar w:fldCharType="begin"/>
            </w:r>
            <w:r>
              <w:rPr>
                <w:webHidden/>
              </w:rPr>
              <w:instrText xml:space="preserve"> PAGEREF _Toc450126745 \h </w:instrText>
            </w:r>
            <w:r>
              <w:rPr>
                <w:webHidden/>
              </w:rPr>
            </w:r>
            <w:r>
              <w:rPr>
                <w:webHidden/>
              </w:rPr>
              <w:fldChar w:fldCharType="separate"/>
            </w:r>
            <w:r>
              <w:rPr>
                <w:webHidden/>
              </w:rPr>
              <w:t>24</w:t>
            </w:r>
            <w:r>
              <w:rPr>
                <w:webHidden/>
              </w:rPr>
              <w:fldChar w:fldCharType="end"/>
            </w:r>
          </w:hyperlink>
        </w:p>
        <w:p w:rsidR="002F3AAF" w:rsidRDefault="002F3AAF">
          <w:pPr>
            <w:pStyle w:val="TOC1"/>
            <w:rPr>
              <w:rFonts w:eastAsiaTheme="minorEastAsia"/>
              <w:b w:val="0"/>
              <w:lang w:eastAsia="en-AU"/>
            </w:rPr>
          </w:pPr>
          <w:hyperlink w:anchor="_Toc450126746" w:history="1">
            <w:r w:rsidRPr="00BC0641">
              <w:rPr>
                <w:rStyle w:val="Hyperlink"/>
              </w:rPr>
              <w:t>Appendix A: Review panel biographies</w:t>
            </w:r>
            <w:r>
              <w:rPr>
                <w:webHidden/>
              </w:rPr>
              <w:tab/>
            </w:r>
            <w:r>
              <w:rPr>
                <w:webHidden/>
              </w:rPr>
              <w:fldChar w:fldCharType="begin"/>
            </w:r>
            <w:r>
              <w:rPr>
                <w:webHidden/>
              </w:rPr>
              <w:instrText xml:space="preserve"> PAGEREF _Toc450126746 \h </w:instrText>
            </w:r>
            <w:r>
              <w:rPr>
                <w:webHidden/>
              </w:rPr>
            </w:r>
            <w:r>
              <w:rPr>
                <w:webHidden/>
              </w:rPr>
              <w:fldChar w:fldCharType="separate"/>
            </w:r>
            <w:r>
              <w:rPr>
                <w:webHidden/>
              </w:rPr>
              <w:t>25</w:t>
            </w:r>
            <w:r>
              <w:rPr>
                <w:webHidden/>
              </w:rPr>
              <w:fldChar w:fldCharType="end"/>
            </w:r>
          </w:hyperlink>
        </w:p>
        <w:p w:rsidR="002F3AAF" w:rsidRDefault="002F3AAF">
          <w:pPr>
            <w:pStyle w:val="TOC1"/>
            <w:rPr>
              <w:rFonts w:eastAsiaTheme="minorEastAsia"/>
              <w:b w:val="0"/>
              <w:lang w:eastAsia="en-AU"/>
            </w:rPr>
          </w:pPr>
          <w:hyperlink w:anchor="_Toc450126747" w:history="1">
            <w:r w:rsidRPr="00BC0641">
              <w:rPr>
                <w:rStyle w:val="Hyperlink"/>
              </w:rPr>
              <w:t>References</w:t>
            </w:r>
            <w:r>
              <w:rPr>
                <w:webHidden/>
              </w:rPr>
              <w:tab/>
            </w:r>
            <w:r>
              <w:rPr>
                <w:webHidden/>
              </w:rPr>
              <w:fldChar w:fldCharType="begin"/>
            </w:r>
            <w:r>
              <w:rPr>
                <w:webHidden/>
              </w:rPr>
              <w:instrText xml:space="preserve"> PAGEREF _Toc450126747 \h </w:instrText>
            </w:r>
            <w:r>
              <w:rPr>
                <w:webHidden/>
              </w:rPr>
            </w:r>
            <w:r>
              <w:rPr>
                <w:webHidden/>
              </w:rPr>
              <w:fldChar w:fldCharType="separate"/>
            </w:r>
            <w:r>
              <w:rPr>
                <w:webHidden/>
              </w:rPr>
              <w:t>26</w:t>
            </w:r>
            <w:r>
              <w:rPr>
                <w:webHidden/>
              </w:rPr>
              <w:fldChar w:fldCharType="end"/>
            </w:r>
          </w:hyperlink>
        </w:p>
        <w:p w:rsidR="00A50834" w:rsidRPr="00F16EAF" w:rsidRDefault="002A3865">
          <w:r w:rsidRPr="00F16EAF">
            <w:rPr>
              <w:b/>
            </w:rPr>
            <w:fldChar w:fldCharType="end"/>
          </w:r>
        </w:p>
      </w:sdtContent>
    </w:sdt>
    <w:p w:rsidR="00A50834" w:rsidRPr="00F16EAF" w:rsidRDefault="00A50834" w:rsidP="00B91DEC">
      <w:pPr>
        <w:pStyle w:val="TOCHeading2"/>
        <w:rPr>
          <w:rStyle w:val="Strong"/>
        </w:rPr>
      </w:pPr>
      <w:r w:rsidRPr="00F16EAF">
        <w:rPr>
          <w:rStyle w:val="Strong"/>
        </w:rPr>
        <w:t>Figures</w:t>
      </w:r>
    </w:p>
    <w:p w:rsidR="002F3AAF" w:rsidRDefault="00A50834">
      <w:pPr>
        <w:pStyle w:val="TableofFigures"/>
        <w:tabs>
          <w:tab w:val="right" w:leader="dot" w:pos="9060"/>
        </w:tabs>
        <w:rPr>
          <w:rFonts w:eastAsiaTheme="minorEastAsia"/>
          <w:noProof/>
          <w:lang w:eastAsia="en-AU"/>
        </w:rPr>
      </w:pPr>
      <w:r w:rsidRPr="00F16EAF">
        <w:fldChar w:fldCharType="begin"/>
      </w:r>
      <w:r w:rsidRPr="00F16EAF">
        <w:instrText xml:space="preserve"> TOC \h \z \c "Figure" </w:instrText>
      </w:r>
      <w:r w:rsidRPr="00F16EAF">
        <w:fldChar w:fldCharType="separate"/>
      </w:r>
      <w:hyperlink w:anchor="_Toc450126748" w:history="1">
        <w:r w:rsidR="002F3AAF" w:rsidRPr="008F3AE3">
          <w:rPr>
            <w:rStyle w:val="Hyperlink"/>
            <w:noProof/>
          </w:rPr>
          <w:t>Figure 1 Australia’s national biosecurity system</w:t>
        </w:r>
        <w:r w:rsidR="002F3AAF">
          <w:rPr>
            <w:noProof/>
            <w:webHidden/>
          </w:rPr>
          <w:tab/>
        </w:r>
        <w:r w:rsidR="002F3AAF">
          <w:rPr>
            <w:noProof/>
            <w:webHidden/>
          </w:rPr>
          <w:fldChar w:fldCharType="begin"/>
        </w:r>
        <w:r w:rsidR="002F3AAF">
          <w:rPr>
            <w:noProof/>
            <w:webHidden/>
          </w:rPr>
          <w:instrText xml:space="preserve"> PAGEREF _Toc450126748 \h </w:instrText>
        </w:r>
        <w:r w:rsidR="002F3AAF">
          <w:rPr>
            <w:noProof/>
            <w:webHidden/>
          </w:rPr>
        </w:r>
        <w:r w:rsidR="002F3AAF">
          <w:rPr>
            <w:noProof/>
            <w:webHidden/>
          </w:rPr>
          <w:fldChar w:fldCharType="separate"/>
        </w:r>
        <w:r w:rsidR="002F3AAF">
          <w:rPr>
            <w:noProof/>
            <w:webHidden/>
          </w:rPr>
          <w:t>6</w:t>
        </w:r>
        <w:r w:rsidR="002F3AAF">
          <w:rPr>
            <w:noProof/>
            <w:webHidden/>
          </w:rPr>
          <w:fldChar w:fldCharType="end"/>
        </w:r>
      </w:hyperlink>
    </w:p>
    <w:p w:rsidR="002F3AAF" w:rsidRDefault="002F3AAF">
      <w:pPr>
        <w:pStyle w:val="TableofFigures"/>
        <w:tabs>
          <w:tab w:val="right" w:leader="dot" w:pos="9060"/>
        </w:tabs>
        <w:rPr>
          <w:rFonts w:eastAsiaTheme="minorEastAsia"/>
          <w:noProof/>
          <w:lang w:eastAsia="en-AU"/>
        </w:rPr>
      </w:pPr>
      <w:hyperlink w:anchor="_Toc450126749" w:history="1">
        <w:r w:rsidRPr="008F3AE3">
          <w:rPr>
            <w:rStyle w:val="Hyperlink"/>
            <w:noProof/>
          </w:rPr>
          <w:t>Figure 2 Arrangements supporting the IGAB</w:t>
        </w:r>
        <w:r>
          <w:rPr>
            <w:noProof/>
            <w:webHidden/>
          </w:rPr>
          <w:tab/>
        </w:r>
        <w:r>
          <w:rPr>
            <w:noProof/>
            <w:webHidden/>
          </w:rPr>
          <w:fldChar w:fldCharType="begin"/>
        </w:r>
        <w:r>
          <w:rPr>
            <w:noProof/>
            <w:webHidden/>
          </w:rPr>
          <w:instrText xml:space="preserve"> PAGEREF _Toc450126749 \h </w:instrText>
        </w:r>
        <w:r>
          <w:rPr>
            <w:noProof/>
            <w:webHidden/>
          </w:rPr>
        </w:r>
        <w:r>
          <w:rPr>
            <w:noProof/>
            <w:webHidden/>
          </w:rPr>
          <w:fldChar w:fldCharType="separate"/>
        </w:r>
        <w:r>
          <w:rPr>
            <w:noProof/>
            <w:webHidden/>
          </w:rPr>
          <w:t>10</w:t>
        </w:r>
        <w:r>
          <w:rPr>
            <w:noProof/>
            <w:webHidden/>
          </w:rPr>
          <w:fldChar w:fldCharType="end"/>
        </w:r>
      </w:hyperlink>
    </w:p>
    <w:p w:rsidR="002F3AAF" w:rsidRDefault="002F3AAF">
      <w:pPr>
        <w:pStyle w:val="TableofFigures"/>
        <w:tabs>
          <w:tab w:val="right" w:leader="dot" w:pos="9060"/>
        </w:tabs>
        <w:rPr>
          <w:rFonts w:eastAsiaTheme="minorEastAsia"/>
          <w:noProof/>
          <w:lang w:eastAsia="en-AU"/>
        </w:rPr>
      </w:pPr>
      <w:hyperlink w:anchor="_Toc450126750" w:history="1">
        <w:r w:rsidRPr="008F3AE3">
          <w:rPr>
            <w:rStyle w:val="Hyperlink"/>
            <w:noProof/>
          </w:rPr>
          <w:t>Figure 3 The generalised (or biological) invasion curve</w:t>
        </w:r>
        <w:r>
          <w:rPr>
            <w:noProof/>
            <w:webHidden/>
          </w:rPr>
          <w:tab/>
        </w:r>
        <w:r>
          <w:rPr>
            <w:noProof/>
            <w:webHidden/>
          </w:rPr>
          <w:fldChar w:fldCharType="begin"/>
        </w:r>
        <w:r>
          <w:rPr>
            <w:noProof/>
            <w:webHidden/>
          </w:rPr>
          <w:instrText xml:space="preserve"> PAGEREF _Toc450126750 \h </w:instrText>
        </w:r>
        <w:r>
          <w:rPr>
            <w:noProof/>
            <w:webHidden/>
          </w:rPr>
        </w:r>
        <w:r>
          <w:rPr>
            <w:noProof/>
            <w:webHidden/>
          </w:rPr>
          <w:fldChar w:fldCharType="separate"/>
        </w:r>
        <w:r>
          <w:rPr>
            <w:noProof/>
            <w:webHidden/>
          </w:rPr>
          <w:t>16</w:t>
        </w:r>
        <w:r>
          <w:rPr>
            <w:noProof/>
            <w:webHidden/>
          </w:rPr>
          <w:fldChar w:fldCharType="end"/>
        </w:r>
      </w:hyperlink>
    </w:p>
    <w:p w:rsidR="007212D3" w:rsidRPr="00F16EAF" w:rsidRDefault="00A50834" w:rsidP="00A50834">
      <w:pPr>
        <w:sectPr w:rsidR="007212D3" w:rsidRPr="00F16EAF" w:rsidSect="009B0761">
          <w:headerReference w:type="even" r:id="rId17"/>
          <w:footerReference w:type="default" r:id="rId18"/>
          <w:pgSz w:w="11906" w:h="16838"/>
          <w:pgMar w:top="1418" w:right="1418" w:bottom="1418" w:left="1418" w:header="567" w:footer="283" w:gutter="0"/>
          <w:pgNumType w:fmt="lowerRoman" w:start="1"/>
          <w:cols w:space="708"/>
          <w:titlePg/>
          <w:docGrid w:linePitch="360"/>
        </w:sectPr>
      </w:pPr>
      <w:r w:rsidRPr="00F16EAF">
        <w:fldChar w:fldCharType="end"/>
      </w:r>
      <w:bookmarkStart w:id="0" w:name="_GoBack"/>
      <w:bookmarkEnd w:id="0"/>
    </w:p>
    <w:p w:rsidR="00DB16B2" w:rsidRPr="00F16EAF" w:rsidRDefault="003D0561" w:rsidP="00282A20">
      <w:pPr>
        <w:pStyle w:val="Heading2"/>
      </w:pPr>
      <w:bookmarkStart w:id="1" w:name="_Toc430782150"/>
      <w:bookmarkStart w:id="2" w:name="_Toc450126724"/>
      <w:r w:rsidRPr="00F16EAF">
        <w:lastRenderedPageBreak/>
        <w:t xml:space="preserve">The </w:t>
      </w:r>
      <w:r w:rsidR="00CC058D" w:rsidRPr="00F16EAF">
        <w:t>Intergovernmental Agreement on Biosecurity</w:t>
      </w:r>
      <w:bookmarkEnd w:id="1"/>
      <w:r w:rsidR="00D17213" w:rsidRPr="00F16EAF">
        <w:t xml:space="preserve"> review</w:t>
      </w:r>
      <w:bookmarkEnd w:id="2"/>
    </w:p>
    <w:p w:rsidR="00933E28" w:rsidRPr="00F16EAF" w:rsidRDefault="00933E28" w:rsidP="001132CB">
      <w:pPr>
        <w:pStyle w:val="Heading3"/>
      </w:pPr>
      <w:bookmarkStart w:id="3" w:name="_Toc450126725"/>
      <w:r w:rsidRPr="00F16EAF">
        <w:t>Background</w:t>
      </w:r>
      <w:bookmarkEnd w:id="3"/>
    </w:p>
    <w:p w:rsidR="002E3C63" w:rsidRPr="00F16EAF" w:rsidRDefault="008E5C89" w:rsidP="002E0F9C">
      <w:r w:rsidRPr="00F16EAF">
        <w:t xml:space="preserve">Australia’s </w:t>
      </w:r>
      <w:r w:rsidR="008614B5" w:rsidRPr="00F16EAF">
        <w:t xml:space="preserve">national biosecurity system </w:t>
      </w:r>
      <w:r w:rsidRPr="00F16EAF">
        <w:t>aims</w:t>
      </w:r>
      <w:r w:rsidR="008614B5" w:rsidRPr="00F16EAF">
        <w:t xml:space="preserve"> to minimise the impact of pest and disease incursions on </w:t>
      </w:r>
      <w:r w:rsidRPr="00F16EAF">
        <w:t>the nation’s</w:t>
      </w:r>
      <w:r w:rsidR="008614B5" w:rsidRPr="00F16EAF">
        <w:t xml:space="preserve"> economy, environment and commu</w:t>
      </w:r>
      <w:r w:rsidR="00A638B7" w:rsidRPr="00F16EAF">
        <w:t>nity</w:t>
      </w:r>
      <w:r w:rsidR="009116B4">
        <w:t>,</w:t>
      </w:r>
      <w:r w:rsidR="00A638B7" w:rsidRPr="00F16EAF">
        <w:t xml:space="preserve"> </w:t>
      </w:r>
      <w:r w:rsidR="0024778E">
        <w:t>while</w:t>
      </w:r>
      <w:r w:rsidR="00A638B7" w:rsidRPr="00F16EAF">
        <w:t xml:space="preserve"> </w:t>
      </w:r>
      <w:r w:rsidR="0024778E">
        <w:t>protecting</w:t>
      </w:r>
      <w:r w:rsidR="00A638B7" w:rsidRPr="00F16EAF">
        <w:t xml:space="preserve"> </w:t>
      </w:r>
      <w:r w:rsidR="00D64019" w:rsidRPr="00F16EAF">
        <w:t>our</w:t>
      </w:r>
      <w:r w:rsidR="00A638B7" w:rsidRPr="00F16EAF">
        <w:t xml:space="preserve"> </w:t>
      </w:r>
      <w:r w:rsidR="00D453A4">
        <w:t xml:space="preserve">international </w:t>
      </w:r>
      <w:r w:rsidR="00B05A96" w:rsidRPr="00F16EAF">
        <w:t>reputation for high-</w:t>
      </w:r>
      <w:r w:rsidR="005329EC" w:rsidRPr="00F16EAF">
        <w:t>quality and safe produce.</w:t>
      </w:r>
    </w:p>
    <w:p w:rsidR="002C04EE" w:rsidRPr="00F16EAF" w:rsidRDefault="00544DC4" w:rsidP="002E0F9C">
      <w:r w:rsidRPr="00F16EAF">
        <w:t xml:space="preserve">Australia’s highly regarded </w:t>
      </w:r>
      <w:r w:rsidR="00313374" w:rsidRPr="00F16EAF">
        <w:t xml:space="preserve">biosecurity system and related </w:t>
      </w:r>
      <w:r w:rsidRPr="00F16EAF">
        <w:t xml:space="preserve">biosecurity status </w:t>
      </w:r>
      <w:r w:rsidR="00313374" w:rsidRPr="00F16EAF">
        <w:t>bring substantial benefits</w:t>
      </w:r>
      <w:r w:rsidRPr="00F16EAF">
        <w:t>.</w:t>
      </w:r>
      <w:r w:rsidR="00313374" w:rsidRPr="00F16EAF">
        <w:t xml:space="preserve"> </w:t>
      </w:r>
      <w:r w:rsidRPr="00F16EAF">
        <w:t xml:space="preserve">Domestic consumers benefit from our world-class produce, our agricultural sector benefits </w:t>
      </w:r>
      <w:r w:rsidR="00313374" w:rsidRPr="00F16EAF">
        <w:t>from</w:t>
      </w:r>
      <w:r w:rsidR="00F5723A" w:rsidRPr="00F16EAF">
        <w:t xml:space="preserve"> having </w:t>
      </w:r>
      <w:r w:rsidR="00884E87" w:rsidRPr="00F16EAF">
        <w:t xml:space="preserve">preferential market access </w:t>
      </w:r>
      <w:r w:rsidRPr="00F16EAF">
        <w:t xml:space="preserve">arrangements, </w:t>
      </w:r>
      <w:r w:rsidR="00313374" w:rsidRPr="00F16EAF">
        <w:t xml:space="preserve">and </w:t>
      </w:r>
      <w:r w:rsidRPr="00F16EAF">
        <w:t>the broader community</w:t>
      </w:r>
      <w:r w:rsidR="00884E87" w:rsidRPr="00F16EAF">
        <w:t xml:space="preserve"> and the nation’s tourism sector</w:t>
      </w:r>
      <w:r w:rsidRPr="00F16EAF">
        <w:t xml:space="preserve"> benefit </w:t>
      </w:r>
      <w:r w:rsidR="00313374" w:rsidRPr="00F16EAF">
        <w:t>from</w:t>
      </w:r>
      <w:r w:rsidR="00270DEC" w:rsidRPr="00F16EAF">
        <w:t xml:space="preserve"> </w:t>
      </w:r>
      <w:r w:rsidR="003F5FB6" w:rsidRPr="00F16EAF">
        <w:t>our</w:t>
      </w:r>
      <w:r w:rsidR="00313374" w:rsidRPr="00F16EAF">
        <w:t xml:space="preserve"> pristine and unique</w:t>
      </w:r>
      <w:r w:rsidRPr="00F16EAF">
        <w:t xml:space="preserve"> natural environments</w:t>
      </w:r>
      <w:r w:rsidR="00F5723A" w:rsidRPr="00F16EAF">
        <w:t>.</w:t>
      </w:r>
    </w:p>
    <w:p w:rsidR="00D64019" w:rsidRPr="00F16EAF" w:rsidRDefault="00D64019" w:rsidP="002E0F9C">
      <w:r w:rsidRPr="00F16EAF">
        <w:t xml:space="preserve">Australia, especially our agricultural sector, will continue to benefit from a strong </w:t>
      </w:r>
      <w:r w:rsidR="00D763A2" w:rsidRPr="00F16EAF">
        <w:t xml:space="preserve">national </w:t>
      </w:r>
      <w:r w:rsidRPr="00F16EAF">
        <w:t xml:space="preserve">biosecurity system, including realising opportunities from recently signed free trade agreements, and using our reputational advantage to </w:t>
      </w:r>
      <w:r w:rsidR="00270DEC" w:rsidRPr="00F16EAF">
        <w:t>improve</w:t>
      </w:r>
      <w:r w:rsidRPr="00F16EAF">
        <w:t xml:space="preserve"> global access for Australian products. </w:t>
      </w:r>
      <w:r w:rsidR="00FE6D16" w:rsidRPr="00F16EAF">
        <w:t>As a nation we</w:t>
      </w:r>
      <w:r w:rsidRPr="00F16EAF">
        <w:t xml:space="preserve"> must capitalise on these opportunities while </w:t>
      </w:r>
      <w:r w:rsidR="00D763A2" w:rsidRPr="00F16EAF">
        <w:t>ensuring domestic consumers and</w:t>
      </w:r>
      <w:r w:rsidRPr="00F16EAF">
        <w:t xml:space="preserve"> local communities</w:t>
      </w:r>
      <w:r w:rsidR="00D763A2" w:rsidRPr="00F16EAF">
        <w:t xml:space="preserve"> are protected,</w:t>
      </w:r>
      <w:r w:rsidRPr="00F16EAF">
        <w:t xml:space="preserve"> and</w:t>
      </w:r>
      <w:r w:rsidR="00D763A2" w:rsidRPr="00F16EAF">
        <w:t xml:space="preserve"> our</w:t>
      </w:r>
      <w:r w:rsidRPr="00F16EAF">
        <w:t xml:space="preserve"> </w:t>
      </w:r>
      <w:r w:rsidR="001979D6" w:rsidRPr="00F16EAF">
        <w:t>inter</w:t>
      </w:r>
      <w:r w:rsidRPr="00F16EAF">
        <w:t>national reputation</w:t>
      </w:r>
      <w:r w:rsidR="00D763A2" w:rsidRPr="00F16EAF">
        <w:t xml:space="preserve"> is</w:t>
      </w:r>
      <w:r w:rsidRPr="00F16EAF">
        <w:t xml:space="preserve"> maintained. All stakeholders in the national biosecurity system—governments, industry and the broader community—</w:t>
      </w:r>
      <w:r w:rsidR="00270DEC" w:rsidRPr="00F16EAF">
        <w:t xml:space="preserve">share </w:t>
      </w:r>
      <w:r w:rsidRPr="00F16EAF">
        <w:t>responsibility</w:t>
      </w:r>
      <w:r w:rsidR="00270DEC" w:rsidRPr="00F16EAF">
        <w:t xml:space="preserve"> in ensuring this</w:t>
      </w:r>
      <w:r w:rsidRPr="00F16EAF">
        <w:t>.</w:t>
      </w:r>
    </w:p>
    <w:p w:rsidR="002E0F9C" w:rsidRPr="00F16EAF" w:rsidRDefault="00AD67DE" w:rsidP="002E0F9C">
      <w:r w:rsidRPr="00F16EAF">
        <w:t>Underpinning</w:t>
      </w:r>
      <w:r w:rsidR="008614B5" w:rsidRPr="00F16EAF">
        <w:t xml:space="preserve"> </w:t>
      </w:r>
      <w:r w:rsidR="008803E5" w:rsidRPr="00F16EAF">
        <w:t>Australia’s</w:t>
      </w:r>
      <w:r w:rsidR="001E6344" w:rsidRPr="00F16EAF">
        <w:t xml:space="preserve"> national biosecurity system</w:t>
      </w:r>
      <w:r w:rsidR="008614B5" w:rsidRPr="00F16EAF">
        <w:t xml:space="preserve"> is t</w:t>
      </w:r>
      <w:r w:rsidR="002E0F9C" w:rsidRPr="00F16EAF">
        <w:t>he Intergovernmental Agreement on Biosecurity (</w:t>
      </w:r>
      <w:r w:rsidR="001C6373" w:rsidRPr="00F16EAF">
        <w:t xml:space="preserve">the </w:t>
      </w:r>
      <w:r w:rsidR="002E0F9C" w:rsidRPr="00F16EAF">
        <w:t>IGAB), which c</w:t>
      </w:r>
      <w:r w:rsidR="001E6344" w:rsidRPr="00F16EAF">
        <w:t>a</w:t>
      </w:r>
      <w:r w:rsidR="00C67698" w:rsidRPr="00F16EAF">
        <w:t xml:space="preserve">me into effect in January 2012. </w:t>
      </w:r>
      <w:r w:rsidR="001E6344" w:rsidRPr="00F16EAF">
        <w:t>This</w:t>
      </w:r>
      <w:r w:rsidR="002E0F9C" w:rsidRPr="00F16EAF">
        <w:t xml:space="preserve"> is an agreement between the Commonwealth, state and territory governments, with the exception of Tasm</w:t>
      </w:r>
      <w:r w:rsidR="001E6344" w:rsidRPr="00F16EAF">
        <w:t>ania</w:t>
      </w:r>
      <w:r w:rsidR="00B301A9" w:rsidRPr="00F16EAF">
        <w:t>,</w:t>
      </w:r>
      <w:r w:rsidR="001E6344" w:rsidRPr="00F16EAF">
        <w:t xml:space="preserve"> </w:t>
      </w:r>
      <w:r w:rsidR="002E0F9C" w:rsidRPr="00F16EAF">
        <w:t xml:space="preserve">developed to </w:t>
      </w:r>
      <w:r w:rsidR="00794A98" w:rsidRPr="00F16EAF">
        <w:t>strengthen</w:t>
      </w:r>
      <w:r w:rsidR="002E0F9C" w:rsidRPr="00F16EAF">
        <w:t xml:space="preserve"> </w:t>
      </w:r>
      <w:r w:rsidR="00B301A9" w:rsidRPr="00F16EAF">
        <w:t>the</w:t>
      </w:r>
      <w:r w:rsidR="002E0F9C" w:rsidRPr="00F16EAF">
        <w:t xml:space="preserve"> national biosecurity system.</w:t>
      </w:r>
    </w:p>
    <w:p w:rsidR="002E0F9C" w:rsidRPr="00F16EAF" w:rsidRDefault="002E0F9C" w:rsidP="002E0F9C">
      <w:r w:rsidRPr="00F16EAF">
        <w:t xml:space="preserve">At the Agriculture Ministers’ Forum (AGMIN) in November 2015, Australian agriculture ministers agreed that a formal review of the IGAB would </w:t>
      </w:r>
      <w:r w:rsidR="00313374" w:rsidRPr="00F16EAF">
        <w:t>be completed in 2016. Ministers</w:t>
      </w:r>
      <w:r w:rsidRPr="00F16EAF">
        <w:t xml:space="preserve"> also agreed that the review would also consider the capacity of </w:t>
      </w:r>
      <w:r w:rsidR="00272983">
        <w:t>Australia’s</w:t>
      </w:r>
      <w:r w:rsidRPr="00F16EAF">
        <w:t xml:space="preserve"> national biosecurity system more broadly and would be led by an independent review panel with relevant skills and experience, supported by the Australian Government Department of Agriculture and Water Resources.</w:t>
      </w:r>
    </w:p>
    <w:p w:rsidR="002E0F9C" w:rsidRPr="00F16EAF" w:rsidRDefault="002E0F9C" w:rsidP="002E0F9C">
      <w:r w:rsidRPr="00F16EAF">
        <w:t>On 4 March 2016, members of the Agriculture Senior Officials Committee (AGSOC)—heads of government agencies res</w:t>
      </w:r>
      <w:r w:rsidR="00394912" w:rsidRPr="00F16EAF">
        <w:t>ponsible for primary industries</w:t>
      </w:r>
      <w:r w:rsidRPr="00F16EAF">
        <w:t xml:space="preserve">—agreed the terms of reference for the review and membership of the </w:t>
      </w:r>
      <w:r w:rsidR="00953B51" w:rsidRPr="00F16EAF">
        <w:t xml:space="preserve">IGAB </w:t>
      </w:r>
      <w:r w:rsidR="00B21FA0" w:rsidRPr="00F16EAF">
        <w:t xml:space="preserve">independent </w:t>
      </w:r>
      <w:r w:rsidRPr="00F16EAF">
        <w:t>review panel</w:t>
      </w:r>
      <w:r w:rsidR="00794A98" w:rsidRPr="00F16EAF">
        <w:t xml:space="preserve"> (the r</w:t>
      </w:r>
      <w:r w:rsidR="001C6373" w:rsidRPr="00F16EAF">
        <w:t xml:space="preserve">eview </w:t>
      </w:r>
      <w:r w:rsidR="00794A98" w:rsidRPr="00F16EAF">
        <w:t>p</w:t>
      </w:r>
      <w:r w:rsidR="001C6373" w:rsidRPr="00F16EAF">
        <w:t>anel)</w:t>
      </w:r>
      <w:r w:rsidRPr="00F16EAF">
        <w:t>.</w:t>
      </w:r>
    </w:p>
    <w:p w:rsidR="002E0F9C" w:rsidRPr="00F16EAF" w:rsidRDefault="002E0F9C" w:rsidP="002E0F9C">
      <w:r w:rsidRPr="00F16EAF">
        <w:t>On 31 March 2016, the Deputy Prime Minister and Minster for Agric</w:t>
      </w:r>
      <w:r w:rsidR="009B52DD" w:rsidRPr="00F16EAF">
        <w:t>ulture and Water Resources, the </w:t>
      </w:r>
      <w:r w:rsidRPr="00F16EAF">
        <w:t>Hon. Barnaby Joyce MP, announced the commence</w:t>
      </w:r>
      <w:r w:rsidR="002830F5" w:rsidRPr="00F16EAF">
        <w:t>ment of the review.</w:t>
      </w:r>
    </w:p>
    <w:p w:rsidR="00AC7D48" w:rsidRPr="00F16EAF" w:rsidRDefault="002E0F9C" w:rsidP="002E0F9C">
      <w:r w:rsidRPr="00F16EAF">
        <w:t xml:space="preserve">The full text of the IGAB is available </w:t>
      </w:r>
      <w:hyperlink r:id="rId19" w:history="1">
        <w:r w:rsidR="00C5141C" w:rsidRPr="00F16EAF">
          <w:rPr>
            <w:rStyle w:val="Hyperlink"/>
          </w:rPr>
          <w:t>at Intergovernmental Agreement on Biosecurity</w:t>
        </w:r>
      </w:hyperlink>
      <w:r w:rsidR="00C5141C" w:rsidRPr="00F16EAF">
        <w:t xml:space="preserve"> </w:t>
      </w:r>
      <w:r w:rsidRPr="00F16EAF">
        <w:t>on the Council of Australian Governments website</w:t>
      </w:r>
      <w:r w:rsidR="00C5141C" w:rsidRPr="00F16EAF">
        <w:t xml:space="preserve">. </w:t>
      </w:r>
      <w:r w:rsidRPr="00F16EAF">
        <w:t xml:space="preserve">Further information on the IGAB can be found </w:t>
      </w:r>
      <w:hyperlink r:id="rId20" w:history="1">
        <w:r w:rsidR="00C5141C" w:rsidRPr="00F16EAF">
          <w:rPr>
            <w:rStyle w:val="Hyperlink"/>
          </w:rPr>
          <w:t>at Biosecurity Partnerships</w:t>
        </w:r>
      </w:hyperlink>
      <w:r w:rsidR="00C5141C" w:rsidRPr="00F16EAF">
        <w:t xml:space="preserve"> </w:t>
      </w:r>
      <w:r w:rsidRPr="00F16EAF">
        <w:t>on the Australian Government Department of Agriculture and Water Resource’s website.</w:t>
      </w:r>
    </w:p>
    <w:p w:rsidR="008535A6" w:rsidRPr="00F16EAF" w:rsidRDefault="008535A6" w:rsidP="001132CB">
      <w:pPr>
        <w:pStyle w:val="Heading3"/>
      </w:pPr>
      <w:bookmarkStart w:id="4" w:name="_Toc450126726"/>
      <w:r w:rsidRPr="00F16EAF">
        <w:lastRenderedPageBreak/>
        <w:t>Purpose of the review</w:t>
      </w:r>
      <w:bookmarkEnd w:id="4"/>
    </w:p>
    <w:p w:rsidR="008614B5" w:rsidRPr="00F16EAF" w:rsidRDefault="008614B5" w:rsidP="00164F2A">
      <w:pPr>
        <w:keepLines/>
      </w:pPr>
      <w:r w:rsidRPr="00F16EAF">
        <w:t xml:space="preserve">The review will assess the capacity of </w:t>
      </w:r>
      <w:r w:rsidR="0093003F" w:rsidRPr="00F16EAF">
        <w:t>the</w:t>
      </w:r>
      <w:r w:rsidRPr="00F16EAF">
        <w:t xml:space="preserve"> national biosecurity system to manage increased biosecurity risk associated with an increasingly complex global environment; and, identify where adjustments are needed to ensure the system is effective, efficient and flexible and continues to support market access for Australian produce, to minimise primary production</w:t>
      </w:r>
      <w:r w:rsidR="001C42E8">
        <w:t xml:space="preserve"> costs and to support a healthy</w:t>
      </w:r>
      <w:r w:rsidRPr="00F16EAF">
        <w:t xml:space="preserve"> economy, environment and community.</w:t>
      </w:r>
    </w:p>
    <w:p w:rsidR="00EF731C" w:rsidRPr="00F16EAF" w:rsidRDefault="00EF731C" w:rsidP="00EF731C">
      <w:r w:rsidRPr="00F16EAF">
        <w:t xml:space="preserve">The review will </w:t>
      </w:r>
      <w:r w:rsidR="008614B5" w:rsidRPr="00F16EAF">
        <w:t xml:space="preserve">also </w:t>
      </w:r>
      <w:r w:rsidRPr="00F16EAF">
        <w:t>assess the implementation and effectiveness of the IGAB and its schedules, and report to Commonwealth, state and territory ministers responsible for biosecurity matters on findings and recommendations for amendments. The review will recommend if the purpose, goals and objectives, coverage, principles, key components and features of the IGAB are sti</w:t>
      </w:r>
      <w:r w:rsidR="00FC2C32" w:rsidRPr="00F16EAF">
        <w:t>ll relevant.</w:t>
      </w:r>
    </w:p>
    <w:p w:rsidR="001B4DB4" w:rsidRPr="00F16EAF" w:rsidRDefault="001B4DB4" w:rsidP="001132CB">
      <w:pPr>
        <w:pStyle w:val="Heading3"/>
      </w:pPr>
      <w:bookmarkStart w:id="5" w:name="_Toc450126727"/>
      <w:r w:rsidRPr="00F16EAF">
        <w:t>Scope of the review</w:t>
      </w:r>
      <w:bookmarkEnd w:id="5"/>
    </w:p>
    <w:p w:rsidR="00C07325" w:rsidRPr="00F16EAF" w:rsidRDefault="00C07325" w:rsidP="00C07325">
      <w:r w:rsidRPr="00F16EAF">
        <w:t>The IGAB review will consider and provide recommendations on the following terms of reference:</w:t>
      </w:r>
    </w:p>
    <w:p w:rsidR="00C07325" w:rsidRPr="00F16EAF" w:rsidRDefault="00C07325" w:rsidP="0007629A">
      <w:pPr>
        <w:pStyle w:val="ListNumber"/>
        <w:tabs>
          <w:tab w:val="clear" w:pos="284"/>
          <w:tab w:val="left" w:pos="567"/>
        </w:tabs>
      </w:pPr>
      <w:r w:rsidRPr="00F16EAF">
        <w:t>The implementation and effectiveness of each section of the current agreement, progress against the priority reform areas outlined in schedules 2–8 and any requirements</w:t>
      </w:r>
      <w:r w:rsidR="00FC2C32" w:rsidRPr="00F16EAF">
        <w:t xml:space="preserve"> for revision of the schedules.</w:t>
      </w:r>
    </w:p>
    <w:p w:rsidR="00C07325" w:rsidRPr="00F16EAF" w:rsidRDefault="00C07325" w:rsidP="0007629A">
      <w:pPr>
        <w:pStyle w:val="ListNumber"/>
        <w:tabs>
          <w:tab w:val="clear" w:pos="284"/>
          <w:tab w:val="left" w:pos="567"/>
        </w:tabs>
      </w:pPr>
      <w:r w:rsidRPr="00F16EAF">
        <w:t>The suitability of the agreement to underpin the national biosecurity system into the future.</w:t>
      </w:r>
    </w:p>
    <w:p w:rsidR="00C07325" w:rsidRPr="00F16EAF" w:rsidRDefault="00C07325" w:rsidP="0007629A">
      <w:pPr>
        <w:pStyle w:val="ListNumber"/>
        <w:tabs>
          <w:tab w:val="clear" w:pos="284"/>
          <w:tab w:val="left" w:pos="567"/>
        </w:tabs>
      </w:pPr>
      <w:r w:rsidRPr="00F16EAF">
        <w:t>Current and likely future biosecurity risks and priorities, including the optimal allocation of resources and availability of required capability and capacity to address those risks and priorities, with particular consideration of risks that may impact Australia’s market access arrangements for agricultural products, and the us</w:t>
      </w:r>
      <w:r w:rsidR="00FC2C32" w:rsidRPr="00F16EAF">
        <w:t>e of innovation in the system.</w:t>
      </w:r>
    </w:p>
    <w:p w:rsidR="00C07325" w:rsidRPr="00F16EAF" w:rsidRDefault="00C07325" w:rsidP="0007629A">
      <w:pPr>
        <w:pStyle w:val="ListNumber"/>
        <w:tabs>
          <w:tab w:val="clear" w:pos="284"/>
          <w:tab w:val="left" w:pos="567"/>
        </w:tabs>
      </w:pPr>
      <w:r w:rsidRPr="00F16EAF">
        <w:t>The development of a national statement of intent for the biosecurity system, encompassing the entire biosecurity continuum, including economic and market access, environmental and social considerations for governments, industry and the community.</w:t>
      </w:r>
    </w:p>
    <w:p w:rsidR="00C07325" w:rsidRPr="00F16EAF" w:rsidRDefault="00C07325" w:rsidP="0007629A">
      <w:pPr>
        <w:pStyle w:val="ListNumber"/>
        <w:tabs>
          <w:tab w:val="clear" w:pos="284"/>
          <w:tab w:val="left" w:pos="567"/>
        </w:tabs>
      </w:pPr>
      <w:r w:rsidRPr="00F16EAF">
        <w:t>Defining roles and responsibilities of all parties in the national biosecurity system. This should include advice on how the concept of a shared biosecurity responsibility can be better understood and implemented across government, industry, environmental and co</w:t>
      </w:r>
      <w:r w:rsidR="006760FF">
        <w:t>mmunity groups and individuals.</w:t>
      </w:r>
    </w:p>
    <w:p w:rsidR="00C07325" w:rsidRPr="00F16EAF" w:rsidRDefault="00C07325" w:rsidP="0007629A">
      <w:pPr>
        <w:pStyle w:val="ListNumber"/>
        <w:tabs>
          <w:tab w:val="clear" w:pos="284"/>
          <w:tab w:val="left" w:pos="567"/>
        </w:tabs>
      </w:pPr>
      <w:r w:rsidRPr="00F16EAF">
        <w:t>The review of existing cost-sharing arrangements and the potential for implementation of new funding arrangements for all biosecurity activities. Consideration should be given to relevant National Biosecurity Committee projects including:</w:t>
      </w:r>
    </w:p>
    <w:p w:rsidR="00C07325" w:rsidRPr="00F16EAF" w:rsidRDefault="00C07325" w:rsidP="00A809FA">
      <w:pPr>
        <w:pStyle w:val="ListNumber2"/>
        <w:contextualSpacing/>
      </w:pPr>
      <w:r w:rsidRPr="00F16EAF">
        <w:t>The National Framework for Cost Sharing Biosecurity Activities</w:t>
      </w:r>
    </w:p>
    <w:p w:rsidR="00C07325" w:rsidRPr="00F16EAF" w:rsidRDefault="00C07325" w:rsidP="00A809FA">
      <w:pPr>
        <w:pStyle w:val="ListNumber2"/>
        <w:contextualSpacing/>
      </w:pPr>
      <w:r w:rsidRPr="00F16EAF">
        <w:t>The national portfolio investment optimisation model</w:t>
      </w:r>
      <w:r w:rsidR="005876DD" w:rsidRPr="00F16EAF">
        <w:t>, and</w:t>
      </w:r>
    </w:p>
    <w:p w:rsidR="00C07325" w:rsidRPr="00F16EAF" w:rsidRDefault="00C07325" w:rsidP="00A809FA">
      <w:pPr>
        <w:pStyle w:val="ListNumber2"/>
        <w:contextualSpacing/>
      </w:pPr>
      <w:r w:rsidRPr="00F16EAF">
        <w:t>The national stocktake of biosecurity investment.</w:t>
      </w:r>
    </w:p>
    <w:p w:rsidR="001B4DB4" w:rsidRPr="00F16EAF" w:rsidRDefault="00C07325" w:rsidP="0007629A">
      <w:pPr>
        <w:pStyle w:val="ListNumber"/>
        <w:tabs>
          <w:tab w:val="clear" w:pos="284"/>
          <w:tab w:val="left" w:pos="567"/>
        </w:tabs>
      </w:pPr>
      <w:r w:rsidRPr="00F16EAF">
        <w:t>The development of measurable indicators to assess whether the national system is achieving its objectives, and to identify where adjustments are needed. Consideration should be given to the availability of appropriate and consistent data.</w:t>
      </w:r>
    </w:p>
    <w:p w:rsidR="005102DF" w:rsidRPr="00F16EAF" w:rsidRDefault="005102DF" w:rsidP="003066EF">
      <w:pPr>
        <w:pStyle w:val="Heading3"/>
      </w:pPr>
      <w:bookmarkStart w:id="6" w:name="_Toc450126728"/>
      <w:r w:rsidRPr="00F16EAF">
        <w:lastRenderedPageBreak/>
        <w:t>What is</w:t>
      </w:r>
      <w:r w:rsidR="00A809FA" w:rsidRPr="00F16EAF">
        <w:t xml:space="preserve"> not </w:t>
      </w:r>
      <w:r w:rsidRPr="00F16EAF">
        <w:t>being reviewed</w:t>
      </w:r>
      <w:bookmarkEnd w:id="6"/>
    </w:p>
    <w:p w:rsidR="005102DF" w:rsidRPr="00FA6F10" w:rsidRDefault="005102DF" w:rsidP="003066EF">
      <w:pPr>
        <w:keepNext/>
        <w:keepLines/>
      </w:pPr>
      <w:r w:rsidRPr="00FA6F10">
        <w:t>Some aspects of the national biosecurity system will not be considered as part of this review because t</w:t>
      </w:r>
      <w:r w:rsidR="00425B6C" w:rsidRPr="00FA6F10">
        <w:t>hey are considered out of scope</w:t>
      </w:r>
      <w:r w:rsidRPr="00FA6F10">
        <w:t>. This includes:</w:t>
      </w:r>
    </w:p>
    <w:p w:rsidR="005102DF" w:rsidRPr="00FA6F10" w:rsidRDefault="004811D3" w:rsidP="003066EF">
      <w:pPr>
        <w:pStyle w:val="ListBullet"/>
        <w:keepNext/>
        <w:keepLines/>
        <w:ind w:left="641"/>
        <w:contextualSpacing/>
      </w:pPr>
      <w:r w:rsidRPr="00FA6F10">
        <w:t>b</w:t>
      </w:r>
      <w:r w:rsidR="005102DF" w:rsidRPr="00FA6F10">
        <w:t>iosecurity arrangements specific to human health</w:t>
      </w:r>
    </w:p>
    <w:p w:rsidR="005102DF" w:rsidRPr="00FA6F10" w:rsidRDefault="004811D3" w:rsidP="003066EF">
      <w:pPr>
        <w:pStyle w:val="ListBullet"/>
        <w:keepNext/>
        <w:keepLines/>
        <w:ind w:left="641"/>
        <w:contextualSpacing/>
      </w:pPr>
      <w:r w:rsidRPr="00FA6F10">
        <w:t>m</w:t>
      </w:r>
      <w:r w:rsidR="005102DF" w:rsidRPr="00FA6F10">
        <w:t>atters related to biosecurity Import Risk Analyses (IRAs)</w:t>
      </w:r>
    </w:p>
    <w:p w:rsidR="005102DF" w:rsidRPr="00FA6F10" w:rsidRDefault="004811D3" w:rsidP="003066EF">
      <w:pPr>
        <w:pStyle w:val="ListBullet"/>
        <w:keepNext/>
        <w:keepLines/>
        <w:ind w:left="641"/>
        <w:contextualSpacing/>
      </w:pPr>
      <w:r w:rsidRPr="00FA6F10">
        <w:t>c</w:t>
      </w:r>
      <w:r w:rsidR="005102DF" w:rsidRPr="00FA6F10">
        <w:t>omprehensive reviews of emergency responses deeds</w:t>
      </w:r>
    </w:p>
    <w:p w:rsidR="005102DF" w:rsidRPr="00FA6F10" w:rsidRDefault="004811D3" w:rsidP="003066EF">
      <w:pPr>
        <w:pStyle w:val="ListBullet"/>
        <w:keepNext/>
        <w:keepLines/>
        <w:ind w:left="641"/>
        <w:contextualSpacing/>
      </w:pPr>
      <w:r w:rsidRPr="00FA6F10">
        <w:t>r</w:t>
      </w:r>
      <w:r w:rsidR="005102DF" w:rsidRPr="00FA6F10">
        <w:t>esponse plans, such as the Australian Veterinary Emergency Plan (AUSVETPLAN)</w:t>
      </w:r>
    </w:p>
    <w:p w:rsidR="005102DF" w:rsidRPr="00FA6F10" w:rsidRDefault="004811D3" w:rsidP="003066EF">
      <w:pPr>
        <w:pStyle w:val="ListBullet"/>
        <w:keepNext/>
        <w:keepLines/>
        <w:ind w:left="641"/>
        <w:contextualSpacing/>
      </w:pPr>
      <w:r w:rsidRPr="00FA6F10">
        <w:t>m</w:t>
      </w:r>
      <w:r w:rsidR="005102DF" w:rsidRPr="00FA6F10">
        <w:t xml:space="preserve">atters to do with </w:t>
      </w:r>
      <w:r w:rsidR="00794A98" w:rsidRPr="00FA6F10">
        <w:t xml:space="preserve">specific </w:t>
      </w:r>
      <w:r w:rsidR="005102DF" w:rsidRPr="00FA6F10">
        <w:t>biosecurity legislation, and</w:t>
      </w:r>
    </w:p>
    <w:p w:rsidR="00C07325" w:rsidRPr="00FA6F10" w:rsidRDefault="004811D3" w:rsidP="003066EF">
      <w:pPr>
        <w:pStyle w:val="ListBullet"/>
        <w:keepNext/>
        <w:keepLines/>
        <w:ind w:left="641"/>
        <w:contextualSpacing/>
      </w:pPr>
      <w:r w:rsidRPr="00FA6F10">
        <w:t>m</w:t>
      </w:r>
      <w:r w:rsidR="005102DF" w:rsidRPr="00FA6F10">
        <w:t>atters to do with Australia’s international obligations relating to biosecurity.</w:t>
      </w:r>
    </w:p>
    <w:p w:rsidR="00CD3BE8" w:rsidRPr="00F16EAF" w:rsidRDefault="00F30ECA" w:rsidP="001132CB">
      <w:pPr>
        <w:pStyle w:val="Heading3"/>
      </w:pPr>
      <w:bookmarkStart w:id="7" w:name="_Toc450126729"/>
      <w:r w:rsidRPr="00F16EAF">
        <w:t xml:space="preserve">The </w:t>
      </w:r>
      <w:r w:rsidR="00794A98" w:rsidRPr="00F16EAF">
        <w:t>r</w:t>
      </w:r>
      <w:r w:rsidRPr="00F16EAF">
        <w:t xml:space="preserve">eview </w:t>
      </w:r>
      <w:r w:rsidR="00794A98" w:rsidRPr="00F16EAF">
        <w:t>p</w:t>
      </w:r>
      <w:r w:rsidRPr="00F16EAF">
        <w:t>anel</w:t>
      </w:r>
      <w:bookmarkEnd w:id="7"/>
    </w:p>
    <w:p w:rsidR="00CD3BE8" w:rsidRPr="00F16EAF" w:rsidRDefault="00CD3BE8" w:rsidP="00C8218F">
      <w:pPr>
        <w:keepLines/>
      </w:pPr>
      <w:r w:rsidRPr="00F16EAF">
        <w:t xml:space="preserve">The review </w:t>
      </w:r>
      <w:r w:rsidR="00794A98" w:rsidRPr="00F16EAF">
        <w:t xml:space="preserve">is being </w:t>
      </w:r>
      <w:r w:rsidRPr="00F16EAF">
        <w:t xml:space="preserve">led by </w:t>
      </w:r>
      <w:r w:rsidR="00794A98" w:rsidRPr="00F16EAF">
        <w:t>an independent</w:t>
      </w:r>
      <w:r w:rsidRPr="00F16EAF">
        <w:t xml:space="preserve"> </w:t>
      </w:r>
      <w:r w:rsidR="00794A98" w:rsidRPr="00F16EAF">
        <w:t>r</w:t>
      </w:r>
      <w:r w:rsidR="00A010B2" w:rsidRPr="00F16EAF">
        <w:t xml:space="preserve">eview </w:t>
      </w:r>
      <w:r w:rsidR="00794A98" w:rsidRPr="00F16EAF">
        <w:t>panel comprising</w:t>
      </w:r>
      <w:r w:rsidR="008A7F1D" w:rsidRPr="00F16EAF">
        <w:t xml:space="preserve">: </w:t>
      </w:r>
      <w:r w:rsidRPr="00F16EAF">
        <w:t>Dr Wendy Craik AM (Chair); Mr</w:t>
      </w:r>
      <w:r w:rsidR="00E91C7E" w:rsidRPr="00F215FF">
        <w:t> </w:t>
      </w:r>
      <w:r w:rsidRPr="00F16EAF">
        <w:t xml:space="preserve">David Palmer; and, Dr Richard Sheldrake AM. </w:t>
      </w:r>
      <w:r w:rsidR="008D6F1D" w:rsidRPr="00F16EAF">
        <w:t>Bi</w:t>
      </w:r>
      <w:r w:rsidR="00C42723" w:rsidRPr="00F16EAF">
        <w:t xml:space="preserve">ographies of panel members are at </w:t>
      </w:r>
      <w:r w:rsidR="00D828F4" w:rsidRPr="00F16EAF">
        <w:fldChar w:fldCharType="begin"/>
      </w:r>
      <w:r w:rsidR="00D828F4" w:rsidRPr="00F16EAF">
        <w:instrText xml:space="preserve"> REF _Ref449694684 \h  \* MERGEFORMAT </w:instrText>
      </w:r>
      <w:r w:rsidR="00D828F4" w:rsidRPr="00F16EAF">
        <w:fldChar w:fldCharType="separate"/>
      </w:r>
      <w:r w:rsidR="0038249E" w:rsidRPr="00F16EAF">
        <w:t xml:space="preserve">Appendix A: </w:t>
      </w:r>
      <w:r w:rsidR="0038249E" w:rsidRPr="0038249E">
        <w:rPr>
          <w:i/>
        </w:rPr>
        <w:t>Review panel biographies</w:t>
      </w:r>
      <w:r w:rsidR="00D828F4" w:rsidRPr="00F16EAF">
        <w:fldChar w:fldCharType="end"/>
      </w:r>
      <w:r w:rsidR="00C42723" w:rsidRPr="00F16EAF">
        <w:t>.</w:t>
      </w:r>
    </w:p>
    <w:p w:rsidR="00CD3BE8" w:rsidRPr="00F16EAF" w:rsidRDefault="00CD3BE8" w:rsidP="00CD3BE8">
      <w:r w:rsidRPr="00F16EAF">
        <w:t xml:space="preserve">The </w:t>
      </w:r>
      <w:r w:rsidR="00794A98" w:rsidRPr="00F16EAF">
        <w:t>review panel</w:t>
      </w:r>
      <w:r w:rsidRPr="00F16EAF">
        <w:t xml:space="preserve"> is being supported by a </w:t>
      </w:r>
      <w:r w:rsidR="007C1BC4" w:rsidRPr="00F16EAF">
        <w:t>s</w:t>
      </w:r>
      <w:r w:rsidR="0029390C" w:rsidRPr="00F16EAF">
        <w:t>ecretariat</w:t>
      </w:r>
      <w:r w:rsidRPr="00F16EAF">
        <w:t xml:space="preserve"> within the Australian Government Department of Agriculture and Water Resources.</w:t>
      </w:r>
    </w:p>
    <w:p w:rsidR="00CD3BE8" w:rsidRPr="00F16EAF" w:rsidRDefault="00CD3BE8" w:rsidP="001132CB">
      <w:pPr>
        <w:pStyle w:val="Heading3"/>
      </w:pPr>
      <w:bookmarkStart w:id="8" w:name="_Toc450126730"/>
      <w:r w:rsidRPr="00F16EAF">
        <w:t>Consultation activities and next steps</w:t>
      </w:r>
      <w:bookmarkEnd w:id="8"/>
    </w:p>
    <w:p w:rsidR="00CD3BE8" w:rsidRPr="00F16EAF" w:rsidRDefault="00CD3BE8" w:rsidP="00CD3BE8">
      <w:r w:rsidRPr="00F16EAF">
        <w:t xml:space="preserve">The </w:t>
      </w:r>
      <w:r w:rsidR="00794A98" w:rsidRPr="00F16EAF">
        <w:t>review panel</w:t>
      </w:r>
      <w:r w:rsidRPr="00F16EAF">
        <w:t xml:space="preserve"> would like stakeholders across </w:t>
      </w:r>
      <w:r w:rsidR="00794A98" w:rsidRPr="00F16EAF">
        <w:t>Australia</w:t>
      </w:r>
      <w:r w:rsidRPr="00F16EAF">
        <w:t xml:space="preserve"> to have their say on </w:t>
      </w:r>
      <w:r w:rsidR="00883C62" w:rsidRPr="00F16EAF">
        <w:t>the</w:t>
      </w:r>
      <w:r w:rsidR="00E36577" w:rsidRPr="00F16EAF">
        <w:t xml:space="preserve"> </w:t>
      </w:r>
      <w:r w:rsidR="00794A98" w:rsidRPr="00F16EAF">
        <w:t>national biosecurity system and</w:t>
      </w:r>
      <w:r w:rsidR="00E36577" w:rsidRPr="00F16EAF">
        <w:t xml:space="preserve"> </w:t>
      </w:r>
      <w:r w:rsidR="00794A98" w:rsidRPr="00F16EAF">
        <w:t xml:space="preserve">the IGAB, </w:t>
      </w:r>
      <w:r w:rsidRPr="00F16EAF">
        <w:t xml:space="preserve">what works, what doesn’t, what could be done better and how to continue strengthening partnerships across the system. Your feedback will help the </w:t>
      </w:r>
      <w:r w:rsidR="00FA4A51" w:rsidRPr="00F16EAF">
        <w:t>panel</w:t>
      </w:r>
      <w:r w:rsidRPr="00F16EAF">
        <w:t xml:space="preserve"> identify where improvements can be made.</w:t>
      </w:r>
    </w:p>
    <w:p w:rsidR="00CD3BE8" w:rsidRPr="00F16EAF" w:rsidRDefault="00CD3BE8" w:rsidP="00CD3BE8">
      <w:r w:rsidRPr="00F16EAF">
        <w:t xml:space="preserve">The </w:t>
      </w:r>
      <w:r w:rsidR="00794A98" w:rsidRPr="00F16EAF">
        <w:t>review panel</w:t>
      </w:r>
      <w:r w:rsidRPr="00F16EAF">
        <w:t xml:space="preserve"> is seeking input from </w:t>
      </w:r>
      <w:r w:rsidR="00C93182" w:rsidRPr="00F16EAF">
        <w:t xml:space="preserve">all </w:t>
      </w:r>
      <w:r w:rsidRPr="00F16EAF">
        <w:t>stakeholders, including government</w:t>
      </w:r>
      <w:r w:rsidR="00C93182" w:rsidRPr="00F16EAF">
        <w:t>s</w:t>
      </w:r>
      <w:r w:rsidRPr="00F16EAF">
        <w:t xml:space="preserve">, industry and the </w:t>
      </w:r>
      <w:r w:rsidR="00CD5504" w:rsidRPr="00F16EAF">
        <w:t>broader</w:t>
      </w:r>
      <w:r w:rsidRPr="00F16EAF">
        <w:t xml:space="preserve"> community, owing to the vital role they play in the management of </w:t>
      </w:r>
      <w:r w:rsidR="00B30C3F" w:rsidRPr="00F16EAF">
        <w:t>biosecurity risks in Australia.</w:t>
      </w:r>
    </w:p>
    <w:p w:rsidR="007A626F" w:rsidRPr="00F16EAF" w:rsidRDefault="007A626F" w:rsidP="007A626F">
      <w:pPr>
        <w:pStyle w:val="Heading4"/>
      </w:pPr>
      <w:r w:rsidRPr="00F16EAF">
        <w:t>Review process</w:t>
      </w:r>
    </w:p>
    <w:p w:rsidR="007D32F7" w:rsidRPr="00F16EAF" w:rsidRDefault="007D3C72" w:rsidP="00CD3BE8">
      <w:r w:rsidRPr="00F16EAF">
        <w:t xml:space="preserve">Consultation will be undertaken </w:t>
      </w:r>
      <w:r w:rsidR="007D32F7" w:rsidRPr="00F16EAF">
        <w:t xml:space="preserve">in two </w:t>
      </w:r>
      <w:r w:rsidR="00A050E9" w:rsidRPr="00F16EAF">
        <w:t>phases</w:t>
      </w:r>
      <w:r w:rsidR="006760FF">
        <w:t>.</w:t>
      </w:r>
    </w:p>
    <w:p w:rsidR="00CD3BE8" w:rsidRPr="00F16EAF" w:rsidRDefault="007D32F7" w:rsidP="00CD3BE8">
      <w:r w:rsidRPr="00F16EAF">
        <w:t xml:space="preserve">This discussion paper will guide the </w:t>
      </w:r>
      <w:r w:rsidR="00794A98" w:rsidRPr="00F16EAF">
        <w:t>review panel</w:t>
      </w:r>
      <w:r w:rsidRPr="00F16EAF">
        <w:t xml:space="preserve">’s first </w:t>
      </w:r>
      <w:r w:rsidR="00A050E9" w:rsidRPr="00F16EAF">
        <w:t>phase</w:t>
      </w:r>
      <w:r w:rsidRPr="00F16EAF">
        <w:t xml:space="preserve"> of consultation, including discussion sessions with key stakeholders and the opportunity to provide written submissions.</w:t>
      </w:r>
      <w:r w:rsidR="003D40E7" w:rsidRPr="00F16EAF">
        <w:t xml:space="preserve"> The sessions</w:t>
      </w:r>
      <w:r w:rsidR="00794A98" w:rsidRPr="00F16EAF">
        <w:t xml:space="preserve"> and submissions </w:t>
      </w:r>
      <w:r w:rsidR="005A6696">
        <w:t>will</w:t>
      </w:r>
      <w:r w:rsidR="005A6696" w:rsidRPr="00F16EAF">
        <w:t xml:space="preserve"> </w:t>
      </w:r>
      <w:r w:rsidR="00794A98" w:rsidRPr="00F16EAF">
        <w:t>give the r</w:t>
      </w:r>
      <w:r w:rsidR="003D40E7" w:rsidRPr="00F16EAF">
        <w:t xml:space="preserve">eview </w:t>
      </w:r>
      <w:r w:rsidR="00794A98" w:rsidRPr="00F16EAF">
        <w:t>p</w:t>
      </w:r>
      <w:r w:rsidR="003D40E7" w:rsidRPr="00F16EAF">
        <w:t xml:space="preserve">anel the opportunity to gather information </w:t>
      </w:r>
      <w:r w:rsidR="00883C62" w:rsidRPr="00F16EAF">
        <w:t>from</w:t>
      </w:r>
      <w:r w:rsidR="003D40E7" w:rsidRPr="00F16EAF">
        <w:t xml:space="preserve"> a broad range of stakeholders.</w:t>
      </w:r>
    </w:p>
    <w:p w:rsidR="00CD3BE8" w:rsidRPr="00F16EAF" w:rsidRDefault="00794A98" w:rsidP="00CD3BE8">
      <w:r w:rsidRPr="00F16EAF">
        <w:t>The review p</w:t>
      </w:r>
      <w:r w:rsidR="00E513B0" w:rsidRPr="00F16EAF">
        <w:t xml:space="preserve">anel’s response to the first </w:t>
      </w:r>
      <w:r w:rsidR="00A050E9" w:rsidRPr="00F16EAF">
        <w:t>phase</w:t>
      </w:r>
      <w:r w:rsidR="00E513B0" w:rsidRPr="00F16EAF">
        <w:t xml:space="preserve"> of consultation will be consolidated into a draft report and released for public comment.</w:t>
      </w:r>
      <w:r w:rsidR="00B84767" w:rsidRPr="00F16EAF">
        <w:t xml:space="preserve"> </w:t>
      </w:r>
      <w:r w:rsidR="00CD3BE8" w:rsidRPr="00F16EAF">
        <w:t xml:space="preserve">During the second phase of consultation, stakeholders will be invited to provide submissions on the draft report. Feedback on </w:t>
      </w:r>
      <w:r w:rsidR="00E83DDB" w:rsidRPr="00F16EAF">
        <w:t>the</w:t>
      </w:r>
      <w:r w:rsidR="00CD3BE8" w:rsidRPr="00F16EAF">
        <w:t xml:space="preserve"> draft report will inform the development of the final report</w:t>
      </w:r>
      <w:r w:rsidRPr="00F16EAF">
        <w:t xml:space="preserve"> and recommendations to governments</w:t>
      </w:r>
      <w:r w:rsidR="00CD3BE8" w:rsidRPr="00F16EAF">
        <w:t>.</w:t>
      </w:r>
    </w:p>
    <w:p w:rsidR="007A626F" w:rsidRPr="00F16EAF" w:rsidRDefault="007A626F" w:rsidP="007A626F">
      <w:pPr>
        <w:pStyle w:val="Heading4"/>
      </w:pPr>
      <w:r w:rsidRPr="00F16EAF">
        <w:t>How to contribute</w:t>
      </w:r>
    </w:p>
    <w:p w:rsidR="00CD3BE8" w:rsidRPr="00F16EAF" w:rsidRDefault="00CD3BE8" w:rsidP="00CD3BE8">
      <w:r w:rsidRPr="00F16EAF">
        <w:t xml:space="preserve">The </w:t>
      </w:r>
      <w:r w:rsidR="00794A98" w:rsidRPr="00F16EAF">
        <w:t>review p</w:t>
      </w:r>
      <w:r w:rsidR="00FA4A51" w:rsidRPr="00F16EAF">
        <w:t xml:space="preserve">anel </w:t>
      </w:r>
      <w:r w:rsidRPr="00F16EAF">
        <w:t>encourages comments and submissions to this discussion paper or any other relevant feedback by</w:t>
      </w:r>
      <w:r w:rsidR="00181D62" w:rsidRPr="00F16EAF">
        <w:t xml:space="preserve"> </w:t>
      </w:r>
      <w:r w:rsidRPr="00131A8B">
        <w:rPr>
          <w:b/>
        </w:rPr>
        <w:t>5</w:t>
      </w:r>
      <w:r w:rsidR="00542F2A" w:rsidRPr="00131A8B">
        <w:rPr>
          <w:b/>
        </w:rPr>
        <w:t xml:space="preserve"> </w:t>
      </w:r>
      <w:r w:rsidRPr="00131A8B">
        <w:rPr>
          <w:b/>
        </w:rPr>
        <w:t xml:space="preserve">pm AEST </w:t>
      </w:r>
      <w:r w:rsidR="00131A8B" w:rsidRPr="00131A8B">
        <w:rPr>
          <w:b/>
        </w:rPr>
        <w:t xml:space="preserve">Friday 8 July </w:t>
      </w:r>
      <w:r w:rsidRPr="00131A8B">
        <w:rPr>
          <w:b/>
        </w:rPr>
        <w:t>2016</w:t>
      </w:r>
      <w:r w:rsidRPr="00F16EAF">
        <w:t>. The process for making a submission is detailed in section</w:t>
      </w:r>
      <w:r w:rsidR="00E976B5" w:rsidRPr="00F16EAF">
        <w:t xml:space="preserve"> 5 </w:t>
      </w:r>
      <w:r w:rsidR="00E976B5" w:rsidRPr="00F16EAF">
        <w:rPr>
          <w:i/>
        </w:rPr>
        <w:fldChar w:fldCharType="begin"/>
      </w:r>
      <w:r w:rsidR="00E976B5" w:rsidRPr="00F16EAF">
        <w:rPr>
          <w:i/>
        </w:rPr>
        <w:instrText xml:space="preserve"> REF _Ref449107415 \h  \* MERGEFORMAT </w:instrText>
      </w:r>
      <w:r w:rsidR="00E976B5" w:rsidRPr="00F16EAF">
        <w:rPr>
          <w:i/>
        </w:rPr>
      </w:r>
      <w:r w:rsidR="00E976B5" w:rsidRPr="00F16EAF">
        <w:rPr>
          <w:i/>
        </w:rPr>
        <w:fldChar w:fldCharType="separate"/>
      </w:r>
      <w:r w:rsidR="0038249E" w:rsidRPr="0038249E">
        <w:rPr>
          <w:i/>
        </w:rPr>
        <w:t>Making a submission</w:t>
      </w:r>
      <w:r w:rsidR="00E976B5" w:rsidRPr="00F16EAF">
        <w:rPr>
          <w:i/>
        </w:rPr>
        <w:fldChar w:fldCharType="end"/>
      </w:r>
      <w:r w:rsidRPr="00F16EAF">
        <w:t>.</w:t>
      </w:r>
    </w:p>
    <w:p w:rsidR="0003507A" w:rsidRPr="00F16EAF" w:rsidRDefault="00B6032B" w:rsidP="00C74438">
      <w:pPr>
        <w:pStyle w:val="Heading2"/>
      </w:pPr>
      <w:bookmarkStart w:id="9" w:name="_Toc430782151"/>
      <w:bookmarkStart w:id="10" w:name="_Toc450126731"/>
      <w:r w:rsidRPr="00F16EAF">
        <w:lastRenderedPageBreak/>
        <w:t xml:space="preserve">Glossary </w:t>
      </w:r>
      <w:bookmarkEnd w:id="9"/>
      <w:r w:rsidRPr="00F16EAF">
        <w:t>of terms</w:t>
      </w:r>
      <w:bookmarkEnd w:id="10"/>
    </w:p>
    <w:p w:rsidR="002967C1" w:rsidRPr="00F16EAF" w:rsidRDefault="00063F76" w:rsidP="00267841">
      <w:r w:rsidRPr="00F16EAF">
        <w:t>Th</w:t>
      </w:r>
      <w:r w:rsidR="00542F2A" w:rsidRPr="00F16EAF">
        <w:t>is table</w:t>
      </w:r>
      <w:r w:rsidRPr="00F16EAF">
        <w:t xml:space="preserve"> lists and defines the main terms used in this document.</w:t>
      </w:r>
    </w:p>
    <w:tbl>
      <w:tblPr>
        <w:tblW w:w="9072" w:type="dxa"/>
        <w:tblLook w:val="04A0" w:firstRow="1" w:lastRow="0" w:firstColumn="1" w:lastColumn="0" w:noHBand="0" w:noVBand="1"/>
      </w:tblPr>
      <w:tblGrid>
        <w:gridCol w:w="2552"/>
        <w:gridCol w:w="6520"/>
      </w:tblGrid>
      <w:tr w:rsidR="00C36B29" w:rsidRPr="00F16EAF" w:rsidTr="00C36B29">
        <w:trPr>
          <w:cantSplit/>
          <w:tblHeader/>
        </w:trPr>
        <w:tc>
          <w:tcPr>
            <w:tcW w:w="2552" w:type="dxa"/>
            <w:shd w:val="clear" w:color="auto" w:fill="DBE5F1" w:themeFill="accent1" w:themeFillTint="33"/>
            <w:hideMark/>
          </w:tcPr>
          <w:p w:rsidR="00C36B29" w:rsidRPr="00F16EAF" w:rsidRDefault="00C36B29" w:rsidP="00C36B29">
            <w:pPr>
              <w:rPr>
                <w:b/>
              </w:rPr>
            </w:pPr>
            <w:r w:rsidRPr="00F16EAF">
              <w:rPr>
                <w:b/>
              </w:rPr>
              <w:t>Term</w:t>
            </w:r>
          </w:p>
        </w:tc>
        <w:tc>
          <w:tcPr>
            <w:tcW w:w="6520" w:type="dxa"/>
            <w:shd w:val="clear" w:color="auto" w:fill="DBE5F1" w:themeFill="accent1" w:themeFillTint="33"/>
            <w:hideMark/>
          </w:tcPr>
          <w:p w:rsidR="00C36B29" w:rsidRPr="00F16EAF" w:rsidRDefault="00C36B29" w:rsidP="00C36B29">
            <w:pPr>
              <w:rPr>
                <w:b/>
              </w:rPr>
            </w:pPr>
            <w:r w:rsidRPr="00F16EAF">
              <w:rPr>
                <w:b/>
              </w:rPr>
              <w:t>Definition</w:t>
            </w:r>
          </w:p>
        </w:tc>
      </w:tr>
      <w:tr w:rsidR="00C36B29" w:rsidRPr="00F16EAF" w:rsidTr="00C36B29">
        <w:trPr>
          <w:cantSplit/>
        </w:trPr>
        <w:tc>
          <w:tcPr>
            <w:tcW w:w="2552" w:type="dxa"/>
          </w:tcPr>
          <w:p w:rsidR="00C36B29" w:rsidRPr="00F16EAF" w:rsidRDefault="00C36B29" w:rsidP="00C36B29">
            <w:pPr>
              <w:ind w:left="-108"/>
            </w:pPr>
            <w:r w:rsidRPr="00F16EAF">
              <w:t>Appropriate Level of Protection (ALOP)</w:t>
            </w:r>
          </w:p>
        </w:tc>
        <w:tc>
          <w:tcPr>
            <w:tcW w:w="6520" w:type="dxa"/>
          </w:tcPr>
          <w:p w:rsidR="00D32FB9" w:rsidRPr="00F16EAF" w:rsidRDefault="00C36B29" w:rsidP="00C36B29">
            <w:r w:rsidRPr="00F16EAF">
              <w:t>the level of protection deemed appropriate by a country establishing a sanitary or phytosanitary measure to protect human, animal or plant life or health withi</w:t>
            </w:r>
            <w:r w:rsidR="00C71340" w:rsidRPr="00F16EAF">
              <w:t>n its territory (Source: IGAB).</w:t>
            </w:r>
          </w:p>
          <w:p w:rsidR="00C36B29" w:rsidRPr="00F16EAF" w:rsidRDefault="00C36B29" w:rsidP="00C36B29">
            <w:r w:rsidRPr="00F16EAF">
              <w:t xml:space="preserve">The ALOP for Australia is a high level of sanitary and phytosanitary protection aimed at </w:t>
            </w:r>
            <w:r w:rsidR="00B9499A" w:rsidRPr="00F16EAF">
              <w:t xml:space="preserve">managing and </w:t>
            </w:r>
            <w:r w:rsidRPr="00F16EAF">
              <w:t>reducing biosecurity risks to a very low level, but not to zero.</w:t>
            </w:r>
          </w:p>
        </w:tc>
      </w:tr>
      <w:tr w:rsidR="00C36B29" w:rsidRPr="00F16EAF" w:rsidTr="00C36B29">
        <w:trPr>
          <w:cantSplit/>
        </w:trPr>
        <w:tc>
          <w:tcPr>
            <w:tcW w:w="2552" w:type="dxa"/>
          </w:tcPr>
          <w:p w:rsidR="00C36B29" w:rsidRPr="00F16EAF" w:rsidRDefault="00C36B29" w:rsidP="00C36B29">
            <w:r w:rsidRPr="00F16EAF">
              <w:t>Biosecurity</w:t>
            </w:r>
          </w:p>
        </w:tc>
        <w:tc>
          <w:tcPr>
            <w:tcW w:w="6520" w:type="dxa"/>
          </w:tcPr>
          <w:p w:rsidR="00C36B29" w:rsidRPr="00F16EAF" w:rsidRDefault="00C36B29" w:rsidP="00C36B29">
            <w:r w:rsidRPr="00F16EAF">
              <w:t xml:space="preserve">the management of risks to the economy, the environment, and the </w:t>
            </w:r>
            <w:r w:rsidR="0062390F" w:rsidRPr="00F16EAF">
              <w:t xml:space="preserve">broader </w:t>
            </w:r>
            <w:r w:rsidRPr="00F16EAF">
              <w:t>community, of pests and diseases entering, emerging, establishing or spreading (Source: IGAB).</w:t>
            </w:r>
          </w:p>
        </w:tc>
      </w:tr>
      <w:tr w:rsidR="00C36B29" w:rsidRPr="00F16EAF" w:rsidTr="00C36B29">
        <w:trPr>
          <w:cantSplit/>
        </w:trPr>
        <w:tc>
          <w:tcPr>
            <w:tcW w:w="2552" w:type="dxa"/>
          </w:tcPr>
          <w:p w:rsidR="00C36B29" w:rsidRPr="00F16EAF" w:rsidRDefault="00C36B29" w:rsidP="00C36B29">
            <w:r w:rsidRPr="00F16EAF">
              <w:t>Biosecurity risks</w:t>
            </w:r>
          </w:p>
        </w:tc>
        <w:tc>
          <w:tcPr>
            <w:tcW w:w="6520" w:type="dxa"/>
          </w:tcPr>
          <w:p w:rsidR="00C36B29" w:rsidRPr="00F16EAF" w:rsidRDefault="00C36B29" w:rsidP="00C36B29">
            <w:r w:rsidRPr="00F16EAF">
              <w:t>the potential of a disease or pest entering, emerging, establishing or spreading in Australia; and, the disease or pest causing harm to the environment, or economic or community activities (Source: IGAB).</w:t>
            </w:r>
          </w:p>
        </w:tc>
      </w:tr>
      <w:tr w:rsidR="00C36B29" w:rsidRPr="00F16EAF" w:rsidTr="00C36B29">
        <w:trPr>
          <w:cantSplit/>
        </w:trPr>
        <w:tc>
          <w:tcPr>
            <w:tcW w:w="2552" w:type="dxa"/>
          </w:tcPr>
          <w:p w:rsidR="00C36B29" w:rsidRPr="00F16EAF" w:rsidRDefault="00C36B29" w:rsidP="00C36B29">
            <w:r w:rsidRPr="00F16EAF">
              <w:t>Biosecurity system</w:t>
            </w:r>
          </w:p>
        </w:tc>
        <w:tc>
          <w:tcPr>
            <w:tcW w:w="6520" w:type="dxa"/>
          </w:tcPr>
          <w:p w:rsidR="00C36B29" w:rsidRPr="00F16EAF" w:rsidRDefault="00C36B29" w:rsidP="00C36B29">
            <w:r w:rsidRPr="00F16EAF">
              <w:t xml:space="preserve">Australia’s </w:t>
            </w:r>
            <w:r w:rsidR="00883C62" w:rsidRPr="00F16EAF">
              <w:t xml:space="preserve">national </w:t>
            </w:r>
            <w:r w:rsidRPr="00F16EAF">
              <w:t>biosecurity system encompasses and fully integrates import and export activities, services and functions—into, within, and from Australia—and covers the spectrum of pest and disease threats to Australia’s environment, production and people.</w:t>
            </w:r>
          </w:p>
        </w:tc>
      </w:tr>
      <w:tr w:rsidR="00C36B29" w:rsidRPr="00F16EAF" w:rsidTr="00C36B29">
        <w:trPr>
          <w:cantSplit/>
        </w:trPr>
        <w:tc>
          <w:tcPr>
            <w:tcW w:w="2552" w:type="dxa"/>
          </w:tcPr>
          <w:p w:rsidR="00C36B29" w:rsidRPr="00F16EAF" w:rsidRDefault="00C36B29" w:rsidP="00C36B29">
            <w:r w:rsidRPr="00F16EAF">
              <w:t>Disease</w:t>
            </w:r>
          </w:p>
        </w:tc>
        <w:tc>
          <w:tcPr>
            <w:tcW w:w="6520" w:type="dxa"/>
          </w:tcPr>
          <w:p w:rsidR="00C36B29" w:rsidRPr="00F16EAF" w:rsidRDefault="00C36B29" w:rsidP="009216A3">
            <w:r w:rsidRPr="00F16EAF">
              <w:t>the presence of a pathogenic agent in a host and/or the clinical manifestation of infection that has had an impact (</w:t>
            </w:r>
            <w:r w:rsidR="009216A3" w:rsidRPr="00F16EAF">
              <w:t>that is,</w:t>
            </w:r>
            <w:r w:rsidRPr="00F16EAF">
              <w:t xml:space="preserve"> significant negative consequences) or poses a likely threat of an impact. It includes microorganisms, disease agents, infectious agents and parasites (Source: IGAB).</w:t>
            </w:r>
          </w:p>
        </w:tc>
      </w:tr>
      <w:tr w:rsidR="00C36B29" w:rsidRPr="00F16EAF" w:rsidTr="00C36B29">
        <w:trPr>
          <w:cantSplit/>
        </w:trPr>
        <w:tc>
          <w:tcPr>
            <w:tcW w:w="2552" w:type="dxa"/>
          </w:tcPr>
          <w:p w:rsidR="00C36B29" w:rsidRPr="00F16EAF" w:rsidRDefault="00C36B29" w:rsidP="00C36B29">
            <w:r w:rsidRPr="00F16EAF">
              <w:t>Established pest or disease</w:t>
            </w:r>
          </w:p>
        </w:tc>
        <w:tc>
          <w:tcPr>
            <w:tcW w:w="6520" w:type="dxa"/>
          </w:tcPr>
          <w:p w:rsidR="00C36B29" w:rsidRPr="00F16EAF" w:rsidRDefault="00C36B29" w:rsidP="00C36B29">
            <w:r w:rsidRPr="00F16EAF">
              <w:t>a pest or disease that is perpetuated, for the foreseeable future, within any area and where it is not feasible (economically and/or technically) to eradicate the pest or disease (Source: IGAB).</w:t>
            </w:r>
          </w:p>
        </w:tc>
      </w:tr>
      <w:tr w:rsidR="00C36B29" w:rsidRPr="00F16EAF" w:rsidTr="00C36B29">
        <w:trPr>
          <w:cantSplit/>
        </w:trPr>
        <w:tc>
          <w:tcPr>
            <w:tcW w:w="2552" w:type="dxa"/>
          </w:tcPr>
          <w:p w:rsidR="00C36B29" w:rsidRPr="00F16EAF" w:rsidRDefault="00C36B29" w:rsidP="00C36B29">
            <w:r w:rsidRPr="00F16EAF">
              <w:t>Exotic pest and disease</w:t>
            </w:r>
          </w:p>
        </w:tc>
        <w:tc>
          <w:tcPr>
            <w:tcW w:w="6520" w:type="dxa"/>
          </w:tcPr>
          <w:p w:rsidR="00C36B29" w:rsidRPr="00F16EAF" w:rsidRDefault="00C36B29" w:rsidP="00C36B29">
            <w:r w:rsidRPr="00F16EAF">
              <w:t>pests and diseases affecting plants or animals (potentially human beings) that do not normally occur in a particular country (Source: adapted from the IGAB).</w:t>
            </w:r>
          </w:p>
        </w:tc>
      </w:tr>
      <w:tr w:rsidR="00C36B29" w:rsidRPr="00F16EAF" w:rsidTr="00C36B29">
        <w:trPr>
          <w:cantSplit/>
        </w:trPr>
        <w:tc>
          <w:tcPr>
            <w:tcW w:w="2552" w:type="dxa"/>
          </w:tcPr>
          <w:p w:rsidR="00C36B29" w:rsidRPr="00F16EAF" w:rsidRDefault="00C36B29" w:rsidP="00C36B29">
            <w:r w:rsidRPr="00F16EAF">
              <w:t>Incursion</w:t>
            </w:r>
          </w:p>
        </w:tc>
        <w:tc>
          <w:tcPr>
            <w:tcW w:w="6520" w:type="dxa"/>
          </w:tcPr>
          <w:p w:rsidR="00C36B29" w:rsidRPr="00F16EAF" w:rsidRDefault="00C36B29" w:rsidP="00C36B29">
            <w:r w:rsidRPr="00F16EAF">
              <w:t>an isolated population of a pest or disease recently detected in an area, not known to be established, but expected to survive for the immediate future (Source: adapted from the International Standards on Phytosanitary M</w:t>
            </w:r>
            <w:r w:rsidR="00C71340" w:rsidRPr="00F16EAF">
              <w:t>easures 5 – Glossary of terms).</w:t>
            </w:r>
          </w:p>
        </w:tc>
      </w:tr>
      <w:tr w:rsidR="00C36B29" w:rsidRPr="00F16EAF" w:rsidTr="00C36B29">
        <w:trPr>
          <w:cantSplit/>
        </w:trPr>
        <w:tc>
          <w:tcPr>
            <w:tcW w:w="2552" w:type="dxa"/>
          </w:tcPr>
          <w:p w:rsidR="00C36B29" w:rsidRPr="00F16EAF" w:rsidRDefault="00C36B29" w:rsidP="00C36B29">
            <w:r w:rsidRPr="00F16EAF">
              <w:t>Intergovernmental Agreement on Biosecurity (IGAB)</w:t>
            </w:r>
          </w:p>
        </w:tc>
        <w:tc>
          <w:tcPr>
            <w:tcW w:w="6520" w:type="dxa"/>
          </w:tcPr>
          <w:p w:rsidR="00C36B29" w:rsidRPr="00F16EAF" w:rsidRDefault="00C36B29" w:rsidP="00133955">
            <w:r w:rsidRPr="00F16EAF">
              <w:t>an agreement between the Commonwealth and state and territory governments, except Tasmania. The agreement aims to strengthen the working partnerships between governments, improve the national biosecurity system and minimise the impact of pests and disease</w:t>
            </w:r>
            <w:r w:rsidR="000F719C">
              <w:t>s</w:t>
            </w:r>
            <w:r w:rsidRPr="00F16EAF">
              <w:t xml:space="preserve"> on Australia’s economy, </w:t>
            </w:r>
            <w:r w:rsidR="00C71340" w:rsidRPr="00F16EAF">
              <w:t>environment and the community.</w:t>
            </w:r>
          </w:p>
        </w:tc>
      </w:tr>
      <w:tr w:rsidR="00C36B29" w:rsidRPr="00F16EAF" w:rsidTr="00C36B29">
        <w:trPr>
          <w:cantSplit/>
        </w:trPr>
        <w:tc>
          <w:tcPr>
            <w:tcW w:w="2552" w:type="dxa"/>
          </w:tcPr>
          <w:p w:rsidR="00C36B29" w:rsidRPr="00F16EAF" w:rsidRDefault="00C36B29" w:rsidP="00C36B29">
            <w:r w:rsidRPr="00F16EAF">
              <w:lastRenderedPageBreak/>
              <w:t>Pest</w:t>
            </w:r>
          </w:p>
        </w:tc>
        <w:tc>
          <w:tcPr>
            <w:tcW w:w="6520" w:type="dxa"/>
          </w:tcPr>
          <w:p w:rsidR="00C36B29" w:rsidRPr="00F16EAF" w:rsidRDefault="00C36B29" w:rsidP="002A5932">
            <w:r w:rsidRPr="00F16EAF">
              <w:t>any species, strain or biotype of the Kingdoms Animalia (exc</w:t>
            </w:r>
            <w:r w:rsidR="002A5932" w:rsidRPr="00F16EAF">
              <w:t>luding</w:t>
            </w:r>
            <w:r w:rsidRPr="00F16EAF">
              <w:t>. human beings), Plantae, Fungi, Monera or Protista that has had an impact (</w:t>
            </w:r>
            <w:r w:rsidR="002A5932" w:rsidRPr="00F16EAF">
              <w:t xml:space="preserve">that is, a </w:t>
            </w:r>
            <w:r w:rsidRPr="00F16EAF">
              <w:t>significant negative consequences), or poses a likely threat to h</w:t>
            </w:r>
            <w:r w:rsidR="00C71340" w:rsidRPr="00F16EAF">
              <w:t>aving an impact (Source: IGAB).</w:t>
            </w:r>
          </w:p>
        </w:tc>
      </w:tr>
      <w:tr w:rsidR="0021126A" w:rsidRPr="00F16EAF" w:rsidTr="00C36B29">
        <w:trPr>
          <w:cantSplit/>
        </w:trPr>
        <w:tc>
          <w:tcPr>
            <w:tcW w:w="2552" w:type="dxa"/>
          </w:tcPr>
          <w:p w:rsidR="0021126A" w:rsidRPr="00F16EAF" w:rsidRDefault="0021126A" w:rsidP="00C36B29">
            <w:r w:rsidRPr="00F16EAF">
              <w:t>Risk beneficiaries</w:t>
            </w:r>
          </w:p>
        </w:tc>
        <w:tc>
          <w:tcPr>
            <w:tcW w:w="6520" w:type="dxa"/>
          </w:tcPr>
          <w:p w:rsidR="0021126A" w:rsidRPr="00EC52E3" w:rsidRDefault="00206BD4" w:rsidP="00EC52E3">
            <w:r w:rsidRPr="00EC52E3">
              <w:t xml:space="preserve">individuals, organisations, </w:t>
            </w:r>
            <w:r w:rsidR="00EC52E3" w:rsidRPr="00EC52E3">
              <w:t>and/</w:t>
            </w:r>
            <w:r w:rsidR="000C4F8F" w:rsidRPr="00EC52E3">
              <w:t xml:space="preserve">or </w:t>
            </w:r>
            <w:r w:rsidRPr="00EC52E3">
              <w:t>industry groups that benefit from risk mitigation measures in response to a biosecurity activity</w:t>
            </w:r>
            <w:r w:rsidR="00EC52E3" w:rsidRPr="00EC52E3">
              <w:t xml:space="preserve"> or response</w:t>
            </w:r>
            <w:r w:rsidRPr="00EC52E3">
              <w:t xml:space="preserve">; but who may not necessarily contribute </w:t>
            </w:r>
            <w:r w:rsidR="00F001B3" w:rsidRPr="00EC52E3">
              <w:t xml:space="preserve">financially </w:t>
            </w:r>
            <w:r w:rsidRPr="00EC52E3">
              <w:t>to these activities (Source: adapted from the IGAB).</w:t>
            </w:r>
          </w:p>
        </w:tc>
      </w:tr>
      <w:tr w:rsidR="0021126A" w:rsidRPr="00F16EAF" w:rsidTr="00C36B29">
        <w:trPr>
          <w:cantSplit/>
        </w:trPr>
        <w:tc>
          <w:tcPr>
            <w:tcW w:w="2552" w:type="dxa"/>
          </w:tcPr>
          <w:p w:rsidR="0021126A" w:rsidRPr="00F16EAF" w:rsidRDefault="0021126A" w:rsidP="00C36B29">
            <w:r w:rsidRPr="00F16EAF">
              <w:t>Risk creators</w:t>
            </w:r>
          </w:p>
        </w:tc>
        <w:tc>
          <w:tcPr>
            <w:tcW w:w="6520" w:type="dxa"/>
          </w:tcPr>
          <w:p w:rsidR="0021126A" w:rsidRPr="00F16EAF" w:rsidRDefault="0021126A" w:rsidP="00337E06">
            <w:r w:rsidRPr="00F16EAF">
              <w:t xml:space="preserve">individuals, organisations, </w:t>
            </w:r>
            <w:r w:rsidR="008F114D">
              <w:t xml:space="preserve">and/or </w:t>
            </w:r>
            <w:r w:rsidRPr="00F16EAF">
              <w:t>industry groups that create risks that may result in a disease or pest entering, emerging, establishing or spreading in Australia; and the disease or pest causing harm to the environment, or economic or community activities (does not include governments undertaking biosecurity activities as part of their regulatory responsibilities) (Source: IGAB).</w:t>
            </w:r>
          </w:p>
        </w:tc>
      </w:tr>
      <w:tr w:rsidR="00C36B29" w:rsidRPr="00F16EAF" w:rsidTr="00C36B29">
        <w:trPr>
          <w:cantSplit/>
        </w:trPr>
        <w:tc>
          <w:tcPr>
            <w:tcW w:w="2552" w:type="dxa"/>
          </w:tcPr>
          <w:p w:rsidR="00C36B29" w:rsidRPr="00F16EAF" w:rsidRDefault="00C36B29" w:rsidP="00C36B29">
            <w:r w:rsidRPr="00F16EAF">
              <w:t>Shared responsibility</w:t>
            </w:r>
          </w:p>
        </w:tc>
        <w:tc>
          <w:tcPr>
            <w:tcW w:w="6520" w:type="dxa"/>
          </w:tcPr>
          <w:p w:rsidR="00C36B29" w:rsidRPr="00F16EAF" w:rsidRDefault="00C36B29" w:rsidP="00F7188A">
            <w:r w:rsidRPr="00F16EAF">
              <w:t xml:space="preserve">a core concept underpinning </w:t>
            </w:r>
            <w:r w:rsidR="000A4C2D" w:rsidRPr="00F16EAF">
              <w:t>Australia’s</w:t>
            </w:r>
            <w:r w:rsidRPr="00F16EAF">
              <w:t xml:space="preserve"> national biosecurity system whereby al</w:t>
            </w:r>
            <w:r w:rsidR="00F7188A" w:rsidRPr="00F16EAF">
              <w:t xml:space="preserve">l stakeholders—including Australian </w:t>
            </w:r>
            <w:r w:rsidRPr="00F16EAF">
              <w:t xml:space="preserve">governments, industry and the </w:t>
            </w:r>
            <w:r w:rsidR="00D32FB9" w:rsidRPr="00F16EAF">
              <w:t>broader</w:t>
            </w:r>
            <w:r w:rsidRPr="00F16EAF">
              <w:t xml:space="preserve"> community—have important roles and responsibilities in the management of biosecurity risks in Australia.</w:t>
            </w:r>
          </w:p>
        </w:tc>
      </w:tr>
    </w:tbl>
    <w:p w:rsidR="0003507A" w:rsidRPr="00F16EAF" w:rsidRDefault="00A13E5D" w:rsidP="00210276">
      <w:pPr>
        <w:pStyle w:val="Heading2"/>
      </w:pPr>
      <w:bookmarkStart w:id="11" w:name="_Toc430782157"/>
      <w:bookmarkStart w:id="12" w:name="_Toc450126732"/>
      <w:r w:rsidRPr="00F16EAF">
        <w:lastRenderedPageBreak/>
        <w:t xml:space="preserve">Australia’s </w:t>
      </w:r>
      <w:bookmarkEnd w:id="11"/>
      <w:r w:rsidR="00804A90" w:rsidRPr="00F16EAF">
        <w:t xml:space="preserve">national </w:t>
      </w:r>
      <w:r w:rsidRPr="00F16EAF">
        <w:t>biosecurity system</w:t>
      </w:r>
      <w:bookmarkEnd w:id="12"/>
    </w:p>
    <w:p w:rsidR="00CB23AC" w:rsidRPr="00F16EAF" w:rsidRDefault="00CB23AC" w:rsidP="001132CB">
      <w:pPr>
        <w:pStyle w:val="Heading3"/>
      </w:pPr>
      <w:bookmarkStart w:id="13" w:name="_Toc450126733"/>
      <w:r w:rsidRPr="00F16EAF">
        <w:t>Overview</w:t>
      </w:r>
      <w:bookmarkEnd w:id="13"/>
    </w:p>
    <w:p w:rsidR="009B52DD" w:rsidRPr="00F16EAF" w:rsidRDefault="005360E8" w:rsidP="005360E8">
      <w:pPr>
        <w:rPr>
          <w:szCs w:val="24"/>
        </w:rPr>
      </w:pPr>
      <w:r w:rsidRPr="00F16EAF">
        <w:rPr>
          <w:szCs w:val="24"/>
        </w:rPr>
        <w:t xml:space="preserve">Biosecurity refers to the management of risks to the economy, the environment and the </w:t>
      </w:r>
      <w:r w:rsidR="0062390F" w:rsidRPr="00F16EAF">
        <w:rPr>
          <w:szCs w:val="24"/>
        </w:rPr>
        <w:t xml:space="preserve">broader </w:t>
      </w:r>
      <w:r w:rsidRPr="00F16EAF">
        <w:rPr>
          <w:szCs w:val="24"/>
        </w:rPr>
        <w:t>community, of pests and diseases entering, emerg</w:t>
      </w:r>
      <w:r w:rsidR="009B52DD" w:rsidRPr="00F16EAF">
        <w:rPr>
          <w:szCs w:val="24"/>
        </w:rPr>
        <w:t>ing, establishing or spreading.</w:t>
      </w:r>
    </w:p>
    <w:p w:rsidR="005360E8" w:rsidRPr="00F16EAF" w:rsidRDefault="005360E8" w:rsidP="005360E8">
      <w:pPr>
        <w:rPr>
          <w:szCs w:val="24"/>
        </w:rPr>
      </w:pPr>
      <w:r w:rsidRPr="00F16EAF">
        <w:rPr>
          <w:szCs w:val="24"/>
        </w:rPr>
        <w:t xml:space="preserve">The large number and variety of pathways available for pests and diseases to enter Australia means </w:t>
      </w:r>
      <w:r w:rsidR="00785003">
        <w:rPr>
          <w:szCs w:val="24"/>
        </w:rPr>
        <w:t>the</w:t>
      </w:r>
      <w:r w:rsidR="009B52DD" w:rsidRPr="00F16EAF">
        <w:rPr>
          <w:szCs w:val="24"/>
        </w:rPr>
        <w:t xml:space="preserve"> </w:t>
      </w:r>
      <w:r w:rsidR="00D40C77">
        <w:rPr>
          <w:szCs w:val="24"/>
        </w:rPr>
        <w:t xml:space="preserve">national </w:t>
      </w:r>
      <w:r w:rsidRPr="00F16EAF">
        <w:rPr>
          <w:szCs w:val="24"/>
        </w:rPr>
        <w:t xml:space="preserve">biosecurity system is reliant on the cooperation of </w:t>
      </w:r>
      <w:r w:rsidR="008F1EDB" w:rsidRPr="00F16EAF">
        <w:rPr>
          <w:szCs w:val="24"/>
        </w:rPr>
        <w:t xml:space="preserve">Australian </w:t>
      </w:r>
      <w:r w:rsidRPr="00F16EAF">
        <w:rPr>
          <w:szCs w:val="24"/>
        </w:rPr>
        <w:t>governments (Commonw</w:t>
      </w:r>
      <w:r w:rsidR="00523C03" w:rsidRPr="00F16EAF">
        <w:rPr>
          <w:szCs w:val="24"/>
        </w:rPr>
        <w:t xml:space="preserve">ealth and state and territory), </w:t>
      </w:r>
      <w:r w:rsidRPr="00F16EAF">
        <w:rPr>
          <w:szCs w:val="24"/>
        </w:rPr>
        <w:t xml:space="preserve">industry (including importers and exporters), primary producers and the </w:t>
      </w:r>
      <w:r w:rsidR="0087121E" w:rsidRPr="00F16EAF">
        <w:rPr>
          <w:szCs w:val="24"/>
        </w:rPr>
        <w:t>broader</w:t>
      </w:r>
      <w:r w:rsidRPr="00F16EAF">
        <w:rPr>
          <w:szCs w:val="24"/>
        </w:rPr>
        <w:t xml:space="preserve"> community. </w:t>
      </w:r>
      <w:r w:rsidR="00785003">
        <w:rPr>
          <w:rFonts w:eastAsia="Cambria" w:cs="Cambria"/>
          <w:szCs w:val="24"/>
        </w:rPr>
        <w:t>The</w:t>
      </w:r>
      <w:r w:rsidRPr="00F16EAF">
        <w:rPr>
          <w:rFonts w:eastAsia="Cambria" w:cs="Cambria"/>
          <w:szCs w:val="24"/>
        </w:rPr>
        <w:t xml:space="preserve"> </w:t>
      </w:r>
      <w:r w:rsidR="006221A4" w:rsidRPr="00F16EAF">
        <w:rPr>
          <w:rFonts w:eastAsia="Cambria" w:cs="Cambria"/>
          <w:szCs w:val="24"/>
        </w:rPr>
        <w:t xml:space="preserve">national biosecurity </w:t>
      </w:r>
      <w:r w:rsidRPr="00F16EAF">
        <w:rPr>
          <w:rFonts w:eastAsia="Cambria" w:cs="Cambria"/>
          <w:szCs w:val="24"/>
        </w:rPr>
        <w:t xml:space="preserve">system </w:t>
      </w:r>
      <w:r w:rsidR="00E84AF3" w:rsidRPr="00F16EAF">
        <w:rPr>
          <w:rFonts w:eastAsia="Cambria" w:cs="Cambria"/>
          <w:szCs w:val="24"/>
        </w:rPr>
        <w:t xml:space="preserve">also </w:t>
      </w:r>
      <w:r w:rsidRPr="00F16EAF">
        <w:rPr>
          <w:rFonts w:eastAsia="Cambria" w:cs="Cambria"/>
          <w:szCs w:val="24"/>
        </w:rPr>
        <w:t>relies on those who create risks and those who benefit from the maintenance of the system contributing and playing a role.</w:t>
      </w:r>
    </w:p>
    <w:p w:rsidR="005360E8" w:rsidRPr="00F16EAF" w:rsidRDefault="00451ABE" w:rsidP="005360E8">
      <w:pPr>
        <w:rPr>
          <w:szCs w:val="24"/>
        </w:rPr>
      </w:pPr>
      <w:r w:rsidRPr="00F16EAF">
        <w:rPr>
          <w:szCs w:val="24"/>
        </w:rPr>
        <w:t xml:space="preserve">The foundation of the national biosecurity system </w:t>
      </w:r>
      <w:r w:rsidR="005360E8" w:rsidRPr="00F16EAF">
        <w:rPr>
          <w:szCs w:val="24"/>
        </w:rPr>
        <w:t xml:space="preserve">is an operating model for managing biosecurity risks to a level agreed by all Australian governments, the Appropriate Level of Protection </w:t>
      </w:r>
      <w:r w:rsidR="00083FAF" w:rsidRPr="00F16EAF">
        <w:rPr>
          <w:szCs w:val="24"/>
        </w:rPr>
        <w:t xml:space="preserve">(ALOP). </w:t>
      </w:r>
      <w:r w:rsidR="005360E8" w:rsidRPr="00F16EAF">
        <w:rPr>
          <w:szCs w:val="24"/>
        </w:rPr>
        <w:t xml:space="preserve">This </w:t>
      </w:r>
      <w:r w:rsidR="00897A0C" w:rsidRPr="00F16EAF">
        <w:rPr>
          <w:szCs w:val="24"/>
        </w:rPr>
        <w:t xml:space="preserve">level </w:t>
      </w:r>
      <w:r w:rsidR="005360E8" w:rsidRPr="00F16EAF">
        <w:rPr>
          <w:szCs w:val="24"/>
        </w:rPr>
        <w:t xml:space="preserve">applies </w:t>
      </w:r>
      <w:r w:rsidR="00E77F79" w:rsidRPr="00F16EAF">
        <w:rPr>
          <w:szCs w:val="24"/>
        </w:rPr>
        <w:t xml:space="preserve">across the national biosecurity system, from </w:t>
      </w:r>
      <w:r w:rsidR="005360E8" w:rsidRPr="00F16EAF">
        <w:rPr>
          <w:szCs w:val="24"/>
        </w:rPr>
        <w:t>the entry of goods and people into Australia</w:t>
      </w:r>
      <w:r w:rsidR="00E77F79" w:rsidRPr="00F16EAF">
        <w:rPr>
          <w:szCs w:val="24"/>
        </w:rPr>
        <w:t xml:space="preserve"> </w:t>
      </w:r>
      <w:r w:rsidR="005360E8" w:rsidRPr="00F16EAF">
        <w:rPr>
          <w:szCs w:val="24"/>
        </w:rPr>
        <w:t>through to the deployment of risk-based measur</w:t>
      </w:r>
      <w:r w:rsidR="00F72C91" w:rsidRPr="00F16EAF">
        <w:rPr>
          <w:szCs w:val="24"/>
        </w:rPr>
        <w:t xml:space="preserve">es that align effort with risk. </w:t>
      </w:r>
      <w:r w:rsidR="005360E8" w:rsidRPr="00F16EAF">
        <w:rPr>
          <w:szCs w:val="24"/>
        </w:rPr>
        <w:t>Australia’s science-based approach</w:t>
      </w:r>
      <w:r w:rsidR="00C915D7" w:rsidRPr="00F16EAF">
        <w:rPr>
          <w:szCs w:val="24"/>
        </w:rPr>
        <w:t xml:space="preserve"> to managing biosecurity risks</w:t>
      </w:r>
      <w:r w:rsidR="00F97A16">
        <w:rPr>
          <w:szCs w:val="24"/>
        </w:rPr>
        <w:t xml:space="preserve"> is focus</w:t>
      </w:r>
      <w:r w:rsidR="005360E8" w:rsidRPr="00F16EAF">
        <w:rPr>
          <w:szCs w:val="24"/>
        </w:rPr>
        <w:t xml:space="preserve">ed on maintaining </w:t>
      </w:r>
      <w:r w:rsidR="00897A0C" w:rsidRPr="00F16EAF">
        <w:rPr>
          <w:szCs w:val="24"/>
        </w:rPr>
        <w:t>our</w:t>
      </w:r>
      <w:r w:rsidR="005360E8" w:rsidRPr="00F16EAF">
        <w:rPr>
          <w:szCs w:val="24"/>
        </w:rPr>
        <w:t xml:space="preserve"> favourable biosecurity status, which has evolved due to its island geography and history of past management. This policy reflects community expectations and provides for a high biosecurity standard that </w:t>
      </w:r>
      <w:r w:rsidR="00DC6929" w:rsidRPr="00F16EAF">
        <w:rPr>
          <w:szCs w:val="24"/>
        </w:rPr>
        <w:t xml:space="preserve">aims to </w:t>
      </w:r>
      <w:r w:rsidR="00F628F1" w:rsidRPr="00F16EAF">
        <w:rPr>
          <w:szCs w:val="24"/>
        </w:rPr>
        <w:t xml:space="preserve">manage and </w:t>
      </w:r>
      <w:r w:rsidR="00DC6929" w:rsidRPr="00F16EAF">
        <w:rPr>
          <w:szCs w:val="24"/>
        </w:rPr>
        <w:t>reduce</w:t>
      </w:r>
      <w:r w:rsidR="005360E8" w:rsidRPr="00F16EAF">
        <w:rPr>
          <w:szCs w:val="24"/>
        </w:rPr>
        <w:t xml:space="preserve"> risks to a very low level, recognising that a zero risk stance is not feasible.</w:t>
      </w:r>
    </w:p>
    <w:p w:rsidR="00647EAC" w:rsidRPr="00F16EAF" w:rsidRDefault="0087121E" w:rsidP="005360E8">
      <w:pPr>
        <w:rPr>
          <w:rFonts w:ascii="Cambria" w:eastAsia="Cambria" w:hAnsi="Cambria" w:cs="Cambria"/>
          <w:szCs w:val="24"/>
        </w:rPr>
      </w:pPr>
      <w:r w:rsidRPr="00F16EAF">
        <w:rPr>
          <w:szCs w:val="24"/>
        </w:rPr>
        <w:t>The</w:t>
      </w:r>
      <w:r w:rsidR="0022035A" w:rsidRPr="00F16EAF">
        <w:rPr>
          <w:szCs w:val="24"/>
        </w:rPr>
        <w:t xml:space="preserve"> </w:t>
      </w:r>
      <w:r w:rsidR="005360E8" w:rsidRPr="00F16EAF">
        <w:rPr>
          <w:szCs w:val="24"/>
        </w:rPr>
        <w:t xml:space="preserve">national </w:t>
      </w:r>
      <w:r w:rsidR="005360E8" w:rsidRPr="00F16EAF">
        <w:rPr>
          <w:rFonts w:eastAsia="Cambria" w:cs="Cambria"/>
          <w:szCs w:val="24"/>
        </w:rPr>
        <w:t xml:space="preserve">biosecurity system is extensive. </w:t>
      </w:r>
      <w:r w:rsidR="005360E8" w:rsidRPr="00F16EAF">
        <w:rPr>
          <w:szCs w:val="24"/>
        </w:rPr>
        <w:t xml:space="preserve">It </w:t>
      </w:r>
      <w:r w:rsidR="005360E8" w:rsidRPr="00F16EAF">
        <w:rPr>
          <w:rFonts w:eastAsia="Cambria" w:cs="Cambria"/>
          <w:szCs w:val="24"/>
        </w:rPr>
        <w:t xml:space="preserve">encompasses and fully integrates import and export activities, services and functions—into, within, and from Australia—and covers the spectrum of pest and disease threats to Australia’s environment, production </w:t>
      </w:r>
      <w:r w:rsidR="009B52DD" w:rsidRPr="00F16EAF">
        <w:rPr>
          <w:rFonts w:eastAsia="Cambria" w:cs="Cambria"/>
          <w:szCs w:val="24"/>
        </w:rPr>
        <w:t xml:space="preserve">systems </w:t>
      </w:r>
      <w:r w:rsidR="005360E8" w:rsidRPr="00F16EAF">
        <w:rPr>
          <w:rFonts w:eastAsia="Cambria" w:cs="Cambria"/>
          <w:szCs w:val="24"/>
        </w:rPr>
        <w:t>and people. The approach to managing biosecurity risks is multi-layered, involving complementary measures applied offshore (pre-border), at the border, and onshore (within Australia, including the marine environment) to achieve the greatest return on investment (</w:t>
      </w:r>
      <w:r w:rsidR="00004285" w:rsidRPr="00F16EAF">
        <w:rPr>
          <w:rFonts w:eastAsia="Cambria" w:cs="Cambria"/>
          <w:szCs w:val="24"/>
        </w:rPr>
        <w:fldChar w:fldCharType="begin"/>
      </w:r>
      <w:r w:rsidR="00004285" w:rsidRPr="00F16EAF">
        <w:rPr>
          <w:rFonts w:eastAsia="Cambria" w:cs="Cambria"/>
          <w:szCs w:val="24"/>
        </w:rPr>
        <w:instrText xml:space="preserve"> REF _Ref448145620 \h </w:instrText>
      </w:r>
      <w:r w:rsidR="00DE3CED" w:rsidRPr="00F16EAF">
        <w:rPr>
          <w:rFonts w:eastAsia="Cambria" w:cs="Cambria"/>
          <w:szCs w:val="24"/>
        </w:rPr>
        <w:instrText xml:space="preserve"> \* MERGEFORMAT </w:instrText>
      </w:r>
      <w:r w:rsidR="00004285" w:rsidRPr="00F16EAF">
        <w:rPr>
          <w:rFonts w:eastAsia="Cambria" w:cs="Cambria"/>
          <w:szCs w:val="24"/>
        </w:rPr>
      </w:r>
      <w:r w:rsidR="00004285" w:rsidRPr="00F16EAF">
        <w:rPr>
          <w:rFonts w:eastAsia="Cambria" w:cs="Cambria"/>
          <w:szCs w:val="24"/>
        </w:rPr>
        <w:fldChar w:fldCharType="separate"/>
      </w:r>
      <w:r w:rsidR="0038249E" w:rsidRPr="00F16EAF">
        <w:t xml:space="preserve">Figure </w:t>
      </w:r>
      <w:r w:rsidR="0038249E">
        <w:t>1</w:t>
      </w:r>
      <w:r w:rsidR="00004285" w:rsidRPr="00F16EAF">
        <w:rPr>
          <w:rFonts w:eastAsia="Cambria" w:cs="Cambria"/>
          <w:szCs w:val="24"/>
        </w:rPr>
        <w:fldChar w:fldCharType="end"/>
      </w:r>
      <w:r w:rsidR="005360E8" w:rsidRPr="00F16EAF">
        <w:rPr>
          <w:rFonts w:eastAsia="Cambria" w:cs="Cambria"/>
          <w:szCs w:val="24"/>
        </w:rPr>
        <w:t>).</w:t>
      </w:r>
    </w:p>
    <w:p w:rsidR="005360E8" w:rsidRPr="00F16EAF" w:rsidRDefault="005360E8" w:rsidP="00DA53B8">
      <w:pPr>
        <w:pStyle w:val="Caption"/>
        <w:spacing w:after="0"/>
        <w:ind w:left="567"/>
      </w:pPr>
      <w:bookmarkStart w:id="14" w:name="_Ref448145620"/>
      <w:bookmarkStart w:id="15" w:name="_Toc450126748"/>
      <w:r w:rsidRPr="00F16EAF">
        <w:t xml:space="preserve">Figure </w:t>
      </w:r>
      <w:r w:rsidR="002F3AAF">
        <w:fldChar w:fldCharType="begin"/>
      </w:r>
      <w:r w:rsidR="002F3AAF">
        <w:instrText xml:space="preserve"> SEQ Figure \* ARABIC </w:instrText>
      </w:r>
      <w:r w:rsidR="002F3AAF">
        <w:fldChar w:fldCharType="separate"/>
      </w:r>
      <w:r w:rsidR="0038249E">
        <w:rPr>
          <w:noProof/>
        </w:rPr>
        <w:t>1</w:t>
      </w:r>
      <w:r w:rsidR="002F3AAF">
        <w:rPr>
          <w:noProof/>
        </w:rPr>
        <w:fldChar w:fldCharType="end"/>
      </w:r>
      <w:bookmarkEnd w:id="14"/>
      <w:r w:rsidRPr="00F16EAF">
        <w:t xml:space="preserve"> </w:t>
      </w:r>
      <w:r w:rsidR="00B649B8" w:rsidRPr="00F16EAF">
        <w:t>Australia’s</w:t>
      </w:r>
      <w:r w:rsidRPr="00F16EAF">
        <w:t xml:space="preserve"> </w:t>
      </w:r>
      <w:r w:rsidR="00B649B8" w:rsidRPr="00F16EAF">
        <w:t xml:space="preserve">national </w:t>
      </w:r>
      <w:r w:rsidRPr="00F16EAF">
        <w:t>biosecurity system</w:t>
      </w:r>
      <w:bookmarkEnd w:id="15"/>
    </w:p>
    <w:p w:rsidR="005360E8" w:rsidRPr="00F16EAF" w:rsidRDefault="005360E8" w:rsidP="009F5619">
      <w:pPr>
        <w:pStyle w:val="Picture"/>
        <w:spacing w:before="0" w:after="0"/>
        <w:jc w:val="center"/>
        <w:rPr>
          <w:noProof w:val="0"/>
        </w:rPr>
      </w:pPr>
      <w:r w:rsidRPr="00F16EAF">
        <w:drawing>
          <wp:inline distT="0" distB="0" distL="0" distR="0" wp14:anchorId="2B2093DD" wp14:editId="1BD550D1">
            <wp:extent cx="5510530" cy="2839873"/>
            <wp:effectExtent l="0" t="0" r="0" b="0"/>
            <wp:docPr id="9" name="Picture 9" descr="Shows the areas where Australia's national biosecurity system operates to safeguard the nation's animal and plant health status. Areas are off-shore (pre-border), at the border and onshore (within Australia), including the marine environment." title="Australia's national biosecur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ows that the price of food has increased steadily between 1991–92 and 2011–12. The price of dairy and cereals spiked in 2007–08. The price of sugar has fluctuated the most over this time, with major peaks in 1999–10, 2006–07 and 2011–12."/>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640155" cy="2906676"/>
                    </a:xfrm>
                    <a:prstGeom prst="rect">
                      <a:avLst/>
                    </a:prstGeom>
                    <a:noFill/>
                    <a:ln w="9525">
                      <a:noFill/>
                      <a:miter lim="800000"/>
                      <a:headEnd/>
                      <a:tailEnd/>
                    </a:ln>
                  </pic:spPr>
                </pic:pic>
              </a:graphicData>
            </a:graphic>
          </wp:inline>
        </w:drawing>
      </w:r>
    </w:p>
    <w:p w:rsidR="00647EAC" w:rsidRPr="00F16EAF" w:rsidRDefault="00647EAC" w:rsidP="009B52DD">
      <w:pPr>
        <w:keepNext/>
      </w:pPr>
      <w:r w:rsidRPr="00F16EAF">
        <w:lastRenderedPageBreak/>
        <w:t xml:space="preserve">Offshore (pre-border) activities </w:t>
      </w:r>
      <w:r w:rsidR="001D56D4" w:rsidRPr="00F16EAF">
        <w:t>are focussed on</w:t>
      </w:r>
      <w:r w:rsidRPr="00F16EAF">
        <w:t xml:space="preserve"> reducing the biosecurity risk</w:t>
      </w:r>
      <w:r w:rsidR="0032117A">
        <w:t>s</w:t>
      </w:r>
      <w:r w:rsidRPr="00F16EAF">
        <w:t xml:space="preserve"> associated with imported goods </w:t>
      </w:r>
      <w:r w:rsidR="00F02726" w:rsidRPr="00F16EAF">
        <w:t xml:space="preserve">and </w:t>
      </w:r>
      <w:r w:rsidR="00D6641C" w:rsidRPr="00F16EAF">
        <w:t>managing</w:t>
      </w:r>
      <w:r w:rsidR="00F02726" w:rsidRPr="00F16EAF">
        <w:t xml:space="preserve"> the risks offshore</w:t>
      </w:r>
      <w:r w:rsidR="00192F85" w:rsidRPr="00F16EAF">
        <w:t>. These activities include</w:t>
      </w:r>
      <w:r w:rsidRPr="00F16EAF">
        <w:t>:</w:t>
      </w:r>
    </w:p>
    <w:p w:rsidR="00647EAC" w:rsidRPr="00F16EAF" w:rsidRDefault="00647EAC" w:rsidP="00192F85">
      <w:pPr>
        <w:pStyle w:val="ListBullet"/>
        <w:ind w:left="641"/>
        <w:contextualSpacing/>
        <w:rPr>
          <w:b/>
        </w:rPr>
      </w:pPr>
      <w:r w:rsidRPr="00F16EAF">
        <w:t>understanding global risks through intelligence and surveillance</w:t>
      </w:r>
    </w:p>
    <w:p w:rsidR="00647EAC" w:rsidRPr="00F16EAF" w:rsidRDefault="00647EAC" w:rsidP="00192F85">
      <w:pPr>
        <w:pStyle w:val="ListBullet"/>
        <w:ind w:left="641"/>
        <w:contextualSpacing/>
        <w:rPr>
          <w:b/>
        </w:rPr>
      </w:pPr>
      <w:r w:rsidRPr="00F16EAF">
        <w:t>working with international trading partners in multilateral forums</w:t>
      </w:r>
    </w:p>
    <w:p w:rsidR="00647EAC" w:rsidRPr="00F16EAF" w:rsidRDefault="00647EAC" w:rsidP="00192F85">
      <w:pPr>
        <w:pStyle w:val="ListBullet"/>
        <w:ind w:left="641"/>
        <w:contextualSpacing/>
        <w:rPr>
          <w:b/>
        </w:rPr>
      </w:pPr>
      <w:r w:rsidRPr="00F16EAF">
        <w:t>conducting risk assessments and developing biosecurity conditions</w:t>
      </w:r>
    </w:p>
    <w:p w:rsidR="00647EAC" w:rsidRPr="00F16EAF" w:rsidRDefault="00647EAC" w:rsidP="00192F85">
      <w:pPr>
        <w:pStyle w:val="ListBullet"/>
        <w:ind w:left="641"/>
        <w:contextualSpacing/>
        <w:rPr>
          <w:b/>
        </w:rPr>
      </w:pPr>
      <w:r w:rsidRPr="00F16EAF">
        <w:t xml:space="preserve">managing ballast water </w:t>
      </w:r>
      <w:r w:rsidR="0018489C">
        <w:t>for</w:t>
      </w:r>
      <w:r w:rsidRPr="00F16EAF">
        <w:t xml:space="preserve"> international shipping movements, and</w:t>
      </w:r>
    </w:p>
    <w:p w:rsidR="00647EAC" w:rsidRPr="00F16EAF" w:rsidRDefault="00647EAC" w:rsidP="00192F85">
      <w:pPr>
        <w:pStyle w:val="ListBullet"/>
        <w:ind w:left="641"/>
        <w:contextualSpacing/>
        <w:rPr>
          <w:b/>
        </w:rPr>
      </w:pPr>
      <w:r w:rsidRPr="00F16EAF">
        <w:t>undertaking aud</w:t>
      </w:r>
      <w:r w:rsidR="005D49CB">
        <w:t>it and verification activities.</w:t>
      </w:r>
    </w:p>
    <w:p w:rsidR="00647EAC" w:rsidRPr="00F16EAF" w:rsidRDefault="00731787" w:rsidP="00647EAC">
      <w:r w:rsidRPr="00F16EAF">
        <w:t>Activities undertaken a</w:t>
      </w:r>
      <w:r w:rsidR="00647EAC" w:rsidRPr="00F16EAF">
        <w:t xml:space="preserve">t the border seek to verify </w:t>
      </w:r>
      <w:r w:rsidR="00D9126B">
        <w:t xml:space="preserve">that </w:t>
      </w:r>
      <w:r w:rsidR="00647EAC" w:rsidRPr="00F16EAF">
        <w:t>imports meet required biosecurity conditions</w:t>
      </w:r>
      <w:r w:rsidRPr="00F16EAF">
        <w:t>,</w:t>
      </w:r>
      <w:r w:rsidR="00647EAC" w:rsidRPr="00F16EAF">
        <w:t xml:space="preserve"> and </w:t>
      </w:r>
      <w:r w:rsidR="00192F85" w:rsidRPr="00F16EAF">
        <w:t xml:space="preserve">to </w:t>
      </w:r>
      <w:r w:rsidR="00647EAC" w:rsidRPr="00F16EAF">
        <w:t>intercept biosecurity risks that may be present in live animals and plants, cargo, mail and with passengers to reduce the likelihood of new pests and disease</w:t>
      </w:r>
      <w:r w:rsidR="00930CF6">
        <w:t>s</w:t>
      </w:r>
      <w:r w:rsidR="00647EAC" w:rsidRPr="00F16EAF">
        <w:t xml:space="preserve"> entering </w:t>
      </w:r>
      <w:r w:rsidRPr="00F16EAF">
        <w:t>Australia</w:t>
      </w:r>
      <w:r w:rsidR="00647EAC" w:rsidRPr="00F16EAF">
        <w:t xml:space="preserve">. </w:t>
      </w:r>
      <w:r w:rsidR="00192F85" w:rsidRPr="00F16EAF">
        <w:t>These activities include</w:t>
      </w:r>
      <w:r w:rsidR="00647EAC" w:rsidRPr="00F16EAF">
        <w:t>:</w:t>
      </w:r>
    </w:p>
    <w:p w:rsidR="00647EAC" w:rsidRPr="00F16EAF" w:rsidRDefault="00647EAC" w:rsidP="00192F85">
      <w:pPr>
        <w:pStyle w:val="ListBullet"/>
        <w:ind w:left="641"/>
        <w:contextualSpacing/>
      </w:pPr>
      <w:r w:rsidRPr="00F16EAF">
        <w:t>working with importers to achieve compliance</w:t>
      </w:r>
    </w:p>
    <w:p w:rsidR="00647EAC" w:rsidRPr="00F16EAF" w:rsidRDefault="00647EAC" w:rsidP="00192F85">
      <w:pPr>
        <w:pStyle w:val="ListBullet"/>
        <w:ind w:left="641"/>
        <w:contextualSpacing/>
      </w:pPr>
      <w:r w:rsidRPr="00F16EAF">
        <w:t>inspections of goods and baggage by biosecurity officers</w:t>
      </w:r>
    </w:p>
    <w:p w:rsidR="00647EAC" w:rsidRPr="00F16EAF" w:rsidRDefault="003657C7" w:rsidP="00192F85">
      <w:pPr>
        <w:pStyle w:val="ListBullet"/>
        <w:ind w:left="641"/>
        <w:contextualSpacing/>
      </w:pPr>
      <w:r w:rsidRPr="00F16EAF">
        <w:t>the use of</w:t>
      </w:r>
      <w:r w:rsidR="00647EAC" w:rsidRPr="00F16EAF">
        <w:t xml:space="preserve"> detector dogs</w:t>
      </w:r>
      <w:r w:rsidRPr="00F16EAF">
        <w:t>,</w:t>
      </w:r>
      <w:r w:rsidR="00647EAC" w:rsidRPr="00F16EAF">
        <w:t xml:space="preserve"> x-rays</w:t>
      </w:r>
      <w:r w:rsidRPr="00F16EAF">
        <w:t xml:space="preserve"> and other detection methods</w:t>
      </w:r>
      <w:r w:rsidR="00647EAC" w:rsidRPr="00F16EAF">
        <w:t>, and</w:t>
      </w:r>
    </w:p>
    <w:p w:rsidR="00647EAC" w:rsidRPr="00F16EAF" w:rsidRDefault="00F65ED6" w:rsidP="00192F85">
      <w:pPr>
        <w:pStyle w:val="ListBullet"/>
        <w:ind w:left="641"/>
        <w:contextualSpacing/>
      </w:pPr>
      <w:r>
        <w:t>managing high-</w:t>
      </w:r>
      <w:r w:rsidR="00647EAC" w:rsidRPr="00F16EAF">
        <w:t>risk live animals, production genetics and new plant varieties in post entry quarantine</w:t>
      </w:r>
      <w:r w:rsidR="00192F85" w:rsidRPr="00F16EAF">
        <w:t xml:space="preserve"> (t</w:t>
      </w:r>
      <w:r w:rsidR="00647EAC" w:rsidRPr="00F16EAF">
        <w:t>hese imports can assist in further growing Australia’s productivity and com</w:t>
      </w:r>
      <w:r w:rsidR="00192F85" w:rsidRPr="00F16EAF">
        <w:t>petitiveness)</w:t>
      </w:r>
      <w:r w:rsidR="00647EAC" w:rsidRPr="00F16EAF">
        <w:t>.</w:t>
      </w:r>
    </w:p>
    <w:p w:rsidR="00647EAC" w:rsidRPr="00F16EAF" w:rsidRDefault="00647EAC" w:rsidP="00647EAC">
      <w:r w:rsidRPr="00F16EAF">
        <w:t xml:space="preserve">Onshore activities </w:t>
      </w:r>
      <w:r w:rsidR="00B140D0" w:rsidRPr="00F16EAF">
        <w:t>(</w:t>
      </w:r>
      <w:r w:rsidRPr="00F16EAF">
        <w:t>within Australia</w:t>
      </w:r>
      <w:r w:rsidR="00B140D0" w:rsidRPr="00F16EAF">
        <w:t>)</w:t>
      </w:r>
      <w:r w:rsidRPr="00F16EAF">
        <w:t xml:space="preserve"> are undertaken in partnership with state and territory governments, industry and the </w:t>
      </w:r>
      <w:r w:rsidR="00731787" w:rsidRPr="00F16EAF">
        <w:t xml:space="preserve">broader </w:t>
      </w:r>
      <w:r w:rsidRPr="00F16EAF">
        <w:t>community to reduce the likelihood of a pest or disease establishing</w:t>
      </w:r>
      <w:r w:rsidR="00731787" w:rsidRPr="00F16EAF">
        <w:t>,</w:t>
      </w:r>
      <w:r w:rsidRPr="00F16EAF">
        <w:t xml:space="preserve"> and minimising the potential impact through early detection activities such as:</w:t>
      </w:r>
    </w:p>
    <w:p w:rsidR="00647EAC" w:rsidRPr="00F16EAF" w:rsidRDefault="00647EAC" w:rsidP="00192F85">
      <w:pPr>
        <w:pStyle w:val="ListBullet"/>
        <w:ind w:left="641"/>
        <w:contextualSpacing/>
      </w:pPr>
      <w:r w:rsidRPr="00F16EAF">
        <w:t>surveillance and diagnostics, and</w:t>
      </w:r>
    </w:p>
    <w:p w:rsidR="00647EAC" w:rsidRPr="00F16EAF" w:rsidRDefault="00647EAC" w:rsidP="00192F85">
      <w:pPr>
        <w:pStyle w:val="ListBullet"/>
        <w:ind w:left="641"/>
        <w:contextualSpacing/>
      </w:pPr>
      <w:r w:rsidRPr="00F16EAF">
        <w:t xml:space="preserve">capability to prepare for, and respond to, </w:t>
      </w:r>
      <w:r w:rsidR="00C71340" w:rsidRPr="00F16EAF">
        <w:t>an incursion.</w:t>
      </w:r>
    </w:p>
    <w:p w:rsidR="00647EAC" w:rsidRPr="00F16EAF" w:rsidRDefault="00647EAC" w:rsidP="00647EAC">
      <w:r w:rsidRPr="00F16EAF">
        <w:t xml:space="preserve">Onshore </w:t>
      </w:r>
      <w:r w:rsidR="008D070F" w:rsidRPr="00F16EAF">
        <w:t xml:space="preserve">activities </w:t>
      </w:r>
      <w:r w:rsidRPr="00F16EAF">
        <w:t>also include the management of nationally agreed responses to pest and disease incursions, led by state and territory governments, as well as the management of</w:t>
      </w:r>
      <w:r w:rsidR="008D070F" w:rsidRPr="00F16EAF">
        <w:t xml:space="preserve"> established pests and diseases—</w:t>
      </w:r>
      <w:r w:rsidRPr="00F16EAF">
        <w:t>including containing the spread of those declared under legislation</w:t>
      </w:r>
      <w:r w:rsidR="008D070F" w:rsidRPr="00F16EAF">
        <w:t>,</w:t>
      </w:r>
      <w:r w:rsidRPr="00F16EAF">
        <w:t xml:space="preserve"> and maintaining and monitori</w:t>
      </w:r>
      <w:r w:rsidR="00C71340" w:rsidRPr="00F16EAF">
        <w:t>ng pest and disease free areas.</w:t>
      </w:r>
    </w:p>
    <w:p w:rsidR="00647EAC" w:rsidRPr="00F16EAF" w:rsidRDefault="00647EAC" w:rsidP="00647EAC">
      <w:r w:rsidRPr="00F16EAF">
        <w:t xml:space="preserve">The absence of many significant pests and diseases in Australia safeguards and provides a competitive advantage to Australia’s economy. </w:t>
      </w:r>
      <w:r w:rsidR="001D56D4" w:rsidRPr="00F16EAF">
        <w:t xml:space="preserve">The national </w:t>
      </w:r>
      <w:r w:rsidRPr="00F16EAF">
        <w:t>biosecurity system plays a vital role in creating, expanding and maintaining export market access for our products</w:t>
      </w:r>
      <w:r w:rsidR="000D53F0" w:rsidRPr="00F16EAF">
        <w:t xml:space="preserve"> </w:t>
      </w:r>
      <w:r w:rsidRPr="00F16EAF">
        <w:t xml:space="preserve">and in protecting producers, </w:t>
      </w:r>
      <w:r w:rsidR="00D64019" w:rsidRPr="00F16EAF">
        <w:t xml:space="preserve">our natural environment and </w:t>
      </w:r>
      <w:r w:rsidRPr="00F16EAF">
        <w:t xml:space="preserve">the broader community from threats posed by pests and diseases. However, across the </w:t>
      </w:r>
      <w:r w:rsidR="001D56D4" w:rsidRPr="00F16EAF">
        <w:t xml:space="preserve">national </w:t>
      </w:r>
      <w:r w:rsidRPr="00F16EAF">
        <w:t>biosecurity system there are varying levels of understanding among stakeholders of the role of the system and its various components.</w:t>
      </w:r>
    </w:p>
    <w:p w:rsidR="00647EAC" w:rsidRPr="00F16EAF" w:rsidRDefault="00677A22" w:rsidP="001132CB">
      <w:pPr>
        <w:pStyle w:val="Heading3"/>
      </w:pPr>
      <w:bookmarkStart w:id="16" w:name="_Toc450126734"/>
      <w:r w:rsidRPr="00F16EAF">
        <w:t>Roles and responsibilities</w:t>
      </w:r>
      <w:bookmarkEnd w:id="16"/>
    </w:p>
    <w:p w:rsidR="00DC672F" w:rsidRPr="00F16EAF" w:rsidRDefault="00647EAC" w:rsidP="00647EAC">
      <w:r w:rsidRPr="00F16EAF">
        <w:t xml:space="preserve">Maintaining Australia’s favourable biosecurity status is a responsibility </w:t>
      </w:r>
      <w:r w:rsidR="00024C31" w:rsidRPr="00F16EAF">
        <w:t xml:space="preserve">shared </w:t>
      </w:r>
      <w:r w:rsidRPr="00F16EAF">
        <w:t xml:space="preserve">across governments, industry and the </w:t>
      </w:r>
      <w:r w:rsidR="002F1F5B" w:rsidRPr="00F16EAF">
        <w:t xml:space="preserve">broader </w:t>
      </w:r>
      <w:r w:rsidRPr="00F16EAF">
        <w:t>community, including risk creators and beneficiaries. In some cases, this responsibility is determined by the Australian Constitution and legislation or generated thro</w:t>
      </w:r>
      <w:r w:rsidR="000F325A" w:rsidRPr="00F16EAF">
        <w:t>ugh agreements and consultation</w:t>
      </w:r>
      <w:r w:rsidRPr="00F16EAF">
        <w:t xml:space="preserve">. Productive relationships ensure that we maintain a strong </w:t>
      </w:r>
      <w:r w:rsidR="000F325A" w:rsidRPr="00F16EAF">
        <w:t xml:space="preserve">national </w:t>
      </w:r>
      <w:r w:rsidRPr="00F16EAF">
        <w:t>biosecurity system to effectively identify and manage any incursions quickly and prepare for new biosecurity challenges in the future.</w:t>
      </w:r>
    </w:p>
    <w:p w:rsidR="00647EAC" w:rsidRPr="00F16EAF" w:rsidRDefault="007F1247" w:rsidP="00647EAC">
      <w:r w:rsidRPr="00F16EAF">
        <w:t xml:space="preserve">The roles and responsibilities of stakeholders in </w:t>
      </w:r>
      <w:r w:rsidR="0087121E" w:rsidRPr="00F16EAF">
        <w:t>the</w:t>
      </w:r>
      <w:r w:rsidRPr="00F16EAF">
        <w:t xml:space="preserve"> national biosecurity system </w:t>
      </w:r>
      <w:r w:rsidR="005E5B42" w:rsidRPr="00F16EAF">
        <w:t>are</w:t>
      </w:r>
      <w:r w:rsidRPr="00F16EAF">
        <w:t xml:space="preserve"> </w:t>
      </w:r>
      <w:r w:rsidR="00674650" w:rsidRPr="00F16EAF">
        <w:t>outlined further</w:t>
      </w:r>
      <w:r w:rsidRPr="00F16EAF">
        <w:t xml:space="preserve"> in section 4</w:t>
      </w:r>
      <w:r w:rsidR="001C6871" w:rsidRPr="00F16EAF">
        <w:t xml:space="preserve"> </w:t>
      </w:r>
      <w:r w:rsidR="001C6871" w:rsidRPr="00F16EAF">
        <w:rPr>
          <w:i/>
        </w:rPr>
        <w:fldChar w:fldCharType="begin"/>
      </w:r>
      <w:r w:rsidR="001C6871" w:rsidRPr="00F16EAF">
        <w:rPr>
          <w:i/>
        </w:rPr>
        <w:instrText xml:space="preserve"> REF _Ref449694059 \h  \* MERGEFORMAT </w:instrText>
      </w:r>
      <w:r w:rsidR="001C6871" w:rsidRPr="00F16EAF">
        <w:rPr>
          <w:i/>
        </w:rPr>
      </w:r>
      <w:r w:rsidR="001C6871" w:rsidRPr="00F16EAF">
        <w:rPr>
          <w:i/>
        </w:rPr>
        <w:fldChar w:fldCharType="separate"/>
      </w:r>
      <w:r w:rsidR="0038249E" w:rsidRPr="0038249E">
        <w:rPr>
          <w:i/>
        </w:rPr>
        <w:t>Embedding shared responsibility</w:t>
      </w:r>
      <w:r w:rsidR="001C6871" w:rsidRPr="00F16EAF">
        <w:rPr>
          <w:i/>
        </w:rPr>
        <w:fldChar w:fldCharType="end"/>
      </w:r>
      <w:r w:rsidRPr="00F16EAF">
        <w:t>.</w:t>
      </w:r>
    </w:p>
    <w:p w:rsidR="00647EAC" w:rsidRPr="00F16EAF" w:rsidRDefault="00647EAC" w:rsidP="00FB45B0">
      <w:pPr>
        <w:pStyle w:val="Heading4"/>
        <w:keepNext/>
        <w:keepLines/>
      </w:pPr>
      <w:r w:rsidRPr="00F16EAF">
        <w:lastRenderedPageBreak/>
        <w:t xml:space="preserve">Current arrangements to </w:t>
      </w:r>
      <w:r w:rsidR="00C64093" w:rsidRPr="00F16EAF">
        <w:t>manage biosecurity in Australia</w:t>
      </w:r>
    </w:p>
    <w:p w:rsidR="00647EAC" w:rsidRPr="00F16EAF" w:rsidRDefault="00647EAC" w:rsidP="00FB45B0">
      <w:pPr>
        <w:keepLines/>
        <w:rPr>
          <w:rFonts w:eastAsia="Cambria" w:cs="Cambria"/>
        </w:rPr>
      </w:pPr>
      <w:r w:rsidRPr="00F16EAF">
        <w:rPr>
          <w:rFonts w:eastAsia="Cambria" w:cs="Cambria"/>
        </w:rPr>
        <w:t>Established relationships and national arrangements are in place between</w:t>
      </w:r>
      <w:r w:rsidR="009F2DA7" w:rsidRPr="00F16EAF">
        <w:rPr>
          <w:rFonts w:eastAsia="Cambria" w:cs="Cambria"/>
        </w:rPr>
        <w:t xml:space="preserve"> </w:t>
      </w:r>
      <w:r w:rsidR="001B2A75" w:rsidRPr="00F16EAF">
        <w:rPr>
          <w:rFonts w:eastAsia="Cambria" w:cs="Cambria"/>
        </w:rPr>
        <w:t>Commonwealth</w:t>
      </w:r>
      <w:r w:rsidRPr="00F16EAF">
        <w:rPr>
          <w:rFonts w:eastAsia="Cambria" w:cs="Cambria"/>
        </w:rPr>
        <w:t>, state and territory governments and</w:t>
      </w:r>
      <w:r w:rsidR="0004163E" w:rsidRPr="00F16EAF">
        <w:rPr>
          <w:rFonts w:eastAsia="Cambria" w:cs="Cambria"/>
        </w:rPr>
        <w:t xml:space="preserve"> (</w:t>
      </w:r>
      <w:r w:rsidRPr="00F16EAF">
        <w:rPr>
          <w:rFonts w:eastAsia="Cambria" w:cs="Cambria"/>
        </w:rPr>
        <w:t>where relevant</w:t>
      </w:r>
      <w:r w:rsidR="0004163E" w:rsidRPr="00F16EAF">
        <w:rPr>
          <w:rFonts w:eastAsia="Cambria" w:cs="Cambria"/>
        </w:rPr>
        <w:t>)</w:t>
      </w:r>
      <w:r w:rsidRPr="00F16EAF">
        <w:rPr>
          <w:rFonts w:eastAsia="Cambria" w:cs="Cambria"/>
        </w:rPr>
        <w:t xml:space="preserve"> industry and other stakeholders to coordinate and implement national action on bios</w:t>
      </w:r>
      <w:r w:rsidR="005D49CB">
        <w:rPr>
          <w:rFonts w:eastAsia="Cambria" w:cs="Cambria"/>
        </w:rPr>
        <w:t>ecurity matters. These include:</w:t>
      </w:r>
    </w:p>
    <w:p w:rsidR="00647EAC" w:rsidRPr="00F16EAF" w:rsidRDefault="00647EAC" w:rsidP="00390ACB">
      <w:pPr>
        <w:pStyle w:val="Heading5"/>
      </w:pPr>
      <w:r w:rsidRPr="00F16EAF">
        <w:t>The Intergovernmental</w:t>
      </w:r>
      <w:r w:rsidR="005C48FB" w:rsidRPr="00F16EAF">
        <w:t xml:space="preserve"> Agreement on Biosecurity</w:t>
      </w:r>
    </w:p>
    <w:p w:rsidR="00647EAC" w:rsidRPr="00F16EAF" w:rsidRDefault="00647EAC" w:rsidP="00390ACB">
      <w:r w:rsidRPr="00F16EAF">
        <w:rPr>
          <w:rFonts w:eastAsia="Cambria" w:cs="Cambria"/>
        </w:rPr>
        <w:t xml:space="preserve">The </w:t>
      </w:r>
      <w:r w:rsidR="005C48FB" w:rsidRPr="00F16EAF">
        <w:rPr>
          <w:rFonts w:eastAsia="Cambria" w:cs="Cambria"/>
        </w:rPr>
        <w:t>Intergovernmental Agreement on Biosecurity (IGAB)</w:t>
      </w:r>
      <w:r w:rsidRPr="00F16EAF">
        <w:rPr>
          <w:rFonts w:eastAsia="Cambria" w:cs="Cambria"/>
        </w:rPr>
        <w:t xml:space="preserve"> is </w:t>
      </w:r>
      <w:r w:rsidR="002D2DEE" w:rsidRPr="00F16EAF">
        <w:rPr>
          <w:rFonts w:eastAsia="Cambria" w:cs="Cambria"/>
        </w:rPr>
        <w:t>an</w:t>
      </w:r>
      <w:r w:rsidRPr="00F16EAF">
        <w:rPr>
          <w:rFonts w:eastAsia="Cambria" w:cs="Cambria"/>
        </w:rPr>
        <w:t xml:space="preserve"> important component of the </w:t>
      </w:r>
      <w:r w:rsidR="002D2DEE" w:rsidRPr="00F16EAF">
        <w:rPr>
          <w:rFonts w:eastAsia="Cambria" w:cs="Cambria"/>
        </w:rPr>
        <w:t xml:space="preserve">national </w:t>
      </w:r>
      <w:r w:rsidRPr="00F16EAF">
        <w:rPr>
          <w:rFonts w:eastAsia="Cambria" w:cs="Cambria"/>
        </w:rPr>
        <w:t>biosecurity system</w:t>
      </w:r>
      <w:r w:rsidR="002D2DEE" w:rsidRPr="00F16EAF">
        <w:rPr>
          <w:rFonts w:eastAsia="Cambria" w:cs="Cambria"/>
        </w:rPr>
        <w:t>. The agreement</w:t>
      </w:r>
      <w:r w:rsidRPr="00F16EAF">
        <w:rPr>
          <w:rFonts w:eastAsia="Cambria" w:cs="Cambria"/>
        </w:rPr>
        <w:t xml:space="preserve"> establishes nationally agreed approaches </w:t>
      </w:r>
      <w:r w:rsidR="00C8271D" w:rsidRPr="00F16EAF">
        <w:rPr>
          <w:rFonts w:eastAsia="Cambria" w:cs="Cambria"/>
        </w:rPr>
        <w:t xml:space="preserve">among governments </w:t>
      </w:r>
      <w:r w:rsidRPr="00F16EAF">
        <w:rPr>
          <w:rFonts w:eastAsia="Cambria" w:cs="Cambria"/>
        </w:rPr>
        <w:t>to prevent, prepare for, detect and mitigate biosecurity risks across the system and respond to, manage and recover from biosecurity incidents should they occur.</w:t>
      </w:r>
    </w:p>
    <w:p w:rsidR="00647EAC" w:rsidRPr="00F16EAF" w:rsidRDefault="00647EAC" w:rsidP="00390ACB">
      <w:r w:rsidRPr="00F16EAF">
        <w:t xml:space="preserve">The IGAB </w:t>
      </w:r>
      <w:r w:rsidR="004B0A9A" w:rsidRPr="00F16EAF">
        <w:t xml:space="preserve">also </w:t>
      </w:r>
      <w:r w:rsidRPr="00F16EAF">
        <w:t>establishes the National Biosecurity Committee (NBC). The NBC provides advice to the A</w:t>
      </w:r>
      <w:r w:rsidR="00C8271D" w:rsidRPr="00F16EAF">
        <w:t>griculture Senior Officials Committee (A</w:t>
      </w:r>
      <w:r w:rsidRPr="00F16EAF">
        <w:t>GSOC</w:t>
      </w:r>
      <w:r w:rsidR="00C8271D" w:rsidRPr="00F16EAF">
        <w:t>)</w:t>
      </w:r>
      <w:r w:rsidRPr="00F16EAF">
        <w:t xml:space="preserve"> and </w:t>
      </w:r>
      <w:r w:rsidR="00C8271D" w:rsidRPr="00F16EAF">
        <w:t>the Agriculture Ministers’ Forum (</w:t>
      </w:r>
      <w:r w:rsidRPr="00F16EAF">
        <w:t>AGMIN</w:t>
      </w:r>
      <w:r w:rsidR="00C8271D" w:rsidRPr="00F16EAF">
        <w:t>)</w:t>
      </w:r>
      <w:r w:rsidRPr="00F16EAF">
        <w:t xml:space="preserve"> on national biosecurity issues and on progress implementing the IGAB</w:t>
      </w:r>
      <w:r w:rsidR="00CA0164" w:rsidRPr="00F16EAF">
        <w:t>. The NBC</w:t>
      </w:r>
      <w:r w:rsidRPr="00F16EAF">
        <w:t xml:space="preserve"> is responsible for managing a national, strategic approach to biosecurity threats and the impact of these on agricultural production, </w:t>
      </w:r>
      <w:r w:rsidR="00DF28E6">
        <w:t>the environment, community well</w:t>
      </w:r>
      <w:r w:rsidRPr="00F16EAF">
        <w:t>being and s</w:t>
      </w:r>
      <w:r w:rsidR="00C64093" w:rsidRPr="00F16EAF">
        <w:t>ocial amenity.</w:t>
      </w:r>
    </w:p>
    <w:p w:rsidR="00647EAC" w:rsidRPr="00F16EAF" w:rsidRDefault="00647EAC" w:rsidP="00390ACB">
      <w:r w:rsidRPr="00F16EAF">
        <w:t xml:space="preserve">The NBC is supported by a number of sectoral committees—the Animal Health Committee, Invasive Plants and Animals Committee, Marine Pest Sectoral Committee and Plant Health Committee—and </w:t>
      </w:r>
      <w:r w:rsidR="00F16EAF" w:rsidRPr="00F16EAF">
        <w:t>ongoing expert groups and short-term, task-</w:t>
      </w:r>
      <w:r w:rsidRPr="00F16EAF">
        <w:t>specific gro</w:t>
      </w:r>
      <w:r w:rsidR="00C64093" w:rsidRPr="00F16EAF">
        <w:t>ups.</w:t>
      </w:r>
    </w:p>
    <w:p w:rsidR="00647EAC" w:rsidRPr="00F16EAF" w:rsidRDefault="00647EAC" w:rsidP="00163A9B">
      <w:pPr>
        <w:pStyle w:val="Heading5"/>
      </w:pPr>
      <w:r w:rsidRPr="00F16EAF">
        <w:t>Government-industry partnerships</w:t>
      </w:r>
    </w:p>
    <w:p w:rsidR="00647EAC" w:rsidRPr="00F16EAF" w:rsidRDefault="00647EAC" w:rsidP="00163A9B">
      <w:pPr>
        <w:rPr>
          <w:rFonts w:eastAsia="Cambria" w:cs="Cambria"/>
        </w:rPr>
      </w:pPr>
      <w:r w:rsidRPr="00F16EAF">
        <w:rPr>
          <w:rFonts w:eastAsia="Cambria" w:cs="Cambria"/>
        </w:rPr>
        <w:t>Government-industry</w:t>
      </w:r>
      <w:r w:rsidR="002B25E9" w:rsidRPr="00F16EAF">
        <w:rPr>
          <w:rFonts w:eastAsia="Cambria" w:cs="Cambria"/>
        </w:rPr>
        <w:t xml:space="preserve"> partnerships such as Animal Health Australia (A</w:t>
      </w:r>
      <w:r w:rsidRPr="00F16EAF">
        <w:rPr>
          <w:rFonts w:eastAsia="Cambria" w:cs="Cambria"/>
        </w:rPr>
        <w:t xml:space="preserve">HA) and </w:t>
      </w:r>
      <w:r w:rsidR="002B25E9" w:rsidRPr="00F16EAF">
        <w:rPr>
          <w:rFonts w:eastAsia="Cambria" w:cs="Cambria"/>
        </w:rPr>
        <w:t>Plant Health Australia (P</w:t>
      </w:r>
      <w:r w:rsidRPr="00F16EAF">
        <w:rPr>
          <w:rFonts w:eastAsia="Cambria" w:cs="Cambria"/>
        </w:rPr>
        <w:t xml:space="preserve">HA) facilitate a national approach to enhancing Australia's animal and plant biosecurity systems, through preparedness and emergency response management. These </w:t>
      </w:r>
      <w:r w:rsidR="00343A49" w:rsidRPr="00F16EAF">
        <w:rPr>
          <w:rFonts w:eastAsia="Cambria" w:cs="Cambria"/>
        </w:rPr>
        <w:t>organisations</w:t>
      </w:r>
      <w:r w:rsidRPr="00F16EAF">
        <w:rPr>
          <w:rFonts w:eastAsia="Cambria" w:cs="Cambria"/>
        </w:rPr>
        <w:t xml:space="preserve"> work to improve biosecurity outcomes by:</w:t>
      </w:r>
    </w:p>
    <w:p w:rsidR="00647EAC" w:rsidRPr="00F16EAF" w:rsidRDefault="00647EAC" w:rsidP="00163A9B">
      <w:pPr>
        <w:pStyle w:val="ListBullet"/>
        <w:ind w:left="641"/>
        <w:contextualSpacing/>
      </w:pPr>
      <w:r w:rsidRPr="00F16EAF">
        <w:t>conducting emergency plant pest and animal disease preparedness activities</w:t>
      </w:r>
    </w:p>
    <w:p w:rsidR="00647EAC" w:rsidRPr="00F16EAF" w:rsidRDefault="00647EAC" w:rsidP="00163A9B">
      <w:pPr>
        <w:pStyle w:val="ListBullet"/>
        <w:ind w:left="641"/>
        <w:contextualSpacing/>
      </w:pPr>
      <w:r w:rsidRPr="00F16EAF">
        <w:t>developing industry-specific biosecurity manuals and pr</w:t>
      </w:r>
      <w:r w:rsidR="008D6025" w:rsidRPr="00F16EAF">
        <w:t>omoting on-farm biosecurity</w:t>
      </w:r>
    </w:p>
    <w:p w:rsidR="00647EAC" w:rsidRPr="00F16EAF" w:rsidRDefault="00647EAC" w:rsidP="00163A9B">
      <w:pPr>
        <w:pStyle w:val="ListBullet"/>
        <w:ind w:left="641"/>
        <w:contextualSpacing/>
      </w:pPr>
      <w:r w:rsidRPr="00F16EAF">
        <w:t>implementing formal emergency preparedness</w:t>
      </w:r>
      <w:r w:rsidR="00E06841" w:rsidRPr="00F16EAF">
        <w:t>,</w:t>
      </w:r>
      <w:r w:rsidRPr="00F16EAF">
        <w:t xml:space="preserve"> and </w:t>
      </w:r>
      <w:r w:rsidR="001022BD" w:rsidRPr="00F16EAF">
        <w:t xml:space="preserve">the </w:t>
      </w:r>
      <w:r w:rsidR="008D6025" w:rsidRPr="00F16EAF">
        <w:t xml:space="preserve">plant and animal </w:t>
      </w:r>
      <w:r w:rsidR="00E06841" w:rsidRPr="00F16EAF">
        <w:t xml:space="preserve">emergency </w:t>
      </w:r>
      <w:r w:rsidR="008D6025" w:rsidRPr="00F16EAF">
        <w:t>response arrangements, and</w:t>
      </w:r>
    </w:p>
    <w:p w:rsidR="008D6025" w:rsidRPr="00F16EAF" w:rsidRDefault="008D6025" w:rsidP="00163A9B">
      <w:pPr>
        <w:pStyle w:val="ListBullet"/>
        <w:ind w:left="641"/>
        <w:contextualSpacing/>
      </w:pPr>
      <w:r w:rsidRPr="00F16EAF">
        <w:t>maintaining an active communication pathway between industry and governments.</w:t>
      </w:r>
    </w:p>
    <w:p w:rsidR="00647EAC" w:rsidRPr="00F16EAF" w:rsidRDefault="00647EAC" w:rsidP="00163A9B">
      <w:pPr>
        <w:pStyle w:val="Heading5"/>
      </w:pPr>
      <w:r w:rsidRPr="00F16EAF">
        <w:t>Formal emergency preparedness and response arrangements</w:t>
      </w:r>
    </w:p>
    <w:p w:rsidR="00647EAC" w:rsidRPr="00F16EAF" w:rsidRDefault="00647EAC" w:rsidP="00163A9B">
      <w:r w:rsidRPr="00F16EAF">
        <w:t>Three formal agreements set out arrangements for responding to exotic pests and diseases that are detected within Australia and have the potential to impact animal, plant or human health or the environment. These agreements are the:</w:t>
      </w:r>
    </w:p>
    <w:p w:rsidR="00647EAC" w:rsidRPr="00F16EAF" w:rsidRDefault="00647EAC" w:rsidP="00163A9B">
      <w:pPr>
        <w:pStyle w:val="ListBullet"/>
        <w:ind w:left="641"/>
        <w:contextualSpacing/>
      </w:pPr>
      <w:r w:rsidRPr="00F16EAF">
        <w:t>Emergency Animal Disease Response Agreement (EADRA)</w:t>
      </w:r>
    </w:p>
    <w:p w:rsidR="00647EAC" w:rsidRPr="00F16EAF" w:rsidRDefault="00647EAC" w:rsidP="00163A9B">
      <w:pPr>
        <w:pStyle w:val="ListBullet"/>
        <w:ind w:left="641"/>
        <w:contextualSpacing/>
      </w:pPr>
      <w:r w:rsidRPr="00F16EAF">
        <w:t>Emergency Plant Pest Response Deed (EPPRD), and</w:t>
      </w:r>
    </w:p>
    <w:p w:rsidR="00647EAC" w:rsidRPr="00F16EAF" w:rsidRDefault="00647EAC" w:rsidP="00163A9B">
      <w:pPr>
        <w:pStyle w:val="ListBullet"/>
        <w:ind w:left="641"/>
        <w:contextualSpacing/>
      </w:pPr>
      <w:r w:rsidRPr="00F16EAF">
        <w:t>National Environmental Biosecurity Response Agreement (NEBRA).</w:t>
      </w:r>
    </w:p>
    <w:p w:rsidR="00647EAC" w:rsidRPr="00F16EAF" w:rsidRDefault="00647EAC" w:rsidP="00F625F8">
      <w:r w:rsidRPr="00F16EAF">
        <w:t xml:space="preserve">These arrangements are formal agreements between governments and </w:t>
      </w:r>
      <w:r w:rsidR="0004163E" w:rsidRPr="00F16EAF">
        <w:t>(</w:t>
      </w:r>
      <w:r w:rsidR="007B1670" w:rsidRPr="00F16EAF">
        <w:t>where relevant</w:t>
      </w:r>
      <w:r w:rsidR="0004163E" w:rsidRPr="00F16EAF">
        <w:t>)</w:t>
      </w:r>
      <w:r w:rsidR="007B1670" w:rsidRPr="00F16EAF">
        <w:t xml:space="preserve"> </w:t>
      </w:r>
      <w:r w:rsidR="008C4D3F" w:rsidRPr="00F16EAF">
        <w:t xml:space="preserve">industry signatories—and </w:t>
      </w:r>
      <w:r w:rsidRPr="00F16EAF">
        <w:t>AHA and PHA</w:t>
      </w:r>
      <w:r w:rsidR="008C4D3F" w:rsidRPr="00F16EAF">
        <w:t xml:space="preserve"> (</w:t>
      </w:r>
      <w:r w:rsidRPr="00F16EAF">
        <w:t xml:space="preserve">as </w:t>
      </w:r>
      <w:r w:rsidR="007B1670" w:rsidRPr="00F16EAF">
        <w:t>appropriate</w:t>
      </w:r>
      <w:r w:rsidR="00E43892" w:rsidRPr="00F16EAF">
        <w:t>)</w:t>
      </w:r>
      <w:r w:rsidR="008C4D3F" w:rsidRPr="00F16EAF">
        <w:t xml:space="preserve">—covering </w:t>
      </w:r>
      <w:r w:rsidRPr="00F16EAF">
        <w:t>the management and funding of responses to emergency animal diseases, plant pests, or where a pest and disease primarily impacts the environment and/or social amenity</w:t>
      </w:r>
      <w:r w:rsidR="008C4D3F" w:rsidRPr="00F16EAF">
        <w:t xml:space="preserve"> (</w:t>
      </w:r>
      <w:r w:rsidR="00515DF3" w:rsidRPr="00F16EAF">
        <w:t>where the response is for the public good</w:t>
      </w:r>
      <w:r w:rsidR="008C4D3F" w:rsidRPr="00F16EAF">
        <w:t>)</w:t>
      </w:r>
      <w:r w:rsidRPr="00F16EAF">
        <w:t>.</w:t>
      </w:r>
    </w:p>
    <w:p w:rsidR="00647EAC" w:rsidRPr="00F16EAF" w:rsidRDefault="00647EAC" w:rsidP="00647EAC">
      <w:pPr>
        <w:pStyle w:val="Heading2"/>
      </w:pPr>
      <w:bookmarkStart w:id="17" w:name="_Toc430782160"/>
      <w:bookmarkStart w:id="18" w:name="_Toc450126735"/>
      <w:r w:rsidRPr="00F16EAF">
        <w:lastRenderedPageBreak/>
        <w:t>Biosecurity into the future</w:t>
      </w:r>
      <w:bookmarkEnd w:id="18"/>
    </w:p>
    <w:p w:rsidR="00243195" w:rsidRPr="00F16EAF" w:rsidRDefault="00647EAC" w:rsidP="00071292">
      <w:pPr>
        <w:rPr>
          <w:rFonts w:eastAsia="Cambria"/>
        </w:rPr>
      </w:pPr>
      <w:r w:rsidRPr="00F16EAF">
        <w:t>Over the last decade, managing biosecurity risk has become more challenging and complex</w:t>
      </w:r>
      <w:r w:rsidR="00F625F8" w:rsidRPr="00F16EAF">
        <w:t xml:space="preserve">. </w:t>
      </w:r>
      <w:r w:rsidR="008530E3" w:rsidRPr="00F16EAF">
        <w:t xml:space="preserve">Globalisation, international and interstate migration, climate change, tourism, and the movement of goods are all contributing to </w:t>
      </w:r>
      <w:r w:rsidR="00F16EAF" w:rsidRPr="00F16EAF">
        <w:t>shifts in</w:t>
      </w:r>
      <w:r w:rsidR="008530E3" w:rsidRPr="00F16EAF">
        <w:t xml:space="preserve"> biosecurity risk</w:t>
      </w:r>
      <w:r w:rsidR="00FD02D6" w:rsidRPr="00F16EAF">
        <w:t>s</w:t>
      </w:r>
      <w:r w:rsidR="008530E3" w:rsidRPr="00F16EAF">
        <w:t xml:space="preserve">. </w:t>
      </w:r>
      <w:r w:rsidRPr="00F16EAF">
        <w:rPr>
          <w:rFonts w:eastAsia="Cambria"/>
        </w:rPr>
        <w:t xml:space="preserve">In a constantly changing biosecurity environment there is a need to ensure </w:t>
      </w:r>
      <w:r w:rsidR="0036736B" w:rsidRPr="00F16EAF">
        <w:rPr>
          <w:rFonts w:eastAsia="Cambria"/>
        </w:rPr>
        <w:t>Australia’s</w:t>
      </w:r>
      <w:r w:rsidRPr="00F16EAF">
        <w:rPr>
          <w:rFonts w:eastAsia="Cambria"/>
        </w:rPr>
        <w:t xml:space="preserve"> </w:t>
      </w:r>
      <w:r w:rsidR="0067126A" w:rsidRPr="00F16EAF">
        <w:rPr>
          <w:rFonts w:eastAsia="Cambria"/>
        </w:rPr>
        <w:t xml:space="preserve">national </w:t>
      </w:r>
      <w:r w:rsidRPr="00F16EAF">
        <w:rPr>
          <w:rFonts w:eastAsia="Cambria"/>
        </w:rPr>
        <w:t>biosecurity system</w:t>
      </w:r>
      <w:r w:rsidR="00A17A79" w:rsidRPr="00F16EAF">
        <w:rPr>
          <w:rFonts w:eastAsia="Cambria"/>
        </w:rPr>
        <w:t xml:space="preserve"> is meeting its intended goal</w:t>
      </w:r>
      <w:r w:rsidR="00C64093" w:rsidRPr="00F16EAF">
        <w:rPr>
          <w:rFonts w:eastAsia="Cambria"/>
        </w:rPr>
        <w:t xml:space="preserve"> and objectives.</w:t>
      </w:r>
    </w:p>
    <w:p w:rsidR="00F2045F" w:rsidRPr="00F16EAF" w:rsidRDefault="00647EAC" w:rsidP="00071292">
      <w:r w:rsidRPr="00F16EAF">
        <w:t xml:space="preserve">As with any system, </w:t>
      </w:r>
      <w:r w:rsidR="007207F1" w:rsidRPr="00F16EAF">
        <w:t>Australia’s national</w:t>
      </w:r>
      <w:r w:rsidR="00E71D5A" w:rsidRPr="00F16EAF">
        <w:t xml:space="preserve"> </w:t>
      </w:r>
      <w:r w:rsidRPr="00F16EAF">
        <w:t xml:space="preserve">biosecurity system should be subject to </w:t>
      </w:r>
      <w:r w:rsidR="00A17A79" w:rsidRPr="00F16EAF">
        <w:t>ongoing review and continuous</w:t>
      </w:r>
      <w:r w:rsidRPr="00F16EAF">
        <w:t xml:space="preserve"> impr</w:t>
      </w:r>
      <w:r w:rsidR="00A17A79" w:rsidRPr="00F16EAF">
        <w:t>ovement. D</w:t>
      </w:r>
      <w:r w:rsidRPr="00F16EAF">
        <w:t xml:space="preserve">ecision making and strategies need to </w:t>
      </w:r>
      <w:r w:rsidR="00A17A79" w:rsidRPr="00F16EAF">
        <w:t xml:space="preserve">be able to </w:t>
      </w:r>
      <w:r w:rsidR="00EC753A" w:rsidRPr="00F16EAF">
        <w:t xml:space="preserve">readily </w:t>
      </w:r>
      <w:r w:rsidR="00A17A79" w:rsidRPr="00F16EAF">
        <w:t xml:space="preserve">adapt to </w:t>
      </w:r>
      <w:r w:rsidRPr="00F16EAF">
        <w:t>meet biosecurity challenges over t</w:t>
      </w:r>
      <w:r w:rsidR="00C64093" w:rsidRPr="00F16EAF">
        <w:t>he horizon and into the future.</w:t>
      </w:r>
    </w:p>
    <w:p w:rsidR="00647EAC" w:rsidRPr="00F16EAF" w:rsidRDefault="00647EAC" w:rsidP="00071292">
      <w:r w:rsidRPr="00F16EAF">
        <w:t>Improved coll</w:t>
      </w:r>
      <w:r w:rsidR="00E71D5A" w:rsidRPr="00F16EAF">
        <w:t>aboration between governments</w:t>
      </w:r>
      <w:r w:rsidR="001A7360" w:rsidRPr="00F16EAF">
        <w:t>,</w:t>
      </w:r>
      <w:r w:rsidR="00E71D5A" w:rsidRPr="00F16EAF">
        <w:t xml:space="preserve"> </w:t>
      </w:r>
      <w:r w:rsidRPr="00F16EAF">
        <w:t xml:space="preserve">industry </w:t>
      </w:r>
      <w:r w:rsidR="001A7360" w:rsidRPr="00F16EAF">
        <w:t xml:space="preserve">and the broader community </w:t>
      </w:r>
      <w:r w:rsidRPr="00F16EAF">
        <w:t xml:space="preserve">will help minimise duplication and </w:t>
      </w:r>
      <w:r w:rsidR="001A7360" w:rsidRPr="00F16EAF">
        <w:t xml:space="preserve">further strengthen </w:t>
      </w:r>
      <w:r w:rsidR="00267FA7" w:rsidRPr="00F16EAF">
        <w:t>the</w:t>
      </w:r>
      <w:r w:rsidR="001A7360" w:rsidRPr="00F16EAF">
        <w:t xml:space="preserve"> national</w:t>
      </w:r>
      <w:r w:rsidRPr="00F16EAF">
        <w:t xml:space="preserve"> biosecurity system with flow-on benefits for producers, industry and the </w:t>
      </w:r>
      <w:r w:rsidR="007C4558" w:rsidRPr="00F16EAF">
        <w:t xml:space="preserve">broader </w:t>
      </w:r>
      <w:r w:rsidRPr="00F16EAF">
        <w:t>community.</w:t>
      </w:r>
    </w:p>
    <w:p w:rsidR="00647EAC" w:rsidRPr="00F16EAF" w:rsidRDefault="00ED52CE" w:rsidP="00071292">
      <w:r w:rsidRPr="00F16EAF">
        <w:t>T</w:t>
      </w:r>
      <w:r w:rsidR="00647EAC" w:rsidRPr="00F16EAF">
        <w:t xml:space="preserve">he </w:t>
      </w:r>
      <w:r w:rsidR="00794A98" w:rsidRPr="00F16EAF">
        <w:t>r</w:t>
      </w:r>
      <w:r w:rsidR="00647EAC" w:rsidRPr="00F16EAF">
        <w:t xml:space="preserve">eview </w:t>
      </w:r>
      <w:r w:rsidR="00794A98" w:rsidRPr="00F16EAF">
        <w:t>p</w:t>
      </w:r>
      <w:r w:rsidR="00647EAC" w:rsidRPr="00F16EAF">
        <w:t>anel is interested in your views on the issues</w:t>
      </w:r>
      <w:r w:rsidR="00175CD9" w:rsidRPr="00F16EAF">
        <w:t xml:space="preserve"> outlined in this paper</w:t>
      </w:r>
      <w:r w:rsidR="00647EAC" w:rsidRPr="00F16EAF">
        <w:t xml:space="preserve">, along with practical suggestions on mechanisms to strengthen </w:t>
      </w:r>
      <w:r w:rsidR="00267FA7" w:rsidRPr="00F16EAF">
        <w:t>the</w:t>
      </w:r>
      <w:r w:rsidRPr="00F16EAF">
        <w:t xml:space="preserve"> national</w:t>
      </w:r>
      <w:r w:rsidR="00647EAC" w:rsidRPr="00F16EAF">
        <w:t xml:space="preserve"> biosecurity system, potentially facilitated through a renewed IGAB. The issues </w:t>
      </w:r>
      <w:r w:rsidRPr="00F16EAF">
        <w:t>discussed</w:t>
      </w:r>
      <w:r w:rsidR="00AF27B6" w:rsidRPr="00F16EAF">
        <w:t xml:space="preserve"> in this paper </w:t>
      </w:r>
      <w:r w:rsidR="00647EAC" w:rsidRPr="00F16EAF">
        <w:t xml:space="preserve">were identified by the </w:t>
      </w:r>
      <w:r w:rsidR="00794A98" w:rsidRPr="00F16EAF">
        <w:t>r</w:t>
      </w:r>
      <w:r w:rsidR="00F625F8" w:rsidRPr="00F16EAF">
        <w:t xml:space="preserve">eview </w:t>
      </w:r>
      <w:r w:rsidR="00794A98" w:rsidRPr="00F16EAF">
        <w:t>p</w:t>
      </w:r>
      <w:r w:rsidR="00647EAC" w:rsidRPr="00F16EAF">
        <w:t xml:space="preserve">anel </w:t>
      </w:r>
      <w:r w:rsidR="001F0B02" w:rsidRPr="00F16EAF">
        <w:t>following</w:t>
      </w:r>
      <w:r w:rsidR="00647EAC" w:rsidRPr="00F16EAF">
        <w:t xml:space="preserve"> preliminary discussions with a </w:t>
      </w:r>
      <w:r w:rsidR="00AF27B6" w:rsidRPr="00F16EAF">
        <w:t xml:space="preserve">selection of </w:t>
      </w:r>
      <w:r w:rsidR="00647EAC" w:rsidRPr="00F16EAF">
        <w:t>stakeholders</w:t>
      </w:r>
      <w:r w:rsidR="00F625F8" w:rsidRPr="00F16EAF">
        <w:t xml:space="preserve"> </w:t>
      </w:r>
      <w:r w:rsidR="00D21594" w:rsidRPr="00F16EAF">
        <w:t>from</w:t>
      </w:r>
      <w:r w:rsidR="00EC753A" w:rsidRPr="00F16EAF">
        <w:t xml:space="preserve"> </w:t>
      </w:r>
      <w:r w:rsidR="00F625F8" w:rsidRPr="00F16EAF">
        <w:t>industry and government</w:t>
      </w:r>
      <w:r w:rsidR="00647EAC" w:rsidRPr="00F16EAF">
        <w:t>.</w:t>
      </w:r>
    </w:p>
    <w:p w:rsidR="007351EF" w:rsidRPr="00F16EAF" w:rsidRDefault="007351EF" w:rsidP="001132CB">
      <w:pPr>
        <w:pStyle w:val="Heading3"/>
      </w:pPr>
      <w:bookmarkStart w:id="19" w:name="_Toc450126736"/>
      <w:r w:rsidRPr="00F16EAF">
        <w:t xml:space="preserve">The </w:t>
      </w:r>
      <w:r w:rsidR="00297F8A" w:rsidRPr="00F16EAF">
        <w:t>I</w:t>
      </w:r>
      <w:r w:rsidR="004136DF" w:rsidRPr="00F16EAF">
        <w:t>ntergovernmental Agreement on Biosecurity</w:t>
      </w:r>
      <w:bookmarkEnd w:id="19"/>
    </w:p>
    <w:p w:rsidR="007351EF" w:rsidRPr="00F16EAF" w:rsidRDefault="007351EF" w:rsidP="007351EF">
      <w:r w:rsidRPr="00F16EAF">
        <w:t xml:space="preserve">Ongoing collaboration and co-investment in </w:t>
      </w:r>
      <w:r w:rsidR="00444452">
        <w:t>Australia’s</w:t>
      </w:r>
      <w:r w:rsidRPr="00F16EAF">
        <w:t xml:space="preserve"> national biosecurity system underpins its success. There </w:t>
      </w:r>
      <w:r w:rsidR="00EC0458" w:rsidRPr="00F16EAF">
        <w:t>is</w:t>
      </w:r>
      <w:r w:rsidRPr="00F16EAF">
        <w:t xml:space="preserve"> a range of mechanisms in place, and </w:t>
      </w:r>
      <w:r w:rsidR="00EC0458" w:rsidRPr="00F16EAF">
        <w:t>in contemplation</w:t>
      </w:r>
      <w:r w:rsidRPr="00F16EAF">
        <w:t>, to advance collaboration on biosecurity activities and challenges among key partners an</w:t>
      </w:r>
      <w:r w:rsidR="001C0E18" w:rsidRPr="00F16EAF">
        <w:t>d stakeholders. For g</w:t>
      </w:r>
      <w:r w:rsidRPr="00F16EAF">
        <w:t>overnments, the primary</w:t>
      </w:r>
      <w:r w:rsidR="001158E2" w:rsidRPr="00F16EAF">
        <w:t xml:space="preserve"> collaboration</w:t>
      </w:r>
      <w:r w:rsidRPr="00F16EAF">
        <w:t xml:space="preserve"> mechanism is the I</w:t>
      </w:r>
      <w:r w:rsidR="004136DF" w:rsidRPr="00F16EAF">
        <w:t>ntergovernmental Agreement on Biosecurity (I</w:t>
      </w:r>
      <w:r w:rsidRPr="00F16EAF">
        <w:t>GAB</w:t>
      </w:r>
      <w:r w:rsidR="004136DF" w:rsidRPr="00F16EAF">
        <w:t>)</w:t>
      </w:r>
      <w:r w:rsidRPr="00F16EAF">
        <w:t>. Creation of such an agreement was recommended by the Beale Review in 2008</w:t>
      </w:r>
      <w:r w:rsidR="00365DE6" w:rsidRPr="00F16EAF">
        <w:t xml:space="preserve"> (Beale et al. 2008)</w:t>
      </w:r>
      <w:r w:rsidRPr="00F16EAF">
        <w:t>.</w:t>
      </w:r>
    </w:p>
    <w:p w:rsidR="007351EF" w:rsidRPr="00F16EAF" w:rsidRDefault="007351EF" w:rsidP="007351EF">
      <w:r w:rsidRPr="00F16EAF">
        <w:t>The current IGAB</w:t>
      </w:r>
      <w:r w:rsidRPr="00F16EAF">
        <w:rPr>
          <w:rFonts w:eastAsia="Times New Roman" w:cs="Segoe UI"/>
          <w:lang w:eastAsia="en-AU"/>
        </w:rPr>
        <w:t xml:space="preserve"> is the first of its type and came into effect in January 2012. It is</w:t>
      </w:r>
      <w:r w:rsidRPr="00F16EAF">
        <w:t xml:space="preserve"> an agreement between the Commonwealth and all state and territory governments, except Tasmania. The agreement aims to strengthen the working partnerships between governments, improve the national biosecurity system and minimise the impact of pests and diseases on Australia’s economy, environment and the </w:t>
      </w:r>
      <w:r w:rsidR="00A52748" w:rsidRPr="00F16EAF">
        <w:t xml:space="preserve">broader </w:t>
      </w:r>
      <w:r w:rsidRPr="00F16EAF">
        <w:t>community. It detail</w:t>
      </w:r>
      <w:r w:rsidR="00D97632" w:rsidRPr="00F16EAF">
        <w:t>s</w:t>
      </w:r>
      <w:r w:rsidRPr="00F16EAF">
        <w:t xml:space="preserve"> national goals, objectives and principles for </w:t>
      </w:r>
      <w:r w:rsidR="00267FA7" w:rsidRPr="00F16EAF">
        <w:t>the</w:t>
      </w:r>
      <w:r w:rsidRPr="00F16EAF">
        <w:t xml:space="preserve"> national biosecurity system; outlines key components and features of the system; and, details over 40 priority areas for reform by governments</w:t>
      </w:r>
      <w:r w:rsidR="00760110" w:rsidRPr="00F16EAF">
        <w:t xml:space="preserve"> in the accompanying schedules.</w:t>
      </w:r>
    </w:p>
    <w:p w:rsidR="0042577D" w:rsidRDefault="007351EF" w:rsidP="007351EF">
      <w:pPr>
        <w:rPr>
          <w:rFonts w:eastAsia="Times New Roman" w:cs="Segoe UI"/>
          <w:lang w:eastAsia="en-AU"/>
        </w:rPr>
      </w:pPr>
      <w:r w:rsidRPr="00F16EAF">
        <w:rPr>
          <w:rFonts w:eastAsia="Times New Roman" w:cs="Segoe UI"/>
          <w:lang w:eastAsia="en-AU"/>
        </w:rPr>
        <w:t xml:space="preserve">The </w:t>
      </w:r>
      <w:hyperlink r:id="rId22" w:history="1">
        <w:r w:rsidRPr="00F16EAF">
          <w:rPr>
            <w:rFonts w:eastAsia="Times New Roman" w:cs="Segoe UI"/>
            <w:lang w:eastAsia="en-AU"/>
          </w:rPr>
          <w:t>National Biosecurity Committee</w:t>
        </w:r>
      </w:hyperlink>
      <w:r w:rsidRPr="00F16EAF">
        <w:rPr>
          <w:rFonts w:eastAsia="Times New Roman" w:cs="Segoe UI"/>
          <w:lang w:eastAsia="en-AU"/>
        </w:rPr>
        <w:t xml:space="preserve"> (NBC) is the </w:t>
      </w:r>
      <w:r w:rsidR="002C4C00" w:rsidRPr="00F16EAF">
        <w:rPr>
          <w:rFonts w:eastAsia="Times New Roman" w:cs="Segoe UI"/>
          <w:lang w:eastAsia="en-AU"/>
        </w:rPr>
        <w:t xml:space="preserve">oversighting </w:t>
      </w:r>
      <w:r w:rsidRPr="00F16EAF">
        <w:rPr>
          <w:rFonts w:eastAsia="Times New Roman" w:cs="Segoe UI"/>
          <w:lang w:eastAsia="en-AU"/>
        </w:rPr>
        <w:t>body tasked with identifying and implementing collaborative projects to meet the national priorities identified in the IGAB. Membership of the NBC consists of senior representatives of agriculture and environment departments</w:t>
      </w:r>
      <w:r w:rsidR="002C4C00" w:rsidRPr="00F16EAF">
        <w:rPr>
          <w:rFonts w:eastAsia="Times New Roman" w:cs="Segoe UI"/>
          <w:lang w:eastAsia="en-AU"/>
        </w:rPr>
        <w:t xml:space="preserve"> </w:t>
      </w:r>
      <w:r w:rsidR="006D4198" w:rsidRPr="00F16EAF">
        <w:rPr>
          <w:rFonts w:eastAsia="Times New Roman" w:cs="Segoe UI"/>
          <w:lang w:eastAsia="en-AU"/>
        </w:rPr>
        <w:t>from</w:t>
      </w:r>
      <w:r w:rsidR="002C4C00" w:rsidRPr="00F16EAF">
        <w:rPr>
          <w:rFonts w:eastAsia="Times New Roman" w:cs="Segoe UI"/>
          <w:lang w:eastAsia="en-AU"/>
        </w:rPr>
        <w:t xml:space="preserve"> each jurisdiction</w:t>
      </w:r>
      <w:r w:rsidRPr="00F16EAF">
        <w:rPr>
          <w:rFonts w:eastAsia="Times New Roman" w:cs="Segoe UI"/>
          <w:lang w:eastAsia="en-AU"/>
        </w:rPr>
        <w:t>. T</w:t>
      </w:r>
      <w:r w:rsidR="00EC3819" w:rsidRPr="00F16EAF">
        <w:rPr>
          <w:rFonts w:eastAsia="Times New Roman" w:cs="Segoe UI"/>
          <w:lang w:eastAsia="en-AU"/>
        </w:rPr>
        <w:t>he NBC has established an IGAB I</w:t>
      </w:r>
      <w:r w:rsidRPr="00F16EAF">
        <w:rPr>
          <w:rFonts w:eastAsia="Times New Roman" w:cs="Segoe UI"/>
          <w:lang w:eastAsia="en-AU"/>
        </w:rPr>
        <w:t xml:space="preserve">mplementation </w:t>
      </w:r>
      <w:r w:rsidR="00EC3819" w:rsidRPr="00F16EAF">
        <w:rPr>
          <w:rFonts w:eastAsia="Times New Roman" w:cs="Segoe UI"/>
          <w:lang w:eastAsia="en-AU"/>
        </w:rPr>
        <w:t>T</w:t>
      </w:r>
      <w:r w:rsidRPr="00F16EAF">
        <w:rPr>
          <w:rFonts w:eastAsia="Times New Roman" w:cs="Segoe UI"/>
          <w:lang w:eastAsia="en-AU"/>
        </w:rPr>
        <w:t xml:space="preserve">askforce to track progress undertaken by its sectoral committees, expert groups </w:t>
      </w:r>
      <w:r w:rsidR="00EC3819" w:rsidRPr="00F16EAF">
        <w:rPr>
          <w:rFonts w:eastAsia="Times New Roman" w:cs="Segoe UI"/>
          <w:lang w:eastAsia="en-AU"/>
        </w:rPr>
        <w:t>and</w:t>
      </w:r>
      <w:r w:rsidR="00BC2D92">
        <w:rPr>
          <w:rFonts w:eastAsia="Times New Roman" w:cs="Segoe UI"/>
          <w:lang w:eastAsia="en-AU"/>
        </w:rPr>
        <w:t xml:space="preserve"> task-</w:t>
      </w:r>
      <w:r w:rsidRPr="00F16EAF">
        <w:rPr>
          <w:rFonts w:eastAsia="Times New Roman" w:cs="Segoe UI"/>
          <w:lang w:eastAsia="en-AU"/>
        </w:rPr>
        <w:t>specific working groups</w:t>
      </w:r>
      <w:r w:rsidR="0042577D">
        <w:rPr>
          <w:rFonts w:eastAsia="Times New Roman" w:cs="Segoe UI"/>
          <w:lang w:eastAsia="en-AU"/>
        </w:rPr>
        <w:t>.</w:t>
      </w:r>
    </w:p>
    <w:p w:rsidR="007351EF" w:rsidRPr="00F16EAF" w:rsidRDefault="0042577D" w:rsidP="007351EF">
      <w:pPr>
        <w:rPr>
          <w:rFonts w:eastAsia="Times New Roman" w:cs="Segoe UI"/>
          <w:lang w:eastAsia="en-AU"/>
        </w:rPr>
      </w:pPr>
      <w:r w:rsidRPr="00DC7EC5">
        <w:rPr>
          <w:rFonts w:eastAsia="Times New Roman" w:cs="Segoe UI"/>
          <w:lang w:eastAsia="en-AU"/>
        </w:rPr>
        <w:t xml:space="preserve">The arrangements supporting the IGAB, </w:t>
      </w:r>
      <w:r w:rsidR="000B4356">
        <w:rPr>
          <w:rFonts w:eastAsia="Times New Roman" w:cs="Segoe UI"/>
          <w:lang w:eastAsia="en-AU"/>
        </w:rPr>
        <w:t>including the NBC and the IGAB I</w:t>
      </w:r>
      <w:r w:rsidRPr="00DC7EC5">
        <w:rPr>
          <w:rFonts w:eastAsia="Times New Roman" w:cs="Segoe UI"/>
          <w:lang w:eastAsia="en-AU"/>
        </w:rPr>
        <w:t xml:space="preserve">mplementation </w:t>
      </w:r>
      <w:r w:rsidR="000B4356">
        <w:rPr>
          <w:rFonts w:eastAsia="Times New Roman" w:cs="Segoe UI"/>
          <w:lang w:eastAsia="en-AU"/>
        </w:rPr>
        <w:t>T</w:t>
      </w:r>
      <w:r w:rsidRPr="00DC7EC5">
        <w:rPr>
          <w:rFonts w:eastAsia="Times New Roman" w:cs="Segoe UI"/>
          <w:lang w:eastAsia="en-AU"/>
        </w:rPr>
        <w:t xml:space="preserve">askforce, are illustrated in </w:t>
      </w:r>
      <w:r w:rsidR="00760110" w:rsidRPr="00DC7EC5">
        <w:rPr>
          <w:rFonts w:eastAsia="Times New Roman" w:cs="Segoe UI"/>
          <w:lang w:eastAsia="en-AU"/>
        </w:rPr>
        <w:fldChar w:fldCharType="begin"/>
      </w:r>
      <w:r w:rsidR="00760110" w:rsidRPr="00DC7EC5">
        <w:rPr>
          <w:rFonts w:eastAsia="Times New Roman" w:cs="Segoe UI"/>
          <w:lang w:eastAsia="en-AU"/>
        </w:rPr>
        <w:instrText xml:space="preserve"> REF _Ref449106788 \h </w:instrText>
      </w:r>
      <w:r w:rsidR="00DE3CED" w:rsidRPr="00DC7EC5">
        <w:rPr>
          <w:rFonts w:eastAsia="Times New Roman" w:cs="Segoe UI"/>
          <w:lang w:eastAsia="en-AU"/>
        </w:rPr>
        <w:instrText xml:space="preserve"> \* MERGEFORMAT </w:instrText>
      </w:r>
      <w:r w:rsidR="00760110" w:rsidRPr="00DC7EC5">
        <w:rPr>
          <w:rFonts w:eastAsia="Times New Roman" w:cs="Segoe UI"/>
          <w:lang w:eastAsia="en-AU"/>
        </w:rPr>
      </w:r>
      <w:r w:rsidR="00760110" w:rsidRPr="00DC7EC5">
        <w:rPr>
          <w:rFonts w:eastAsia="Times New Roman" w:cs="Segoe UI"/>
          <w:lang w:eastAsia="en-AU"/>
        </w:rPr>
        <w:fldChar w:fldCharType="separate"/>
      </w:r>
      <w:r w:rsidR="0038249E" w:rsidRPr="00F16EAF">
        <w:t xml:space="preserve">Figure </w:t>
      </w:r>
      <w:r w:rsidR="0038249E">
        <w:t>2</w:t>
      </w:r>
      <w:r w:rsidR="00760110" w:rsidRPr="00DC7EC5">
        <w:rPr>
          <w:rFonts w:eastAsia="Times New Roman" w:cs="Segoe UI"/>
          <w:lang w:eastAsia="en-AU"/>
        </w:rPr>
        <w:fldChar w:fldCharType="end"/>
      </w:r>
      <w:r w:rsidR="007351EF" w:rsidRPr="00DC7EC5">
        <w:rPr>
          <w:rFonts w:eastAsia="Times New Roman" w:cs="Segoe UI"/>
          <w:lang w:eastAsia="en-AU"/>
        </w:rPr>
        <w:t>.</w:t>
      </w:r>
    </w:p>
    <w:p w:rsidR="00760110" w:rsidRPr="00246C32" w:rsidRDefault="00760110" w:rsidP="00C25187">
      <w:pPr>
        <w:pStyle w:val="Caption"/>
        <w:spacing w:after="160" w:line="259" w:lineRule="auto"/>
        <w:ind w:left="426"/>
      </w:pPr>
      <w:bookmarkStart w:id="20" w:name="_Ref449106788"/>
      <w:bookmarkStart w:id="21" w:name="_Toc450126749"/>
      <w:r w:rsidRPr="00F16EAF">
        <w:lastRenderedPageBreak/>
        <w:t xml:space="preserve">Figure </w:t>
      </w:r>
      <w:r w:rsidR="002F3AAF">
        <w:fldChar w:fldCharType="begin"/>
      </w:r>
      <w:r w:rsidR="002F3AAF">
        <w:instrText xml:space="preserve"> SEQ Figure \* ARABIC </w:instrText>
      </w:r>
      <w:r w:rsidR="002F3AAF">
        <w:fldChar w:fldCharType="separate"/>
      </w:r>
      <w:r w:rsidR="0038249E">
        <w:rPr>
          <w:noProof/>
        </w:rPr>
        <w:t>2</w:t>
      </w:r>
      <w:r w:rsidR="002F3AAF">
        <w:rPr>
          <w:noProof/>
        </w:rPr>
        <w:fldChar w:fldCharType="end"/>
      </w:r>
      <w:bookmarkEnd w:id="20"/>
      <w:r w:rsidRPr="00F16EAF">
        <w:t xml:space="preserve"> </w:t>
      </w:r>
      <w:r w:rsidR="00246C32">
        <w:t xml:space="preserve">Arrangements supporting </w:t>
      </w:r>
      <w:r w:rsidR="00246C32" w:rsidRPr="00246C32">
        <w:t>t</w:t>
      </w:r>
      <w:r w:rsidR="00547343" w:rsidRPr="00246C32">
        <w:t>he</w:t>
      </w:r>
      <w:r w:rsidR="00F2095B" w:rsidRPr="00246C32">
        <w:t xml:space="preserve"> </w:t>
      </w:r>
      <w:r w:rsidR="00C25187">
        <w:t>IGAB</w:t>
      </w:r>
      <w:bookmarkEnd w:id="21"/>
    </w:p>
    <w:p w:rsidR="005A4749" w:rsidRPr="00F16EAF" w:rsidRDefault="00C25187" w:rsidP="00B37C77">
      <w:pPr>
        <w:pStyle w:val="Picture"/>
        <w:spacing w:before="0" w:after="160" w:line="259" w:lineRule="auto"/>
        <w:jc w:val="center"/>
        <w:rPr>
          <w:noProof w:val="0"/>
        </w:rPr>
      </w:pPr>
      <w:r w:rsidRPr="00C25187">
        <w:drawing>
          <wp:inline distT="0" distB="0" distL="0" distR="0">
            <wp:extent cx="5181453" cy="7347437"/>
            <wp:effectExtent l="0" t="0" r="635" b="0"/>
            <wp:docPr id="3" name="Picture 3" descr="Shows the structure of arrangements supporting the Intergovernmental Agreement on Biosecurity (IGAB). The National Biosecurity Committee (NBC) is the oversighting body tasked with implementing the national priorities identified in the IGAB. The Intergovernmental Agreement on Biosecurity (IGAB) Implementation Taskforce oversees progress and coordinates input from short term task specific groups, two National Biosecurity Expert Groups (Information and Governance and Emergency Preparedness) as well as four permanent sub-committees (animal health, plant health, invasive plants and animals, marine pests sectoral) to deliver NBC and IGAB objectives. Two companies, Animal Health Australia and Plant Health Australia, work with industry, the permanent sub-committees and directly with NBC. The IGAB Taskforce reports to NBC who reports to the Agriculture Senior Officials Committee (AGSOC) which in turn reports to the Agriculture Minister’s Forum (AGMIN)." title="Arrangements supporting the Intergovernmental Agreement on Bio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95261" cy="7367018"/>
                    </a:xfrm>
                    <a:prstGeom prst="rect">
                      <a:avLst/>
                    </a:prstGeom>
                    <a:noFill/>
                    <a:ln>
                      <a:noFill/>
                    </a:ln>
                  </pic:spPr>
                </pic:pic>
              </a:graphicData>
            </a:graphic>
          </wp:inline>
        </w:drawing>
      </w:r>
    </w:p>
    <w:p w:rsidR="007351EF" w:rsidRPr="00F16EAF" w:rsidRDefault="00B92259" w:rsidP="007351EF">
      <w:pPr>
        <w:shd w:val="clear" w:color="auto" w:fill="FFFFFF" w:themeFill="background1"/>
        <w:rPr>
          <w:rFonts w:eastAsia="Times New Roman" w:cs="Segoe UI"/>
          <w:color w:val="000000"/>
          <w:lang w:eastAsia="en-AU"/>
        </w:rPr>
      </w:pPr>
      <w:r w:rsidRPr="00F16EAF">
        <w:rPr>
          <w:rFonts w:eastAsia="Times New Roman" w:cs="Segoe UI"/>
          <w:lang w:eastAsia="en-AU"/>
        </w:rPr>
        <w:t>Governments</w:t>
      </w:r>
      <w:r w:rsidR="007351EF" w:rsidRPr="00F16EAF">
        <w:rPr>
          <w:rFonts w:eastAsia="Times New Roman" w:cs="Segoe UI"/>
          <w:lang w:eastAsia="en-AU"/>
        </w:rPr>
        <w:t xml:space="preserve"> have published details of significant achievements and outputs </w:t>
      </w:r>
      <w:r w:rsidR="00982E17">
        <w:rPr>
          <w:rFonts w:eastAsia="Times New Roman" w:cs="Segoe UI"/>
          <w:lang w:eastAsia="en-AU"/>
        </w:rPr>
        <w:t xml:space="preserve">since 2012 </w:t>
      </w:r>
      <w:r w:rsidR="00B127B2" w:rsidRPr="00F16EAF">
        <w:rPr>
          <w:rFonts w:eastAsia="Times New Roman" w:cs="Segoe UI"/>
          <w:lang w:eastAsia="en-AU"/>
        </w:rPr>
        <w:t>against the priority areas identified in the IGAB schedules</w:t>
      </w:r>
      <w:r w:rsidR="007351EF" w:rsidRPr="00F16EAF">
        <w:rPr>
          <w:rFonts w:eastAsia="Times New Roman" w:cs="Segoe UI"/>
          <w:lang w:eastAsia="en-AU"/>
        </w:rPr>
        <w:t>—mostly in the form of policy or decision-m</w:t>
      </w:r>
      <w:r w:rsidR="003455A1" w:rsidRPr="00F16EAF">
        <w:rPr>
          <w:rFonts w:eastAsia="Times New Roman" w:cs="Segoe UI"/>
          <w:lang w:eastAsia="en-AU"/>
        </w:rPr>
        <w:t xml:space="preserve">aking frameworks by governments. The </w:t>
      </w:r>
      <w:hyperlink r:id="rId24" w:history="1">
        <w:r w:rsidR="007351EF" w:rsidRPr="00F16EAF">
          <w:rPr>
            <w:rFonts w:eastAsia="Times New Roman" w:cs="Segoe UI"/>
            <w:lang w:eastAsia="en-AU"/>
          </w:rPr>
          <w:t>National Environmental Biosecurity Response Agreement</w:t>
        </w:r>
      </w:hyperlink>
      <w:r w:rsidR="007351EF" w:rsidRPr="00F16EAF">
        <w:rPr>
          <w:rFonts w:eastAsia="Times New Roman" w:cs="Segoe UI"/>
          <w:lang w:eastAsia="en-AU"/>
        </w:rPr>
        <w:t xml:space="preserve"> (NEBRA)</w:t>
      </w:r>
      <w:r w:rsidR="003455A1" w:rsidRPr="00F16EAF">
        <w:rPr>
          <w:rFonts w:eastAsia="Times New Roman" w:cs="Segoe UI"/>
          <w:lang w:eastAsia="en-AU"/>
        </w:rPr>
        <w:t xml:space="preserve"> was the first deliverable under the IGAB</w:t>
      </w:r>
      <w:r w:rsidR="007351EF" w:rsidRPr="00F16EAF">
        <w:rPr>
          <w:rFonts w:eastAsia="Times New Roman" w:cs="Segoe UI"/>
          <w:lang w:eastAsia="en-AU"/>
        </w:rPr>
        <w:t xml:space="preserve">. </w:t>
      </w:r>
      <w:r w:rsidR="00344AE9" w:rsidRPr="00F16EAF">
        <w:t xml:space="preserve">Further information on key IGAB achievements can be found </w:t>
      </w:r>
      <w:hyperlink r:id="rId25" w:history="1">
        <w:r w:rsidR="00344AE9" w:rsidRPr="00F16EAF">
          <w:rPr>
            <w:rStyle w:val="Hyperlink"/>
          </w:rPr>
          <w:t>at Biosecurity Partnerships</w:t>
        </w:r>
      </w:hyperlink>
      <w:r w:rsidR="00344AE9" w:rsidRPr="00F16EAF">
        <w:t xml:space="preserve"> on the Australian Government Department of Agriculture and Water Resource’s website.</w:t>
      </w:r>
    </w:p>
    <w:p w:rsidR="007351EF" w:rsidRPr="00F16EAF" w:rsidRDefault="007351EF" w:rsidP="007351EF">
      <w:pPr>
        <w:shd w:val="clear" w:color="auto" w:fill="FFFFFF" w:themeFill="background1"/>
        <w:rPr>
          <w:rFonts w:eastAsia="Times New Roman" w:cs="Segoe UI"/>
          <w:lang w:eastAsia="en-AU"/>
        </w:rPr>
      </w:pPr>
      <w:r w:rsidRPr="00F16EAF">
        <w:rPr>
          <w:rFonts w:eastAsia="Times New Roman" w:cs="Segoe UI"/>
          <w:lang w:eastAsia="en-AU"/>
        </w:rPr>
        <w:lastRenderedPageBreak/>
        <w:t xml:space="preserve">The 2012 IGAB was ambitious in what it set out to achieve, not necessarily matched by </w:t>
      </w:r>
      <w:r w:rsidR="00F16EAF" w:rsidRPr="00F16EAF">
        <w:rPr>
          <w:rFonts w:eastAsia="Times New Roman" w:cs="Segoe UI"/>
          <w:lang w:eastAsia="en-AU"/>
        </w:rPr>
        <w:t xml:space="preserve">the </w:t>
      </w:r>
      <w:r w:rsidRPr="00F16EAF">
        <w:rPr>
          <w:rFonts w:eastAsia="Times New Roman" w:cs="Segoe UI"/>
          <w:lang w:eastAsia="en-AU"/>
        </w:rPr>
        <w:t xml:space="preserve">available </w:t>
      </w:r>
      <w:r w:rsidR="00F16EAF" w:rsidRPr="00F16EAF">
        <w:rPr>
          <w:rFonts w:eastAsia="Times New Roman" w:cs="Segoe UI"/>
          <w:lang w:eastAsia="en-AU"/>
        </w:rPr>
        <w:t>resources</w:t>
      </w:r>
      <w:r w:rsidRPr="00F16EAF">
        <w:rPr>
          <w:rFonts w:eastAsia="Times New Roman" w:cs="Segoe UI"/>
          <w:lang w:eastAsia="en-AU"/>
        </w:rPr>
        <w:t xml:space="preserve">. As a consequence, </w:t>
      </w:r>
      <w:r w:rsidR="00F4491E" w:rsidRPr="00F16EAF">
        <w:rPr>
          <w:rFonts w:eastAsia="Times New Roman" w:cs="Segoe UI"/>
          <w:lang w:eastAsia="en-AU"/>
        </w:rPr>
        <w:t>governments</w:t>
      </w:r>
      <w:r w:rsidRPr="00F16EAF">
        <w:rPr>
          <w:rFonts w:eastAsia="Times New Roman" w:cs="Segoe UI"/>
          <w:lang w:eastAsia="en-AU"/>
        </w:rPr>
        <w:t xml:space="preserve"> have identified that a number of IGAB priorities remain to be fully addressed</w:t>
      </w:r>
      <w:r w:rsidR="003919B6" w:rsidRPr="00F16EAF">
        <w:rPr>
          <w:rFonts w:eastAsia="Times New Roman" w:cs="Segoe UI"/>
          <w:lang w:eastAsia="en-AU"/>
        </w:rPr>
        <w:t xml:space="preserve">. These </w:t>
      </w:r>
      <w:r w:rsidRPr="00F16EAF">
        <w:rPr>
          <w:rFonts w:eastAsia="Times New Roman" w:cs="Segoe UI"/>
          <w:lang w:eastAsia="en-AU"/>
        </w:rPr>
        <w:t>have been consolidated into six priority areas:</w:t>
      </w:r>
    </w:p>
    <w:p w:rsidR="007351EF" w:rsidRPr="00F16EAF" w:rsidRDefault="007351EF" w:rsidP="00194ED4">
      <w:pPr>
        <w:pStyle w:val="ListNumber"/>
        <w:numPr>
          <w:ilvl w:val="0"/>
          <w:numId w:val="31"/>
        </w:numPr>
        <w:ind w:left="714" w:hanging="357"/>
        <w:contextualSpacing/>
        <w:rPr>
          <w:lang w:eastAsia="en-AU"/>
        </w:rPr>
      </w:pPr>
      <w:r w:rsidRPr="00F16EAF">
        <w:rPr>
          <w:lang w:eastAsia="en-AU"/>
        </w:rPr>
        <w:t>National decision making and investment</w:t>
      </w:r>
    </w:p>
    <w:p w:rsidR="007351EF" w:rsidRPr="00F16EAF" w:rsidRDefault="007351EF" w:rsidP="00194ED4">
      <w:pPr>
        <w:pStyle w:val="ListNumber"/>
        <w:ind w:left="714" w:hanging="357"/>
        <w:contextualSpacing/>
        <w:rPr>
          <w:lang w:eastAsia="en-AU"/>
        </w:rPr>
      </w:pPr>
      <w:r w:rsidRPr="00F16EAF">
        <w:rPr>
          <w:lang w:eastAsia="en-AU"/>
        </w:rPr>
        <w:t>National emergency preparedness and response</w:t>
      </w:r>
    </w:p>
    <w:p w:rsidR="007351EF" w:rsidRPr="00F16EAF" w:rsidRDefault="007351EF" w:rsidP="00194ED4">
      <w:pPr>
        <w:pStyle w:val="ListNumber"/>
        <w:ind w:left="714" w:hanging="357"/>
        <w:contextualSpacing/>
        <w:rPr>
          <w:lang w:eastAsia="en-AU"/>
        </w:rPr>
      </w:pPr>
      <w:r w:rsidRPr="00F16EAF">
        <w:rPr>
          <w:lang w:eastAsia="en-AU"/>
        </w:rPr>
        <w:t>Established pests and diseases of national significance</w:t>
      </w:r>
    </w:p>
    <w:p w:rsidR="007351EF" w:rsidRPr="00F16EAF" w:rsidRDefault="007351EF" w:rsidP="00194ED4">
      <w:pPr>
        <w:pStyle w:val="ListNumber"/>
        <w:ind w:left="714" w:hanging="357"/>
        <w:contextualSpacing/>
        <w:rPr>
          <w:lang w:eastAsia="en-AU"/>
        </w:rPr>
      </w:pPr>
      <w:r w:rsidRPr="00F16EAF">
        <w:rPr>
          <w:lang w:eastAsia="en-AU"/>
        </w:rPr>
        <w:t>Surveillance and diagnostics</w:t>
      </w:r>
    </w:p>
    <w:p w:rsidR="007351EF" w:rsidRPr="00F16EAF" w:rsidRDefault="007351EF" w:rsidP="00194ED4">
      <w:pPr>
        <w:pStyle w:val="ListNumber"/>
        <w:ind w:left="714" w:hanging="357"/>
        <w:contextualSpacing/>
        <w:rPr>
          <w:lang w:eastAsia="en-AU"/>
        </w:rPr>
      </w:pPr>
      <w:r w:rsidRPr="00F16EAF">
        <w:rPr>
          <w:lang w:eastAsia="en-AU"/>
        </w:rPr>
        <w:t>Information management, and</w:t>
      </w:r>
    </w:p>
    <w:p w:rsidR="007351EF" w:rsidRPr="00F16EAF" w:rsidRDefault="007351EF" w:rsidP="00194ED4">
      <w:pPr>
        <w:pStyle w:val="ListNumber"/>
        <w:ind w:left="714" w:hanging="357"/>
        <w:contextualSpacing/>
        <w:rPr>
          <w:lang w:eastAsia="en-AU"/>
        </w:rPr>
      </w:pPr>
      <w:r w:rsidRPr="00F16EAF">
        <w:rPr>
          <w:lang w:eastAsia="en-AU"/>
        </w:rPr>
        <w:t>Communications and engagement.</w:t>
      </w:r>
    </w:p>
    <w:p w:rsidR="007351EF" w:rsidRPr="00F16EAF" w:rsidRDefault="007351EF" w:rsidP="007351EF">
      <w:pPr>
        <w:shd w:val="clear" w:color="auto" w:fill="FFFFFF" w:themeFill="background1"/>
        <w:rPr>
          <w:rFonts w:eastAsia="Times New Roman" w:cs="Segoe UI"/>
          <w:lang w:eastAsia="en-AU"/>
        </w:rPr>
      </w:pPr>
      <w:r w:rsidRPr="00F16EAF">
        <w:rPr>
          <w:rFonts w:eastAsia="Times New Roman" w:cs="Segoe UI"/>
          <w:lang w:eastAsia="en-AU"/>
        </w:rPr>
        <w:t xml:space="preserve">The most complex and challenging priorities are those related to national decision making and investment, </w:t>
      </w:r>
      <w:r w:rsidRPr="00F16EAF">
        <w:rPr>
          <w:rFonts w:cs="Segoe UI"/>
        </w:rPr>
        <w:t>including: addressing gaps in existing emergency response arrangements; identifying sustainable funding mechanisms to allow no</w:t>
      </w:r>
      <w:r w:rsidR="00057B90" w:rsidRPr="00F16EAF">
        <w:rPr>
          <w:rFonts w:cs="Segoe UI"/>
        </w:rPr>
        <w:t>n</w:t>
      </w:r>
      <w:r w:rsidRPr="00F16EAF">
        <w:rPr>
          <w:rFonts w:cs="Segoe UI"/>
        </w:rPr>
        <w:t>-government contributions; managing long</w:t>
      </w:r>
      <w:r w:rsidR="00F644B7" w:rsidRPr="00F16EAF">
        <w:rPr>
          <w:rFonts w:cs="Segoe UI"/>
        </w:rPr>
        <w:t>-</w:t>
      </w:r>
      <w:r w:rsidRPr="00F16EAF">
        <w:rPr>
          <w:rFonts w:cs="Segoe UI"/>
        </w:rPr>
        <w:t xml:space="preserve">term containment programs; and, developing a national biosecurity investment framework. Some of these challenges </w:t>
      </w:r>
      <w:r w:rsidR="00CE673A" w:rsidRPr="00F16EAF">
        <w:rPr>
          <w:rFonts w:cs="Segoe UI"/>
        </w:rPr>
        <w:t>are</w:t>
      </w:r>
      <w:r w:rsidRPr="00F16EAF">
        <w:rPr>
          <w:rFonts w:cs="Segoe UI"/>
        </w:rPr>
        <w:t xml:space="preserve"> discussed </w:t>
      </w:r>
      <w:r w:rsidR="00EB4B37" w:rsidRPr="00F16EAF">
        <w:rPr>
          <w:rFonts w:cs="Segoe UI"/>
        </w:rPr>
        <w:t xml:space="preserve">in </w:t>
      </w:r>
      <w:r w:rsidRPr="00F16EAF">
        <w:rPr>
          <w:rFonts w:cs="Segoe UI"/>
        </w:rPr>
        <w:t>this paper.</w:t>
      </w:r>
    </w:p>
    <w:p w:rsidR="007351EF" w:rsidRPr="00F16EAF" w:rsidRDefault="007351EF" w:rsidP="007351EF">
      <w:r w:rsidRPr="00F16EAF">
        <w:t xml:space="preserve">While many of the priorities and products from IGAB will necessarily be for governments to advance, industry and the broader community have an interest in what is being progressed under the agreement. Concerns have been raised over the level of engagement </w:t>
      </w:r>
      <w:r w:rsidR="00EA56A4" w:rsidRPr="00F16EAF">
        <w:t xml:space="preserve">with industry and the broader community </w:t>
      </w:r>
      <w:r w:rsidRPr="00F16EAF">
        <w:t>by governments in both the construct of the IGAB in 2012, and subsequent implementation of the priority ref</w:t>
      </w:r>
      <w:r w:rsidR="00794A98" w:rsidRPr="00F16EAF">
        <w:t>orm areas (the schedules). The r</w:t>
      </w:r>
      <w:r w:rsidRPr="00F16EAF">
        <w:t xml:space="preserve">eview </w:t>
      </w:r>
      <w:r w:rsidR="00794A98" w:rsidRPr="00F16EAF">
        <w:t>p</w:t>
      </w:r>
      <w:r w:rsidRPr="00F16EAF">
        <w:t>anel is aware that some stakeholders are seeking more direct involvement in IGAB implementation and decision-making, beyond that of emerge</w:t>
      </w:r>
      <w:r w:rsidR="00C64093" w:rsidRPr="00F16EAF">
        <w:t>ncy response deed arrangements.</w:t>
      </w:r>
    </w:p>
    <w:p w:rsidR="007351EF" w:rsidRPr="00F16EAF" w:rsidRDefault="007351EF" w:rsidP="007351EF">
      <w:r w:rsidRPr="00F16EAF">
        <w:t xml:space="preserve">The </w:t>
      </w:r>
      <w:r w:rsidR="00794A98" w:rsidRPr="00F16EAF">
        <w:t>r</w:t>
      </w:r>
      <w:r w:rsidRPr="00F16EAF">
        <w:t xml:space="preserve">eview </w:t>
      </w:r>
      <w:r w:rsidR="00794A98" w:rsidRPr="00F16EAF">
        <w:t>p</w:t>
      </w:r>
      <w:r w:rsidRPr="00F16EAF">
        <w:t xml:space="preserve">anel is interested in your views on the suitability of the IGAB to underpin </w:t>
      </w:r>
      <w:r w:rsidR="00E04FC6" w:rsidRPr="00F16EAF">
        <w:t>the</w:t>
      </w:r>
      <w:r w:rsidRPr="00F16EAF">
        <w:t xml:space="preserve"> national biosecurity </w:t>
      </w:r>
      <w:r w:rsidR="00510834" w:rsidRPr="00F16EAF">
        <w:t xml:space="preserve">system </w:t>
      </w:r>
      <w:r w:rsidRPr="00F16EAF">
        <w:t>in the future, and practical suggestions for possible ways to increase stakeholder involvement in, and contribution to, IGAB activities—in keeping with the system’s underlying co</w:t>
      </w:r>
      <w:r w:rsidR="00760110" w:rsidRPr="00F16EAF">
        <w:t>ncept of shared responsibility.</w:t>
      </w:r>
    </w:p>
    <w:p w:rsidR="005C2D23" w:rsidRPr="00F16EAF" w:rsidRDefault="00760110" w:rsidP="00C37660">
      <w:pPr>
        <w:pStyle w:val="Boxedtext"/>
        <w:rPr>
          <w:b/>
          <w:lang w:val="en-AU"/>
        </w:rPr>
      </w:pPr>
      <w:r w:rsidRPr="00F16EAF">
        <w:rPr>
          <w:b/>
          <w:lang w:val="en-AU"/>
        </w:rPr>
        <w:t>Question 1</w:t>
      </w:r>
    </w:p>
    <w:p w:rsidR="00760110" w:rsidRPr="00F16EAF" w:rsidRDefault="00760110" w:rsidP="00C37660">
      <w:pPr>
        <w:pStyle w:val="Boxedtext"/>
        <w:rPr>
          <w:lang w:val="en-AU"/>
        </w:rPr>
      </w:pPr>
      <w:r w:rsidRPr="00F16EAF">
        <w:rPr>
          <w:lang w:val="en-AU"/>
        </w:rPr>
        <w:t>Is the IGAB a suitable mechanism to underpin Australia’s national biosecurity system in</w:t>
      </w:r>
      <w:r w:rsidR="003D4787" w:rsidRPr="00F16EAF">
        <w:rPr>
          <w:lang w:val="en-AU"/>
        </w:rPr>
        <w:t xml:space="preserve"> </w:t>
      </w:r>
      <w:r w:rsidRPr="00F16EAF">
        <w:rPr>
          <w:lang w:val="en-AU"/>
        </w:rPr>
        <w:t xml:space="preserve">the future (10 or 20 years from now)? Are the </w:t>
      </w:r>
      <w:r w:rsidR="00C23020" w:rsidRPr="00F16EAF">
        <w:rPr>
          <w:lang w:val="en-AU"/>
        </w:rPr>
        <w:t>consolidated</w:t>
      </w:r>
      <w:r w:rsidRPr="00F16EAF">
        <w:rPr>
          <w:lang w:val="en-AU"/>
        </w:rPr>
        <w:t xml:space="preserve"> priority areas still appropriate?</w:t>
      </w:r>
    </w:p>
    <w:p w:rsidR="005C2D23" w:rsidRPr="00F16EAF" w:rsidRDefault="00760110" w:rsidP="00C37660">
      <w:pPr>
        <w:pStyle w:val="Boxedtext"/>
        <w:rPr>
          <w:b/>
          <w:lang w:val="en-AU"/>
        </w:rPr>
      </w:pPr>
      <w:r w:rsidRPr="00F16EAF">
        <w:rPr>
          <w:b/>
          <w:lang w:val="en-AU"/>
        </w:rPr>
        <w:t>Question 2</w:t>
      </w:r>
    </w:p>
    <w:p w:rsidR="00760110" w:rsidRPr="00F16EAF" w:rsidRDefault="00760110" w:rsidP="00C37660">
      <w:pPr>
        <w:pStyle w:val="Boxedtext"/>
        <w:rPr>
          <w:lang w:val="en-AU"/>
        </w:rPr>
      </w:pPr>
      <w:r w:rsidRPr="00F16EAF">
        <w:rPr>
          <w:lang w:val="en-AU"/>
        </w:rPr>
        <w:t>What are your views on the construct, effectiveness, and transparency of the IGAB? Please provide examples.</w:t>
      </w:r>
    </w:p>
    <w:p w:rsidR="005C2D23" w:rsidRPr="00F16EAF" w:rsidRDefault="00760110" w:rsidP="00C37660">
      <w:pPr>
        <w:pStyle w:val="Boxedtext"/>
        <w:rPr>
          <w:b/>
          <w:lang w:val="en-AU"/>
        </w:rPr>
      </w:pPr>
      <w:r w:rsidRPr="00F16EAF">
        <w:rPr>
          <w:b/>
          <w:lang w:val="en-AU"/>
        </w:rPr>
        <w:t>Question 3</w:t>
      </w:r>
    </w:p>
    <w:p w:rsidR="00760110" w:rsidRPr="00F16EAF" w:rsidRDefault="00760110" w:rsidP="00C37660">
      <w:pPr>
        <w:pStyle w:val="Boxedtext"/>
        <w:rPr>
          <w:lang w:val="en-AU"/>
        </w:rPr>
      </w:pPr>
      <w:r w:rsidRPr="00F16EAF">
        <w:rPr>
          <w:lang w:val="en-AU"/>
        </w:rPr>
        <w:t xml:space="preserve">What practical improvements to the IGAB and/or its structure would provide for an increased, but accountable, role for industry and the </w:t>
      </w:r>
      <w:r w:rsidR="002563F5" w:rsidRPr="00F16EAF">
        <w:rPr>
          <w:lang w:val="en-AU"/>
        </w:rPr>
        <w:t xml:space="preserve">broader </w:t>
      </w:r>
      <w:r w:rsidRPr="00F16EAF">
        <w:rPr>
          <w:lang w:val="en-AU"/>
        </w:rPr>
        <w:t>community?</w:t>
      </w:r>
    </w:p>
    <w:p w:rsidR="003F23D9" w:rsidRPr="00F16EAF" w:rsidRDefault="003F23D9" w:rsidP="001132CB">
      <w:pPr>
        <w:pStyle w:val="Heading3"/>
      </w:pPr>
      <w:bookmarkStart w:id="22" w:name="_Toc450126737"/>
      <w:r w:rsidRPr="00F16EAF">
        <w:t xml:space="preserve">Agreeing </w:t>
      </w:r>
      <w:r w:rsidR="003B5A14" w:rsidRPr="00F16EAF">
        <w:t xml:space="preserve">to </w:t>
      </w:r>
      <w:r w:rsidRPr="00F16EAF">
        <w:t>objectives, risks and priorities</w:t>
      </w:r>
      <w:bookmarkEnd w:id="22"/>
    </w:p>
    <w:p w:rsidR="003F23D9" w:rsidRPr="00F16EAF" w:rsidRDefault="00747095" w:rsidP="003F23D9">
      <w:pPr>
        <w:rPr>
          <w:rFonts w:eastAsia="Calibri" w:cs="Cambria"/>
        </w:rPr>
      </w:pPr>
      <w:r w:rsidRPr="00F16EAF">
        <w:rPr>
          <w:rFonts w:eastAsia="Calibri" w:cs="Cambria"/>
        </w:rPr>
        <w:t xml:space="preserve">The goal and objectives of </w:t>
      </w:r>
      <w:r w:rsidR="00840DE4" w:rsidRPr="00F16EAF">
        <w:rPr>
          <w:rFonts w:eastAsia="Calibri" w:cs="Cambria"/>
        </w:rPr>
        <w:t>the</w:t>
      </w:r>
      <w:r w:rsidRPr="00F16EAF">
        <w:rPr>
          <w:rFonts w:eastAsia="Calibri" w:cs="Cambria"/>
        </w:rPr>
        <w:t xml:space="preserve"> national biosecurity system are </w:t>
      </w:r>
      <w:r w:rsidR="003F23D9" w:rsidRPr="00F16EAF">
        <w:rPr>
          <w:rFonts w:eastAsia="Calibri" w:cs="Cambria"/>
        </w:rPr>
        <w:t>articulated in the IGAB</w:t>
      </w:r>
      <w:r w:rsidRPr="00F16EAF">
        <w:rPr>
          <w:rFonts w:eastAsia="Calibri" w:cs="Cambria"/>
        </w:rPr>
        <w:t>.</w:t>
      </w:r>
      <w:r w:rsidR="003F23D9" w:rsidRPr="00F16EAF">
        <w:rPr>
          <w:rFonts w:eastAsia="Calibri" w:cs="Cambria"/>
        </w:rPr>
        <w:t xml:space="preserve"> </w:t>
      </w:r>
      <w:r w:rsidRPr="00F16EAF">
        <w:rPr>
          <w:rFonts w:eastAsia="Calibri" w:cs="Cambria"/>
        </w:rPr>
        <w:t>T</w:t>
      </w:r>
      <w:r w:rsidR="003F23D9" w:rsidRPr="00F16EAF">
        <w:rPr>
          <w:rFonts w:eastAsia="Calibri" w:cs="Cambria"/>
        </w:rPr>
        <w:t xml:space="preserve">he goal of </w:t>
      </w:r>
      <w:r w:rsidR="00425B51" w:rsidRPr="00F16EAF">
        <w:rPr>
          <w:rFonts w:eastAsia="Calibri" w:cs="Cambria"/>
        </w:rPr>
        <w:t xml:space="preserve">the </w:t>
      </w:r>
      <w:r w:rsidR="003F23D9" w:rsidRPr="00F16EAF">
        <w:rPr>
          <w:rFonts w:eastAsia="Calibri" w:cs="Cambria"/>
        </w:rPr>
        <w:t>national biosecurity system is to minimise the impact of pests and diseases on Australia’s economy</w:t>
      </w:r>
      <w:r w:rsidR="00C64093" w:rsidRPr="00F16EAF">
        <w:rPr>
          <w:rFonts w:eastAsia="Calibri" w:cs="Cambria"/>
        </w:rPr>
        <w:t xml:space="preserve">, environment and the </w:t>
      </w:r>
      <w:r w:rsidR="00CD5504" w:rsidRPr="00F16EAF">
        <w:rPr>
          <w:rFonts w:eastAsia="Calibri" w:cs="Cambria"/>
        </w:rPr>
        <w:t xml:space="preserve">broader </w:t>
      </w:r>
      <w:r w:rsidR="00C64093" w:rsidRPr="00F16EAF">
        <w:rPr>
          <w:rFonts w:eastAsia="Calibri" w:cs="Cambria"/>
        </w:rPr>
        <w:t xml:space="preserve">community. To achieve this goal resources are </w:t>
      </w:r>
      <w:r w:rsidR="003F23D9" w:rsidRPr="00F16EAF">
        <w:rPr>
          <w:rFonts w:eastAsia="Calibri" w:cs="Cambria"/>
        </w:rPr>
        <w:t>targeted to manage risk</w:t>
      </w:r>
      <w:r w:rsidR="00C64093" w:rsidRPr="00F16EAF">
        <w:rPr>
          <w:rFonts w:eastAsia="Calibri" w:cs="Cambria"/>
        </w:rPr>
        <w:t>s</w:t>
      </w:r>
      <w:r w:rsidR="003F23D9" w:rsidRPr="00F16EAF">
        <w:rPr>
          <w:rFonts w:eastAsia="Calibri" w:cs="Cambria"/>
        </w:rPr>
        <w:t xml:space="preserve"> across the system (pre-border, at the border and </w:t>
      </w:r>
      <w:r w:rsidR="00EB4EC8" w:rsidRPr="00F16EAF">
        <w:rPr>
          <w:rFonts w:eastAsia="Calibri" w:cs="Cambria"/>
        </w:rPr>
        <w:t>onshore</w:t>
      </w:r>
      <w:r w:rsidR="003F23D9" w:rsidRPr="00F16EAF">
        <w:rPr>
          <w:rFonts w:eastAsia="Calibri" w:cs="Cambria"/>
        </w:rPr>
        <w:t>), while facilitating trade and the movement of animals, plants, people, goods, vectors and vessels</w:t>
      </w:r>
      <w:r w:rsidR="00C64093" w:rsidRPr="00F16EAF">
        <w:rPr>
          <w:rFonts w:eastAsia="Calibri" w:cs="Cambria"/>
        </w:rPr>
        <w:t xml:space="preserve"> to, from and within Australia.</w:t>
      </w:r>
    </w:p>
    <w:p w:rsidR="003F23D9" w:rsidRPr="00F16EAF" w:rsidRDefault="003F23D9" w:rsidP="00DE40CB">
      <w:pPr>
        <w:keepNext/>
        <w:rPr>
          <w:rFonts w:eastAsia="Calibri" w:cs="Cambria"/>
        </w:rPr>
      </w:pPr>
      <w:r w:rsidRPr="00F16EAF">
        <w:rPr>
          <w:rFonts w:eastAsia="Calibri" w:cs="Cambria"/>
        </w:rPr>
        <w:lastRenderedPageBreak/>
        <w:t xml:space="preserve">Three objectives </w:t>
      </w:r>
      <w:r w:rsidR="00807A58" w:rsidRPr="00F16EAF">
        <w:rPr>
          <w:rFonts w:eastAsia="Calibri" w:cs="Cambria"/>
        </w:rPr>
        <w:t>support</w:t>
      </w:r>
      <w:r w:rsidRPr="00F16EAF">
        <w:rPr>
          <w:rFonts w:eastAsia="Calibri" w:cs="Cambria"/>
        </w:rPr>
        <w:t xml:space="preserve"> the goal of </w:t>
      </w:r>
      <w:r w:rsidR="00D67F0D" w:rsidRPr="00F16EAF">
        <w:rPr>
          <w:rFonts w:eastAsia="Calibri" w:cs="Cambria"/>
        </w:rPr>
        <w:t>the</w:t>
      </w:r>
      <w:r w:rsidR="00425B51" w:rsidRPr="00F16EAF">
        <w:rPr>
          <w:rFonts w:eastAsia="Calibri" w:cs="Cambria"/>
        </w:rPr>
        <w:t xml:space="preserve"> national </w:t>
      </w:r>
      <w:r w:rsidR="00807A58" w:rsidRPr="00F16EAF">
        <w:rPr>
          <w:rFonts w:eastAsia="Calibri" w:cs="Cambria"/>
        </w:rPr>
        <w:t>biosecurity system. These are</w:t>
      </w:r>
      <w:r w:rsidRPr="00F16EAF">
        <w:rPr>
          <w:rFonts w:eastAsia="Calibri" w:cs="Cambria"/>
        </w:rPr>
        <w:t xml:space="preserve"> </w:t>
      </w:r>
      <w:r w:rsidR="00987DFA" w:rsidRPr="00F16EAF">
        <w:rPr>
          <w:rFonts w:eastAsia="Calibri" w:cs="Cambria"/>
        </w:rPr>
        <w:t>providing</w:t>
      </w:r>
      <w:r w:rsidRPr="00F16EAF">
        <w:rPr>
          <w:rFonts w:eastAsia="Calibri" w:cs="Cambria"/>
        </w:rPr>
        <w:t xml:space="preserve"> arrangements, structures and frameworks that:</w:t>
      </w:r>
    </w:p>
    <w:p w:rsidR="003F23D9" w:rsidRPr="00F16EAF" w:rsidRDefault="003F23D9" w:rsidP="00194ED4">
      <w:pPr>
        <w:pStyle w:val="ListNumber"/>
        <w:numPr>
          <w:ilvl w:val="0"/>
          <w:numId w:val="32"/>
        </w:numPr>
        <w:ind w:left="714" w:hanging="357"/>
        <w:contextualSpacing/>
      </w:pPr>
      <w:r w:rsidRPr="00F16EAF">
        <w:t>reduce the likelihood of exotic pests and diseases, which have the potential to cause significant harm to the economy, the</w:t>
      </w:r>
      <w:r w:rsidR="00EB2AE6" w:rsidRPr="00F16EAF">
        <w:t xml:space="preserve"> environment, and the community </w:t>
      </w:r>
      <w:r w:rsidRPr="00F16EAF">
        <w:t>(including people, anim</w:t>
      </w:r>
      <w:r w:rsidR="003A4E44" w:rsidRPr="00F16EAF">
        <w:t xml:space="preserve">als and plants), from entering, </w:t>
      </w:r>
      <w:r w:rsidRPr="00F16EAF">
        <w:t>becoming established or spreading in Australia</w:t>
      </w:r>
    </w:p>
    <w:p w:rsidR="003F23D9" w:rsidRPr="00F16EAF" w:rsidRDefault="003F23D9" w:rsidP="00194ED4">
      <w:pPr>
        <w:pStyle w:val="ListNumber"/>
        <w:ind w:left="714" w:hanging="357"/>
        <w:contextualSpacing/>
      </w:pPr>
      <w:r w:rsidRPr="00F16EAF">
        <w:t>prepare and allow for effective response</w:t>
      </w:r>
      <w:r w:rsidR="000A00FE">
        <w:t>s</w:t>
      </w:r>
      <w:r w:rsidRPr="00F16EAF">
        <w:t xml:space="preserve"> to, and management of, exotic and emerging pests and diseases that enter, establish or spread in Australia, and</w:t>
      </w:r>
    </w:p>
    <w:p w:rsidR="003F23D9" w:rsidRPr="00F16EAF" w:rsidRDefault="003F23D9" w:rsidP="00194ED4">
      <w:pPr>
        <w:pStyle w:val="ListNumber"/>
        <w:ind w:left="714" w:hanging="357"/>
        <w:contextualSpacing/>
      </w:pPr>
      <w:r w:rsidRPr="00F16EAF">
        <w:t>ensure that</w:t>
      </w:r>
      <w:r w:rsidR="00446066" w:rsidRPr="00F16EAF">
        <w:t xml:space="preserve"> (</w:t>
      </w:r>
      <w:r w:rsidRPr="00F16EAF">
        <w:t>where appropriate</w:t>
      </w:r>
      <w:r w:rsidR="00446066" w:rsidRPr="00F16EAF">
        <w:t>)</w:t>
      </w:r>
      <w:r w:rsidRPr="00F16EAF">
        <w:t xml:space="preserve"> significant pests and diseases already in Australia are contained, suppressed or otherwise managed.</w:t>
      </w:r>
    </w:p>
    <w:p w:rsidR="003F23D9" w:rsidRPr="00F16EAF" w:rsidRDefault="00794A98" w:rsidP="003F23D9">
      <w:pPr>
        <w:rPr>
          <w:rFonts w:ascii="Calibri" w:eastAsia="Calibri" w:hAnsi="Calibri" w:cs="Times New Roman"/>
        </w:rPr>
      </w:pPr>
      <w:r w:rsidRPr="00F16EAF">
        <w:rPr>
          <w:rFonts w:eastAsia="Calibri" w:cs="Cambria"/>
        </w:rPr>
        <w:t>The r</w:t>
      </w:r>
      <w:r w:rsidR="003F23D9" w:rsidRPr="00F16EAF">
        <w:rPr>
          <w:rFonts w:eastAsia="Calibri" w:cs="Cambria"/>
        </w:rPr>
        <w:t xml:space="preserve">eview </w:t>
      </w:r>
      <w:r w:rsidRPr="00F16EAF">
        <w:rPr>
          <w:rFonts w:eastAsia="Calibri" w:cs="Cambria"/>
        </w:rPr>
        <w:t>p</w:t>
      </w:r>
      <w:r w:rsidR="003F23D9" w:rsidRPr="00F16EAF">
        <w:rPr>
          <w:rFonts w:eastAsia="Calibri" w:cs="Cambria"/>
        </w:rPr>
        <w:t xml:space="preserve">anel is interested in your views </w:t>
      </w:r>
      <w:r w:rsidR="008D22AE" w:rsidRPr="00F16EAF">
        <w:rPr>
          <w:rFonts w:eastAsia="Calibri" w:cs="Cambria"/>
        </w:rPr>
        <w:t>on</w:t>
      </w:r>
      <w:r w:rsidR="003F23D9" w:rsidRPr="00F16EAF">
        <w:rPr>
          <w:rFonts w:eastAsia="Calibri" w:cs="Cambria"/>
        </w:rPr>
        <w:t xml:space="preserve"> whether the current goal and objectives of </w:t>
      </w:r>
      <w:r w:rsidR="00C027D3" w:rsidRPr="00F16EAF">
        <w:rPr>
          <w:rFonts w:eastAsia="Calibri" w:cs="Cambria"/>
        </w:rPr>
        <w:t>the</w:t>
      </w:r>
      <w:r w:rsidR="003F23D9" w:rsidRPr="00F16EAF">
        <w:rPr>
          <w:rFonts w:eastAsia="Calibri" w:cs="Cambria"/>
        </w:rPr>
        <w:t xml:space="preserve"> national biosecurity system are still appropriate</w:t>
      </w:r>
      <w:r w:rsidR="00F0586C" w:rsidRPr="00F16EAF">
        <w:rPr>
          <w:rFonts w:eastAsia="Calibri" w:cs="Cambria"/>
        </w:rPr>
        <w:t xml:space="preserve"> </w:t>
      </w:r>
      <w:r w:rsidR="003F23D9" w:rsidRPr="00F16EAF">
        <w:rPr>
          <w:rFonts w:eastAsia="Calibri" w:cs="Cambria"/>
        </w:rPr>
        <w:t>to continue to meet the needs of the system and all of its stakeholders</w:t>
      </w:r>
      <w:r w:rsidR="00055AD2" w:rsidRPr="00F16EAF">
        <w:rPr>
          <w:rFonts w:eastAsia="Calibri" w:cs="Cambria"/>
        </w:rPr>
        <w:t xml:space="preserve">—governments, </w:t>
      </w:r>
      <w:r w:rsidR="00782564" w:rsidRPr="00F16EAF">
        <w:rPr>
          <w:rFonts w:eastAsia="Calibri" w:cs="Cambria"/>
        </w:rPr>
        <w:t xml:space="preserve">industry, </w:t>
      </w:r>
      <w:r w:rsidR="003F23D9" w:rsidRPr="00F16EAF">
        <w:rPr>
          <w:rFonts w:eastAsia="Calibri" w:cs="Cambria"/>
        </w:rPr>
        <w:t>and the broader community</w:t>
      </w:r>
      <w:r w:rsidR="00055AD2" w:rsidRPr="00F16EAF">
        <w:rPr>
          <w:rFonts w:eastAsia="Calibri" w:cs="Cambria"/>
        </w:rPr>
        <w:t xml:space="preserve">—in a </w:t>
      </w:r>
      <w:r w:rsidR="00F0586C" w:rsidRPr="00F16EAF">
        <w:rPr>
          <w:rFonts w:eastAsia="Calibri" w:cs="Cambria"/>
        </w:rPr>
        <w:t>changing and complex global biosecurity environment</w:t>
      </w:r>
      <w:r w:rsidR="00F537FF">
        <w:rPr>
          <w:rFonts w:eastAsia="Calibri" w:cs="Cambria"/>
        </w:rPr>
        <w:t>.</w:t>
      </w:r>
    </w:p>
    <w:p w:rsidR="003F23D9" w:rsidRPr="00F16EAF" w:rsidRDefault="004E5942" w:rsidP="003E241F">
      <w:pPr>
        <w:pStyle w:val="Boxedtext"/>
        <w:rPr>
          <w:b/>
          <w:lang w:val="en-AU"/>
        </w:rPr>
      </w:pPr>
      <w:r w:rsidRPr="00F16EAF">
        <w:rPr>
          <w:b/>
          <w:lang w:val="en-AU"/>
        </w:rPr>
        <w:t>Question 4</w:t>
      </w:r>
    </w:p>
    <w:p w:rsidR="003F23D9" w:rsidRPr="00F16EAF" w:rsidRDefault="00293AB4" w:rsidP="003E241F">
      <w:pPr>
        <w:pStyle w:val="Boxedtext"/>
        <w:rPr>
          <w:lang w:val="en-AU"/>
        </w:rPr>
      </w:pPr>
      <w:r w:rsidRPr="00F16EAF">
        <w:rPr>
          <w:lang w:val="en-AU"/>
        </w:rPr>
        <w:t xml:space="preserve">Is </w:t>
      </w:r>
      <w:r w:rsidR="00F25DBF" w:rsidRPr="00F16EAF">
        <w:rPr>
          <w:lang w:val="en-AU"/>
        </w:rPr>
        <w:t>the goal</w:t>
      </w:r>
      <w:r w:rsidR="00A41F57" w:rsidRPr="00F16EAF">
        <w:rPr>
          <w:lang w:val="en-AU"/>
        </w:rPr>
        <w:t>,</w:t>
      </w:r>
      <w:r w:rsidR="003F23D9" w:rsidRPr="00F16EAF">
        <w:rPr>
          <w:lang w:val="en-AU"/>
        </w:rPr>
        <w:t xml:space="preserve"> </w:t>
      </w:r>
      <w:r w:rsidR="004539EB" w:rsidRPr="00F16EAF">
        <w:rPr>
          <w:lang w:val="en-AU"/>
        </w:rPr>
        <w:t>and are the</w:t>
      </w:r>
      <w:r w:rsidR="003F23D9" w:rsidRPr="00F16EAF">
        <w:rPr>
          <w:lang w:val="en-AU"/>
        </w:rPr>
        <w:t xml:space="preserve"> objectives</w:t>
      </w:r>
      <w:r w:rsidR="00A41F57" w:rsidRPr="00F16EAF">
        <w:rPr>
          <w:lang w:val="en-AU"/>
        </w:rPr>
        <w:t>,</w:t>
      </w:r>
      <w:r w:rsidR="003F23D9" w:rsidRPr="00F16EAF">
        <w:rPr>
          <w:lang w:val="en-AU"/>
        </w:rPr>
        <w:t xml:space="preserve"> of </w:t>
      </w:r>
      <w:r w:rsidR="00C027D3" w:rsidRPr="00F16EAF">
        <w:rPr>
          <w:lang w:val="en-AU"/>
        </w:rPr>
        <w:t>Australia’s</w:t>
      </w:r>
      <w:r w:rsidR="003F23D9" w:rsidRPr="00F16EAF">
        <w:rPr>
          <w:lang w:val="en-AU"/>
        </w:rPr>
        <w:t xml:space="preserve"> national biosecurity system still appropriate to address current and future biosecurity challenges?</w:t>
      </w:r>
    </w:p>
    <w:p w:rsidR="0009464A" w:rsidRPr="00F16EAF" w:rsidRDefault="003F23D9" w:rsidP="003F23D9">
      <w:pPr>
        <w:rPr>
          <w:szCs w:val="24"/>
        </w:rPr>
      </w:pPr>
      <w:r w:rsidRPr="00F16EAF">
        <w:rPr>
          <w:szCs w:val="24"/>
        </w:rPr>
        <w:t xml:space="preserve">Identifying, managing and continually assessing biosecurity risks and priorities is challenging and complex. Australia’s biosecurity environment is constantly changing due to an increasing number of risks and </w:t>
      </w:r>
      <w:r w:rsidR="00AB0883" w:rsidRPr="00F16EAF">
        <w:rPr>
          <w:szCs w:val="24"/>
        </w:rPr>
        <w:t xml:space="preserve">changing nature of those risks. </w:t>
      </w:r>
      <w:r w:rsidRPr="00F16EAF">
        <w:rPr>
          <w:szCs w:val="24"/>
        </w:rPr>
        <w:t xml:space="preserve">This state of constant change is caused by a multitude of interrelated factors. For example, accelerating globalisation has led to a significant increase in the volumes of trade and travel, providing an increased number of pathways for potential pest </w:t>
      </w:r>
      <w:r w:rsidR="00541558" w:rsidRPr="00F16EAF">
        <w:rPr>
          <w:szCs w:val="24"/>
        </w:rPr>
        <w:t>and disease incursions to occur;</w:t>
      </w:r>
      <w:r w:rsidRPr="00F16EAF">
        <w:rPr>
          <w:szCs w:val="24"/>
        </w:rPr>
        <w:t xml:space="preserve"> </w:t>
      </w:r>
      <w:r w:rsidR="00541558" w:rsidRPr="00F16EAF">
        <w:rPr>
          <w:szCs w:val="24"/>
        </w:rPr>
        <w:t>c</w:t>
      </w:r>
      <w:r w:rsidRPr="00F16EAF">
        <w:rPr>
          <w:szCs w:val="24"/>
        </w:rPr>
        <w:t>limate change has made many environments (terrestrial and aquatic) more susceptible to pest and disease incursions, and has increased the range of a widening array of pote</w:t>
      </w:r>
      <w:r w:rsidR="00541558" w:rsidRPr="00F16EAF">
        <w:rPr>
          <w:szCs w:val="24"/>
        </w:rPr>
        <w:t>ntial pest and disease threats; and, the development of Australia’s north will also bring future biosecurity challenges.</w:t>
      </w:r>
    </w:p>
    <w:p w:rsidR="007E320C" w:rsidRPr="00F16EAF" w:rsidRDefault="003027F5" w:rsidP="003F23D9">
      <w:pPr>
        <w:rPr>
          <w:szCs w:val="24"/>
        </w:rPr>
      </w:pPr>
      <w:r w:rsidRPr="00F16EAF">
        <w:rPr>
          <w:szCs w:val="24"/>
        </w:rPr>
        <w:t xml:space="preserve">In its </w:t>
      </w:r>
      <w:r w:rsidR="00D86387" w:rsidRPr="00F16EAF">
        <w:rPr>
          <w:szCs w:val="24"/>
        </w:rPr>
        <w:t>2014 report</w:t>
      </w:r>
      <w:r w:rsidRPr="00F16EAF">
        <w:rPr>
          <w:szCs w:val="24"/>
        </w:rPr>
        <w:t>,</w:t>
      </w:r>
      <w:r w:rsidRPr="00F16EAF">
        <w:rPr>
          <w:i/>
          <w:szCs w:val="24"/>
        </w:rPr>
        <w:t xml:space="preserve"> Australia’s Biosecurity Future: preparing for future biological challenges</w:t>
      </w:r>
      <w:r w:rsidRPr="00F16EAF">
        <w:rPr>
          <w:szCs w:val="24"/>
        </w:rPr>
        <w:t xml:space="preserve">, </w:t>
      </w:r>
      <w:r w:rsidR="00D86387" w:rsidRPr="00F16EAF">
        <w:rPr>
          <w:szCs w:val="24"/>
        </w:rPr>
        <w:t xml:space="preserve">the </w:t>
      </w:r>
      <w:r w:rsidR="008821BF" w:rsidRPr="00F16EAF">
        <w:rPr>
          <w:szCs w:val="24"/>
        </w:rPr>
        <w:t>CSIRO</w:t>
      </w:r>
      <w:r w:rsidR="00D86387" w:rsidRPr="00F16EAF">
        <w:rPr>
          <w:szCs w:val="24"/>
        </w:rPr>
        <w:t xml:space="preserve"> </w:t>
      </w:r>
      <w:r w:rsidR="003F23D9" w:rsidRPr="00F16EAF">
        <w:rPr>
          <w:szCs w:val="24"/>
        </w:rPr>
        <w:t>identifie</w:t>
      </w:r>
      <w:r w:rsidRPr="00F16EAF">
        <w:rPr>
          <w:szCs w:val="24"/>
        </w:rPr>
        <w:t>s</w:t>
      </w:r>
      <w:r w:rsidR="003F23D9" w:rsidRPr="00F16EAF">
        <w:rPr>
          <w:szCs w:val="24"/>
        </w:rPr>
        <w:t xml:space="preserve"> a number of global trends that will result in significant change and increased complexity of biosecurity challenges for Australia in the future. This includes trends relating to agricultural expansion and intensification, urbanisation and changing consumer expectations, global trade and travel, biodiversity pressures, and declining </w:t>
      </w:r>
      <w:r w:rsidR="008E7D7B" w:rsidRPr="00F16EAF">
        <w:rPr>
          <w:szCs w:val="24"/>
        </w:rPr>
        <w:t xml:space="preserve">government </w:t>
      </w:r>
      <w:r w:rsidR="003F23D9" w:rsidRPr="00F16EAF">
        <w:rPr>
          <w:szCs w:val="24"/>
        </w:rPr>
        <w:t>resources. The</w:t>
      </w:r>
      <w:r w:rsidR="00C91C80" w:rsidRPr="00F16EAF">
        <w:rPr>
          <w:szCs w:val="24"/>
        </w:rPr>
        <w:t xml:space="preserve"> report highlights that the</w:t>
      </w:r>
      <w:r w:rsidR="003F23D9" w:rsidRPr="00F16EAF">
        <w:rPr>
          <w:szCs w:val="24"/>
        </w:rPr>
        <w:t xml:space="preserve"> intersection of these trends could lead to a future situation where existing biosecurity processes and practices are not sufficient</w:t>
      </w:r>
      <w:r w:rsidRPr="00F16EAF">
        <w:rPr>
          <w:szCs w:val="24"/>
        </w:rPr>
        <w:t xml:space="preserve"> (CSIRO 2014)</w:t>
      </w:r>
      <w:r w:rsidR="00C64093" w:rsidRPr="00F16EAF">
        <w:rPr>
          <w:szCs w:val="24"/>
        </w:rPr>
        <w:t>.</w:t>
      </w:r>
    </w:p>
    <w:p w:rsidR="003B3DD2" w:rsidRDefault="005A09A6" w:rsidP="003F23D9">
      <w:r w:rsidRPr="00F16EAF">
        <w:rPr>
          <w:szCs w:val="24"/>
        </w:rPr>
        <w:t xml:space="preserve">Identifying current and future biosecurity risks and priorities is only half of the equation. </w:t>
      </w:r>
      <w:r w:rsidR="00564A59" w:rsidRPr="00F16EAF">
        <w:t>In an environment of constrained and finite resources there is a fundamental need to ensure that every dollar invested in biosecurity yiel</w:t>
      </w:r>
      <w:r w:rsidR="003B3DD2" w:rsidRPr="00F16EAF">
        <w:t>ds the greatest return possible. The</w:t>
      </w:r>
      <w:r w:rsidR="00564A59" w:rsidRPr="00F16EAF">
        <w:t xml:space="preserve"> </w:t>
      </w:r>
      <w:r w:rsidR="003B3DD2" w:rsidRPr="00F16EAF">
        <w:t>ordering</w:t>
      </w:r>
      <w:r w:rsidR="00564A59" w:rsidRPr="00F16EAF">
        <w:t xml:space="preserve"> of risks and priorities</w:t>
      </w:r>
      <w:r w:rsidR="00E33901">
        <w:t>,</w:t>
      </w:r>
      <w:r w:rsidR="00564A59" w:rsidRPr="00F16EAF">
        <w:t xml:space="preserve"> and undertaking biosecurity activities in a strategic and coordinated way is </w:t>
      </w:r>
      <w:r w:rsidR="00567077" w:rsidRPr="00F16EAF">
        <w:t>essential</w:t>
      </w:r>
      <w:r w:rsidR="00564A59" w:rsidRPr="00F16EAF">
        <w:t xml:space="preserve"> to achieving maximum return on investment.</w:t>
      </w:r>
    </w:p>
    <w:p w:rsidR="00042DFD" w:rsidRPr="00042DFD" w:rsidRDefault="00042DFD" w:rsidP="00042DFD">
      <w:pPr>
        <w:pStyle w:val="Boxedtext"/>
        <w:keepNext w:val="0"/>
        <w:ind w:right="113"/>
        <w:rPr>
          <w:b/>
        </w:rPr>
      </w:pPr>
      <w:r w:rsidRPr="00042DFD">
        <w:rPr>
          <w:b/>
        </w:rPr>
        <w:t>Question 5</w:t>
      </w:r>
    </w:p>
    <w:p w:rsidR="003F23D9" w:rsidRPr="00042DFD" w:rsidRDefault="00042DFD" w:rsidP="00042DFD">
      <w:pPr>
        <w:pStyle w:val="Boxedtext"/>
        <w:keepNext w:val="0"/>
        <w:ind w:right="113"/>
        <w:rPr>
          <w:lang w:val="en-AU"/>
        </w:rPr>
      </w:pPr>
      <w:r>
        <w:rPr>
          <w:lang w:val="en-AU"/>
        </w:rPr>
        <w:t>In order of importance, what do you see as the most significant current and future biosecurity risks and priorities for Australia and why? Are Australia’s biosecurity objectives appropriately tailored to meet these risk and priorities?</w:t>
      </w:r>
    </w:p>
    <w:p w:rsidR="00E06B96" w:rsidRPr="00F16EAF" w:rsidRDefault="00015DE8" w:rsidP="00015DE8">
      <w:pPr>
        <w:spacing w:after="120"/>
      </w:pPr>
      <w:r w:rsidRPr="00F16EAF">
        <w:lastRenderedPageBreak/>
        <w:t xml:space="preserve">The </w:t>
      </w:r>
      <w:r w:rsidR="009F2DA7" w:rsidRPr="00F16EAF">
        <w:t>Australian</w:t>
      </w:r>
      <w:r w:rsidRPr="00F16EAF">
        <w:t xml:space="preserve"> and state and territory governments are responsible for priority setting within their respective areas of responsibility, in consultation with stakeholders. This is typically articulated through either a biosecurity </w:t>
      </w:r>
      <w:r w:rsidR="00B86C92">
        <w:t>strategy or biosecurity policy.</w:t>
      </w:r>
    </w:p>
    <w:p w:rsidR="00015DE8" w:rsidRPr="00F16EAF" w:rsidRDefault="00541558" w:rsidP="00015DE8">
      <w:pPr>
        <w:spacing w:after="120"/>
      </w:pPr>
      <w:r w:rsidRPr="00F16EAF">
        <w:t xml:space="preserve">Currently, there is no national policy statement or </w:t>
      </w:r>
      <w:r w:rsidR="00F16EAF" w:rsidRPr="00F16EAF">
        <w:t xml:space="preserve">national </w:t>
      </w:r>
      <w:r w:rsidRPr="00F16EAF">
        <w:t xml:space="preserve">strategy for the biosecurity system agreed by governments, industry and the broader community. </w:t>
      </w:r>
      <w:r w:rsidR="00F16EAF" w:rsidRPr="00F16EAF">
        <w:t>However, i</w:t>
      </w:r>
      <w:r w:rsidR="00015DE8" w:rsidRPr="00F16EAF">
        <w:t>t has been suggested that the IGAB has taken on the role of a ‘quasi-national strategy’.</w:t>
      </w:r>
    </w:p>
    <w:p w:rsidR="00015DE8" w:rsidRPr="00F16EAF" w:rsidRDefault="00015DE8" w:rsidP="00015DE8">
      <w:pPr>
        <w:spacing w:after="120"/>
      </w:pPr>
      <w:r w:rsidRPr="00F16EAF">
        <w:t xml:space="preserve">At the </w:t>
      </w:r>
      <w:r w:rsidR="00F16EAF" w:rsidRPr="00F16EAF">
        <w:t xml:space="preserve">Commonwealth, </w:t>
      </w:r>
      <w:r w:rsidRPr="00F16EAF">
        <w:t xml:space="preserve">state and territory level most jurisdictions have, or have had in place previously, a biosecurity strategy or biosecurity policy. However, these policy documents vary in their areas of focus and level of complexity. </w:t>
      </w:r>
      <w:r w:rsidR="00F16EAF" w:rsidRPr="00F16EAF">
        <w:t xml:space="preserve">This can lead to </w:t>
      </w:r>
      <w:r w:rsidRPr="00F16EAF">
        <w:t xml:space="preserve">inconsistent </w:t>
      </w:r>
      <w:r w:rsidR="00F16EAF" w:rsidRPr="00F16EAF">
        <w:t xml:space="preserve">treatment of </w:t>
      </w:r>
      <w:r w:rsidRPr="00F16EAF">
        <w:t xml:space="preserve">the </w:t>
      </w:r>
      <w:r w:rsidR="00DF25D9" w:rsidRPr="00F16EAF">
        <w:t>components</w:t>
      </w:r>
      <w:r w:rsidRPr="00F16EAF">
        <w:t xml:space="preserve"> and functions of the biosecurity system and </w:t>
      </w:r>
      <w:r w:rsidR="00F16EAF" w:rsidRPr="00F16EAF">
        <w:t xml:space="preserve">can also lead to </w:t>
      </w:r>
      <w:r w:rsidRPr="00F16EAF">
        <w:t>duplication of effort.</w:t>
      </w:r>
    </w:p>
    <w:p w:rsidR="00015DE8" w:rsidRPr="00F16EAF" w:rsidRDefault="00794A98" w:rsidP="00015DE8">
      <w:pPr>
        <w:spacing w:after="120"/>
      </w:pPr>
      <w:r w:rsidRPr="00F16EAF">
        <w:t>The r</w:t>
      </w:r>
      <w:r w:rsidR="00015DE8" w:rsidRPr="00F16EAF">
        <w:t xml:space="preserve">eview </w:t>
      </w:r>
      <w:r w:rsidRPr="00F16EAF">
        <w:t>p</w:t>
      </w:r>
      <w:r w:rsidR="00015DE8" w:rsidRPr="00F16EAF">
        <w:t xml:space="preserve">anel is interested in your views on </w:t>
      </w:r>
      <w:r w:rsidR="00F16EAF" w:rsidRPr="00F16EAF">
        <w:t>current and future national policy directions.</w:t>
      </w:r>
    </w:p>
    <w:p w:rsidR="00015DE8" w:rsidRPr="00F16EAF" w:rsidRDefault="00015DE8" w:rsidP="00015DE8">
      <w:pPr>
        <w:pStyle w:val="Boxedtext"/>
        <w:keepNext w:val="0"/>
        <w:ind w:right="113"/>
        <w:rPr>
          <w:b/>
          <w:lang w:val="en-AU"/>
        </w:rPr>
      </w:pPr>
      <w:r w:rsidRPr="00F16EAF">
        <w:rPr>
          <w:b/>
          <w:lang w:val="en-AU"/>
        </w:rPr>
        <w:t>Question 6</w:t>
      </w:r>
    </w:p>
    <w:p w:rsidR="00015DE8" w:rsidRPr="00F16EAF" w:rsidRDefault="00015DE8" w:rsidP="00015DE8">
      <w:pPr>
        <w:pStyle w:val="Boxedtext"/>
        <w:keepNext w:val="0"/>
        <w:ind w:right="113"/>
        <w:rPr>
          <w:lang w:val="en-AU"/>
        </w:rPr>
      </w:pPr>
      <w:r w:rsidRPr="00F16EAF">
        <w:rPr>
          <w:lang w:val="en-AU"/>
        </w:rPr>
        <w:t xml:space="preserve">Are the </w:t>
      </w:r>
      <w:r w:rsidR="00957AB9" w:rsidRPr="00F16EAF">
        <w:rPr>
          <w:lang w:val="en-AU"/>
        </w:rPr>
        <w:t>components</w:t>
      </w:r>
      <w:r w:rsidRPr="00F16EAF">
        <w:rPr>
          <w:lang w:val="en-AU"/>
        </w:rPr>
        <w:t xml:space="preserve"> and functions of </w:t>
      </w:r>
      <w:r w:rsidR="006A00A0" w:rsidRPr="00F16EAF">
        <w:rPr>
          <w:lang w:val="en-AU"/>
        </w:rPr>
        <w:t>Australia’s</w:t>
      </w:r>
      <w:r w:rsidRPr="00F16EAF">
        <w:rPr>
          <w:lang w:val="en-AU"/>
        </w:rPr>
        <w:t xml:space="preserve"> national biosecurity system consistently understood by all stakeholders? If not, what could be done to improve this?</w:t>
      </w:r>
    </w:p>
    <w:p w:rsidR="00015DE8" w:rsidRPr="00F16EAF" w:rsidRDefault="00015DE8" w:rsidP="00015DE8">
      <w:pPr>
        <w:pStyle w:val="Boxedtext"/>
        <w:keepNext w:val="0"/>
        <w:ind w:right="113"/>
        <w:rPr>
          <w:b/>
          <w:lang w:val="en-AU"/>
        </w:rPr>
      </w:pPr>
      <w:r w:rsidRPr="00F16EAF">
        <w:rPr>
          <w:b/>
          <w:lang w:val="en-AU"/>
        </w:rPr>
        <w:t>Question 7</w:t>
      </w:r>
    </w:p>
    <w:p w:rsidR="00015DE8" w:rsidRPr="00F16EAF" w:rsidRDefault="000F7395" w:rsidP="00015DE8">
      <w:pPr>
        <w:pStyle w:val="Boxedtext"/>
        <w:keepNext w:val="0"/>
        <w:ind w:right="113"/>
        <w:rPr>
          <w:lang w:val="en-AU"/>
        </w:rPr>
      </w:pPr>
      <w:r w:rsidRPr="00F16EAF">
        <w:rPr>
          <w:lang w:val="en-AU"/>
        </w:rPr>
        <w:t>What benefits (or impediments) are there in realising a more integrated national approach to biosecurity, agreed to by key partners in Australia’s national biosecurity system?</w:t>
      </w:r>
    </w:p>
    <w:p w:rsidR="00015DE8" w:rsidRPr="00F16EAF" w:rsidRDefault="00015DE8" w:rsidP="00015DE8">
      <w:pPr>
        <w:pStyle w:val="Boxedtext"/>
        <w:keepNext w:val="0"/>
        <w:ind w:right="113"/>
        <w:rPr>
          <w:b/>
          <w:lang w:val="en-AU"/>
        </w:rPr>
      </w:pPr>
      <w:r w:rsidRPr="00F16EAF">
        <w:rPr>
          <w:b/>
          <w:lang w:val="en-AU"/>
        </w:rPr>
        <w:t>Question 8</w:t>
      </w:r>
    </w:p>
    <w:p w:rsidR="00345A19" w:rsidRPr="00F16EAF" w:rsidRDefault="000858ED" w:rsidP="00345A19">
      <w:pPr>
        <w:pStyle w:val="Boxedtext"/>
        <w:keepNext w:val="0"/>
        <w:ind w:right="113"/>
        <w:rPr>
          <w:b/>
          <w:lang w:val="en-AU"/>
        </w:rPr>
      </w:pPr>
      <w:r w:rsidRPr="00F16EAF">
        <w:rPr>
          <w:lang w:val="en-AU"/>
        </w:rPr>
        <w:t>What form would this best take (for example, a national statement of intent or national strategy)? What are the key elements that must be included? What specific roles do you see industry and the broader community playing in such an initiative</w:t>
      </w:r>
      <w:r w:rsidR="00015DE8" w:rsidRPr="00F16EAF">
        <w:rPr>
          <w:lang w:val="en-AU"/>
        </w:rPr>
        <w:t>?</w:t>
      </w:r>
    </w:p>
    <w:p w:rsidR="00117545" w:rsidRPr="00F16EAF" w:rsidRDefault="00117545" w:rsidP="00345A19">
      <w:pPr>
        <w:pStyle w:val="Heading3"/>
      </w:pPr>
      <w:bookmarkStart w:id="23" w:name="_Ref449694051"/>
      <w:bookmarkStart w:id="24" w:name="_Ref449694059"/>
      <w:bookmarkStart w:id="25" w:name="_Toc450126738"/>
      <w:r w:rsidRPr="00F16EAF">
        <w:t>Embedding shared responsibility</w:t>
      </w:r>
      <w:bookmarkEnd w:id="23"/>
      <w:bookmarkEnd w:id="24"/>
      <w:bookmarkEnd w:id="25"/>
    </w:p>
    <w:p w:rsidR="00BF4545" w:rsidRPr="00F16EAF" w:rsidRDefault="004D4E79" w:rsidP="00345A19">
      <w:pPr>
        <w:keepNext/>
        <w:keepLines/>
        <w:autoSpaceDE w:val="0"/>
        <w:autoSpaceDN w:val="0"/>
        <w:adjustRightInd w:val="0"/>
        <w:rPr>
          <w:rFonts w:eastAsia="Calibri" w:cs="Cambria"/>
          <w:color w:val="000000"/>
        </w:rPr>
      </w:pPr>
      <w:r w:rsidRPr="00F16EAF">
        <w:rPr>
          <w:rFonts w:eastAsia="Calibri" w:cs="Cambria"/>
          <w:color w:val="000000"/>
        </w:rPr>
        <w:t>Each</w:t>
      </w:r>
      <w:r w:rsidR="00CC7250" w:rsidRPr="00F16EAF">
        <w:rPr>
          <w:rFonts w:eastAsia="Calibri" w:cs="Cambria"/>
          <w:color w:val="000000"/>
        </w:rPr>
        <w:t xml:space="preserve"> year </w:t>
      </w:r>
      <w:r w:rsidR="00086FBD" w:rsidRPr="00F16EAF">
        <w:rPr>
          <w:rFonts w:eastAsia="Calibri" w:cs="Cambria"/>
          <w:color w:val="000000"/>
        </w:rPr>
        <w:t>an ever-increasing</w:t>
      </w:r>
      <w:r w:rsidR="00CC7250" w:rsidRPr="00F16EAF">
        <w:rPr>
          <w:rFonts w:eastAsia="Calibri" w:cs="Cambria"/>
          <w:color w:val="000000"/>
        </w:rPr>
        <w:t xml:space="preserve"> </w:t>
      </w:r>
      <w:r w:rsidR="00086FBD" w:rsidRPr="00F16EAF">
        <w:rPr>
          <w:rFonts w:eastAsia="Calibri" w:cs="Cambria"/>
          <w:color w:val="000000"/>
        </w:rPr>
        <w:t xml:space="preserve">number </w:t>
      </w:r>
      <w:r w:rsidR="00CC7250" w:rsidRPr="00F16EAF">
        <w:rPr>
          <w:rFonts w:eastAsia="Calibri" w:cs="Cambria"/>
          <w:color w:val="000000"/>
        </w:rPr>
        <w:t xml:space="preserve">of people, </w:t>
      </w:r>
      <w:r w:rsidR="0054003C" w:rsidRPr="00F16EAF">
        <w:rPr>
          <w:rFonts w:eastAsia="Calibri" w:cs="Cambria"/>
          <w:color w:val="000000"/>
        </w:rPr>
        <w:t>products</w:t>
      </w:r>
      <w:r w:rsidR="00CC7250" w:rsidRPr="00F16EAF">
        <w:rPr>
          <w:rFonts w:eastAsia="Calibri" w:cs="Cambria"/>
          <w:color w:val="000000"/>
        </w:rPr>
        <w:t xml:space="preserve">, vessels and aircraft </w:t>
      </w:r>
      <w:r w:rsidR="0054003C" w:rsidRPr="00F16EAF">
        <w:rPr>
          <w:rFonts w:eastAsia="Calibri" w:cs="Cambria"/>
          <w:color w:val="000000"/>
        </w:rPr>
        <w:t>move</w:t>
      </w:r>
      <w:r w:rsidR="00CC7250" w:rsidRPr="00F16EAF">
        <w:rPr>
          <w:rFonts w:eastAsia="Calibri" w:cs="Cambria"/>
          <w:color w:val="000000"/>
        </w:rPr>
        <w:t xml:space="preserve"> in and out of Australia. </w:t>
      </w:r>
      <w:r w:rsidR="00F332D1" w:rsidRPr="00F16EAF">
        <w:rPr>
          <w:rFonts w:eastAsia="Calibri" w:cs="Cambria"/>
          <w:color w:val="000000"/>
        </w:rPr>
        <w:t>The</w:t>
      </w:r>
      <w:r w:rsidR="00CC7250" w:rsidRPr="00F16EAF">
        <w:rPr>
          <w:rFonts w:eastAsia="Calibri" w:cs="Cambria"/>
          <w:color w:val="000000"/>
        </w:rPr>
        <w:t xml:space="preserve"> national biosecurity system protects </w:t>
      </w:r>
      <w:r w:rsidR="00EB3436" w:rsidRPr="00F16EAF">
        <w:rPr>
          <w:rFonts w:eastAsia="Calibri" w:cs="Cambria"/>
          <w:color w:val="000000"/>
        </w:rPr>
        <w:t xml:space="preserve">many </w:t>
      </w:r>
      <w:r w:rsidR="002D2851" w:rsidRPr="00F16EAF">
        <w:rPr>
          <w:rFonts w:eastAsia="Calibri" w:cs="Cambria"/>
          <w:color w:val="000000"/>
        </w:rPr>
        <w:t xml:space="preserve">important </w:t>
      </w:r>
      <w:r w:rsidRPr="00F16EAF">
        <w:rPr>
          <w:rFonts w:eastAsia="Calibri" w:cs="Cambria"/>
          <w:color w:val="000000"/>
        </w:rPr>
        <w:t>components</w:t>
      </w:r>
      <w:r w:rsidR="00EB3436" w:rsidRPr="00F16EAF">
        <w:rPr>
          <w:rFonts w:eastAsia="Calibri" w:cs="Cambria"/>
          <w:color w:val="000000"/>
        </w:rPr>
        <w:t xml:space="preserve"> of the </w:t>
      </w:r>
      <w:r w:rsidR="00F332D1" w:rsidRPr="00F16EAF">
        <w:rPr>
          <w:rFonts w:eastAsia="Calibri" w:cs="Cambria"/>
          <w:color w:val="000000"/>
        </w:rPr>
        <w:t>Australia’s</w:t>
      </w:r>
      <w:r w:rsidR="002D2851" w:rsidRPr="00F16EAF">
        <w:rPr>
          <w:rFonts w:eastAsia="Calibri" w:cs="Cambria"/>
          <w:color w:val="000000"/>
        </w:rPr>
        <w:t xml:space="preserve"> economy</w:t>
      </w:r>
      <w:r w:rsidR="00EB3436" w:rsidRPr="00F16EAF">
        <w:rPr>
          <w:rFonts w:eastAsia="Calibri" w:cs="Cambria"/>
          <w:color w:val="000000"/>
        </w:rPr>
        <w:t>—</w:t>
      </w:r>
      <w:r w:rsidR="002A6C57" w:rsidRPr="00F16EAF">
        <w:rPr>
          <w:rFonts w:eastAsia="Calibri" w:cs="Cambria"/>
          <w:color w:val="000000"/>
        </w:rPr>
        <w:t xml:space="preserve">such as </w:t>
      </w:r>
      <w:r w:rsidR="00EB3436" w:rsidRPr="00F16EAF">
        <w:rPr>
          <w:rFonts w:eastAsia="Calibri" w:cs="Cambria"/>
          <w:color w:val="000000"/>
        </w:rPr>
        <w:t xml:space="preserve">its primary production systems, </w:t>
      </w:r>
      <w:r w:rsidR="00C439FB" w:rsidRPr="00F16EAF">
        <w:rPr>
          <w:rFonts w:eastAsia="Calibri" w:cs="Cambria"/>
          <w:color w:val="000000"/>
        </w:rPr>
        <w:t xml:space="preserve">its </w:t>
      </w:r>
      <w:r w:rsidR="00EB3436" w:rsidRPr="00F16EAF">
        <w:rPr>
          <w:rFonts w:eastAsia="Calibri" w:cs="Cambria"/>
          <w:color w:val="000000"/>
        </w:rPr>
        <w:t>unique natural environment</w:t>
      </w:r>
      <w:r w:rsidRPr="00F16EAF">
        <w:rPr>
          <w:rFonts w:eastAsia="Calibri" w:cs="Cambria"/>
          <w:color w:val="000000"/>
        </w:rPr>
        <w:t>s</w:t>
      </w:r>
      <w:r w:rsidR="00EB3436" w:rsidRPr="00F16EAF">
        <w:rPr>
          <w:rFonts w:eastAsia="Calibri" w:cs="Cambria"/>
          <w:color w:val="000000"/>
        </w:rPr>
        <w:t xml:space="preserve"> and the health and wellbeing of </w:t>
      </w:r>
      <w:r w:rsidR="00C439FB" w:rsidRPr="00F16EAF">
        <w:rPr>
          <w:rFonts w:eastAsia="Calibri" w:cs="Cambria"/>
          <w:color w:val="000000"/>
        </w:rPr>
        <w:t>its citizens</w:t>
      </w:r>
      <w:r w:rsidR="00EB3436" w:rsidRPr="00F16EAF">
        <w:rPr>
          <w:rFonts w:eastAsia="Calibri" w:cs="Cambria"/>
          <w:color w:val="000000"/>
        </w:rPr>
        <w:t>—</w:t>
      </w:r>
      <w:r w:rsidR="00CC7250" w:rsidRPr="00F16EAF">
        <w:rPr>
          <w:rFonts w:eastAsia="Calibri" w:cs="Cambria"/>
          <w:color w:val="000000"/>
        </w:rPr>
        <w:t xml:space="preserve">from biosecurity risks created by </w:t>
      </w:r>
      <w:r w:rsidR="008425CC" w:rsidRPr="00F16EAF">
        <w:rPr>
          <w:rFonts w:eastAsia="Calibri" w:cs="Cambria"/>
          <w:color w:val="000000"/>
        </w:rPr>
        <w:t>these activities</w:t>
      </w:r>
      <w:r w:rsidR="00CC7250" w:rsidRPr="00F16EAF">
        <w:rPr>
          <w:rFonts w:eastAsia="Calibri" w:cs="Cambria"/>
          <w:color w:val="000000"/>
        </w:rPr>
        <w:t>.</w:t>
      </w:r>
      <w:r w:rsidR="004C48DC">
        <w:rPr>
          <w:rFonts w:eastAsia="Calibri" w:cs="Cambria"/>
          <w:color w:val="000000"/>
        </w:rPr>
        <w:t xml:space="preserve"> </w:t>
      </w:r>
      <w:r w:rsidR="00BF4545" w:rsidRPr="00F16EAF">
        <w:rPr>
          <w:rFonts w:eastAsia="Calibri" w:cs="Cambria"/>
          <w:color w:val="000000"/>
        </w:rPr>
        <w:t>This</w:t>
      </w:r>
      <w:r w:rsidR="00D16BF0" w:rsidRPr="00F16EAF">
        <w:rPr>
          <w:rFonts w:eastAsia="Calibri" w:cs="Cambria"/>
          <w:color w:val="000000"/>
        </w:rPr>
        <w:t xml:space="preserve"> </w:t>
      </w:r>
      <w:r w:rsidR="008425CC" w:rsidRPr="00F16EAF">
        <w:rPr>
          <w:rFonts w:eastAsia="Calibri" w:cs="Cambria"/>
          <w:color w:val="000000"/>
        </w:rPr>
        <w:t>c</w:t>
      </w:r>
      <w:r w:rsidR="00086FBD" w:rsidRPr="00F16EAF">
        <w:rPr>
          <w:rFonts w:eastAsia="Calibri" w:cs="Cambria"/>
          <w:color w:val="000000"/>
        </w:rPr>
        <w:t xml:space="preserve">an </w:t>
      </w:r>
      <w:r w:rsidR="00D16BF0" w:rsidRPr="00F16EAF">
        <w:rPr>
          <w:rFonts w:eastAsia="Calibri" w:cs="Cambria"/>
          <w:color w:val="000000"/>
        </w:rPr>
        <w:t xml:space="preserve">only </w:t>
      </w:r>
      <w:r w:rsidR="00086FBD" w:rsidRPr="00F16EAF">
        <w:rPr>
          <w:rFonts w:eastAsia="Calibri" w:cs="Cambria"/>
          <w:color w:val="000000"/>
        </w:rPr>
        <w:t xml:space="preserve">be </w:t>
      </w:r>
      <w:r w:rsidR="00BF4545" w:rsidRPr="00F16EAF">
        <w:rPr>
          <w:rFonts w:eastAsia="Calibri" w:cs="Cambria"/>
          <w:color w:val="000000"/>
        </w:rPr>
        <w:t xml:space="preserve">achieved </w:t>
      </w:r>
      <w:r w:rsidR="00392C88" w:rsidRPr="00F16EAF">
        <w:rPr>
          <w:rFonts w:eastAsia="Calibri" w:cs="Cambria"/>
          <w:color w:val="000000"/>
        </w:rPr>
        <w:t xml:space="preserve">through the collaborative efforts of </w:t>
      </w:r>
      <w:r w:rsidR="00BF4545" w:rsidRPr="00F16EAF">
        <w:rPr>
          <w:rFonts w:eastAsia="Calibri" w:cs="Cambria"/>
          <w:color w:val="000000"/>
        </w:rPr>
        <w:t xml:space="preserve">governments, industry and the </w:t>
      </w:r>
      <w:r w:rsidR="00700874" w:rsidRPr="00F16EAF">
        <w:rPr>
          <w:rFonts w:eastAsia="Calibri" w:cs="Cambria"/>
          <w:color w:val="000000"/>
        </w:rPr>
        <w:t xml:space="preserve">broader </w:t>
      </w:r>
      <w:r w:rsidR="00BF4545" w:rsidRPr="00F16EAF">
        <w:rPr>
          <w:rFonts w:eastAsia="Calibri" w:cs="Cambria"/>
          <w:color w:val="000000"/>
        </w:rPr>
        <w:t xml:space="preserve">community </w:t>
      </w:r>
      <w:r w:rsidR="00086FBD" w:rsidRPr="00F16EAF">
        <w:rPr>
          <w:rFonts w:eastAsia="Calibri" w:cs="Cambria"/>
          <w:color w:val="000000"/>
        </w:rPr>
        <w:t>in</w:t>
      </w:r>
      <w:r w:rsidR="00BF4545" w:rsidRPr="00F16EAF">
        <w:rPr>
          <w:rFonts w:eastAsia="Calibri" w:cs="Cambria"/>
          <w:color w:val="000000"/>
        </w:rPr>
        <w:t xml:space="preserve"> </w:t>
      </w:r>
      <w:r w:rsidR="00086FBD" w:rsidRPr="00F16EAF">
        <w:rPr>
          <w:rFonts w:eastAsia="Calibri" w:cs="Cambria"/>
          <w:color w:val="000000"/>
        </w:rPr>
        <w:t>identifying</w:t>
      </w:r>
      <w:r w:rsidR="00700874" w:rsidRPr="00F16EAF">
        <w:rPr>
          <w:rFonts w:eastAsia="Calibri" w:cs="Cambria"/>
          <w:color w:val="000000"/>
        </w:rPr>
        <w:t xml:space="preserve"> and </w:t>
      </w:r>
      <w:r w:rsidR="00086FBD" w:rsidRPr="00F16EAF">
        <w:rPr>
          <w:rFonts w:eastAsia="Calibri" w:cs="Cambria"/>
          <w:color w:val="000000"/>
        </w:rPr>
        <w:t>managing</w:t>
      </w:r>
      <w:r w:rsidR="00C64093" w:rsidRPr="00F16EAF">
        <w:rPr>
          <w:rFonts w:eastAsia="Calibri" w:cs="Cambria"/>
          <w:color w:val="000000"/>
        </w:rPr>
        <w:t xml:space="preserve"> biosecurity risks.</w:t>
      </w:r>
    </w:p>
    <w:p w:rsidR="00A60D87" w:rsidRPr="00F16EAF" w:rsidRDefault="001C1B91" w:rsidP="00345A19">
      <w:pPr>
        <w:keepLines/>
        <w:autoSpaceDE w:val="0"/>
        <w:autoSpaceDN w:val="0"/>
        <w:adjustRightInd w:val="0"/>
        <w:rPr>
          <w:rFonts w:eastAsia="Calibri" w:cs="Cambria"/>
          <w:color w:val="000000"/>
        </w:rPr>
      </w:pPr>
      <w:r w:rsidRPr="00F16EAF">
        <w:rPr>
          <w:rFonts w:eastAsia="Calibri" w:cs="Cambria"/>
          <w:color w:val="000000"/>
        </w:rPr>
        <w:t>B</w:t>
      </w:r>
      <w:r w:rsidR="00CE0228" w:rsidRPr="00F16EAF">
        <w:rPr>
          <w:rFonts w:eastAsia="Calibri" w:cs="Cambria"/>
          <w:color w:val="000000"/>
        </w:rPr>
        <w:t>iosecurity is a shared responsibility.</w:t>
      </w:r>
      <w:r w:rsidR="00DD497E" w:rsidRPr="00F16EAF">
        <w:rPr>
          <w:rFonts w:eastAsia="Calibri" w:cs="Cambria"/>
          <w:color w:val="000000"/>
        </w:rPr>
        <w:t xml:space="preserve"> </w:t>
      </w:r>
      <w:r w:rsidR="00A60D87" w:rsidRPr="00F16EAF">
        <w:rPr>
          <w:rFonts w:eastAsia="Calibri" w:cs="Cambria"/>
          <w:color w:val="000000"/>
        </w:rPr>
        <w:t>All stakeholders</w:t>
      </w:r>
      <w:r w:rsidR="00905DD5" w:rsidRPr="00F16EAF">
        <w:rPr>
          <w:rFonts w:eastAsia="Calibri" w:cs="Cambria"/>
          <w:color w:val="000000"/>
        </w:rPr>
        <w:t xml:space="preserve"> in </w:t>
      </w:r>
      <w:r w:rsidR="00C12705" w:rsidRPr="00F16EAF">
        <w:rPr>
          <w:rFonts w:eastAsia="Calibri" w:cs="Cambria"/>
          <w:color w:val="000000"/>
        </w:rPr>
        <w:t>the</w:t>
      </w:r>
      <w:r w:rsidR="00905DD5" w:rsidRPr="00F16EAF">
        <w:rPr>
          <w:rFonts w:eastAsia="Calibri" w:cs="Cambria"/>
          <w:color w:val="000000"/>
        </w:rPr>
        <w:t xml:space="preserve"> </w:t>
      </w:r>
      <w:r w:rsidR="003F776E" w:rsidRPr="00F16EAF">
        <w:rPr>
          <w:rFonts w:eastAsia="Calibri" w:cs="Cambria"/>
          <w:color w:val="000000"/>
        </w:rPr>
        <w:t xml:space="preserve">national </w:t>
      </w:r>
      <w:r w:rsidR="00905DD5" w:rsidRPr="00F16EAF">
        <w:rPr>
          <w:rFonts w:eastAsia="Calibri" w:cs="Cambria"/>
          <w:color w:val="000000"/>
        </w:rPr>
        <w:t>biosecurity system—governments, industry and the broader community—</w:t>
      </w:r>
      <w:r w:rsidR="00A60D87" w:rsidRPr="00F16EAF">
        <w:rPr>
          <w:rFonts w:eastAsia="Calibri" w:cs="Cambria"/>
          <w:color w:val="000000"/>
        </w:rPr>
        <w:t>have</w:t>
      </w:r>
      <w:r w:rsidR="00CA6D65" w:rsidRPr="00F16EAF">
        <w:rPr>
          <w:rFonts w:eastAsia="Calibri" w:cs="Cambria"/>
          <w:color w:val="000000"/>
        </w:rPr>
        <w:t xml:space="preserve"> an important role</w:t>
      </w:r>
      <w:r w:rsidR="00A60D87" w:rsidRPr="00F16EAF">
        <w:rPr>
          <w:rFonts w:eastAsia="Calibri" w:cs="Cambria"/>
          <w:color w:val="000000"/>
        </w:rPr>
        <w:t xml:space="preserve"> to play, including in maintaining Australia’s favourable biosecurity status.</w:t>
      </w:r>
      <w:r w:rsidR="00F960D2" w:rsidRPr="00F16EAF">
        <w:rPr>
          <w:rFonts w:eastAsia="Calibri" w:cs="Cambria"/>
          <w:color w:val="000000"/>
        </w:rPr>
        <w:t xml:space="preserve"> </w:t>
      </w:r>
      <w:r w:rsidR="00A60D87" w:rsidRPr="00F16EAF">
        <w:rPr>
          <w:rFonts w:eastAsia="Calibri" w:cs="Cambria"/>
          <w:color w:val="000000"/>
        </w:rPr>
        <w:t xml:space="preserve">In some cases, the responsibility of individual stakeholders </w:t>
      </w:r>
      <w:r w:rsidR="005F01EC" w:rsidRPr="00F16EAF">
        <w:rPr>
          <w:rFonts w:eastAsia="Calibri" w:cs="Cambria"/>
          <w:color w:val="000000"/>
        </w:rPr>
        <w:t xml:space="preserve">in the national biosecurity system </w:t>
      </w:r>
      <w:r w:rsidR="00173859" w:rsidRPr="00F16EAF">
        <w:rPr>
          <w:rFonts w:eastAsia="Calibri" w:cs="Cambria"/>
          <w:color w:val="000000"/>
        </w:rPr>
        <w:t xml:space="preserve">is determined by the </w:t>
      </w:r>
      <w:r w:rsidR="00A60D87" w:rsidRPr="00F16EAF">
        <w:rPr>
          <w:rFonts w:eastAsia="Calibri" w:cs="Cambria"/>
          <w:color w:val="000000"/>
        </w:rPr>
        <w:t>Australian Constitution and legislation (Commonwealth and state and territory governments), or thro</w:t>
      </w:r>
      <w:r w:rsidR="00F93ACC" w:rsidRPr="00F16EAF">
        <w:rPr>
          <w:rFonts w:eastAsia="Calibri" w:cs="Cambria"/>
          <w:color w:val="000000"/>
        </w:rPr>
        <w:t>ugh agreements and consultation</w:t>
      </w:r>
      <w:r w:rsidR="00A60D87" w:rsidRPr="00F16EAF">
        <w:rPr>
          <w:rFonts w:eastAsia="Calibri" w:cs="Cambria"/>
          <w:color w:val="000000"/>
        </w:rPr>
        <w:t xml:space="preserve"> (industry and </w:t>
      </w:r>
      <w:r w:rsidR="00F93ACC" w:rsidRPr="00F16EAF">
        <w:rPr>
          <w:rFonts w:eastAsia="Calibri" w:cs="Cambria"/>
          <w:color w:val="000000"/>
        </w:rPr>
        <w:t>the broader</w:t>
      </w:r>
      <w:r w:rsidR="00A60D87" w:rsidRPr="00F16EAF">
        <w:rPr>
          <w:rFonts w:eastAsia="Calibri" w:cs="Cambria"/>
          <w:color w:val="000000"/>
        </w:rPr>
        <w:t xml:space="preserve"> community).</w:t>
      </w:r>
    </w:p>
    <w:p w:rsidR="00C825CD" w:rsidRPr="00F16EAF" w:rsidRDefault="00F30B9E" w:rsidP="007B588F">
      <w:pPr>
        <w:autoSpaceDE w:val="0"/>
        <w:autoSpaceDN w:val="0"/>
        <w:adjustRightInd w:val="0"/>
        <w:rPr>
          <w:rFonts w:eastAsia="Calibri" w:cs="Cambria"/>
          <w:color w:val="000000"/>
        </w:rPr>
      </w:pPr>
      <w:r w:rsidRPr="00F16EAF">
        <w:rPr>
          <w:rFonts w:eastAsia="Calibri" w:cs="Cambria"/>
          <w:color w:val="000000"/>
        </w:rPr>
        <w:t>Australian g</w:t>
      </w:r>
      <w:r w:rsidR="00A60D87" w:rsidRPr="00F16EAF">
        <w:rPr>
          <w:rFonts w:eastAsia="Calibri" w:cs="Cambria"/>
          <w:color w:val="000000"/>
        </w:rPr>
        <w:t xml:space="preserve">overnments work with industry, producers and the </w:t>
      </w:r>
      <w:r w:rsidR="00CD5504" w:rsidRPr="00F16EAF">
        <w:rPr>
          <w:rFonts w:eastAsia="Calibri" w:cs="Cambria"/>
          <w:color w:val="000000"/>
        </w:rPr>
        <w:t xml:space="preserve">broader </w:t>
      </w:r>
      <w:r w:rsidR="00A60D87" w:rsidRPr="00F16EAF">
        <w:rPr>
          <w:rFonts w:eastAsia="Calibri" w:cs="Cambria"/>
          <w:color w:val="000000"/>
        </w:rPr>
        <w:t xml:space="preserve">community to manage biosecurity in a number of ways including: emergency planning and preparedness; surveillance and diagnostics for the early detection of exotic and emerging pests and diseases; and, management of established pests and diseases. </w:t>
      </w:r>
      <w:r w:rsidR="00BD51D2" w:rsidRPr="00F16EAF">
        <w:rPr>
          <w:rFonts w:eastAsia="Calibri" w:cs="Cambria"/>
          <w:color w:val="000000"/>
        </w:rPr>
        <w:t>The IGAB is the primary mechanism by which governments</w:t>
      </w:r>
      <w:r w:rsidR="00B003D4" w:rsidRPr="00F16EAF">
        <w:rPr>
          <w:rFonts w:eastAsia="Calibri" w:cs="Cambria"/>
          <w:color w:val="000000"/>
        </w:rPr>
        <w:t xml:space="preserve"> </w:t>
      </w:r>
      <w:r w:rsidR="001C1B91" w:rsidRPr="00F16EAF">
        <w:rPr>
          <w:rFonts w:eastAsia="Calibri" w:cs="Cambria"/>
          <w:color w:val="000000"/>
        </w:rPr>
        <w:t xml:space="preserve">formally </w:t>
      </w:r>
      <w:r w:rsidR="00BD51D2" w:rsidRPr="00F16EAF">
        <w:rPr>
          <w:rFonts w:eastAsia="Calibri" w:cs="Cambria"/>
          <w:color w:val="000000"/>
        </w:rPr>
        <w:t>col</w:t>
      </w:r>
      <w:r w:rsidR="00A006D1" w:rsidRPr="00F16EAF">
        <w:rPr>
          <w:rFonts w:eastAsia="Calibri" w:cs="Cambria"/>
          <w:color w:val="000000"/>
        </w:rPr>
        <w:t xml:space="preserve">laborate on biosecurity matters. </w:t>
      </w:r>
      <w:r w:rsidR="00E82F3B" w:rsidRPr="00F16EAF">
        <w:rPr>
          <w:rFonts w:eastAsia="Calibri" w:cs="Cambria"/>
          <w:color w:val="000000"/>
        </w:rPr>
        <w:t>While</w:t>
      </w:r>
      <w:r w:rsidR="00B87204" w:rsidRPr="00F16EAF">
        <w:rPr>
          <w:rFonts w:eastAsia="Calibri" w:cs="Cambria"/>
          <w:color w:val="000000"/>
        </w:rPr>
        <w:t xml:space="preserve"> </w:t>
      </w:r>
      <w:r w:rsidR="00B003D4" w:rsidRPr="00F16EAF">
        <w:rPr>
          <w:rFonts w:eastAsia="Calibri" w:cs="Cambria"/>
          <w:color w:val="000000"/>
        </w:rPr>
        <w:t xml:space="preserve">industry </w:t>
      </w:r>
      <w:r w:rsidR="00085B8C">
        <w:rPr>
          <w:rFonts w:eastAsia="Calibri" w:cs="Cambria"/>
          <w:color w:val="000000"/>
        </w:rPr>
        <w:t>and</w:t>
      </w:r>
      <w:r w:rsidR="00B003D4" w:rsidRPr="00F16EAF">
        <w:rPr>
          <w:rFonts w:eastAsia="Calibri" w:cs="Cambria"/>
          <w:color w:val="000000"/>
        </w:rPr>
        <w:t xml:space="preserve"> community stakeholders are </w:t>
      </w:r>
      <w:r w:rsidR="00B864E8" w:rsidRPr="00F16EAF">
        <w:rPr>
          <w:rFonts w:eastAsia="Calibri" w:cs="Cambria"/>
          <w:color w:val="000000"/>
        </w:rPr>
        <w:t xml:space="preserve">not </w:t>
      </w:r>
      <w:r w:rsidR="00E82F3B" w:rsidRPr="00F16EAF">
        <w:rPr>
          <w:rFonts w:eastAsia="Calibri" w:cs="Cambria"/>
          <w:color w:val="000000"/>
        </w:rPr>
        <w:t>signatories</w:t>
      </w:r>
      <w:r w:rsidR="00085B8C">
        <w:rPr>
          <w:rFonts w:eastAsia="Calibri" w:cs="Cambria"/>
          <w:color w:val="000000"/>
        </w:rPr>
        <w:t xml:space="preserve"> to the IGAB,</w:t>
      </w:r>
      <w:r w:rsidR="001C1B91" w:rsidRPr="00F16EAF">
        <w:rPr>
          <w:rFonts w:eastAsia="Calibri" w:cs="Cambria"/>
          <w:color w:val="000000"/>
        </w:rPr>
        <w:t xml:space="preserve"> they nevertheless have</w:t>
      </w:r>
      <w:r w:rsidR="00B003D4" w:rsidRPr="00F16EAF">
        <w:rPr>
          <w:rFonts w:eastAsia="Calibri" w:cs="Cambria"/>
          <w:color w:val="000000"/>
        </w:rPr>
        <w:t xml:space="preserve"> </w:t>
      </w:r>
      <w:r w:rsidR="00CB1287" w:rsidRPr="00F16EAF">
        <w:rPr>
          <w:rFonts w:eastAsia="Calibri" w:cs="Cambria"/>
          <w:color w:val="000000"/>
        </w:rPr>
        <w:t xml:space="preserve">a direct role </w:t>
      </w:r>
      <w:r w:rsidR="00A20C95" w:rsidRPr="00F16EAF">
        <w:rPr>
          <w:rFonts w:eastAsia="Calibri" w:cs="Cambria"/>
          <w:color w:val="000000"/>
        </w:rPr>
        <w:t xml:space="preserve">to play </w:t>
      </w:r>
      <w:r w:rsidR="00CB1287" w:rsidRPr="00F16EAF">
        <w:rPr>
          <w:rFonts w:eastAsia="Calibri" w:cs="Cambria"/>
          <w:color w:val="000000"/>
        </w:rPr>
        <w:t xml:space="preserve">in </w:t>
      </w:r>
      <w:r w:rsidR="00A20C95" w:rsidRPr="00F16EAF">
        <w:rPr>
          <w:rFonts w:eastAsia="Calibri" w:cs="Cambria"/>
          <w:color w:val="000000"/>
        </w:rPr>
        <w:t xml:space="preserve">many of the outcomes </w:t>
      </w:r>
      <w:r w:rsidR="00085B8C">
        <w:rPr>
          <w:rFonts w:eastAsia="Calibri" w:cs="Cambria"/>
          <w:color w:val="000000"/>
        </w:rPr>
        <w:t xml:space="preserve">governments seek </w:t>
      </w:r>
      <w:r w:rsidR="001C1B91" w:rsidRPr="00F16EAF">
        <w:rPr>
          <w:rFonts w:eastAsia="Calibri" w:cs="Cambria"/>
          <w:color w:val="000000"/>
        </w:rPr>
        <w:t>to achieve</w:t>
      </w:r>
      <w:r w:rsidR="00CB1287" w:rsidRPr="00F16EAF">
        <w:rPr>
          <w:rFonts w:eastAsia="Calibri" w:cs="Cambria"/>
          <w:color w:val="000000"/>
        </w:rPr>
        <w:t>.</w:t>
      </w:r>
    </w:p>
    <w:p w:rsidR="00A60D87" w:rsidRPr="00F16EAF" w:rsidRDefault="00A60D87" w:rsidP="007B588F">
      <w:pPr>
        <w:autoSpaceDE w:val="0"/>
        <w:autoSpaceDN w:val="0"/>
        <w:adjustRightInd w:val="0"/>
        <w:rPr>
          <w:rFonts w:eastAsia="Calibri" w:cs="Cambria"/>
          <w:color w:val="000000"/>
        </w:rPr>
      </w:pPr>
      <w:r w:rsidRPr="00F16EAF">
        <w:rPr>
          <w:rFonts w:eastAsia="Calibri" w:cs="Cambria"/>
          <w:color w:val="000000"/>
        </w:rPr>
        <w:lastRenderedPageBreak/>
        <w:t>Industry represents its producers, logistic and supply chains, exporters and importers, and other relevant commercial entities, and has a vital role to play in the management of biosecurity risks.</w:t>
      </w:r>
      <w:r w:rsidR="002238B8" w:rsidRPr="00F16EAF">
        <w:rPr>
          <w:rFonts w:eastAsia="Calibri" w:cs="Cambria"/>
          <w:color w:val="000000"/>
        </w:rPr>
        <w:t xml:space="preserve"> </w:t>
      </w:r>
      <w:r w:rsidR="00730691" w:rsidRPr="00F16EAF">
        <w:rPr>
          <w:rFonts w:eastAsia="Cambria" w:cs="Cambria"/>
        </w:rPr>
        <w:t xml:space="preserve">Government-industry partnerships </w:t>
      </w:r>
      <w:r w:rsidR="00817574" w:rsidRPr="00F16EAF">
        <w:rPr>
          <w:rFonts w:eastAsia="Cambria" w:cs="Cambria"/>
        </w:rPr>
        <w:t xml:space="preserve">such as Animal Health Australia </w:t>
      </w:r>
      <w:r w:rsidR="00730691" w:rsidRPr="00F16EAF">
        <w:rPr>
          <w:rFonts w:eastAsia="Cambria" w:cs="Cambria"/>
        </w:rPr>
        <w:t xml:space="preserve">and </w:t>
      </w:r>
      <w:r w:rsidR="00817574" w:rsidRPr="00F16EAF">
        <w:rPr>
          <w:rFonts w:eastAsia="Cambria" w:cs="Cambria"/>
        </w:rPr>
        <w:t xml:space="preserve">Plant Health Australia </w:t>
      </w:r>
      <w:r w:rsidR="00730691" w:rsidRPr="00F16EAF">
        <w:rPr>
          <w:rFonts w:eastAsia="Cambria" w:cs="Cambria"/>
        </w:rPr>
        <w:t>facilitate a national approach to enhancing Australia's animal and plant biosecurity systems through preparedness and emergency response management</w:t>
      </w:r>
      <w:r w:rsidR="002238B8" w:rsidRPr="00F16EAF">
        <w:rPr>
          <w:rFonts w:eastAsia="Calibri" w:cs="Cambria"/>
          <w:color w:val="000000"/>
        </w:rPr>
        <w:t>.</w:t>
      </w:r>
      <w:r w:rsidR="0030616F" w:rsidRPr="00F16EAF">
        <w:rPr>
          <w:rFonts w:eastAsia="Calibri" w:cs="Cambria"/>
          <w:color w:val="000000"/>
        </w:rPr>
        <w:t xml:space="preserve"> </w:t>
      </w:r>
      <w:r w:rsidR="005919F4" w:rsidRPr="00F16EAF">
        <w:rPr>
          <w:rFonts w:eastAsia="Calibri" w:cs="Cambria"/>
          <w:color w:val="000000"/>
        </w:rPr>
        <w:t xml:space="preserve">However, </w:t>
      </w:r>
      <w:r w:rsidR="00AF34D5">
        <w:rPr>
          <w:rFonts w:eastAsia="Calibri" w:cs="Cambria"/>
          <w:color w:val="000000"/>
        </w:rPr>
        <w:t>capturing all of industry</w:t>
      </w:r>
      <w:r w:rsidR="009007A7">
        <w:rPr>
          <w:rFonts w:eastAsia="Calibri" w:cs="Cambria"/>
          <w:color w:val="000000"/>
        </w:rPr>
        <w:t xml:space="preserve"> can be difficult despite, and perhaps due to, </w:t>
      </w:r>
      <w:r w:rsidR="00AF34D5">
        <w:rPr>
          <w:rFonts w:eastAsia="Calibri" w:cs="Cambria"/>
          <w:color w:val="000000"/>
        </w:rPr>
        <w:t xml:space="preserve">the existence of </w:t>
      </w:r>
      <w:r w:rsidR="0030616F" w:rsidRPr="00F16EAF">
        <w:rPr>
          <w:rFonts w:eastAsia="Calibri" w:cs="Cambria"/>
          <w:color w:val="000000"/>
        </w:rPr>
        <w:t>numerous industry representative and state farming organisations</w:t>
      </w:r>
      <w:r w:rsidR="00AF34D5" w:rsidRPr="00AF34D5">
        <w:rPr>
          <w:rFonts w:eastAsia="Calibri" w:cs="Cambria"/>
          <w:color w:val="000000"/>
        </w:rPr>
        <w:t xml:space="preserve"> </w:t>
      </w:r>
      <w:r w:rsidR="00AF34D5">
        <w:rPr>
          <w:rFonts w:eastAsia="Calibri" w:cs="Cambria"/>
          <w:color w:val="000000"/>
        </w:rPr>
        <w:t>across Australia</w:t>
      </w:r>
      <w:r w:rsidR="00C64093" w:rsidRPr="00F16EAF">
        <w:rPr>
          <w:rFonts w:eastAsia="Calibri" w:cs="Cambria"/>
          <w:color w:val="000000"/>
        </w:rPr>
        <w:t>.</w:t>
      </w:r>
    </w:p>
    <w:p w:rsidR="00A60D87" w:rsidRPr="00F16EAF" w:rsidRDefault="00A60D87" w:rsidP="007B588F">
      <w:pPr>
        <w:autoSpaceDE w:val="0"/>
        <w:autoSpaceDN w:val="0"/>
        <w:adjustRightInd w:val="0"/>
        <w:rPr>
          <w:rFonts w:eastAsia="Calibri" w:cs="Cambria"/>
          <w:color w:val="000000"/>
        </w:rPr>
      </w:pPr>
      <w:r w:rsidRPr="00F16EAF">
        <w:rPr>
          <w:rFonts w:eastAsia="Calibri" w:cs="Cambria"/>
          <w:color w:val="000000"/>
        </w:rPr>
        <w:t xml:space="preserve">Community understanding and acceptance of biosecurity risks is critical to the sustainability and operation of </w:t>
      </w:r>
      <w:r w:rsidR="00C12705" w:rsidRPr="00F16EAF">
        <w:rPr>
          <w:rFonts w:eastAsia="Calibri" w:cs="Cambria"/>
          <w:color w:val="000000"/>
        </w:rPr>
        <w:t>the</w:t>
      </w:r>
      <w:r w:rsidR="00014F20" w:rsidRPr="00F16EAF">
        <w:rPr>
          <w:rFonts w:eastAsia="Calibri" w:cs="Cambria"/>
          <w:color w:val="000000"/>
        </w:rPr>
        <w:t xml:space="preserve"> national </w:t>
      </w:r>
      <w:r w:rsidRPr="00F16EAF">
        <w:rPr>
          <w:rFonts w:eastAsia="Calibri" w:cs="Cambria"/>
          <w:color w:val="000000"/>
        </w:rPr>
        <w:t xml:space="preserve">biosecurity system. </w:t>
      </w:r>
      <w:r w:rsidR="00B0166F" w:rsidRPr="00F16EAF">
        <w:rPr>
          <w:rFonts w:eastAsia="Calibri" w:cs="Cambria"/>
          <w:color w:val="000000"/>
        </w:rPr>
        <w:t>Australia</w:t>
      </w:r>
      <w:r w:rsidR="002157E4">
        <w:rPr>
          <w:rFonts w:eastAsia="Calibri" w:cs="Cambria"/>
          <w:color w:val="000000"/>
        </w:rPr>
        <w:t>n</w:t>
      </w:r>
      <w:r w:rsidR="00B0166F" w:rsidRPr="00F16EAF">
        <w:rPr>
          <w:rFonts w:eastAsia="Calibri" w:cs="Cambria"/>
          <w:color w:val="000000"/>
        </w:rPr>
        <w:t xml:space="preserve"> g</w:t>
      </w:r>
      <w:r w:rsidRPr="00F16EAF">
        <w:rPr>
          <w:rFonts w:eastAsia="Calibri" w:cs="Cambria"/>
          <w:color w:val="000000"/>
        </w:rPr>
        <w:t xml:space="preserve">overnments and industry work together to help the </w:t>
      </w:r>
      <w:r w:rsidR="00CD5504" w:rsidRPr="00F16EAF">
        <w:rPr>
          <w:rFonts w:eastAsia="Calibri" w:cs="Cambria"/>
          <w:color w:val="000000"/>
        </w:rPr>
        <w:t>broader</w:t>
      </w:r>
      <w:r w:rsidRPr="00F16EAF">
        <w:rPr>
          <w:rFonts w:eastAsia="Calibri" w:cs="Cambria"/>
          <w:color w:val="000000"/>
        </w:rPr>
        <w:t xml:space="preserve"> community, which includes landholders, </w:t>
      </w:r>
      <w:r w:rsidR="00085B8C">
        <w:rPr>
          <w:rFonts w:eastAsia="Calibri" w:cs="Cambria"/>
          <w:color w:val="000000"/>
        </w:rPr>
        <w:t xml:space="preserve">travellers, </w:t>
      </w:r>
      <w:r w:rsidRPr="00F16EAF">
        <w:rPr>
          <w:rFonts w:eastAsia="Calibri" w:cs="Cambria"/>
          <w:color w:val="000000"/>
        </w:rPr>
        <w:t xml:space="preserve">scientists and non-government organisations, understand what biosecurity means for them so as to </w:t>
      </w:r>
      <w:r w:rsidR="00014F20" w:rsidRPr="00F16EAF">
        <w:rPr>
          <w:rFonts w:eastAsia="Calibri" w:cs="Cambria"/>
          <w:color w:val="000000"/>
        </w:rPr>
        <w:t xml:space="preserve">encourage </w:t>
      </w:r>
      <w:r w:rsidRPr="00F16EAF">
        <w:rPr>
          <w:rFonts w:eastAsia="Calibri" w:cs="Cambria"/>
          <w:color w:val="000000"/>
        </w:rPr>
        <w:t xml:space="preserve">participation and confidence in the </w:t>
      </w:r>
      <w:r w:rsidR="00202FA7" w:rsidRPr="00F16EAF">
        <w:rPr>
          <w:rFonts w:eastAsia="Calibri" w:cs="Cambria"/>
          <w:color w:val="000000"/>
        </w:rPr>
        <w:t xml:space="preserve">national </w:t>
      </w:r>
      <w:r w:rsidRPr="00F16EAF">
        <w:rPr>
          <w:rFonts w:eastAsia="Calibri" w:cs="Cambria"/>
          <w:color w:val="000000"/>
        </w:rPr>
        <w:t>biosecurity system.</w:t>
      </w:r>
    </w:p>
    <w:p w:rsidR="0042642D" w:rsidRPr="00F16EAF" w:rsidRDefault="004D6AE1" w:rsidP="007B588F">
      <w:pPr>
        <w:autoSpaceDE w:val="0"/>
        <w:autoSpaceDN w:val="0"/>
        <w:adjustRightInd w:val="0"/>
        <w:rPr>
          <w:rFonts w:eastAsia="Calibri" w:cs="Cambria"/>
          <w:color w:val="000000"/>
        </w:rPr>
      </w:pPr>
      <w:r w:rsidRPr="00F16EAF">
        <w:rPr>
          <w:rFonts w:eastAsia="Calibri" w:cs="Cambria"/>
          <w:color w:val="000000"/>
        </w:rPr>
        <w:t>The system operates at its most effective when stakeholders are aware of each other’s roles and responsibilities and are working collaboratively toward achieving agreed outcome</w:t>
      </w:r>
      <w:r w:rsidR="009A24D0" w:rsidRPr="00F16EAF">
        <w:rPr>
          <w:rFonts w:eastAsia="Calibri" w:cs="Cambria"/>
          <w:color w:val="000000"/>
        </w:rPr>
        <w:t>s</w:t>
      </w:r>
      <w:r w:rsidRPr="00F16EAF">
        <w:rPr>
          <w:rFonts w:eastAsia="Calibri" w:cs="Cambria"/>
          <w:color w:val="000000"/>
        </w:rPr>
        <w:t>.</w:t>
      </w:r>
    </w:p>
    <w:p w:rsidR="00411558" w:rsidRPr="00F16EAF" w:rsidRDefault="004E5942" w:rsidP="00E4198C">
      <w:pPr>
        <w:pStyle w:val="Boxedtext"/>
        <w:keepNext w:val="0"/>
        <w:rPr>
          <w:b/>
          <w:lang w:val="en-AU"/>
        </w:rPr>
      </w:pPr>
      <w:r w:rsidRPr="00F16EAF">
        <w:rPr>
          <w:b/>
          <w:lang w:val="en-AU"/>
        </w:rPr>
        <w:t>Question 9</w:t>
      </w:r>
    </w:p>
    <w:p w:rsidR="00E4198C" w:rsidRPr="00F16EAF" w:rsidRDefault="00ED7C8C" w:rsidP="00E4198C">
      <w:pPr>
        <w:pStyle w:val="Boxedtext"/>
        <w:keepNext w:val="0"/>
        <w:rPr>
          <w:lang w:val="en-AU"/>
        </w:rPr>
      </w:pPr>
      <w:r w:rsidRPr="00F16EAF">
        <w:rPr>
          <w:lang w:val="en-AU"/>
        </w:rPr>
        <w:t>Are the roles and responsibilities of stakeholders in Australia’s national biosecurity system clearly and consistently understood</w:t>
      </w:r>
      <w:r w:rsidR="00E4198C" w:rsidRPr="00F16EAF">
        <w:rPr>
          <w:lang w:val="en-AU"/>
        </w:rPr>
        <w:t xml:space="preserve">? How </w:t>
      </w:r>
      <w:r w:rsidRPr="00F16EAF">
        <w:rPr>
          <w:lang w:val="en-AU"/>
        </w:rPr>
        <w:t>might</w:t>
      </w:r>
      <w:r w:rsidR="00E4198C" w:rsidRPr="00F16EAF">
        <w:rPr>
          <w:lang w:val="en-AU"/>
        </w:rPr>
        <w:t xml:space="preserve"> this be improved?</w:t>
      </w:r>
    </w:p>
    <w:p w:rsidR="0099266A" w:rsidRPr="00F16EAF" w:rsidRDefault="00EA6471" w:rsidP="007B588F">
      <w:pPr>
        <w:autoSpaceDE w:val="0"/>
        <w:autoSpaceDN w:val="0"/>
        <w:adjustRightInd w:val="0"/>
        <w:rPr>
          <w:rFonts w:eastAsia="Calibri" w:cs="Cambria"/>
          <w:color w:val="000000"/>
        </w:rPr>
      </w:pPr>
      <w:r w:rsidRPr="00F16EAF">
        <w:rPr>
          <w:rFonts w:eastAsia="Calibri" w:cs="Cambria"/>
          <w:color w:val="000000"/>
        </w:rPr>
        <w:t>The concept of shared responsibility</w:t>
      </w:r>
      <w:r w:rsidR="00014F20" w:rsidRPr="00F16EAF">
        <w:rPr>
          <w:rFonts w:eastAsia="Calibri" w:cs="Cambria"/>
          <w:color w:val="000000"/>
        </w:rPr>
        <w:t xml:space="preserve"> </w:t>
      </w:r>
      <w:r w:rsidRPr="00F16EAF">
        <w:rPr>
          <w:rFonts w:eastAsia="Calibri" w:cs="Cambria"/>
          <w:color w:val="000000"/>
        </w:rPr>
        <w:t>is not new</w:t>
      </w:r>
      <w:r w:rsidR="008B15EC" w:rsidRPr="00F16EAF">
        <w:rPr>
          <w:rFonts w:eastAsia="Calibri" w:cs="Cambria"/>
          <w:color w:val="000000"/>
        </w:rPr>
        <w:t>.</w:t>
      </w:r>
      <w:r w:rsidR="009556CD" w:rsidRPr="00F16EAF">
        <w:rPr>
          <w:rFonts w:eastAsia="Calibri" w:cs="Cambria"/>
          <w:color w:val="000000"/>
        </w:rPr>
        <w:t xml:space="preserve"> </w:t>
      </w:r>
      <w:r w:rsidR="008B15EC" w:rsidRPr="00F16EAF">
        <w:rPr>
          <w:rFonts w:eastAsia="Calibri" w:cs="Cambria"/>
          <w:color w:val="000000"/>
        </w:rPr>
        <w:t>T</w:t>
      </w:r>
      <w:r w:rsidR="002238B8" w:rsidRPr="00F16EAF">
        <w:rPr>
          <w:rFonts w:eastAsia="Calibri" w:cs="Cambria"/>
          <w:color w:val="000000"/>
        </w:rPr>
        <w:t xml:space="preserve">he </w:t>
      </w:r>
      <w:r w:rsidR="008B15EC" w:rsidRPr="00F16EAF">
        <w:rPr>
          <w:rFonts w:eastAsia="Calibri" w:cs="Cambria"/>
          <w:color w:val="000000"/>
        </w:rPr>
        <w:t>idea</w:t>
      </w:r>
      <w:r w:rsidR="002238B8" w:rsidRPr="00F16EAF">
        <w:rPr>
          <w:rFonts w:eastAsia="Calibri" w:cs="Cambria"/>
          <w:color w:val="000000"/>
        </w:rPr>
        <w:t xml:space="preserve"> that all stakeholders </w:t>
      </w:r>
      <w:r w:rsidR="00014F20" w:rsidRPr="00F16EAF">
        <w:rPr>
          <w:rFonts w:eastAsia="Calibri" w:cs="Cambria"/>
          <w:color w:val="000000"/>
        </w:rPr>
        <w:t xml:space="preserve">in the national biosecurity system </w:t>
      </w:r>
      <w:r w:rsidR="002238B8" w:rsidRPr="00F16EAF">
        <w:rPr>
          <w:rFonts w:eastAsia="Calibri" w:cs="Cambria"/>
          <w:color w:val="000000"/>
        </w:rPr>
        <w:t xml:space="preserve">have an important role </w:t>
      </w:r>
      <w:r w:rsidR="004E3AAF" w:rsidRPr="00F16EAF">
        <w:rPr>
          <w:rFonts w:eastAsia="Calibri" w:cs="Cambria"/>
          <w:color w:val="000000"/>
        </w:rPr>
        <w:t xml:space="preserve">has its </w:t>
      </w:r>
      <w:r w:rsidR="009556CD" w:rsidRPr="00F16EAF">
        <w:rPr>
          <w:rFonts w:eastAsia="Calibri" w:cs="Cambria"/>
          <w:color w:val="000000"/>
        </w:rPr>
        <w:t>origins</w:t>
      </w:r>
      <w:r w:rsidR="004E3AAF" w:rsidRPr="00F16EAF">
        <w:rPr>
          <w:rFonts w:eastAsia="Calibri" w:cs="Cambria"/>
          <w:color w:val="000000"/>
        </w:rPr>
        <w:t xml:space="preserve"> in the </w:t>
      </w:r>
      <w:r w:rsidR="008B15EC" w:rsidRPr="00F16EAF">
        <w:rPr>
          <w:rFonts w:eastAsia="Calibri" w:cs="Cambria"/>
          <w:color w:val="000000"/>
        </w:rPr>
        <w:t xml:space="preserve">1996 </w:t>
      </w:r>
      <w:r w:rsidR="004E3AAF" w:rsidRPr="00F16EAF">
        <w:rPr>
          <w:rFonts w:eastAsia="Calibri" w:cs="Cambria"/>
          <w:color w:val="000000"/>
        </w:rPr>
        <w:t xml:space="preserve">Nairn review of </w:t>
      </w:r>
      <w:r w:rsidR="0099266A" w:rsidRPr="00F16EAF">
        <w:rPr>
          <w:rFonts w:eastAsia="Calibri" w:cs="Cambria"/>
          <w:color w:val="000000"/>
        </w:rPr>
        <w:t>Australia’s</w:t>
      </w:r>
      <w:r w:rsidR="00F7034E" w:rsidRPr="00F16EAF">
        <w:rPr>
          <w:rFonts w:eastAsia="Calibri" w:cs="Cambria"/>
          <w:color w:val="000000"/>
        </w:rPr>
        <w:t xml:space="preserve"> then </w:t>
      </w:r>
      <w:r w:rsidR="008B15EC" w:rsidRPr="00F16EAF">
        <w:rPr>
          <w:rFonts w:eastAsia="Calibri" w:cs="Cambria"/>
          <w:color w:val="000000"/>
        </w:rPr>
        <w:t>quarantine system</w:t>
      </w:r>
      <w:r w:rsidR="00F13E47" w:rsidRPr="00F16EAF">
        <w:rPr>
          <w:rFonts w:eastAsia="Calibri" w:cs="Cambria"/>
          <w:color w:val="000000"/>
        </w:rPr>
        <w:t xml:space="preserve"> (Nairn et al. 1996)</w:t>
      </w:r>
      <w:r w:rsidR="008425CC" w:rsidRPr="00F16EAF">
        <w:rPr>
          <w:rFonts w:eastAsia="Calibri" w:cs="Cambria"/>
          <w:color w:val="000000"/>
        </w:rPr>
        <w:t xml:space="preserve">, </w:t>
      </w:r>
      <w:r w:rsidR="0094397F" w:rsidRPr="00F16EAF">
        <w:rPr>
          <w:rFonts w:eastAsia="Calibri" w:cs="Cambria"/>
          <w:color w:val="000000"/>
        </w:rPr>
        <w:t xml:space="preserve">some </w:t>
      </w:r>
      <w:r w:rsidR="009556CD" w:rsidRPr="00F16EAF">
        <w:rPr>
          <w:rFonts w:eastAsia="Calibri" w:cs="Cambria"/>
          <w:color w:val="000000"/>
        </w:rPr>
        <w:t>20 years ago</w:t>
      </w:r>
      <w:r w:rsidR="004E3AAF" w:rsidRPr="00F16EAF">
        <w:rPr>
          <w:rFonts w:eastAsia="Calibri" w:cs="Cambria"/>
          <w:color w:val="000000"/>
        </w:rPr>
        <w:t>.</w:t>
      </w:r>
      <w:r w:rsidR="00041943" w:rsidRPr="00F16EAF">
        <w:rPr>
          <w:rFonts w:eastAsia="Calibri" w:cs="Cambria"/>
          <w:color w:val="000000"/>
        </w:rPr>
        <w:t xml:space="preserve"> However, t</w:t>
      </w:r>
      <w:r w:rsidR="008B15EC" w:rsidRPr="00F16EAF">
        <w:rPr>
          <w:rFonts w:eastAsia="Calibri" w:cs="Cambria"/>
          <w:color w:val="000000"/>
        </w:rPr>
        <w:t xml:space="preserve">he </w:t>
      </w:r>
      <w:r w:rsidR="005D67DD" w:rsidRPr="00F16EAF">
        <w:rPr>
          <w:rFonts w:eastAsia="Calibri" w:cs="Cambria"/>
          <w:color w:val="000000"/>
        </w:rPr>
        <w:t>application</w:t>
      </w:r>
      <w:r w:rsidR="008B15EC" w:rsidRPr="00F16EAF">
        <w:rPr>
          <w:rFonts w:eastAsia="Calibri" w:cs="Cambria"/>
          <w:color w:val="000000"/>
        </w:rPr>
        <w:t xml:space="preserve"> of this concept </w:t>
      </w:r>
      <w:r w:rsidR="005D67DD" w:rsidRPr="00F16EAF">
        <w:rPr>
          <w:rFonts w:eastAsia="Calibri" w:cs="Cambria"/>
          <w:color w:val="000000"/>
        </w:rPr>
        <w:t xml:space="preserve">has </w:t>
      </w:r>
      <w:r w:rsidR="008B15EC" w:rsidRPr="00F16EAF">
        <w:rPr>
          <w:rFonts w:eastAsia="Calibri" w:cs="Cambria"/>
          <w:color w:val="000000"/>
        </w:rPr>
        <w:t xml:space="preserve">not translated into </w:t>
      </w:r>
      <w:r w:rsidR="0022654D" w:rsidRPr="00F16EAF">
        <w:rPr>
          <w:rFonts w:eastAsia="Calibri" w:cs="Cambria"/>
          <w:color w:val="000000"/>
        </w:rPr>
        <w:t>broadly based arrangement</w:t>
      </w:r>
      <w:r w:rsidR="00AF34D5">
        <w:rPr>
          <w:rFonts w:eastAsia="Calibri" w:cs="Cambria"/>
          <w:color w:val="000000"/>
        </w:rPr>
        <w:t>s</w:t>
      </w:r>
      <w:r w:rsidR="009B69E8" w:rsidRPr="00F16EAF">
        <w:rPr>
          <w:rFonts w:eastAsia="Calibri" w:cs="Cambria"/>
          <w:color w:val="000000"/>
        </w:rPr>
        <w:t>, characterised by</w:t>
      </w:r>
      <w:r w:rsidR="0022654D" w:rsidRPr="00F16EAF">
        <w:rPr>
          <w:rFonts w:eastAsia="Calibri" w:cs="Cambria"/>
          <w:color w:val="000000"/>
        </w:rPr>
        <w:t xml:space="preserve"> </w:t>
      </w:r>
      <w:r w:rsidR="00FB231A" w:rsidRPr="00F16EAF">
        <w:rPr>
          <w:rFonts w:eastAsia="Calibri" w:cs="Cambria"/>
          <w:color w:val="000000"/>
        </w:rPr>
        <w:t>wide</w:t>
      </w:r>
      <w:r w:rsidR="008B15EC" w:rsidRPr="00F16EAF">
        <w:rPr>
          <w:rFonts w:eastAsia="Calibri" w:cs="Cambria"/>
          <w:color w:val="000000"/>
        </w:rPr>
        <w:t xml:space="preserve"> </w:t>
      </w:r>
      <w:r w:rsidR="002478F5" w:rsidRPr="00F16EAF">
        <w:rPr>
          <w:rFonts w:eastAsia="Calibri" w:cs="Cambria"/>
          <w:color w:val="000000"/>
        </w:rPr>
        <w:t>understanding</w:t>
      </w:r>
      <w:r w:rsidR="00AF34D5" w:rsidRPr="00AF34D5">
        <w:rPr>
          <w:rFonts w:eastAsia="Calibri" w:cs="Cambria"/>
          <w:color w:val="000000"/>
        </w:rPr>
        <w:t xml:space="preserve"> </w:t>
      </w:r>
      <w:r w:rsidR="00AF34D5">
        <w:rPr>
          <w:rFonts w:eastAsia="Calibri" w:cs="Cambria"/>
          <w:color w:val="000000"/>
        </w:rPr>
        <w:t xml:space="preserve">and </w:t>
      </w:r>
      <w:r w:rsidR="00AF34D5" w:rsidRPr="00F16EAF">
        <w:rPr>
          <w:rFonts w:eastAsia="Calibri" w:cs="Cambria"/>
          <w:color w:val="000000"/>
        </w:rPr>
        <w:t>acceptance</w:t>
      </w:r>
      <w:r w:rsidR="00AF34D5">
        <w:rPr>
          <w:rFonts w:eastAsia="Calibri" w:cs="Cambria"/>
          <w:color w:val="000000"/>
        </w:rPr>
        <w:t xml:space="preserve"> of share</w:t>
      </w:r>
      <w:r w:rsidR="006A4476">
        <w:rPr>
          <w:rFonts w:eastAsia="Calibri" w:cs="Cambria"/>
          <w:color w:val="000000"/>
        </w:rPr>
        <w:t>d</w:t>
      </w:r>
      <w:r w:rsidR="00AF34D5">
        <w:rPr>
          <w:rFonts w:eastAsia="Calibri" w:cs="Cambria"/>
          <w:color w:val="000000"/>
        </w:rPr>
        <w:t xml:space="preserve"> responsibility</w:t>
      </w:r>
      <w:r w:rsidR="009B69E8" w:rsidRPr="00F16EAF">
        <w:rPr>
          <w:rFonts w:eastAsia="Calibri" w:cs="Cambria"/>
          <w:color w:val="000000"/>
        </w:rPr>
        <w:t>,</w:t>
      </w:r>
      <w:r w:rsidR="002478F5" w:rsidRPr="00F16EAF">
        <w:rPr>
          <w:rFonts w:eastAsia="Calibri" w:cs="Cambria"/>
          <w:color w:val="000000"/>
        </w:rPr>
        <w:t xml:space="preserve"> </w:t>
      </w:r>
      <w:r w:rsidR="008B15EC" w:rsidRPr="00F16EAF">
        <w:rPr>
          <w:rFonts w:eastAsia="Calibri" w:cs="Cambria"/>
          <w:color w:val="000000"/>
        </w:rPr>
        <w:t xml:space="preserve">across the </w:t>
      </w:r>
      <w:r w:rsidR="00C8140A" w:rsidRPr="00F16EAF">
        <w:rPr>
          <w:rFonts w:eastAsia="Calibri" w:cs="Cambria"/>
          <w:color w:val="000000"/>
        </w:rPr>
        <w:t xml:space="preserve">national biosecurity </w:t>
      </w:r>
      <w:r w:rsidR="008B15EC" w:rsidRPr="00F16EAF">
        <w:rPr>
          <w:rFonts w:eastAsia="Calibri" w:cs="Cambria"/>
          <w:color w:val="000000"/>
        </w:rPr>
        <w:t>system</w:t>
      </w:r>
      <w:r w:rsidR="00AF34D5">
        <w:rPr>
          <w:rFonts w:eastAsia="Calibri" w:cs="Cambria"/>
          <w:color w:val="000000"/>
        </w:rPr>
        <w:t>. In some cases,</w:t>
      </w:r>
      <w:r w:rsidR="008B15EC" w:rsidRPr="00F16EAF">
        <w:rPr>
          <w:rFonts w:eastAsia="Calibri" w:cs="Cambria"/>
          <w:color w:val="000000"/>
        </w:rPr>
        <w:t xml:space="preserve"> </w:t>
      </w:r>
      <w:r w:rsidR="002478F5" w:rsidRPr="00F16EAF">
        <w:rPr>
          <w:rFonts w:eastAsia="Calibri" w:cs="Cambria"/>
          <w:color w:val="000000"/>
        </w:rPr>
        <w:t>‘</w:t>
      </w:r>
      <w:r w:rsidR="00041943" w:rsidRPr="00F16EAF">
        <w:rPr>
          <w:rFonts w:eastAsia="Calibri" w:cs="Cambria"/>
          <w:color w:val="000000"/>
        </w:rPr>
        <w:t>shared responsibility</w:t>
      </w:r>
      <w:r w:rsidR="002478F5" w:rsidRPr="00F16EAF">
        <w:rPr>
          <w:rFonts w:eastAsia="Calibri" w:cs="Cambria"/>
          <w:color w:val="000000"/>
        </w:rPr>
        <w:t>’</w:t>
      </w:r>
      <w:r w:rsidR="00041943" w:rsidRPr="00F16EAF">
        <w:rPr>
          <w:rFonts w:eastAsia="Calibri" w:cs="Cambria"/>
          <w:color w:val="000000"/>
        </w:rPr>
        <w:t xml:space="preserve"> </w:t>
      </w:r>
      <w:r w:rsidR="00AF34D5">
        <w:rPr>
          <w:rFonts w:eastAsia="Calibri" w:cs="Cambria"/>
          <w:color w:val="000000"/>
        </w:rPr>
        <w:t xml:space="preserve">has been viewed as a vehicle to </w:t>
      </w:r>
      <w:r w:rsidR="008B15EC" w:rsidRPr="00F16EAF">
        <w:rPr>
          <w:rFonts w:eastAsia="Calibri" w:cs="Cambria"/>
          <w:color w:val="000000"/>
        </w:rPr>
        <w:t xml:space="preserve">‘cost-shift’ </w:t>
      </w:r>
      <w:r w:rsidR="00FB231A" w:rsidRPr="00F16EAF">
        <w:rPr>
          <w:rFonts w:eastAsia="Calibri" w:cs="Cambria"/>
          <w:color w:val="000000"/>
        </w:rPr>
        <w:t xml:space="preserve">activities </w:t>
      </w:r>
      <w:r w:rsidR="008B15EC" w:rsidRPr="00F16EAF">
        <w:rPr>
          <w:rFonts w:eastAsia="Calibri" w:cs="Cambria"/>
          <w:color w:val="000000"/>
        </w:rPr>
        <w:t>to other stakeholders in the system.</w:t>
      </w:r>
    </w:p>
    <w:p w:rsidR="00D023B7" w:rsidRPr="00F16EAF" w:rsidRDefault="00FB231A" w:rsidP="007B588F">
      <w:pPr>
        <w:autoSpaceDE w:val="0"/>
        <w:autoSpaceDN w:val="0"/>
        <w:adjustRightInd w:val="0"/>
        <w:rPr>
          <w:rFonts w:eastAsia="Calibri" w:cs="Cambria"/>
          <w:color w:val="000000"/>
        </w:rPr>
      </w:pPr>
      <w:r w:rsidRPr="00F16EAF">
        <w:rPr>
          <w:rFonts w:eastAsia="Calibri" w:cs="Cambria"/>
          <w:color w:val="000000"/>
        </w:rPr>
        <w:t xml:space="preserve">Although </w:t>
      </w:r>
      <w:r w:rsidR="00AF34D5">
        <w:rPr>
          <w:rFonts w:eastAsia="Calibri" w:cs="Cambria"/>
          <w:color w:val="000000"/>
        </w:rPr>
        <w:t xml:space="preserve">many </w:t>
      </w:r>
      <w:r w:rsidRPr="00F16EAF">
        <w:rPr>
          <w:rFonts w:eastAsia="Calibri" w:cs="Cambria"/>
          <w:color w:val="000000"/>
        </w:rPr>
        <w:t xml:space="preserve">stakeholders are already engaged in </w:t>
      </w:r>
      <w:r w:rsidR="005D67DD" w:rsidRPr="00F16EAF">
        <w:rPr>
          <w:rFonts w:eastAsia="Calibri" w:cs="Cambria"/>
          <w:color w:val="000000"/>
        </w:rPr>
        <w:t xml:space="preserve">a variety of </w:t>
      </w:r>
      <w:r w:rsidRPr="00F16EAF">
        <w:rPr>
          <w:rFonts w:eastAsia="Calibri" w:cs="Cambria"/>
          <w:color w:val="000000"/>
        </w:rPr>
        <w:t xml:space="preserve">biosecurity </w:t>
      </w:r>
      <w:r w:rsidR="005D67DD" w:rsidRPr="00F16EAF">
        <w:rPr>
          <w:rFonts w:eastAsia="Calibri" w:cs="Cambria"/>
          <w:color w:val="000000"/>
        </w:rPr>
        <w:t>related activities</w:t>
      </w:r>
      <w:r w:rsidRPr="00F16EAF">
        <w:rPr>
          <w:rFonts w:eastAsia="Calibri" w:cs="Cambria"/>
          <w:color w:val="000000"/>
        </w:rPr>
        <w:t>, there are opportunities to further strengthen the involvement of industry and the broader community</w:t>
      </w:r>
      <w:r w:rsidR="00E517DF" w:rsidRPr="00F16EAF">
        <w:rPr>
          <w:rFonts w:eastAsia="Calibri" w:cs="Cambria"/>
          <w:color w:val="000000"/>
        </w:rPr>
        <w:t xml:space="preserve"> in </w:t>
      </w:r>
      <w:r w:rsidR="000A2A79" w:rsidRPr="00F16EAF">
        <w:rPr>
          <w:rFonts w:eastAsia="Calibri" w:cs="Cambria"/>
          <w:color w:val="000000"/>
        </w:rPr>
        <w:t>the</w:t>
      </w:r>
      <w:r w:rsidR="00E517DF" w:rsidRPr="00F16EAF">
        <w:rPr>
          <w:rFonts w:eastAsia="Calibri" w:cs="Cambria"/>
          <w:color w:val="000000"/>
        </w:rPr>
        <w:t xml:space="preserve"> national biosecurity system</w:t>
      </w:r>
      <w:r w:rsidRPr="00F16EAF">
        <w:rPr>
          <w:rFonts w:eastAsia="Calibri" w:cs="Cambria"/>
          <w:color w:val="000000"/>
        </w:rPr>
        <w:t>. In an environment of constrained and finite resources and</w:t>
      </w:r>
      <w:r w:rsidR="00DB751D" w:rsidRPr="00F16EAF">
        <w:rPr>
          <w:rFonts w:eastAsia="Calibri" w:cs="Cambria"/>
          <w:color w:val="000000"/>
        </w:rPr>
        <w:t xml:space="preserve"> </w:t>
      </w:r>
      <w:r w:rsidRPr="00F16EAF">
        <w:rPr>
          <w:rFonts w:eastAsia="Calibri" w:cs="Cambria"/>
          <w:color w:val="000000"/>
        </w:rPr>
        <w:t xml:space="preserve">constantly changing biosecurity challenges, there is a fundamental need for all stakeholders to recognise the </w:t>
      </w:r>
      <w:r w:rsidR="005D67DD" w:rsidRPr="00F16EAF">
        <w:rPr>
          <w:rFonts w:eastAsia="Calibri" w:cs="Cambria"/>
          <w:color w:val="000000"/>
        </w:rPr>
        <w:t xml:space="preserve">true </w:t>
      </w:r>
      <w:r w:rsidRPr="00F16EAF">
        <w:rPr>
          <w:rFonts w:eastAsia="Calibri" w:cs="Cambria"/>
          <w:color w:val="000000"/>
        </w:rPr>
        <w:t xml:space="preserve">partnership approach required to </w:t>
      </w:r>
      <w:r w:rsidR="005D67DD" w:rsidRPr="00F16EAF">
        <w:rPr>
          <w:rFonts w:eastAsia="Calibri" w:cs="Cambria"/>
          <w:color w:val="000000"/>
        </w:rPr>
        <w:t>manage biosecurity risks</w:t>
      </w:r>
      <w:r w:rsidR="00E517DF" w:rsidRPr="00F16EAF">
        <w:rPr>
          <w:rFonts w:eastAsia="Calibri" w:cs="Cambria"/>
          <w:color w:val="000000"/>
        </w:rPr>
        <w:t xml:space="preserve"> </w:t>
      </w:r>
      <w:r w:rsidR="00DB751D" w:rsidRPr="00F16EAF">
        <w:rPr>
          <w:rFonts w:eastAsia="Calibri" w:cs="Cambria"/>
          <w:color w:val="000000"/>
        </w:rPr>
        <w:t xml:space="preserve">in </w:t>
      </w:r>
      <w:r w:rsidR="00E517DF" w:rsidRPr="00F16EAF">
        <w:rPr>
          <w:rFonts w:eastAsia="Calibri" w:cs="Cambria"/>
          <w:color w:val="000000"/>
        </w:rPr>
        <w:t>Australia</w:t>
      </w:r>
      <w:r w:rsidR="00C016E1" w:rsidRPr="00F16EAF">
        <w:rPr>
          <w:rFonts w:eastAsia="Calibri" w:cs="Cambria"/>
          <w:color w:val="000000"/>
        </w:rPr>
        <w:t xml:space="preserve">—to </w:t>
      </w:r>
      <w:r w:rsidRPr="00F16EAF">
        <w:rPr>
          <w:rFonts w:eastAsia="Calibri" w:cs="Cambria"/>
          <w:color w:val="000000"/>
        </w:rPr>
        <w:t xml:space="preserve">ensure </w:t>
      </w:r>
      <w:r w:rsidR="00E517DF" w:rsidRPr="00F16EAF">
        <w:rPr>
          <w:rFonts w:eastAsia="Calibri" w:cs="Cambria"/>
          <w:color w:val="000000"/>
        </w:rPr>
        <w:t xml:space="preserve">the </w:t>
      </w:r>
      <w:r w:rsidR="005D67DD" w:rsidRPr="00F16EAF">
        <w:rPr>
          <w:rFonts w:eastAsia="Calibri" w:cs="Cambria"/>
          <w:color w:val="000000"/>
        </w:rPr>
        <w:t xml:space="preserve">national </w:t>
      </w:r>
      <w:r w:rsidRPr="00F16EAF">
        <w:rPr>
          <w:rFonts w:eastAsia="Calibri" w:cs="Cambria"/>
          <w:color w:val="000000"/>
        </w:rPr>
        <w:t>biosecurity system remains strong</w:t>
      </w:r>
      <w:r w:rsidR="00D40AC9" w:rsidRPr="00F16EAF">
        <w:rPr>
          <w:rFonts w:eastAsia="Calibri" w:cs="Cambria"/>
          <w:color w:val="000000"/>
        </w:rPr>
        <w:t>,</w:t>
      </w:r>
      <w:r w:rsidR="00E517DF" w:rsidRPr="00F16EAF">
        <w:rPr>
          <w:rFonts w:eastAsia="Calibri" w:cs="Cambria"/>
          <w:color w:val="000000"/>
        </w:rPr>
        <w:t xml:space="preserve"> and our international </w:t>
      </w:r>
      <w:r w:rsidR="00C016E1" w:rsidRPr="00F16EAF">
        <w:rPr>
          <w:rFonts w:eastAsia="Calibri" w:cs="Cambria"/>
          <w:color w:val="000000"/>
        </w:rPr>
        <w:t>rep</w:t>
      </w:r>
      <w:r w:rsidR="002478F5" w:rsidRPr="00F16EAF">
        <w:rPr>
          <w:rFonts w:eastAsia="Calibri" w:cs="Cambria"/>
          <w:color w:val="000000"/>
        </w:rPr>
        <w:t>utation for safe and high-</w:t>
      </w:r>
      <w:r w:rsidR="00E517DF" w:rsidRPr="00F16EAF">
        <w:rPr>
          <w:rFonts w:eastAsia="Calibri" w:cs="Cambria"/>
          <w:color w:val="000000"/>
        </w:rPr>
        <w:t>quality produce is maintained</w:t>
      </w:r>
      <w:r w:rsidR="00DB751D" w:rsidRPr="00F16EAF">
        <w:rPr>
          <w:rFonts w:eastAsia="Calibri" w:cs="Cambria"/>
          <w:color w:val="000000"/>
        </w:rPr>
        <w:t xml:space="preserve"> into the future</w:t>
      </w:r>
      <w:r w:rsidR="00FA7B9E" w:rsidRPr="00F16EAF">
        <w:rPr>
          <w:rFonts w:eastAsia="Calibri" w:cs="Cambria"/>
          <w:color w:val="000000"/>
        </w:rPr>
        <w:t>.</w:t>
      </w:r>
    </w:p>
    <w:p w:rsidR="00911B91" w:rsidRPr="00F16EAF" w:rsidRDefault="00794A98" w:rsidP="00454FA7">
      <w:pPr>
        <w:autoSpaceDE w:val="0"/>
        <w:autoSpaceDN w:val="0"/>
        <w:adjustRightInd w:val="0"/>
        <w:rPr>
          <w:rFonts w:eastAsia="Calibri" w:cs="Cambria"/>
          <w:color w:val="000000"/>
        </w:rPr>
      </w:pPr>
      <w:r w:rsidRPr="00F16EAF">
        <w:rPr>
          <w:rFonts w:eastAsia="Calibri" w:cs="Cambria"/>
          <w:color w:val="000000"/>
        </w:rPr>
        <w:t>The r</w:t>
      </w:r>
      <w:r w:rsidR="00B34304" w:rsidRPr="00F16EAF">
        <w:rPr>
          <w:rFonts w:eastAsia="Calibri" w:cs="Cambria"/>
          <w:color w:val="000000"/>
        </w:rPr>
        <w:t xml:space="preserve">eview </w:t>
      </w:r>
      <w:r w:rsidRPr="00F16EAF">
        <w:rPr>
          <w:rFonts w:eastAsia="Calibri" w:cs="Cambria"/>
          <w:color w:val="000000"/>
        </w:rPr>
        <w:t>p</w:t>
      </w:r>
      <w:r w:rsidR="00B34304" w:rsidRPr="00F16EAF">
        <w:rPr>
          <w:rFonts w:eastAsia="Calibri" w:cs="Cambria"/>
          <w:color w:val="000000"/>
        </w:rPr>
        <w:t>anel is</w:t>
      </w:r>
      <w:r w:rsidR="00E517DF" w:rsidRPr="00F16EAF">
        <w:rPr>
          <w:rFonts w:eastAsia="Calibri" w:cs="Cambria"/>
          <w:color w:val="000000"/>
        </w:rPr>
        <w:t xml:space="preserve"> interested in your views </w:t>
      </w:r>
      <w:r w:rsidR="007E78ED" w:rsidRPr="00F16EAF">
        <w:rPr>
          <w:rFonts w:eastAsia="Calibri" w:cs="Cambria"/>
          <w:color w:val="000000"/>
        </w:rPr>
        <w:t xml:space="preserve">on what </w:t>
      </w:r>
      <w:r w:rsidR="00454FA7" w:rsidRPr="00F16EAF">
        <w:rPr>
          <w:rFonts w:eastAsia="Calibri" w:cs="Cambria"/>
          <w:color w:val="000000"/>
        </w:rPr>
        <w:t xml:space="preserve">actions </w:t>
      </w:r>
      <w:r w:rsidR="00FF1C57" w:rsidRPr="00F16EAF">
        <w:rPr>
          <w:rFonts w:eastAsia="Calibri" w:cs="Cambria"/>
          <w:color w:val="000000"/>
        </w:rPr>
        <w:t xml:space="preserve">stakeholders, including </w:t>
      </w:r>
      <w:r w:rsidR="000C30BE" w:rsidRPr="00F16EAF">
        <w:rPr>
          <w:rFonts w:eastAsia="Calibri" w:cs="Cambria"/>
          <w:color w:val="000000"/>
        </w:rPr>
        <w:t xml:space="preserve">by </w:t>
      </w:r>
      <w:r w:rsidR="00454FA7" w:rsidRPr="00F16EAF">
        <w:rPr>
          <w:rFonts w:eastAsia="Calibri" w:cs="Cambria"/>
          <w:color w:val="000000"/>
        </w:rPr>
        <w:t>governments</w:t>
      </w:r>
      <w:r w:rsidR="00FF1C57" w:rsidRPr="00F16EAF">
        <w:rPr>
          <w:rFonts w:eastAsia="Calibri" w:cs="Cambria"/>
          <w:color w:val="000000"/>
        </w:rPr>
        <w:t>,</w:t>
      </w:r>
      <w:r w:rsidR="00454FA7" w:rsidRPr="00F16EAF">
        <w:rPr>
          <w:rFonts w:eastAsia="Calibri" w:cs="Cambria"/>
          <w:color w:val="000000"/>
        </w:rPr>
        <w:t xml:space="preserve"> </w:t>
      </w:r>
      <w:r w:rsidR="00DB751D" w:rsidRPr="00F16EAF">
        <w:rPr>
          <w:rFonts w:eastAsia="Calibri" w:cs="Cambria"/>
          <w:color w:val="000000"/>
        </w:rPr>
        <w:t>can</w:t>
      </w:r>
      <w:r w:rsidR="00454FA7" w:rsidRPr="00F16EAF">
        <w:rPr>
          <w:rFonts w:eastAsia="Calibri" w:cs="Cambria"/>
          <w:color w:val="000000"/>
        </w:rPr>
        <w:t xml:space="preserve"> undertake to embed </w:t>
      </w:r>
      <w:r w:rsidR="007230E4" w:rsidRPr="00F16EAF">
        <w:rPr>
          <w:rFonts w:eastAsia="Calibri" w:cs="Cambria"/>
          <w:color w:val="000000"/>
        </w:rPr>
        <w:t xml:space="preserve">the reality of </w:t>
      </w:r>
      <w:r w:rsidR="00454FA7" w:rsidRPr="00F16EAF">
        <w:rPr>
          <w:rFonts w:eastAsia="Calibri" w:cs="Cambria"/>
          <w:color w:val="000000"/>
        </w:rPr>
        <w:t>shared responsibility</w:t>
      </w:r>
      <w:r w:rsidR="00DB751D" w:rsidRPr="00F16EAF">
        <w:rPr>
          <w:rFonts w:eastAsia="Calibri" w:cs="Cambria"/>
          <w:color w:val="000000"/>
        </w:rPr>
        <w:t xml:space="preserve"> in </w:t>
      </w:r>
      <w:r w:rsidR="000A2A79" w:rsidRPr="00F16EAF">
        <w:rPr>
          <w:rFonts w:eastAsia="Calibri" w:cs="Cambria"/>
          <w:color w:val="000000"/>
        </w:rPr>
        <w:t>the</w:t>
      </w:r>
      <w:r w:rsidR="00DB751D" w:rsidRPr="00F16EAF">
        <w:rPr>
          <w:rFonts w:eastAsia="Calibri" w:cs="Cambria"/>
          <w:color w:val="000000"/>
        </w:rPr>
        <w:t xml:space="preserve"> national biosecurity system</w:t>
      </w:r>
      <w:r w:rsidR="00D40AC9" w:rsidRPr="00F16EAF">
        <w:rPr>
          <w:rFonts w:eastAsia="Calibri" w:cs="Cambria"/>
          <w:color w:val="000000"/>
        </w:rPr>
        <w:t>.</w:t>
      </w:r>
    </w:p>
    <w:p w:rsidR="00632D6A" w:rsidRDefault="00632D6A" w:rsidP="00632D6A">
      <w:pPr>
        <w:pStyle w:val="Boxedtext"/>
        <w:keepNext w:val="0"/>
        <w:rPr>
          <w:b/>
          <w:lang w:val="en-AU"/>
        </w:rPr>
      </w:pPr>
      <w:r>
        <w:rPr>
          <w:b/>
          <w:lang w:val="en-AU"/>
        </w:rPr>
        <w:t>Question 10</w:t>
      </w:r>
    </w:p>
    <w:p w:rsidR="00911B91" w:rsidRPr="00F16EAF" w:rsidRDefault="00632D6A" w:rsidP="00632D6A">
      <w:pPr>
        <w:pStyle w:val="Boxedtext"/>
        <w:keepNext w:val="0"/>
        <w:rPr>
          <w:b/>
          <w:lang w:val="en-AU"/>
        </w:rPr>
      </w:pPr>
      <w:r w:rsidRPr="00F16EAF">
        <w:rPr>
          <w:rFonts w:eastAsia="Calibri"/>
          <w:color w:val="000000"/>
          <w:lang w:val="en-AU"/>
        </w:rPr>
        <w:t xml:space="preserve">What practical actions do you think governments </w:t>
      </w:r>
      <w:r>
        <w:rPr>
          <w:rFonts w:eastAsia="Calibri"/>
          <w:color w:val="000000"/>
          <w:lang w:val="en-AU"/>
        </w:rPr>
        <w:t xml:space="preserve">and industry organisations </w:t>
      </w:r>
      <w:r w:rsidRPr="00F16EAF">
        <w:rPr>
          <w:rFonts w:eastAsia="Calibri"/>
          <w:color w:val="000000"/>
          <w:lang w:val="en-AU"/>
        </w:rPr>
        <w:t>can undertake to strengthen the involvement of industry and community stakeholders in Australia’s national biosecurity system? Would increased involvement in decision making on and implementation of biosecurity activities help the adoption of shared responsibility?</w:t>
      </w:r>
    </w:p>
    <w:p w:rsidR="006B519B" w:rsidRPr="00F16EAF" w:rsidRDefault="00701B11" w:rsidP="002C3875">
      <w:pPr>
        <w:pStyle w:val="Heading3"/>
      </w:pPr>
      <w:bookmarkStart w:id="26" w:name="_Toc449107444"/>
      <w:bookmarkStart w:id="27" w:name="_Toc450126739"/>
      <w:r w:rsidRPr="00F16EAF">
        <w:lastRenderedPageBreak/>
        <w:t xml:space="preserve">Funding </w:t>
      </w:r>
      <w:r w:rsidR="006B519B" w:rsidRPr="00F16EAF">
        <w:t>biosecurity</w:t>
      </w:r>
      <w:bookmarkEnd w:id="26"/>
      <w:bookmarkEnd w:id="27"/>
    </w:p>
    <w:p w:rsidR="006B519B" w:rsidRPr="00F16EAF" w:rsidRDefault="00A358C1" w:rsidP="002C3875">
      <w:pPr>
        <w:keepLines/>
        <w:rPr>
          <w:rFonts w:ascii="Calibri" w:eastAsia="Calibri" w:hAnsi="Calibri" w:cs="Times New Roman"/>
        </w:rPr>
      </w:pPr>
      <w:r w:rsidRPr="00F16EAF">
        <w:rPr>
          <w:rFonts w:ascii="Calibri" w:eastAsia="Calibri" w:hAnsi="Calibri" w:cs="Cambria"/>
          <w:color w:val="000000"/>
        </w:rPr>
        <w:t>The s</w:t>
      </w:r>
      <w:r w:rsidR="006B519B" w:rsidRPr="00F16EAF">
        <w:rPr>
          <w:rFonts w:ascii="Calibri" w:eastAsia="Calibri" w:hAnsi="Calibri" w:cs="Cambria"/>
          <w:color w:val="000000"/>
        </w:rPr>
        <w:t xml:space="preserve">uccess of </w:t>
      </w:r>
      <w:r w:rsidRPr="00F16EAF">
        <w:rPr>
          <w:rFonts w:ascii="Calibri" w:eastAsia="Calibri" w:hAnsi="Calibri" w:cs="Cambria"/>
          <w:color w:val="000000"/>
        </w:rPr>
        <w:t>the</w:t>
      </w:r>
      <w:r w:rsidR="006B519B" w:rsidRPr="00F16EAF">
        <w:rPr>
          <w:rFonts w:ascii="Calibri" w:eastAsia="Calibri" w:hAnsi="Calibri" w:cs="Cambria"/>
          <w:color w:val="000000"/>
        </w:rPr>
        <w:t xml:space="preserve"> national biosecurity system is reliant on sustained levels of </w:t>
      </w:r>
      <w:r w:rsidR="000137F1" w:rsidRPr="00F16EAF">
        <w:rPr>
          <w:rFonts w:ascii="Calibri" w:eastAsia="Calibri" w:hAnsi="Calibri" w:cs="Cambria"/>
          <w:color w:val="000000"/>
        </w:rPr>
        <w:t>well</w:t>
      </w:r>
      <w:r w:rsidR="008C05FC" w:rsidRPr="00F16EAF">
        <w:rPr>
          <w:rFonts w:ascii="Calibri" w:eastAsia="Calibri" w:hAnsi="Calibri" w:cs="Cambria"/>
          <w:color w:val="000000"/>
        </w:rPr>
        <w:t>-</w:t>
      </w:r>
      <w:r w:rsidR="00B73A89" w:rsidRPr="00F16EAF">
        <w:rPr>
          <w:rFonts w:ascii="Calibri" w:eastAsia="Calibri" w:hAnsi="Calibri" w:cs="Cambria"/>
          <w:color w:val="000000"/>
        </w:rPr>
        <w:t xml:space="preserve">targeted </w:t>
      </w:r>
      <w:r w:rsidR="006B519B" w:rsidRPr="00F16EAF">
        <w:rPr>
          <w:rFonts w:ascii="Calibri" w:eastAsia="Calibri" w:hAnsi="Calibri" w:cs="Cambria"/>
          <w:color w:val="000000"/>
        </w:rPr>
        <w:t>investment</w:t>
      </w:r>
      <w:r w:rsidR="009E713D" w:rsidRPr="00F16EAF">
        <w:rPr>
          <w:rFonts w:ascii="Calibri" w:eastAsia="Calibri" w:hAnsi="Calibri" w:cs="Cambria"/>
          <w:color w:val="000000"/>
        </w:rPr>
        <w:t xml:space="preserve"> over time</w:t>
      </w:r>
      <w:r w:rsidR="006B519B" w:rsidRPr="00F16EAF">
        <w:rPr>
          <w:rFonts w:ascii="Calibri" w:eastAsia="Calibri" w:hAnsi="Calibri" w:cs="Cambria"/>
          <w:color w:val="000000"/>
        </w:rPr>
        <w:t xml:space="preserve">, underpinned by strong funding principles and arrangements that are nationally coordinated, consistently </w:t>
      </w:r>
      <w:r w:rsidR="00AD724B">
        <w:rPr>
          <w:rFonts w:ascii="Calibri" w:eastAsia="Calibri" w:hAnsi="Calibri" w:cs="Cambria"/>
          <w:color w:val="000000"/>
        </w:rPr>
        <w:t xml:space="preserve">applied and well </w:t>
      </w:r>
      <w:r w:rsidR="006B519B" w:rsidRPr="00F16EAF">
        <w:rPr>
          <w:rFonts w:ascii="Calibri" w:eastAsia="Calibri" w:hAnsi="Calibri" w:cs="Cambria"/>
          <w:color w:val="000000"/>
        </w:rPr>
        <w:t xml:space="preserve">communicated. </w:t>
      </w:r>
      <w:r w:rsidR="005F5FAB" w:rsidRPr="00F16EAF">
        <w:rPr>
          <w:rFonts w:ascii="Calibri" w:eastAsia="Calibri" w:hAnsi="Calibri" w:cs="Times New Roman"/>
        </w:rPr>
        <w:t>The IGAB includes the</w:t>
      </w:r>
      <w:r w:rsidR="007F6B99" w:rsidRPr="00F16EAF">
        <w:rPr>
          <w:rFonts w:ascii="Calibri" w:eastAsia="Calibri" w:hAnsi="Calibri" w:cs="Times New Roman"/>
        </w:rPr>
        <w:t>se</w:t>
      </w:r>
      <w:r w:rsidR="005F5FAB" w:rsidRPr="00F16EAF">
        <w:rPr>
          <w:rFonts w:ascii="Calibri" w:eastAsia="Calibri" w:hAnsi="Calibri" w:cs="Times New Roman"/>
        </w:rPr>
        <w:t xml:space="preserve"> investment principles</w:t>
      </w:r>
      <w:r w:rsidR="002A7A0A" w:rsidRPr="00F16EAF">
        <w:rPr>
          <w:rFonts w:ascii="Calibri" w:eastAsia="Calibri" w:hAnsi="Calibri" w:cs="Times New Roman"/>
        </w:rPr>
        <w:t xml:space="preserve"> for biosecurity activities</w:t>
      </w:r>
      <w:r w:rsidR="005F5FAB" w:rsidRPr="00F16EAF">
        <w:rPr>
          <w:rFonts w:ascii="Calibri" w:eastAsia="Calibri" w:hAnsi="Calibri" w:cs="Times New Roman"/>
        </w:rPr>
        <w:t>:</w:t>
      </w:r>
    </w:p>
    <w:p w:rsidR="005F5FAB" w:rsidRPr="00F16EAF" w:rsidRDefault="005F5FAB" w:rsidP="002C3875">
      <w:pPr>
        <w:pStyle w:val="ListNumber"/>
        <w:keepLines/>
        <w:numPr>
          <w:ilvl w:val="0"/>
          <w:numId w:val="33"/>
        </w:numPr>
        <w:ind w:left="714" w:hanging="357"/>
        <w:contextualSpacing/>
      </w:pPr>
      <w:r w:rsidRPr="00F16EAF">
        <w:t>Activity is undertaken and investment is allocated according to a cost-effective, science-based and risk-management approach, prioritising the allocation of resources to the areas of greatest return.</w:t>
      </w:r>
    </w:p>
    <w:p w:rsidR="005F5FAB" w:rsidRPr="00F16EAF" w:rsidRDefault="005F5FAB" w:rsidP="002F047A">
      <w:pPr>
        <w:pStyle w:val="ListNumber"/>
        <w:ind w:left="714" w:hanging="357"/>
        <w:contextualSpacing/>
      </w:pPr>
      <w:r w:rsidRPr="00F16EAF">
        <w:t>Relevant parties contribute to the cost of biosecurity activities:</w:t>
      </w:r>
    </w:p>
    <w:p w:rsidR="005F5FAB" w:rsidRPr="00F16EAF" w:rsidRDefault="005F5FAB" w:rsidP="002F047A">
      <w:pPr>
        <w:pStyle w:val="ListNumber2"/>
        <w:ind w:left="1077" w:hanging="357"/>
        <w:contextualSpacing/>
        <w:rPr>
          <w:rFonts w:eastAsia="Calibri"/>
        </w:rPr>
      </w:pPr>
      <w:r w:rsidRPr="00F16EAF">
        <w:rPr>
          <w:rFonts w:eastAsia="Calibri"/>
        </w:rPr>
        <w:t>Risk creators and risk beneficiaries contribute to the cost of risk management measures in proportion to the risks created and/or benefits gained (subject</w:t>
      </w:r>
      <w:r w:rsidR="00FA7B9E" w:rsidRPr="00F16EAF">
        <w:rPr>
          <w:rFonts w:eastAsia="Calibri"/>
        </w:rPr>
        <w:t xml:space="preserve"> to the efficiency of doing so),</w:t>
      </w:r>
      <w:r w:rsidRPr="00F16EAF">
        <w:rPr>
          <w:rFonts w:eastAsia="Calibri"/>
        </w:rPr>
        <w:t xml:space="preserve"> and</w:t>
      </w:r>
    </w:p>
    <w:p w:rsidR="005F5FAB" w:rsidRPr="00F16EAF" w:rsidRDefault="005F5FAB" w:rsidP="002F047A">
      <w:pPr>
        <w:pStyle w:val="ListNumber2"/>
        <w:ind w:left="1077" w:hanging="357"/>
        <w:contextualSpacing/>
        <w:rPr>
          <w:rFonts w:eastAsia="Calibri"/>
        </w:rPr>
      </w:pPr>
      <w:r w:rsidRPr="00F16EAF">
        <w:rPr>
          <w:rFonts w:eastAsia="Calibri"/>
        </w:rPr>
        <w:t>Governments contribute to the cost of risk management measures in proportion to the public good accruing from them.</w:t>
      </w:r>
    </w:p>
    <w:p w:rsidR="005F5FAB" w:rsidRPr="00F16EAF" w:rsidRDefault="005F5FAB" w:rsidP="002F047A">
      <w:pPr>
        <w:pStyle w:val="ListNumber"/>
        <w:ind w:left="714" w:hanging="357"/>
      </w:pPr>
      <w:r w:rsidRPr="00F16EAF">
        <w:t>Governments, industry and other relevant parties are involved in decision making, according to their roles, responsibilities and contributions.</w:t>
      </w:r>
    </w:p>
    <w:p w:rsidR="005F5FAB" w:rsidRPr="00F16EAF" w:rsidRDefault="00794A98" w:rsidP="00585B9A">
      <w:pPr>
        <w:keepNext/>
        <w:rPr>
          <w:rFonts w:ascii="Calibri" w:eastAsia="Calibri" w:hAnsi="Calibri" w:cs="Times New Roman"/>
        </w:rPr>
      </w:pPr>
      <w:r w:rsidRPr="00F16EAF">
        <w:rPr>
          <w:rFonts w:ascii="Calibri" w:eastAsia="Calibri" w:hAnsi="Calibri" w:cs="Times New Roman"/>
        </w:rPr>
        <w:t>The r</w:t>
      </w:r>
      <w:r w:rsidR="00CA46C3" w:rsidRPr="00F16EAF">
        <w:rPr>
          <w:rFonts w:ascii="Calibri" w:eastAsia="Calibri" w:hAnsi="Calibri" w:cs="Times New Roman"/>
        </w:rPr>
        <w:t xml:space="preserve">eview </w:t>
      </w:r>
      <w:r w:rsidRPr="00F16EAF">
        <w:rPr>
          <w:rFonts w:ascii="Calibri" w:eastAsia="Calibri" w:hAnsi="Calibri" w:cs="Times New Roman"/>
        </w:rPr>
        <w:t>p</w:t>
      </w:r>
      <w:r w:rsidR="00CA46C3" w:rsidRPr="00F16EAF">
        <w:rPr>
          <w:rFonts w:ascii="Calibri" w:eastAsia="Calibri" w:hAnsi="Calibri" w:cs="Times New Roman"/>
        </w:rPr>
        <w:t>anel is interested in your views on these principles</w:t>
      </w:r>
      <w:r w:rsidR="003E53EC" w:rsidRPr="00F16EAF">
        <w:rPr>
          <w:rFonts w:ascii="Calibri" w:eastAsia="Calibri" w:hAnsi="Calibri" w:cs="Times New Roman"/>
        </w:rPr>
        <w:t xml:space="preserve">, and whether they remain appropriate to meet </w:t>
      </w:r>
      <w:r w:rsidR="00BA1BF5" w:rsidRPr="00F16EAF">
        <w:rPr>
          <w:rFonts w:ascii="Calibri" w:eastAsia="Calibri" w:hAnsi="Calibri" w:cs="Times New Roman"/>
        </w:rPr>
        <w:t>current and future</w:t>
      </w:r>
      <w:r w:rsidR="003E53EC" w:rsidRPr="00F16EAF">
        <w:rPr>
          <w:rFonts w:ascii="Calibri" w:eastAsia="Calibri" w:hAnsi="Calibri" w:cs="Times New Roman"/>
        </w:rPr>
        <w:t xml:space="preserve"> needs of </w:t>
      </w:r>
      <w:r w:rsidR="00BA1BF5" w:rsidRPr="00F16EAF">
        <w:rPr>
          <w:rFonts w:ascii="Calibri" w:eastAsia="Calibri" w:hAnsi="Calibri" w:cs="Times New Roman"/>
        </w:rPr>
        <w:t>the national biosecurity system</w:t>
      </w:r>
      <w:r w:rsidR="00FA7B9E" w:rsidRPr="00F16EAF">
        <w:rPr>
          <w:rFonts w:ascii="Calibri" w:eastAsia="Calibri" w:hAnsi="Calibri" w:cs="Times New Roman"/>
        </w:rPr>
        <w:t>.</w:t>
      </w:r>
    </w:p>
    <w:p w:rsidR="005F5FAB" w:rsidRPr="00F16EAF" w:rsidRDefault="005F5FAB" w:rsidP="00687EC5">
      <w:pPr>
        <w:pStyle w:val="Boxedtext"/>
        <w:rPr>
          <w:b/>
          <w:lang w:val="en-AU"/>
        </w:rPr>
      </w:pPr>
      <w:r w:rsidRPr="00F16EAF">
        <w:rPr>
          <w:b/>
          <w:lang w:val="en-AU"/>
        </w:rPr>
        <w:t>Question 1</w:t>
      </w:r>
      <w:r w:rsidR="00565595" w:rsidRPr="00F16EAF">
        <w:rPr>
          <w:b/>
          <w:lang w:val="en-AU"/>
        </w:rPr>
        <w:t>1</w:t>
      </w:r>
    </w:p>
    <w:p w:rsidR="005F5FAB" w:rsidRPr="00F16EAF" w:rsidRDefault="00687EC5" w:rsidP="00687EC5">
      <w:pPr>
        <w:pStyle w:val="Boxedtext"/>
        <w:rPr>
          <w:lang w:val="en-AU"/>
        </w:rPr>
      </w:pPr>
      <w:r w:rsidRPr="00F16EAF">
        <w:rPr>
          <w:lang w:val="en-AU"/>
        </w:rPr>
        <w:t xml:space="preserve">Are the IGAB investment principles still workable? Do they still meet the needs of </w:t>
      </w:r>
      <w:r w:rsidR="00D43249" w:rsidRPr="00F16EAF">
        <w:rPr>
          <w:lang w:val="en-AU"/>
        </w:rPr>
        <w:t>Australia’s</w:t>
      </w:r>
      <w:r w:rsidRPr="00F16EAF">
        <w:rPr>
          <w:lang w:val="en-AU"/>
        </w:rPr>
        <w:t xml:space="preserve"> national biosecurity system now and in the future?</w:t>
      </w:r>
    </w:p>
    <w:p w:rsidR="006B519B" w:rsidRPr="00F16EAF" w:rsidRDefault="006B519B" w:rsidP="006B519B">
      <w:pPr>
        <w:rPr>
          <w:rFonts w:ascii="Calibri" w:eastAsia="Calibri" w:hAnsi="Calibri" w:cs="Times New Roman"/>
        </w:rPr>
      </w:pPr>
      <w:r w:rsidRPr="00F16EAF">
        <w:rPr>
          <w:rFonts w:ascii="Calibri" w:eastAsia="Calibri" w:hAnsi="Calibri" w:cs="Times New Roman"/>
        </w:rPr>
        <w:t xml:space="preserve">The </w:t>
      </w:r>
      <w:r w:rsidR="00794A98" w:rsidRPr="00F16EAF">
        <w:rPr>
          <w:rFonts w:ascii="Calibri" w:eastAsia="Calibri" w:hAnsi="Calibri" w:cs="Times New Roman"/>
        </w:rPr>
        <w:t>r</w:t>
      </w:r>
      <w:r w:rsidRPr="00F16EAF">
        <w:rPr>
          <w:rFonts w:ascii="Calibri" w:eastAsia="Calibri" w:hAnsi="Calibri" w:cs="Times New Roman"/>
        </w:rPr>
        <w:t xml:space="preserve">eview </w:t>
      </w:r>
      <w:r w:rsidR="00794A98" w:rsidRPr="00F16EAF">
        <w:rPr>
          <w:rFonts w:ascii="Calibri" w:eastAsia="Calibri" w:hAnsi="Calibri" w:cs="Times New Roman"/>
        </w:rPr>
        <w:t>p</w:t>
      </w:r>
      <w:r w:rsidRPr="00F16EAF">
        <w:rPr>
          <w:rFonts w:ascii="Calibri" w:eastAsia="Calibri" w:hAnsi="Calibri" w:cs="Times New Roman"/>
        </w:rPr>
        <w:t>anel recognises that core biosecurity activities are facing ongoing funding pressures and governments and industry partners are facing significant increases in associated management costs. Recent reports have identified that reductions to core government biosecurity resourcing</w:t>
      </w:r>
      <w:r w:rsidR="00DB41B4" w:rsidRPr="00F16EAF">
        <w:rPr>
          <w:rFonts w:ascii="Calibri" w:eastAsia="Calibri" w:hAnsi="Calibri" w:cs="Times New Roman"/>
        </w:rPr>
        <w:t>—</w:t>
      </w:r>
      <w:r w:rsidRPr="00F16EAF">
        <w:rPr>
          <w:rFonts w:ascii="Calibri" w:eastAsia="Calibri" w:hAnsi="Calibri" w:cs="Times New Roman"/>
        </w:rPr>
        <w:t>overall financial and staffing levels</w:t>
      </w:r>
      <w:r w:rsidR="00DB41B4" w:rsidRPr="00F16EAF">
        <w:rPr>
          <w:rFonts w:ascii="Calibri" w:eastAsia="Calibri" w:hAnsi="Calibri" w:cs="Times New Roman"/>
        </w:rPr>
        <w:t>—</w:t>
      </w:r>
      <w:r w:rsidR="007E3419" w:rsidRPr="00F16EAF">
        <w:rPr>
          <w:rFonts w:ascii="Calibri" w:eastAsia="Calibri" w:hAnsi="Calibri" w:cs="Times New Roman"/>
        </w:rPr>
        <w:t>across all levels of government is</w:t>
      </w:r>
      <w:r w:rsidRPr="00F16EAF">
        <w:rPr>
          <w:rFonts w:ascii="Calibri" w:eastAsia="Calibri" w:hAnsi="Calibri" w:cs="Times New Roman"/>
        </w:rPr>
        <w:t xml:space="preserve"> placing further pressures on the </w:t>
      </w:r>
      <w:r w:rsidR="007E3419" w:rsidRPr="00F16EAF">
        <w:rPr>
          <w:rFonts w:ascii="Calibri" w:eastAsia="Calibri" w:hAnsi="Calibri" w:cs="Times New Roman"/>
        </w:rPr>
        <w:t xml:space="preserve">national biosecurity </w:t>
      </w:r>
      <w:r w:rsidRPr="00F16EAF">
        <w:rPr>
          <w:rFonts w:ascii="Calibri" w:eastAsia="Calibri" w:hAnsi="Calibri" w:cs="Times New Roman"/>
        </w:rPr>
        <w:t>system to manage biosecurity risks</w:t>
      </w:r>
      <w:r w:rsidR="00B62552" w:rsidRPr="00F16EAF">
        <w:rPr>
          <w:rFonts w:ascii="Calibri" w:eastAsia="Calibri" w:hAnsi="Calibri" w:cs="Times New Roman"/>
        </w:rPr>
        <w:t xml:space="preserve"> </w:t>
      </w:r>
      <w:r w:rsidR="007E3419" w:rsidRPr="00F16EAF">
        <w:rPr>
          <w:rFonts w:ascii="Calibri" w:eastAsia="Calibri" w:hAnsi="Calibri" w:cs="Times New Roman"/>
        </w:rPr>
        <w:t>(</w:t>
      </w:r>
      <w:r w:rsidR="00E40A6F" w:rsidRPr="00F16EAF">
        <w:rPr>
          <w:rFonts w:ascii="Calibri" w:eastAsia="Calibri" w:hAnsi="Calibri" w:cs="Times New Roman"/>
        </w:rPr>
        <w:t xml:space="preserve">Brooks et al. 2015, </w:t>
      </w:r>
      <w:r w:rsidR="007E3419" w:rsidRPr="00F16EAF">
        <w:rPr>
          <w:rFonts w:ascii="Calibri" w:eastAsia="Calibri" w:hAnsi="Calibri" w:cs="Times New Roman"/>
        </w:rPr>
        <w:t>Commonwealth of Australia 2015</w:t>
      </w:r>
      <w:r w:rsidR="00E40A6F" w:rsidRPr="00F16EAF">
        <w:rPr>
          <w:rFonts w:ascii="Calibri" w:eastAsia="Calibri" w:hAnsi="Calibri" w:cs="Times New Roman"/>
        </w:rPr>
        <w:t xml:space="preserve"> and </w:t>
      </w:r>
      <w:r w:rsidR="007E3419" w:rsidRPr="00F16EAF">
        <w:rPr>
          <w:rFonts w:ascii="Calibri" w:eastAsia="Calibri" w:hAnsi="Calibri" w:cs="Times New Roman"/>
        </w:rPr>
        <w:t>VAGO 2015)</w:t>
      </w:r>
      <w:r w:rsidR="00FA7B9E" w:rsidRPr="00F16EAF">
        <w:rPr>
          <w:rFonts w:ascii="Calibri" w:eastAsia="Calibri" w:hAnsi="Calibri" w:cs="Times New Roman"/>
        </w:rPr>
        <w:t>.</w:t>
      </w:r>
    </w:p>
    <w:p w:rsidR="006B519B" w:rsidRPr="00F16EAF" w:rsidRDefault="006B519B" w:rsidP="006B519B">
      <w:pPr>
        <w:rPr>
          <w:rFonts w:ascii="Calibri" w:eastAsia="Calibri" w:hAnsi="Calibri" w:cs="Times New Roman"/>
        </w:rPr>
      </w:pPr>
      <w:r w:rsidRPr="00F16EAF">
        <w:rPr>
          <w:rFonts w:ascii="Calibri" w:eastAsia="Calibri" w:hAnsi="Calibri" w:cs="Times New Roman"/>
        </w:rPr>
        <w:t xml:space="preserve">The </w:t>
      </w:r>
      <w:r w:rsidR="002B437F" w:rsidRPr="00F16EAF">
        <w:rPr>
          <w:rFonts w:ascii="Calibri" w:eastAsia="Calibri" w:hAnsi="Calibri" w:cs="Times New Roman"/>
        </w:rPr>
        <w:t>g</w:t>
      </w:r>
      <w:r w:rsidRPr="00F16EAF">
        <w:rPr>
          <w:rFonts w:ascii="Calibri" w:eastAsia="Calibri" w:hAnsi="Calibri" w:cs="Times New Roman"/>
        </w:rPr>
        <w:t xml:space="preserve">eneralised (or biological) </w:t>
      </w:r>
      <w:r w:rsidR="002B437F" w:rsidRPr="00F16EAF">
        <w:rPr>
          <w:rFonts w:ascii="Calibri" w:eastAsia="Calibri" w:hAnsi="Calibri" w:cs="Times New Roman"/>
        </w:rPr>
        <w:t>i</w:t>
      </w:r>
      <w:r w:rsidRPr="00F16EAF">
        <w:rPr>
          <w:rFonts w:ascii="Calibri" w:eastAsia="Calibri" w:hAnsi="Calibri" w:cs="Times New Roman"/>
        </w:rPr>
        <w:t xml:space="preserve">nvasion </w:t>
      </w:r>
      <w:r w:rsidR="002B437F" w:rsidRPr="00F16EAF">
        <w:rPr>
          <w:rFonts w:ascii="Calibri" w:eastAsia="Calibri" w:hAnsi="Calibri" w:cs="Times New Roman"/>
        </w:rPr>
        <w:t>c</w:t>
      </w:r>
      <w:r w:rsidRPr="00F16EAF">
        <w:rPr>
          <w:rFonts w:ascii="Calibri" w:eastAsia="Calibri" w:hAnsi="Calibri" w:cs="Times New Roman"/>
        </w:rPr>
        <w:t>urve (GIC) (</w:t>
      </w:r>
      <w:r w:rsidRPr="00F16EAF">
        <w:rPr>
          <w:rFonts w:ascii="Calibri" w:eastAsia="Calibri" w:hAnsi="Calibri" w:cs="Times New Roman"/>
        </w:rPr>
        <w:fldChar w:fldCharType="begin"/>
      </w:r>
      <w:r w:rsidRPr="00F16EAF">
        <w:rPr>
          <w:rFonts w:ascii="Calibri" w:eastAsia="Calibri" w:hAnsi="Calibri" w:cs="Times New Roman"/>
        </w:rPr>
        <w:instrText xml:space="preserve"> REF _Ref449084621 \h </w:instrText>
      </w:r>
      <w:r w:rsidR="008F348A" w:rsidRPr="00F16EAF">
        <w:rPr>
          <w:rFonts w:ascii="Calibri" w:eastAsia="Calibri" w:hAnsi="Calibri" w:cs="Times New Roman"/>
        </w:rPr>
        <w:instrText xml:space="preserve"> \* MERGEFORMAT </w:instrText>
      </w:r>
      <w:r w:rsidRPr="00F16EAF">
        <w:rPr>
          <w:rFonts w:ascii="Calibri" w:eastAsia="Calibri" w:hAnsi="Calibri" w:cs="Times New Roman"/>
        </w:rPr>
      </w:r>
      <w:r w:rsidRPr="00F16EAF">
        <w:rPr>
          <w:rFonts w:ascii="Calibri" w:eastAsia="Calibri" w:hAnsi="Calibri" w:cs="Times New Roman"/>
        </w:rPr>
        <w:fldChar w:fldCharType="separate"/>
      </w:r>
      <w:r w:rsidR="0038249E" w:rsidRPr="0038249E">
        <w:rPr>
          <w:rFonts w:ascii="Calibri" w:eastAsia="Calibri" w:hAnsi="Calibri" w:cs="Times New Roman"/>
          <w:bCs/>
          <w:sz w:val="24"/>
          <w:szCs w:val="18"/>
        </w:rPr>
        <w:t>Figure 3</w:t>
      </w:r>
      <w:r w:rsidRPr="00F16EAF">
        <w:rPr>
          <w:rFonts w:ascii="Calibri" w:eastAsia="Calibri" w:hAnsi="Calibri" w:cs="Times New Roman"/>
        </w:rPr>
        <w:fldChar w:fldCharType="end"/>
      </w:r>
      <w:r w:rsidRPr="00F16EAF">
        <w:rPr>
          <w:rFonts w:ascii="Calibri" w:eastAsia="Calibri" w:hAnsi="Calibri" w:cs="Times New Roman"/>
        </w:rPr>
        <w:t>) is a useful tool to help governments, industry and the broader community consider where to best place resources and help inform investment decisions, providing value for money and optimal return on the investment. The broad categories of action and investment are prevention, eradication, containment and asset-based protection (management).</w:t>
      </w:r>
    </w:p>
    <w:p w:rsidR="006B519B" w:rsidRPr="00F16EAF" w:rsidRDefault="006B519B" w:rsidP="002F47AB">
      <w:pPr>
        <w:pStyle w:val="Caption"/>
        <w:spacing w:after="0"/>
        <w:ind w:left="567"/>
      </w:pPr>
      <w:bookmarkStart w:id="28" w:name="_Ref449084621"/>
      <w:bookmarkStart w:id="29" w:name="_Toc449107250"/>
      <w:bookmarkStart w:id="30" w:name="_Toc450126750"/>
      <w:r w:rsidRPr="00F16EAF">
        <w:lastRenderedPageBreak/>
        <w:t xml:space="preserve">Figure </w:t>
      </w:r>
      <w:r w:rsidR="002F3AAF">
        <w:fldChar w:fldCharType="begin"/>
      </w:r>
      <w:r w:rsidR="002F3AAF">
        <w:instrText xml:space="preserve"> SEQ Figure \* ARABIC</w:instrText>
      </w:r>
      <w:r w:rsidR="002F3AAF">
        <w:instrText xml:space="preserve"> </w:instrText>
      </w:r>
      <w:r w:rsidR="002F3AAF">
        <w:fldChar w:fldCharType="separate"/>
      </w:r>
      <w:r w:rsidR="0038249E">
        <w:rPr>
          <w:noProof/>
        </w:rPr>
        <w:t>3</w:t>
      </w:r>
      <w:r w:rsidR="002F3AAF">
        <w:rPr>
          <w:noProof/>
        </w:rPr>
        <w:fldChar w:fldCharType="end"/>
      </w:r>
      <w:bookmarkEnd w:id="28"/>
      <w:r w:rsidR="008A163E" w:rsidRPr="00F16EAF">
        <w:t xml:space="preserve"> The generalised (or biological) i</w:t>
      </w:r>
      <w:r w:rsidRPr="00F16EAF">
        <w:t xml:space="preserve">nvasion </w:t>
      </w:r>
      <w:r w:rsidR="008A163E" w:rsidRPr="00F16EAF">
        <w:t>c</w:t>
      </w:r>
      <w:r w:rsidRPr="00F16EAF">
        <w:t>urve</w:t>
      </w:r>
      <w:bookmarkEnd w:id="29"/>
      <w:bookmarkEnd w:id="30"/>
    </w:p>
    <w:p w:rsidR="006B519B" w:rsidRPr="00F16EAF" w:rsidRDefault="006B519B" w:rsidP="002F47AB">
      <w:pPr>
        <w:pStyle w:val="Picture"/>
        <w:spacing w:before="0" w:after="0"/>
        <w:jc w:val="center"/>
        <w:rPr>
          <w:noProof w:val="0"/>
        </w:rPr>
      </w:pPr>
      <w:r w:rsidRPr="00F16EAF">
        <w:drawing>
          <wp:inline distT="0" distB="0" distL="0" distR="0" wp14:anchorId="05194080" wp14:editId="34CC2858">
            <wp:extent cx="5227955" cy="3467915"/>
            <wp:effectExtent l="0" t="0" r="0" b="0"/>
            <wp:docPr id="1" name="Picture 1" descr="The generalised biosecurity invasion curve outlines the changing role (including funding) of governments and stakeholders as actions to respond to a pest or disease change from prevention, eradication, containment to asset-based protection. The return on investment of public funds generally reduces when progressing along the invasion curve. For example, governments have a greater responsibility in the earlier stages of prevention and eradication, whereas those best placed to protect assets (public or private) from established pests and diseases are generally the owners of those assets. The most cost effective actions are in preventing a new invasive species entering or eradicating it before it becomes widespread. " title="The generalised (or biological) invasion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ows that the price of food has increased steadily between 1991–92 and 2011–12. The price of dairy and cereals spiked in 2007–08. The price of sugar has fluctuated the most over this time, with major peaks in 1999–10, 2006–07 and 2011–12."/>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5301986" cy="3517023"/>
                    </a:xfrm>
                    <a:prstGeom prst="rect">
                      <a:avLst/>
                    </a:prstGeom>
                    <a:noFill/>
                    <a:ln w="9525">
                      <a:noFill/>
                      <a:miter lim="800000"/>
                      <a:headEnd/>
                      <a:tailEnd/>
                    </a:ln>
                  </pic:spPr>
                </pic:pic>
              </a:graphicData>
            </a:graphic>
          </wp:inline>
        </w:drawing>
      </w:r>
    </w:p>
    <w:p w:rsidR="002F47AB" w:rsidRPr="00F16EAF" w:rsidRDefault="002F47AB" w:rsidP="002F47AB">
      <w:pPr>
        <w:pStyle w:val="FigureTableNoteSource"/>
        <w:spacing w:before="0"/>
        <w:ind w:left="567"/>
        <w:rPr>
          <w:lang w:eastAsia="en-AU"/>
        </w:rPr>
      </w:pPr>
      <w:r w:rsidRPr="00F16EAF">
        <w:rPr>
          <w:lang w:eastAsia="en-AU"/>
        </w:rPr>
        <w:t>Source: Victorian Department of Environment and Primary Industries</w:t>
      </w:r>
      <w:r w:rsidR="00DB7181" w:rsidRPr="00F16EAF">
        <w:rPr>
          <w:lang w:eastAsia="en-AU"/>
        </w:rPr>
        <w:t>.</w:t>
      </w:r>
    </w:p>
    <w:p w:rsidR="000A2DA7" w:rsidRPr="00F16EAF" w:rsidRDefault="006B519B" w:rsidP="006B519B">
      <w:pPr>
        <w:rPr>
          <w:rFonts w:ascii="Calibri" w:eastAsia="Calibri" w:hAnsi="Calibri" w:cs="Times New Roman"/>
        </w:rPr>
      </w:pPr>
      <w:r w:rsidRPr="00F16EAF">
        <w:rPr>
          <w:rFonts w:ascii="Calibri" w:eastAsia="Calibri" w:hAnsi="Calibri" w:cs="Times New Roman"/>
        </w:rPr>
        <w:t xml:space="preserve">In general, </w:t>
      </w:r>
      <w:r w:rsidR="009F2DA7" w:rsidRPr="00F16EAF">
        <w:rPr>
          <w:rFonts w:ascii="Calibri" w:eastAsia="Calibri" w:hAnsi="Calibri" w:cs="Times New Roman"/>
        </w:rPr>
        <w:t>Australian G</w:t>
      </w:r>
      <w:r w:rsidR="004052FB" w:rsidRPr="00F16EAF">
        <w:rPr>
          <w:rFonts w:ascii="Calibri" w:eastAsia="Calibri" w:hAnsi="Calibri" w:cs="Times New Roman"/>
        </w:rPr>
        <w:t>overnment</w:t>
      </w:r>
      <w:r w:rsidRPr="00F16EAF">
        <w:rPr>
          <w:rFonts w:ascii="Calibri" w:eastAsia="Calibri" w:hAnsi="Calibri" w:cs="Times New Roman"/>
        </w:rPr>
        <w:t xml:space="preserve"> investment is focussed more toward prevention, and state and territory government investment more toward asset-based protection (management) activities. The return on investment is higher for prevention, preparedness and early detection surveillance (for exotic pests and diseases) than for ongoing management of </w:t>
      </w:r>
      <w:r w:rsidR="000B3986" w:rsidRPr="00F16EAF">
        <w:rPr>
          <w:rFonts w:ascii="Calibri" w:eastAsia="Calibri" w:hAnsi="Calibri" w:cs="Times New Roman"/>
        </w:rPr>
        <w:t xml:space="preserve">established pests and diseases. </w:t>
      </w:r>
      <w:r w:rsidRPr="00F16EAF">
        <w:rPr>
          <w:rFonts w:ascii="Calibri" w:eastAsia="Calibri" w:hAnsi="Calibri" w:cs="Times New Roman"/>
        </w:rPr>
        <w:t>For the latter, return on governments’ investment is improved when their investment supports collective industry and/or community action (compared to government as sole investor).</w:t>
      </w:r>
      <w:r w:rsidR="004B6002" w:rsidRPr="00F16EAF">
        <w:rPr>
          <w:rFonts w:ascii="Calibri" w:eastAsia="Calibri" w:hAnsi="Calibri" w:cs="Times New Roman"/>
          <w:color w:val="FF0000"/>
        </w:rPr>
        <w:t xml:space="preserve"> </w:t>
      </w:r>
      <w:r w:rsidR="006B5F56" w:rsidRPr="00F16EAF">
        <w:rPr>
          <w:rFonts w:ascii="Calibri" w:eastAsia="Calibri" w:hAnsi="Calibri" w:cs="Times New Roman"/>
        </w:rPr>
        <w:t xml:space="preserve">Additionally, traditional patterns of investment can </w:t>
      </w:r>
      <w:r w:rsidR="00417167" w:rsidRPr="00F16EAF">
        <w:rPr>
          <w:rFonts w:ascii="Calibri" w:eastAsia="Calibri" w:hAnsi="Calibri" w:cs="Times New Roman"/>
        </w:rPr>
        <w:t xml:space="preserve">sometimes </w:t>
      </w:r>
      <w:r w:rsidR="006B5F56" w:rsidRPr="00F16EAF">
        <w:rPr>
          <w:rFonts w:ascii="Calibri" w:eastAsia="Calibri" w:hAnsi="Calibri" w:cs="Times New Roman"/>
        </w:rPr>
        <w:t>be driven by industry and political imperatives.</w:t>
      </w:r>
    </w:p>
    <w:p w:rsidR="006B519B" w:rsidRPr="00F16EAF" w:rsidRDefault="00A72053" w:rsidP="008F25E5">
      <w:pPr>
        <w:keepLines/>
        <w:rPr>
          <w:rFonts w:ascii="Calibri" w:eastAsia="Calibri" w:hAnsi="Calibri" w:cs="Times New Roman"/>
        </w:rPr>
      </w:pPr>
      <w:r w:rsidRPr="00F16EAF">
        <w:rPr>
          <w:rFonts w:ascii="Calibri" w:eastAsia="Calibri" w:hAnsi="Calibri" w:cs="Times New Roman"/>
        </w:rPr>
        <w:t>I</w:t>
      </w:r>
      <w:r w:rsidR="00BB5AB7" w:rsidRPr="00F16EAF">
        <w:rPr>
          <w:rFonts w:ascii="Calibri" w:eastAsia="Calibri" w:hAnsi="Calibri" w:cs="Times New Roman"/>
        </w:rPr>
        <w:t>n a</w:t>
      </w:r>
      <w:r w:rsidR="00B20F4D" w:rsidRPr="00F16EAF">
        <w:rPr>
          <w:rFonts w:ascii="Calibri" w:eastAsia="Calibri" w:hAnsi="Calibri" w:cs="Times New Roman"/>
        </w:rPr>
        <w:t xml:space="preserve">n environment of constrained and finite </w:t>
      </w:r>
      <w:r w:rsidR="003C694C" w:rsidRPr="00F16EAF">
        <w:rPr>
          <w:rFonts w:ascii="Calibri" w:eastAsia="Calibri" w:hAnsi="Calibri" w:cs="Times New Roman"/>
        </w:rPr>
        <w:t>government resources</w:t>
      </w:r>
      <w:r w:rsidR="00B20F4D" w:rsidRPr="00F16EAF">
        <w:rPr>
          <w:rFonts w:ascii="Calibri" w:eastAsia="Calibri" w:hAnsi="Calibri" w:cs="Times New Roman"/>
        </w:rPr>
        <w:t>—and to ensure a</w:t>
      </w:r>
      <w:r w:rsidR="00BB5AB7" w:rsidRPr="00F16EAF">
        <w:rPr>
          <w:rFonts w:ascii="Calibri" w:eastAsia="Calibri" w:hAnsi="Calibri" w:cs="Times New Roman"/>
        </w:rPr>
        <w:t xml:space="preserve"> strong national biosecurity system</w:t>
      </w:r>
      <w:r w:rsidR="00B20F4D" w:rsidRPr="00F16EAF">
        <w:rPr>
          <w:rFonts w:ascii="Calibri" w:eastAsia="Calibri" w:hAnsi="Calibri" w:cs="Times New Roman"/>
        </w:rPr>
        <w:t>—</w:t>
      </w:r>
      <w:r w:rsidR="008171C4" w:rsidRPr="00F16EAF">
        <w:rPr>
          <w:rFonts w:ascii="Calibri" w:eastAsia="Calibri" w:hAnsi="Calibri" w:cs="Times New Roman"/>
        </w:rPr>
        <w:t xml:space="preserve">it is imperative that investment decisions result in </w:t>
      </w:r>
      <w:r w:rsidR="00BB5AB7" w:rsidRPr="00F16EAF">
        <w:rPr>
          <w:rFonts w:ascii="Calibri" w:eastAsia="Calibri" w:hAnsi="Calibri" w:cs="Times New Roman"/>
        </w:rPr>
        <w:t>an</w:t>
      </w:r>
      <w:r w:rsidR="008171C4" w:rsidRPr="00F16EAF">
        <w:rPr>
          <w:rFonts w:ascii="Calibri" w:eastAsia="Calibri" w:hAnsi="Calibri" w:cs="Times New Roman"/>
        </w:rPr>
        <w:t xml:space="preserve"> opt</w:t>
      </w:r>
      <w:r w:rsidR="00794A98" w:rsidRPr="00F16EAF">
        <w:rPr>
          <w:rFonts w:ascii="Calibri" w:eastAsia="Calibri" w:hAnsi="Calibri" w:cs="Times New Roman"/>
        </w:rPr>
        <w:t>imal return on investment. The r</w:t>
      </w:r>
      <w:r w:rsidR="008171C4" w:rsidRPr="00F16EAF">
        <w:rPr>
          <w:rFonts w:ascii="Calibri" w:eastAsia="Calibri" w:hAnsi="Calibri" w:cs="Times New Roman"/>
        </w:rPr>
        <w:t xml:space="preserve">eview </w:t>
      </w:r>
      <w:r w:rsidR="00794A98" w:rsidRPr="00F16EAF">
        <w:rPr>
          <w:rFonts w:ascii="Calibri" w:eastAsia="Calibri" w:hAnsi="Calibri" w:cs="Times New Roman"/>
        </w:rPr>
        <w:t>p</w:t>
      </w:r>
      <w:r w:rsidR="008171C4" w:rsidRPr="00F16EAF">
        <w:rPr>
          <w:rFonts w:ascii="Calibri" w:eastAsia="Calibri" w:hAnsi="Calibri" w:cs="Times New Roman"/>
        </w:rPr>
        <w:t>anel is</w:t>
      </w:r>
      <w:r w:rsidR="00C0543F" w:rsidRPr="00F16EAF">
        <w:rPr>
          <w:rFonts w:ascii="Calibri" w:eastAsia="Calibri" w:hAnsi="Calibri" w:cs="Times New Roman"/>
        </w:rPr>
        <w:t xml:space="preserve"> interested in your views</w:t>
      </w:r>
      <w:r w:rsidR="00B20F4D" w:rsidRPr="00F16EAF">
        <w:rPr>
          <w:rFonts w:ascii="Calibri" w:eastAsia="Calibri" w:hAnsi="Calibri" w:cs="Times New Roman"/>
        </w:rPr>
        <w:t xml:space="preserve"> </w:t>
      </w:r>
      <w:r w:rsidR="00705CB9" w:rsidRPr="00F16EAF">
        <w:rPr>
          <w:rFonts w:ascii="Calibri" w:eastAsia="Calibri" w:hAnsi="Calibri" w:cs="Times New Roman"/>
        </w:rPr>
        <w:t>on</w:t>
      </w:r>
      <w:r w:rsidR="00B20F4D" w:rsidRPr="00F16EAF">
        <w:rPr>
          <w:rFonts w:ascii="Calibri" w:eastAsia="Calibri" w:hAnsi="Calibri" w:cs="Times New Roman"/>
        </w:rPr>
        <w:t xml:space="preserve"> </w:t>
      </w:r>
      <w:r w:rsidR="00BB60F5" w:rsidRPr="00F16EAF">
        <w:rPr>
          <w:rFonts w:ascii="Calibri" w:eastAsia="Calibri" w:hAnsi="Calibri" w:cs="Times New Roman"/>
        </w:rPr>
        <w:t>how</w:t>
      </w:r>
      <w:r w:rsidR="003C176D" w:rsidRPr="00F16EAF">
        <w:rPr>
          <w:rFonts w:ascii="Calibri" w:eastAsia="Calibri" w:hAnsi="Calibri" w:cs="Times New Roman"/>
        </w:rPr>
        <w:t xml:space="preserve"> government</w:t>
      </w:r>
      <w:r w:rsidR="00BB60F5" w:rsidRPr="00F16EAF">
        <w:rPr>
          <w:rFonts w:ascii="Calibri" w:eastAsia="Calibri" w:hAnsi="Calibri" w:cs="Times New Roman"/>
        </w:rPr>
        <w:t xml:space="preserve"> investment in biosecurity activities can be best </w:t>
      </w:r>
      <w:r w:rsidR="003C176D" w:rsidRPr="00F16EAF">
        <w:rPr>
          <w:rFonts w:ascii="Calibri" w:eastAsia="Calibri" w:hAnsi="Calibri" w:cs="Times New Roman"/>
        </w:rPr>
        <w:t>targeted</w:t>
      </w:r>
      <w:r w:rsidR="00B20F4D" w:rsidRPr="00F16EAF">
        <w:rPr>
          <w:rFonts w:ascii="Calibri" w:eastAsia="Calibri" w:hAnsi="Calibri" w:cs="Times New Roman"/>
        </w:rPr>
        <w:t xml:space="preserve">, and what can be done to ensure investment decisions align with </w:t>
      </w:r>
      <w:r w:rsidR="00206FF3" w:rsidRPr="00F16EAF">
        <w:rPr>
          <w:rFonts w:ascii="Calibri" w:eastAsia="Calibri" w:hAnsi="Calibri" w:cs="Times New Roman"/>
        </w:rPr>
        <w:t xml:space="preserve">agreed </w:t>
      </w:r>
      <w:r w:rsidR="00B20F4D" w:rsidRPr="00F16EAF">
        <w:rPr>
          <w:rFonts w:ascii="Calibri" w:eastAsia="Calibri" w:hAnsi="Calibri" w:cs="Times New Roman"/>
        </w:rPr>
        <w:t>priorities</w:t>
      </w:r>
      <w:r w:rsidR="00206FF3" w:rsidRPr="00F16EAF">
        <w:rPr>
          <w:rFonts w:ascii="Calibri" w:eastAsia="Calibri" w:hAnsi="Calibri" w:cs="Times New Roman"/>
        </w:rPr>
        <w:t>.</w:t>
      </w:r>
    </w:p>
    <w:p w:rsidR="00F77EB4" w:rsidRPr="00F16EAF" w:rsidRDefault="00F77EB4" w:rsidP="00F92C06">
      <w:pPr>
        <w:pStyle w:val="Boxedtext"/>
        <w:rPr>
          <w:b/>
          <w:lang w:val="en-AU"/>
        </w:rPr>
      </w:pPr>
      <w:r w:rsidRPr="00F16EAF">
        <w:rPr>
          <w:b/>
          <w:lang w:val="en-AU"/>
        </w:rPr>
        <w:t>Question 1</w:t>
      </w:r>
      <w:r w:rsidR="00F37662" w:rsidRPr="00F16EAF">
        <w:rPr>
          <w:b/>
          <w:lang w:val="en-AU"/>
        </w:rPr>
        <w:t>2</w:t>
      </w:r>
    </w:p>
    <w:p w:rsidR="00F77EB4" w:rsidRPr="00F16EAF" w:rsidRDefault="00F77EB4" w:rsidP="00F92C06">
      <w:pPr>
        <w:pStyle w:val="Boxedtext"/>
        <w:rPr>
          <w:rFonts w:ascii="Calibri" w:hAnsi="Calibri"/>
          <w:lang w:val="en-AU"/>
        </w:rPr>
      </w:pPr>
      <w:r w:rsidRPr="00F16EAF">
        <w:rPr>
          <w:rFonts w:ascii="Calibri" w:hAnsi="Calibri"/>
          <w:lang w:val="en-AU"/>
        </w:rPr>
        <w:t>Are governments</w:t>
      </w:r>
      <w:r w:rsidR="00125963" w:rsidRPr="00F16EAF">
        <w:rPr>
          <w:rFonts w:ascii="Calibri" w:hAnsi="Calibri"/>
          <w:lang w:val="en-AU"/>
        </w:rPr>
        <w:t xml:space="preserve"> and industry</w:t>
      </w:r>
      <w:r w:rsidRPr="00F16EAF">
        <w:rPr>
          <w:rFonts w:ascii="Calibri" w:hAnsi="Calibri"/>
          <w:lang w:val="en-AU"/>
        </w:rPr>
        <w:t xml:space="preserve"> investing appropriately in the right areas? Are there areas where </w:t>
      </w:r>
      <w:r w:rsidR="00125963" w:rsidRPr="00F16EAF">
        <w:rPr>
          <w:rFonts w:ascii="Calibri" w:hAnsi="Calibri"/>
          <w:lang w:val="en-AU"/>
        </w:rPr>
        <w:t>key funders</w:t>
      </w:r>
      <w:r w:rsidRPr="00F16EAF">
        <w:rPr>
          <w:rFonts w:ascii="Calibri" w:hAnsi="Calibri"/>
          <w:lang w:val="en-AU"/>
        </w:rPr>
        <w:t xml:space="preserve"> should be </w:t>
      </w:r>
      <w:r w:rsidR="00125963" w:rsidRPr="00F16EAF">
        <w:rPr>
          <w:rFonts w:ascii="Calibri" w:hAnsi="Calibri"/>
          <w:lang w:val="en-AU"/>
        </w:rPr>
        <w:t>redirecting investment</w:t>
      </w:r>
      <w:r w:rsidRPr="00F16EAF">
        <w:rPr>
          <w:rFonts w:ascii="Calibri" w:hAnsi="Calibri"/>
          <w:lang w:val="en-AU"/>
        </w:rPr>
        <w:t>? Can investment in biosecurity activities be better targeted? If so, how? Please provide examples.</w:t>
      </w:r>
    </w:p>
    <w:p w:rsidR="00AA5CE0" w:rsidRPr="00F16EAF" w:rsidRDefault="00AA5CE0" w:rsidP="00F92C06">
      <w:pPr>
        <w:pStyle w:val="Boxedtext"/>
        <w:rPr>
          <w:b/>
          <w:lang w:val="en-AU"/>
        </w:rPr>
      </w:pPr>
      <w:r w:rsidRPr="00F16EAF">
        <w:rPr>
          <w:b/>
          <w:lang w:val="en-AU"/>
        </w:rPr>
        <w:t>Question 1</w:t>
      </w:r>
      <w:r w:rsidR="00F37662" w:rsidRPr="00F16EAF">
        <w:rPr>
          <w:b/>
          <w:lang w:val="en-AU"/>
        </w:rPr>
        <w:t>3</w:t>
      </w:r>
    </w:p>
    <w:p w:rsidR="002F47AB" w:rsidRPr="00F16EAF" w:rsidRDefault="002F47AB" w:rsidP="00F92C06">
      <w:pPr>
        <w:pStyle w:val="Boxedtext"/>
        <w:rPr>
          <w:lang w:val="en-AU"/>
        </w:rPr>
      </w:pPr>
      <w:r w:rsidRPr="00F16EAF">
        <w:rPr>
          <w:lang w:val="en-AU"/>
        </w:rPr>
        <w:t>How do we ensure investments and investment frameworks align with priorities, while being flexible enough to addres</w:t>
      </w:r>
      <w:r w:rsidR="001009DE" w:rsidRPr="00F16EAF">
        <w:rPr>
          <w:lang w:val="en-AU"/>
        </w:rPr>
        <w:t>s changing risks and priorities</w:t>
      </w:r>
      <w:r w:rsidRPr="00F16EAF">
        <w:rPr>
          <w:lang w:val="en-AU"/>
        </w:rPr>
        <w:t>?</w:t>
      </w:r>
    </w:p>
    <w:p w:rsidR="006B519B" w:rsidRPr="00F16EAF" w:rsidRDefault="006B519B" w:rsidP="006B519B">
      <w:pPr>
        <w:rPr>
          <w:rFonts w:ascii="Calibri" w:eastAsia="Calibri" w:hAnsi="Calibri" w:cs="Times New Roman"/>
        </w:rPr>
      </w:pPr>
      <w:r w:rsidRPr="00F16EAF">
        <w:rPr>
          <w:rFonts w:ascii="Calibri" w:eastAsia="Calibri" w:hAnsi="Calibri" w:cs="Times New Roman"/>
        </w:rPr>
        <w:t xml:space="preserve">Governments have a unique funding role in some biosecurity activities. This role is recognised, for example, in the National Emergency Biosecurity Response Agreement (NEBRA), which provides for responding to emergency incidents that primarily impact the environment and/or social amenity and where the response is for the public good. Under the NEBRA, the cost of response activities is borne </w:t>
      </w:r>
      <w:r w:rsidRPr="00F16EAF">
        <w:rPr>
          <w:rFonts w:ascii="Calibri" w:eastAsia="Calibri" w:hAnsi="Calibri" w:cs="Times New Roman"/>
        </w:rPr>
        <w:lastRenderedPageBreak/>
        <w:t>solely by governments—50 per cent by the Commonwealth, with the remaining 50 per cent apportioned between affected states and territories.</w:t>
      </w:r>
    </w:p>
    <w:p w:rsidR="006B519B" w:rsidRPr="00F16EAF" w:rsidRDefault="006B519B" w:rsidP="006B519B">
      <w:pPr>
        <w:rPr>
          <w:rFonts w:ascii="Calibri" w:eastAsia="Calibri" w:hAnsi="Calibri" w:cs="Times New Roman"/>
        </w:rPr>
      </w:pPr>
      <w:r w:rsidRPr="00F16EAF">
        <w:rPr>
          <w:rFonts w:ascii="Calibri" w:eastAsia="Calibri" w:hAnsi="Calibri" w:cs="Times New Roman"/>
        </w:rPr>
        <w:t xml:space="preserve">Governments, however, are not the only funding contributors to the </w:t>
      </w:r>
      <w:r w:rsidR="00BC1FD6">
        <w:rPr>
          <w:rFonts w:ascii="Calibri" w:eastAsia="Calibri" w:hAnsi="Calibri" w:cs="Times New Roman"/>
        </w:rPr>
        <w:t xml:space="preserve">national </w:t>
      </w:r>
      <w:r w:rsidRPr="00F16EAF">
        <w:rPr>
          <w:rFonts w:ascii="Calibri" w:eastAsia="Calibri" w:hAnsi="Calibri" w:cs="Times New Roman"/>
        </w:rPr>
        <w:t>biosecurity system and its activities. While core government funding is integral to a strong biosecurity system, contributions come through various other means, such as:</w:t>
      </w:r>
    </w:p>
    <w:p w:rsidR="006B519B" w:rsidRPr="00F16EAF" w:rsidRDefault="006B519B" w:rsidP="0003025A">
      <w:pPr>
        <w:pStyle w:val="ListBullet"/>
        <w:ind w:left="641"/>
        <w:contextualSpacing/>
      </w:pPr>
      <w:r w:rsidRPr="00F16EAF">
        <w:t>fees and charges (</w:t>
      </w:r>
      <w:r w:rsidR="00021585" w:rsidRPr="00F16EAF">
        <w:t>for example,</w:t>
      </w:r>
      <w:r w:rsidRPr="00F16EAF">
        <w:t xml:space="preserve"> fee-for-service charges)</w:t>
      </w:r>
    </w:p>
    <w:p w:rsidR="006B519B" w:rsidRPr="00F16EAF" w:rsidRDefault="006B519B" w:rsidP="0003025A">
      <w:pPr>
        <w:pStyle w:val="ListBullet"/>
        <w:ind w:left="641"/>
        <w:contextualSpacing/>
      </w:pPr>
      <w:r w:rsidRPr="00F16EAF">
        <w:t>industry rates, levies or charges (</w:t>
      </w:r>
      <w:r w:rsidR="00021585" w:rsidRPr="00F16EAF">
        <w:t xml:space="preserve">for example, </w:t>
      </w:r>
      <w:r w:rsidRPr="00F16EAF">
        <w:t>commodity-based levies)</w:t>
      </w:r>
    </w:p>
    <w:p w:rsidR="006B519B" w:rsidRPr="00F16EAF" w:rsidRDefault="005C6116" w:rsidP="0003025A">
      <w:pPr>
        <w:pStyle w:val="ListBullet"/>
        <w:ind w:left="641"/>
        <w:contextualSpacing/>
      </w:pPr>
      <w:r w:rsidRPr="00F16EAF">
        <w:t>l</w:t>
      </w:r>
      <w:r w:rsidR="006B519B" w:rsidRPr="00F16EAF">
        <w:t>andholder</w:t>
      </w:r>
      <w:r w:rsidR="00021585" w:rsidRPr="00F16EAF">
        <w:t xml:space="preserve"> rates, levies or charges (for example, </w:t>
      </w:r>
      <w:r w:rsidR="006B519B" w:rsidRPr="00F16EAF">
        <w:t>levies for NSW Loca</w:t>
      </w:r>
      <w:r w:rsidR="00E95881" w:rsidRPr="00F16EAF">
        <w:t>l Land Services activities)</w:t>
      </w:r>
    </w:p>
    <w:p w:rsidR="006B519B" w:rsidRPr="00F16EAF" w:rsidRDefault="006B519B" w:rsidP="0003025A">
      <w:pPr>
        <w:pStyle w:val="ListBullet"/>
        <w:ind w:left="641"/>
        <w:contextualSpacing/>
      </w:pPr>
      <w:r w:rsidRPr="00F16EAF">
        <w:t>other contributions (</w:t>
      </w:r>
      <w:r w:rsidR="00021585" w:rsidRPr="00F16EAF">
        <w:t xml:space="preserve">for example, </w:t>
      </w:r>
      <w:r w:rsidRPr="00F16EAF">
        <w:t>contributions from recreational fish</w:t>
      </w:r>
      <w:r w:rsidR="00E95881" w:rsidRPr="00F16EAF">
        <w:t>ers or users of national parks), and</w:t>
      </w:r>
    </w:p>
    <w:p w:rsidR="00E95881" w:rsidRPr="00F16EAF" w:rsidRDefault="00B21AE6" w:rsidP="0003025A">
      <w:pPr>
        <w:pStyle w:val="ListBullet"/>
        <w:ind w:left="641"/>
        <w:contextualSpacing/>
      </w:pPr>
      <w:r w:rsidRPr="00F16EAF">
        <w:t xml:space="preserve">accredited </w:t>
      </w:r>
      <w:r w:rsidR="00E95881" w:rsidRPr="00F16EAF">
        <w:t>industry certification schemes that include biosecurity.</w:t>
      </w:r>
    </w:p>
    <w:p w:rsidR="006B519B" w:rsidRPr="00F16EAF" w:rsidRDefault="006B519B" w:rsidP="006B519B">
      <w:pPr>
        <w:rPr>
          <w:rFonts w:ascii="Calibri" w:eastAsia="Calibri" w:hAnsi="Calibri" w:cs="Times New Roman"/>
        </w:rPr>
      </w:pPr>
      <w:r w:rsidRPr="00F16EAF">
        <w:rPr>
          <w:rFonts w:ascii="Calibri" w:eastAsia="Calibri" w:hAnsi="Calibri" w:cs="Times New Roman"/>
        </w:rPr>
        <w:t>For certain biosecurity activities (such as emergency response</w:t>
      </w:r>
      <w:r w:rsidR="005C6116" w:rsidRPr="00F16EAF">
        <w:rPr>
          <w:rFonts w:ascii="Calibri" w:eastAsia="Calibri" w:hAnsi="Calibri" w:cs="Times New Roman"/>
        </w:rPr>
        <w:t>s</w:t>
      </w:r>
      <w:r w:rsidRPr="00F16EAF">
        <w:rPr>
          <w:rFonts w:ascii="Calibri" w:eastAsia="Calibri" w:hAnsi="Calibri" w:cs="Times New Roman"/>
        </w:rPr>
        <w:t>) some industries have agreed highly detailed and specific cost-sharing arrangements where costs are shared by governments and industry. These are the Emergency Animal Disease Response Agreement (EADRA) and the Emergency Pl</w:t>
      </w:r>
      <w:r w:rsidR="002F47AB" w:rsidRPr="00F16EAF">
        <w:rPr>
          <w:rFonts w:ascii="Calibri" w:eastAsia="Calibri" w:hAnsi="Calibri" w:cs="Times New Roman"/>
        </w:rPr>
        <w:t>ant Pest Response Deed (EPPRD).</w:t>
      </w:r>
    </w:p>
    <w:p w:rsidR="006B519B" w:rsidRPr="00F16EAF" w:rsidRDefault="006B519B" w:rsidP="006B519B">
      <w:pPr>
        <w:rPr>
          <w:rFonts w:ascii="Calibri" w:eastAsia="Calibri" w:hAnsi="Calibri" w:cs="Times New Roman"/>
        </w:rPr>
      </w:pPr>
      <w:r w:rsidRPr="00F16EAF">
        <w:rPr>
          <w:rFonts w:ascii="Calibri" w:eastAsia="Calibri" w:hAnsi="Calibri" w:cs="Times New Roman"/>
        </w:rPr>
        <w:t>Under the EADRA and EPPRD, the share of costs to be borne by industry and governments to implement response plans varies from 100 per cent government funding to 20 per cent government a</w:t>
      </w:r>
      <w:r w:rsidR="005C6116" w:rsidRPr="00F16EAF">
        <w:rPr>
          <w:rFonts w:ascii="Calibri" w:eastAsia="Calibri" w:hAnsi="Calibri" w:cs="Times New Roman"/>
        </w:rPr>
        <w:t>nd 80 percent industry funding—</w:t>
      </w:r>
      <w:r w:rsidRPr="00F16EAF">
        <w:rPr>
          <w:rFonts w:ascii="Calibri" w:eastAsia="Calibri" w:hAnsi="Calibri" w:cs="Times New Roman"/>
        </w:rPr>
        <w:t>depending on the extent to which the disease or pest affects the environment, human health and national trade interests or specific industry assets. However, while these are formal arrangements for emergency response</w:t>
      </w:r>
      <w:r w:rsidR="0098214D" w:rsidRPr="00F16EAF">
        <w:rPr>
          <w:rFonts w:ascii="Calibri" w:eastAsia="Calibri" w:hAnsi="Calibri" w:cs="Times New Roman"/>
        </w:rPr>
        <w:t>s</w:t>
      </w:r>
      <w:r w:rsidRPr="00F16EAF">
        <w:rPr>
          <w:rFonts w:ascii="Calibri" w:eastAsia="Calibri" w:hAnsi="Calibri" w:cs="Times New Roman"/>
        </w:rPr>
        <w:t xml:space="preserve"> and cover more than funding, not all industries are represented.</w:t>
      </w:r>
    </w:p>
    <w:p w:rsidR="009007A7" w:rsidRPr="00F16EAF" w:rsidRDefault="009007A7" w:rsidP="009007A7">
      <w:r w:rsidRPr="00F215FF">
        <w:t xml:space="preserve">There are many beneficiaries of </w:t>
      </w:r>
      <w:r w:rsidR="00EE1113" w:rsidRPr="00F215FF">
        <w:t>the</w:t>
      </w:r>
      <w:r w:rsidRPr="00F215FF">
        <w:t xml:space="preserve"> </w:t>
      </w:r>
      <w:r w:rsidR="00E10121">
        <w:t xml:space="preserve">national </w:t>
      </w:r>
      <w:r w:rsidRPr="00F215FF">
        <w:t xml:space="preserve">biosecurity system, </w:t>
      </w:r>
      <w:r w:rsidR="00EE1113" w:rsidRPr="00F215FF">
        <w:t xml:space="preserve">covering </w:t>
      </w:r>
      <w:r w:rsidRPr="00F215FF">
        <w:t>industry, community members</w:t>
      </w:r>
      <w:r w:rsidR="00EE1113" w:rsidRPr="00F215FF">
        <w:t xml:space="preserve">, international visitors and numerous other sectors of the economy. </w:t>
      </w:r>
      <w:r w:rsidR="00AD1EAB" w:rsidRPr="00F215FF">
        <w:t xml:space="preserve">However, </w:t>
      </w:r>
      <w:r w:rsidR="00657F64" w:rsidRPr="00F215FF">
        <w:t xml:space="preserve">these </w:t>
      </w:r>
      <w:r w:rsidR="00AD1EAB" w:rsidRPr="00F215FF">
        <w:t xml:space="preserve">stakeholders benefit in different ways. </w:t>
      </w:r>
      <w:r w:rsidR="00EE1113" w:rsidRPr="00F215FF">
        <w:t>T</w:t>
      </w:r>
      <w:r w:rsidRPr="00F215FF">
        <w:t>he benefits receive</w:t>
      </w:r>
      <w:r w:rsidR="00EE1113" w:rsidRPr="00F215FF">
        <w:t xml:space="preserve">d </w:t>
      </w:r>
      <w:r w:rsidR="00057001" w:rsidRPr="00F215FF">
        <w:t xml:space="preserve">vary by stakeholder group and </w:t>
      </w:r>
      <w:r w:rsidR="00EE1113" w:rsidRPr="00F215FF">
        <w:t xml:space="preserve">can be a mix of tangible and intangible, quantifiable and unquantifiable. </w:t>
      </w:r>
      <w:r w:rsidRPr="00F215FF">
        <w:t>For example, the Australian Bureau of Agricultural and Resource Economics and Science</w:t>
      </w:r>
      <w:r w:rsidR="00A3619E" w:rsidRPr="00F215FF">
        <w:t>s</w:t>
      </w:r>
      <w:r w:rsidRPr="00F215FF">
        <w:t xml:space="preserve"> estimates that the financial benefit attributable to biosecurity activities for Australian primary producers is between $12 000 and $17 500 per farm through avoiding costs and losses such as direct production losses, additional costs for control or mitigation, and reduced export earnings (Hafi et al. 2015).</w:t>
      </w:r>
      <w:r w:rsidR="004317D8" w:rsidRPr="00F215FF">
        <w:t xml:space="preserve"> Further work may be required to quantify the value</w:t>
      </w:r>
      <w:r w:rsidR="001321D8">
        <w:t xml:space="preserve"> of the </w:t>
      </w:r>
      <w:r w:rsidR="00ED0D0D">
        <w:t xml:space="preserve">national biosecurity </w:t>
      </w:r>
      <w:r w:rsidR="001321D8">
        <w:t xml:space="preserve">system </w:t>
      </w:r>
      <w:r w:rsidR="004317D8" w:rsidRPr="00F215FF">
        <w:t>to other beneficiaries.</w:t>
      </w:r>
    </w:p>
    <w:p w:rsidR="00513F77" w:rsidRPr="00F16EAF" w:rsidRDefault="006B519B" w:rsidP="006B519B">
      <w:pPr>
        <w:rPr>
          <w:rFonts w:ascii="Calibri" w:eastAsia="Calibri" w:hAnsi="Calibri" w:cs="Times New Roman"/>
        </w:rPr>
      </w:pPr>
      <w:r w:rsidRPr="00F16EAF">
        <w:rPr>
          <w:rFonts w:ascii="Calibri" w:eastAsia="Calibri" w:hAnsi="Calibri" w:cs="Times New Roman"/>
        </w:rPr>
        <w:t xml:space="preserve">In summary, some funding pressures may be the result of reduced </w:t>
      </w:r>
      <w:r w:rsidR="00914169" w:rsidRPr="00F16EAF">
        <w:rPr>
          <w:rFonts w:ascii="Calibri" w:eastAsia="Calibri" w:hAnsi="Calibri" w:cs="Times New Roman"/>
        </w:rPr>
        <w:t>investment</w:t>
      </w:r>
      <w:r w:rsidRPr="00F16EAF">
        <w:rPr>
          <w:rFonts w:ascii="Calibri" w:eastAsia="Calibri" w:hAnsi="Calibri" w:cs="Times New Roman"/>
        </w:rPr>
        <w:t xml:space="preserve"> over time (underinvestment), inefficient spending of funding (misplaced investment) or the result of risk creators and beneficiaries not being captured (missed investment)</w:t>
      </w:r>
      <w:r w:rsidR="00914169" w:rsidRPr="00F16EAF">
        <w:rPr>
          <w:rFonts w:ascii="Calibri" w:eastAsia="Calibri" w:hAnsi="Calibri" w:cs="Times New Roman"/>
        </w:rPr>
        <w:t>—risk</w:t>
      </w:r>
      <w:r w:rsidR="004C5764" w:rsidRPr="00F16EAF">
        <w:rPr>
          <w:rFonts w:ascii="Calibri" w:eastAsia="Calibri" w:hAnsi="Calibri" w:cs="Times New Roman"/>
        </w:rPr>
        <w:t xml:space="preserve"> creators can be difficult to identify.</w:t>
      </w:r>
      <w:r w:rsidR="00794A98" w:rsidRPr="00F16EAF">
        <w:rPr>
          <w:rFonts w:ascii="Calibri" w:eastAsia="Calibri" w:hAnsi="Calibri" w:cs="Times New Roman"/>
        </w:rPr>
        <w:t xml:space="preserve"> The r</w:t>
      </w:r>
      <w:r w:rsidR="00AF3789" w:rsidRPr="00F16EAF">
        <w:rPr>
          <w:rFonts w:ascii="Calibri" w:eastAsia="Calibri" w:hAnsi="Calibri" w:cs="Times New Roman"/>
        </w:rPr>
        <w:t xml:space="preserve">eview </w:t>
      </w:r>
      <w:r w:rsidR="00794A98" w:rsidRPr="00F16EAF">
        <w:rPr>
          <w:rFonts w:ascii="Calibri" w:eastAsia="Calibri" w:hAnsi="Calibri" w:cs="Times New Roman"/>
        </w:rPr>
        <w:t>p</w:t>
      </w:r>
      <w:r w:rsidR="00AF3789" w:rsidRPr="00F16EAF">
        <w:rPr>
          <w:rFonts w:ascii="Calibri" w:eastAsia="Calibri" w:hAnsi="Calibri" w:cs="Times New Roman"/>
        </w:rPr>
        <w:t>anel is</w:t>
      </w:r>
      <w:r w:rsidR="00917E88" w:rsidRPr="00F16EAF">
        <w:rPr>
          <w:rFonts w:ascii="Calibri" w:eastAsia="Calibri" w:hAnsi="Calibri" w:cs="Times New Roman"/>
        </w:rPr>
        <w:t xml:space="preserve"> interested in your views as to whether current biosecurity</w:t>
      </w:r>
      <w:r w:rsidR="00BC3B70" w:rsidRPr="00F16EAF">
        <w:rPr>
          <w:rFonts w:ascii="Calibri" w:eastAsia="Calibri" w:hAnsi="Calibri" w:cs="Times New Roman"/>
        </w:rPr>
        <w:t xml:space="preserve"> funding</w:t>
      </w:r>
      <w:r w:rsidR="00917E88" w:rsidRPr="00F16EAF">
        <w:rPr>
          <w:rFonts w:ascii="Calibri" w:eastAsia="Calibri" w:hAnsi="Calibri" w:cs="Times New Roman"/>
        </w:rPr>
        <w:t xml:space="preserve"> arrangements </w:t>
      </w:r>
      <w:r w:rsidR="00EA47F9" w:rsidRPr="00F16EAF">
        <w:rPr>
          <w:rFonts w:ascii="Calibri" w:eastAsia="Calibri" w:hAnsi="Calibri" w:cs="Times New Roman"/>
        </w:rPr>
        <w:t>are still</w:t>
      </w:r>
      <w:r w:rsidR="00917E88" w:rsidRPr="00F16EAF">
        <w:rPr>
          <w:rFonts w:ascii="Calibri" w:eastAsia="Calibri" w:hAnsi="Calibri" w:cs="Times New Roman"/>
        </w:rPr>
        <w:t xml:space="preserve"> appropriate to meet the needs of the national biosecurity system, a</w:t>
      </w:r>
      <w:r w:rsidR="003E53EC" w:rsidRPr="00F16EAF">
        <w:rPr>
          <w:rFonts w:ascii="Calibri" w:eastAsia="Calibri" w:hAnsi="Calibri" w:cs="Times New Roman"/>
        </w:rPr>
        <w:t xml:space="preserve">nd what can be done to facilitate </w:t>
      </w:r>
      <w:r w:rsidR="00917E88" w:rsidRPr="00F16EAF">
        <w:rPr>
          <w:rFonts w:ascii="Calibri" w:eastAsia="Calibri" w:hAnsi="Calibri" w:cs="Times New Roman"/>
        </w:rPr>
        <w:t xml:space="preserve">equitable </w:t>
      </w:r>
      <w:r w:rsidR="003E53EC" w:rsidRPr="00F16EAF">
        <w:rPr>
          <w:rFonts w:ascii="Calibri" w:eastAsia="Calibri" w:hAnsi="Calibri" w:cs="Times New Roman"/>
        </w:rPr>
        <w:t xml:space="preserve">investment from </w:t>
      </w:r>
      <w:r w:rsidR="00917E88" w:rsidRPr="00F16EAF">
        <w:rPr>
          <w:rFonts w:ascii="Calibri" w:eastAsia="Calibri" w:hAnsi="Calibri" w:cs="Times New Roman"/>
        </w:rPr>
        <w:t xml:space="preserve">all </w:t>
      </w:r>
      <w:r w:rsidR="003E53EC" w:rsidRPr="00F16EAF">
        <w:rPr>
          <w:rFonts w:ascii="Calibri" w:eastAsia="Calibri" w:hAnsi="Calibri" w:cs="Times New Roman"/>
        </w:rPr>
        <w:t xml:space="preserve">stakeholders </w:t>
      </w:r>
      <w:r w:rsidR="0060435A" w:rsidRPr="00F16EAF">
        <w:rPr>
          <w:rFonts w:ascii="Calibri" w:eastAsia="Calibri" w:hAnsi="Calibri" w:cs="Times New Roman"/>
        </w:rPr>
        <w:t>across</w:t>
      </w:r>
      <w:r w:rsidR="003E53EC" w:rsidRPr="00F16EAF">
        <w:rPr>
          <w:rFonts w:ascii="Calibri" w:eastAsia="Calibri" w:hAnsi="Calibri" w:cs="Times New Roman"/>
        </w:rPr>
        <w:t xml:space="preserve"> the system</w:t>
      </w:r>
      <w:r w:rsidR="00EA47F9" w:rsidRPr="00F16EAF">
        <w:rPr>
          <w:rFonts w:ascii="Calibri" w:eastAsia="Calibri" w:hAnsi="Calibri" w:cs="Times New Roman"/>
        </w:rPr>
        <w:t>.</w:t>
      </w:r>
    </w:p>
    <w:p w:rsidR="00513F77" w:rsidRPr="00F16EAF" w:rsidRDefault="00513F77" w:rsidP="007E59B2">
      <w:pPr>
        <w:pStyle w:val="Boxedtext"/>
        <w:keepNext w:val="0"/>
        <w:rPr>
          <w:b/>
          <w:lang w:val="en-AU"/>
        </w:rPr>
      </w:pPr>
      <w:r w:rsidRPr="00F16EAF">
        <w:rPr>
          <w:b/>
          <w:lang w:val="en-AU"/>
        </w:rPr>
        <w:t>Question 1</w:t>
      </w:r>
      <w:r w:rsidR="00F37662" w:rsidRPr="00F16EAF">
        <w:rPr>
          <w:b/>
          <w:lang w:val="en-AU"/>
        </w:rPr>
        <w:t>4</w:t>
      </w:r>
    </w:p>
    <w:p w:rsidR="00513F77" w:rsidRPr="00F16EAF" w:rsidRDefault="00513F77" w:rsidP="007E59B2">
      <w:pPr>
        <w:pStyle w:val="Boxedtext"/>
        <w:keepNext w:val="0"/>
        <w:rPr>
          <w:lang w:val="en-AU"/>
        </w:rPr>
      </w:pPr>
      <w:r w:rsidRPr="00F16EAF">
        <w:rPr>
          <w:lang w:val="en-AU"/>
        </w:rPr>
        <w:t xml:space="preserve">Are current biosecurity funding arrangements still appropriate to meet the needs of </w:t>
      </w:r>
      <w:r w:rsidR="00BC3B70" w:rsidRPr="00F16EAF">
        <w:rPr>
          <w:lang w:val="en-AU"/>
        </w:rPr>
        <w:t>Australia’s</w:t>
      </w:r>
      <w:r w:rsidRPr="00F16EAF">
        <w:rPr>
          <w:lang w:val="en-AU"/>
        </w:rPr>
        <w:t xml:space="preserve"> </w:t>
      </w:r>
      <w:r w:rsidR="00A23E82" w:rsidRPr="00F16EAF">
        <w:rPr>
          <w:lang w:val="en-AU"/>
        </w:rPr>
        <w:t xml:space="preserve">national </w:t>
      </w:r>
      <w:r w:rsidRPr="00F16EAF">
        <w:rPr>
          <w:lang w:val="en-AU"/>
        </w:rPr>
        <w:t>biosecurity system</w:t>
      </w:r>
      <w:r w:rsidR="00F37662" w:rsidRPr="00F16EAF">
        <w:rPr>
          <w:lang w:val="en-AU"/>
        </w:rPr>
        <w:t>,</w:t>
      </w:r>
      <w:r w:rsidRPr="00F16EAF">
        <w:rPr>
          <w:lang w:val="en-AU"/>
        </w:rPr>
        <w:t xml:space="preserve"> now and in the future? What might an alternative </w:t>
      </w:r>
      <w:r w:rsidR="005F4EB5" w:rsidRPr="00F16EAF">
        <w:rPr>
          <w:lang w:val="en-AU"/>
        </w:rPr>
        <w:t xml:space="preserve">or novel </w:t>
      </w:r>
      <w:r w:rsidRPr="00F16EAF">
        <w:rPr>
          <w:lang w:val="en-AU"/>
        </w:rPr>
        <w:t xml:space="preserve">funding model </w:t>
      </w:r>
      <w:r w:rsidR="00197150" w:rsidRPr="00F16EAF">
        <w:rPr>
          <w:lang w:val="en-AU"/>
        </w:rPr>
        <w:t>encompass</w:t>
      </w:r>
      <w:r w:rsidRPr="00F16EAF">
        <w:rPr>
          <w:lang w:val="en-AU"/>
        </w:rPr>
        <w:t>?</w:t>
      </w:r>
    </w:p>
    <w:p w:rsidR="00F37662" w:rsidRDefault="00F37662" w:rsidP="007E59B2">
      <w:pPr>
        <w:pStyle w:val="Boxedtext"/>
        <w:keepNext w:val="0"/>
        <w:rPr>
          <w:b/>
          <w:lang w:val="en-AU"/>
        </w:rPr>
      </w:pPr>
      <w:r w:rsidRPr="00F16EAF">
        <w:rPr>
          <w:b/>
          <w:lang w:val="en-AU"/>
        </w:rPr>
        <w:t>Question 15</w:t>
      </w:r>
    </w:p>
    <w:p w:rsidR="007E59B2" w:rsidRPr="007E59B2" w:rsidRDefault="007E59B2" w:rsidP="007E59B2">
      <w:pPr>
        <w:pStyle w:val="Boxedtext"/>
        <w:keepNext w:val="0"/>
        <w:rPr>
          <w:lang w:val="en-AU"/>
        </w:rPr>
      </w:pPr>
      <w:r>
        <w:rPr>
          <w:lang w:val="en-AU"/>
        </w:rPr>
        <w:t>What can be done to ensure an equitable level of investment from all stakeholders across Australia’s national biosecurity system, including from risk creators and risk beneficiaries?</w:t>
      </w:r>
    </w:p>
    <w:p w:rsidR="004C4948" w:rsidRPr="00F16EAF" w:rsidRDefault="004C4948" w:rsidP="001132CB">
      <w:pPr>
        <w:pStyle w:val="Heading3"/>
      </w:pPr>
      <w:bookmarkStart w:id="31" w:name="_Toc450126740"/>
      <w:r w:rsidRPr="00F16EAF">
        <w:lastRenderedPageBreak/>
        <w:t>Market access</w:t>
      </w:r>
      <w:bookmarkEnd w:id="31"/>
    </w:p>
    <w:p w:rsidR="00D54604" w:rsidRPr="00F16EAF" w:rsidRDefault="005663DC" w:rsidP="00DB69E1">
      <w:r w:rsidRPr="00F16EAF">
        <w:t>The</w:t>
      </w:r>
      <w:r w:rsidR="00C61981" w:rsidRPr="00F16EAF">
        <w:t xml:space="preserve"> national biosecurity system plays an important role in </w:t>
      </w:r>
      <w:r w:rsidR="00413971">
        <w:t>supporting</w:t>
      </w:r>
      <w:r w:rsidR="00C61981" w:rsidRPr="00F16EAF">
        <w:t xml:space="preserve"> many </w:t>
      </w:r>
      <w:r w:rsidR="009D3CE6" w:rsidRPr="00F16EAF">
        <w:t xml:space="preserve">important </w:t>
      </w:r>
      <w:r w:rsidR="00C61981" w:rsidRPr="00F16EAF">
        <w:t xml:space="preserve">components of the </w:t>
      </w:r>
      <w:r w:rsidRPr="00F16EAF">
        <w:t>Australia’s</w:t>
      </w:r>
      <w:r w:rsidR="00681708" w:rsidRPr="00F16EAF">
        <w:t xml:space="preserve"> economy</w:t>
      </w:r>
      <w:r w:rsidR="009007A7">
        <w:t>, including agriculture, tourism, the environment and international trade.</w:t>
      </w:r>
      <w:r w:rsidR="000803BA" w:rsidRPr="00F16EAF">
        <w:t xml:space="preserve"> </w:t>
      </w:r>
      <w:r w:rsidR="00295939" w:rsidRPr="00F16EAF">
        <w:t xml:space="preserve">For </w:t>
      </w:r>
      <w:r w:rsidR="009007A7">
        <w:t xml:space="preserve">example, in </w:t>
      </w:r>
      <w:r w:rsidR="00295939" w:rsidRPr="00F16EAF">
        <w:t>2014–15</w:t>
      </w:r>
      <w:r w:rsidR="00DB69E1" w:rsidRPr="00F16EAF">
        <w:t xml:space="preserve"> </w:t>
      </w:r>
      <w:r w:rsidR="00714FF0" w:rsidRPr="00F16EAF">
        <w:t>Australia’s</w:t>
      </w:r>
      <w:r w:rsidR="00DB69E1" w:rsidRPr="00F16EAF">
        <w:t xml:space="preserve"> gross value of agricultural production is estimated to be around $53.6 billion</w:t>
      </w:r>
      <w:r w:rsidR="00896201" w:rsidRPr="00F16EAF">
        <w:t xml:space="preserve"> (ABS 2016)</w:t>
      </w:r>
      <w:r w:rsidR="00DB69E1" w:rsidRPr="00F16EAF">
        <w:t xml:space="preserve">, with the value of </w:t>
      </w:r>
      <w:r w:rsidR="00896201" w:rsidRPr="00F16EAF">
        <w:t xml:space="preserve">farm </w:t>
      </w:r>
      <w:r w:rsidR="00FC286C" w:rsidRPr="00F16EAF">
        <w:t>exports around $43.9 billion</w:t>
      </w:r>
      <w:r w:rsidR="00896201" w:rsidRPr="00F16EAF">
        <w:t xml:space="preserve"> (ABARES 2016)</w:t>
      </w:r>
      <w:r w:rsidR="00FC286C" w:rsidRPr="00F16EAF">
        <w:t>—</w:t>
      </w:r>
      <w:r w:rsidR="00E80BE5" w:rsidRPr="00F16EAF">
        <w:t xml:space="preserve">the value of exports is </w:t>
      </w:r>
      <w:r w:rsidR="0046609C" w:rsidRPr="00F16EAF">
        <w:t xml:space="preserve">well </w:t>
      </w:r>
      <w:r w:rsidR="005F5644" w:rsidRPr="00F16EAF">
        <w:t>over three quarters</w:t>
      </w:r>
      <w:r w:rsidR="00FC286C" w:rsidRPr="00F16EAF">
        <w:t xml:space="preserve"> of what is produced.</w:t>
      </w:r>
      <w:r w:rsidR="005F5644" w:rsidRPr="00F16EAF">
        <w:t xml:space="preserve"> Australian producers are </w:t>
      </w:r>
      <w:r w:rsidR="00896201" w:rsidRPr="00F16EAF">
        <w:t xml:space="preserve">heavily </w:t>
      </w:r>
      <w:r w:rsidR="005F5644" w:rsidRPr="00F16EAF">
        <w:t xml:space="preserve">reliant on </w:t>
      </w:r>
      <w:r w:rsidR="00DD23EA" w:rsidRPr="00F16EAF">
        <w:t xml:space="preserve">farm </w:t>
      </w:r>
      <w:r w:rsidR="005F5644" w:rsidRPr="00F16EAF">
        <w:t>export</w:t>
      </w:r>
      <w:r w:rsidR="00DD23EA" w:rsidRPr="00F16EAF">
        <w:t>s</w:t>
      </w:r>
      <w:r w:rsidR="00236088" w:rsidRPr="00F16EAF">
        <w:t xml:space="preserve"> to underpin their livelihoods.</w:t>
      </w:r>
    </w:p>
    <w:p w:rsidR="007A28BD" w:rsidRPr="00F16EAF" w:rsidRDefault="007A28BD" w:rsidP="007A28BD">
      <w:r w:rsidRPr="00F16EAF">
        <w:t xml:space="preserve">Australia’s island geography combined with effective biosecurity measures has </w:t>
      </w:r>
      <w:r w:rsidR="009C65D0" w:rsidRPr="00F16EAF">
        <w:t xml:space="preserve">historically </w:t>
      </w:r>
      <w:r w:rsidRPr="00F16EAF">
        <w:t>seen the nation remain free of many significant pest</w:t>
      </w:r>
      <w:r w:rsidR="00C03329">
        <w:t>s</w:t>
      </w:r>
      <w:r w:rsidRPr="00F16EAF">
        <w:t xml:space="preserve"> and diseases that adversely affect access to international markets for many other countries. In addition, effective control programs have seen Australia eradicate (for example, brucellosis and tuberculosis), or establish identified zones and controls for pests and diseases (for example, Bluetongue virus) that were or are endemic or which have caused emergency pest and disease incursions (for example, cucumber green mottle mosaic virus).</w:t>
      </w:r>
    </w:p>
    <w:p w:rsidR="009007A7" w:rsidRDefault="007A28BD" w:rsidP="00DB69E1">
      <w:r w:rsidRPr="00F16EAF">
        <w:t>This gives Australia’s primary producers a competitive advantage in relation to other countries which do not enjoy as favour</w:t>
      </w:r>
      <w:r w:rsidR="009007A7">
        <w:t>able a pest and disease status.</w:t>
      </w:r>
    </w:p>
    <w:p w:rsidR="00ED5FE6" w:rsidRPr="00F16EAF" w:rsidRDefault="00ED5FE6" w:rsidP="00155CBA">
      <w:r w:rsidRPr="00F16EAF">
        <w:t>By maintaining a strong national biosecurity system Australia is able to obtain preferential market access arrangements that reflect the nation’s favourable animal and plant health status for industry and Australia’s primary producers. This includes being able to obtain recognition of pest and disease freedom, controls such as zonal freedom for endemic pests and diseases, the use of treatments that minimise damage to products, and recognition of the effectiveness of the national biosecurity system (including government regulation and industry co-regulatory arrangements) in meeting importing country market access requirements. This should be seen as a key benefit flowing from our national biosecurity policies.</w:t>
      </w:r>
    </w:p>
    <w:p w:rsidR="009007A7" w:rsidRDefault="009007A7" w:rsidP="009007A7">
      <w:r w:rsidRPr="00F16EAF">
        <w:t>Australia’s agricultural sector has many opportunities on the horizon. These will come from realising benefits from recently signed free trade agreements with China (ChAFTA), Japan (JAEPA), Republic of Korea (KAFTA) and Trans-Pacific Partnership countries (TPP Agreement), and in advancing other market access opportunities for Australian products. We will need to capitalise on these opportunities while ensuring our international reputation is maintained.</w:t>
      </w:r>
    </w:p>
    <w:p w:rsidR="00ED5FE6" w:rsidRPr="00F16EAF" w:rsidRDefault="00ED5FE6" w:rsidP="00D26F50">
      <w:pPr>
        <w:pStyle w:val="Boxedtext"/>
        <w:rPr>
          <w:b/>
          <w:lang w:val="en-AU"/>
        </w:rPr>
      </w:pPr>
      <w:r w:rsidRPr="00F16EAF">
        <w:rPr>
          <w:b/>
          <w:lang w:val="en-AU"/>
        </w:rPr>
        <w:t>Question 1</w:t>
      </w:r>
      <w:r w:rsidR="0008131C" w:rsidRPr="00F16EAF">
        <w:rPr>
          <w:b/>
          <w:lang w:val="en-AU"/>
        </w:rPr>
        <w:t>6</w:t>
      </w:r>
    </w:p>
    <w:p w:rsidR="00ED5FE6" w:rsidRPr="00F16EAF" w:rsidRDefault="00ED5FE6" w:rsidP="00D26F50">
      <w:pPr>
        <w:pStyle w:val="Boxedtext"/>
        <w:rPr>
          <w:lang w:val="en-AU"/>
        </w:rPr>
      </w:pPr>
      <w:r w:rsidRPr="00F16EAF">
        <w:rPr>
          <w:lang w:val="en-AU"/>
        </w:rPr>
        <w:t>Are market access considerations given appropriate weight in Australia’s national biosecurity system? What other considerations also</w:t>
      </w:r>
      <w:r w:rsidR="00E04B9D" w:rsidRPr="00F16EAF">
        <w:rPr>
          <w:lang w:val="en-AU"/>
        </w:rPr>
        <w:t xml:space="preserve"> need to be taken into account?</w:t>
      </w:r>
    </w:p>
    <w:p w:rsidR="0008131C" w:rsidRPr="00F16EAF" w:rsidRDefault="0008131C" w:rsidP="00D26F50">
      <w:pPr>
        <w:pStyle w:val="Boxedtext"/>
        <w:rPr>
          <w:b/>
          <w:lang w:val="en-AU"/>
        </w:rPr>
      </w:pPr>
      <w:r w:rsidRPr="00F16EAF">
        <w:rPr>
          <w:b/>
          <w:lang w:val="en-AU"/>
        </w:rPr>
        <w:t>Question 17</w:t>
      </w:r>
    </w:p>
    <w:p w:rsidR="0008131C" w:rsidRPr="00F16EAF" w:rsidRDefault="0008131C" w:rsidP="00D26F50">
      <w:pPr>
        <w:pStyle w:val="Boxedtext"/>
        <w:rPr>
          <w:lang w:val="en-AU"/>
        </w:rPr>
      </w:pPr>
      <w:r w:rsidRPr="00F16EAF">
        <w:rPr>
          <w:lang w:val="en-AU"/>
        </w:rPr>
        <w:t>Are there ways governments could better partner with industry and/or the broader community to reduce costs (without increasing risk), such as i</w:t>
      </w:r>
      <w:r w:rsidR="00D167AF">
        <w:rPr>
          <w:lang w:val="en-AU"/>
        </w:rPr>
        <w:t>ndustry certification schemes?</w:t>
      </w:r>
    </w:p>
    <w:p w:rsidR="00155CBA" w:rsidRDefault="00136336" w:rsidP="00A33C9E">
      <w:r w:rsidRPr="00F16EAF">
        <w:t>Australia has long-</w:t>
      </w:r>
      <w:r w:rsidR="00486120" w:rsidRPr="00F16EAF">
        <w:t>standing su</w:t>
      </w:r>
      <w:r w:rsidR="00990C79" w:rsidRPr="00F16EAF">
        <w:t>rveillance systems, which</w:t>
      </w:r>
      <w:r w:rsidR="004E0A2E" w:rsidRPr="00F16EAF">
        <w:t xml:space="preserve"> include</w:t>
      </w:r>
      <w:r w:rsidR="00486120" w:rsidRPr="00F16EAF">
        <w:t xml:space="preserve"> robust </w:t>
      </w:r>
      <w:r w:rsidR="00990C79" w:rsidRPr="00F16EAF">
        <w:t xml:space="preserve">diagnostic systems and capacity, </w:t>
      </w:r>
      <w:r w:rsidR="00155CBA" w:rsidRPr="00F16EAF">
        <w:t>for many pests and diseases</w:t>
      </w:r>
      <w:r w:rsidR="003262FB" w:rsidRPr="00F16EAF">
        <w:t xml:space="preserve"> where these can affect trade. </w:t>
      </w:r>
      <w:r w:rsidR="00155CBA" w:rsidRPr="00F16EAF">
        <w:t xml:space="preserve">Many of these </w:t>
      </w:r>
      <w:r w:rsidRPr="00F16EAF">
        <w:t>operate</w:t>
      </w:r>
      <w:r w:rsidR="00155CBA" w:rsidRPr="00F16EAF">
        <w:t xml:space="preserve"> </w:t>
      </w:r>
      <w:r w:rsidR="00084F22" w:rsidRPr="00F16EAF">
        <w:t>through</w:t>
      </w:r>
      <w:r w:rsidR="00155CBA" w:rsidRPr="00F16EAF">
        <w:t xml:space="preserve"> cooperative programs overseen by the </w:t>
      </w:r>
      <w:r w:rsidR="009F2DA7" w:rsidRPr="00F16EAF">
        <w:t>Australian</w:t>
      </w:r>
      <w:r w:rsidRPr="00F16EAF">
        <w:t>,</w:t>
      </w:r>
      <w:r w:rsidR="00155CBA" w:rsidRPr="00F16EAF">
        <w:t xml:space="preserve"> state and territory governments and re</w:t>
      </w:r>
      <w:r w:rsidR="00E80BE5" w:rsidRPr="00F16EAF">
        <w:t xml:space="preserve">levant industry organisations. </w:t>
      </w:r>
      <w:r w:rsidR="00155CBA" w:rsidRPr="00F16EAF">
        <w:t xml:space="preserve">In response to the increasing sophistication of </w:t>
      </w:r>
      <w:r w:rsidR="0060429F" w:rsidRPr="00F16EAF">
        <w:t xml:space="preserve">many of Australia’s </w:t>
      </w:r>
      <w:r w:rsidR="00155CBA" w:rsidRPr="00F16EAF">
        <w:t>trading partners</w:t>
      </w:r>
      <w:r w:rsidR="007801B1" w:rsidRPr="00F16EAF">
        <w:t>’</w:t>
      </w:r>
      <w:r w:rsidR="00155CBA" w:rsidRPr="00F16EAF">
        <w:t xml:space="preserve"> biosecurity systems</w:t>
      </w:r>
      <w:r w:rsidR="00E80BE5" w:rsidRPr="00F16EAF">
        <w:t>,</w:t>
      </w:r>
      <w:r w:rsidR="00155CBA" w:rsidRPr="00F16EAF">
        <w:t xml:space="preserve"> it can be expected that the surveillance </w:t>
      </w:r>
      <w:r w:rsidR="00486120" w:rsidRPr="00F16EAF">
        <w:t xml:space="preserve">and diagnostic </w:t>
      </w:r>
      <w:r w:rsidR="00155CBA" w:rsidRPr="00F16EAF">
        <w:t>system</w:t>
      </w:r>
      <w:r w:rsidR="007801B1" w:rsidRPr="00F16EAF">
        <w:t>s</w:t>
      </w:r>
      <w:r w:rsidR="00155CBA" w:rsidRPr="00F16EAF">
        <w:t xml:space="preserve"> will require continual enhancement and review to ensure </w:t>
      </w:r>
      <w:r w:rsidR="00486120" w:rsidRPr="00F16EAF">
        <w:t>they continue to</w:t>
      </w:r>
      <w:r w:rsidR="000953C3" w:rsidRPr="00F16EAF">
        <w:t xml:space="preserve"> deliver</w:t>
      </w:r>
      <w:r w:rsidR="00155CBA" w:rsidRPr="00F16EAF">
        <w:t xml:space="preserve"> outcomes that underpin existing and future market access arrangement</w:t>
      </w:r>
      <w:r w:rsidR="0060429F" w:rsidRPr="00F16EAF">
        <w:t>s</w:t>
      </w:r>
      <w:r w:rsidR="003B4898" w:rsidRPr="00F16EAF">
        <w:t>.</w:t>
      </w:r>
    </w:p>
    <w:p w:rsidR="00180BBC" w:rsidRPr="00F16EAF" w:rsidRDefault="00180BBC" w:rsidP="00894B10">
      <w:pPr>
        <w:pStyle w:val="Boxedtext"/>
        <w:rPr>
          <w:b/>
          <w:lang w:val="en-AU"/>
        </w:rPr>
      </w:pPr>
      <w:r w:rsidRPr="00F16EAF">
        <w:rPr>
          <w:b/>
          <w:lang w:val="en-AU"/>
        </w:rPr>
        <w:lastRenderedPageBreak/>
        <w:t>Question 1</w:t>
      </w:r>
      <w:r w:rsidR="00743F1D" w:rsidRPr="00F16EAF">
        <w:rPr>
          <w:b/>
          <w:lang w:val="en-AU"/>
        </w:rPr>
        <w:t>8</w:t>
      </w:r>
    </w:p>
    <w:p w:rsidR="00180BBC" w:rsidRPr="00F16EAF" w:rsidRDefault="00894B10" w:rsidP="00894B10">
      <w:pPr>
        <w:pStyle w:val="Boxedtext"/>
        <w:rPr>
          <w:lang w:val="en-AU"/>
        </w:rPr>
      </w:pPr>
      <w:r w:rsidRPr="00F16EAF">
        <w:rPr>
          <w:lang w:val="en-AU"/>
        </w:rPr>
        <w:t>How can the capacity and capability of surveillance systems (including diagnostic systems) underpinning Australia’s national biosecurity system be improved?</w:t>
      </w:r>
    </w:p>
    <w:p w:rsidR="004C4948" w:rsidRPr="00F16EAF" w:rsidRDefault="00D32FB9" w:rsidP="001132CB">
      <w:pPr>
        <w:pStyle w:val="Heading3"/>
      </w:pPr>
      <w:bookmarkStart w:id="32" w:name="_Toc450126741"/>
      <w:r w:rsidRPr="00F16EAF">
        <w:t>The role of</w:t>
      </w:r>
      <w:r w:rsidR="004C4948" w:rsidRPr="00F16EAF">
        <w:t xml:space="preserve"> </w:t>
      </w:r>
      <w:r w:rsidR="009E6D76" w:rsidRPr="00F16EAF">
        <w:t>r</w:t>
      </w:r>
      <w:r w:rsidR="004E5942" w:rsidRPr="00F16EAF">
        <w:t>esearch</w:t>
      </w:r>
      <w:r w:rsidR="004D3306" w:rsidRPr="00F16EAF">
        <w:t xml:space="preserve"> </w:t>
      </w:r>
      <w:r w:rsidR="003B7520" w:rsidRPr="00F16EAF">
        <w:t>and</w:t>
      </w:r>
      <w:r w:rsidR="009E6D76" w:rsidRPr="00F16EAF">
        <w:t xml:space="preserve"> i</w:t>
      </w:r>
      <w:r w:rsidR="004C4948" w:rsidRPr="00F16EAF">
        <w:t>nnovation</w:t>
      </w:r>
      <w:bookmarkEnd w:id="32"/>
    </w:p>
    <w:p w:rsidR="00DE6967" w:rsidRDefault="002A43B1" w:rsidP="00911B91">
      <w:pPr>
        <w:autoSpaceDE w:val="0"/>
        <w:autoSpaceDN w:val="0"/>
        <w:adjustRightInd w:val="0"/>
        <w:rPr>
          <w:rFonts w:eastAsia="Calibri" w:cs="Cambria"/>
        </w:rPr>
      </w:pPr>
      <w:r w:rsidRPr="00F16EAF">
        <w:rPr>
          <w:rFonts w:eastAsia="Calibri" w:cs="Cambria"/>
        </w:rPr>
        <w:t>S</w:t>
      </w:r>
      <w:r w:rsidR="00911B91" w:rsidRPr="00F16EAF">
        <w:rPr>
          <w:rFonts w:eastAsia="Calibri" w:cs="Cambria"/>
        </w:rPr>
        <w:t>marter</w:t>
      </w:r>
      <w:r w:rsidRPr="00F16EAF">
        <w:rPr>
          <w:rFonts w:eastAsia="Calibri" w:cs="Cambria"/>
        </w:rPr>
        <w:t xml:space="preserve"> and</w:t>
      </w:r>
      <w:r w:rsidR="00911B91" w:rsidRPr="00F16EAF">
        <w:rPr>
          <w:rFonts w:eastAsia="Calibri" w:cs="Cambria"/>
        </w:rPr>
        <w:t xml:space="preserve"> </w:t>
      </w:r>
      <w:r w:rsidR="004A6E38" w:rsidRPr="00F16EAF">
        <w:rPr>
          <w:rFonts w:eastAsia="Calibri" w:cs="Cambria"/>
        </w:rPr>
        <w:t xml:space="preserve">more </w:t>
      </w:r>
      <w:r w:rsidR="00911B91" w:rsidRPr="00F16EAF">
        <w:rPr>
          <w:rFonts w:eastAsia="Calibri" w:cs="Cambria"/>
        </w:rPr>
        <w:t xml:space="preserve">innovative ways of </w:t>
      </w:r>
      <w:r w:rsidRPr="00F16EAF">
        <w:rPr>
          <w:rFonts w:eastAsia="Calibri" w:cs="Cambria"/>
        </w:rPr>
        <w:t xml:space="preserve">undertaking biosecurity activities </w:t>
      </w:r>
      <w:r w:rsidR="00911B91" w:rsidRPr="00F16EAF">
        <w:rPr>
          <w:rFonts w:eastAsia="Calibri" w:cs="Cambria"/>
        </w:rPr>
        <w:t>will be needed</w:t>
      </w:r>
      <w:r w:rsidR="00DE6967">
        <w:rPr>
          <w:rFonts w:eastAsia="Calibri" w:cs="Cambria"/>
        </w:rPr>
        <w:t xml:space="preserve"> to ensure a robust and affordable </w:t>
      </w:r>
      <w:r w:rsidR="00E448A5">
        <w:rPr>
          <w:rFonts w:eastAsia="Calibri" w:cs="Cambria"/>
        </w:rPr>
        <w:t xml:space="preserve">national </w:t>
      </w:r>
      <w:r w:rsidR="00DE6967">
        <w:rPr>
          <w:rFonts w:eastAsia="Calibri" w:cs="Cambria"/>
        </w:rPr>
        <w:t xml:space="preserve">biosecurity system </w:t>
      </w:r>
      <w:r w:rsidR="00DE6967" w:rsidRPr="00F16EAF">
        <w:rPr>
          <w:rFonts w:eastAsia="Calibri" w:cs="Cambria"/>
        </w:rPr>
        <w:t>now and i</w:t>
      </w:r>
      <w:r w:rsidR="00DE6967">
        <w:rPr>
          <w:rFonts w:eastAsia="Calibri" w:cs="Cambria"/>
        </w:rPr>
        <w:t xml:space="preserve">nto </w:t>
      </w:r>
      <w:r w:rsidR="00DE6967" w:rsidRPr="00F16EAF">
        <w:rPr>
          <w:rFonts w:eastAsia="Calibri" w:cs="Cambria"/>
        </w:rPr>
        <w:t>the future</w:t>
      </w:r>
      <w:r w:rsidR="001E7A61" w:rsidRPr="00F16EAF">
        <w:rPr>
          <w:rFonts w:eastAsia="Calibri" w:cs="Cambria"/>
        </w:rPr>
        <w:t xml:space="preserve">. </w:t>
      </w:r>
      <w:r w:rsidR="00DE6967" w:rsidRPr="00F16EAF">
        <w:rPr>
          <w:rFonts w:eastAsia="Calibri" w:cs="Cambria"/>
        </w:rPr>
        <w:t xml:space="preserve">There are numerous opportunities to develop and adopt innovative methods and technologies. </w:t>
      </w:r>
      <w:r w:rsidR="00DE6967">
        <w:rPr>
          <w:rFonts w:eastAsia="Calibri" w:cs="Cambria"/>
        </w:rPr>
        <w:t>F</w:t>
      </w:r>
      <w:r w:rsidR="00DE6967" w:rsidRPr="00F16EAF">
        <w:rPr>
          <w:rFonts w:eastAsia="Calibri" w:cs="Cambria"/>
        </w:rPr>
        <w:t>or example, finding different and more effective ways to use existing practices or technologies</w:t>
      </w:r>
      <w:r w:rsidR="00DE6967">
        <w:rPr>
          <w:rFonts w:eastAsia="Calibri" w:cs="Cambria"/>
        </w:rPr>
        <w:t>,</w:t>
      </w:r>
      <w:r w:rsidR="00DE6967" w:rsidRPr="00F16EAF">
        <w:rPr>
          <w:rFonts w:eastAsia="Calibri" w:cs="Cambria"/>
        </w:rPr>
        <w:t xml:space="preserve"> or developing entirely new practices or technologies</w:t>
      </w:r>
      <w:r w:rsidR="00DE6967">
        <w:rPr>
          <w:rFonts w:eastAsia="Calibri" w:cs="Cambria"/>
        </w:rPr>
        <w:t>.</w:t>
      </w:r>
    </w:p>
    <w:p w:rsidR="004A6E38" w:rsidRPr="00517926" w:rsidRDefault="00D148A5" w:rsidP="004A6E38">
      <w:pPr>
        <w:autoSpaceDE w:val="0"/>
        <w:autoSpaceDN w:val="0"/>
        <w:adjustRightInd w:val="0"/>
        <w:rPr>
          <w:rFonts w:eastAsia="Calibri" w:cs="Cambria"/>
        </w:rPr>
      </w:pPr>
      <w:r w:rsidRPr="00F16EAF">
        <w:rPr>
          <w:rFonts w:eastAsia="Calibri" w:cs="Cambria"/>
        </w:rPr>
        <w:t>For</w:t>
      </w:r>
      <w:r w:rsidR="004A6E38" w:rsidRPr="00F16EAF">
        <w:rPr>
          <w:rFonts w:eastAsia="Calibri" w:cs="Cambria"/>
        </w:rPr>
        <w:t xml:space="preserve"> </w:t>
      </w:r>
      <w:r w:rsidR="004978E7" w:rsidRPr="00F16EAF">
        <w:rPr>
          <w:rFonts w:eastAsia="Calibri" w:cs="Cambria"/>
        </w:rPr>
        <w:t xml:space="preserve">biosecurity, </w:t>
      </w:r>
      <w:r w:rsidR="006E4843" w:rsidRPr="00F16EAF">
        <w:rPr>
          <w:rFonts w:eastAsia="Calibri" w:cs="Cambria"/>
        </w:rPr>
        <w:t>r</w:t>
      </w:r>
      <w:r w:rsidR="00007588" w:rsidRPr="00F16EAF">
        <w:rPr>
          <w:rFonts w:eastAsia="Calibri" w:cs="Cambria"/>
        </w:rPr>
        <w:t xml:space="preserve">esearch and </w:t>
      </w:r>
      <w:r w:rsidR="006E4843" w:rsidRPr="00F16EAF">
        <w:rPr>
          <w:rFonts w:eastAsia="Calibri" w:cs="Cambria"/>
        </w:rPr>
        <w:t>i</w:t>
      </w:r>
      <w:r w:rsidR="00911B91" w:rsidRPr="00F16EAF">
        <w:rPr>
          <w:rFonts w:eastAsia="Calibri" w:cs="Cambria"/>
        </w:rPr>
        <w:t xml:space="preserve">nnovation </w:t>
      </w:r>
      <w:r w:rsidR="00007588" w:rsidRPr="00F16EAF">
        <w:rPr>
          <w:rFonts w:eastAsia="Calibri" w:cs="Cambria"/>
        </w:rPr>
        <w:t>ha</w:t>
      </w:r>
      <w:r w:rsidR="00F24EF2" w:rsidRPr="00F16EAF">
        <w:rPr>
          <w:rFonts w:eastAsia="Calibri" w:cs="Cambria"/>
        </w:rPr>
        <w:t>s</w:t>
      </w:r>
      <w:r w:rsidR="00911B91" w:rsidRPr="00F16EAF">
        <w:rPr>
          <w:rFonts w:eastAsia="Calibri" w:cs="Cambria"/>
        </w:rPr>
        <w:t xml:space="preserve"> an important role to play in </w:t>
      </w:r>
      <w:r w:rsidR="004978E7" w:rsidRPr="00F16EAF">
        <w:rPr>
          <w:rFonts w:eastAsia="Calibri" w:cs="Cambria"/>
        </w:rPr>
        <w:t xml:space="preserve">further </w:t>
      </w:r>
      <w:r w:rsidR="00911B91" w:rsidRPr="00F16EAF">
        <w:rPr>
          <w:rFonts w:eastAsia="Calibri" w:cs="Cambria"/>
        </w:rPr>
        <w:t xml:space="preserve">developing </w:t>
      </w:r>
      <w:r w:rsidR="004978E7" w:rsidRPr="00F16EAF">
        <w:rPr>
          <w:rFonts w:eastAsia="Calibri" w:cs="Cambria"/>
        </w:rPr>
        <w:t xml:space="preserve">areas </w:t>
      </w:r>
      <w:r w:rsidR="00911B91" w:rsidRPr="00F16EAF">
        <w:rPr>
          <w:rFonts w:eastAsia="Calibri" w:cs="Cambria"/>
        </w:rPr>
        <w:t>suc</w:t>
      </w:r>
      <w:r w:rsidR="004978E7" w:rsidRPr="00F16EAF">
        <w:rPr>
          <w:rFonts w:eastAsia="Calibri" w:cs="Cambria"/>
        </w:rPr>
        <w:t>h as surveillance</w:t>
      </w:r>
      <w:r w:rsidR="00B7777A">
        <w:rPr>
          <w:rFonts w:eastAsia="Calibri" w:cs="Cambria"/>
        </w:rPr>
        <w:t xml:space="preserve"> and response</w:t>
      </w:r>
      <w:r w:rsidR="004978E7" w:rsidRPr="00F16EAF">
        <w:rPr>
          <w:rFonts w:eastAsia="Calibri" w:cs="Cambria"/>
        </w:rPr>
        <w:t>, data-sharing</w:t>
      </w:r>
      <w:r w:rsidR="00E77C38">
        <w:rPr>
          <w:rFonts w:eastAsia="Calibri" w:cs="Cambria"/>
        </w:rPr>
        <w:t xml:space="preserve">, and </w:t>
      </w:r>
      <w:r w:rsidR="007052A9" w:rsidRPr="00F16EAF">
        <w:rPr>
          <w:rFonts w:eastAsia="Calibri" w:cs="Cambria"/>
        </w:rPr>
        <w:t>analysis</w:t>
      </w:r>
      <w:r w:rsidR="00911B91" w:rsidRPr="00F16EAF">
        <w:rPr>
          <w:rFonts w:eastAsia="Calibri" w:cs="Cambria"/>
        </w:rPr>
        <w:t>.</w:t>
      </w:r>
      <w:r w:rsidR="004A6E38" w:rsidRPr="00F16EAF">
        <w:rPr>
          <w:rFonts w:eastAsia="Calibri" w:cs="Cambria"/>
        </w:rPr>
        <w:t xml:space="preserve"> </w:t>
      </w:r>
      <w:r w:rsidR="001C7896">
        <w:rPr>
          <w:rFonts w:eastAsia="Calibri" w:cs="Cambria"/>
        </w:rPr>
        <w:t xml:space="preserve">Autonomous systems, </w:t>
      </w:r>
      <w:r w:rsidR="009B0E87">
        <w:rPr>
          <w:rFonts w:eastAsia="Calibri" w:cs="Cambria"/>
        </w:rPr>
        <w:t xml:space="preserve">robotics and </w:t>
      </w:r>
      <w:r w:rsidR="002D7DBF">
        <w:rPr>
          <w:rFonts w:eastAsia="Calibri" w:cs="Cambria"/>
        </w:rPr>
        <w:t>next-generation sensors</w:t>
      </w:r>
      <w:r w:rsidR="009B0E87">
        <w:rPr>
          <w:rFonts w:eastAsia="Calibri" w:cs="Cambria"/>
        </w:rPr>
        <w:t xml:space="preserve"> </w:t>
      </w:r>
      <w:r w:rsidR="001C7896">
        <w:rPr>
          <w:rFonts w:eastAsia="Calibri" w:cs="Cambria"/>
        </w:rPr>
        <w:t>all offer great potential to strengthen biosecurity</w:t>
      </w:r>
      <w:r w:rsidR="00517926">
        <w:rPr>
          <w:rFonts w:eastAsia="Calibri" w:cs="Cambria"/>
        </w:rPr>
        <w:t>-r</w:t>
      </w:r>
      <w:r w:rsidR="001C7896">
        <w:rPr>
          <w:rFonts w:eastAsia="Calibri" w:cs="Cambria"/>
        </w:rPr>
        <w:t xml:space="preserve">elated activities. Potential innovations could </w:t>
      </w:r>
      <w:r w:rsidR="001C7896" w:rsidRPr="00517926">
        <w:rPr>
          <w:rFonts w:eastAsia="Calibri" w:cs="Cambria"/>
        </w:rPr>
        <w:t>include</w:t>
      </w:r>
      <w:r w:rsidR="004A6E38" w:rsidRPr="00517926">
        <w:rPr>
          <w:rFonts w:eastAsia="Calibri" w:cs="Cambria"/>
        </w:rPr>
        <w:t>:</w:t>
      </w:r>
    </w:p>
    <w:p w:rsidR="00B81C59" w:rsidRPr="00517926" w:rsidRDefault="00EF1A0D" w:rsidP="00EA48A1">
      <w:pPr>
        <w:pStyle w:val="ListBullet"/>
        <w:spacing w:before="0" w:after="160"/>
        <w:ind w:left="641"/>
        <w:contextualSpacing/>
      </w:pPr>
      <w:r w:rsidRPr="00517926">
        <w:t>sensor-enhanced surveillance systems (such as smart traps and remotely piloted aircraft)</w:t>
      </w:r>
    </w:p>
    <w:p w:rsidR="004A6E38" w:rsidRPr="00517926" w:rsidRDefault="004A6E38" w:rsidP="00EA48A1">
      <w:pPr>
        <w:pStyle w:val="ListBullet"/>
        <w:spacing w:before="0" w:after="160"/>
        <w:ind w:left="641"/>
        <w:contextualSpacing/>
      </w:pPr>
      <w:r w:rsidRPr="00517926">
        <w:t>multi-functional technology</w:t>
      </w:r>
      <w:r w:rsidR="004A7E91" w:rsidRPr="00517926">
        <w:t xml:space="preserve"> (</w:t>
      </w:r>
      <w:r w:rsidRPr="00517926">
        <w:t>such as a single monitoring system to detect multiple pests and diseases</w:t>
      </w:r>
      <w:r w:rsidR="004A7E91" w:rsidRPr="00517926">
        <w:t>)</w:t>
      </w:r>
    </w:p>
    <w:p w:rsidR="004A6E38" w:rsidRPr="00517926" w:rsidRDefault="004A6E38" w:rsidP="00EA48A1">
      <w:pPr>
        <w:pStyle w:val="ListBullet"/>
        <w:spacing w:before="0" w:after="160"/>
        <w:ind w:left="641"/>
        <w:contextualSpacing/>
      </w:pPr>
      <w:r w:rsidRPr="00517926">
        <w:t>versatile smartphone applications to identify</w:t>
      </w:r>
      <w:r w:rsidR="009C6743" w:rsidRPr="00517926">
        <w:t xml:space="preserve"> and</w:t>
      </w:r>
      <w:r w:rsidRPr="00517926">
        <w:t xml:space="preserve"> record</w:t>
      </w:r>
      <w:r w:rsidR="009C6743" w:rsidRPr="00517926">
        <w:t>,</w:t>
      </w:r>
      <w:r w:rsidR="009546FE" w:rsidRPr="00517926">
        <w:t xml:space="preserve"> and transfer suspected pest or disease</w:t>
      </w:r>
      <w:r w:rsidRPr="00517926">
        <w:t xml:space="preserve"> </w:t>
      </w:r>
      <w:r w:rsidR="009C6743" w:rsidRPr="00517926">
        <w:t>information</w:t>
      </w:r>
    </w:p>
    <w:p w:rsidR="004A6E38" w:rsidRPr="00517926" w:rsidRDefault="004A6E38" w:rsidP="00EA48A1">
      <w:pPr>
        <w:pStyle w:val="ListBullet"/>
        <w:spacing w:before="0" w:after="160"/>
        <w:ind w:left="641"/>
        <w:contextualSpacing/>
      </w:pPr>
      <w:r w:rsidRPr="00517926">
        <w:t>advanced diagnostic systems to help understand potential future diseases and pathogens</w:t>
      </w:r>
      <w:r w:rsidR="00DD6745" w:rsidRPr="00517926">
        <w:t>, and</w:t>
      </w:r>
    </w:p>
    <w:p w:rsidR="000B7ABF" w:rsidRPr="00517926" w:rsidRDefault="000B7ABF" w:rsidP="00EA48A1">
      <w:pPr>
        <w:pStyle w:val="ListBullet"/>
        <w:spacing w:before="0" w:after="160"/>
        <w:ind w:left="641"/>
        <w:contextualSpacing/>
      </w:pPr>
      <w:r w:rsidRPr="00517926">
        <w:t>technologies for market access assurance</w:t>
      </w:r>
      <w:r w:rsidR="00894A19">
        <w:t>, including alternative treatment methods.</w:t>
      </w:r>
    </w:p>
    <w:p w:rsidR="00EA48A1" w:rsidRPr="00F16EAF" w:rsidRDefault="00794A98" w:rsidP="007E6E78">
      <w:r w:rsidRPr="00F16EAF">
        <w:t>The r</w:t>
      </w:r>
      <w:r w:rsidR="00EA48A1" w:rsidRPr="00F16EAF">
        <w:t xml:space="preserve">eview </w:t>
      </w:r>
      <w:r w:rsidRPr="00F16EAF">
        <w:t>p</w:t>
      </w:r>
      <w:r w:rsidR="00EA48A1" w:rsidRPr="00F16EAF">
        <w:t xml:space="preserve">anel is interested in your views </w:t>
      </w:r>
      <w:r w:rsidR="00ED1EDA" w:rsidRPr="00F16EAF">
        <w:t>on</w:t>
      </w:r>
      <w:r w:rsidR="00EA48A1" w:rsidRPr="00F16EAF">
        <w:t xml:space="preserve"> </w:t>
      </w:r>
      <w:r w:rsidR="009E6D76" w:rsidRPr="00F16EAF">
        <w:t xml:space="preserve">research and </w:t>
      </w:r>
      <w:r w:rsidR="00EA48A1" w:rsidRPr="00F16EAF">
        <w:t xml:space="preserve">innovation in </w:t>
      </w:r>
      <w:r w:rsidR="00D408D2" w:rsidRPr="00F16EAF">
        <w:t>the</w:t>
      </w:r>
      <w:r w:rsidR="00EA48A1" w:rsidRPr="00F16EAF">
        <w:t xml:space="preserve"> national biosecurity system and </w:t>
      </w:r>
      <w:r w:rsidR="00A8720C">
        <w:t>the areas</w:t>
      </w:r>
      <w:r w:rsidR="00A8720C" w:rsidRPr="00F16EAF">
        <w:t>—pre-border, border and/or onshore—</w:t>
      </w:r>
      <w:r w:rsidR="00A8720C">
        <w:t xml:space="preserve">that would </w:t>
      </w:r>
      <w:r w:rsidR="00A8720C" w:rsidRPr="00F16EAF">
        <w:t>benefit</w:t>
      </w:r>
      <w:r w:rsidR="00A8720C" w:rsidRPr="00A8720C">
        <w:t xml:space="preserve"> </w:t>
      </w:r>
      <w:r w:rsidR="00A8720C" w:rsidRPr="00F16EAF">
        <w:t>from innovative practices and/or technologies</w:t>
      </w:r>
      <w:r w:rsidR="00EA48A1" w:rsidRPr="00F16EAF">
        <w:t>.</w:t>
      </w:r>
    </w:p>
    <w:p w:rsidR="00A54DBC" w:rsidRPr="00F16EAF" w:rsidRDefault="00A8720C" w:rsidP="007E6E78">
      <w:pPr>
        <w:pStyle w:val="Boxedtext"/>
        <w:rPr>
          <w:b/>
          <w:lang w:val="en-AU"/>
        </w:rPr>
      </w:pPr>
      <w:r>
        <w:rPr>
          <w:b/>
          <w:lang w:val="en-AU"/>
        </w:rPr>
        <w:t>Question 19</w:t>
      </w:r>
    </w:p>
    <w:p w:rsidR="00A54DBC" w:rsidRPr="00F16EAF" w:rsidRDefault="00A54DBC" w:rsidP="007E6E78">
      <w:pPr>
        <w:pStyle w:val="Boxedtext"/>
        <w:rPr>
          <w:lang w:val="en-AU"/>
        </w:rPr>
      </w:pPr>
      <w:r w:rsidRPr="00F16EAF">
        <w:rPr>
          <w:lang w:val="en-AU"/>
        </w:rPr>
        <w:t xml:space="preserve">Which </w:t>
      </w:r>
      <w:r w:rsidR="00A8720C">
        <w:rPr>
          <w:lang w:val="en-AU"/>
        </w:rPr>
        <w:t xml:space="preserve">specific </w:t>
      </w:r>
      <w:r w:rsidRPr="00F16EAF">
        <w:rPr>
          <w:lang w:val="en-AU"/>
        </w:rPr>
        <w:t xml:space="preserve">areas of </w:t>
      </w:r>
      <w:r w:rsidR="00F91F8F" w:rsidRPr="00F16EAF">
        <w:rPr>
          <w:lang w:val="en-AU"/>
        </w:rPr>
        <w:t>Australia’s</w:t>
      </w:r>
      <w:r w:rsidRPr="00F16EAF">
        <w:rPr>
          <w:lang w:val="en-AU"/>
        </w:rPr>
        <w:t xml:space="preserve"> national biosecurity system could benefit from </w:t>
      </w:r>
      <w:r w:rsidR="001A765E" w:rsidRPr="00F16EAF">
        <w:rPr>
          <w:lang w:val="en-AU"/>
        </w:rPr>
        <w:t>research and i</w:t>
      </w:r>
      <w:r w:rsidRPr="00F16EAF">
        <w:rPr>
          <w:lang w:val="en-AU"/>
        </w:rPr>
        <w:t>nnovation</w:t>
      </w:r>
      <w:r w:rsidR="00A8720C">
        <w:rPr>
          <w:lang w:val="en-AU"/>
        </w:rPr>
        <w:t xml:space="preserve"> in the next five, 10 and 20 years</w:t>
      </w:r>
      <w:r w:rsidRPr="00F16EAF">
        <w:rPr>
          <w:lang w:val="en-AU"/>
        </w:rPr>
        <w:t xml:space="preserve"> an</w:t>
      </w:r>
      <w:r w:rsidR="007E6E78" w:rsidRPr="00F16EAF">
        <w:rPr>
          <w:lang w:val="en-AU"/>
        </w:rPr>
        <w:t>d why? Please provide examples.</w:t>
      </w:r>
    </w:p>
    <w:p w:rsidR="0064280E" w:rsidRPr="00F16EAF" w:rsidRDefault="004D3306" w:rsidP="00BE5AB6">
      <w:pPr>
        <w:autoSpaceDE w:val="0"/>
        <w:autoSpaceDN w:val="0"/>
        <w:adjustRightInd w:val="0"/>
        <w:rPr>
          <w:rFonts w:eastAsia="Calibri" w:cs="Cambria"/>
        </w:rPr>
      </w:pPr>
      <w:r w:rsidRPr="00F16EAF">
        <w:rPr>
          <w:rFonts w:eastAsia="Calibri" w:cs="Cambria"/>
        </w:rPr>
        <w:t xml:space="preserve">There are </w:t>
      </w:r>
      <w:r w:rsidR="00E41992" w:rsidRPr="00F16EAF">
        <w:rPr>
          <w:rFonts w:eastAsia="Calibri" w:cs="Cambria"/>
        </w:rPr>
        <w:t>various</w:t>
      </w:r>
      <w:r w:rsidRPr="00F16EAF">
        <w:rPr>
          <w:rFonts w:eastAsia="Calibri" w:cs="Cambria"/>
        </w:rPr>
        <w:t xml:space="preserve"> organisations that play a role in facilit</w:t>
      </w:r>
      <w:r w:rsidR="00D42671">
        <w:rPr>
          <w:rFonts w:eastAsia="Calibri" w:cs="Cambria"/>
        </w:rPr>
        <w:t>ating or conducting biosecurity-</w:t>
      </w:r>
      <w:r w:rsidRPr="00F16EAF">
        <w:rPr>
          <w:rFonts w:eastAsia="Calibri" w:cs="Cambria"/>
        </w:rPr>
        <w:t xml:space="preserve">related </w:t>
      </w:r>
      <w:r w:rsidR="00F3126A" w:rsidRPr="00F16EAF">
        <w:rPr>
          <w:rFonts w:eastAsia="Calibri" w:cs="Cambria"/>
        </w:rPr>
        <w:t>r</w:t>
      </w:r>
      <w:r w:rsidRPr="00F16EAF">
        <w:rPr>
          <w:rFonts w:eastAsia="Calibri" w:cs="Cambria"/>
        </w:rPr>
        <w:t>esearch.</w:t>
      </w:r>
      <w:r w:rsidR="00420282" w:rsidRPr="00F16EAF">
        <w:rPr>
          <w:rFonts w:eastAsia="Calibri" w:cs="Cambria"/>
        </w:rPr>
        <w:t xml:space="preserve"> </w:t>
      </w:r>
      <w:r w:rsidR="004C2BFE" w:rsidRPr="00F16EAF">
        <w:rPr>
          <w:rFonts w:eastAsia="Calibri" w:cs="Cambria"/>
        </w:rPr>
        <w:t xml:space="preserve">Particular consideration </w:t>
      </w:r>
      <w:r w:rsidR="00844FFC" w:rsidRPr="00F16EAF">
        <w:rPr>
          <w:rFonts w:eastAsia="Calibri" w:cs="Cambria"/>
        </w:rPr>
        <w:t>must</w:t>
      </w:r>
      <w:r w:rsidR="004C2BFE" w:rsidRPr="00F16EAF">
        <w:rPr>
          <w:rFonts w:eastAsia="Calibri" w:cs="Cambria"/>
        </w:rPr>
        <w:t xml:space="preserve"> be given to the role that joint government and industry</w:t>
      </w:r>
      <w:r w:rsidR="00844FFC" w:rsidRPr="00F16EAF">
        <w:rPr>
          <w:rFonts w:eastAsia="Calibri" w:cs="Cambria"/>
        </w:rPr>
        <w:t>-</w:t>
      </w:r>
      <w:r w:rsidR="004C2BFE" w:rsidRPr="00F16EAF">
        <w:rPr>
          <w:rFonts w:eastAsia="Calibri" w:cs="Cambria"/>
        </w:rPr>
        <w:t xml:space="preserve"> funded organisations play, namely Animal Health Australia</w:t>
      </w:r>
      <w:r w:rsidR="00E41992" w:rsidRPr="00F16EAF">
        <w:rPr>
          <w:rFonts w:eastAsia="Calibri" w:cs="Cambria"/>
        </w:rPr>
        <w:t xml:space="preserve"> (AHA)</w:t>
      </w:r>
      <w:r w:rsidR="004C2BFE" w:rsidRPr="00F16EAF">
        <w:rPr>
          <w:rFonts w:eastAsia="Calibri" w:cs="Cambria"/>
        </w:rPr>
        <w:t>,</w:t>
      </w:r>
      <w:r w:rsidR="00436C2A" w:rsidRPr="00F16EAF">
        <w:rPr>
          <w:rFonts w:eastAsia="Calibri" w:cs="Cambria"/>
        </w:rPr>
        <w:t xml:space="preserve"> </w:t>
      </w:r>
      <w:r w:rsidR="004C2BFE" w:rsidRPr="00F16EAF">
        <w:rPr>
          <w:rFonts w:eastAsia="Calibri" w:cs="Cambria"/>
        </w:rPr>
        <w:t>Plant Health Australia</w:t>
      </w:r>
      <w:r w:rsidR="00E41992" w:rsidRPr="00F16EAF">
        <w:rPr>
          <w:rFonts w:eastAsia="Calibri" w:cs="Cambria"/>
        </w:rPr>
        <w:t xml:space="preserve"> (PHA)</w:t>
      </w:r>
      <w:r w:rsidR="004C2BFE" w:rsidRPr="00F16EAF">
        <w:rPr>
          <w:rFonts w:eastAsia="Calibri" w:cs="Cambria"/>
        </w:rPr>
        <w:t xml:space="preserve">, the Rural Research and Development Corporations and </w:t>
      </w:r>
      <w:r w:rsidR="00901EFA" w:rsidRPr="00F16EAF">
        <w:rPr>
          <w:rFonts w:eastAsia="Calibri" w:cs="Cambria"/>
        </w:rPr>
        <w:t>r</w:t>
      </w:r>
      <w:r w:rsidR="0092656C" w:rsidRPr="00F16EAF">
        <w:rPr>
          <w:rFonts w:eastAsia="Calibri" w:cs="Cambria"/>
        </w:rPr>
        <w:t xml:space="preserve">elevant </w:t>
      </w:r>
      <w:r w:rsidR="004C2BFE" w:rsidRPr="00F16EAF">
        <w:rPr>
          <w:rFonts w:eastAsia="Calibri" w:cs="Cambria"/>
        </w:rPr>
        <w:t>Cooperative Research Centres</w:t>
      </w:r>
      <w:r w:rsidR="00532306" w:rsidRPr="00F16EAF">
        <w:rPr>
          <w:rFonts w:eastAsia="Calibri" w:cs="Cambria"/>
        </w:rPr>
        <w:t>.</w:t>
      </w:r>
      <w:r w:rsidR="004C2BFE" w:rsidRPr="00F16EAF">
        <w:rPr>
          <w:rFonts w:eastAsia="Calibri" w:cs="Cambria"/>
        </w:rPr>
        <w:t xml:space="preserve"> </w:t>
      </w:r>
      <w:r w:rsidR="00844FFC" w:rsidRPr="00F16EAF">
        <w:rPr>
          <w:rFonts w:eastAsia="Calibri" w:cs="Cambria"/>
        </w:rPr>
        <w:t>T</w:t>
      </w:r>
      <w:r w:rsidR="008B179C" w:rsidRPr="00F16EAF">
        <w:rPr>
          <w:rFonts w:eastAsia="Calibri" w:cs="Cambria"/>
        </w:rPr>
        <w:t xml:space="preserve">hese organisations play a major role in facilitating and prioritising work </w:t>
      </w:r>
      <w:r w:rsidR="00C5072C" w:rsidRPr="00F16EAF">
        <w:rPr>
          <w:rFonts w:eastAsia="Calibri" w:cs="Cambria"/>
        </w:rPr>
        <w:t xml:space="preserve">undertaken by </w:t>
      </w:r>
      <w:r w:rsidR="008B179C" w:rsidRPr="00F16EAF">
        <w:rPr>
          <w:rFonts w:eastAsia="Calibri" w:cs="Cambria"/>
        </w:rPr>
        <w:t>research provider organisations, such as universities, the CSIRO and other government agencies.</w:t>
      </w:r>
      <w:r w:rsidR="00503717" w:rsidRPr="00503717">
        <w:rPr>
          <w:rFonts w:eastAsia="Calibri" w:cs="Cambria"/>
        </w:rPr>
        <w:t xml:space="preserve"> </w:t>
      </w:r>
      <w:r w:rsidR="00503717" w:rsidRPr="00F16EAF">
        <w:rPr>
          <w:rFonts w:eastAsia="Calibri" w:cs="Cambria"/>
        </w:rPr>
        <w:t>The review panel is aware</w:t>
      </w:r>
      <w:r w:rsidR="00503717">
        <w:rPr>
          <w:rFonts w:eastAsia="Calibri" w:cs="Cambria"/>
        </w:rPr>
        <w:t xml:space="preserve"> of views</w:t>
      </w:r>
      <w:r w:rsidR="00503717" w:rsidRPr="00F16EAF">
        <w:rPr>
          <w:rFonts w:eastAsia="Calibri" w:cs="Cambria"/>
        </w:rPr>
        <w:t xml:space="preserve"> </w:t>
      </w:r>
      <w:r w:rsidR="00503717">
        <w:rPr>
          <w:rFonts w:eastAsia="Calibri" w:cs="Cambria"/>
        </w:rPr>
        <w:t xml:space="preserve">that </w:t>
      </w:r>
      <w:r w:rsidR="00D42671">
        <w:rPr>
          <w:rFonts w:eastAsia="Calibri" w:cs="Cambria"/>
        </w:rPr>
        <w:t>biosecurity-</w:t>
      </w:r>
      <w:r w:rsidR="00503717" w:rsidRPr="00F16EAF">
        <w:rPr>
          <w:rFonts w:eastAsia="Calibri" w:cs="Cambria"/>
        </w:rPr>
        <w:t xml:space="preserve">related research and development activities </w:t>
      </w:r>
      <w:r w:rsidR="00503717">
        <w:rPr>
          <w:rFonts w:eastAsia="Calibri" w:cs="Cambria"/>
        </w:rPr>
        <w:t>could be more efficient, effective and better coordinated</w:t>
      </w:r>
      <w:r w:rsidR="00503717" w:rsidRPr="00F16EAF">
        <w:rPr>
          <w:rFonts w:eastAsia="Calibri" w:cs="Cambria"/>
        </w:rPr>
        <w:t>.</w:t>
      </w:r>
    </w:p>
    <w:p w:rsidR="00612957" w:rsidRPr="00F16EAF" w:rsidRDefault="00C301A2" w:rsidP="00BE5AB6">
      <w:pPr>
        <w:autoSpaceDE w:val="0"/>
        <w:autoSpaceDN w:val="0"/>
        <w:adjustRightInd w:val="0"/>
        <w:rPr>
          <w:rFonts w:eastAsia="Calibri" w:cs="Cambria"/>
        </w:rPr>
      </w:pPr>
      <w:r>
        <w:rPr>
          <w:rFonts w:eastAsia="Calibri" w:cs="Cambria"/>
        </w:rPr>
        <w:t>T</w:t>
      </w:r>
      <w:r w:rsidR="00D20688" w:rsidRPr="00F16EAF">
        <w:rPr>
          <w:rFonts w:eastAsia="Calibri" w:cs="Cambria"/>
        </w:rPr>
        <w:t xml:space="preserve">here are two </w:t>
      </w:r>
      <w:r>
        <w:rPr>
          <w:rFonts w:eastAsia="Calibri" w:cs="Cambria"/>
        </w:rPr>
        <w:t xml:space="preserve">main </w:t>
      </w:r>
      <w:r w:rsidR="00D20688" w:rsidRPr="00F16EAF">
        <w:rPr>
          <w:rFonts w:eastAsia="Calibri" w:cs="Cambria"/>
        </w:rPr>
        <w:t xml:space="preserve">national </w:t>
      </w:r>
      <w:r w:rsidR="00612957" w:rsidRPr="00F16EAF">
        <w:rPr>
          <w:rFonts w:eastAsia="Calibri" w:cs="Cambria"/>
        </w:rPr>
        <w:t xml:space="preserve">biosecurity </w:t>
      </w:r>
      <w:r w:rsidR="00E41992" w:rsidRPr="00F16EAF">
        <w:rPr>
          <w:rFonts w:eastAsia="Calibri" w:cs="Cambria"/>
        </w:rPr>
        <w:t>strategies</w:t>
      </w:r>
      <w:r w:rsidR="00B3137F" w:rsidRPr="00F16EAF">
        <w:rPr>
          <w:rFonts w:eastAsia="Calibri" w:cs="Cambria"/>
        </w:rPr>
        <w:t xml:space="preserve"> that guide activities and investment in biosecurity</w:t>
      </w:r>
      <w:r w:rsidR="00D42671">
        <w:rPr>
          <w:rFonts w:eastAsia="Calibri" w:cs="Cambria"/>
        </w:rPr>
        <w:t>-</w:t>
      </w:r>
      <w:r w:rsidR="00B3137F" w:rsidRPr="00F16EAF">
        <w:rPr>
          <w:rFonts w:eastAsia="Calibri" w:cs="Cambria"/>
        </w:rPr>
        <w:t xml:space="preserve"> r</w:t>
      </w:r>
      <w:r w:rsidR="00D42671">
        <w:rPr>
          <w:rFonts w:eastAsia="Calibri" w:cs="Cambria"/>
        </w:rPr>
        <w:t xml:space="preserve">elated research and innovation. </w:t>
      </w:r>
      <w:r w:rsidR="00B3137F" w:rsidRPr="00F16EAF">
        <w:rPr>
          <w:rFonts w:eastAsia="Calibri" w:cs="Cambria"/>
        </w:rPr>
        <w:t>These are the</w:t>
      </w:r>
      <w:r w:rsidR="004E3144" w:rsidRPr="00F16EAF">
        <w:rPr>
          <w:rFonts w:eastAsia="Calibri" w:cs="Cambria"/>
        </w:rPr>
        <w:t xml:space="preserve"> Animal Biosecurity RD&amp;E Strategy and the </w:t>
      </w:r>
      <w:r w:rsidR="001E3040" w:rsidRPr="00F16EAF">
        <w:rPr>
          <w:rFonts w:eastAsia="Calibri" w:cs="Cambria"/>
        </w:rPr>
        <w:t>Plant</w:t>
      </w:r>
      <w:r w:rsidR="004E3144" w:rsidRPr="00F16EAF">
        <w:rPr>
          <w:rFonts w:eastAsia="Calibri" w:cs="Cambria"/>
        </w:rPr>
        <w:t xml:space="preserve"> Biosecurity RD&amp;E Strategy</w:t>
      </w:r>
      <w:r w:rsidR="00E41992" w:rsidRPr="00F16EAF">
        <w:rPr>
          <w:rFonts w:eastAsia="Calibri" w:cs="Cambria"/>
        </w:rPr>
        <w:t xml:space="preserve">. </w:t>
      </w:r>
      <w:r w:rsidR="00612957" w:rsidRPr="00F16EAF">
        <w:rPr>
          <w:rFonts w:eastAsia="Calibri" w:cs="Cambria"/>
        </w:rPr>
        <w:t xml:space="preserve">AHA and PHA are </w:t>
      </w:r>
      <w:r w:rsidR="00FC697C" w:rsidRPr="00F16EAF">
        <w:rPr>
          <w:rFonts w:eastAsia="Calibri" w:cs="Cambria"/>
        </w:rPr>
        <w:t>tasked with coordinating the implementation of their</w:t>
      </w:r>
      <w:r w:rsidR="00612957" w:rsidRPr="00F16EAF">
        <w:rPr>
          <w:rFonts w:eastAsia="Calibri" w:cs="Cambria"/>
        </w:rPr>
        <w:t xml:space="preserve"> respective </w:t>
      </w:r>
      <w:r w:rsidR="008C3A58">
        <w:rPr>
          <w:rFonts w:eastAsia="Calibri" w:cs="Cambria"/>
        </w:rPr>
        <w:t>strategies</w:t>
      </w:r>
      <w:r w:rsidR="004B4637" w:rsidRPr="00F16EAF">
        <w:rPr>
          <w:rFonts w:eastAsia="Calibri" w:cs="Cambria"/>
        </w:rPr>
        <w:t xml:space="preserve"> on behalf of industry and government stakeholders.</w:t>
      </w:r>
    </w:p>
    <w:p w:rsidR="00897B5D" w:rsidRPr="00F16EAF" w:rsidRDefault="00FD518E" w:rsidP="00BE5AB6">
      <w:pPr>
        <w:autoSpaceDE w:val="0"/>
        <w:autoSpaceDN w:val="0"/>
        <w:adjustRightInd w:val="0"/>
        <w:rPr>
          <w:rFonts w:eastAsia="Calibri" w:cs="Cambria"/>
        </w:rPr>
      </w:pPr>
      <w:r w:rsidRPr="00F16EAF">
        <w:rPr>
          <w:rFonts w:eastAsia="Calibri" w:cs="Cambria"/>
        </w:rPr>
        <w:t>Broadly, these</w:t>
      </w:r>
      <w:r w:rsidR="00D148A5" w:rsidRPr="00F16EAF">
        <w:rPr>
          <w:rFonts w:eastAsia="Calibri" w:cs="Cambria"/>
        </w:rPr>
        <w:t xml:space="preserve"> strategies </w:t>
      </w:r>
      <w:r w:rsidR="00F57B40" w:rsidRPr="00F16EAF">
        <w:rPr>
          <w:rFonts w:eastAsia="Calibri" w:cs="Cambria"/>
        </w:rPr>
        <w:t>establish a high-</w:t>
      </w:r>
      <w:r w:rsidR="004E3144" w:rsidRPr="00F16EAF">
        <w:rPr>
          <w:rFonts w:eastAsia="Calibri" w:cs="Cambria"/>
        </w:rPr>
        <w:t>level</w:t>
      </w:r>
      <w:r w:rsidR="00DE46F1" w:rsidRPr="00F16EAF">
        <w:rPr>
          <w:rFonts w:eastAsia="Calibri" w:cs="Cambria"/>
        </w:rPr>
        <w:t xml:space="preserve"> vision and detail</w:t>
      </w:r>
      <w:r w:rsidR="004E3144" w:rsidRPr="00F16EAF">
        <w:rPr>
          <w:rFonts w:eastAsia="Calibri" w:cs="Cambria"/>
        </w:rPr>
        <w:t xml:space="preserve"> </w:t>
      </w:r>
      <w:r w:rsidR="004B4637" w:rsidRPr="00F16EAF">
        <w:rPr>
          <w:rFonts w:eastAsia="Calibri" w:cs="Cambria"/>
        </w:rPr>
        <w:t xml:space="preserve">the </w:t>
      </w:r>
      <w:r w:rsidR="004E3144" w:rsidRPr="00F16EAF">
        <w:rPr>
          <w:rFonts w:eastAsia="Calibri" w:cs="Cambria"/>
        </w:rPr>
        <w:t>goal</w:t>
      </w:r>
      <w:r w:rsidR="00DE46F1" w:rsidRPr="00F16EAF">
        <w:rPr>
          <w:rFonts w:eastAsia="Calibri" w:cs="Cambria"/>
        </w:rPr>
        <w:t>s, outcomes,</w:t>
      </w:r>
      <w:r w:rsidRPr="00F16EAF">
        <w:rPr>
          <w:rFonts w:eastAsia="Calibri" w:cs="Cambria"/>
        </w:rPr>
        <w:t xml:space="preserve"> priorities and objectives for research, development and extension activities.</w:t>
      </w:r>
      <w:r w:rsidR="00DE46F1" w:rsidRPr="00F16EAF">
        <w:rPr>
          <w:rFonts w:eastAsia="Calibri" w:cs="Cambria"/>
        </w:rPr>
        <w:t xml:space="preserve"> </w:t>
      </w:r>
      <w:r w:rsidR="00D66B75" w:rsidRPr="00F16EAF">
        <w:rPr>
          <w:rFonts w:eastAsia="Calibri" w:cs="Cambria"/>
        </w:rPr>
        <w:t>T</w:t>
      </w:r>
      <w:r w:rsidR="00DE46F1" w:rsidRPr="00F16EAF">
        <w:rPr>
          <w:rFonts w:eastAsia="Calibri" w:cs="Cambria"/>
        </w:rPr>
        <w:t>hese strategies are in place to ensure research activities are undertaken in a targeted and coordinated way.</w:t>
      </w:r>
    </w:p>
    <w:p w:rsidR="006A4219" w:rsidRPr="00F16EAF" w:rsidRDefault="006A4219" w:rsidP="00E26363">
      <w:pPr>
        <w:pStyle w:val="Boxedtext"/>
        <w:rPr>
          <w:b/>
          <w:lang w:val="en-AU"/>
        </w:rPr>
      </w:pPr>
      <w:r w:rsidRPr="00F16EAF">
        <w:rPr>
          <w:b/>
          <w:lang w:val="en-AU"/>
        </w:rPr>
        <w:lastRenderedPageBreak/>
        <w:t xml:space="preserve">Question </w:t>
      </w:r>
      <w:r w:rsidR="00743F1D" w:rsidRPr="00F16EAF">
        <w:rPr>
          <w:b/>
          <w:lang w:val="en-AU"/>
        </w:rPr>
        <w:t>2</w:t>
      </w:r>
      <w:r w:rsidR="00A8720C">
        <w:rPr>
          <w:b/>
          <w:lang w:val="en-AU"/>
        </w:rPr>
        <w:t>0</w:t>
      </w:r>
    </w:p>
    <w:p w:rsidR="006A4219" w:rsidRPr="00F16EAF" w:rsidRDefault="006A4219" w:rsidP="00E26363">
      <w:pPr>
        <w:pStyle w:val="Boxedtext"/>
        <w:rPr>
          <w:lang w:val="en-AU"/>
        </w:rPr>
      </w:pPr>
      <w:r w:rsidRPr="00F16EAF">
        <w:rPr>
          <w:lang w:val="en-AU"/>
        </w:rPr>
        <w:t xml:space="preserve">How </w:t>
      </w:r>
      <w:r w:rsidR="00A30A68">
        <w:rPr>
          <w:lang w:val="en-AU"/>
        </w:rPr>
        <w:t>can coordination of biosecurity-</w:t>
      </w:r>
      <w:r w:rsidRPr="00F16EAF">
        <w:rPr>
          <w:lang w:val="en-AU"/>
        </w:rPr>
        <w:t xml:space="preserve">related </w:t>
      </w:r>
      <w:r w:rsidR="00BF6744" w:rsidRPr="00F16EAF">
        <w:rPr>
          <w:lang w:val="en-AU"/>
        </w:rPr>
        <w:t>r</w:t>
      </w:r>
      <w:r w:rsidRPr="00F16EAF">
        <w:rPr>
          <w:lang w:val="en-AU"/>
        </w:rPr>
        <w:t xml:space="preserve">esearch and </w:t>
      </w:r>
      <w:r w:rsidR="00BF6744" w:rsidRPr="00F16EAF">
        <w:rPr>
          <w:lang w:val="en-AU"/>
        </w:rPr>
        <w:t>i</w:t>
      </w:r>
      <w:r w:rsidRPr="00F16EAF">
        <w:rPr>
          <w:lang w:val="en-AU"/>
        </w:rPr>
        <w:t>nnovation</w:t>
      </w:r>
      <w:r w:rsidR="00BF6744" w:rsidRPr="00F16EAF">
        <w:rPr>
          <w:lang w:val="en-AU"/>
        </w:rPr>
        <w:t xml:space="preserve"> activities</w:t>
      </w:r>
      <w:r w:rsidRPr="00F16EAF">
        <w:rPr>
          <w:lang w:val="en-AU"/>
        </w:rPr>
        <w:t xml:space="preserve"> be improved?</w:t>
      </w:r>
    </w:p>
    <w:p w:rsidR="005B5BEF" w:rsidRPr="00F16EAF" w:rsidRDefault="00503717" w:rsidP="005B5BEF">
      <w:r>
        <w:t>Implementing new technologies and non-</w:t>
      </w:r>
      <w:r w:rsidR="005B5BEF" w:rsidRPr="00F16EAF">
        <w:t xml:space="preserve">traditional </w:t>
      </w:r>
      <w:r>
        <w:t>ways of operating may</w:t>
      </w:r>
      <w:r w:rsidR="005B5BEF" w:rsidRPr="00F16EAF">
        <w:t xml:space="preserve"> </w:t>
      </w:r>
      <w:r>
        <w:t>allow</w:t>
      </w:r>
      <w:r w:rsidR="005B5BEF" w:rsidRPr="00F16EAF">
        <w:t xml:space="preserve"> </w:t>
      </w:r>
      <w:r>
        <w:t xml:space="preserve">for </w:t>
      </w:r>
      <w:r w:rsidR="005B5BEF" w:rsidRPr="00F16EAF">
        <w:t xml:space="preserve">smarter investment decisions and </w:t>
      </w:r>
      <w:r>
        <w:t>more efficient</w:t>
      </w:r>
      <w:r w:rsidR="005B5BEF" w:rsidRPr="00F16EAF">
        <w:t xml:space="preserve"> allocation of </w:t>
      </w:r>
      <w:r>
        <w:t xml:space="preserve">resources </w:t>
      </w:r>
      <w:r w:rsidR="005B5BEF" w:rsidRPr="00F16EAF">
        <w:t>across the syst</w:t>
      </w:r>
      <w:r>
        <w:t xml:space="preserve">em, including </w:t>
      </w:r>
      <w:r w:rsidR="005B5BEF" w:rsidRPr="00F16EAF">
        <w:t>investment</w:t>
      </w:r>
      <w:r w:rsidRPr="00503717">
        <w:t xml:space="preserve"> </w:t>
      </w:r>
      <w:r>
        <w:t>across the generalised invasion curve</w:t>
      </w:r>
      <w:r w:rsidR="005B5BEF" w:rsidRPr="00F16EAF">
        <w:t>.</w:t>
      </w:r>
      <w:r w:rsidR="004E64D0" w:rsidRPr="00F16EAF">
        <w:t xml:space="preserve"> </w:t>
      </w:r>
      <w:r w:rsidR="00794A98" w:rsidRPr="00F16EAF">
        <w:t>The r</w:t>
      </w:r>
      <w:r w:rsidR="005B5BEF" w:rsidRPr="00F16EAF">
        <w:t xml:space="preserve">eview </w:t>
      </w:r>
      <w:r w:rsidR="00794A98" w:rsidRPr="00F16EAF">
        <w:t>p</w:t>
      </w:r>
      <w:r w:rsidR="005B5BEF" w:rsidRPr="00F16EAF">
        <w:t>anel is interested in your views on the role of innovation in improving the cost-effectiveness of the national biosecurity system</w:t>
      </w:r>
      <w:r w:rsidR="00E655E2" w:rsidRPr="00F16EAF">
        <w:t>.</w:t>
      </w:r>
    </w:p>
    <w:p w:rsidR="005B5BEF" w:rsidRPr="00F16EAF" w:rsidRDefault="00503717" w:rsidP="00586872">
      <w:pPr>
        <w:pStyle w:val="Boxedtext"/>
        <w:rPr>
          <w:b/>
          <w:lang w:val="en-AU"/>
        </w:rPr>
      </w:pPr>
      <w:r>
        <w:rPr>
          <w:b/>
          <w:lang w:val="en-AU"/>
        </w:rPr>
        <w:t>Question 21</w:t>
      </w:r>
    </w:p>
    <w:p w:rsidR="005B5BEF" w:rsidRPr="00F16EAF" w:rsidRDefault="00503717" w:rsidP="00586872">
      <w:pPr>
        <w:pStyle w:val="Boxedtext"/>
        <w:rPr>
          <w:lang w:val="en-AU"/>
        </w:rPr>
      </w:pPr>
      <w:r>
        <w:rPr>
          <w:lang w:val="en-AU"/>
        </w:rPr>
        <w:t>How can innovation (including</w:t>
      </w:r>
      <w:r w:rsidR="005B5BEF" w:rsidRPr="00F16EAF">
        <w:rPr>
          <w:lang w:val="en-AU"/>
        </w:rPr>
        <w:t xml:space="preserve"> </w:t>
      </w:r>
      <w:r>
        <w:rPr>
          <w:lang w:val="en-AU"/>
        </w:rPr>
        <w:t xml:space="preserve">technology) </w:t>
      </w:r>
      <w:r w:rsidR="005B5BEF" w:rsidRPr="00F16EAF">
        <w:rPr>
          <w:lang w:val="en-AU"/>
        </w:rPr>
        <w:t xml:space="preserve">help </w:t>
      </w:r>
      <w:r>
        <w:rPr>
          <w:lang w:val="en-AU"/>
        </w:rPr>
        <w:t xml:space="preserve">build </w:t>
      </w:r>
      <w:r w:rsidR="005B5BEF" w:rsidRPr="00F16EAF">
        <w:rPr>
          <w:lang w:val="en-AU"/>
        </w:rPr>
        <w:t xml:space="preserve">a more cost-effective </w:t>
      </w:r>
      <w:r>
        <w:rPr>
          <w:lang w:val="en-AU"/>
        </w:rPr>
        <w:t xml:space="preserve">and sustainable </w:t>
      </w:r>
      <w:r w:rsidR="005B5BEF" w:rsidRPr="00F16EAF">
        <w:rPr>
          <w:lang w:val="en-AU"/>
        </w:rPr>
        <w:t>national biosecurity system?</w:t>
      </w:r>
    </w:p>
    <w:p w:rsidR="004C4948" w:rsidRPr="00486B0D" w:rsidRDefault="004C4948" w:rsidP="001132CB">
      <w:pPr>
        <w:pStyle w:val="Heading3"/>
      </w:pPr>
      <w:bookmarkStart w:id="33" w:name="_Toc450126742"/>
      <w:r w:rsidRPr="00486B0D">
        <w:t>Measuring the performance</w:t>
      </w:r>
      <w:r w:rsidR="001507C8" w:rsidRPr="00486B0D">
        <w:t xml:space="preserve"> of the national biosecurity system</w:t>
      </w:r>
      <w:bookmarkEnd w:id="33"/>
    </w:p>
    <w:p w:rsidR="00DD2B72" w:rsidRPr="00486B0D" w:rsidRDefault="00DD2B72" w:rsidP="00DD2B72">
      <w:r w:rsidRPr="00486B0D">
        <w:t>Australia’s national biosecurity system is highly complex with many interrelated components</w:t>
      </w:r>
      <w:r w:rsidR="00F113FA">
        <w:t>. T</w:t>
      </w:r>
      <w:r w:rsidR="002D7DBF">
        <w:t>his</w:t>
      </w:r>
      <w:r w:rsidR="007F5A83">
        <w:t xml:space="preserve"> makes </w:t>
      </w:r>
      <w:r w:rsidRPr="00486B0D">
        <w:t xml:space="preserve">measuring </w:t>
      </w:r>
      <w:r w:rsidR="00EA689F">
        <w:t>the system’s</w:t>
      </w:r>
      <w:r w:rsidR="00EA689F" w:rsidRPr="00486B0D">
        <w:t xml:space="preserve"> </w:t>
      </w:r>
      <w:r w:rsidRPr="00486B0D">
        <w:t xml:space="preserve">performance and overall success fundamentally difficult. However, performance measurement is also </w:t>
      </w:r>
      <w:r w:rsidR="0019797E">
        <w:t>critical</w:t>
      </w:r>
      <w:r w:rsidRPr="00486B0D">
        <w:t xml:space="preserve"> for making informed judgements about whether biosecurity activities are achieving their stated goals and objectives—and that the system as a whole is meeting its national goal and objectives.</w:t>
      </w:r>
    </w:p>
    <w:p w:rsidR="00DD2B72" w:rsidRPr="00486B0D" w:rsidRDefault="00DD2B72" w:rsidP="00DD2B72">
      <w:r w:rsidRPr="00486B0D">
        <w:t xml:space="preserve">Performance data can support and better direct investment decisions, identify key risk areas within the system, and improve the management and efficiency effectiveness of existing risks and operations. Across the national biosecurity system, there are many elements that can be measured, covering inputs (for example, the staff allocated to tasks or the dollars spent), outputs (for example, the passengers or containers cleared or the quality or value of the produce exported) or outcomes (for example, a pest or disease managed, or access to </w:t>
      </w:r>
      <w:r w:rsidRPr="00A669EF">
        <w:t>a market retained</w:t>
      </w:r>
      <w:r w:rsidR="000903BC" w:rsidRPr="00A669EF">
        <w:t>, improved or gained</w:t>
      </w:r>
      <w:r w:rsidRPr="00A669EF">
        <w:t>). Data</w:t>
      </w:r>
      <w:r w:rsidRPr="00486B0D">
        <w:t xml:space="preserve"> is also collected through the many programs that monitor specific pests and diseases. In the absence of appropriate data, qualitative assessments and expert opinion are accepted means of ‘filling in the gaps’.</w:t>
      </w:r>
    </w:p>
    <w:p w:rsidR="00DD2B72" w:rsidRPr="00486B0D" w:rsidRDefault="00DD2B72" w:rsidP="00DD2B72">
      <w:r w:rsidRPr="00486B0D">
        <w:t>The general view of governments, industry and the broader community appears to be that the national biosecurity system is operating appropriately. There are specific analyses and data sets available to support Australia’s claims about its system, including to trading partners. For example, to demonstrate the presence, absence or containment (zoning) of various pests and diseases of concern, and/or the resour</w:t>
      </w:r>
      <w:r w:rsidR="00705CCE">
        <w:t>ces employed across the system.</w:t>
      </w:r>
    </w:p>
    <w:p w:rsidR="00DD2B72" w:rsidRPr="00486B0D" w:rsidRDefault="00DD2B72" w:rsidP="00DD2B72">
      <w:r w:rsidRPr="00486B0D">
        <w:t>While governments and industry collect, or have access to, a range of data and measurements, it is unclear how comprehensive and standardised these are across the states and territories and across industries—as there is no central point for coordination and analysis. This serves to limit, in an overall sense, our knowledge and understanding of what useful data and information exists and what might be needed in order to develop a full, national and longer-term picture of the perform</w:t>
      </w:r>
      <w:r w:rsidR="00705CCE">
        <w:t>ance and success of the system.</w:t>
      </w:r>
    </w:p>
    <w:p w:rsidR="00DD2B72" w:rsidRPr="00486B0D" w:rsidRDefault="00DD2B72" w:rsidP="00DD2B72">
      <w:r w:rsidRPr="00486B0D">
        <w:t>Finally, performance measurement and assessment must also be, of itself, a cost-effective activity. If the aim is to develop a ‘fit for purpose’ performance framework that provides the required national performance information for key decision-making and reporting purposes, this will also require a commitment to sustained effort and resourcing from biosecurity partners and stakeholders, well into the future.</w:t>
      </w:r>
    </w:p>
    <w:p w:rsidR="00931B5E" w:rsidRPr="00486B0D" w:rsidRDefault="00743F1D" w:rsidP="00586872">
      <w:pPr>
        <w:pStyle w:val="Boxedtext"/>
        <w:rPr>
          <w:b/>
          <w:lang w:val="en-AU"/>
        </w:rPr>
      </w:pPr>
      <w:r w:rsidRPr="00486B0D">
        <w:rPr>
          <w:b/>
          <w:lang w:val="en-AU"/>
        </w:rPr>
        <w:lastRenderedPageBreak/>
        <w:t>Quest</w:t>
      </w:r>
      <w:r w:rsidR="00ED1602" w:rsidRPr="00486B0D">
        <w:rPr>
          <w:b/>
          <w:lang w:val="en-AU"/>
        </w:rPr>
        <w:t>ion 22</w:t>
      </w:r>
    </w:p>
    <w:p w:rsidR="00931B5E" w:rsidRPr="00486B0D" w:rsidRDefault="000154F2" w:rsidP="00586872">
      <w:pPr>
        <w:pStyle w:val="Boxedtext"/>
        <w:rPr>
          <w:lang w:val="en-AU"/>
        </w:rPr>
      </w:pPr>
      <w:r w:rsidRPr="00486B0D">
        <w:rPr>
          <w:lang w:val="en-AU"/>
        </w:rPr>
        <w:t>W</w:t>
      </w:r>
      <w:r w:rsidR="002068E9" w:rsidRPr="00486B0D">
        <w:rPr>
          <w:lang w:val="en-AU"/>
        </w:rPr>
        <w:t xml:space="preserve">hat </w:t>
      </w:r>
      <w:r w:rsidR="00DD2B72" w:rsidRPr="00486B0D">
        <w:rPr>
          <w:lang w:val="en-AU"/>
        </w:rPr>
        <w:t xml:space="preserve">does success of Australia’s national biosecurity system look like? How could success be defined, and appropriately measured (that is, </w:t>
      </w:r>
      <w:r w:rsidR="0033688F">
        <w:rPr>
          <w:lang w:val="en-AU"/>
        </w:rPr>
        <w:t xml:space="preserve">qualitatively </w:t>
      </w:r>
      <w:r w:rsidR="00DD2B72" w:rsidRPr="00486B0D">
        <w:rPr>
          <w:lang w:val="en-AU"/>
        </w:rPr>
        <w:t xml:space="preserve">or </w:t>
      </w:r>
      <w:r w:rsidR="0033688F">
        <w:rPr>
          <w:lang w:val="en-AU"/>
        </w:rPr>
        <w:t>quantitatively</w:t>
      </w:r>
      <w:r w:rsidR="00DD2B72" w:rsidRPr="00486B0D">
        <w:rPr>
          <w:lang w:val="en-AU"/>
        </w:rPr>
        <w:t>)?</w:t>
      </w:r>
      <w:r w:rsidR="00DA2261">
        <w:rPr>
          <w:lang w:val="en-AU"/>
        </w:rPr>
        <w:t xml:space="preserve"> </w:t>
      </w:r>
      <w:r w:rsidR="001A1EA4">
        <w:rPr>
          <w:lang w:val="en-AU"/>
        </w:rPr>
        <w:t xml:space="preserve">What, if any, </w:t>
      </w:r>
      <w:r w:rsidR="00DA2261">
        <w:rPr>
          <w:lang w:val="en-AU"/>
        </w:rPr>
        <w:t xml:space="preserve">measures of </w:t>
      </w:r>
      <w:r w:rsidR="00BB1DCE">
        <w:rPr>
          <w:lang w:val="en-AU"/>
        </w:rPr>
        <w:t xml:space="preserve">success </w:t>
      </w:r>
      <w:r w:rsidR="001A1EA4">
        <w:rPr>
          <w:lang w:val="en-AU"/>
        </w:rPr>
        <w:t xml:space="preserve">are </w:t>
      </w:r>
      <w:r w:rsidR="00DA2261">
        <w:rPr>
          <w:lang w:val="en-AU"/>
        </w:rPr>
        <w:t>in use?</w:t>
      </w:r>
    </w:p>
    <w:p w:rsidR="00DD2B72" w:rsidRPr="00486B0D" w:rsidRDefault="00DD2B72" w:rsidP="00586872">
      <w:pPr>
        <w:pStyle w:val="Boxedtext"/>
        <w:rPr>
          <w:lang w:val="en-AU"/>
        </w:rPr>
      </w:pPr>
      <w:r w:rsidRPr="00486B0D">
        <w:rPr>
          <w:b/>
          <w:lang w:val="en-AU"/>
        </w:rPr>
        <w:t>Question</w:t>
      </w:r>
      <w:r w:rsidRPr="00486B0D">
        <w:rPr>
          <w:lang w:val="en-AU"/>
        </w:rPr>
        <w:t xml:space="preserve"> </w:t>
      </w:r>
      <w:r w:rsidR="00ED1602" w:rsidRPr="00486B0D">
        <w:rPr>
          <w:b/>
          <w:lang w:val="en-AU"/>
        </w:rPr>
        <w:t>23</w:t>
      </w:r>
    </w:p>
    <w:p w:rsidR="00DD2B72" w:rsidRPr="00486B0D" w:rsidRDefault="00DA69DD" w:rsidP="00586872">
      <w:pPr>
        <w:pStyle w:val="Boxedtext"/>
        <w:rPr>
          <w:lang w:val="en-AU"/>
        </w:rPr>
      </w:pPr>
      <w:r w:rsidRPr="00486B0D">
        <w:rPr>
          <w:lang w:val="en-AU"/>
        </w:rPr>
        <w:t xml:space="preserve">What would be required to ensure data collection and analysis meets the needs of a future national biosecurity system? Who are the key data and expert knowledge holders in the </w:t>
      </w:r>
      <w:r w:rsidR="0021260D">
        <w:rPr>
          <w:lang w:val="en-AU"/>
        </w:rPr>
        <w:t xml:space="preserve">national </w:t>
      </w:r>
      <w:r w:rsidRPr="00486B0D">
        <w:rPr>
          <w:lang w:val="en-AU"/>
        </w:rPr>
        <w:t>biosecurity system?</w:t>
      </w:r>
    </w:p>
    <w:p w:rsidR="00DA69DD" w:rsidRPr="00486B0D" w:rsidRDefault="00DA69DD" w:rsidP="00586872">
      <w:pPr>
        <w:pStyle w:val="Boxedtext"/>
        <w:rPr>
          <w:lang w:val="en-AU"/>
        </w:rPr>
      </w:pPr>
      <w:r w:rsidRPr="00486B0D">
        <w:rPr>
          <w:b/>
          <w:lang w:val="en-AU"/>
        </w:rPr>
        <w:t>Question 2</w:t>
      </w:r>
      <w:r w:rsidR="00ED1602" w:rsidRPr="00486B0D">
        <w:rPr>
          <w:b/>
          <w:lang w:val="en-AU"/>
        </w:rPr>
        <w:t>4</w:t>
      </w:r>
    </w:p>
    <w:p w:rsidR="00DA69DD" w:rsidRPr="00705CCE" w:rsidRDefault="00DA69DD" w:rsidP="00586872">
      <w:pPr>
        <w:pStyle w:val="Boxedtext"/>
        <w:rPr>
          <w:lang w:val="en-AU"/>
        </w:rPr>
      </w:pPr>
      <w:r w:rsidRPr="00486B0D">
        <w:rPr>
          <w:lang w:val="en-AU"/>
        </w:rPr>
        <w:t xml:space="preserve">How can existing or new data sets be better used? How might data be collected from a wider </w:t>
      </w:r>
      <w:r w:rsidRPr="00705CCE">
        <w:rPr>
          <w:lang w:val="en-AU"/>
        </w:rPr>
        <w:t>range of sources than government?</w:t>
      </w:r>
    </w:p>
    <w:p w:rsidR="004E5F8C" w:rsidRPr="00F16EAF" w:rsidRDefault="004E5F8C">
      <w:pPr>
        <w:spacing w:after="0" w:line="240" w:lineRule="auto"/>
        <w:rPr>
          <w:rFonts w:ascii="Calibri" w:eastAsia="Times New Roman" w:hAnsi="Calibri" w:cs="Times New Roman"/>
          <w:b/>
          <w:bCs/>
          <w:sz w:val="36"/>
          <w:szCs w:val="24"/>
        </w:rPr>
      </w:pPr>
      <w:r w:rsidRPr="00F16EAF">
        <w:br w:type="page"/>
      </w:r>
    </w:p>
    <w:p w:rsidR="001507C8" w:rsidRPr="00F16EAF" w:rsidRDefault="001507C8" w:rsidP="004E5F8C">
      <w:pPr>
        <w:pStyle w:val="Heading3"/>
        <w:rPr>
          <w:i/>
        </w:rPr>
      </w:pPr>
      <w:bookmarkStart w:id="34" w:name="_Toc450126743"/>
      <w:r w:rsidRPr="00F16EAF">
        <w:rPr>
          <w:i/>
        </w:rPr>
        <w:lastRenderedPageBreak/>
        <w:t>Consolidated list of questions</w:t>
      </w:r>
      <w:bookmarkEnd w:id="34"/>
    </w:p>
    <w:p w:rsidR="001507C8" w:rsidRPr="00F16EAF" w:rsidRDefault="001507C8" w:rsidP="00A11DF1">
      <w:pPr>
        <w:pStyle w:val="Heading4"/>
        <w:rPr>
          <w:lang w:eastAsia="ja-JP"/>
        </w:rPr>
      </w:pPr>
      <w:r w:rsidRPr="00F16EAF">
        <w:rPr>
          <w:lang w:eastAsia="ja-JP"/>
        </w:rPr>
        <w:t xml:space="preserve">The </w:t>
      </w:r>
      <w:r w:rsidR="00297F8A" w:rsidRPr="00F16EAF">
        <w:rPr>
          <w:lang w:eastAsia="ja-JP"/>
        </w:rPr>
        <w:t>I</w:t>
      </w:r>
      <w:r w:rsidRPr="00F16EAF">
        <w:rPr>
          <w:lang w:eastAsia="ja-JP"/>
        </w:rPr>
        <w:t>GAB</w:t>
      </w:r>
    </w:p>
    <w:p w:rsidR="001507C8" w:rsidRPr="00F16EAF" w:rsidRDefault="00565763" w:rsidP="00565763">
      <w:pPr>
        <w:pStyle w:val="ListNumber"/>
        <w:numPr>
          <w:ilvl w:val="0"/>
          <w:numId w:val="30"/>
        </w:numPr>
        <w:tabs>
          <w:tab w:val="clear" w:pos="284"/>
          <w:tab w:val="left" w:pos="567"/>
        </w:tabs>
        <w:rPr>
          <w:lang w:eastAsia="ja-JP"/>
        </w:rPr>
      </w:pPr>
      <w:r w:rsidRPr="00565763">
        <w:rPr>
          <w:lang w:eastAsia="ja-JP"/>
        </w:rPr>
        <w:t>Is the IGAB a suitable mechanism to underpin Australia’s national biosecurity system in the future (10 or 20 years from now)? Are the consolidated priority areas still appropriate?</w:t>
      </w:r>
    </w:p>
    <w:p w:rsidR="004B4B3D" w:rsidRPr="00F16EAF" w:rsidRDefault="00565763" w:rsidP="00565763">
      <w:pPr>
        <w:pStyle w:val="ListNumber"/>
        <w:numPr>
          <w:ilvl w:val="0"/>
          <w:numId w:val="30"/>
        </w:numPr>
        <w:tabs>
          <w:tab w:val="clear" w:pos="284"/>
          <w:tab w:val="left" w:pos="567"/>
        </w:tabs>
      </w:pPr>
      <w:r w:rsidRPr="00565763">
        <w:t>What are your views on the construct, effectiveness, and transparency of the IGAB? Please provide examples.</w:t>
      </w:r>
    </w:p>
    <w:p w:rsidR="004B4B3D" w:rsidRPr="00F16EAF" w:rsidRDefault="00565763" w:rsidP="00565763">
      <w:pPr>
        <w:pStyle w:val="ListNumber"/>
        <w:numPr>
          <w:ilvl w:val="0"/>
          <w:numId w:val="30"/>
        </w:numPr>
        <w:tabs>
          <w:tab w:val="clear" w:pos="284"/>
          <w:tab w:val="left" w:pos="567"/>
        </w:tabs>
        <w:rPr>
          <w:lang w:eastAsia="ja-JP"/>
        </w:rPr>
      </w:pPr>
      <w:r w:rsidRPr="00565763">
        <w:t>What practical improvements to the IGAB and/or its structure would provide for an increased, but accountable, role for industry and the broader community?</w:t>
      </w:r>
    </w:p>
    <w:p w:rsidR="001507C8" w:rsidRPr="00F16EAF" w:rsidRDefault="001507C8" w:rsidP="00A11DF1">
      <w:pPr>
        <w:pStyle w:val="Heading4"/>
        <w:rPr>
          <w:lang w:eastAsia="ja-JP"/>
        </w:rPr>
      </w:pPr>
      <w:r w:rsidRPr="00F16EAF">
        <w:rPr>
          <w:lang w:eastAsia="ja-JP"/>
        </w:rPr>
        <w:t xml:space="preserve">Agreeing </w:t>
      </w:r>
      <w:r w:rsidR="00F500BE">
        <w:rPr>
          <w:lang w:eastAsia="ja-JP"/>
        </w:rPr>
        <w:t xml:space="preserve">to </w:t>
      </w:r>
      <w:r w:rsidRPr="00F16EAF">
        <w:rPr>
          <w:lang w:eastAsia="ja-JP"/>
        </w:rPr>
        <w:t>risks, priorities and objectives</w:t>
      </w:r>
    </w:p>
    <w:p w:rsidR="001507C8" w:rsidRPr="00F16EAF" w:rsidRDefault="006632AE" w:rsidP="006632AE">
      <w:pPr>
        <w:pStyle w:val="ListNumber"/>
        <w:tabs>
          <w:tab w:val="clear" w:pos="284"/>
          <w:tab w:val="left" w:pos="567"/>
        </w:tabs>
      </w:pPr>
      <w:r w:rsidRPr="006632AE">
        <w:t>Is the goal, and are the objectives, of Australia’s national biosecurity system still appropriate to address current and future biosecurity challenges?</w:t>
      </w:r>
    </w:p>
    <w:p w:rsidR="002074A2" w:rsidRPr="00F16EAF" w:rsidRDefault="005051B0" w:rsidP="005051B0">
      <w:pPr>
        <w:pStyle w:val="ListNumber"/>
        <w:tabs>
          <w:tab w:val="clear" w:pos="284"/>
          <w:tab w:val="left" w:pos="567"/>
        </w:tabs>
      </w:pPr>
      <w:r w:rsidRPr="005051B0">
        <w:t>In order of importance, what do you see as the most significant current and future biosecurity risks and priorities for Australia and why? Are Australia’s biosecurity objectives appropriately tailored to meet these risk and priorities?</w:t>
      </w:r>
    </w:p>
    <w:p w:rsidR="002074A2" w:rsidRPr="00F16EAF" w:rsidRDefault="00340F06" w:rsidP="00340F06">
      <w:pPr>
        <w:pStyle w:val="ListNumber"/>
        <w:tabs>
          <w:tab w:val="clear" w:pos="284"/>
          <w:tab w:val="left" w:pos="567"/>
        </w:tabs>
      </w:pPr>
      <w:r w:rsidRPr="00340F06">
        <w:t>Are the components and functions of Australia’s national biosecurity system consistently understood by all stakeholders? If not, what could be done to improve this?</w:t>
      </w:r>
    </w:p>
    <w:p w:rsidR="002074A2" w:rsidRPr="00F16EAF" w:rsidRDefault="00BD4706" w:rsidP="00BD4706">
      <w:pPr>
        <w:pStyle w:val="ListNumber"/>
        <w:tabs>
          <w:tab w:val="clear" w:pos="284"/>
          <w:tab w:val="left" w:pos="567"/>
        </w:tabs>
      </w:pPr>
      <w:r w:rsidRPr="00BD4706">
        <w:t>What benefits (or impediments) are there in realising a more integrated national approach to biosecurity, agreed to by key partners in Australia’s national biosecurity system?</w:t>
      </w:r>
    </w:p>
    <w:p w:rsidR="00AC277A" w:rsidRPr="00F16EAF" w:rsidRDefault="00A907EB" w:rsidP="00A907EB">
      <w:pPr>
        <w:pStyle w:val="ListNumber"/>
        <w:tabs>
          <w:tab w:val="clear" w:pos="284"/>
          <w:tab w:val="left" w:pos="567"/>
        </w:tabs>
        <w:rPr>
          <w:lang w:eastAsia="ja-JP"/>
        </w:rPr>
      </w:pPr>
      <w:r w:rsidRPr="00A907EB">
        <w:rPr>
          <w:lang w:eastAsia="ja-JP"/>
        </w:rPr>
        <w:t>What form would this best take (for example, a national statement of intent or national strategy)? What are the key elements that must be included? What specific roles do you see industry and the broader community playing in such an initiative?</w:t>
      </w:r>
    </w:p>
    <w:p w:rsidR="001507C8" w:rsidRPr="00F16EAF" w:rsidRDefault="001507C8" w:rsidP="00A11DF1">
      <w:pPr>
        <w:pStyle w:val="Heading4"/>
        <w:rPr>
          <w:lang w:eastAsia="ja-JP"/>
        </w:rPr>
      </w:pPr>
      <w:bookmarkStart w:id="35" w:name="_Ref449689109"/>
      <w:r w:rsidRPr="00F16EAF">
        <w:rPr>
          <w:lang w:eastAsia="ja-JP"/>
        </w:rPr>
        <w:t>Embedding shared responsibility</w:t>
      </w:r>
      <w:bookmarkEnd w:id="35"/>
    </w:p>
    <w:p w:rsidR="00316E53" w:rsidRPr="00F16EAF" w:rsidRDefault="00056972" w:rsidP="00056972">
      <w:pPr>
        <w:pStyle w:val="ListNumber"/>
        <w:tabs>
          <w:tab w:val="clear" w:pos="284"/>
          <w:tab w:val="left" w:pos="567"/>
        </w:tabs>
        <w:rPr>
          <w:lang w:eastAsia="ja-JP"/>
        </w:rPr>
      </w:pPr>
      <w:r w:rsidRPr="00056972">
        <w:t>Are the roles and responsibilities of stakeholders in Australia’s national biosecurity system clearly and consistently understood? How might this be improved?</w:t>
      </w:r>
    </w:p>
    <w:p w:rsidR="00BB6E28" w:rsidRPr="00F16EAF" w:rsidRDefault="00056972" w:rsidP="00056972">
      <w:pPr>
        <w:pStyle w:val="ListNumber"/>
        <w:rPr>
          <w:lang w:eastAsia="ja-JP"/>
        </w:rPr>
      </w:pPr>
      <w:r w:rsidRPr="00056972">
        <w:t>What practical actions do you think governments and industry organisations can undertake to strengthen the involvement of industry and community stakeholders in Australia’s national biosecurity system? Would increased involvement in decision making on and implementation of biosecurity activities help the adoption of shared responsibility?</w:t>
      </w:r>
    </w:p>
    <w:p w:rsidR="001507C8" w:rsidRPr="00F16EAF" w:rsidRDefault="001507C8" w:rsidP="00A11DF1">
      <w:pPr>
        <w:pStyle w:val="Heading4"/>
        <w:rPr>
          <w:lang w:eastAsia="ja-JP"/>
        </w:rPr>
      </w:pPr>
      <w:r w:rsidRPr="00F16EAF">
        <w:rPr>
          <w:lang w:eastAsia="ja-JP"/>
        </w:rPr>
        <w:t>F</w:t>
      </w:r>
      <w:r w:rsidR="00701B11" w:rsidRPr="00F16EAF">
        <w:rPr>
          <w:lang w:eastAsia="ja-JP"/>
        </w:rPr>
        <w:t xml:space="preserve">unding </w:t>
      </w:r>
      <w:r w:rsidRPr="00F16EAF">
        <w:rPr>
          <w:lang w:eastAsia="ja-JP"/>
        </w:rPr>
        <w:t>biosecurity</w:t>
      </w:r>
    </w:p>
    <w:p w:rsidR="001507C8" w:rsidRPr="00F16EAF" w:rsidRDefault="007A6CA4" w:rsidP="007A6CA4">
      <w:pPr>
        <w:pStyle w:val="ListNumber"/>
      </w:pPr>
      <w:r w:rsidRPr="007A6CA4">
        <w:t>Are the IGAB investment principles still workable? Do they still meet the needs of Australia’s national biosecurity system now and in the future?</w:t>
      </w:r>
    </w:p>
    <w:p w:rsidR="00306E9A" w:rsidRPr="00F16EAF" w:rsidRDefault="00B23455" w:rsidP="001009DE">
      <w:pPr>
        <w:pStyle w:val="ListNumber"/>
      </w:pPr>
      <w:r w:rsidRPr="00F16EAF">
        <w:rPr>
          <w:rFonts w:ascii="Calibri" w:hAnsi="Calibri"/>
        </w:rPr>
        <w:t>Are governments and industry investing appropriately in the right areas? Are there areas where key funders should be redirecting investment? Can investment in biosecurity activities be better targeted? If so, how? Please provide examples.</w:t>
      </w:r>
    </w:p>
    <w:p w:rsidR="00306E9A" w:rsidRPr="00F16EAF" w:rsidRDefault="00DB2CAD" w:rsidP="00DB2CAD">
      <w:pPr>
        <w:pStyle w:val="ListNumber"/>
      </w:pPr>
      <w:r w:rsidRPr="00DB2CAD">
        <w:t>How do we ensure investments and investment frameworks align with priorities, while being flexible enough to address changing risks and priorities?</w:t>
      </w:r>
    </w:p>
    <w:p w:rsidR="00306E9A" w:rsidRPr="00F16EAF" w:rsidRDefault="00341E72" w:rsidP="00341E72">
      <w:pPr>
        <w:pStyle w:val="ListNumber"/>
      </w:pPr>
      <w:r w:rsidRPr="00341E72">
        <w:t>Are current biosecurity funding arrangements still appropriate to meet the needs of Australia’s national biosecurity system, now and in the future? What might an alternative or novel funding model encompass?</w:t>
      </w:r>
    </w:p>
    <w:p w:rsidR="00306E9A" w:rsidRPr="00F16EAF" w:rsidRDefault="00943B94" w:rsidP="00943B94">
      <w:pPr>
        <w:pStyle w:val="ListNumber"/>
      </w:pPr>
      <w:r w:rsidRPr="00943B94">
        <w:lastRenderedPageBreak/>
        <w:t>What can be done to ensure an equitable level of investment from all stakeholders across Australia’s national biosecurity system, including from risk creators and risk beneficiaries?</w:t>
      </w:r>
    </w:p>
    <w:p w:rsidR="001507C8" w:rsidRPr="00F16EAF" w:rsidRDefault="001507C8" w:rsidP="00A11DF1">
      <w:pPr>
        <w:pStyle w:val="Heading4"/>
        <w:rPr>
          <w:lang w:eastAsia="ja-JP"/>
        </w:rPr>
      </w:pPr>
      <w:r w:rsidRPr="00F16EAF">
        <w:rPr>
          <w:lang w:eastAsia="ja-JP"/>
        </w:rPr>
        <w:t>Market access</w:t>
      </w:r>
    </w:p>
    <w:p w:rsidR="001507C8" w:rsidRPr="00F16EAF" w:rsidRDefault="00D167AF" w:rsidP="00D167AF">
      <w:pPr>
        <w:pStyle w:val="ListNumber"/>
      </w:pPr>
      <w:r w:rsidRPr="00D167AF">
        <w:t>Are market access considerations given appropriate weight in Australia’s national biosecurity system? What other considerations also need to be taken into account?</w:t>
      </w:r>
    </w:p>
    <w:p w:rsidR="00F80128" w:rsidRPr="00F16EAF" w:rsidRDefault="00D167AF" w:rsidP="00D167AF">
      <w:pPr>
        <w:pStyle w:val="ListNumber"/>
      </w:pPr>
      <w:r w:rsidRPr="00D167AF">
        <w:t>Are there ways governments could better partner with industry and/or the broader community to reduce costs (without increasing risk), such as industry certification schemes?</w:t>
      </w:r>
    </w:p>
    <w:p w:rsidR="00F80128" w:rsidRPr="00F16EAF" w:rsidRDefault="00364561" w:rsidP="00364561">
      <w:pPr>
        <w:pStyle w:val="ListNumber"/>
        <w:rPr>
          <w:lang w:eastAsia="ja-JP"/>
        </w:rPr>
      </w:pPr>
      <w:r w:rsidRPr="00364561">
        <w:t>How can the capacity and capability of surveillance systems (including diagnostic systems) underpinning Australia’s national biosecurity system be improved?</w:t>
      </w:r>
    </w:p>
    <w:p w:rsidR="001507C8" w:rsidRPr="00F16EAF" w:rsidRDefault="001507C8" w:rsidP="00A11DF1">
      <w:pPr>
        <w:pStyle w:val="Heading4"/>
        <w:rPr>
          <w:lang w:eastAsia="ja-JP"/>
        </w:rPr>
      </w:pPr>
      <w:r w:rsidRPr="00F16EAF">
        <w:rPr>
          <w:lang w:eastAsia="ja-JP"/>
        </w:rPr>
        <w:t>T</w:t>
      </w:r>
      <w:r w:rsidR="00A65955">
        <w:rPr>
          <w:lang w:eastAsia="ja-JP"/>
        </w:rPr>
        <w:t>he role of research and i</w:t>
      </w:r>
      <w:r w:rsidRPr="00F16EAF">
        <w:rPr>
          <w:lang w:eastAsia="ja-JP"/>
        </w:rPr>
        <w:t>nnovation</w:t>
      </w:r>
    </w:p>
    <w:p w:rsidR="00A8720C" w:rsidRPr="00F16EAF" w:rsidRDefault="00D56C8E" w:rsidP="00D56C8E">
      <w:pPr>
        <w:pStyle w:val="ListNumber"/>
      </w:pPr>
      <w:r w:rsidRPr="00D56C8E">
        <w:t>Which specific areas of Australia’s national biosecurity system could benefit from research and innovation in the next five, 10 and 20 years and why? Please provide examples.</w:t>
      </w:r>
    </w:p>
    <w:p w:rsidR="00650F96" w:rsidRPr="00F16EAF" w:rsidRDefault="00D56C8E" w:rsidP="00D56C8E">
      <w:pPr>
        <w:pStyle w:val="ListNumber"/>
      </w:pPr>
      <w:r w:rsidRPr="00D56C8E">
        <w:t>How can coordination of biosecurity-related research and innovation activities be improved?</w:t>
      </w:r>
    </w:p>
    <w:p w:rsidR="00650F96" w:rsidRPr="00F16EAF" w:rsidRDefault="00490B1A" w:rsidP="00490B1A">
      <w:pPr>
        <w:pStyle w:val="ListNumber"/>
        <w:rPr>
          <w:lang w:eastAsia="ja-JP"/>
        </w:rPr>
      </w:pPr>
      <w:r w:rsidRPr="00490B1A">
        <w:t>How can innovation (including technology) help build a more cost-effective and sustainable national biosecurity system?</w:t>
      </w:r>
    </w:p>
    <w:p w:rsidR="00A11DF1" w:rsidRPr="00F16EAF" w:rsidRDefault="00A11DF1" w:rsidP="00A11DF1">
      <w:pPr>
        <w:pStyle w:val="Heading4"/>
        <w:rPr>
          <w:lang w:eastAsia="ja-JP"/>
        </w:rPr>
      </w:pPr>
      <w:r w:rsidRPr="00F16EAF">
        <w:rPr>
          <w:lang w:eastAsia="ja-JP"/>
        </w:rPr>
        <w:t>Measuring the performance of the national biosecurity system</w:t>
      </w:r>
    </w:p>
    <w:p w:rsidR="0070262F" w:rsidRPr="00F16EAF" w:rsidRDefault="00490B1A" w:rsidP="00490B1A">
      <w:pPr>
        <w:pStyle w:val="ListNumber"/>
      </w:pPr>
      <w:r w:rsidRPr="00490B1A">
        <w:t>What does success of Australia’s national biosecurity system look like? How could success be defined, and appropriately measured (that is, qualitatively or quantitatively)?</w:t>
      </w:r>
      <w:r w:rsidR="003135F4">
        <w:t xml:space="preserve"> </w:t>
      </w:r>
      <w:r w:rsidR="00766DE1">
        <w:t xml:space="preserve">What, if any, measures of </w:t>
      </w:r>
      <w:r w:rsidR="00BB1DCE">
        <w:t>success</w:t>
      </w:r>
      <w:r w:rsidR="00766DE1">
        <w:t xml:space="preserve"> are in use?</w:t>
      </w:r>
    </w:p>
    <w:p w:rsidR="0070262F" w:rsidRPr="00F16EAF" w:rsidRDefault="00490B1A" w:rsidP="00490B1A">
      <w:pPr>
        <w:pStyle w:val="ListNumber"/>
      </w:pPr>
      <w:r w:rsidRPr="00490B1A">
        <w:t>What would be required to ensure data collection and analysis meets the needs of a future national biosecurity system? Who are the key data and expert knowledge holders in the national biosecurity system?</w:t>
      </w:r>
    </w:p>
    <w:p w:rsidR="001507C8" w:rsidRPr="00F16EAF" w:rsidRDefault="00ED1602" w:rsidP="0070388D">
      <w:pPr>
        <w:pStyle w:val="ListNumber"/>
      </w:pPr>
      <w:r w:rsidRPr="00ED1602">
        <w:t>How can existing or new data sets be better used? How might data be collected from a wider range of sources than government?</w:t>
      </w:r>
    </w:p>
    <w:p w:rsidR="00702B09" w:rsidRPr="00F16EAF" w:rsidRDefault="005A797F" w:rsidP="00702B09">
      <w:pPr>
        <w:pStyle w:val="Heading2"/>
      </w:pPr>
      <w:bookmarkStart w:id="36" w:name="_Ref449107415"/>
      <w:bookmarkStart w:id="37" w:name="_Ref448145769"/>
      <w:bookmarkStart w:id="38" w:name="_Toc450126744"/>
      <w:r w:rsidRPr="00F16EAF">
        <w:lastRenderedPageBreak/>
        <w:t xml:space="preserve">Making a </w:t>
      </w:r>
      <w:r w:rsidR="00702B09" w:rsidRPr="00F16EAF">
        <w:t>submission</w:t>
      </w:r>
      <w:bookmarkEnd w:id="36"/>
      <w:bookmarkEnd w:id="38"/>
    </w:p>
    <w:bookmarkEnd w:id="37"/>
    <w:p w:rsidR="00F60A94" w:rsidRPr="00F16EAF" w:rsidRDefault="00F60A94" w:rsidP="00F96F41">
      <w:r w:rsidRPr="00F16EAF">
        <w:t xml:space="preserve">Please read the discussion paper and consider the questions </w:t>
      </w:r>
      <w:r w:rsidR="007F1278" w:rsidRPr="00F16EAF">
        <w:t>posed</w:t>
      </w:r>
      <w:r w:rsidRPr="00F16EAF">
        <w:t xml:space="preserve"> before making a submission. </w:t>
      </w:r>
      <w:r w:rsidR="007F1278" w:rsidRPr="00F16EAF">
        <w:t>In your submission i</w:t>
      </w:r>
      <w:r w:rsidR="00C80309" w:rsidRPr="00F16EAF">
        <w:t xml:space="preserve">nclude responses to the questions </w:t>
      </w:r>
      <w:r w:rsidR="009A6E5B" w:rsidRPr="00F16EAF">
        <w:t>asked</w:t>
      </w:r>
      <w:r w:rsidRPr="00F16EAF">
        <w:t xml:space="preserve"> and provide examples </w:t>
      </w:r>
      <w:r w:rsidR="005A6C25" w:rsidRPr="00F16EAF">
        <w:t>(</w:t>
      </w:r>
      <w:r w:rsidRPr="00F16EAF">
        <w:t>as appropriate</w:t>
      </w:r>
      <w:r w:rsidR="005A6C25" w:rsidRPr="00F16EAF">
        <w:t>)</w:t>
      </w:r>
      <w:r w:rsidRPr="00F16EAF">
        <w:t>.</w:t>
      </w:r>
    </w:p>
    <w:p w:rsidR="00580E7C" w:rsidRPr="00F16EAF" w:rsidRDefault="00580E7C" w:rsidP="00F96F41">
      <w:r w:rsidRPr="00F16EAF">
        <w:t>Submissions can be made in one of two ways</w:t>
      </w:r>
      <w:r w:rsidR="003327AD" w:rsidRPr="00F16EAF">
        <w:t>:</w:t>
      </w:r>
    </w:p>
    <w:p w:rsidR="00F96F41" w:rsidRPr="00F16EAF" w:rsidRDefault="00330D64" w:rsidP="005C68DD">
      <w:pPr>
        <w:pStyle w:val="ListBullet"/>
        <w:rPr>
          <w:rFonts w:eastAsia="Cambria" w:cs="Cambria"/>
        </w:rPr>
      </w:pPr>
      <w:r w:rsidRPr="00F16EAF">
        <w:t>By lodging a</w:t>
      </w:r>
      <w:r w:rsidR="003327AD" w:rsidRPr="00F16EAF">
        <w:t>n online</w:t>
      </w:r>
      <w:r w:rsidR="00F96F41" w:rsidRPr="00F16EAF">
        <w:t xml:space="preserve"> submission of up to 500 words using </w:t>
      </w:r>
      <w:r w:rsidRPr="00F16EAF">
        <w:t>the</w:t>
      </w:r>
      <w:r w:rsidR="00F96F41" w:rsidRPr="00F16EAF">
        <w:t xml:space="preserve"> </w:t>
      </w:r>
      <w:hyperlink r:id="rId27" w:history="1">
        <w:r w:rsidR="00F96F41" w:rsidRPr="00F16EAF">
          <w:rPr>
            <w:rStyle w:val="Hyperlink"/>
          </w:rPr>
          <w:t>online form</w:t>
        </w:r>
      </w:hyperlink>
      <w:r w:rsidRPr="00F16EAF">
        <w:rPr>
          <w:rFonts w:eastAsia="Cambria" w:cs="Cambria"/>
        </w:rPr>
        <w:t>, or</w:t>
      </w:r>
    </w:p>
    <w:p w:rsidR="003327AD" w:rsidRPr="00F16EAF" w:rsidRDefault="000C4903" w:rsidP="005C68DD">
      <w:pPr>
        <w:pStyle w:val="ListBullet"/>
      </w:pPr>
      <w:r w:rsidRPr="00F16EAF">
        <w:t xml:space="preserve">By </w:t>
      </w:r>
      <w:r w:rsidR="003327AD" w:rsidRPr="00F16EAF">
        <w:t xml:space="preserve">lodging a </w:t>
      </w:r>
      <w:r w:rsidRPr="00F16EAF">
        <w:t>written submission</w:t>
      </w:r>
      <w:r w:rsidR="003327AD" w:rsidRPr="00F16EAF">
        <w:t>. Written submissions must be accompanied by</w:t>
      </w:r>
      <w:r w:rsidR="002464D8" w:rsidRPr="00F16EAF">
        <w:t xml:space="preserve"> a completed</w:t>
      </w:r>
      <w:r w:rsidR="00F96F41" w:rsidRPr="00F16EAF">
        <w:t xml:space="preserve"> </w:t>
      </w:r>
      <w:hyperlink r:id="rId28" w:history="1">
        <w:r w:rsidR="00F96F41" w:rsidRPr="00F16EAF">
          <w:rPr>
            <w:rStyle w:val="Hyperlink"/>
          </w:rPr>
          <w:t>cover sheet</w:t>
        </w:r>
      </w:hyperlink>
      <w:r w:rsidR="00F96F41" w:rsidRPr="00F16EAF">
        <w:t xml:space="preserve"> and </w:t>
      </w:r>
      <w:r w:rsidR="00330D64" w:rsidRPr="00F16EAF">
        <w:t>email</w:t>
      </w:r>
      <w:r w:rsidR="003327AD" w:rsidRPr="00F16EAF">
        <w:t>ed to</w:t>
      </w:r>
      <w:r w:rsidR="00F96F41" w:rsidRPr="00F16EAF">
        <w:t xml:space="preserve"> </w:t>
      </w:r>
      <w:hyperlink r:id="rId29" w:history="1">
        <w:r w:rsidR="00F96F41" w:rsidRPr="00F16EAF">
          <w:rPr>
            <w:rStyle w:val="Hyperlink"/>
            <w:rFonts w:eastAsia="Cambria" w:cs="Times New Roman"/>
          </w:rPr>
          <w:t>igabreview@agriculture.gov.au</w:t>
        </w:r>
      </w:hyperlink>
      <w:r w:rsidR="00F96F41" w:rsidRPr="00F16EAF">
        <w:t>.</w:t>
      </w:r>
    </w:p>
    <w:p w:rsidR="0064247B" w:rsidRPr="00F16EAF" w:rsidRDefault="0064247B" w:rsidP="00C13E64">
      <w:pPr>
        <w:ind w:left="284"/>
      </w:pPr>
      <w:r w:rsidRPr="00F16EAF">
        <w:t xml:space="preserve">A </w:t>
      </w:r>
      <w:r w:rsidR="00CA4F0F" w:rsidRPr="00F16EAF">
        <w:t>written</w:t>
      </w:r>
      <w:r w:rsidRPr="00F16EAF">
        <w:t xml:space="preserve"> submission can be a short letter or a more detailed document. There is no limit on the length of a </w:t>
      </w:r>
      <w:r w:rsidR="00330D64" w:rsidRPr="00F16EAF">
        <w:t xml:space="preserve">written </w:t>
      </w:r>
      <w:r w:rsidRPr="00F16EAF">
        <w:t xml:space="preserve">submission. However, if the </w:t>
      </w:r>
      <w:r w:rsidR="002464D8" w:rsidRPr="00F16EAF">
        <w:t xml:space="preserve">written </w:t>
      </w:r>
      <w:r w:rsidRPr="00F16EAF">
        <w:t xml:space="preserve">submission is more than three (3) pages in length, please </w:t>
      </w:r>
      <w:r w:rsidR="00A409AC" w:rsidRPr="00F16EAF">
        <w:t xml:space="preserve">also </w:t>
      </w:r>
      <w:r w:rsidRPr="00F16EAF">
        <w:t>include a summary of your key comments and suggestions.</w:t>
      </w:r>
    </w:p>
    <w:p w:rsidR="00F96F41" w:rsidRPr="00F16EAF" w:rsidRDefault="00F96F41" w:rsidP="00F96F41">
      <w:r w:rsidRPr="00F16EAF">
        <w:t>If you have any questions about the review or the submission process, contact the IGAB Review Taskforce on 1800 833 507 between 8.30 am and 5 pm AEST on business days.</w:t>
      </w:r>
    </w:p>
    <w:p w:rsidR="00F96F41" w:rsidRPr="00F16EAF" w:rsidRDefault="00F96F41" w:rsidP="00F96F41">
      <w:pPr>
        <w:pStyle w:val="Heading3"/>
      </w:pPr>
      <w:bookmarkStart w:id="39" w:name="_Toc449518793"/>
      <w:bookmarkStart w:id="40" w:name="_Toc450126745"/>
      <w:r w:rsidRPr="00F16EAF">
        <w:t>Publication of submissions</w:t>
      </w:r>
      <w:bookmarkEnd w:id="39"/>
      <w:bookmarkEnd w:id="40"/>
    </w:p>
    <w:p w:rsidR="00F96F41" w:rsidRPr="00F16EAF" w:rsidRDefault="00F96F41" w:rsidP="00F96F41">
      <w:pPr>
        <w:rPr>
          <w:lang w:eastAsia="ja-JP"/>
        </w:rPr>
      </w:pPr>
      <w:r w:rsidRPr="00F16EAF">
        <w:rPr>
          <w:lang w:eastAsia="ja-JP"/>
        </w:rPr>
        <w:t xml:space="preserve">Submissions will be published on the department’s </w:t>
      </w:r>
      <w:hyperlink r:id="rId30" w:history="1">
        <w:r w:rsidRPr="00F16EAF">
          <w:rPr>
            <w:rStyle w:val="Hyperlink"/>
            <w:lang w:eastAsia="ja-JP"/>
          </w:rPr>
          <w:t>Intergovernmental Agreement on Biosecurity Review</w:t>
        </w:r>
      </w:hyperlink>
      <w:r w:rsidRPr="00F16EAF">
        <w:rPr>
          <w:lang w:eastAsia="ja-JP"/>
        </w:rPr>
        <w:t xml:space="preserve"> web page, unless you request otherwise. If you want your submission treated as confidential, in full or in part, indicate clearly on the front page.</w:t>
      </w:r>
    </w:p>
    <w:p w:rsidR="00F96F41" w:rsidRPr="00F16EAF" w:rsidRDefault="00F96F41" w:rsidP="00F96F41">
      <w:pPr>
        <w:rPr>
          <w:lang w:eastAsia="ja-JP"/>
        </w:rPr>
      </w:pPr>
      <w:r w:rsidRPr="00F16EAF">
        <w:rPr>
          <w:lang w:eastAsia="ja-JP"/>
        </w:rPr>
        <w:t xml:space="preserve">The Australian Government reserves the right to refuse to publish submissions, or parts of submissions, which contain offensive language, potentially defamatory material or copyright infringing material. A request may be made under the </w:t>
      </w:r>
      <w:r w:rsidRPr="00F16EAF">
        <w:rPr>
          <w:i/>
          <w:lang w:eastAsia="ja-JP"/>
        </w:rPr>
        <w:t xml:space="preserve">Freedom of Information Act 1982 </w:t>
      </w:r>
      <w:r w:rsidRPr="00F16EAF">
        <w:rPr>
          <w:lang w:eastAsia="ja-JP"/>
        </w:rPr>
        <w:t>for a submission marked confidential to be made available. Such requests will be determined in accordance with provisions under that Act.</w:t>
      </w:r>
    </w:p>
    <w:p w:rsidR="00F96F41" w:rsidRPr="00F16EAF" w:rsidRDefault="00F96F41" w:rsidP="00F96F41">
      <w:pPr>
        <w:rPr>
          <w:lang w:eastAsia="ja-JP"/>
        </w:rPr>
      </w:pPr>
      <w:r w:rsidRPr="00F16EAF">
        <w:rPr>
          <w:lang w:eastAsia="ja-JP"/>
        </w:rPr>
        <w:t xml:space="preserve">Personal information provided by you in your submission will be used by the department for the purposes of the review. Contact information, other than your name and organisation (if applicable) will not be published. Your name and organisation will be included on the department’s website to identify your submission. See the department’s </w:t>
      </w:r>
      <w:hyperlink r:id="rId31" w:history="1">
        <w:r w:rsidRPr="00F16EAF">
          <w:rPr>
            <w:rStyle w:val="Hyperlink"/>
            <w:lang w:eastAsia="ja-JP"/>
          </w:rPr>
          <w:t>privacy policy</w:t>
        </w:r>
      </w:hyperlink>
      <w:r w:rsidRPr="00F16EAF">
        <w:rPr>
          <w:lang w:eastAsia="ja-JP"/>
        </w:rPr>
        <w:t xml:space="preserve"> to learn more about how the department collects, uses and stores personal information.</w:t>
      </w:r>
    </w:p>
    <w:p w:rsidR="003014A2" w:rsidRPr="00F16EAF" w:rsidRDefault="00F96F41" w:rsidP="006B6764">
      <w:pPr>
        <w:rPr>
          <w:rFonts w:ascii="Calibri" w:eastAsiaTheme="minorEastAsia" w:hAnsi="Calibri"/>
          <w:bCs/>
          <w:color w:val="000000"/>
          <w:sz w:val="56"/>
          <w:szCs w:val="28"/>
          <w:lang w:eastAsia="ja-JP"/>
        </w:rPr>
      </w:pPr>
      <w:r w:rsidRPr="00F16EAF">
        <w:rPr>
          <w:lang w:eastAsia="ja-JP"/>
        </w:rPr>
        <w:t>Where you provide personal information about an individual other than yourself, you must ensure that you notify the individual that you have provided their personal information to the department, make that person aware of this privacy notice and draw their attention to the department’s privacy policy.</w:t>
      </w:r>
      <w:bookmarkStart w:id="41" w:name="_Toc430782162"/>
      <w:bookmarkEnd w:id="17"/>
      <w:r w:rsidR="003014A2" w:rsidRPr="00F16EAF">
        <w:br w:type="page"/>
      </w:r>
    </w:p>
    <w:p w:rsidR="003014A2" w:rsidRPr="00F16EAF" w:rsidRDefault="003014A2" w:rsidP="003014A2">
      <w:pPr>
        <w:pStyle w:val="Heading2"/>
        <w:numPr>
          <w:ilvl w:val="0"/>
          <w:numId w:val="0"/>
        </w:numPr>
        <w:ind w:left="709" w:hanging="709"/>
      </w:pPr>
      <w:bookmarkStart w:id="42" w:name="_Ref449694684"/>
      <w:bookmarkStart w:id="43" w:name="_Toc450126746"/>
      <w:r w:rsidRPr="00F16EAF">
        <w:lastRenderedPageBreak/>
        <w:t xml:space="preserve">Appendix A: Review </w:t>
      </w:r>
      <w:r w:rsidR="00EB3A76" w:rsidRPr="00F16EAF">
        <w:t>p</w:t>
      </w:r>
      <w:r w:rsidRPr="00F16EAF">
        <w:t>anel biographies</w:t>
      </w:r>
      <w:bookmarkEnd w:id="42"/>
      <w:bookmarkEnd w:id="43"/>
    </w:p>
    <w:p w:rsidR="001C7444" w:rsidRPr="002E015D" w:rsidRDefault="00D828F4" w:rsidP="001C7444">
      <w:pPr>
        <w:pStyle w:val="Heading4"/>
      </w:pPr>
      <w:r w:rsidRPr="002E015D">
        <w:t>Dr Wendy Craik AM</w:t>
      </w:r>
      <w:r w:rsidR="000F02BC" w:rsidRPr="002E015D">
        <w:t xml:space="preserve"> (Chair)</w:t>
      </w:r>
    </w:p>
    <w:p w:rsidR="004C6E11" w:rsidRPr="008E6DF9" w:rsidRDefault="004C6E11" w:rsidP="004C6E11">
      <w:r w:rsidRPr="008E6DF9">
        <w:t xml:space="preserve">Dr Craik is recognised as one of Australia’s leading independent public policy advisors, particularly on issues related to natural resource management. She is currently Chair of the </w:t>
      </w:r>
      <w:r w:rsidR="006317DA" w:rsidRPr="008E6DF9">
        <w:t>Climate Change Authority</w:t>
      </w:r>
      <w:r w:rsidRPr="008E6DF9">
        <w:t>, Deputy Chancellor for the University of South Australia (2010–2018), Chair of the NSW Marine Estate Management Authority and Member Advisory Board for the Centre for Strategy and Governance.</w:t>
      </w:r>
    </w:p>
    <w:p w:rsidR="004C6E11" w:rsidRPr="008E6DF9" w:rsidRDefault="004C6E11" w:rsidP="004C6E11">
      <w:r w:rsidRPr="008E6DF9">
        <w:t xml:space="preserve">She has an extensive record of executive level appointments in both public and private sectors, most recently as a Commissioner of the Productivity Commission (2009–2014). Prior to this, Wendy was CEO of the Murray Darling Basin Commission (2004–2008) and Executive Director of the National Farmers’ Federation (1995–2000). Other previous roles include President of the National Competition Council, board member for Dairy Australia, </w:t>
      </w:r>
      <w:r w:rsidR="004E78CF" w:rsidRPr="008E6DF9">
        <w:t xml:space="preserve">Chair of the Australian Rural Leadership Foundation, </w:t>
      </w:r>
      <w:r w:rsidRPr="008E6DF9">
        <w:t>Chair of the Australian Fisheries Management Authority and Chair of the N</w:t>
      </w:r>
      <w:r w:rsidR="0063133F" w:rsidRPr="008E6DF9">
        <w:t>ational Rural Advisory Council.</w:t>
      </w:r>
    </w:p>
    <w:p w:rsidR="00D828F4" w:rsidRPr="00F16EAF" w:rsidRDefault="00D828F4" w:rsidP="00D92ECF">
      <w:pPr>
        <w:pStyle w:val="Heading4"/>
        <w:spacing w:before="240"/>
      </w:pPr>
      <w:r w:rsidRPr="00F16EAF">
        <w:t>Mr David Palmer</w:t>
      </w:r>
    </w:p>
    <w:p w:rsidR="00D828F4" w:rsidRPr="00F16EAF" w:rsidRDefault="00D828F4" w:rsidP="00D97902">
      <w:pPr>
        <w:rPr>
          <w:rFonts w:cs="Times New Roman"/>
          <w:color w:val="000000"/>
          <w:lang w:eastAsia="en-AU"/>
        </w:rPr>
      </w:pPr>
      <w:r w:rsidRPr="00F16EAF">
        <w:rPr>
          <w:color w:val="000000"/>
        </w:rPr>
        <w:t>Mr Palmer is currently the Chair of the NSW Biosecurity Advisory Committee, the NSW Seasonal Conditions Advisory Committee, the Livestock Biosecurity Network and the NSW Rural Assistance Authority Board. Mr Palmer is also an independent director on the Board of Animal Health Australia, the Invasive Animals CRC and the Greater Sydney Local Land Services.</w:t>
      </w:r>
    </w:p>
    <w:p w:rsidR="00D828F4" w:rsidRPr="00F16EAF" w:rsidRDefault="00D828F4" w:rsidP="00D828F4">
      <w:pPr>
        <w:spacing w:before="120"/>
        <w:rPr>
          <w:rFonts w:ascii="Calibri" w:hAnsi="Calibri"/>
          <w:color w:val="000000"/>
        </w:rPr>
      </w:pPr>
      <w:r w:rsidRPr="00F16EAF">
        <w:rPr>
          <w:color w:val="000000"/>
        </w:rPr>
        <w:t>He is the former Managing Director of Meat and Livestock Australia and spent 6 years as the Executive Director of the Cattle Council of Australia. Other previous work includes with the Australia-Korea Foundation, NSW Meat Industry Authority, the NSW Farmer’s Association, and the Australian Meat &amp; Livestock Corporation.</w:t>
      </w:r>
    </w:p>
    <w:p w:rsidR="001C7444" w:rsidRPr="002E015D" w:rsidRDefault="00D828F4" w:rsidP="001C7444">
      <w:pPr>
        <w:pStyle w:val="Heading4"/>
        <w:spacing w:before="240"/>
      </w:pPr>
      <w:r w:rsidRPr="002E015D">
        <w:t>Dr Richard Sheldrake AM</w:t>
      </w:r>
    </w:p>
    <w:p w:rsidR="004C6E11" w:rsidRPr="008E6DF9" w:rsidRDefault="004C6E11" w:rsidP="004C6E11">
      <w:r w:rsidRPr="008E6DF9">
        <w:t xml:space="preserve">Dr Sheldrake is the Former Director General of the New South Wales Department of Primary Industries. Prior to this appointment Dr Sheldrake had been Director-General of the NSW Departments of Industry and Investment, Natural Resources and Agriculture. He has led the various departments in service delivery, policy development, compliance and regulation, research and development and technology transfer </w:t>
      </w:r>
      <w:r w:rsidR="001D40E1" w:rsidRPr="008E6DF9">
        <w:t>across a broad range of fields.</w:t>
      </w:r>
    </w:p>
    <w:p w:rsidR="004C6E11" w:rsidRPr="008E6DF9" w:rsidRDefault="004C6E11" w:rsidP="004C6E11">
      <w:r w:rsidRPr="008E6DF9">
        <w:t>Dr Sheldrake has played a role in developing and guiding state and national policy in areas such as carbon offsets; plant and animal biosecurity; agricultural research and development; drought policy; rural and regional service delivery, native forest management; native vegetation; fisheries resource management; efficient water use; sustainable land use; and</w:t>
      </w:r>
      <w:r w:rsidR="00E22B3A" w:rsidRPr="008E6DF9">
        <w:t>,</w:t>
      </w:r>
      <w:r w:rsidRPr="008E6DF9">
        <w:t xml:space="preserve"> export market development.</w:t>
      </w:r>
    </w:p>
    <w:p w:rsidR="00D828F4" w:rsidRPr="008E6DF9" w:rsidRDefault="004C6E11" w:rsidP="004C6E11">
      <w:r w:rsidRPr="008E6DF9">
        <w:t>He has previously held the offices of Commissioner of the Murray Darling Basin Commission, NSW Commissioner for Soil Conservation and NSW Commissioner of Forests. Dr Sheldrake was previously a Director of the Pig Research and Development Corporation and Animal Health Australia Limited and Chair of the Primary Industries Health Committee.</w:t>
      </w:r>
    </w:p>
    <w:p w:rsidR="00647EAC" w:rsidRPr="00F16EAF" w:rsidRDefault="00647EAC" w:rsidP="00647EAC">
      <w:pPr>
        <w:pStyle w:val="Heading2"/>
        <w:numPr>
          <w:ilvl w:val="0"/>
          <w:numId w:val="0"/>
        </w:numPr>
        <w:ind w:left="709" w:hanging="709"/>
      </w:pPr>
      <w:bookmarkStart w:id="44" w:name="_Toc450126747"/>
      <w:r w:rsidRPr="00F16EAF">
        <w:lastRenderedPageBreak/>
        <w:t>References</w:t>
      </w:r>
      <w:bookmarkEnd w:id="41"/>
      <w:bookmarkEnd w:id="44"/>
    </w:p>
    <w:p w:rsidR="003F0033" w:rsidRPr="00F16EAF" w:rsidRDefault="003F0033" w:rsidP="003F0033">
      <w:r w:rsidRPr="00F16EAF">
        <w:t xml:space="preserve">ABARES 2016, </w:t>
      </w:r>
      <w:r w:rsidRPr="00F16EAF">
        <w:rPr>
          <w:i/>
        </w:rPr>
        <w:t>Agricultural commodities: March quarter 2016</w:t>
      </w:r>
      <w:r w:rsidRPr="00F16EAF">
        <w:t xml:space="preserve">, Australian Bureau of Agricultural and Resource Economics and Sciences, Canberra, available at </w:t>
      </w:r>
      <w:hyperlink r:id="rId32" w:history="1">
        <w:r w:rsidRPr="00F16EAF">
          <w:rPr>
            <w:rStyle w:val="Hyperlink"/>
          </w:rPr>
          <w:t>agriculture.gov.au/abares/publications</w:t>
        </w:r>
      </w:hyperlink>
      <w:r w:rsidRPr="00F16EAF">
        <w:t>.</w:t>
      </w:r>
    </w:p>
    <w:p w:rsidR="00D11599" w:rsidRPr="00F16EAF" w:rsidRDefault="003B08C1" w:rsidP="003B08C1">
      <w:r w:rsidRPr="00F16EAF">
        <w:t>ABS 2016,</w:t>
      </w:r>
      <w:r w:rsidR="00325D34" w:rsidRPr="00F16EAF">
        <w:t xml:space="preserve"> </w:t>
      </w:r>
      <w:r w:rsidR="000A68C2" w:rsidRPr="00F16EAF">
        <w:rPr>
          <w:i/>
        </w:rPr>
        <w:t>Value of a</w:t>
      </w:r>
      <w:r w:rsidRPr="00F16EAF">
        <w:rPr>
          <w:i/>
        </w:rPr>
        <w:t xml:space="preserve">gricultural </w:t>
      </w:r>
      <w:r w:rsidR="000A68C2" w:rsidRPr="00F16EAF">
        <w:rPr>
          <w:i/>
        </w:rPr>
        <w:t>commodities produced:</w:t>
      </w:r>
      <w:r w:rsidRPr="00F16EAF">
        <w:rPr>
          <w:i/>
        </w:rPr>
        <w:t xml:space="preserve"> Australia, 2014–15, </w:t>
      </w:r>
      <w:r w:rsidRPr="00F16EAF">
        <w:t>cat. no. 7503.0, Australian</w:t>
      </w:r>
      <w:r w:rsidR="000A68C2" w:rsidRPr="00F16EAF">
        <w:t xml:space="preserve"> Bureau of Statistics, Canberra, available at</w:t>
      </w:r>
      <w:r w:rsidR="00D11599" w:rsidRPr="00F16EAF">
        <w:t xml:space="preserve"> </w:t>
      </w:r>
      <w:hyperlink r:id="rId33" w:history="1">
        <w:r w:rsidR="00D11599" w:rsidRPr="00F16EAF">
          <w:rPr>
            <w:rStyle w:val="Hyperlink"/>
          </w:rPr>
          <w:t>abs.gov.au/ausstats/abs@.nsf/mf/7503.0</w:t>
        </w:r>
      </w:hyperlink>
      <w:r w:rsidR="00D11599" w:rsidRPr="00F16EAF">
        <w:t>.</w:t>
      </w:r>
    </w:p>
    <w:p w:rsidR="0050586C" w:rsidRPr="00F16EAF" w:rsidRDefault="0050586C" w:rsidP="0050586C">
      <w:r w:rsidRPr="00F16EAF">
        <w:rPr>
          <w:rFonts w:eastAsia="Andale WT" w:cs="Andale WT"/>
        </w:rPr>
        <w:t xml:space="preserve">Beale, R, Fairbrother, J, Inglis, A &amp; Trebeck, D 2008, </w:t>
      </w:r>
      <w:r w:rsidRPr="00F16EAF">
        <w:rPr>
          <w:rFonts w:eastAsia="Andale WT" w:cs="Andale WT"/>
          <w:i/>
        </w:rPr>
        <w:t>One biosecurity: a working partnership. The independent review of Australia’s quarantine and biosecurity arrangements</w:t>
      </w:r>
      <w:r w:rsidRPr="00F16EAF">
        <w:rPr>
          <w:rFonts w:eastAsia="Andale WT" w:cs="Andale WT"/>
        </w:rPr>
        <w:t xml:space="preserve">, </w:t>
      </w:r>
      <w:r w:rsidRPr="00F16EAF">
        <w:t xml:space="preserve">Quarantine and Biosecurity Review Panel </w:t>
      </w:r>
      <w:r w:rsidRPr="00F16EAF">
        <w:rPr>
          <w:rFonts w:eastAsia="Andale WT" w:cs="Andale WT"/>
        </w:rPr>
        <w:t xml:space="preserve">report to the Australian Government, Canberra, </w:t>
      </w:r>
      <w:r w:rsidRPr="00F16EAF">
        <w:t xml:space="preserve">available at </w:t>
      </w:r>
      <w:hyperlink r:id="rId34" w:history="1">
        <w:r w:rsidRPr="00F16EAF">
          <w:rPr>
            <w:rStyle w:val="Hyperlink"/>
          </w:rPr>
          <w:t>agriculture.gov.au/about/publica</w:t>
        </w:r>
        <w:bookmarkStart w:id="45" w:name="_Hlt418239829"/>
        <w:r w:rsidRPr="00F16EAF">
          <w:rPr>
            <w:rStyle w:val="Hyperlink"/>
          </w:rPr>
          <w:t>t</w:t>
        </w:r>
        <w:bookmarkEnd w:id="45"/>
        <w:r w:rsidRPr="00F16EAF">
          <w:rPr>
            <w:rStyle w:val="Hyperlink"/>
          </w:rPr>
          <w:t>ions/quarantine-biosecurity-report-and-preliminary-response</w:t>
        </w:r>
      </w:hyperlink>
      <w:r w:rsidRPr="00F16EAF">
        <w:t>.</w:t>
      </w:r>
    </w:p>
    <w:p w:rsidR="00331804" w:rsidRPr="007B6473" w:rsidRDefault="00331804" w:rsidP="00331804">
      <w:pPr>
        <w:rPr>
          <w:rFonts w:eastAsia="Andale WT" w:cs="Andale WT"/>
        </w:rPr>
      </w:pPr>
      <w:r w:rsidRPr="00F16EAF">
        <w:rPr>
          <w:rFonts w:eastAsia="Andale WT" w:cs="Andale WT"/>
        </w:rPr>
        <w:t xml:space="preserve">Brooks, R, Glanville, R &amp; Kompas, T 2015, </w:t>
      </w:r>
      <w:r w:rsidRPr="00F16EAF">
        <w:rPr>
          <w:rFonts w:eastAsia="Andale WT" w:cs="Andale WT"/>
          <w:i/>
        </w:rPr>
        <w:t>Queensland biosecurity capability review</w:t>
      </w:r>
      <w:r w:rsidRPr="00F16EAF">
        <w:rPr>
          <w:rFonts w:eastAsia="Andale WT" w:cs="Andale WT"/>
        </w:rPr>
        <w:t xml:space="preserve">, final report to the Queensland Government, Brisbane, available at </w:t>
      </w:r>
      <w:hyperlink r:id="rId35" w:history="1">
        <w:r w:rsidRPr="00F16EAF">
          <w:rPr>
            <w:rStyle w:val="Hyperlink"/>
            <w:rFonts w:eastAsia="Andale WT" w:cs="Andale WT"/>
          </w:rPr>
          <w:t>parliament.qld.gov.au/apps/TabledPapers</w:t>
        </w:r>
      </w:hyperlink>
      <w:r w:rsidRPr="007B6473">
        <w:rPr>
          <w:rFonts w:eastAsia="Andale WT" w:cs="Andale WT"/>
        </w:rPr>
        <w:t>.</w:t>
      </w:r>
    </w:p>
    <w:p w:rsidR="00AE1BB5" w:rsidRPr="00F16EAF" w:rsidRDefault="00AE1BB5" w:rsidP="003B08C1">
      <w:pPr>
        <w:rPr>
          <w:rFonts w:eastAsia="Andale WT" w:cs="Andale WT"/>
        </w:rPr>
      </w:pPr>
      <w:r w:rsidRPr="00F16EAF">
        <w:rPr>
          <w:rFonts w:eastAsia="Andale WT" w:cs="Andale WT"/>
        </w:rPr>
        <w:t xml:space="preserve">Commonwealth of Australia 2015, </w:t>
      </w:r>
      <w:r w:rsidRPr="00F16EAF">
        <w:rPr>
          <w:rFonts w:eastAsia="Andale WT" w:cs="Andale WT"/>
          <w:i/>
        </w:rPr>
        <w:t>Environmental biosecurity</w:t>
      </w:r>
      <w:r w:rsidRPr="00F16EAF">
        <w:rPr>
          <w:rFonts w:eastAsia="Andale WT" w:cs="Andale WT"/>
        </w:rPr>
        <w:t>, report of the Environment and Communications References Committee, Parliament House, Canberra.</w:t>
      </w:r>
    </w:p>
    <w:p w:rsidR="00A3159B" w:rsidRPr="00F16EAF" w:rsidRDefault="003B08C1" w:rsidP="003B08C1">
      <w:pPr>
        <w:rPr>
          <w:rFonts w:eastAsia="Andale WT" w:cs="Andale WT"/>
        </w:rPr>
      </w:pPr>
      <w:r w:rsidRPr="00F16EAF">
        <w:rPr>
          <w:rFonts w:eastAsia="Andale WT" w:cs="Andale WT"/>
        </w:rPr>
        <w:t xml:space="preserve">CSIRO 2014, </w:t>
      </w:r>
      <w:r w:rsidR="0000471A" w:rsidRPr="00F16EAF">
        <w:rPr>
          <w:rFonts w:eastAsia="Andale WT" w:cs="Andale WT"/>
          <w:i/>
        </w:rPr>
        <w:t>Australia’s biosecurity f</w:t>
      </w:r>
      <w:r w:rsidRPr="00F16EAF">
        <w:rPr>
          <w:rFonts w:eastAsia="Andale WT" w:cs="Andale WT"/>
          <w:i/>
        </w:rPr>
        <w:t>uture: preparing for future biological challenges</w:t>
      </w:r>
      <w:r w:rsidRPr="00F16EAF">
        <w:rPr>
          <w:rFonts w:eastAsia="Andale WT" w:cs="Andale WT"/>
        </w:rPr>
        <w:t xml:space="preserve">, Commonwealth Scientific and Industrial </w:t>
      </w:r>
      <w:r w:rsidR="007245E0" w:rsidRPr="00F16EAF">
        <w:rPr>
          <w:rFonts w:eastAsia="Andale WT" w:cs="Andale WT"/>
        </w:rPr>
        <w:t>Research Organisation, Canberra</w:t>
      </w:r>
      <w:r w:rsidR="00054E5E" w:rsidRPr="00F16EAF">
        <w:rPr>
          <w:rFonts w:eastAsia="Andale WT" w:cs="Andale WT"/>
        </w:rPr>
        <w:t>.</w:t>
      </w:r>
    </w:p>
    <w:p w:rsidR="0012730B" w:rsidRPr="00F16EAF" w:rsidRDefault="008F427A" w:rsidP="00647EAC">
      <w:r w:rsidRPr="007B6473">
        <w:t>Hafi, A, Addai</w:t>
      </w:r>
      <w:r w:rsidR="00821988" w:rsidRPr="007B6473">
        <w:t xml:space="preserve">, D, Zhang, K &amp; Gray, EM 2015, </w:t>
      </w:r>
      <w:r w:rsidRPr="007B6473">
        <w:rPr>
          <w:i/>
        </w:rPr>
        <w:t>The value of Australia’s biosecurity system at the farm gate: an analysis of av</w:t>
      </w:r>
      <w:r w:rsidR="00821988" w:rsidRPr="007B6473">
        <w:rPr>
          <w:i/>
        </w:rPr>
        <w:t>oided trade and on-farm impacts</w:t>
      </w:r>
      <w:r w:rsidR="00821988" w:rsidRPr="007B6473">
        <w:t>,</w:t>
      </w:r>
      <w:r w:rsidR="00D6741B" w:rsidRPr="007B6473">
        <w:t xml:space="preserve"> ABARES r</w:t>
      </w:r>
      <w:r w:rsidRPr="007B6473">
        <w:t xml:space="preserve">esearch </w:t>
      </w:r>
      <w:r w:rsidR="00D6741B" w:rsidRPr="007B6473">
        <w:t>r</w:t>
      </w:r>
      <w:r w:rsidRPr="007B6473">
        <w:t>eport 15.2, Department of Agriculture,</w:t>
      </w:r>
      <w:r w:rsidR="007245E0" w:rsidRPr="007B6473">
        <w:t xml:space="preserve"> Canberra</w:t>
      </w:r>
      <w:r w:rsidR="0000471A" w:rsidRPr="007B6473">
        <w:t>.</w:t>
      </w:r>
    </w:p>
    <w:p w:rsidR="006F07EB" w:rsidRPr="00F16EAF" w:rsidRDefault="006F07EB" w:rsidP="003B08C1">
      <w:pPr>
        <w:rPr>
          <w:rFonts w:eastAsia="Andale WT" w:cs="Andale WT"/>
        </w:rPr>
      </w:pPr>
      <w:r w:rsidRPr="00F16EAF">
        <w:rPr>
          <w:rFonts w:eastAsia="Andale WT" w:cs="Andale WT"/>
        </w:rPr>
        <w:t xml:space="preserve">Nairn, M.E., Allen, P.G., Inglis, A.R. &amp; Tanner, C 1996, </w:t>
      </w:r>
      <w:r w:rsidRPr="00F16EAF">
        <w:rPr>
          <w:rFonts w:eastAsia="Andale WT" w:cs="Andale WT"/>
          <w:i/>
        </w:rPr>
        <w:t>Australian Quarantine: a shared responsibility</w:t>
      </w:r>
      <w:r w:rsidR="00E13A10" w:rsidRPr="00F16EAF">
        <w:rPr>
          <w:rFonts w:eastAsia="Andale WT" w:cs="Andale WT"/>
        </w:rPr>
        <w:t>,</w:t>
      </w:r>
      <w:r w:rsidRPr="00F16EAF">
        <w:rPr>
          <w:rFonts w:eastAsia="Andale WT" w:cs="Andale WT"/>
        </w:rPr>
        <w:t xml:space="preserve"> Department of Primary I</w:t>
      </w:r>
      <w:r w:rsidR="00D6741B" w:rsidRPr="00F16EAF">
        <w:rPr>
          <w:rFonts w:eastAsia="Andale WT" w:cs="Andale WT"/>
        </w:rPr>
        <w:t xml:space="preserve">ndustries and Energy, Canberra, available at </w:t>
      </w:r>
      <w:hyperlink r:id="rId36" w:history="1">
        <w:r w:rsidR="00801862" w:rsidRPr="00F16EAF">
          <w:rPr>
            <w:rStyle w:val="Hyperlink"/>
          </w:rPr>
          <w:t>agriculture.gov.au/biosecurity/australia/reports-pubs/nairn</w:t>
        </w:r>
      </w:hyperlink>
      <w:r w:rsidR="00801862" w:rsidRPr="00F16EAF">
        <w:t>.</w:t>
      </w:r>
    </w:p>
    <w:p w:rsidR="003B08C1" w:rsidRPr="00F16EAF" w:rsidRDefault="00480DEE" w:rsidP="003B08C1">
      <w:pPr>
        <w:rPr>
          <w:rFonts w:eastAsia="Andale WT" w:cs="Andale WT"/>
        </w:rPr>
      </w:pPr>
      <w:r w:rsidRPr="00F16EAF">
        <w:rPr>
          <w:rFonts w:eastAsia="Andale WT" w:cs="Andale WT"/>
        </w:rPr>
        <w:t xml:space="preserve">VAGO 2015, </w:t>
      </w:r>
      <w:r w:rsidRPr="00F16EAF">
        <w:rPr>
          <w:rFonts w:eastAsia="Andale WT" w:cs="Andale WT"/>
          <w:i/>
        </w:rPr>
        <w:t xml:space="preserve">Biosecurity: livestock, </w:t>
      </w:r>
      <w:r w:rsidRPr="00F16EAF">
        <w:rPr>
          <w:rFonts w:eastAsia="Andale WT" w:cs="Andale WT"/>
        </w:rPr>
        <w:t xml:space="preserve">Victorian Auditor-General’s Office, Melbourne, available at </w:t>
      </w:r>
      <w:hyperlink r:id="rId37" w:history="1">
        <w:r w:rsidRPr="00F16EAF">
          <w:rPr>
            <w:rStyle w:val="Hyperlink"/>
            <w:rFonts w:eastAsia="Andale WT" w:cs="Andale WT"/>
          </w:rPr>
          <w:t>audit.vic.gov.au/publications/20150819-Biosecurity</w:t>
        </w:r>
      </w:hyperlink>
      <w:r w:rsidRPr="00F16EAF">
        <w:rPr>
          <w:rFonts w:eastAsia="Andale WT" w:cs="Andale WT"/>
        </w:rPr>
        <w:t>.</w:t>
      </w:r>
    </w:p>
    <w:sectPr w:rsidR="003B08C1" w:rsidRPr="00F16EAF" w:rsidSect="007212D3">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4D5" w:rsidRDefault="00AF34D5" w:rsidP="00267841">
      <w:r>
        <w:separator/>
      </w:r>
    </w:p>
    <w:p w:rsidR="00AF34D5" w:rsidRDefault="00AF34D5"/>
    <w:p w:rsidR="00AF34D5" w:rsidRDefault="00AF34D5"/>
  </w:endnote>
  <w:endnote w:type="continuationSeparator" w:id="0">
    <w:p w:rsidR="00AF34D5" w:rsidRDefault="00AF34D5" w:rsidP="00267841">
      <w:r>
        <w:continuationSeparator/>
      </w:r>
    </w:p>
    <w:p w:rsidR="00AF34D5" w:rsidRDefault="00AF34D5"/>
    <w:p w:rsidR="00AF34D5" w:rsidRDefault="00AF34D5"/>
  </w:endnote>
  <w:endnote w:type="continuationNotice" w:id="1">
    <w:p w:rsidR="00AF34D5" w:rsidRPr="00696C70" w:rsidRDefault="00AF34D5" w:rsidP="00267841">
      <w:pPr>
        <w:pStyle w:val="Footer"/>
      </w:pPr>
    </w:p>
    <w:p w:rsidR="00AF34D5" w:rsidRDefault="00AF34D5"/>
    <w:p w:rsidR="00AF34D5" w:rsidRDefault="00AF3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ndale WT">
    <w:charset w:val="80"/>
    <w:family w:val="swiss"/>
    <w:pitch w:val="variable"/>
    <w:sig w:usb0="8300AAEF" w:usb1="E90F79FF" w:usb2="00000018" w:usb3="00000000" w:csb0="001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866112"/>
      <w:docPartObj>
        <w:docPartGallery w:val="Page Numbers (Bottom of Page)"/>
        <w:docPartUnique/>
      </w:docPartObj>
    </w:sdtPr>
    <w:sdtEndPr>
      <w:rPr>
        <w:noProof/>
      </w:rPr>
    </w:sdtEndPr>
    <w:sdtContent>
      <w:p w:rsidR="00AF34D5" w:rsidRDefault="00AF34D5">
        <w:pPr>
          <w:pStyle w:val="Footer"/>
        </w:pPr>
        <w:r>
          <w:fldChar w:fldCharType="begin"/>
        </w:r>
        <w:r>
          <w:instrText xml:space="preserve"> PAGE   \* MERGEFORMAT </w:instrText>
        </w:r>
        <w:r>
          <w:fldChar w:fldCharType="separate"/>
        </w:r>
        <w:r w:rsidR="002F3AAF">
          <w:rPr>
            <w:noProof/>
          </w:rPr>
          <w:t>19</w:t>
        </w:r>
        <w:r>
          <w:rPr>
            <w:noProof/>
          </w:rPr>
          <w:fldChar w:fldCharType="end"/>
        </w:r>
      </w:p>
    </w:sdtContent>
  </w:sdt>
  <w:p w:rsidR="00AF34D5" w:rsidRDefault="00AF3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4D5" w:rsidRDefault="00AF34D5" w:rsidP="00267841">
      <w:r>
        <w:separator/>
      </w:r>
    </w:p>
    <w:p w:rsidR="00AF34D5" w:rsidRDefault="00AF34D5"/>
    <w:p w:rsidR="00AF34D5" w:rsidRDefault="00AF34D5"/>
  </w:footnote>
  <w:footnote w:type="continuationSeparator" w:id="0">
    <w:p w:rsidR="00AF34D5" w:rsidRDefault="00AF34D5" w:rsidP="00267841">
      <w:r>
        <w:continuationSeparator/>
      </w:r>
    </w:p>
    <w:p w:rsidR="00AF34D5" w:rsidRDefault="00AF34D5"/>
    <w:p w:rsidR="00AF34D5" w:rsidRDefault="00AF34D5"/>
  </w:footnote>
  <w:footnote w:type="continuationNotice" w:id="1">
    <w:p w:rsidR="00AF34D5" w:rsidRPr="00310C6A" w:rsidRDefault="00AF34D5" w:rsidP="00267841">
      <w:pPr>
        <w:pStyle w:val="Footer"/>
      </w:pPr>
    </w:p>
    <w:p w:rsidR="00AF34D5" w:rsidRDefault="00AF34D5"/>
    <w:p w:rsidR="00AF34D5" w:rsidRDefault="00AF34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4D5" w:rsidRDefault="00AF34D5" w:rsidP="00267841">
    <w:pPr>
      <w:pStyle w:val="Header"/>
    </w:pPr>
    <w:r>
      <w:rPr>
        <w:noProof/>
        <w:lang w:eastAsia="en-AU"/>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960235" cy="1159510"/>
              <wp:effectExtent l="0" t="2209800" r="0" b="20694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60235" cy="11595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F34D5" w:rsidRDefault="00AF34D5" w:rsidP="00707AE5">
                          <w:pPr>
                            <w:pStyle w:val="NormalWeb"/>
                            <w:spacing w:after="0"/>
                            <w:jc w:val="center"/>
                            <w:rPr>
                              <w:sz w:val="24"/>
                              <w:szCs w:val="24"/>
                            </w:rPr>
                          </w:pPr>
                          <w:r>
                            <w:rPr>
                              <w:rFonts w:ascii="Cambria" w:hAnsi="Cambria"/>
                              <w:color w:val="808080"/>
                              <w:sz w:val="2"/>
                              <w:szCs w:val="2"/>
                              <w14:textFill>
                                <w14:solidFill>
                                  <w14:srgbClr w14:val="808080">
                                    <w14:alpha w14:val="50000"/>
                                  </w14:srgbClr>
                                </w14:solidFill>
                              </w14:textFill>
                            </w:rPr>
                            <w:t>EXAMPLE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0;margin-top:0;width:548.05pt;height:91.3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" o:allowincell="f" filled="f" stroked="f">
              <v:stroke joinstyle="round"/>
              <o:lock v:ext="edit" shapetype="t"/>
              <v:textbox style="mso-fit-shape-to-text:t">
                <w:txbxContent>
                  <w:p w:rsidR="00AF34D5" w:rsidRDefault="00AF34D5" w:rsidP="00707AE5">
                    <w:pPr>
                      <w:pStyle w:val="NormalWeb"/>
                      <w:spacing w:after="0"/>
                      <w:jc w:val="center"/>
                      <w:rPr>
                        <w:sz w:val="24"/>
                        <w:szCs w:val="24"/>
                      </w:rPr>
                    </w:pPr>
                    <w:r>
                      <w:rPr>
                        <w:rFonts w:ascii="Cambria" w:hAnsi="Cambria"/>
                        <w:color w:val="808080"/>
                        <w:sz w:val="2"/>
                        <w:szCs w:val="2"/>
                        <w14:textFill>
                          <w14:solidFill>
                            <w14:srgbClr w14:val="808080">
                              <w14:alpha w14:val="50000"/>
                            </w14:srgbClr>
                          </w14:solidFill>
                        </w14:textFill>
                      </w:rPr>
                      <w:t>EXAMPLE ONLY</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E2BCD528"/>
    <w:lvl w:ilvl="0">
      <w:start w:val="1"/>
      <w:numFmt w:val="decimal"/>
      <w:lvlText w:val="%1."/>
      <w:lvlJc w:val="left"/>
      <w:pPr>
        <w:tabs>
          <w:tab w:val="num" w:pos="1209"/>
        </w:tabs>
        <w:ind w:left="1209" w:hanging="360"/>
      </w:p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2D4259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49211DD"/>
    <w:multiLevelType w:val="hybridMultilevel"/>
    <w:tmpl w:val="2ABCE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5E2F35"/>
    <w:multiLevelType w:val="multilevel"/>
    <w:tmpl w:val="4182A4F0"/>
    <w:numStyleLink w:val="Numberlist"/>
  </w:abstractNum>
  <w:abstractNum w:abstractNumId="5" w15:restartNumberingAfterBreak="0">
    <w:nsid w:val="107929FB"/>
    <w:multiLevelType w:val="hybridMultilevel"/>
    <w:tmpl w:val="997CB3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264E14"/>
    <w:multiLevelType w:val="multilevel"/>
    <w:tmpl w:val="197C0294"/>
    <w:numStyleLink w:val="Headinglist"/>
  </w:abstractNum>
  <w:abstractNum w:abstractNumId="8" w15:restartNumberingAfterBreak="0">
    <w:nsid w:val="1F9F5F09"/>
    <w:multiLevelType w:val="hybridMultilevel"/>
    <w:tmpl w:val="406493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330E3A"/>
    <w:multiLevelType w:val="hybridMultilevel"/>
    <w:tmpl w:val="D47AD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E7453BD"/>
    <w:multiLevelType w:val="hybridMultilevel"/>
    <w:tmpl w:val="909E813C"/>
    <w:lvl w:ilvl="0" w:tplc="0C090001">
      <w:start w:val="1"/>
      <w:numFmt w:val="bullet"/>
      <w:lvlText w:val=""/>
      <w:lvlJc w:val="left"/>
      <w:pPr>
        <w:ind w:left="1483" w:hanging="360"/>
      </w:pPr>
      <w:rPr>
        <w:rFonts w:ascii="Symbol" w:hAnsi="Symbol" w:hint="default"/>
      </w:rPr>
    </w:lvl>
    <w:lvl w:ilvl="1" w:tplc="0C090003" w:tentative="1">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2923" w:hanging="360"/>
      </w:pPr>
      <w:rPr>
        <w:rFonts w:ascii="Wingdings" w:hAnsi="Wingdings" w:hint="default"/>
      </w:rPr>
    </w:lvl>
    <w:lvl w:ilvl="3" w:tplc="0C090001" w:tentative="1">
      <w:start w:val="1"/>
      <w:numFmt w:val="bullet"/>
      <w:lvlText w:val=""/>
      <w:lvlJc w:val="left"/>
      <w:pPr>
        <w:ind w:left="3643" w:hanging="360"/>
      </w:pPr>
      <w:rPr>
        <w:rFonts w:ascii="Symbol" w:hAnsi="Symbol" w:hint="default"/>
      </w:rPr>
    </w:lvl>
    <w:lvl w:ilvl="4" w:tplc="0C090003" w:tentative="1">
      <w:start w:val="1"/>
      <w:numFmt w:val="bullet"/>
      <w:lvlText w:val="o"/>
      <w:lvlJc w:val="left"/>
      <w:pPr>
        <w:ind w:left="4363" w:hanging="360"/>
      </w:pPr>
      <w:rPr>
        <w:rFonts w:ascii="Courier New" w:hAnsi="Courier New" w:cs="Courier New" w:hint="default"/>
      </w:rPr>
    </w:lvl>
    <w:lvl w:ilvl="5" w:tplc="0C090005" w:tentative="1">
      <w:start w:val="1"/>
      <w:numFmt w:val="bullet"/>
      <w:lvlText w:val=""/>
      <w:lvlJc w:val="left"/>
      <w:pPr>
        <w:ind w:left="5083" w:hanging="360"/>
      </w:pPr>
      <w:rPr>
        <w:rFonts w:ascii="Wingdings" w:hAnsi="Wingdings" w:hint="default"/>
      </w:rPr>
    </w:lvl>
    <w:lvl w:ilvl="6" w:tplc="0C090001" w:tentative="1">
      <w:start w:val="1"/>
      <w:numFmt w:val="bullet"/>
      <w:lvlText w:val=""/>
      <w:lvlJc w:val="left"/>
      <w:pPr>
        <w:ind w:left="5803" w:hanging="360"/>
      </w:pPr>
      <w:rPr>
        <w:rFonts w:ascii="Symbol" w:hAnsi="Symbol" w:hint="default"/>
      </w:rPr>
    </w:lvl>
    <w:lvl w:ilvl="7" w:tplc="0C090003" w:tentative="1">
      <w:start w:val="1"/>
      <w:numFmt w:val="bullet"/>
      <w:lvlText w:val="o"/>
      <w:lvlJc w:val="left"/>
      <w:pPr>
        <w:ind w:left="6523" w:hanging="360"/>
      </w:pPr>
      <w:rPr>
        <w:rFonts w:ascii="Courier New" w:hAnsi="Courier New" w:cs="Courier New" w:hint="default"/>
      </w:rPr>
    </w:lvl>
    <w:lvl w:ilvl="8" w:tplc="0C090005" w:tentative="1">
      <w:start w:val="1"/>
      <w:numFmt w:val="bullet"/>
      <w:lvlText w:val=""/>
      <w:lvlJc w:val="left"/>
      <w:pPr>
        <w:ind w:left="7243" w:hanging="360"/>
      </w:pPr>
      <w:rPr>
        <w:rFonts w:ascii="Wingdings" w:hAnsi="Wingdings" w:hint="default"/>
      </w:rPr>
    </w:lvl>
  </w:abstractNum>
  <w:abstractNum w:abstractNumId="12" w15:restartNumberingAfterBreak="0">
    <w:nsid w:val="323421E3"/>
    <w:multiLevelType w:val="hybridMultilevel"/>
    <w:tmpl w:val="57C23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A031FD"/>
    <w:multiLevelType w:val="hybridMultilevel"/>
    <w:tmpl w:val="CB8EA7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2F50F6"/>
    <w:multiLevelType w:val="hybridMultilevel"/>
    <w:tmpl w:val="801AD908"/>
    <w:lvl w:ilvl="0" w:tplc="97B206F8">
      <w:start w:val="1"/>
      <w:numFmt w:val="bullet"/>
      <w:lvlText w:val=""/>
      <w:lvlJc w:val="left"/>
      <w:pPr>
        <w:ind w:left="720" w:hanging="360"/>
      </w:pPr>
      <w:rPr>
        <w:rFonts w:ascii="Symbol" w:hAnsi="Symbol" w:hint="default"/>
      </w:rPr>
    </w:lvl>
    <w:lvl w:ilvl="1" w:tplc="D5781D6C" w:tentative="1">
      <w:start w:val="1"/>
      <w:numFmt w:val="bullet"/>
      <w:lvlText w:val="o"/>
      <w:lvlJc w:val="left"/>
      <w:pPr>
        <w:ind w:left="1440" w:hanging="360"/>
      </w:pPr>
      <w:rPr>
        <w:rFonts w:ascii="Courier New" w:hAnsi="Courier New" w:cs="Courier New" w:hint="default"/>
      </w:rPr>
    </w:lvl>
    <w:lvl w:ilvl="2" w:tplc="26DC463E" w:tentative="1">
      <w:start w:val="1"/>
      <w:numFmt w:val="bullet"/>
      <w:lvlText w:val=""/>
      <w:lvlJc w:val="left"/>
      <w:pPr>
        <w:ind w:left="2160" w:hanging="360"/>
      </w:pPr>
      <w:rPr>
        <w:rFonts w:ascii="Wingdings" w:hAnsi="Wingdings" w:hint="default"/>
      </w:rPr>
    </w:lvl>
    <w:lvl w:ilvl="3" w:tplc="1DF80D0C" w:tentative="1">
      <w:start w:val="1"/>
      <w:numFmt w:val="bullet"/>
      <w:lvlText w:val=""/>
      <w:lvlJc w:val="left"/>
      <w:pPr>
        <w:ind w:left="2880" w:hanging="360"/>
      </w:pPr>
      <w:rPr>
        <w:rFonts w:ascii="Symbol" w:hAnsi="Symbol" w:hint="default"/>
      </w:rPr>
    </w:lvl>
    <w:lvl w:ilvl="4" w:tplc="D088815C" w:tentative="1">
      <w:start w:val="1"/>
      <w:numFmt w:val="bullet"/>
      <w:lvlText w:val="o"/>
      <w:lvlJc w:val="left"/>
      <w:pPr>
        <w:ind w:left="3600" w:hanging="360"/>
      </w:pPr>
      <w:rPr>
        <w:rFonts w:ascii="Courier New" w:hAnsi="Courier New" w:cs="Courier New" w:hint="default"/>
      </w:rPr>
    </w:lvl>
    <w:lvl w:ilvl="5" w:tplc="42B810F2" w:tentative="1">
      <w:start w:val="1"/>
      <w:numFmt w:val="bullet"/>
      <w:lvlText w:val=""/>
      <w:lvlJc w:val="left"/>
      <w:pPr>
        <w:ind w:left="4320" w:hanging="360"/>
      </w:pPr>
      <w:rPr>
        <w:rFonts w:ascii="Wingdings" w:hAnsi="Wingdings" w:hint="default"/>
      </w:rPr>
    </w:lvl>
    <w:lvl w:ilvl="6" w:tplc="79124498" w:tentative="1">
      <w:start w:val="1"/>
      <w:numFmt w:val="bullet"/>
      <w:lvlText w:val=""/>
      <w:lvlJc w:val="left"/>
      <w:pPr>
        <w:ind w:left="5040" w:hanging="360"/>
      </w:pPr>
      <w:rPr>
        <w:rFonts w:ascii="Symbol" w:hAnsi="Symbol" w:hint="default"/>
      </w:rPr>
    </w:lvl>
    <w:lvl w:ilvl="7" w:tplc="F4982C08" w:tentative="1">
      <w:start w:val="1"/>
      <w:numFmt w:val="bullet"/>
      <w:lvlText w:val="o"/>
      <w:lvlJc w:val="left"/>
      <w:pPr>
        <w:ind w:left="5760" w:hanging="360"/>
      </w:pPr>
      <w:rPr>
        <w:rFonts w:ascii="Courier New" w:hAnsi="Courier New" w:cs="Courier New" w:hint="default"/>
      </w:rPr>
    </w:lvl>
    <w:lvl w:ilvl="8" w:tplc="ADA2CD74" w:tentative="1">
      <w:start w:val="1"/>
      <w:numFmt w:val="bullet"/>
      <w:lvlText w:val=""/>
      <w:lvlJc w:val="left"/>
      <w:pPr>
        <w:ind w:left="6480" w:hanging="360"/>
      </w:pPr>
      <w:rPr>
        <w:rFonts w:ascii="Wingdings" w:hAnsi="Wingdings" w:hint="default"/>
      </w:rPr>
    </w:lvl>
  </w:abstractNum>
  <w:abstractNum w:abstractNumId="15" w15:restartNumberingAfterBreak="0">
    <w:nsid w:val="3B5C66F2"/>
    <w:multiLevelType w:val="hybridMultilevel"/>
    <w:tmpl w:val="389AD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287A1A"/>
    <w:multiLevelType w:val="hybridMultilevel"/>
    <w:tmpl w:val="F8AC8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291D0D"/>
    <w:multiLevelType w:val="hybridMultilevel"/>
    <w:tmpl w:val="7F6A77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562F04"/>
    <w:multiLevelType w:val="hybridMultilevel"/>
    <w:tmpl w:val="F39E8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2C7C8B"/>
    <w:multiLevelType w:val="hybridMultilevel"/>
    <w:tmpl w:val="88F49990"/>
    <w:lvl w:ilvl="0" w:tplc="0C090011">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4B1820"/>
    <w:multiLevelType w:val="multilevel"/>
    <w:tmpl w:val="89260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5CC23989"/>
    <w:multiLevelType w:val="hybridMultilevel"/>
    <w:tmpl w:val="1AF213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900FB6"/>
    <w:multiLevelType w:val="hybridMultilevel"/>
    <w:tmpl w:val="C0FC2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8F592B"/>
    <w:multiLevelType w:val="hybridMultilevel"/>
    <w:tmpl w:val="3120EC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611F05"/>
    <w:multiLevelType w:val="hybridMultilevel"/>
    <w:tmpl w:val="598E1B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61054B"/>
    <w:multiLevelType w:val="hybridMultilevel"/>
    <w:tmpl w:val="621889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lvlOverride w:ilvl="0">
      <w:startOverride w:val="1"/>
    </w:lvlOverride>
  </w:num>
  <w:num w:numId="3">
    <w:abstractNumId w:val="17"/>
  </w:num>
  <w:num w:numId="4">
    <w:abstractNumId w:val="6"/>
  </w:num>
  <w:num w:numId="5">
    <w:abstractNumId w:val="22"/>
  </w:num>
  <w:num w:numId="6">
    <w:abstractNumId w:val="23"/>
  </w:num>
  <w:num w:numId="7">
    <w:abstractNumId w:val="4"/>
  </w:num>
  <w:num w:numId="8">
    <w:abstractNumId w:val="10"/>
  </w:num>
  <w:num w:numId="9">
    <w:abstractNumId w:val="7"/>
  </w:num>
  <w:num w:numId="10">
    <w:abstractNumId w:val="20"/>
  </w:num>
  <w:num w:numId="11">
    <w:abstractNumId w:val="16"/>
  </w:num>
  <w:num w:numId="12">
    <w:abstractNumId w:val="11"/>
  </w:num>
  <w:num w:numId="13">
    <w:abstractNumId w:val="14"/>
  </w:num>
  <w:num w:numId="14">
    <w:abstractNumId w:val="9"/>
  </w:num>
  <w:num w:numId="15">
    <w:abstractNumId w:val="12"/>
  </w:num>
  <w:num w:numId="16">
    <w:abstractNumId w:val="0"/>
  </w:num>
  <w:num w:numId="17">
    <w:abstractNumId w:val="13"/>
  </w:num>
  <w:num w:numId="18">
    <w:abstractNumId w:val="18"/>
  </w:num>
  <w:num w:numId="19">
    <w:abstractNumId w:val="21"/>
  </w:num>
  <w:num w:numId="20">
    <w:abstractNumId w:val="26"/>
  </w:num>
  <w:num w:numId="21">
    <w:abstractNumId w:val="5"/>
  </w:num>
  <w:num w:numId="22">
    <w:abstractNumId w:val="3"/>
  </w:num>
  <w:num w:numId="23">
    <w:abstractNumId w:val="25"/>
  </w:num>
  <w:num w:numId="24">
    <w:abstractNumId w:val="19"/>
  </w:num>
  <w:num w:numId="25">
    <w:abstractNumId w:val="28"/>
  </w:num>
  <w:num w:numId="26">
    <w:abstractNumId w:val="27"/>
  </w:num>
  <w:num w:numId="27">
    <w:abstractNumId w:val="24"/>
  </w:num>
  <w:num w:numId="28">
    <w:abstractNumId w:val="15"/>
  </w:num>
  <w:num w:numId="29">
    <w:abstractNumId w:val="8"/>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isplayBackgroundShape/>
  <w:linkStyle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66"/>
    <w:rsid w:val="00000858"/>
    <w:rsid w:val="000008A6"/>
    <w:rsid w:val="00000C0A"/>
    <w:rsid w:val="00001B76"/>
    <w:rsid w:val="000020B5"/>
    <w:rsid w:val="000027C9"/>
    <w:rsid w:val="000036D1"/>
    <w:rsid w:val="000039FD"/>
    <w:rsid w:val="00004285"/>
    <w:rsid w:val="000045BE"/>
    <w:rsid w:val="0000471A"/>
    <w:rsid w:val="00004D8F"/>
    <w:rsid w:val="0000510A"/>
    <w:rsid w:val="000051FE"/>
    <w:rsid w:val="00005693"/>
    <w:rsid w:val="00005D37"/>
    <w:rsid w:val="00006FBD"/>
    <w:rsid w:val="00007588"/>
    <w:rsid w:val="00007B88"/>
    <w:rsid w:val="00007FD4"/>
    <w:rsid w:val="00010717"/>
    <w:rsid w:val="00011A8A"/>
    <w:rsid w:val="00011D47"/>
    <w:rsid w:val="00011DDD"/>
    <w:rsid w:val="000121BF"/>
    <w:rsid w:val="000125BB"/>
    <w:rsid w:val="000128C5"/>
    <w:rsid w:val="0001339C"/>
    <w:rsid w:val="000137F1"/>
    <w:rsid w:val="000142C6"/>
    <w:rsid w:val="0001460E"/>
    <w:rsid w:val="00014EF6"/>
    <w:rsid w:val="00014F20"/>
    <w:rsid w:val="0001504C"/>
    <w:rsid w:val="000150DB"/>
    <w:rsid w:val="000152F2"/>
    <w:rsid w:val="000153D7"/>
    <w:rsid w:val="000154F2"/>
    <w:rsid w:val="00015DE8"/>
    <w:rsid w:val="000165F4"/>
    <w:rsid w:val="0001668A"/>
    <w:rsid w:val="00016A0A"/>
    <w:rsid w:val="00020B9F"/>
    <w:rsid w:val="00020CBE"/>
    <w:rsid w:val="00020E2D"/>
    <w:rsid w:val="00021585"/>
    <w:rsid w:val="0002249F"/>
    <w:rsid w:val="0002273A"/>
    <w:rsid w:val="000232C5"/>
    <w:rsid w:val="00023C00"/>
    <w:rsid w:val="00024C31"/>
    <w:rsid w:val="00024C90"/>
    <w:rsid w:val="000257A6"/>
    <w:rsid w:val="00025BD7"/>
    <w:rsid w:val="00025C73"/>
    <w:rsid w:val="000263A1"/>
    <w:rsid w:val="0002655F"/>
    <w:rsid w:val="00026602"/>
    <w:rsid w:val="00026F45"/>
    <w:rsid w:val="00027D23"/>
    <w:rsid w:val="00030225"/>
    <w:rsid w:val="0003025A"/>
    <w:rsid w:val="000304DC"/>
    <w:rsid w:val="00030743"/>
    <w:rsid w:val="00030DBE"/>
    <w:rsid w:val="000318D6"/>
    <w:rsid w:val="00032D16"/>
    <w:rsid w:val="00033EE3"/>
    <w:rsid w:val="00033F55"/>
    <w:rsid w:val="00034415"/>
    <w:rsid w:val="00034582"/>
    <w:rsid w:val="00034CA1"/>
    <w:rsid w:val="0003507A"/>
    <w:rsid w:val="000353F7"/>
    <w:rsid w:val="000357D6"/>
    <w:rsid w:val="00036069"/>
    <w:rsid w:val="000362AA"/>
    <w:rsid w:val="00036ADF"/>
    <w:rsid w:val="00037065"/>
    <w:rsid w:val="00037D70"/>
    <w:rsid w:val="000409CF"/>
    <w:rsid w:val="00040F70"/>
    <w:rsid w:val="000413BD"/>
    <w:rsid w:val="0004163E"/>
    <w:rsid w:val="00041943"/>
    <w:rsid w:val="00041B91"/>
    <w:rsid w:val="00041C73"/>
    <w:rsid w:val="00041D7C"/>
    <w:rsid w:val="00041F84"/>
    <w:rsid w:val="00042DFD"/>
    <w:rsid w:val="0004353E"/>
    <w:rsid w:val="00043D8C"/>
    <w:rsid w:val="00044210"/>
    <w:rsid w:val="00044441"/>
    <w:rsid w:val="00044A45"/>
    <w:rsid w:val="00044B19"/>
    <w:rsid w:val="000451C7"/>
    <w:rsid w:val="00045C03"/>
    <w:rsid w:val="00045C0E"/>
    <w:rsid w:val="00045D83"/>
    <w:rsid w:val="00046640"/>
    <w:rsid w:val="000509C7"/>
    <w:rsid w:val="00050D60"/>
    <w:rsid w:val="00051268"/>
    <w:rsid w:val="000512E9"/>
    <w:rsid w:val="00051B31"/>
    <w:rsid w:val="00051E44"/>
    <w:rsid w:val="0005234D"/>
    <w:rsid w:val="00052573"/>
    <w:rsid w:val="00053577"/>
    <w:rsid w:val="00054153"/>
    <w:rsid w:val="00054E5E"/>
    <w:rsid w:val="00055010"/>
    <w:rsid w:val="000552AB"/>
    <w:rsid w:val="00055AD2"/>
    <w:rsid w:val="00055E1D"/>
    <w:rsid w:val="000564BC"/>
    <w:rsid w:val="00056540"/>
    <w:rsid w:val="0005693F"/>
    <w:rsid w:val="00056972"/>
    <w:rsid w:val="00057001"/>
    <w:rsid w:val="00057B90"/>
    <w:rsid w:val="00057C26"/>
    <w:rsid w:val="00057D25"/>
    <w:rsid w:val="00060AEA"/>
    <w:rsid w:val="0006118A"/>
    <w:rsid w:val="00062002"/>
    <w:rsid w:val="00062969"/>
    <w:rsid w:val="00063145"/>
    <w:rsid w:val="000633A8"/>
    <w:rsid w:val="00063B1A"/>
    <w:rsid w:val="00063F76"/>
    <w:rsid w:val="000652CA"/>
    <w:rsid w:val="000657DE"/>
    <w:rsid w:val="00066293"/>
    <w:rsid w:val="00066BCD"/>
    <w:rsid w:val="00067C92"/>
    <w:rsid w:val="00067D89"/>
    <w:rsid w:val="000700A1"/>
    <w:rsid w:val="00070D3D"/>
    <w:rsid w:val="00071292"/>
    <w:rsid w:val="000713FC"/>
    <w:rsid w:val="00071622"/>
    <w:rsid w:val="00072255"/>
    <w:rsid w:val="0007238F"/>
    <w:rsid w:val="00072BB5"/>
    <w:rsid w:val="00072DC9"/>
    <w:rsid w:val="00072F5D"/>
    <w:rsid w:val="00073001"/>
    <w:rsid w:val="00073076"/>
    <w:rsid w:val="00073C5D"/>
    <w:rsid w:val="00074098"/>
    <w:rsid w:val="0007466B"/>
    <w:rsid w:val="00074815"/>
    <w:rsid w:val="00074AB9"/>
    <w:rsid w:val="00074FA1"/>
    <w:rsid w:val="00075E46"/>
    <w:rsid w:val="00075F7A"/>
    <w:rsid w:val="0007619A"/>
    <w:rsid w:val="0007629A"/>
    <w:rsid w:val="000762B2"/>
    <w:rsid w:val="00076791"/>
    <w:rsid w:val="000768B4"/>
    <w:rsid w:val="00076F1E"/>
    <w:rsid w:val="00077C76"/>
    <w:rsid w:val="000803BA"/>
    <w:rsid w:val="00080931"/>
    <w:rsid w:val="00080BEB"/>
    <w:rsid w:val="0008128C"/>
    <w:rsid w:val="000812F7"/>
    <w:rsid w:val="0008131C"/>
    <w:rsid w:val="00082202"/>
    <w:rsid w:val="0008286D"/>
    <w:rsid w:val="00082B00"/>
    <w:rsid w:val="00082BFB"/>
    <w:rsid w:val="00083348"/>
    <w:rsid w:val="00083505"/>
    <w:rsid w:val="00083BBC"/>
    <w:rsid w:val="00083FAF"/>
    <w:rsid w:val="00083FCE"/>
    <w:rsid w:val="00084F22"/>
    <w:rsid w:val="00084FAB"/>
    <w:rsid w:val="000858ED"/>
    <w:rsid w:val="00085A2C"/>
    <w:rsid w:val="00085B8C"/>
    <w:rsid w:val="00085FC1"/>
    <w:rsid w:val="0008679E"/>
    <w:rsid w:val="00086969"/>
    <w:rsid w:val="00086E1C"/>
    <w:rsid w:val="00086FBD"/>
    <w:rsid w:val="0008702B"/>
    <w:rsid w:val="00087603"/>
    <w:rsid w:val="00087F29"/>
    <w:rsid w:val="000903BC"/>
    <w:rsid w:val="000904F9"/>
    <w:rsid w:val="000908B8"/>
    <w:rsid w:val="000917A0"/>
    <w:rsid w:val="00091E85"/>
    <w:rsid w:val="00092272"/>
    <w:rsid w:val="00092A4B"/>
    <w:rsid w:val="00092BC3"/>
    <w:rsid w:val="00092BD5"/>
    <w:rsid w:val="00092F0D"/>
    <w:rsid w:val="00093828"/>
    <w:rsid w:val="0009464A"/>
    <w:rsid w:val="000953C3"/>
    <w:rsid w:val="000953EC"/>
    <w:rsid w:val="00095F12"/>
    <w:rsid w:val="00095F13"/>
    <w:rsid w:val="00096A52"/>
    <w:rsid w:val="0009706C"/>
    <w:rsid w:val="0009714F"/>
    <w:rsid w:val="000971AE"/>
    <w:rsid w:val="0009725A"/>
    <w:rsid w:val="00097278"/>
    <w:rsid w:val="00097F1D"/>
    <w:rsid w:val="000A00FE"/>
    <w:rsid w:val="000A0288"/>
    <w:rsid w:val="000A0EFD"/>
    <w:rsid w:val="000A10E2"/>
    <w:rsid w:val="000A165C"/>
    <w:rsid w:val="000A17CE"/>
    <w:rsid w:val="000A1F76"/>
    <w:rsid w:val="000A2463"/>
    <w:rsid w:val="000A25FD"/>
    <w:rsid w:val="000A2A79"/>
    <w:rsid w:val="000A2DA7"/>
    <w:rsid w:val="000A3013"/>
    <w:rsid w:val="000A342F"/>
    <w:rsid w:val="000A4C2D"/>
    <w:rsid w:val="000A4F76"/>
    <w:rsid w:val="000A4FA1"/>
    <w:rsid w:val="000A5165"/>
    <w:rsid w:val="000A57BD"/>
    <w:rsid w:val="000A59DB"/>
    <w:rsid w:val="000A627D"/>
    <w:rsid w:val="000A6528"/>
    <w:rsid w:val="000A66A7"/>
    <w:rsid w:val="000A68C2"/>
    <w:rsid w:val="000A6A8B"/>
    <w:rsid w:val="000A6CE8"/>
    <w:rsid w:val="000A6E29"/>
    <w:rsid w:val="000A7062"/>
    <w:rsid w:val="000A72D6"/>
    <w:rsid w:val="000A76AD"/>
    <w:rsid w:val="000A7F8C"/>
    <w:rsid w:val="000B0517"/>
    <w:rsid w:val="000B06D4"/>
    <w:rsid w:val="000B2059"/>
    <w:rsid w:val="000B20DC"/>
    <w:rsid w:val="000B234A"/>
    <w:rsid w:val="000B252F"/>
    <w:rsid w:val="000B31BB"/>
    <w:rsid w:val="000B3423"/>
    <w:rsid w:val="000B3986"/>
    <w:rsid w:val="000B3B4D"/>
    <w:rsid w:val="000B4356"/>
    <w:rsid w:val="000B57B0"/>
    <w:rsid w:val="000B5859"/>
    <w:rsid w:val="000B5D1C"/>
    <w:rsid w:val="000B66AE"/>
    <w:rsid w:val="000B6B51"/>
    <w:rsid w:val="000B769A"/>
    <w:rsid w:val="000B79ED"/>
    <w:rsid w:val="000B7ABF"/>
    <w:rsid w:val="000C104E"/>
    <w:rsid w:val="000C1F61"/>
    <w:rsid w:val="000C2E2F"/>
    <w:rsid w:val="000C30BE"/>
    <w:rsid w:val="000C4903"/>
    <w:rsid w:val="000C4A92"/>
    <w:rsid w:val="000C4E77"/>
    <w:rsid w:val="000C4F8B"/>
    <w:rsid w:val="000C4F8F"/>
    <w:rsid w:val="000C5064"/>
    <w:rsid w:val="000C55B6"/>
    <w:rsid w:val="000C5672"/>
    <w:rsid w:val="000C6D11"/>
    <w:rsid w:val="000C6D47"/>
    <w:rsid w:val="000C77CB"/>
    <w:rsid w:val="000D0236"/>
    <w:rsid w:val="000D0447"/>
    <w:rsid w:val="000D063B"/>
    <w:rsid w:val="000D0A73"/>
    <w:rsid w:val="000D1305"/>
    <w:rsid w:val="000D1B32"/>
    <w:rsid w:val="000D2F04"/>
    <w:rsid w:val="000D33A2"/>
    <w:rsid w:val="000D4837"/>
    <w:rsid w:val="000D4B9C"/>
    <w:rsid w:val="000D51AA"/>
    <w:rsid w:val="000D53F0"/>
    <w:rsid w:val="000D54AA"/>
    <w:rsid w:val="000D5CBE"/>
    <w:rsid w:val="000D75C0"/>
    <w:rsid w:val="000D79F4"/>
    <w:rsid w:val="000D7A3B"/>
    <w:rsid w:val="000E04F1"/>
    <w:rsid w:val="000E04FE"/>
    <w:rsid w:val="000E1639"/>
    <w:rsid w:val="000E17E3"/>
    <w:rsid w:val="000E1B48"/>
    <w:rsid w:val="000E2148"/>
    <w:rsid w:val="000E2D89"/>
    <w:rsid w:val="000E2E1F"/>
    <w:rsid w:val="000E3068"/>
    <w:rsid w:val="000E3A1C"/>
    <w:rsid w:val="000E3DF1"/>
    <w:rsid w:val="000E411A"/>
    <w:rsid w:val="000E444C"/>
    <w:rsid w:val="000E4E40"/>
    <w:rsid w:val="000E5684"/>
    <w:rsid w:val="000E5D4C"/>
    <w:rsid w:val="000E655F"/>
    <w:rsid w:val="000E663C"/>
    <w:rsid w:val="000E717E"/>
    <w:rsid w:val="000E7BB2"/>
    <w:rsid w:val="000F02BC"/>
    <w:rsid w:val="000F036B"/>
    <w:rsid w:val="000F041C"/>
    <w:rsid w:val="000F061B"/>
    <w:rsid w:val="000F067A"/>
    <w:rsid w:val="000F28CF"/>
    <w:rsid w:val="000F2911"/>
    <w:rsid w:val="000F325A"/>
    <w:rsid w:val="000F4AC8"/>
    <w:rsid w:val="000F4E34"/>
    <w:rsid w:val="000F53E8"/>
    <w:rsid w:val="000F573F"/>
    <w:rsid w:val="000F57F2"/>
    <w:rsid w:val="000F61BF"/>
    <w:rsid w:val="000F62F0"/>
    <w:rsid w:val="000F6441"/>
    <w:rsid w:val="000F6B5F"/>
    <w:rsid w:val="000F719C"/>
    <w:rsid w:val="000F7395"/>
    <w:rsid w:val="001009DE"/>
    <w:rsid w:val="00101E21"/>
    <w:rsid w:val="00101E8B"/>
    <w:rsid w:val="001022BD"/>
    <w:rsid w:val="00102736"/>
    <w:rsid w:val="001029E3"/>
    <w:rsid w:val="00102B3E"/>
    <w:rsid w:val="00103037"/>
    <w:rsid w:val="00103291"/>
    <w:rsid w:val="00103312"/>
    <w:rsid w:val="00103957"/>
    <w:rsid w:val="00103B88"/>
    <w:rsid w:val="00104AFD"/>
    <w:rsid w:val="00104D27"/>
    <w:rsid w:val="0010519D"/>
    <w:rsid w:val="00105AC2"/>
    <w:rsid w:val="001069F0"/>
    <w:rsid w:val="00106A53"/>
    <w:rsid w:val="00106F10"/>
    <w:rsid w:val="00107171"/>
    <w:rsid w:val="00107854"/>
    <w:rsid w:val="0011051E"/>
    <w:rsid w:val="00110796"/>
    <w:rsid w:val="00110896"/>
    <w:rsid w:val="00111AF9"/>
    <w:rsid w:val="00112E22"/>
    <w:rsid w:val="001132CB"/>
    <w:rsid w:val="00113808"/>
    <w:rsid w:val="00113FD9"/>
    <w:rsid w:val="001146EF"/>
    <w:rsid w:val="00114AAB"/>
    <w:rsid w:val="001158E2"/>
    <w:rsid w:val="00115AEC"/>
    <w:rsid w:val="00115B03"/>
    <w:rsid w:val="00115E20"/>
    <w:rsid w:val="00115FB0"/>
    <w:rsid w:val="00116CED"/>
    <w:rsid w:val="00117545"/>
    <w:rsid w:val="00120DE4"/>
    <w:rsid w:val="00121944"/>
    <w:rsid w:val="00121ABD"/>
    <w:rsid w:val="0012363D"/>
    <w:rsid w:val="00124376"/>
    <w:rsid w:val="00124CCD"/>
    <w:rsid w:val="00125963"/>
    <w:rsid w:val="001259BE"/>
    <w:rsid w:val="0012651B"/>
    <w:rsid w:val="001267E6"/>
    <w:rsid w:val="0012730B"/>
    <w:rsid w:val="00127368"/>
    <w:rsid w:val="00127730"/>
    <w:rsid w:val="0013137B"/>
    <w:rsid w:val="0013161A"/>
    <w:rsid w:val="00131A8B"/>
    <w:rsid w:val="001320CF"/>
    <w:rsid w:val="001321D8"/>
    <w:rsid w:val="00132BC1"/>
    <w:rsid w:val="00132C2A"/>
    <w:rsid w:val="00132D29"/>
    <w:rsid w:val="00133237"/>
    <w:rsid w:val="00133955"/>
    <w:rsid w:val="00134204"/>
    <w:rsid w:val="0013469B"/>
    <w:rsid w:val="00134DAC"/>
    <w:rsid w:val="00135269"/>
    <w:rsid w:val="0013549A"/>
    <w:rsid w:val="00135F83"/>
    <w:rsid w:val="00136336"/>
    <w:rsid w:val="00137026"/>
    <w:rsid w:val="00137058"/>
    <w:rsid w:val="0013789B"/>
    <w:rsid w:val="00137B2F"/>
    <w:rsid w:val="00140403"/>
    <w:rsid w:val="0014069B"/>
    <w:rsid w:val="00140ABD"/>
    <w:rsid w:val="00140B61"/>
    <w:rsid w:val="00141263"/>
    <w:rsid w:val="00141268"/>
    <w:rsid w:val="001419F7"/>
    <w:rsid w:val="00141A65"/>
    <w:rsid w:val="00142E21"/>
    <w:rsid w:val="001432F1"/>
    <w:rsid w:val="00143503"/>
    <w:rsid w:val="001437F8"/>
    <w:rsid w:val="00143868"/>
    <w:rsid w:val="00143EBB"/>
    <w:rsid w:val="00144632"/>
    <w:rsid w:val="00144DA9"/>
    <w:rsid w:val="00144FCA"/>
    <w:rsid w:val="001452E6"/>
    <w:rsid w:val="0014629B"/>
    <w:rsid w:val="00146564"/>
    <w:rsid w:val="001466E8"/>
    <w:rsid w:val="001469AD"/>
    <w:rsid w:val="001470DF"/>
    <w:rsid w:val="00147B62"/>
    <w:rsid w:val="00150427"/>
    <w:rsid w:val="001505CE"/>
    <w:rsid w:val="001507C8"/>
    <w:rsid w:val="00150924"/>
    <w:rsid w:val="00150EFB"/>
    <w:rsid w:val="0015124D"/>
    <w:rsid w:val="00151FED"/>
    <w:rsid w:val="0015298A"/>
    <w:rsid w:val="00152A7F"/>
    <w:rsid w:val="00152C97"/>
    <w:rsid w:val="001535F1"/>
    <w:rsid w:val="001536F6"/>
    <w:rsid w:val="00153C62"/>
    <w:rsid w:val="00153E24"/>
    <w:rsid w:val="00153F7A"/>
    <w:rsid w:val="00154546"/>
    <w:rsid w:val="00155918"/>
    <w:rsid w:val="00155CBA"/>
    <w:rsid w:val="00155F0B"/>
    <w:rsid w:val="00156511"/>
    <w:rsid w:val="001568B8"/>
    <w:rsid w:val="00157111"/>
    <w:rsid w:val="00157489"/>
    <w:rsid w:val="0015764B"/>
    <w:rsid w:val="001576A2"/>
    <w:rsid w:val="001578A4"/>
    <w:rsid w:val="00157C13"/>
    <w:rsid w:val="00157C7C"/>
    <w:rsid w:val="00157D1E"/>
    <w:rsid w:val="00157E34"/>
    <w:rsid w:val="001602EF"/>
    <w:rsid w:val="00160578"/>
    <w:rsid w:val="00160C6B"/>
    <w:rsid w:val="00161ACC"/>
    <w:rsid w:val="00161FAC"/>
    <w:rsid w:val="00162233"/>
    <w:rsid w:val="00162435"/>
    <w:rsid w:val="001625B4"/>
    <w:rsid w:val="00162F72"/>
    <w:rsid w:val="00163A9B"/>
    <w:rsid w:val="00164202"/>
    <w:rsid w:val="0016454F"/>
    <w:rsid w:val="00164AB2"/>
    <w:rsid w:val="00164F2A"/>
    <w:rsid w:val="00165424"/>
    <w:rsid w:val="001654D0"/>
    <w:rsid w:val="00165798"/>
    <w:rsid w:val="00165E98"/>
    <w:rsid w:val="00166357"/>
    <w:rsid w:val="00166452"/>
    <w:rsid w:val="00166505"/>
    <w:rsid w:val="00166BE3"/>
    <w:rsid w:val="00167417"/>
    <w:rsid w:val="00167921"/>
    <w:rsid w:val="00167DDC"/>
    <w:rsid w:val="00170C4E"/>
    <w:rsid w:val="00170D6E"/>
    <w:rsid w:val="0017118A"/>
    <w:rsid w:val="0017195A"/>
    <w:rsid w:val="00171AD9"/>
    <w:rsid w:val="00171EF2"/>
    <w:rsid w:val="00172A5F"/>
    <w:rsid w:val="00173859"/>
    <w:rsid w:val="00173C56"/>
    <w:rsid w:val="00174B32"/>
    <w:rsid w:val="00174F3A"/>
    <w:rsid w:val="00175477"/>
    <w:rsid w:val="00175A8B"/>
    <w:rsid w:val="00175CD9"/>
    <w:rsid w:val="0017615D"/>
    <w:rsid w:val="001806C3"/>
    <w:rsid w:val="00180BBC"/>
    <w:rsid w:val="001812B9"/>
    <w:rsid w:val="00181372"/>
    <w:rsid w:val="00181533"/>
    <w:rsid w:val="00181A27"/>
    <w:rsid w:val="00181D62"/>
    <w:rsid w:val="00182084"/>
    <w:rsid w:val="00182262"/>
    <w:rsid w:val="00183CE1"/>
    <w:rsid w:val="001846E8"/>
    <w:rsid w:val="0018489C"/>
    <w:rsid w:val="00184AAE"/>
    <w:rsid w:val="001853F3"/>
    <w:rsid w:val="0018576F"/>
    <w:rsid w:val="00185963"/>
    <w:rsid w:val="00185B96"/>
    <w:rsid w:val="00185EBD"/>
    <w:rsid w:val="00186088"/>
    <w:rsid w:val="0018762B"/>
    <w:rsid w:val="00190057"/>
    <w:rsid w:val="00190F9D"/>
    <w:rsid w:val="001912C6"/>
    <w:rsid w:val="00191E2B"/>
    <w:rsid w:val="00192613"/>
    <w:rsid w:val="001926EB"/>
    <w:rsid w:val="00192B7F"/>
    <w:rsid w:val="00192F85"/>
    <w:rsid w:val="00193D66"/>
    <w:rsid w:val="0019426A"/>
    <w:rsid w:val="001944D0"/>
    <w:rsid w:val="00194848"/>
    <w:rsid w:val="00194ED4"/>
    <w:rsid w:val="00195C22"/>
    <w:rsid w:val="00195D43"/>
    <w:rsid w:val="00196211"/>
    <w:rsid w:val="001969BF"/>
    <w:rsid w:val="0019714B"/>
    <w:rsid w:val="00197150"/>
    <w:rsid w:val="00197838"/>
    <w:rsid w:val="0019797E"/>
    <w:rsid w:val="001979D6"/>
    <w:rsid w:val="00197E27"/>
    <w:rsid w:val="001A0AD8"/>
    <w:rsid w:val="001A0D11"/>
    <w:rsid w:val="001A12B2"/>
    <w:rsid w:val="001A1A0B"/>
    <w:rsid w:val="001A1B5E"/>
    <w:rsid w:val="001A1EA4"/>
    <w:rsid w:val="001A2136"/>
    <w:rsid w:val="001A2162"/>
    <w:rsid w:val="001A21CB"/>
    <w:rsid w:val="001A2384"/>
    <w:rsid w:val="001A24EC"/>
    <w:rsid w:val="001A28D7"/>
    <w:rsid w:val="001A2B23"/>
    <w:rsid w:val="001A3315"/>
    <w:rsid w:val="001A3782"/>
    <w:rsid w:val="001A4983"/>
    <w:rsid w:val="001A5035"/>
    <w:rsid w:val="001A618A"/>
    <w:rsid w:val="001A6572"/>
    <w:rsid w:val="001A68C3"/>
    <w:rsid w:val="001A6963"/>
    <w:rsid w:val="001A6A94"/>
    <w:rsid w:val="001A7360"/>
    <w:rsid w:val="001A765E"/>
    <w:rsid w:val="001A7C00"/>
    <w:rsid w:val="001A7C18"/>
    <w:rsid w:val="001A7F88"/>
    <w:rsid w:val="001B00D4"/>
    <w:rsid w:val="001B02BE"/>
    <w:rsid w:val="001B0C4E"/>
    <w:rsid w:val="001B10E3"/>
    <w:rsid w:val="001B1BDB"/>
    <w:rsid w:val="001B1C7D"/>
    <w:rsid w:val="001B1EE9"/>
    <w:rsid w:val="001B2A75"/>
    <w:rsid w:val="001B3503"/>
    <w:rsid w:val="001B37E2"/>
    <w:rsid w:val="001B3882"/>
    <w:rsid w:val="001B4470"/>
    <w:rsid w:val="001B47D5"/>
    <w:rsid w:val="001B4DB4"/>
    <w:rsid w:val="001B4FBE"/>
    <w:rsid w:val="001B623E"/>
    <w:rsid w:val="001B6877"/>
    <w:rsid w:val="001B71AF"/>
    <w:rsid w:val="001B7C2A"/>
    <w:rsid w:val="001C0E18"/>
    <w:rsid w:val="001C147B"/>
    <w:rsid w:val="001C1B91"/>
    <w:rsid w:val="001C1D7F"/>
    <w:rsid w:val="001C2157"/>
    <w:rsid w:val="001C2F2D"/>
    <w:rsid w:val="001C391A"/>
    <w:rsid w:val="001C42E8"/>
    <w:rsid w:val="001C4892"/>
    <w:rsid w:val="001C4BF4"/>
    <w:rsid w:val="001C50A0"/>
    <w:rsid w:val="001C6373"/>
    <w:rsid w:val="001C6807"/>
    <w:rsid w:val="001C6871"/>
    <w:rsid w:val="001C6898"/>
    <w:rsid w:val="001C6983"/>
    <w:rsid w:val="001C6A9B"/>
    <w:rsid w:val="001C7420"/>
    <w:rsid w:val="001C7444"/>
    <w:rsid w:val="001C7896"/>
    <w:rsid w:val="001C7F63"/>
    <w:rsid w:val="001D14F7"/>
    <w:rsid w:val="001D157D"/>
    <w:rsid w:val="001D1DE5"/>
    <w:rsid w:val="001D2444"/>
    <w:rsid w:val="001D26E5"/>
    <w:rsid w:val="001D30D0"/>
    <w:rsid w:val="001D40E1"/>
    <w:rsid w:val="001D43A0"/>
    <w:rsid w:val="001D4404"/>
    <w:rsid w:val="001D54A4"/>
    <w:rsid w:val="001D56D4"/>
    <w:rsid w:val="001D6225"/>
    <w:rsid w:val="001D6563"/>
    <w:rsid w:val="001D702D"/>
    <w:rsid w:val="001D71DC"/>
    <w:rsid w:val="001D7F09"/>
    <w:rsid w:val="001E0BF4"/>
    <w:rsid w:val="001E13E5"/>
    <w:rsid w:val="001E1B53"/>
    <w:rsid w:val="001E21A4"/>
    <w:rsid w:val="001E258E"/>
    <w:rsid w:val="001E2A52"/>
    <w:rsid w:val="001E3040"/>
    <w:rsid w:val="001E3121"/>
    <w:rsid w:val="001E36E8"/>
    <w:rsid w:val="001E3831"/>
    <w:rsid w:val="001E3E73"/>
    <w:rsid w:val="001E44F6"/>
    <w:rsid w:val="001E4EFF"/>
    <w:rsid w:val="001E5501"/>
    <w:rsid w:val="001E5818"/>
    <w:rsid w:val="001E5E60"/>
    <w:rsid w:val="001E6344"/>
    <w:rsid w:val="001E67EB"/>
    <w:rsid w:val="001E6B90"/>
    <w:rsid w:val="001E6E04"/>
    <w:rsid w:val="001E7A61"/>
    <w:rsid w:val="001E7D55"/>
    <w:rsid w:val="001F00FE"/>
    <w:rsid w:val="001F0308"/>
    <w:rsid w:val="001F0B02"/>
    <w:rsid w:val="001F1528"/>
    <w:rsid w:val="001F1F5A"/>
    <w:rsid w:val="001F2331"/>
    <w:rsid w:val="001F237F"/>
    <w:rsid w:val="001F25B1"/>
    <w:rsid w:val="001F314E"/>
    <w:rsid w:val="001F346E"/>
    <w:rsid w:val="001F3911"/>
    <w:rsid w:val="001F4186"/>
    <w:rsid w:val="001F7E9C"/>
    <w:rsid w:val="0020004A"/>
    <w:rsid w:val="00200708"/>
    <w:rsid w:val="00200903"/>
    <w:rsid w:val="00201135"/>
    <w:rsid w:val="0020114C"/>
    <w:rsid w:val="002013A9"/>
    <w:rsid w:val="002017BC"/>
    <w:rsid w:val="00201EE2"/>
    <w:rsid w:val="00202144"/>
    <w:rsid w:val="002021AD"/>
    <w:rsid w:val="00202FA7"/>
    <w:rsid w:val="002038E8"/>
    <w:rsid w:val="00203CC0"/>
    <w:rsid w:val="002043B0"/>
    <w:rsid w:val="002049CE"/>
    <w:rsid w:val="0020563E"/>
    <w:rsid w:val="002057A8"/>
    <w:rsid w:val="002068E9"/>
    <w:rsid w:val="00206BD4"/>
    <w:rsid w:val="00206FF3"/>
    <w:rsid w:val="002072BC"/>
    <w:rsid w:val="002074A2"/>
    <w:rsid w:val="00207CAC"/>
    <w:rsid w:val="00207E48"/>
    <w:rsid w:val="00210233"/>
    <w:rsid w:val="00210276"/>
    <w:rsid w:val="002105B1"/>
    <w:rsid w:val="0021080C"/>
    <w:rsid w:val="00210C13"/>
    <w:rsid w:val="0021126A"/>
    <w:rsid w:val="0021260D"/>
    <w:rsid w:val="00212702"/>
    <w:rsid w:val="00212EDE"/>
    <w:rsid w:val="002142FC"/>
    <w:rsid w:val="0021543F"/>
    <w:rsid w:val="002157E4"/>
    <w:rsid w:val="002161BF"/>
    <w:rsid w:val="00216234"/>
    <w:rsid w:val="002170F2"/>
    <w:rsid w:val="00217F02"/>
    <w:rsid w:val="002202FB"/>
    <w:rsid w:val="0022035A"/>
    <w:rsid w:val="00221012"/>
    <w:rsid w:val="00221866"/>
    <w:rsid w:val="002223CD"/>
    <w:rsid w:val="00222439"/>
    <w:rsid w:val="00223164"/>
    <w:rsid w:val="002231C2"/>
    <w:rsid w:val="002238B8"/>
    <w:rsid w:val="0022392E"/>
    <w:rsid w:val="00223C2C"/>
    <w:rsid w:val="002240F9"/>
    <w:rsid w:val="002246DD"/>
    <w:rsid w:val="00224B58"/>
    <w:rsid w:val="00224E07"/>
    <w:rsid w:val="002251C5"/>
    <w:rsid w:val="00225776"/>
    <w:rsid w:val="0022612D"/>
    <w:rsid w:val="0022648D"/>
    <w:rsid w:val="0022654D"/>
    <w:rsid w:val="00226A69"/>
    <w:rsid w:val="00226EEE"/>
    <w:rsid w:val="002277D3"/>
    <w:rsid w:val="00227A18"/>
    <w:rsid w:val="00227FE6"/>
    <w:rsid w:val="002308B6"/>
    <w:rsid w:val="0023139E"/>
    <w:rsid w:val="00231C98"/>
    <w:rsid w:val="00231D5D"/>
    <w:rsid w:val="0023235C"/>
    <w:rsid w:val="0023266F"/>
    <w:rsid w:val="002327C2"/>
    <w:rsid w:val="00232891"/>
    <w:rsid w:val="00233274"/>
    <w:rsid w:val="0023338C"/>
    <w:rsid w:val="00233AB4"/>
    <w:rsid w:val="0023438B"/>
    <w:rsid w:val="00234AC8"/>
    <w:rsid w:val="00234D8C"/>
    <w:rsid w:val="00234DA6"/>
    <w:rsid w:val="00234F18"/>
    <w:rsid w:val="00235157"/>
    <w:rsid w:val="00236088"/>
    <w:rsid w:val="002360AA"/>
    <w:rsid w:val="002373BE"/>
    <w:rsid w:val="0023774F"/>
    <w:rsid w:val="00237823"/>
    <w:rsid w:val="00237871"/>
    <w:rsid w:val="00237993"/>
    <w:rsid w:val="00237E1F"/>
    <w:rsid w:val="00240824"/>
    <w:rsid w:val="00240D45"/>
    <w:rsid w:val="00240DAD"/>
    <w:rsid w:val="00241122"/>
    <w:rsid w:val="00241B68"/>
    <w:rsid w:val="00242775"/>
    <w:rsid w:val="00242E2E"/>
    <w:rsid w:val="00243195"/>
    <w:rsid w:val="00244201"/>
    <w:rsid w:val="00244BB5"/>
    <w:rsid w:val="00244CD6"/>
    <w:rsid w:val="002451AB"/>
    <w:rsid w:val="00245D70"/>
    <w:rsid w:val="00245FC1"/>
    <w:rsid w:val="00246104"/>
    <w:rsid w:val="0024645F"/>
    <w:rsid w:val="002464D8"/>
    <w:rsid w:val="00246554"/>
    <w:rsid w:val="00246824"/>
    <w:rsid w:val="00246C32"/>
    <w:rsid w:val="00246D4F"/>
    <w:rsid w:val="0024778E"/>
    <w:rsid w:val="002478F5"/>
    <w:rsid w:val="00247E51"/>
    <w:rsid w:val="00250E19"/>
    <w:rsid w:val="002513F1"/>
    <w:rsid w:val="00251614"/>
    <w:rsid w:val="00251760"/>
    <w:rsid w:val="002517E7"/>
    <w:rsid w:val="00251A2E"/>
    <w:rsid w:val="00251B51"/>
    <w:rsid w:val="0025201A"/>
    <w:rsid w:val="002525A6"/>
    <w:rsid w:val="00252E72"/>
    <w:rsid w:val="00253C3C"/>
    <w:rsid w:val="00253D32"/>
    <w:rsid w:val="00254335"/>
    <w:rsid w:val="002543D6"/>
    <w:rsid w:val="0025465A"/>
    <w:rsid w:val="00254A1E"/>
    <w:rsid w:val="00254AAC"/>
    <w:rsid w:val="00254B88"/>
    <w:rsid w:val="00254B93"/>
    <w:rsid w:val="002550AA"/>
    <w:rsid w:val="002561E3"/>
    <w:rsid w:val="002563F5"/>
    <w:rsid w:val="00256C20"/>
    <w:rsid w:val="00256D17"/>
    <w:rsid w:val="00256F2A"/>
    <w:rsid w:val="0025706E"/>
    <w:rsid w:val="002572B4"/>
    <w:rsid w:val="00257466"/>
    <w:rsid w:val="002600E2"/>
    <w:rsid w:val="002604CC"/>
    <w:rsid w:val="0026053A"/>
    <w:rsid w:val="00260698"/>
    <w:rsid w:val="00260BF5"/>
    <w:rsid w:val="00261AF9"/>
    <w:rsid w:val="00262A31"/>
    <w:rsid w:val="00262FB0"/>
    <w:rsid w:val="0026328F"/>
    <w:rsid w:val="00263AEF"/>
    <w:rsid w:val="00263BE0"/>
    <w:rsid w:val="00265C44"/>
    <w:rsid w:val="0026656B"/>
    <w:rsid w:val="002667AC"/>
    <w:rsid w:val="00266DAF"/>
    <w:rsid w:val="00266DEC"/>
    <w:rsid w:val="0026729B"/>
    <w:rsid w:val="002677C7"/>
    <w:rsid w:val="00267841"/>
    <w:rsid w:val="00267FA7"/>
    <w:rsid w:val="002700A9"/>
    <w:rsid w:val="00270908"/>
    <w:rsid w:val="00270DEC"/>
    <w:rsid w:val="00270FF8"/>
    <w:rsid w:val="00271356"/>
    <w:rsid w:val="00271E44"/>
    <w:rsid w:val="002721D6"/>
    <w:rsid w:val="00272983"/>
    <w:rsid w:val="002746EF"/>
    <w:rsid w:val="00275E6C"/>
    <w:rsid w:val="00275F76"/>
    <w:rsid w:val="002761E6"/>
    <w:rsid w:val="00276735"/>
    <w:rsid w:val="0027677F"/>
    <w:rsid w:val="0027705A"/>
    <w:rsid w:val="002771A2"/>
    <w:rsid w:val="00277BB9"/>
    <w:rsid w:val="00281272"/>
    <w:rsid w:val="00281C1B"/>
    <w:rsid w:val="0028208A"/>
    <w:rsid w:val="002821C0"/>
    <w:rsid w:val="00282262"/>
    <w:rsid w:val="002824DE"/>
    <w:rsid w:val="00282A20"/>
    <w:rsid w:val="002830F5"/>
    <w:rsid w:val="00283404"/>
    <w:rsid w:val="002838D8"/>
    <w:rsid w:val="00283C9E"/>
    <w:rsid w:val="00283ED9"/>
    <w:rsid w:val="00284507"/>
    <w:rsid w:val="00284C40"/>
    <w:rsid w:val="00285FB3"/>
    <w:rsid w:val="00286233"/>
    <w:rsid w:val="00286438"/>
    <w:rsid w:val="002865F8"/>
    <w:rsid w:val="00286E8D"/>
    <w:rsid w:val="0028798A"/>
    <w:rsid w:val="00287DAC"/>
    <w:rsid w:val="002905C9"/>
    <w:rsid w:val="00290680"/>
    <w:rsid w:val="00291FC3"/>
    <w:rsid w:val="00292229"/>
    <w:rsid w:val="00292794"/>
    <w:rsid w:val="00292A9C"/>
    <w:rsid w:val="00293109"/>
    <w:rsid w:val="0029314C"/>
    <w:rsid w:val="00293535"/>
    <w:rsid w:val="0029387C"/>
    <w:rsid w:val="0029390C"/>
    <w:rsid w:val="00293AB4"/>
    <w:rsid w:val="00294010"/>
    <w:rsid w:val="00294301"/>
    <w:rsid w:val="0029486E"/>
    <w:rsid w:val="00294974"/>
    <w:rsid w:val="00294B17"/>
    <w:rsid w:val="0029579C"/>
    <w:rsid w:val="00295939"/>
    <w:rsid w:val="00296424"/>
    <w:rsid w:val="002967C1"/>
    <w:rsid w:val="002967DE"/>
    <w:rsid w:val="00297BA9"/>
    <w:rsid w:val="00297D32"/>
    <w:rsid w:val="00297F8A"/>
    <w:rsid w:val="002A05CC"/>
    <w:rsid w:val="002A0EEA"/>
    <w:rsid w:val="002A0F46"/>
    <w:rsid w:val="002A17FB"/>
    <w:rsid w:val="002A23DD"/>
    <w:rsid w:val="002A2A2D"/>
    <w:rsid w:val="002A2C40"/>
    <w:rsid w:val="002A2E7D"/>
    <w:rsid w:val="002A2F85"/>
    <w:rsid w:val="002A33E4"/>
    <w:rsid w:val="002A3865"/>
    <w:rsid w:val="002A43B1"/>
    <w:rsid w:val="002A43FD"/>
    <w:rsid w:val="002A4B94"/>
    <w:rsid w:val="002A4CE2"/>
    <w:rsid w:val="002A54CA"/>
    <w:rsid w:val="002A584F"/>
    <w:rsid w:val="002A5932"/>
    <w:rsid w:val="002A61E2"/>
    <w:rsid w:val="002A6BE6"/>
    <w:rsid w:val="002A6C57"/>
    <w:rsid w:val="002A6F2A"/>
    <w:rsid w:val="002A7718"/>
    <w:rsid w:val="002A7A0A"/>
    <w:rsid w:val="002A7A6B"/>
    <w:rsid w:val="002B115C"/>
    <w:rsid w:val="002B11DB"/>
    <w:rsid w:val="002B1209"/>
    <w:rsid w:val="002B25E9"/>
    <w:rsid w:val="002B2FC4"/>
    <w:rsid w:val="002B3592"/>
    <w:rsid w:val="002B393B"/>
    <w:rsid w:val="002B3A00"/>
    <w:rsid w:val="002B3E57"/>
    <w:rsid w:val="002B3F79"/>
    <w:rsid w:val="002B4182"/>
    <w:rsid w:val="002B437F"/>
    <w:rsid w:val="002B4DEA"/>
    <w:rsid w:val="002B60F0"/>
    <w:rsid w:val="002B7460"/>
    <w:rsid w:val="002B77D7"/>
    <w:rsid w:val="002B78B5"/>
    <w:rsid w:val="002B7AD1"/>
    <w:rsid w:val="002B7DB6"/>
    <w:rsid w:val="002B7DCD"/>
    <w:rsid w:val="002C04EE"/>
    <w:rsid w:val="002C06C0"/>
    <w:rsid w:val="002C0D29"/>
    <w:rsid w:val="002C12F4"/>
    <w:rsid w:val="002C1642"/>
    <w:rsid w:val="002C1CDF"/>
    <w:rsid w:val="002C1E54"/>
    <w:rsid w:val="002C2070"/>
    <w:rsid w:val="002C2668"/>
    <w:rsid w:val="002C2976"/>
    <w:rsid w:val="002C2C3D"/>
    <w:rsid w:val="002C3875"/>
    <w:rsid w:val="002C38E0"/>
    <w:rsid w:val="002C3F40"/>
    <w:rsid w:val="002C4C00"/>
    <w:rsid w:val="002C5037"/>
    <w:rsid w:val="002C51AA"/>
    <w:rsid w:val="002C5C0E"/>
    <w:rsid w:val="002C5D39"/>
    <w:rsid w:val="002C5F70"/>
    <w:rsid w:val="002C6305"/>
    <w:rsid w:val="002C65AB"/>
    <w:rsid w:val="002C66B5"/>
    <w:rsid w:val="002C69F8"/>
    <w:rsid w:val="002C70CC"/>
    <w:rsid w:val="002C71B6"/>
    <w:rsid w:val="002C73A2"/>
    <w:rsid w:val="002C7486"/>
    <w:rsid w:val="002C7503"/>
    <w:rsid w:val="002C771E"/>
    <w:rsid w:val="002D0571"/>
    <w:rsid w:val="002D064E"/>
    <w:rsid w:val="002D07F5"/>
    <w:rsid w:val="002D0BDB"/>
    <w:rsid w:val="002D17A3"/>
    <w:rsid w:val="002D2175"/>
    <w:rsid w:val="002D23C0"/>
    <w:rsid w:val="002D2851"/>
    <w:rsid w:val="002D2CD9"/>
    <w:rsid w:val="002D2DEE"/>
    <w:rsid w:val="002D3719"/>
    <w:rsid w:val="002D3AD8"/>
    <w:rsid w:val="002D4180"/>
    <w:rsid w:val="002D4884"/>
    <w:rsid w:val="002D49A7"/>
    <w:rsid w:val="002D4BFB"/>
    <w:rsid w:val="002D5141"/>
    <w:rsid w:val="002D570E"/>
    <w:rsid w:val="002D6678"/>
    <w:rsid w:val="002D770B"/>
    <w:rsid w:val="002D7721"/>
    <w:rsid w:val="002D7AA8"/>
    <w:rsid w:val="002D7DBF"/>
    <w:rsid w:val="002E015D"/>
    <w:rsid w:val="002E0DA9"/>
    <w:rsid w:val="002E0F9C"/>
    <w:rsid w:val="002E15C1"/>
    <w:rsid w:val="002E15D6"/>
    <w:rsid w:val="002E1699"/>
    <w:rsid w:val="002E19BC"/>
    <w:rsid w:val="002E1B84"/>
    <w:rsid w:val="002E1F51"/>
    <w:rsid w:val="002E2095"/>
    <w:rsid w:val="002E244C"/>
    <w:rsid w:val="002E2FF4"/>
    <w:rsid w:val="002E369B"/>
    <w:rsid w:val="002E36E9"/>
    <w:rsid w:val="002E371A"/>
    <w:rsid w:val="002E3C63"/>
    <w:rsid w:val="002E49EC"/>
    <w:rsid w:val="002E4C01"/>
    <w:rsid w:val="002E4EEA"/>
    <w:rsid w:val="002E58BF"/>
    <w:rsid w:val="002E6DB2"/>
    <w:rsid w:val="002E6F1A"/>
    <w:rsid w:val="002F047A"/>
    <w:rsid w:val="002F0E6B"/>
    <w:rsid w:val="002F10AE"/>
    <w:rsid w:val="002F17E3"/>
    <w:rsid w:val="002F1BC1"/>
    <w:rsid w:val="002F1F5B"/>
    <w:rsid w:val="002F1FAD"/>
    <w:rsid w:val="002F2530"/>
    <w:rsid w:val="002F274D"/>
    <w:rsid w:val="002F28A9"/>
    <w:rsid w:val="002F2C61"/>
    <w:rsid w:val="002F3062"/>
    <w:rsid w:val="002F35FB"/>
    <w:rsid w:val="002F36A9"/>
    <w:rsid w:val="002F37D3"/>
    <w:rsid w:val="002F397E"/>
    <w:rsid w:val="002F3AAF"/>
    <w:rsid w:val="002F461F"/>
    <w:rsid w:val="002F47AB"/>
    <w:rsid w:val="002F4C2D"/>
    <w:rsid w:val="002F5859"/>
    <w:rsid w:val="002F5DD6"/>
    <w:rsid w:val="002F5F8F"/>
    <w:rsid w:val="002F6187"/>
    <w:rsid w:val="002F62C7"/>
    <w:rsid w:val="002F6488"/>
    <w:rsid w:val="002F7855"/>
    <w:rsid w:val="002F788D"/>
    <w:rsid w:val="002F7A41"/>
    <w:rsid w:val="003014A2"/>
    <w:rsid w:val="00301A38"/>
    <w:rsid w:val="00301E66"/>
    <w:rsid w:val="0030206D"/>
    <w:rsid w:val="003020C4"/>
    <w:rsid w:val="003022CA"/>
    <w:rsid w:val="0030258D"/>
    <w:rsid w:val="0030269C"/>
    <w:rsid w:val="003027F5"/>
    <w:rsid w:val="00302F2E"/>
    <w:rsid w:val="00303592"/>
    <w:rsid w:val="003035F8"/>
    <w:rsid w:val="00304325"/>
    <w:rsid w:val="00304A7B"/>
    <w:rsid w:val="00304D12"/>
    <w:rsid w:val="0030616F"/>
    <w:rsid w:val="003062F2"/>
    <w:rsid w:val="003066EF"/>
    <w:rsid w:val="00306E0A"/>
    <w:rsid w:val="00306E9A"/>
    <w:rsid w:val="00310101"/>
    <w:rsid w:val="0031086C"/>
    <w:rsid w:val="00310C6A"/>
    <w:rsid w:val="00310C71"/>
    <w:rsid w:val="00311643"/>
    <w:rsid w:val="00311AE5"/>
    <w:rsid w:val="00311B23"/>
    <w:rsid w:val="0031204B"/>
    <w:rsid w:val="00313374"/>
    <w:rsid w:val="003135F4"/>
    <w:rsid w:val="00313686"/>
    <w:rsid w:val="00313B55"/>
    <w:rsid w:val="00313FC3"/>
    <w:rsid w:val="003140F5"/>
    <w:rsid w:val="003155DA"/>
    <w:rsid w:val="003165F8"/>
    <w:rsid w:val="0031675C"/>
    <w:rsid w:val="00316C39"/>
    <w:rsid w:val="00316E53"/>
    <w:rsid w:val="0031752B"/>
    <w:rsid w:val="00320B83"/>
    <w:rsid w:val="00320C9A"/>
    <w:rsid w:val="00320D5D"/>
    <w:rsid w:val="0032117A"/>
    <w:rsid w:val="003217B8"/>
    <w:rsid w:val="0032197B"/>
    <w:rsid w:val="00322325"/>
    <w:rsid w:val="00322505"/>
    <w:rsid w:val="00323444"/>
    <w:rsid w:val="0032367D"/>
    <w:rsid w:val="00323FD6"/>
    <w:rsid w:val="003240C4"/>
    <w:rsid w:val="003244B6"/>
    <w:rsid w:val="003244ED"/>
    <w:rsid w:val="0032481D"/>
    <w:rsid w:val="00325D34"/>
    <w:rsid w:val="003262FB"/>
    <w:rsid w:val="00326A34"/>
    <w:rsid w:val="00326BA7"/>
    <w:rsid w:val="00330AA8"/>
    <w:rsid w:val="00330B23"/>
    <w:rsid w:val="00330D64"/>
    <w:rsid w:val="00331804"/>
    <w:rsid w:val="00331C28"/>
    <w:rsid w:val="00331E25"/>
    <w:rsid w:val="003320BA"/>
    <w:rsid w:val="003322ED"/>
    <w:rsid w:val="003327AD"/>
    <w:rsid w:val="00332816"/>
    <w:rsid w:val="003329E9"/>
    <w:rsid w:val="00332A05"/>
    <w:rsid w:val="00332DB8"/>
    <w:rsid w:val="0033363F"/>
    <w:rsid w:val="00333663"/>
    <w:rsid w:val="003339BE"/>
    <w:rsid w:val="00333C38"/>
    <w:rsid w:val="003340EB"/>
    <w:rsid w:val="00334B8E"/>
    <w:rsid w:val="00334E60"/>
    <w:rsid w:val="0033513B"/>
    <w:rsid w:val="00335B32"/>
    <w:rsid w:val="00335CD5"/>
    <w:rsid w:val="00335EBF"/>
    <w:rsid w:val="00336225"/>
    <w:rsid w:val="0033688F"/>
    <w:rsid w:val="00336F6D"/>
    <w:rsid w:val="003375D8"/>
    <w:rsid w:val="003376BE"/>
    <w:rsid w:val="00337C1C"/>
    <w:rsid w:val="00337E06"/>
    <w:rsid w:val="00340F06"/>
    <w:rsid w:val="003411E4"/>
    <w:rsid w:val="00341E72"/>
    <w:rsid w:val="00342B3D"/>
    <w:rsid w:val="003434A5"/>
    <w:rsid w:val="0034357E"/>
    <w:rsid w:val="003435B5"/>
    <w:rsid w:val="0034390E"/>
    <w:rsid w:val="00343A49"/>
    <w:rsid w:val="00343B1C"/>
    <w:rsid w:val="00343D86"/>
    <w:rsid w:val="0034406C"/>
    <w:rsid w:val="0034448D"/>
    <w:rsid w:val="00344AE9"/>
    <w:rsid w:val="00344C33"/>
    <w:rsid w:val="00344DE6"/>
    <w:rsid w:val="0034521F"/>
    <w:rsid w:val="003453B6"/>
    <w:rsid w:val="003455A1"/>
    <w:rsid w:val="00345A0B"/>
    <w:rsid w:val="00345A19"/>
    <w:rsid w:val="0034609C"/>
    <w:rsid w:val="00346864"/>
    <w:rsid w:val="003468F6"/>
    <w:rsid w:val="00346D3D"/>
    <w:rsid w:val="003475C2"/>
    <w:rsid w:val="00347DEB"/>
    <w:rsid w:val="00347E8B"/>
    <w:rsid w:val="00350747"/>
    <w:rsid w:val="003509DF"/>
    <w:rsid w:val="00351FA5"/>
    <w:rsid w:val="003523CB"/>
    <w:rsid w:val="00352441"/>
    <w:rsid w:val="003524A5"/>
    <w:rsid w:val="00352605"/>
    <w:rsid w:val="00352B8B"/>
    <w:rsid w:val="003535FE"/>
    <w:rsid w:val="003537FB"/>
    <w:rsid w:val="00354D6A"/>
    <w:rsid w:val="00355437"/>
    <w:rsid w:val="0035575B"/>
    <w:rsid w:val="0035581B"/>
    <w:rsid w:val="00355E15"/>
    <w:rsid w:val="00356108"/>
    <w:rsid w:val="003566E0"/>
    <w:rsid w:val="003567B9"/>
    <w:rsid w:val="00356F49"/>
    <w:rsid w:val="0035717E"/>
    <w:rsid w:val="00357640"/>
    <w:rsid w:val="0036056D"/>
    <w:rsid w:val="003609D9"/>
    <w:rsid w:val="003618B4"/>
    <w:rsid w:val="00362AF5"/>
    <w:rsid w:val="00362E5F"/>
    <w:rsid w:val="003633D0"/>
    <w:rsid w:val="003637BA"/>
    <w:rsid w:val="00363CEA"/>
    <w:rsid w:val="003641A4"/>
    <w:rsid w:val="003644FC"/>
    <w:rsid w:val="00364561"/>
    <w:rsid w:val="00364A43"/>
    <w:rsid w:val="00364AED"/>
    <w:rsid w:val="00364BFC"/>
    <w:rsid w:val="00364FA3"/>
    <w:rsid w:val="0036528D"/>
    <w:rsid w:val="0036556E"/>
    <w:rsid w:val="003657C7"/>
    <w:rsid w:val="00365DE6"/>
    <w:rsid w:val="003663EB"/>
    <w:rsid w:val="0036692B"/>
    <w:rsid w:val="00366DFB"/>
    <w:rsid w:val="00366E41"/>
    <w:rsid w:val="0036736B"/>
    <w:rsid w:val="003675C3"/>
    <w:rsid w:val="003676E8"/>
    <w:rsid w:val="00370508"/>
    <w:rsid w:val="00370809"/>
    <w:rsid w:val="00370B4F"/>
    <w:rsid w:val="003716DD"/>
    <w:rsid w:val="00371821"/>
    <w:rsid w:val="00371FB4"/>
    <w:rsid w:val="0037207E"/>
    <w:rsid w:val="0037223D"/>
    <w:rsid w:val="0037246F"/>
    <w:rsid w:val="00372527"/>
    <w:rsid w:val="00372606"/>
    <w:rsid w:val="0037284F"/>
    <w:rsid w:val="00372A43"/>
    <w:rsid w:val="00372CF5"/>
    <w:rsid w:val="003730CC"/>
    <w:rsid w:val="00373501"/>
    <w:rsid w:val="00373578"/>
    <w:rsid w:val="003735E1"/>
    <w:rsid w:val="003752B3"/>
    <w:rsid w:val="00375355"/>
    <w:rsid w:val="003759EE"/>
    <w:rsid w:val="00375D4D"/>
    <w:rsid w:val="0037626B"/>
    <w:rsid w:val="00376291"/>
    <w:rsid w:val="003769A7"/>
    <w:rsid w:val="00376AEF"/>
    <w:rsid w:val="00377A21"/>
    <w:rsid w:val="003805C6"/>
    <w:rsid w:val="003808AB"/>
    <w:rsid w:val="0038217A"/>
    <w:rsid w:val="0038231F"/>
    <w:rsid w:val="0038249E"/>
    <w:rsid w:val="00382E3B"/>
    <w:rsid w:val="003831D5"/>
    <w:rsid w:val="00383FB8"/>
    <w:rsid w:val="003841DB"/>
    <w:rsid w:val="0038456A"/>
    <w:rsid w:val="003849A2"/>
    <w:rsid w:val="00384D41"/>
    <w:rsid w:val="00384D5A"/>
    <w:rsid w:val="00384E58"/>
    <w:rsid w:val="00384F6E"/>
    <w:rsid w:val="00386DCD"/>
    <w:rsid w:val="003871E3"/>
    <w:rsid w:val="003873A0"/>
    <w:rsid w:val="0038761B"/>
    <w:rsid w:val="0038793A"/>
    <w:rsid w:val="00390285"/>
    <w:rsid w:val="003902BA"/>
    <w:rsid w:val="00390ACB"/>
    <w:rsid w:val="003912D2"/>
    <w:rsid w:val="003919B6"/>
    <w:rsid w:val="00391BC5"/>
    <w:rsid w:val="003922B1"/>
    <w:rsid w:val="00392846"/>
    <w:rsid w:val="00392C88"/>
    <w:rsid w:val="00393015"/>
    <w:rsid w:val="00393C00"/>
    <w:rsid w:val="00394186"/>
    <w:rsid w:val="00394912"/>
    <w:rsid w:val="00394B1D"/>
    <w:rsid w:val="00394B8A"/>
    <w:rsid w:val="00394BD9"/>
    <w:rsid w:val="00394BE8"/>
    <w:rsid w:val="003956D4"/>
    <w:rsid w:val="00395DB9"/>
    <w:rsid w:val="0039642D"/>
    <w:rsid w:val="003964EB"/>
    <w:rsid w:val="00396A21"/>
    <w:rsid w:val="00396D96"/>
    <w:rsid w:val="00396FE1"/>
    <w:rsid w:val="0039776B"/>
    <w:rsid w:val="0039777A"/>
    <w:rsid w:val="003A0C67"/>
    <w:rsid w:val="003A1544"/>
    <w:rsid w:val="003A1F8A"/>
    <w:rsid w:val="003A2D45"/>
    <w:rsid w:val="003A3528"/>
    <w:rsid w:val="003A3DF6"/>
    <w:rsid w:val="003A3FAE"/>
    <w:rsid w:val="003A43E0"/>
    <w:rsid w:val="003A4B50"/>
    <w:rsid w:val="003A4D54"/>
    <w:rsid w:val="003A4E44"/>
    <w:rsid w:val="003A528F"/>
    <w:rsid w:val="003A570B"/>
    <w:rsid w:val="003A5934"/>
    <w:rsid w:val="003A6D6E"/>
    <w:rsid w:val="003A75E1"/>
    <w:rsid w:val="003A79F5"/>
    <w:rsid w:val="003A7BA8"/>
    <w:rsid w:val="003B0198"/>
    <w:rsid w:val="003B01EA"/>
    <w:rsid w:val="003B057D"/>
    <w:rsid w:val="003B08C1"/>
    <w:rsid w:val="003B09D2"/>
    <w:rsid w:val="003B1001"/>
    <w:rsid w:val="003B19BD"/>
    <w:rsid w:val="003B19C9"/>
    <w:rsid w:val="003B1BCB"/>
    <w:rsid w:val="003B1CD5"/>
    <w:rsid w:val="003B246D"/>
    <w:rsid w:val="003B3DD2"/>
    <w:rsid w:val="003B41A8"/>
    <w:rsid w:val="003B41DB"/>
    <w:rsid w:val="003B42B0"/>
    <w:rsid w:val="003B481C"/>
    <w:rsid w:val="003B4898"/>
    <w:rsid w:val="003B490D"/>
    <w:rsid w:val="003B4A60"/>
    <w:rsid w:val="003B5279"/>
    <w:rsid w:val="003B585C"/>
    <w:rsid w:val="003B5935"/>
    <w:rsid w:val="003B5A14"/>
    <w:rsid w:val="003B5B5B"/>
    <w:rsid w:val="003B732F"/>
    <w:rsid w:val="003B7520"/>
    <w:rsid w:val="003B774D"/>
    <w:rsid w:val="003B79E1"/>
    <w:rsid w:val="003C176D"/>
    <w:rsid w:val="003C2026"/>
    <w:rsid w:val="003C22F7"/>
    <w:rsid w:val="003C4B0B"/>
    <w:rsid w:val="003C4E62"/>
    <w:rsid w:val="003C4F22"/>
    <w:rsid w:val="003C5005"/>
    <w:rsid w:val="003C5E30"/>
    <w:rsid w:val="003C6786"/>
    <w:rsid w:val="003C694C"/>
    <w:rsid w:val="003C6B5F"/>
    <w:rsid w:val="003D0561"/>
    <w:rsid w:val="003D1125"/>
    <w:rsid w:val="003D14C3"/>
    <w:rsid w:val="003D1904"/>
    <w:rsid w:val="003D19F7"/>
    <w:rsid w:val="003D1F05"/>
    <w:rsid w:val="003D1FD1"/>
    <w:rsid w:val="003D3D1D"/>
    <w:rsid w:val="003D3FF1"/>
    <w:rsid w:val="003D40E7"/>
    <w:rsid w:val="003D4787"/>
    <w:rsid w:val="003D4D0F"/>
    <w:rsid w:val="003D4D6B"/>
    <w:rsid w:val="003D53B1"/>
    <w:rsid w:val="003D55FB"/>
    <w:rsid w:val="003D6173"/>
    <w:rsid w:val="003D683F"/>
    <w:rsid w:val="003D6D2D"/>
    <w:rsid w:val="003E1159"/>
    <w:rsid w:val="003E1175"/>
    <w:rsid w:val="003E179A"/>
    <w:rsid w:val="003E1B9E"/>
    <w:rsid w:val="003E241F"/>
    <w:rsid w:val="003E2FDF"/>
    <w:rsid w:val="003E395F"/>
    <w:rsid w:val="003E3DD5"/>
    <w:rsid w:val="003E45B3"/>
    <w:rsid w:val="003E4B01"/>
    <w:rsid w:val="003E4C26"/>
    <w:rsid w:val="003E503E"/>
    <w:rsid w:val="003E53EC"/>
    <w:rsid w:val="003E6254"/>
    <w:rsid w:val="003E6619"/>
    <w:rsid w:val="003E706F"/>
    <w:rsid w:val="003E7248"/>
    <w:rsid w:val="003E75BA"/>
    <w:rsid w:val="003E76CB"/>
    <w:rsid w:val="003E7998"/>
    <w:rsid w:val="003E7A8B"/>
    <w:rsid w:val="003E7C5D"/>
    <w:rsid w:val="003F0033"/>
    <w:rsid w:val="003F021E"/>
    <w:rsid w:val="003F0B0A"/>
    <w:rsid w:val="003F14CD"/>
    <w:rsid w:val="003F1A50"/>
    <w:rsid w:val="003F1BF8"/>
    <w:rsid w:val="003F2249"/>
    <w:rsid w:val="003F23D9"/>
    <w:rsid w:val="003F2647"/>
    <w:rsid w:val="003F2A1D"/>
    <w:rsid w:val="003F3645"/>
    <w:rsid w:val="003F3A57"/>
    <w:rsid w:val="003F45EF"/>
    <w:rsid w:val="003F484C"/>
    <w:rsid w:val="003F4F9F"/>
    <w:rsid w:val="003F51B7"/>
    <w:rsid w:val="003F5C65"/>
    <w:rsid w:val="003F5FB6"/>
    <w:rsid w:val="003F6D9D"/>
    <w:rsid w:val="003F7397"/>
    <w:rsid w:val="003F7570"/>
    <w:rsid w:val="003F758F"/>
    <w:rsid w:val="003F776E"/>
    <w:rsid w:val="003F7DFB"/>
    <w:rsid w:val="003F7F49"/>
    <w:rsid w:val="004004EE"/>
    <w:rsid w:val="00400742"/>
    <w:rsid w:val="00400C16"/>
    <w:rsid w:val="0040119C"/>
    <w:rsid w:val="004012D9"/>
    <w:rsid w:val="004012DA"/>
    <w:rsid w:val="0040140B"/>
    <w:rsid w:val="00401983"/>
    <w:rsid w:val="00401AD4"/>
    <w:rsid w:val="00401C7D"/>
    <w:rsid w:val="00401DE8"/>
    <w:rsid w:val="0040222A"/>
    <w:rsid w:val="0040223D"/>
    <w:rsid w:val="0040253A"/>
    <w:rsid w:val="004025A4"/>
    <w:rsid w:val="00402ABD"/>
    <w:rsid w:val="00402ECC"/>
    <w:rsid w:val="004032BA"/>
    <w:rsid w:val="00403BA3"/>
    <w:rsid w:val="00403C78"/>
    <w:rsid w:val="00404098"/>
    <w:rsid w:val="004041C8"/>
    <w:rsid w:val="004044A5"/>
    <w:rsid w:val="00404755"/>
    <w:rsid w:val="0040523D"/>
    <w:rsid w:val="004052FB"/>
    <w:rsid w:val="004053D5"/>
    <w:rsid w:val="0040670D"/>
    <w:rsid w:val="0040715D"/>
    <w:rsid w:val="00407E91"/>
    <w:rsid w:val="00407EF5"/>
    <w:rsid w:val="00407F6C"/>
    <w:rsid w:val="00407F74"/>
    <w:rsid w:val="004100A1"/>
    <w:rsid w:val="00410E90"/>
    <w:rsid w:val="00411178"/>
    <w:rsid w:val="00411526"/>
    <w:rsid w:val="00411558"/>
    <w:rsid w:val="004136DF"/>
    <w:rsid w:val="00413971"/>
    <w:rsid w:val="00413B42"/>
    <w:rsid w:val="0041423E"/>
    <w:rsid w:val="00414417"/>
    <w:rsid w:val="00414BAC"/>
    <w:rsid w:val="00414F28"/>
    <w:rsid w:val="00415779"/>
    <w:rsid w:val="00415871"/>
    <w:rsid w:val="0041651B"/>
    <w:rsid w:val="00416BCE"/>
    <w:rsid w:val="00416DDA"/>
    <w:rsid w:val="00416E37"/>
    <w:rsid w:val="00417167"/>
    <w:rsid w:val="00417539"/>
    <w:rsid w:val="00417EED"/>
    <w:rsid w:val="00420282"/>
    <w:rsid w:val="00420AD1"/>
    <w:rsid w:val="00421318"/>
    <w:rsid w:val="004213A2"/>
    <w:rsid w:val="00421B1C"/>
    <w:rsid w:val="00421EC4"/>
    <w:rsid w:val="004229FD"/>
    <w:rsid w:val="00422FFD"/>
    <w:rsid w:val="00423860"/>
    <w:rsid w:val="00423E44"/>
    <w:rsid w:val="0042422C"/>
    <w:rsid w:val="004242F9"/>
    <w:rsid w:val="00424322"/>
    <w:rsid w:val="004249AC"/>
    <w:rsid w:val="00424CEC"/>
    <w:rsid w:val="0042552E"/>
    <w:rsid w:val="0042556E"/>
    <w:rsid w:val="00425681"/>
    <w:rsid w:val="0042577D"/>
    <w:rsid w:val="00425799"/>
    <w:rsid w:val="00425B51"/>
    <w:rsid w:val="00425B6C"/>
    <w:rsid w:val="00425E8C"/>
    <w:rsid w:val="004262E7"/>
    <w:rsid w:val="0042642D"/>
    <w:rsid w:val="00426706"/>
    <w:rsid w:val="00426A08"/>
    <w:rsid w:val="004274ED"/>
    <w:rsid w:val="004276DD"/>
    <w:rsid w:val="004279DD"/>
    <w:rsid w:val="00427B51"/>
    <w:rsid w:val="00427B6B"/>
    <w:rsid w:val="00427EFF"/>
    <w:rsid w:val="004306CF"/>
    <w:rsid w:val="00430AB1"/>
    <w:rsid w:val="00430B97"/>
    <w:rsid w:val="0043110D"/>
    <w:rsid w:val="004317D8"/>
    <w:rsid w:val="004324E8"/>
    <w:rsid w:val="00432A10"/>
    <w:rsid w:val="00432AE9"/>
    <w:rsid w:val="0043315F"/>
    <w:rsid w:val="0043318B"/>
    <w:rsid w:val="004335F6"/>
    <w:rsid w:val="00433D4A"/>
    <w:rsid w:val="004344C6"/>
    <w:rsid w:val="00434F35"/>
    <w:rsid w:val="00435424"/>
    <w:rsid w:val="004360D8"/>
    <w:rsid w:val="00436184"/>
    <w:rsid w:val="00436C2A"/>
    <w:rsid w:val="00436C67"/>
    <w:rsid w:val="004401CA"/>
    <w:rsid w:val="00440D8E"/>
    <w:rsid w:val="004411B8"/>
    <w:rsid w:val="00441882"/>
    <w:rsid w:val="004418CA"/>
    <w:rsid w:val="0044298A"/>
    <w:rsid w:val="00443104"/>
    <w:rsid w:val="00443F8E"/>
    <w:rsid w:val="00444066"/>
    <w:rsid w:val="004443ED"/>
    <w:rsid w:val="00444452"/>
    <w:rsid w:val="00444884"/>
    <w:rsid w:val="00444D96"/>
    <w:rsid w:val="00444E80"/>
    <w:rsid w:val="004453B5"/>
    <w:rsid w:val="0044567B"/>
    <w:rsid w:val="00446066"/>
    <w:rsid w:val="00446F4C"/>
    <w:rsid w:val="00446FBC"/>
    <w:rsid w:val="004470C1"/>
    <w:rsid w:val="004519FB"/>
    <w:rsid w:val="00451A32"/>
    <w:rsid w:val="00451ABE"/>
    <w:rsid w:val="00451D21"/>
    <w:rsid w:val="00451D43"/>
    <w:rsid w:val="0045201F"/>
    <w:rsid w:val="00452239"/>
    <w:rsid w:val="00452412"/>
    <w:rsid w:val="00452593"/>
    <w:rsid w:val="00452A40"/>
    <w:rsid w:val="00452E71"/>
    <w:rsid w:val="00452F3A"/>
    <w:rsid w:val="004533BC"/>
    <w:rsid w:val="00453492"/>
    <w:rsid w:val="004539EB"/>
    <w:rsid w:val="004546B7"/>
    <w:rsid w:val="00454FA7"/>
    <w:rsid w:val="0045508C"/>
    <w:rsid w:val="00455779"/>
    <w:rsid w:val="00455B8A"/>
    <w:rsid w:val="00455B9E"/>
    <w:rsid w:val="00455CBE"/>
    <w:rsid w:val="0045621B"/>
    <w:rsid w:val="004578FF"/>
    <w:rsid w:val="004601DB"/>
    <w:rsid w:val="00460A87"/>
    <w:rsid w:val="00460F78"/>
    <w:rsid w:val="004614BC"/>
    <w:rsid w:val="004615AA"/>
    <w:rsid w:val="00461A51"/>
    <w:rsid w:val="00462F75"/>
    <w:rsid w:val="00463549"/>
    <w:rsid w:val="00463666"/>
    <w:rsid w:val="00463F3E"/>
    <w:rsid w:val="00464432"/>
    <w:rsid w:val="00464443"/>
    <w:rsid w:val="00464CFC"/>
    <w:rsid w:val="0046563C"/>
    <w:rsid w:val="0046609C"/>
    <w:rsid w:val="004660D4"/>
    <w:rsid w:val="0046659D"/>
    <w:rsid w:val="004675EC"/>
    <w:rsid w:val="00467B8E"/>
    <w:rsid w:val="00467F54"/>
    <w:rsid w:val="00470E05"/>
    <w:rsid w:val="004716AE"/>
    <w:rsid w:val="00471CBA"/>
    <w:rsid w:val="00472100"/>
    <w:rsid w:val="00472659"/>
    <w:rsid w:val="00472ED2"/>
    <w:rsid w:val="00472F1A"/>
    <w:rsid w:val="004732E7"/>
    <w:rsid w:val="00473324"/>
    <w:rsid w:val="00473C6A"/>
    <w:rsid w:val="00475160"/>
    <w:rsid w:val="004757C9"/>
    <w:rsid w:val="00475A33"/>
    <w:rsid w:val="00476657"/>
    <w:rsid w:val="00476F32"/>
    <w:rsid w:val="00477142"/>
    <w:rsid w:val="00477E84"/>
    <w:rsid w:val="00477F0C"/>
    <w:rsid w:val="00480825"/>
    <w:rsid w:val="00480DEE"/>
    <w:rsid w:val="004811D3"/>
    <w:rsid w:val="004828DA"/>
    <w:rsid w:val="00484A1A"/>
    <w:rsid w:val="00484D03"/>
    <w:rsid w:val="00485174"/>
    <w:rsid w:val="00485E46"/>
    <w:rsid w:val="00486120"/>
    <w:rsid w:val="004862A5"/>
    <w:rsid w:val="00486452"/>
    <w:rsid w:val="00486850"/>
    <w:rsid w:val="00486B0D"/>
    <w:rsid w:val="00486F38"/>
    <w:rsid w:val="00487C43"/>
    <w:rsid w:val="0049007C"/>
    <w:rsid w:val="00490443"/>
    <w:rsid w:val="004904A0"/>
    <w:rsid w:val="00490B1A"/>
    <w:rsid w:val="0049128F"/>
    <w:rsid w:val="004916D9"/>
    <w:rsid w:val="00491C0E"/>
    <w:rsid w:val="00491C1C"/>
    <w:rsid w:val="00491CB9"/>
    <w:rsid w:val="00492E12"/>
    <w:rsid w:val="004933D3"/>
    <w:rsid w:val="004947D8"/>
    <w:rsid w:val="00494809"/>
    <w:rsid w:val="00495768"/>
    <w:rsid w:val="00495A06"/>
    <w:rsid w:val="00496418"/>
    <w:rsid w:val="00496A7F"/>
    <w:rsid w:val="00496B1F"/>
    <w:rsid w:val="00496E7E"/>
    <w:rsid w:val="004971DA"/>
    <w:rsid w:val="00497676"/>
    <w:rsid w:val="0049774D"/>
    <w:rsid w:val="004978E7"/>
    <w:rsid w:val="004A09BC"/>
    <w:rsid w:val="004A0BD3"/>
    <w:rsid w:val="004A17D9"/>
    <w:rsid w:val="004A1D31"/>
    <w:rsid w:val="004A285C"/>
    <w:rsid w:val="004A2893"/>
    <w:rsid w:val="004A3476"/>
    <w:rsid w:val="004A3A9A"/>
    <w:rsid w:val="004A5413"/>
    <w:rsid w:val="004A5861"/>
    <w:rsid w:val="004A59E0"/>
    <w:rsid w:val="004A6006"/>
    <w:rsid w:val="004A6DF3"/>
    <w:rsid w:val="004A6E38"/>
    <w:rsid w:val="004A7C75"/>
    <w:rsid w:val="004A7E91"/>
    <w:rsid w:val="004B0504"/>
    <w:rsid w:val="004B0A9A"/>
    <w:rsid w:val="004B0D39"/>
    <w:rsid w:val="004B131D"/>
    <w:rsid w:val="004B1AA9"/>
    <w:rsid w:val="004B1DF0"/>
    <w:rsid w:val="004B23D7"/>
    <w:rsid w:val="004B2A00"/>
    <w:rsid w:val="004B2E7C"/>
    <w:rsid w:val="004B3191"/>
    <w:rsid w:val="004B391B"/>
    <w:rsid w:val="004B41C3"/>
    <w:rsid w:val="004B4238"/>
    <w:rsid w:val="004B4637"/>
    <w:rsid w:val="004B49EF"/>
    <w:rsid w:val="004B4B3D"/>
    <w:rsid w:val="004B4FF6"/>
    <w:rsid w:val="004B5172"/>
    <w:rsid w:val="004B51A1"/>
    <w:rsid w:val="004B5A5E"/>
    <w:rsid w:val="004B5FC6"/>
    <w:rsid w:val="004B6002"/>
    <w:rsid w:val="004B61E4"/>
    <w:rsid w:val="004B6A1A"/>
    <w:rsid w:val="004B6CB6"/>
    <w:rsid w:val="004B6F6D"/>
    <w:rsid w:val="004B7778"/>
    <w:rsid w:val="004B7E1A"/>
    <w:rsid w:val="004C07A8"/>
    <w:rsid w:val="004C111A"/>
    <w:rsid w:val="004C124F"/>
    <w:rsid w:val="004C14C6"/>
    <w:rsid w:val="004C1604"/>
    <w:rsid w:val="004C1F98"/>
    <w:rsid w:val="004C282C"/>
    <w:rsid w:val="004C2BFE"/>
    <w:rsid w:val="004C30A3"/>
    <w:rsid w:val="004C3484"/>
    <w:rsid w:val="004C3D1A"/>
    <w:rsid w:val="004C430F"/>
    <w:rsid w:val="004C480F"/>
    <w:rsid w:val="004C48DC"/>
    <w:rsid w:val="004C4948"/>
    <w:rsid w:val="004C4E86"/>
    <w:rsid w:val="004C5223"/>
    <w:rsid w:val="004C5764"/>
    <w:rsid w:val="004C5767"/>
    <w:rsid w:val="004C59DF"/>
    <w:rsid w:val="004C5AF3"/>
    <w:rsid w:val="004C5B22"/>
    <w:rsid w:val="004C5B5A"/>
    <w:rsid w:val="004C5CA9"/>
    <w:rsid w:val="004C5FB0"/>
    <w:rsid w:val="004C68B5"/>
    <w:rsid w:val="004C6A96"/>
    <w:rsid w:val="004C6B2A"/>
    <w:rsid w:val="004C6B2D"/>
    <w:rsid w:val="004C6E11"/>
    <w:rsid w:val="004C7134"/>
    <w:rsid w:val="004C7A36"/>
    <w:rsid w:val="004C7D71"/>
    <w:rsid w:val="004C7FEE"/>
    <w:rsid w:val="004C7FFA"/>
    <w:rsid w:val="004D0A17"/>
    <w:rsid w:val="004D0B09"/>
    <w:rsid w:val="004D1369"/>
    <w:rsid w:val="004D17C0"/>
    <w:rsid w:val="004D1962"/>
    <w:rsid w:val="004D19EE"/>
    <w:rsid w:val="004D1D25"/>
    <w:rsid w:val="004D2C19"/>
    <w:rsid w:val="004D3306"/>
    <w:rsid w:val="004D45FA"/>
    <w:rsid w:val="004D4BA0"/>
    <w:rsid w:val="004D4D66"/>
    <w:rsid w:val="004D4E79"/>
    <w:rsid w:val="004D4F07"/>
    <w:rsid w:val="004D536C"/>
    <w:rsid w:val="004D56A7"/>
    <w:rsid w:val="004D6AE1"/>
    <w:rsid w:val="004D6DEE"/>
    <w:rsid w:val="004D77F4"/>
    <w:rsid w:val="004E0A2E"/>
    <w:rsid w:val="004E0D46"/>
    <w:rsid w:val="004E1711"/>
    <w:rsid w:val="004E1750"/>
    <w:rsid w:val="004E1C30"/>
    <w:rsid w:val="004E1E54"/>
    <w:rsid w:val="004E2582"/>
    <w:rsid w:val="004E2EC7"/>
    <w:rsid w:val="004E3144"/>
    <w:rsid w:val="004E31D1"/>
    <w:rsid w:val="004E3AAF"/>
    <w:rsid w:val="004E4683"/>
    <w:rsid w:val="004E4A1F"/>
    <w:rsid w:val="004E54AE"/>
    <w:rsid w:val="004E5942"/>
    <w:rsid w:val="004E5D19"/>
    <w:rsid w:val="004E5F8C"/>
    <w:rsid w:val="004E60BD"/>
    <w:rsid w:val="004E64D0"/>
    <w:rsid w:val="004E771E"/>
    <w:rsid w:val="004E78CF"/>
    <w:rsid w:val="004E79B1"/>
    <w:rsid w:val="004F0458"/>
    <w:rsid w:val="004F06E7"/>
    <w:rsid w:val="004F0CF1"/>
    <w:rsid w:val="004F165E"/>
    <w:rsid w:val="004F1B82"/>
    <w:rsid w:val="004F1C24"/>
    <w:rsid w:val="004F2AD5"/>
    <w:rsid w:val="004F2C05"/>
    <w:rsid w:val="004F2C93"/>
    <w:rsid w:val="004F3596"/>
    <w:rsid w:val="004F3C51"/>
    <w:rsid w:val="004F3CE8"/>
    <w:rsid w:val="004F3FBE"/>
    <w:rsid w:val="004F49E8"/>
    <w:rsid w:val="004F4C6E"/>
    <w:rsid w:val="004F51D5"/>
    <w:rsid w:val="004F5860"/>
    <w:rsid w:val="004F5A9B"/>
    <w:rsid w:val="00500305"/>
    <w:rsid w:val="00500967"/>
    <w:rsid w:val="00500C5F"/>
    <w:rsid w:val="00501BC8"/>
    <w:rsid w:val="00501BF1"/>
    <w:rsid w:val="00501FE0"/>
    <w:rsid w:val="0050220B"/>
    <w:rsid w:val="00503717"/>
    <w:rsid w:val="00503C66"/>
    <w:rsid w:val="00503D86"/>
    <w:rsid w:val="00503EC3"/>
    <w:rsid w:val="005043E8"/>
    <w:rsid w:val="0050465B"/>
    <w:rsid w:val="00504994"/>
    <w:rsid w:val="00504C50"/>
    <w:rsid w:val="00505082"/>
    <w:rsid w:val="005051B0"/>
    <w:rsid w:val="0050586C"/>
    <w:rsid w:val="005061B1"/>
    <w:rsid w:val="00506E2E"/>
    <w:rsid w:val="005073DC"/>
    <w:rsid w:val="005074D5"/>
    <w:rsid w:val="00507536"/>
    <w:rsid w:val="005102DF"/>
    <w:rsid w:val="00510618"/>
    <w:rsid w:val="00510834"/>
    <w:rsid w:val="00510B17"/>
    <w:rsid w:val="0051105A"/>
    <w:rsid w:val="00511373"/>
    <w:rsid w:val="00511BD3"/>
    <w:rsid w:val="00511BD6"/>
    <w:rsid w:val="00511E0E"/>
    <w:rsid w:val="00512315"/>
    <w:rsid w:val="005129D4"/>
    <w:rsid w:val="00512A59"/>
    <w:rsid w:val="005135E2"/>
    <w:rsid w:val="00513C8B"/>
    <w:rsid w:val="00513F77"/>
    <w:rsid w:val="0051444D"/>
    <w:rsid w:val="005159FC"/>
    <w:rsid w:val="00515B4D"/>
    <w:rsid w:val="00515DF3"/>
    <w:rsid w:val="00516BDA"/>
    <w:rsid w:val="0051715D"/>
    <w:rsid w:val="00517531"/>
    <w:rsid w:val="00517926"/>
    <w:rsid w:val="00517AD6"/>
    <w:rsid w:val="00520D17"/>
    <w:rsid w:val="005212E4"/>
    <w:rsid w:val="00521E76"/>
    <w:rsid w:val="00521EF6"/>
    <w:rsid w:val="0052206F"/>
    <w:rsid w:val="00522BC2"/>
    <w:rsid w:val="005230B1"/>
    <w:rsid w:val="005235EE"/>
    <w:rsid w:val="00523C03"/>
    <w:rsid w:val="00524120"/>
    <w:rsid w:val="0052534C"/>
    <w:rsid w:val="00525442"/>
    <w:rsid w:val="00525450"/>
    <w:rsid w:val="0052564F"/>
    <w:rsid w:val="00525A2C"/>
    <w:rsid w:val="00525E99"/>
    <w:rsid w:val="00525EE5"/>
    <w:rsid w:val="00526497"/>
    <w:rsid w:val="005266D3"/>
    <w:rsid w:val="00526BE2"/>
    <w:rsid w:val="00526DD3"/>
    <w:rsid w:val="00526E30"/>
    <w:rsid w:val="0052700A"/>
    <w:rsid w:val="005277EA"/>
    <w:rsid w:val="00527E10"/>
    <w:rsid w:val="0053096C"/>
    <w:rsid w:val="00530E23"/>
    <w:rsid w:val="00531330"/>
    <w:rsid w:val="00531659"/>
    <w:rsid w:val="00532306"/>
    <w:rsid w:val="005324DD"/>
    <w:rsid w:val="005326BF"/>
    <w:rsid w:val="005326EF"/>
    <w:rsid w:val="005327E8"/>
    <w:rsid w:val="005329EC"/>
    <w:rsid w:val="00533889"/>
    <w:rsid w:val="00534D1B"/>
    <w:rsid w:val="0053534F"/>
    <w:rsid w:val="00535BB3"/>
    <w:rsid w:val="005360E8"/>
    <w:rsid w:val="00537ADB"/>
    <w:rsid w:val="0054003C"/>
    <w:rsid w:val="00540261"/>
    <w:rsid w:val="005412E1"/>
    <w:rsid w:val="00541558"/>
    <w:rsid w:val="00541849"/>
    <w:rsid w:val="00542B0E"/>
    <w:rsid w:val="00542F2A"/>
    <w:rsid w:val="00543134"/>
    <w:rsid w:val="0054318A"/>
    <w:rsid w:val="005432FC"/>
    <w:rsid w:val="00543622"/>
    <w:rsid w:val="00543CE3"/>
    <w:rsid w:val="00544B37"/>
    <w:rsid w:val="00544C1D"/>
    <w:rsid w:val="00544DC4"/>
    <w:rsid w:val="00544F47"/>
    <w:rsid w:val="00545FAE"/>
    <w:rsid w:val="00546502"/>
    <w:rsid w:val="00546523"/>
    <w:rsid w:val="00546F63"/>
    <w:rsid w:val="00547112"/>
    <w:rsid w:val="00547343"/>
    <w:rsid w:val="005476EF"/>
    <w:rsid w:val="005478E4"/>
    <w:rsid w:val="005479C6"/>
    <w:rsid w:val="00547CE0"/>
    <w:rsid w:val="00550625"/>
    <w:rsid w:val="0055177C"/>
    <w:rsid w:val="005517FF"/>
    <w:rsid w:val="00551877"/>
    <w:rsid w:val="00553194"/>
    <w:rsid w:val="00553421"/>
    <w:rsid w:val="005537E6"/>
    <w:rsid w:val="0055393D"/>
    <w:rsid w:val="0055410B"/>
    <w:rsid w:val="005542D1"/>
    <w:rsid w:val="005548F0"/>
    <w:rsid w:val="00554960"/>
    <w:rsid w:val="0055582A"/>
    <w:rsid w:val="005558B7"/>
    <w:rsid w:val="0055594F"/>
    <w:rsid w:val="00555E31"/>
    <w:rsid w:val="00555F57"/>
    <w:rsid w:val="00555FC1"/>
    <w:rsid w:val="00556345"/>
    <w:rsid w:val="0055649E"/>
    <w:rsid w:val="00557286"/>
    <w:rsid w:val="00557311"/>
    <w:rsid w:val="00557829"/>
    <w:rsid w:val="00560358"/>
    <w:rsid w:val="005603F5"/>
    <w:rsid w:val="00560D0B"/>
    <w:rsid w:val="00560EDA"/>
    <w:rsid w:val="00560EE0"/>
    <w:rsid w:val="00561167"/>
    <w:rsid w:val="005617AF"/>
    <w:rsid w:val="00561A0A"/>
    <w:rsid w:val="00561C26"/>
    <w:rsid w:val="00561D9B"/>
    <w:rsid w:val="00562061"/>
    <w:rsid w:val="00562616"/>
    <w:rsid w:val="005632FD"/>
    <w:rsid w:val="00564125"/>
    <w:rsid w:val="00564A59"/>
    <w:rsid w:val="00565122"/>
    <w:rsid w:val="005654CD"/>
    <w:rsid w:val="00565579"/>
    <w:rsid w:val="00565595"/>
    <w:rsid w:val="00565763"/>
    <w:rsid w:val="00565A01"/>
    <w:rsid w:val="00565D7A"/>
    <w:rsid w:val="005663DC"/>
    <w:rsid w:val="0056698B"/>
    <w:rsid w:val="00566CDA"/>
    <w:rsid w:val="00567077"/>
    <w:rsid w:val="00567897"/>
    <w:rsid w:val="00570397"/>
    <w:rsid w:val="0057067B"/>
    <w:rsid w:val="005707D0"/>
    <w:rsid w:val="0057096D"/>
    <w:rsid w:val="0057159D"/>
    <w:rsid w:val="0057166A"/>
    <w:rsid w:val="0057258C"/>
    <w:rsid w:val="005729EA"/>
    <w:rsid w:val="00572CCA"/>
    <w:rsid w:val="00572E47"/>
    <w:rsid w:val="00572F83"/>
    <w:rsid w:val="0057327C"/>
    <w:rsid w:val="00573807"/>
    <w:rsid w:val="005741E8"/>
    <w:rsid w:val="005758F6"/>
    <w:rsid w:val="00575B9E"/>
    <w:rsid w:val="005765E4"/>
    <w:rsid w:val="0057671C"/>
    <w:rsid w:val="005768EE"/>
    <w:rsid w:val="00576B0A"/>
    <w:rsid w:val="00576DAF"/>
    <w:rsid w:val="00576E29"/>
    <w:rsid w:val="0057704E"/>
    <w:rsid w:val="0057767F"/>
    <w:rsid w:val="00580202"/>
    <w:rsid w:val="00580E7C"/>
    <w:rsid w:val="005812F9"/>
    <w:rsid w:val="0058240B"/>
    <w:rsid w:val="0058251D"/>
    <w:rsid w:val="0058256A"/>
    <w:rsid w:val="00582CFC"/>
    <w:rsid w:val="005831DA"/>
    <w:rsid w:val="005836EF"/>
    <w:rsid w:val="00583B8C"/>
    <w:rsid w:val="005852D5"/>
    <w:rsid w:val="0058595C"/>
    <w:rsid w:val="00585963"/>
    <w:rsid w:val="00585B06"/>
    <w:rsid w:val="00585B9A"/>
    <w:rsid w:val="00586622"/>
    <w:rsid w:val="00586872"/>
    <w:rsid w:val="005869CE"/>
    <w:rsid w:val="00586D30"/>
    <w:rsid w:val="00587237"/>
    <w:rsid w:val="005876DD"/>
    <w:rsid w:val="00587FBF"/>
    <w:rsid w:val="00590662"/>
    <w:rsid w:val="005911CD"/>
    <w:rsid w:val="005914CF"/>
    <w:rsid w:val="005919F4"/>
    <w:rsid w:val="00591B19"/>
    <w:rsid w:val="005924EF"/>
    <w:rsid w:val="00592679"/>
    <w:rsid w:val="0059333E"/>
    <w:rsid w:val="005935AE"/>
    <w:rsid w:val="00593665"/>
    <w:rsid w:val="00593CA6"/>
    <w:rsid w:val="00594334"/>
    <w:rsid w:val="005944A9"/>
    <w:rsid w:val="005948BA"/>
    <w:rsid w:val="00594A40"/>
    <w:rsid w:val="005958F2"/>
    <w:rsid w:val="00595B1F"/>
    <w:rsid w:val="00596C04"/>
    <w:rsid w:val="00596D63"/>
    <w:rsid w:val="00596DEE"/>
    <w:rsid w:val="0059778C"/>
    <w:rsid w:val="0059790A"/>
    <w:rsid w:val="005A0829"/>
    <w:rsid w:val="005A09A6"/>
    <w:rsid w:val="005A09BB"/>
    <w:rsid w:val="005A0FC8"/>
    <w:rsid w:val="005A305A"/>
    <w:rsid w:val="005A37E0"/>
    <w:rsid w:val="005A3C14"/>
    <w:rsid w:val="005A4749"/>
    <w:rsid w:val="005A4C64"/>
    <w:rsid w:val="005A5021"/>
    <w:rsid w:val="005A5497"/>
    <w:rsid w:val="005A62D3"/>
    <w:rsid w:val="005A6423"/>
    <w:rsid w:val="005A6696"/>
    <w:rsid w:val="005A68F1"/>
    <w:rsid w:val="005A693B"/>
    <w:rsid w:val="005A6C25"/>
    <w:rsid w:val="005A710E"/>
    <w:rsid w:val="005A797F"/>
    <w:rsid w:val="005B03A6"/>
    <w:rsid w:val="005B0A00"/>
    <w:rsid w:val="005B104C"/>
    <w:rsid w:val="005B13A9"/>
    <w:rsid w:val="005B15AE"/>
    <w:rsid w:val="005B199E"/>
    <w:rsid w:val="005B1A0A"/>
    <w:rsid w:val="005B1BAA"/>
    <w:rsid w:val="005B1FA6"/>
    <w:rsid w:val="005B2081"/>
    <w:rsid w:val="005B2827"/>
    <w:rsid w:val="005B2B38"/>
    <w:rsid w:val="005B2C28"/>
    <w:rsid w:val="005B2E10"/>
    <w:rsid w:val="005B35C1"/>
    <w:rsid w:val="005B3617"/>
    <w:rsid w:val="005B3B07"/>
    <w:rsid w:val="005B5BEF"/>
    <w:rsid w:val="005B62EA"/>
    <w:rsid w:val="005B6577"/>
    <w:rsid w:val="005B69B3"/>
    <w:rsid w:val="005B76BB"/>
    <w:rsid w:val="005C0085"/>
    <w:rsid w:val="005C05DB"/>
    <w:rsid w:val="005C05FE"/>
    <w:rsid w:val="005C08A6"/>
    <w:rsid w:val="005C0F59"/>
    <w:rsid w:val="005C1605"/>
    <w:rsid w:val="005C16A7"/>
    <w:rsid w:val="005C1B5F"/>
    <w:rsid w:val="005C1C69"/>
    <w:rsid w:val="005C203A"/>
    <w:rsid w:val="005C235C"/>
    <w:rsid w:val="005C2A41"/>
    <w:rsid w:val="005C2D23"/>
    <w:rsid w:val="005C3D6C"/>
    <w:rsid w:val="005C3D9B"/>
    <w:rsid w:val="005C433E"/>
    <w:rsid w:val="005C48FB"/>
    <w:rsid w:val="005C5468"/>
    <w:rsid w:val="005C5494"/>
    <w:rsid w:val="005C6116"/>
    <w:rsid w:val="005C6400"/>
    <w:rsid w:val="005C640D"/>
    <w:rsid w:val="005C6794"/>
    <w:rsid w:val="005C68DD"/>
    <w:rsid w:val="005C72BE"/>
    <w:rsid w:val="005C73CB"/>
    <w:rsid w:val="005C77B4"/>
    <w:rsid w:val="005C7ABE"/>
    <w:rsid w:val="005D00CA"/>
    <w:rsid w:val="005D0B03"/>
    <w:rsid w:val="005D1BBB"/>
    <w:rsid w:val="005D22E5"/>
    <w:rsid w:val="005D2896"/>
    <w:rsid w:val="005D2CFA"/>
    <w:rsid w:val="005D39F9"/>
    <w:rsid w:val="005D436E"/>
    <w:rsid w:val="005D438D"/>
    <w:rsid w:val="005D49CB"/>
    <w:rsid w:val="005D4A52"/>
    <w:rsid w:val="005D4CE3"/>
    <w:rsid w:val="005D5179"/>
    <w:rsid w:val="005D561A"/>
    <w:rsid w:val="005D60FF"/>
    <w:rsid w:val="005D660A"/>
    <w:rsid w:val="005D67DD"/>
    <w:rsid w:val="005D6C0F"/>
    <w:rsid w:val="005D7B41"/>
    <w:rsid w:val="005D7BD7"/>
    <w:rsid w:val="005E168A"/>
    <w:rsid w:val="005E18F9"/>
    <w:rsid w:val="005E3148"/>
    <w:rsid w:val="005E3341"/>
    <w:rsid w:val="005E3BA7"/>
    <w:rsid w:val="005E3F32"/>
    <w:rsid w:val="005E41EC"/>
    <w:rsid w:val="005E4210"/>
    <w:rsid w:val="005E470B"/>
    <w:rsid w:val="005E49A6"/>
    <w:rsid w:val="005E553F"/>
    <w:rsid w:val="005E5B42"/>
    <w:rsid w:val="005E5B4A"/>
    <w:rsid w:val="005E5C93"/>
    <w:rsid w:val="005E66AC"/>
    <w:rsid w:val="005E6A42"/>
    <w:rsid w:val="005E7B56"/>
    <w:rsid w:val="005E7C32"/>
    <w:rsid w:val="005F01EC"/>
    <w:rsid w:val="005F026B"/>
    <w:rsid w:val="005F03AE"/>
    <w:rsid w:val="005F080F"/>
    <w:rsid w:val="005F082E"/>
    <w:rsid w:val="005F18A6"/>
    <w:rsid w:val="005F20FC"/>
    <w:rsid w:val="005F219B"/>
    <w:rsid w:val="005F2551"/>
    <w:rsid w:val="005F2AF4"/>
    <w:rsid w:val="005F2EEC"/>
    <w:rsid w:val="005F3885"/>
    <w:rsid w:val="005F39A5"/>
    <w:rsid w:val="005F42E1"/>
    <w:rsid w:val="005F43C2"/>
    <w:rsid w:val="005F4598"/>
    <w:rsid w:val="005F4921"/>
    <w:rsid w:val="005F4EB5"/>
    <w:rsid w:val="005F5644"/>
    <w:rsid w:val="005F5A23"/>
    <w:rsid w:val="005F5C2B"/>
    <w:rsid w:val="005F5D9C"/>
    <w:rsid w:val="005F5DAA"/>
    <w:rsid w:val="005F5FAB"/>
    <w:rsid w:val="005F6498"/>
    <w:rsid w:val="005F72C8"/>
    <w:rsid w:val="0060271E"/>
    <w:rsid w:val="00602AA7"/>
    <w:rsid w:val="00602E10"/>
    <w:rsid w:val="00603400"/>
    <w:rsid w:val="00603CE3"/>
    <w:rsid w:val="00603D5C"/>
    <w:rsid w:val="0060429F"/>
    <w:rsid w:val="0060435A"/>
    <w:rsid w:val="006048B5"/>
    <w:rsid w:val="00605113"/>
    <w:rsid w:val="0060522B"/>
    <w:rsid w:val="006055C4"/>
    <w:rsid w:val="0060588A"/>
    <w:rsid w:val="00605AEB"/>
    <w:rsid w:val="00605B23"/>
    <w:rsid w:val="00607373"/>
    <w:rsid w:val="0060779C"/>
    <w:rsid w:val="0060793B"/>
    <w:rsid w:val="006103BE"/>
    <w:rsid w:val="00610D0C"/>
    <w:rsid w:val="00611A65"/>
    <w:rsid w:val="00611E4A"/>
    <w:rsid w:val="006127D1"/>
    <w:rsid w:val="00612957"/>
    <w:rsid w:val="0061363E"/>
    <w:rsid w:val="006141A3"/>
    <w:rsid w:val="0061542D"/>
    <w:rsid w:val="00615714"/>
    <w:rsid w:val="00615A17"/>
    <w:rsid w:val="00615D92"/>
    <w:rsid w:val="00616FC5"/>
    <w:rsid w:val="0061735F"/>
    <w:rsid w:val="00617820"/>
    <w:rsid w:val="00620144"/>
    <w:rsid w:val="006202A3"/>
    <w:rsid w:val="006210B8"/>
    <w:rsid w:val="00621557"/>
    <w:rsid w:val="00621A78"/>
    <w:rsid w:val="00621A7E"/>
    <w:rsid w:val="00621ACD"/>
    <w:rsid w:val="00621BDC"/>
    <w:rsid w:val="006221A4"/>
    <w:rsid w:val="0062236C"/>
    <w:rsid w:val="0062257D"/>
    <w:rsid w:val="00622AEF"/>
    <w:rsid w:val="00623200"/>
    <w:rsid w:val="0062352A"/>
    <w:rsid w:val="0062358C"/>
    <w:rsid w:val="0062390F"/>
    <w:rsid w:val="00624B3C"/>
    <w:rsid w:val="00624C3E"/>
    <w:rsid w:val="006250B9"/>
    <w:rsid w:val="00625FF0"/>
    <w:rsid w:val="0062686F"/>
    <w:rsid w:val="00627344"/>
    <w:rsid w:val="00627A06"/>
    <w:rsid w:val="00627C5F"/>
    <w:rsid w:val="006300E5"/>
    <w:rsid w:val="00630B5C"/>
    <w:rsid w:val="00630DC4"/>
    <w:rsid w:val="0063133F"/>
    <w:rsid w:val="006317DA"/>
    <w:rsid w:val="00631B08"/>
    <w:rsid w:val="00631EA6"/>
    <w:rsid w:val="0063272C"/>
    <w:rsid w:val="00632D50"/>
    <w:rsid w:val="00632D6A"/>
    <w:rsid w:val="0063313F"/>
    <w:rsid w:val="0063331A"/>
    <w:rsid w:val="006336FC"/>
    <w:rsid w:val="006343CE"/>
    <w:rsid w:val="006344C2"/>
    <w:rsid w:val="0063461E"/>
    <w:rsid w:val="00635315"/>
    <w:rsid w:val="00635CE8"/>
    <w:rsid w:val="00636124"/>
    <w:rsid w:val="0063716B"/>
    <w:rsid w:val="0063774B"/>
    <w:rsid w:val="00637B2A"/>
    <w:rsid w:val="00640F7A"/>
    <w:rsid w:val="00641192"/>
    <w:rsid w:val="00642363"/>
    <w:rsid w:val="0064247B"/>
    <w:rsid w:val="00642644"/>
    <w:rsid w:val="0064280E"/>
    <w:rsid w:val="00642E2A"/>
    <w:rsid w:val="00642F61"/>
    <w:rsid w:val="006437D3"/>
    <w:rsid w:val="00644B6C"/>
    <w:rsid w:val="006450AD"/>
    <w:rsid w:val="006461EE"/>
    <w:rsid w:val="00646234"/>
    <w:rsid w:val="0064626F"/>
    <w:rsid w:val="0064639A"/>
    <w:rsid w:val="006469B9"/>
    <w:rsid w:val="00646FF6"/>
    <w:rsid w:val="006473C3"/>
    <w:rsid w:val="00647804"/>
    <w:rsid w:val="00647DDA"/>
    <w:rsid w:val="00647EAC"/>
    <w:rsid w:val="0065049F"/>
    <w:rsid w:val="00650D95"/>
    <w:rsid w:val="00650E2D"/>
    <w:rsid w:val="00650F96"/>
    <w:rsid w:val="00651D2B"/>
    <w:rsid w:val="00651D36"/>
    <w:rsid w:val="00651E20"/>
    <w:rsid w:val="00652CD0"/>
    <w:rsid w:val="00652DA8"/>
    <w:rsid w:val="006532A8"/>
    <w:rsid w:val="00653AC6"/>
    <w:rsid w:val="006550BF"/>
    <w:rsid w:val="006553AB"/>
    <w:rsid w:val="006554E4"/>
    <w:rsid w:val="00655CCE"/>
    <w:rsid w:val="00655E8A"/>
    <w:rsid w:val="0065601D"/>
    <w:rsid w:val="0065636C"/>
    <w:rsid w:val="0065672D"/>
    <w:rsid w:val="00656EF1"/>
    <w:rsid w:val="0065745F"/>
    <w:rsid w:val="00657693"/>
    <w:rsid w:val="00657F64"/>
    <w:rsid w:val="00660817"/>
    <w:rsid w:val="00660C1F"/>
    <w:rsid w:val="00661060"/>
    <w:rsid w:val="0066119B"/>
    <w:rsid w:val="00662554"/>
    <w:rsid w:val="00662B1C"/>
    <w:rsid w:val="00662B44"/>
    <w:rsid w:val="00662B61"/>
    <w:rsid w:val="006630C0"/>
    <w:rsid w:val="006632AE"/>
    <w:rsid w:val="00663EE5"/>
    <w:rsid w:val="00663EF8"/>
    <w:rsid w:val="006641E4"/>
    <w:rsid w:val="006649E6"/>
    <w:rsid w:val="00664DDB"/>
    <w:rsid w:val="00665777"/>
    <w:rsid w:val="00665BC3"/>
    <w:rsid w:val="00665FEC"/>
    <w:rsid w:val="006678E2"/>
    <w:rsid w:val="00667A02"/>
    <w:rsid w:val="0067058D"/>
    <w:rsid w:val="0067079F"/>
    <w:rsid w:val="006707C7"/>
    <w:rsid w:val="00670980"/>
    <w:rsid w:val="0067124C"/>
    <w:rsid w:val="0067126A"/>
    <w:rsid w:val="0067174F"/>
    <w:rsid w:val="006717EE"/>
    <w:rsid w:val="006720AE"/>
    <w:rsid w:val="00672917"/>
    <w:rsid w:val="00672C85"/>
    <w:rsid w:val="0067308D"/>
    <w:rsid w:val="00673B6D"/>
    <w:rsid w:val="00673FEC"/>
    <w:rsid w:val="006740A2"/>
    <w:rsid w:val="0067439E"/>
    <w:rsid w:val="006744C8"/>
    <w:rsid w:val="00674650"/>
    <w:rsid w:val="00674E67"/>
    <w:rsid w:val="00675FAF"/>
    <w:rsid w:val="006760FF"/>
    <w:rsid w:val="0067665B"/>
    <w:rsid w:val="0067673F"/>
    <w:rsid w:val="00677A22"/>
    <w:rsid w:val="0068058C"/>
    <w:rsid w:val="00680976"/>
    <w:rsid w:val="00680E84"/>
    <w:rsid w:val="006813D4"/>
    <w:rsid w:val="00681708"/>
    <w:rsid w:val="00681C89"/>
    <w:rsid w:val="00682847"/>
    <w:rsid w:val="00682C5D"/>
    <w:rsid w:val="0068323B"/>
    <w:rsid w:val="00683680"/>
    <w:rsid w:val="00684A68"/>
    <w:rsid w:val="006854F7"/>
    <w:rsid w:val="006867F6"/>
    <w:rsid w:val="00686E39"/>
    <w:rsid w:val="00687070"/>
    <w:rsid w:val="00687131"/>
    <w:rsid w:val="00687BDF"/>
    <w:rsid w:val="00687EC5"/>
    <w:rsid w:val="006900E0"/>
    <w:rsid w:val="00690824"/>
    <w:rsid w:val="006909CE"/>
    <w:rsid w:val="0069271E"/>
    <w:rsid w:val="00692798"/>
    <w:rsid w:val="00692C9B"/>
    <w:rsid w:val="00693568"/>
    <w:rsid w:val="00693AF4"/>
    <w:rsid w:val="00693F24"/>
    <w:rsid w:val="006943B2"/>
    <w:rsid w:val="00694406"/>
    <w:rsid w:val="00694BE5"/>
    <w:rsid w:val="00694FF9"/>
    <w:rsid w:val="0069563C"/>
    <w:rsid w:val="0069573E"/>
    <w:rsid w:val="006963A6"/>
    <w:rsid w:val="0069645F"/>
    <w:rsid w:val="0069687F"/>
    <w:rsid w:val="00696C70"/>
    <w:rsid w:val="006976AE"/>
    <w:rsid w:val="00697AC1"/>
    <w:rsid w:val="006A00A0"/>
    <w:rsid w:val="006A0197"/>
    <w:rsid w:val="006A0FCE"/>
    <w:rsid w:val="006A1CE8"/>
    <w:rsid w:val="006A27B0"/>
    <w:rsid w:val="006A2CEF"/>
    <w:rsid w:val="006A3CD8"/>
    <w:rsid w:val="006A3F0E"/>
    <w:rsid w:val="006A3FE9"/>
    <w:rsid w:val="006A4219"/>
    <w:rsid w:val="006A436F"/>
    <w:rsid w:val="006A4476"/>
    <w:rsid w:val="006A4B31"/>
    <w:rsid w:val="006A4BC3"/>
    <w:rsid w:val="006A4EE4"/>
    <w:rsid w:val="006A56CE"/>
    <w:rsid w:val="006A5DD0"/>
    <w:rsid w:val="006A5FAF"/>
    <w:rsid w:val="006A7338"/>
    <w:rsid w:val="006A740A"/>
    <w:rsid w:val="006A7BB6"/>
    <w:rsid w:val="006A7CE4"/>
    <w:rsid w:val="006B04CB"/>
    <w:rsid w:val="006B06D6"/>
    <w:rsid w:val="006B0D48"/>
    <w:rsid w:val="006B0D4A"/>
    <w:rsid w:val="006B0F34"/>
    <w:rsid w:val="006B1292"/>
    <w:rsid w:val="006B12EB"/>
    <w:rsid w:val="006B1465"/>
    <w:rsid w:val="006B176D"/>
    <w:rsid w:val="006B19FB"/>
    <w:rsid w:val="006B1B63"/>
    <w:rsid w:val="006B234D"/>
    <w:rsid w:val="006B2DAA"/>
    <w:rsid w:val="006B31C3"/>
    <w:rsid w:val="006B39E9"/>
    <w:rsid w:val="006B46F2"/>
    <w:rsid w:val="006B483F"/>
    <w:rsid w:val="006B5152"/>
    <w:rsid w:val="006B519B"/>
    <w:rsid w:val="006B5BC7"/>
    <w:rsid w:val="006B5F56"/>
    <w:rsid w:val="006B5F7E"/>
    <w:rsid w:val="006B6604"/>
    <w:rsid w:val="006B6764"/>
    <w:rsid w:val="006B68F3"/>
    <w:rsid w:val="006B71E3"/>
    <w:rsid w:val="006B72F6"/>
    <w:rsid w:val="006B73BD"/>
    <w:rsid w:val="006B743F"/>
    <w:rsid w:val="006B7D28"/>
    <w:rsid w:val="006B7F60"/>
    <w:rsid w:val="006C0EE8"/>
    <w:rsid w:val="006C144D"/>
    <w:rsid w:val="006C181F"/>
    <w:rsid w:val="006C1849"/>
    <w:rsid w:val="006C1B75"/>
    <w:rsid w:val="006C1DA9"/>
    <w:rsid w:val="006C202E"/>
    <w:rsid w:val="006C2101"/>
    <w:rsid w:val="006C26D7"/>
    <w:rsid w:val="006C29EE"/>
    <w:rsid w:val="006C2A70"/>
    <w:rsid w:val="006C3F92"/>
    <w:rsid w:val="006C4214"/>
    <w:rsid w:val="006C486E"/>
    <w:rsid w:val="006C4A70"/>
    <w:rsid w:val="006C5433"/>
    <w:rsid w:val="006C621B"/>
    <w:rsid w:val="006C6597"/>
    <w:rsid w:val="006C6A0F"/>
    <w:rsid w:val="006C7444"/>
    <w:rsid w:val="006C75D4"/>
    <w:rsid w:val="006C7877"/>
    <w:rsid w:val="006C7B5E"/>
    <w:rsid w:val="006C7C6C"/>
    <w:rsid w:val="006D028D"/>
    <w:rsid w:val="006D058B"/>
    <w:rsid w:val="006D120C"/>
    <w:rsid w:val="006D1228"/>
    <w:rsid w:val="006D14AE"/>
    <w:rsid w:val="006D1BD8"/>
    <w:rsid w:val="006D2E4F"/>
    <w:rsid w:val="006D3338"/>
    <w:rsid w:val="006D3BF3"/>
    <w:rsid w:val="006D3FA4"/>
    <w:rsid w:val="006D4198"/>
    <w:rsid w:val="006D436A"/>
    <w:rsid w:val="006D43D6"/>
    <w:rsid w:val="006D4566"/>
    <w:rsid w:val="006D4623"/>
    <w:rsid w:val="006D46E8"/>
    <w:rsid w:val="006D50BD"/>
    <w:rsid w:val="006D53A0"/>
    <w:rsid w:val="006D57A9"/>
    <w:rsid w:val="006D5CCE"/>
    <w:rsid w:val="006D5F9B"/>
    <w:rsid w:val="006D62C0"/>
    <w:rsid w:val="006D63CA"/>
    <w:rsid w:val="006D6A65"/>
    <w:rsid w:val="006D72D0"/>
    <w:rsid w:val="006E0122"/>
    <w:rsid w:val="006E074D"/>
    <w:rsid w:val="006E0BB4"/>
    <w:rsid w:val="006E176F"/>
    <w:rsid w:val="006E1881"/>
    <w:rsid w:val="006E1CA1"/>
    <w:rsid w:val="006E1EFC"/>
    <w:rsid w:val="006E2CB7"/>
    <w:rsid w:val="006E31EA"/>
    <w:rsid w:val="006E39B1"/>
    <w:rsid w:val="006E4843"/>
    <w:rsid w:val="006E5A26"/>
    <w:rsid w:val="006E5DB0"/>
    <w:rsid w:val="006E6494"/>
    <w:rsid w:val="006E6D0B"/>
    <w:rsid w:val="006E77BC"/>
    <w:rsid w:val="006E7CFB"/>
    <w:rsid w:val="006F07EB"/>
    <w:rsid w:val="006F0C57"/>
    <w:rsid w:val="006F1103"/>
    <w:rsid w:val="006F189D"/>
    <w:rsid w:val="006F2643"/>
    <w:rsid w:val="006F2716"/>
    <w:rsid w:val="006F2E79"/>
    <w:rsid w:val="006F31E7"/>
    <w:rsid w:val="006F4911"/>
    <w:rsid w:val="006F4DC7"/>
    <w:rsid w:val="006F500C"/>
    <w:rsid w:val="006F5080"/>
    <w:rsid w:val="006F6740"/>
    <w:rsid w:val="006F6775"/>
    <w:rsid w:val="007003FE"/>
    <w:rsid w:val="00700502"/>
    <w:rsid w:val="00700874"/>
    <w:rsid w:val="00701B11"/>
    <w:rsid w:val="00701B55"/>
    <w:rsid w:val="00701DD1"/>
    <w:rsid w:val="00701F08"/>
    <w:rsid w:val="0070262F"/>
    <w:rsid w:val="00702B09"/>
    <w:rsid w:val="00702CB5"/>
    <w:rsid w:val="00703653"/>
    <w:rsid w:val="00703709"/>
    <w:rsid w:val="00704958"/>
    <w:rsid w:val="00704995"/>
    <w:rsid w:val="00704F1C"/>
    <w:rsid w:val="007052A9"/>
    <w:rsid w:val="007057B8"/>
    <w:rsid w:val="00705CB9"/>
    <w:rsid w:val="00705CCE"/>
    <w:rsid w:val="00706508"/>
    <w:rsid w:val="007071AA"/>
    <w:rsid w:val="0070731E"/>
    <w:rsid w:val="00707AE5"/>
    <w:rsid w:val="00707B2D"/>
    <w:rsid w:val="00707FEA"/>
    <w:rsid w:val="00710571"/>
    <w:rsid w:val="007106CF"/>
    <w:rsid w:val="00710C82"/>
    <w:rsid w:val="007111CB"/>
    <w:rsid w:val="007111DF"/>
    <w:rsid w:val="00711D5E"/>
    <w:rsid w:val="00712086"/>
    <w:rsid w:val="007126D7"/>
    <w:rsid w:val="00712706"/>
    <w:rsid w:val="00712A22"/>
    <w:rsid w:val="00712B8C"/>
    <w:rsid w:val="00713271"/>
    <w:rsid w:val="00714EF6"/>
    <w:rsid w:val="00714FF0"/>
    <w:rsid w:val="007152DF"/>
    <w:rsid w:val="00715C5A"/>
    <w:rsid w:val="00716CE1"/>
    <w:rsid w:val="007177CA"/>
    <w:rsid w:val="00717868"/>
    <w:rsid w:val="00717A77"/>
    <w:rsid w:val="00717F86"/>
    <w:rsid w:val="00717FD5"/>
    <w:rsid w:val="007201E4"/>
    <w:rsid w:val="00720573"/>
    <w:rsid w:val="007207BB"/>
    <w:rsid w:val="007207F1"/>
    <w:rsid w:val="007212D3"/>
    <w:rsid w:val="007213F8"/>
    <w:rsid w:val="00721883"/>
    <w:rsid w:val="00722674"/>
    <w:rsid w:val="00722835"/>
    <w:rsid w:val="00722F83"/>
    <w:rsid w:val="007230A8"/>
    <w:rsid w:val="007230E4"/>
    <w:rsid w:val="007231B5"/>
    <w:rsid w:val="007234C8"/>
    <w:rsid w:val="00723F60"/>
    <w:rsid w:val="007242E3"/>
    <w:rsid w:val="00724377"/>
    <w:rsid w:val="007245E0"/>
    <w:rsid w:val="00724677"/>
    <w:rsid w:val="0072505B"/>
    <w:rsid w:val="00725150"/>
    <w:rsid w:val="00726CF5"/>
    <w:rsid w:val="00727898"/>
    <w:rsid w:val="0072799C"/>
    <w:rsid w:val="007279CD"/>
    <w:rsid w:val="00727CA4"/>
    <w:rsid w:val="00730691"/>
    <w:rsid w:val="007316EC"/>
    <w:rsid w:val="00731787"/>
    <w:rsid w:val="00731D4A"/>
    <w:rsid w:val="00732118"/>
    <w:rsid w:val="0073230B"/>
    <w:rsid w:val="007336EF"/>
    <w:rsid w:val="00733DDD"/>
    <w:rsid w:val="00733DF4"/>
    <w:rsid w:val="0073435D"/>
    <w:rsid w:val="00734741"/>
    <w:rsid w:val="0073483A"/>
    <w:rsid w:val="00734A48"/>
    <w:rsid w:val="007351EF"/>
    <w:rsid w:val="00736FE5"/>
    <w:rsid w:val="007371F0"/>
    <w:rsid w:val="00737235"/>
    <w:rsid w:val="0073730F"/>
    <w:rsid w:val="00737A18"/>
    <w:rsid w:val="00737B34"/>
    <w:rsid w:val="00737F4B"/>
    <w:rsid w:val="007409D0"/>
    <w:rsid w:val="00741431"/>
    <w:rsid w:val="0074204B"/>
    <w:rsid w:val="00742122"/>
    <w:rsid w:val="00742978"/>
    <w:rsid w:val="0074342F"/>
    <w:rsid w:val="00743CD8"/>
    <w:rsid w:val="00743F1D"/>
    <w:rsid w:val="00743F32"/>
    <w:rsid w:val="00744CEC"/>
    <w:rsid w:val="00744E75"/>
    <w:rsid w:val="00744F40"/>
    <w:rsid w:val="00745130"/>
    <w:rsid w:val="007451B8"/>
    <w:rsid w:val="00745311"/>
    <w:rsid w:val="007465A9"/>
    <w:rsid w:val="007467A3"/>
    <w:rsid w:val="0074689E"/>
    <w:rsid w:val="00746FDF"/>
    <w:rsid w:val="00747095"/>
    <w:rsid w:val="007471F8"/>
    <w:rsid w:val="00747640"/>
    <w:rsid w:val="0075033D"/>
    <w:rsid w:val="007509BE"/>
    <w:rsid w:val="0075111C"/>
    <w:rsid w:val="0075164A"/>
    <w:rsid w:val="00751B8E"/>
    <w:rsid w:val="00751D2C"/>
    <w:rsid w:val="007528C6"/>
    <w:rsid w:val="00752BA9"/>
    <w:rsid w:val="00752DA1"/>
    <w:rsid w:val="00753AC2"/>
    <w:rsid w:val="00753CAB"/>
    <w:rsid w:val="00753FAA"/>
    <w:rsid w:val="00754161"/>
    <w:rsid w:val="007547B9"/>
    <w:rsid w:val="00754F2E"/>
    <w:rsid w:val="00755BF3"/>
    <w:rsid w:val="00755D43"/>
    <w:rsid w:val="00756041"/>
    <w:rsid w:val="007574F0"/>
    <w:rsid w:val="00757D09"/>
    <w:rsid w:val="00760110"/>
    <w:rsid w:val="0076012B"/>
    <w:rsid w:val="00760266"/>
    <w:rsid w:val="00760364"/>
    <w:rsid w:val="0076057B"/>
    <w:rsid w:val="007609EC"/>
    <w:rsid w:val="00761E68"/>
    <w:rsid w:val="007624BA"/>
    <w:rsid w:val="007630C4"/>
    <w:rsid w:val="0076370D"/>
    <w:rsid w:val="00763870"/>
    <w:rsid w:val="00763874"/>
    <w:rsid w:val="00764057"/>
    <w:rsid w:val="007641D1"/>
    <w:rsid w:val="00764264"/>
    <w:rsid w:val="00766004"/>
    <w:rsid w:val="007661CB"/>
    <w:rsid w:val="00766C5E"/>
    <w:rsid w:val="00766DE1"/>
    <w:rsid w:val="0076738B"/>
    <w:rsid w:val="0076749A"/>
    <w:rsid w:val="007675A5"/>
    <w:rsid w:val="0076797C"/>
    <w:rsid w:val="007700EF"/>
    <w:rsid w:val="0077099F"/>
    <w:rsid w:val="00770C0B"/>
    <w:rsid w:val="00770D5B"/>
    <w:rsid w:val="00770EB5"/>
    <w:rsid w:val="00771465"/>
    <w:rsid w:val="00772AE8"/>
    <w:rsid w:val="00772F61"/>
    <w:rsid w:val="00772F84"/>
    <w:rsid w:val="00772FE9"/>
    <w:rsid w:val="0077325B"/>
    <w:rsid w:val="00773327"/>
    <w:rsid w:val="00773A05"/>
    <w:rsid w:val="00775E32"/>
    <w:rsid w:val="00776166"/>
    <w:rsid w:val="00776BB1"/>
    <w:rsid w:val="007778F8"/>
    <w:rsid w:val="00777FC7"/>
    <w:rsid w:val="007801B1"/>
    <w:rsid w:val="0078050C"/>
    <w:rsid w:val="00780819"/>
    <w:rsid w:val="00780E3B"/>
    <w:rsid w:val="0078111A"/>
    <w:rsid w:val="007813DE"/>
    <w:rsid w:val="00781B81"/>
    <w:rsid w:val="00782046"/>
    <w:rsid w:val="00782564"/>
    <w:rsid w:val="00783F17"/>
    <w:rsid w:val="00783F7E"/>
    <w:rsid w:val="00784104"/>
    <w:rsid w:val="00784744"/>
    <w:rsid w:val="00784F32"/>
    <w:rsid w:val="00785003"/>
    <w:rsid w:val="00785237"/>
    <w:rsid w:val="007859E0"/>
    <w:rsid w:val="00785C95"/>
    <w:rsid w:val="00785FB4"/>
    <w:rsid w:val="00785FBD"/>
    <w:rsid w:val="00786176"/>
    <w:rsid w:val="007864A0"/>
    <w:rsid w:val="00786825"/>
    <w:rsid w:val="00786D71"/>
    <w:rsid w:val="00786EBD"/>
    <w:rsid w:val="00787905"/>
    <w:rsid w:val="00787C0A"/>
    <w:rsid w:val="00787C3E"/>
    <w:rsid w:val="00787EB6"/>
    <w:rsid w:val="007901E1"/>
    <w:rsid w:val="007907B2"/>
    <w:rsid w:val="0079125B"/>
    <w:rsid w:val="007912F8"/>
    <w:rsid w:val="007915FB"/>
    <w:rsid w:val="00791CB7"/>
    <w:rsid w:val="00791CBE"/>
    <w:rsid w:val="00791DF5"/>
    <w:rsid w:val="007928DF"/>
    <w:rsid w:val="0079395C"/>
    <w:rsid w:val="00793ABC"/>
    <w:rsid w:val="00794A98"/>
    <w:rsid w:val="00794D3D"/>
    <w:rsid w:val="00794F6E"/>
    <w:rsid w:val="00794FCD"/>
    <w:rsid w:val="00795456"/>
    <w:rsid w:val="00796168"/>
    <w:rsid w:val="007963B0"/>
    <w:rsid w:val="007966D2"/>
    <w:rsid w:val="00796B15"/>
    <w:rsid w:val="00796E81"/>
    <w:rsid w:val="00797310"/>
    <w:rsid w:val="00797E5B"/>
    <w:rsid w:val="007A041D"/>
    <w:rsid w:val="007A07E9"/>
    <w:rsid w:val="007A0C0D"/>
    <w:rsid w:val="007A23C7"/>
    <w:rsid w:val="007A274D"/>
    <w:rsid w:val="007A28BD"/>
    <w:rsid w:val="007A3974"/>
    <w:rsid w:val="007A424A"/>
    <w:rsid w:val="007A431C"/>
    <w:rsid w:val="007A452D"/>
    <w:rsid w:val="007A4C7E"/>
    <w:rsid w:val="007A55F1"/>
    <w:rsid w:val="007A5C8F"/>
    <w:rsid w:val="007A626F"/>
    <w:rsid w:val="007A634D"/>
    <w:rsid w:val="007A63C6"/>
    <w:rsid w:val="007A6723"/>
    <w:rsid w:val="007A6CA4"/>
    <w:rsid w:val="007B0663"/>
    <w:rsid w:val="007B0B6D"/>
    <w:rsid w:val="007B0C7D"/>
    <w:rsid w:val="007B160E"/>
    <w:rsid w:val="007B1670"/>
    <w:rsid w:val="007B2AD2"/>
    <w:rsid w:val="007B2B64"/>
    <w:rsid w:val="007B3246"/>
    <w:rsid w:val="007B3348"/>
    <w:rsid w:val="007B3638"/>
    <w:rsid w:val="007B3AE2"/>
    <w:rsid w:val="007B3C6A"/>
    <w:rsid w:val="007B3D73"/>
    <w:rsid w:val="007B4655"/>
    <w:rsid w:val="007B49FB"/>
    <w:rsid w:val="007B4BB1"/>
    <w:rsid w:val="007B5406"/>
    <w:rsid w:val="007B588F"/>
    <w:rsid w:val="007B5D53"/>
    <w:rsid w:val="007B5E2F"/>
    <w:rsid w:val="007B5F9E"/>
    <w:rsid w:val="007B6340"/>
    <w:rsid w:val="007B6473"/>
    <w:rsid w:val="007B6710"/>
    <w:rsid w:val="007B6896"/>
    <w:rsid w:val="007B6F51"/>
    <w:rsid w:val="007B7877"/>
    <w:rsid w:val="007C0F80"/>
    <w:rsid w:val="007C1BC4"/>
    <w:rsid w:val="007C23B9"/>
    <w:rsid w:val="007C2D5D"/>
    <w:rsid w:val="007C422F"/>
    <w:rsid w:val="007C4245"/>
    <w:rsid w:val="007C42FD"/>
    <w:rsid w:val="007C4558"/>
    <w:rsid w:val="007C4B03"/>
    <w:rsid w:val="007C53D2"/>
    <w:rsid w:val="007C6867"/>
    <w:rsid w:val="007C6DAC"/>
    <w:rsid w:val="007C73D2"/>
    <w:rsid w:val="007C7797"/>
    <w:rsid w:val="007C7874"/>
    <w:rsid w:val="007C7981"/>
    <w:rsid w:val="007D087A"/>
    <w:rsid w:val="007D18D9"/>
    <w:rsid w:val="007D1E45"/>
    <w:rsid w:val="007D2A55"/>
    <w:rsid w:val="007D301A"/>
    <w:rsid w:val="007D3033"/>
    <w:rsid w:val="007D32F7"/>
    <w:rsid w:val="007D334B"/>
    <w:rsid w:val="007D366D"/>
    <w:rsid w:val="007D3AEB"/>
    <w:rsid w:val="007D3C72"/>
    <w:rsid w:val="007D42C4"/>
    <w:rsid w:val="007D461F"/>
    <w:rsid w:val="007D4A6B"/>
    <w:rsid w:val="007D5115"/>
    <w:rsid w:val="007D5160"/>
    <w:rsid w:val="007D547A"/>
    <w:rsid w:val="007D5C1A"/>
    <w:rsid w:val="007D5D0A"/>
    <w:rsid w:val="007D6072"/>
    <w:rsid w:val="007D62E0"/>
    <w:rsid w:val="007D640A"/>
    <w:rsid w:val="007D6446"/>
    <w:rsid w:val="007D6474"/>
    <w:rsid w:val="007D6B17"/>
    <w:rsid w:val="007D7443"/>
    <w:rsid w:val="007D7606"/>
    <w:rsid w:val="007E0704"/>
    <w:rsid w:val="007E0C3C"/>
    <w:rsid w:val="007E13D5"/>
    <w:rsid w:val="007E16FB"/>
    <w:rsid w:val="007E19D0"/>
    <w:rsid w:val="007E1C86"/>
    <w:rsid w:val="007E26F1"/>
    <w:rsid w:val="007E2CF3"/>
    <w:rsid w:val="007E320C"/>
    <w:rsid w:val="007E3419"/>
    <w:rsid w:val="007E3458"/>
    <w:rsid w:val="007E357B"/>
    <w:rsid w:val="007E379E"/>
    <w:rsid w:val="007E4554"/>
    <w:rsid w:val="007E484F"/>
    <w:rsid w:val="007E4911"/>
    <w:rsid w:val="007E59B2"/>
    <w:rsid w:val="007E5BCD"/>
    <w:rsid w:val="007E6169"/>
    <w:rsid w:val="007E619A"/>
    <w:rsid w:val="007E6236"/>
    <w:rsid w:val="007E6E78"/>
    <w:rsid w:val="007E7602"/>
    <w:rsid w:val="007E78ED"/>
    <w:rsid w:val="007F0B1C"/>
    <w:rsid w:val="007F1247"/>
    <w:rsid w:val="007F1278"/>
    <w:rsid w:val="007F18EF"/>
    <w:rsid w:val="007F2402"/>
    <w:rsid w:val="007F28EB"/>
    <w:rsid w:val="007F2BAB"/>
    <w:rsid w:val="007F2C9F"/>
    <w:rsid w:val="007F2E89"/>
    <w:rsid w:val="007F2ED3"/>
    <w:rsid w:val="007F4681"/>
    <w:rsid w:val="007F5A83"/>
    <w:rsid w:val="007F5D6B"/>
    <w:rsid w:val="007F5EE4"/>
    <w:rsid w:val="007F604C"/>
    <w:rsid w:val="007F64C4"/>
    <w:rsid w:val="007F6B99"/>
    <w:rsid w:val="007F6D7A"/>
    <w:rsid w:val="007F6F33"/>
    <w:rsid w:val="007F6FD8"/>
    <w:rsid w:val="007F77A0"/>
    <w:rsid w:val="007F77C4"/>
    <w:rsid w:val="007F7EBD"/>
    <w:rsid w:val="0080012A"/>
    <w:rsid w:val="00800C49"/>
    <w:rsid w:val="00801862"/>
    <w:rsid w:val="0080195C"/>
    <w:rsid w:val="00801B49"/>
    <w:rsid w:val="00802073"/>
    <w:rsid w:val="00803744"/>
    <w:rsid w:val="00803901"/>
    <w:rsid w:val="008047D6"/>
    <w:rsid w:val="008048DC"/>
    <w:rsid w:val="0080495E"/>
    <w:rsid w:val="00804A90"/>
    <w:rsid w:val="00804B66"/>
    <w:rsid w:val="0080537A"/>
    <w:rsid w:val="0080560E"/>
    <w:rsid w:val="0080562E"/>
    <w:rsid w:val="00805700"/>
    <w:rsid w:val="00805D39"/>
    <w:rsid w:val="00807A58"/>
    <w:rsid w:val="00807D21"/>
    <w:rsid w:val="00807DF2"/>
    <w:rsid w:val="00810981"/>
    <w:rsid w:val="00811530"/>
    <w:rsid w:val="008116BA"/>
    <w:rsid w:val="008120AB"/>
    <w:rsid w:val="0081266C"/>
    <w:rsid w:val="00812AD9"/>
    <w:rsid w:val="00813BF0"/>
    <w:rsid w:val="00813F2F"/>
    <w:rsid w:val="008145D6"/>
    <w:rsid w:val="00815B6D"/>
    <w:rsid w:val="00815E22"/>
    <w:rsid w:val="00816305"/>
    <w:rsid w:val="0081685B"/>
    <w:rsid w:val="008168AD"/>
    <w:rsid w:val="00816FAA"/>
    <w:rsid w:val="008171C4"/>
    <w:rsid w:val="00817497"/>
    <w:rsid w:val="00817574"/>
    <w:rsid w:val="00817C22"/>
    <w:rsid w:val="00817C6A"/>
    <w:rsid w:val="00817E99"/>
    <w:rsid w:val="00820175"/>
    <w:rsid w:val="008206E4"/>
    <w:rsid w:val="0082091C"/>
    <w:rsid w:val="00820975"/>
    <w:rsid w:val="008210CA"/>
    <w:rsid w:val="00821503"/>
    <w:rsid w:val="008217FB"/>
    <w:rsid w:val="00821988"/>
    <w:rsid w:val="00821E59"/>
    <w:rsid w:val="008233F2"/>
    <w:rsid w:val="0082388D"/>
    <w:rsid w:val="00823ABF"/>
    <w:rsid w:val="00823B80"/>
    <w:rsid w:val="00823DC9"/>
    <w:rsid w:val="00823FA2"/>
    <w:rsid w:val="00824AD4"/>
    <w:rsid w:val="00825771"/>
    <w:rsid w:val="0082590A"/>
    <w:rsid w:val="008259B5"/>
    <w:rsid w:val="00826C7A"/>
    <w:rsid w:val="00827D9F"/>
    <w:rsid w:val="00827F39"/>
    <w:rsid w:val="008306C1"/>
    <w:rsid w:val="008307E6"/>
    <w:rsid w:val="00830814"/>
    <w:rsid w:val="00830AAF"/>
    <w:rsid w:val="00830C56"/>
    <w:rsid w:val="00831591"/>
    <w:rsid w:val="00832BB9"/>
    <w:rsid w:val="00832C9C"/>
    <w:rsid w:val="00832FE7"/>
    <w:rsid w:val="008330A3"/>
    <w:rsid w:val="00833332"/>
    <w:rsid w:val="0083434E"/>
    <w:rsid w:val="0083564E"/>
    <w:rsid w:val="008356E6"/>
    <w:rsid w:val="008358EA"/>
    <w:rsid w:val="00835A56"/>
    <w:rsid w:val="00835A9F"/>
    <w:rsid w:val="00835D87"/>
    <w:rsid w:val="00835D93"/>
    <w:rsid w:val="008363EA"/>
    <w:rsid w:val="00837128"/>
    <w:rsid w:val="0083748F"/>
    <w:rsid w:val="00837A45"/>
    <w:rsid w:val="00840889"/>
    <w:rsid w:val="008408F1"/>
    <w:rsid w:val="00840DE4"/>
    <w:rsid w:val="008419E1"/>
    <w:rsid w:val="00841B10"/>
    <w:rsid w:val="00841C87"/>
    <w:rsid w:val="00842398"/>
    <w:rsid w:val="008423F6"/>
    <w:rsid w:val="008425CC"/>
    <w:rsid w:val="00842E9E"/>
    <w:rsid w:val="00842F7F"/>
    <w:rsid w:val="00843241"/>
    <w:rsid w:val="00843D66"/>
    <w:rsid w:val="00844186"/>
    <w:rsid w:val="00844782"/>
    <w:rsid w:val="00844C17"/>
    <w:rsid w:val="00844FFC"/>
    <w:rsid w:val="00845569"/>
    <w:rsid w:val="0084709E"/>
    <w:rsid w:val="008478D6"/>
    <w:rsid w:val="00847D35"/>
    <w:rsid w:val="008502AB"/>
    <w:rsid w:val="0085041D"/>
    <w:rsid w:val="008504C2"/>
    <w:rsid w:val="00850664"/>
    <w:rsid w:val="00851C46"/>
    <w:rsid w:val="00851FAC"/>
    <w:rsid w:val="00852527"/>
    <w:rsid w:val="00852568"/>
    <w:rsid w:val="00852587"/>
    <w:rsid w:val="008530E3"/>
    <w:rsid w:val="00853156"/>
    <w:rsid w:val="00853466"/>
    <w:rsid w:val="008535A6"/>
    <w:rsid w:val="00853A8C"/>
    <w:rsid w:val="00854671"/>
    <w:rsid w:val="00856AF0"/>
    <w:rsid w:val="0085779A"/>
    <w:rsid w:val="008604CC"/>
    <w:rsid w:val="008605EB"/>
    <w:rsid w:val="00860633"/>
    <w:rsid w:val="00860EB3"/>
    <w:rsid w:val="008614B5"/>
    <w:rsid w:val="00861C93"/>
    <w:rsid w:val="00862472"/>
    <w:rsid w:val="008626CE"/>
    <w:rsid w:val="00862912"/>
    <w:rsid w:val="00862A3F"/>
    <w:rsid w:val="008630B5"/>
    <w:rsid w:val="00863992"/>
    <w:rsid w:val="00866509"/>
    <w:rsid w:val="00866541"/>
    <w:rsid w:val="00867C6C"/>
    <w:rsid w:val="00867E9C"/>
    <w:rsid w:val="00870C2E"/>
    <w:rsid w:val="00870C9A"/>
    <w:rsid w:val="00870DAA"/>
    <w:rsid w:val="0087121E"/>
    <w:rsid w:val="00871635"/>
    <w:rsid w:val="008718B4"/>
    <w:rsid w:val="00871AA7"/>
    <w:rsid w:val="0087271C"/>
    <w:rsid w:val="00873262"/>
    <w:rsid w:val="008738DA"/>
    <w:rsid w:val="00873E15"/>
    <w:rsid w:val="008751DF"/>
    <w:rsid w:val="00875855"/>
    <w:rsid w:val="00875BB4"/>
    <w:rsid w:val="00875C89"/>
    <w:rsid w:val="00875E24"/>
    <w:rsid w:val="008766F4"/>
    <w:rsid w:val="00877AF4"/>
    <w:rsid w:val="00877C16"/>
    <w:rsid w:val="008803E5"/>
    <w:rsid w:val="008806E7"/>
    <w:rsid w:val="00881B3C"/>
    <w:rsid w:val="00881B78"/>
    <w:rsid w:val="008821BF"/>
    <w:rsid w:val="008825A4"/>
    <w:rsid w:val="00882882"/>
    <w:rsid w:val="00882A0D"/>
    <w:rsid w:val="00883C62"/>
    <w:rsid w:val="00884064"/>
    <w:rsid w:val="008845A2"/>
    <w:rsid w:val="008847BC"/>
    <w:rsid w:val="00884E87"/>
    <w:rsid w:val="008850E2"/>
    <w:rsid w:val="00885745"/>
    <w:rsid w:val="00885A0C"/>
    <w:rsid w:val="0088635E"/>
    <w:rsid w:val="00886AF6"/>
    <w:rsid w:val="00887996"/>
    <w:rsid w:val="0089057A"/>
    <w:rsid w:val="00890C76"/>
    <w:rsid w:val="00890D46"/>
    <w:rsid w:val="00890D61"/>
    <w:rsid w:val="0089159E"/>
    <w:rsid w:val="00891601"/>
    <w:rsid w:val="0089170F"/>
    <w:rsid w:val="00891E11"/>
    <w:rsid w:val="00892B45"/>
    <w:rsid w:val="00892BE2"/>
    <w:rsid w:val="008932A6"/>
    <w:rsid w:val="00893324"/>
    <w:rsid w:val="008933E5"/>
    <w:rsid w:val="008934E9"/>
    <w:rsid w:val="008939C0"/>
    <w:rsid w:val="00893E6D"/>
    <w:rsid w:val="008940C6"/>
    <w:rsid w:val="008947DD"/>
    <w:rsid w:val="00894A19"/>
    <w:rsid w:val="00894B10"/>
    <w:rsid w:val="00896201"/>
    <w:rsid w:val="008964E5"/>
    <w:rsid w:val="008971F4"/>
    <w:rsid w:val="0089738C"/>
    <w:rsid w:val="00897A0C"/>
    <w:rsid w:val="00897B5D"/>
    <w:rsid w:val="008A00DC"/>
    <w:rsid w:val="008A0E66"/>
    <w:rsid w:val="008A1166"/>
    <w:rsid w:val="008A12BF"/>
    <w:rsid w:val="008A163E"/>
    <w:rsid w:val="008A1970"/>
    <w:rsid w:val="008A1D7C"/>
    <w:rsid w:val="008A2B85"/>
    <w:rsid w:val="008A3159"/>
    <w:rsid w:val="008A35E3"/>
    <w:rsid w:val="008A4D24"/>
    <w:rsid w:val="008A5786"/>
    <w:rsid w:val="008A5BD7"/>
    <w:rsid w:val="008A635D"/>
    <w:rsid w:val="008A659E"/>
    <w:rsid w:val="008A694E"/>
    <w:rsid w:val="008A76DA"/>
    <w:rsid w:val="008A7931"/>
    <w:rsid w:val="008A79B4"/>
    <w:rsid w:val="008A7EAA"/>
    <w:rsid w:val="008A7EF3"/>
    <w:rsid w:val="008A7F1D"/>
    <w:rsid w:val="008B00D4"/>
    <w:rsid w:val="008B04BF"/>
    <w:rsid w:val="008B075A"/>
    <w:rsid w:val="008B0F3C"/>
    <w:rsid w:val="008B15B5"/>
    <w:rsid w:val="008B15EC"/>
    <w:rsid w:val="008B179C"/>
    <w:rsid w:val="008B2928"/>
    <w:rsid w:val="008B2A39"/>
    <w:rsid w:val="008B36ED"/>
    <w:rsid w:val="008B3802"/>
    <w:rsid w:val="008B3E08"/>
    <w:rsid w:val="008B4097"/>
    <w:rsid w:val="008B51FC"/>
    <w:rsid w:val="008B6230"/>
    <w:rsid w:val="008B63BC"/>
    <w:rsid w:val="008B63E8"/>
    <w:rsid w:val="008B6AB5"/>
    <w:rsid w:val="008B7C4C"/>
    <w:rsid w:val="008C03D3"/>
    <w:rsid w:val="008C05FC"/>
    <w:rsid w:val="008C0686"/>
    <w:rsid w:val="008C07F0"/>
    <w:rsid w:val="008C0930"/>
    <w:rsid w:val="008C0EE8"/>
    <w:rsid w:val="008C1C76"/>
    <w:rsid w:val="008C2804"/>
    <w:rsid w:val="008C3074"/>
    <w:rsid w:val="008C31C1"/>
    <w:rsid w:val="008C340D"/>
    <w:rsid w:val="008C3720"/>
    <w:rsid w:val="008C3759"/>
    <w:rsid w:val="008C3A58"/>
    <w:rsid w:val="008C3D0C"/>
    <w:rsid w:val="008C41D2"/>
    <w:rsid w:val="008C4C90"/>
    <w:rsid w:val="008C4CFD"/>
    <w:rsid w:val="008C4D3F"/>
    <w:rsid w:val="008C6B53"/>
    <w:rsid w:val="008C6E36"/>
    <w:rsid w:val="008C72C1"/>
    <w:rsid w:val="008D070F"/>
    <w:rsid w:val="008D0D53"/>
    <w:rsid w:val="008D0E59"/>
    <w:rsid w:val="008D14FE"/>
    <w:rsid w:val="008D15B3"/>
    <w:rsid w:val="008D1647"/>
    <w:rsid w:val="008D164D"/>
    <w:rsid w:val="008D1D33"/>
    <w:rsid w:val="008D1E95"/>
    <w:rsid w:val="008D21AB"/>
    <w:rsid w:val="008D22AE"/>
    <w:rsid w:val="008D32CC"/>
    <w:rsid w:val="008D3789"/>
    <w:rsid w:val="008D3ABD"/>
    <w:rsid w:val="008D3F12"/>
    <w:rsid w:val="008D3F7C"/>
    <w:rsid w:val="008D4D89"/>
    <w:rsid w:val="008D5518"/>
    <w:rsid w:val="008D5BBE"/>
    <w:rsid w:val="008D6025"/>
    <w:rsid w:val="008D629F"/>
    <w:rsid w:val="008D6CA2"/>
    <w:rsid w:val="008D6E21"/>
    <w:rsid w:val="008D6F1D"/>
    <w:rsid w:val="008E0093"/>
    <w:rsid w:val="008E1645"/>
    <w:rsid w:val="008E17F9"/>
    <w:rsid w:val="008E19D2"/>
    <w:rsid w:val="008E1AA5"/>
    <w:rsid w:val="008E2FBE"/>
    <w:rsid w:val="008E3494"/>
    <w:rsid w:val="008E36BD"/>
    <w:rsid w:val="008E42AE"/>
    <w:rsid w:val="008E5B53"/>
    <w:rsid w:val="008E5B7E"/>
    <w:rsid w:val="008E5C89"/>
    <w:rsid w:val="008E5F19"/>
    <w:rsid w:val="008E6DF9"/>
    <w:rsid w:val="008E77BF"/>
    <w:rsid w:val="008E7D7B"/>
    <w:rsid w:val="008F00EF"/>
    <w:rsid w:val="008F0493"/>
    <w:rsid w:val="008F0AE1"/>
    <w:rsid w:val="008F0DCF"/>
    <w:rsid w:val="008F1087"/>
    <w:rsid w:val="008F114D"/>
    <w:rsid w:val="008F19DB"/>
    <w:rsid w:val="008F1EDB"/>
    <w:rsid w:val="008F25E5"/>
    <w:rsid w:val="008F2715"/>
    <w:rsid w:val="008F299D"/>
    <w:rsid w:val="008F2B7A"/>
    <w:rsid w:val="008F2E0F"/>
    <w:rsid w:val="008F348A"/>
    <w:rsid w:val="008F427A"/>
    <w:rsid w:val="008F4D2E"/>
    <w:rsid w:val="008F5B4D"/>
    <w:rsid w:val="008F5ED1"/>
    <w:rsid w:val="008F5F5D"/>
    <w:rsid w:val="008F667A"/>
    <w:rsid w:val="008F6FA5"/>
    <w:rsid w:val="008F7097"/>
    <w:rsid w:val="00900102"/>
    <w:rsid w:val="009002B2"/>
    <w:rsid w:val="00900381"/>
    <w:rsid w:val="009007A7"/>
    <w:rsid w:val="00900A13"/>
    <w:rsid w:val="009017BE"/>
    <w:rsid w:val="00901E57"/>
    <w:rsid w:val="00901EFA"/>
    <w:rsid w:val="00902C9C"/>
    <w:rsid w:val="00903518"/>
    <w:rsid w:val="0090391A"/>
    <w:rsid w:val="0090396B"/>
    <w:rsid w:val="00903BA4"/>
    <w:rsid w:val="00903C7A"/>
    <w:rsid w:val="009041C3"/>
    <w:rsid w:val="009045C6"/>
    <w:rsid w:val="00905BF4"/>
    <w:rsid w:val="00905DD5"/>
    <w:rsid w:val="00906433"/>
    <w:rsid w:val="00906901"/>
    <w:rsid w:val="0090717C"/>
    <w:rsid w:val="00907C1C"/>
    <w:rsid w:val="00910371"/>
    <w:rsid w:val="009104BE"/>
    <w:rsid w:val="00910C53"/>
    <w:rsid w:val="00910F53"/>
    <w:rsid w:val="00911280"/>
    <w:rsid w:val="009114BD"/>
    <w:rsid w:val="009116B4"/>
    <w:rsid w:val="00911B91"/>
    <w:rsid w:val="00912107"/>
    <w:rsid w:val="00912289"/>
    <w:rsid w:val="00912A7F"/>
    <w:rsid w:val="00912AC1"/>
    <w:rsid w:val="00912ACC"/>
    <w:rsid w:val="009134A2"/>
    <w:rsid w:val="00913C94"/>
    <w:rsid w:val="00914169"/>
    <w:rsid w:val="0091420E"/>
    <w:rsid w:val="00914674"/>
    <w:rsid w:val="00915695"/>
    <w:rsid w:val="00915991"/>
    <w:rsid w:val="00915A00"/>
    <w:rsid w:val="00916187"/>
    <w:rsid w:val="009161A4"/>
    <w:rsid w:val="00917E88"/>
    <w:rsid w:val="00920243"/>
    <w:rsid w:val="00920507"/>
    <w:rsid w:val="009205D5"/>
    <w:rsid w:val="00920C44"/>
    <w:rsid w:val="00920D06"/>
    <w:rsid w:val="00920D0B"/>
    <w:rsid w:val="009216A3"/>
    <w:rsid w:val="0092245A"/>
    <w:rsid w:val="00922863"/>
    <w:rsid w:val="009230C6"/>
    <w:rsid w:val="00923612"/>
    <w:rsid w:val="00923E39"/>
    <w:rsid w:val="00923F0C"/>
    <w:rsid w:val="009249F5"/>
    <w:rsid w:val="00924CCA"/>
    <w:rsid w:val="009254E2"/>
    <w:rsid w:val="009255EE"/>
    <w:rsid w:val="00925763"/>
    <w:rsid w:val="00925DAB"/>
    <w:rsid w:val="0092656C"/>
    <w:rsid w:val="00926590"/>
    <w:rsid w:val="00926FC2"/>
    <w:rsid w:val="0092717A"/>
    <w:rsid w:val="009277E3"/>
    <w:rsid w:val="0093003F"/>
    <w:rsid w:val="00930CF6"/>
    <w:rsid w:val="00931522"/>
    <w:rsid w:val="00931B5E"/>
    <w:rsid w:val="0093289F"/>
    <w:rsid w:val="00932B62"/>
    <w:rsid w:val="0093324C"/>
    <w:rsid w:val="00933451"/>
    <w:rsid w:val="0093354A"/>
    <w:rsid w:val="00933609"/>
    <w:rsid w:val="00933773"/>
    <w:rsid w:val="009338AA"/>
    <w:rsid w:val="00933AFC"/>
    <w:rsid w:val="00933CAF"/>
    <w:rsid w:val="00933E28"/>
    <w:rsid w:val="00933FAA"/>
    <w:rsid w:val="0093405A"/>
    <w:rsid w:val="009345B6"/>
    <w:rsid w:val="00934906"/>
    <w:rsid w:val="009354C5"/>
    <w:rsid w:val="0093560E"/>
    <w:rsid w:val="009357EB"/>
    <w:rsid w:val="00935B07"/>
    <w:rsid w:val="009369F8"/>
    <w:rsid w:val="00936FB6"/>
    <w:rsid w:val="0093747A"/>
    <w:rsid w:val="009374B3"/>
    <w:rsid w:val="00937A39"/>
    <w:rsid w:val="00937AE9"/>
    <w:rsid w:val="00937D82"/>
    <w:rsid w:val="009402F5"/>
    <w:rsid w:val="00941A46"/>
    <w:rsid w:val="00941CB3"/>
    <w:rsid w:val="009423B4"/>
    <w:rsid w:val="0094314E"/>
    <w:rsid w:val="009437E0"/>
    <w:rsid w:val="0094397F"/>
    <w:rsid w:val="00943B94"/>
    <w:rsid w:val="0094419E"/>
    <w:rsid w:val="00944457"/>
    <w:rsid w:val="009444D7"/>
    <w:rsid w:val="00944506"/>
    <w:rsid w:val="009455A9"/>
    <w:rsid w:val="0094566F"/>
    <w:rsid w:val="00945C28"/>
    <w:rsid w:val="00945D22"/>
    <w:rsid w:val="00945EAA"/>
    <w:rsid w:val="009468B3"/>
    <w:rsid w:val="00946AEC"/>
    <w:rsid w:val="009472B6"/>
    <w:rsid w:val="00947383"/>
    <w:rsid w:val="009474D6"/>
    <w:rsid w:val="00950050"/>
    <w:rsid w:val="00950165"/>
    <w:rsid w:val="00950429"/>
    <w:rsid w:val="00950641"/>
    <w:rsid w:val="00950806"/>
    <w:rsid w:val="00950832"/>
    <w:rsid w:val="009509A5"/>
    <w:rsid w:val="00950AA7"/>
    <w:rsid w:val="00950D1A"/>
    <w:rsid w:val="00951C8F"/>
    <w:rsid w:val="00951DF1"/>
    <w:rsid w:val="0095225E"/>
    <w:rsid w:val="009523A7"/>
    <w:rsid w:val="009527C0"/>
    <w:rsid w:val="00952F0F"/>
    <w:rsid w:val="00953B51"/>
    <w:rsid w:val="00954641"/>
    <w:rsid w:val="009546FE"/>
    <w:rsid w:val="009547FF"/>
    <w:rsid w:val="00955183"/>
    <w:rsid w:val="009556CD"/>
    <w:rsid w:val="009561D3"/>
    <w:rsid w:val="009564DD"/>
    <w:rsid w:val="00956B8E"/>
    <w:rsid w:val="009573A5"/>
    <w:rsid w:val="0095744A"/>
    <w:rsid w:val="00957548"/>
    <w:rsid w:val="00957AB9"/>
    <w:rsid w:val="00957D33"/>
    <w:rsid w:val="009608CF"/>
    <w:rsid w:val="00960B51"/>
    <w:rsid w:val="00960C20"/>
    <w:rsid w:val="00960C29"/>
    <w:rsid w:val="0096129E"/>
    <w:rsid w:val="009613EA"/>
    <w:rsid w:val="00961CF1"/>
    <w:rsid w:val="009621EC"/>
    <w:rsid w:val="00962462"/>
    <w:rsid w:val="009625AB"/>
    <w:rsid w:val="00962604"/>
    <w:rsid w:val="009632E4"/>
    <w:rsid w:val="009635FF"/>
    <w:rsid w:val="009637D0"/>
    <w:rsid w:val="009649FB"/>
    <w:rsid w:val="00964CAC"/>
    <w:rsid w:val="00964D57"/>
    <w:rsid w:val="00964FB0"/>
    <w:rsid w:val="009653DA"/>
    <w:rsid w:val="00965CBA"/>
    <w:rsid w:val="00965D9F"/>
    <w:rsid w:val="0096610C"/>
    <w:rsid w:val="00966313"/>
    <w:rsid w:val="0096641D"/>
    <w:rsid w:val="0096704E"/>
    <w:rsid w:val="00967AD1"/>
    <w:rsid w:val="00967B6C"/>
    <w:rsid w:val="009703AE"/>
    <w:rsid w:val="009710A3"/>
    <w:rsid w:val="00971694"/>
    <w:rsid w:val="009716C2"/>
    <w:rsid w:val="00971A9A"/>
    <w:rsid w:val="00971AF5"/>
    <w:rsid w:val="00971EE5"/>
    <w:rsid w:val="009726C8"/>
    <w:rsid w:val="00972C97"/>
    <w:rsid w:val="00972E8D"/>
    <w:rsid w:val="00973B83"/>
    <w:rsid w:val="00973BAC"/>
    <w:rsid w:val="00974218"/>
    <w:rsid w:val="00975663"/>
    <w:rsid w:val="009760D1"/>
    <w:rsid w:val="00976323"/>
    <w:rsid w:val="00976562"/>
    <w:rsid w:val="00976928"/>
    <w:rsid w:val="00976F6F"/>
    <w:rsid w:val="009776D0"/>
    <w:rsid w:val="00980672"/>
    <w:rsid w:val="0098073C"/>
    <w:rsid w:val="00980C5D"/>
    <w:rsid w:val="009812B8"/>
    <w:rsid w:val="0098135C"/>
    <w:rsid w:val="009816C3"/>
    <w:rsid w:val="009817E9"/>
    <w:rsid w:val="00981C0C"/>
    <w:rsid w:val="0098214D"/>
    <w:rsid w:val="00982E17"/>
    <w:rsid w:val="009833F0"/>
    <w:rsid w:val="00983747"/>
    <w:rsid w:val="009839E5"/>
    <w:rsid w:val="00983EFF"/>
    <w:rsid w:val="00984ABB"/>
    <w:rsid w:val="00984ADC"/>
    <w:rsid w:val="00984E0B"/>
    <w:rsid w:val="0098534A"/>
    <w:rsid w:val="0098591B"/>
    <w:rsid w:val="00985E10"/>
    <w:rsid w:val="00985EB0"/>
    <w:rsid w:val="00986220"/>
    <w:rsid w:val="009863A4"/>
    <w:rsid w:val="00986A66"/>
    <w:rsid w:val="00987024"/>
    <w:rsid w:val="00987DFA"/>
    <w:rsid w:val="00987F7A"/>
    <w:rsid w:val="00990670"/>
    <w:rsid w:val="00990B44"/>
    <w:rsid w:val="00990B53"/>
    <w:rsid w:val="00990C79"/>
    <w:rsid w:val="0099266A"/>
    <w:rsid w:val="00992B09"/>
    <w:rsid w:val="0099300C"/>
    <w:rsid w:val="00993A4D"/>
    <w:rsid w:val="009948A3"/>
    <w:rsid w:val="009950A4"/>
    <w:rsid w:val="009951C2"/>
    <w:rsid w:val="00995424"/>
    <w:rsid w:val="00995B47"/>
    <w:rsid w:val="00995DCD"/>
    <w:rsid w:val="009963D1"/>
    <w:rsid w:val="009A0814"/>
    <w:rsid w:val="009A12AF"/>
    <w:rsid w:val="009A1550"/>
    <w:rsid w:val="009A16C6"/>
    <w:rsid w:val="009A1DB5"/>
    <w:rsid w:val="009A24D0"/>
    <w:rsid w:val="009A2B28"/>
    <w:rsid w:val="009A2B86"/>
    <w:rsid w:val="009A2EFA"/>
    <w:rsid w:val="009A449C"/>
    <w:rsid w:val="009A5522"/>
    <w:rsid w:val="009A57DC"/>
    <w:rsid w:val="009A62D5"/>
    <w:rsid w:val="009A64BC"/>
    <w:rsid w:val="009A6602"/>
    <w:rsid w:val="009A6797"/>
    <w:rsid w:val="009A6A9F"/>
    <w:rsid w:val="009A6E5B"/>
    <w:rsid w:val="009A6EAF"/>
    <w:rsid w:val="009A7D0B"/>
    <w:rsid w:val="009B0761"/>
    <w:rsid w:val="009B0DCC"/>
    <w:rsid w:val="009B0E87"/>
    <w:rsid w:val="009B11D2"/>
    <w:rsid w:val="009B1ADD"/>
    <w:rsid w:val="009B20EB"/>
    <w:rsid w:val="009B2408"/>
    <w:rsid w:val="009B2FD9"/>
    <w:rsid w:val="009B3254"/>
    <w:rsid w:val="009B3566"/>
    <w:rsid w:val="009B36A7"/>
    <w:rsid w:val="009B40BC"/>
    <w:rsid w:val="009B5205"/>
    <w:rsid w:val="009B52DD"/>
    <w:rsid w:val="009B56E7"/>
    <w:rsid w:val="009B5EF5"/>
    <w:rsid w:val="009B69E8"/>
    <w:rsid w:val="009B6C7A"/>
    <w:rsid w:val="009B78FA"/>
    <w:rsid w:val="009C1089"/>
    <w:rsid w:val="009C22B1"/>
    <w:rsid w:val="009C3465"/>
    <w:rsid w:val="009C3865"/>
    <w:rsid w:val="009C38CC"/>
    <w:rsid w:val="009C44AA"/>
    <w:rsid w:val="009C4ECD"/>
    <w:rsid w:val="009C5684"/>
    <w:rsid w:val="009C56A7"/>
    <w:rsid w:val="009C5997"/>
    <w:rsid w:val="009C62B3"/>
    <w:rsid w:val="009C65D0"/>
    <w:rsid w:val="009C6743"/>
    <w:rsid w:val="009C67FF"/>
    <w:rsid w:val="009C6E45"/>
    <w:rsid w:val="009C71DF"/>
    <w:rsid w:val="009C7408"/>
    <w:rsid w:val="009C7765"/>
    <w:rsid w:val="009D06B2"/>
    <w:rsid w:val="009D0EB7"/>
    <w:rsid w:val="009D159B"/>
    <w:rsid w:val="009D1E1F"/>
    <w:rsid w:val="009D3CE5"/>
    <w:rsid w:val="009D3CE6"/>
    <w:rsid w:val="009D4C72"/>
    <w:rsid w:val="009D52CE"/>
    <w:rsid w:val="009D5ACF"/>
    <w:rsid w:val="009D5B99"/>
    <w:rsid w:val="009D5FC4"/>
    <w:rsid w:val="009D62D4"/>
    <w:rsid w:val="009D6B89"/>
    <w:rsid w:val="009D7AF8"/>
    <w:rsid w:val="009D7B7A"/>
    <w:rsid w:val="009E0688"/>
    <w:rsid w:val="009E1122"/>
    <w:rsid w:val="009E1227"/>
    <w:rsid w:val="009E1A40"/>
    <w:rsid w:val="009E1D31"/>
    <w:rsid w:val="009E2A2C"/>
    <w:rsid w:val="009E2B7D"/>
    <w:rsid w:val="009E30DC"/>
    <w:rsid w:val="009E374B"/>
    <w:rsid w:val="009E37CA"/>
    <w:rsid w:val="009E42CD"/>
    <w:rsid w:val="009E4905"/>
    <w:rsid w:val="009E59C0"/>
    <w:rsid w:val="009E5F01"/>
    <w:rsid w:val="009E61DE"/>
    <w:rsid w:val="009E6491"/>
    <w:rsid w:val="009E6D76"/>
    <w:rsid w:val="009E6F74"/>
    <w:rsid w:val="009E713D"/>
    <w:rsid w:val="009E71A6"/>
    <w:rsid w:val="009E733F"/>
    <w:rsid w:val="009F00F2"/>
    <w:rsid w:val="009F050B"/>
    <w:rsid w:val="009F0695"/>
    <w:rsid w:val="009F0747"/>
    <w:rsid w:val="009F090F"/>
    <w:rsid w:val="009F1605"/>
    <w:rsid w:val="009F162F"/>
    <w:rsid w:val="009F1876"/>
    <w:rsid w:val="009F1ACA"/>
    <w:rsid w:val="009F1C41"/>
    <w:rsid w:val="009F214B"/>
    <w:rsid w:val="009F2796"/>
    <w:rsid w:val="009F27A0"/>
    <w:rsid w:val="009F2B39"/>
    <w:rsid w:val="009F2DA7"/>
    <w:rsid w:val="009F312B"/>
    <w:rsid w:val="009F5619"/>
    <w:rsid w:val="009F5860"/>
    <w:rsid w:val="009F6E68"/>
    <w:rsid w:val="009F774D"/>
    <w:rsid w:val="00A00181"/>
    <w:rsid w:val="00A0066F"/>
    <w:rsid w:val="00A006D1"/>
    <w:rsid w:val="00A00BB3"/>
    <w:rsid w:val="00A00C3A"/>
    <w:rsid w:val="00A010B2"/>
    <w:rsid w:val="00A010E2"/>
    <w:rsid w:val="00A01763"/>
    <w:rsid w:val="00A0188E"/>
    <w:rsid w:val="00A01A4A"/>
    <w:rsid w:val="00A01D02"/>
    <w:rsid w:val="00A02251"/>
    <w:rsid w:val="00A02598"/>
    <w:rsid w:val="00A02638"/>
    <w:rsid w:val="00A026B9"/>
    <w:rsid w:val="00A03B2B"/>
    <w:rsid w:val="00A03B4A"/>
    <w:rsid w:val="00A03E5C"/>
    <w:rsid w:val="00A0417E"/>
    <w:rsid w:val="00A042E5"/>
    <w:rsid w:val="00A04650"/>
    <w:rsid w:val="00A04BB4"/>
    <w:rsid w:val="00A050E9"/>
    <w:rsid w:val="00A057C3"/>
    <w:rsid w:val="00A05A79"/>
    <w:rsid w:val="00A060C7"/>
    <w:rsid w:val="00A065D3"/>
    <w:rsid w:val="00A06906"/>
    <w:rsid w:val="00A078ED"/>
    <w:rsid w:val="00A079F5"/>
    <w:rsid w:val="00A07E6B"/>
    <w:rsid w:val="00A10A25"/>
    <w:rsid w:val="00A11856"/>
    <w:rsid w:val="00A11DF1"/>
    <w:rsid w:val="00A11F5E"/>
    <w:rsid w:val="00A12105"/>
    <w:rsid w:val="00A12797"/>
    <w:rsid w:val="00A130DB"/>
    <w:rsid w:val="00A13BBD"/>
    <w:rsid w:val="00A13E5D"/>
    <w:rsid w:val="00A14455"/>
    <w:rsid w:val="00A14813"/>
    <w:rsid w:val="00A14F1A"/>
    <w:rsid w:val="00A150E6"/>
    <w:rsid w:val="00A1598F"/>
    <w:rsid w:val="00A16491"/>
    <w:rsid w:val="00A165C4"/>
    <w:rsid w:val="00A16766"/>
    <w:rsid w:val="00A1773E"/>
    <w:rsid w:val="00A177EC"/>
    <w:rsid w:val="00A179B2"/>
    <w:rsid w:val="00A17A79"/>
    <w:rsid w:val="00A17F80"/>
    <w:rsid w:val="00A2034A"/>
    <w:rsid w:val="00A20953"/>
    <w:rsid w:val="00A20C95"/>
    <w:rsid w:val="00A212A9"/>
    <w:rsid w:val="00A213DA"/>
    <w:rsid w:val="00A214C7"/>
    <w:rsid w:val="00A21F35"/>
    <w:rsid w:val="00A2231B"/>
    <w:rsid w:val="00A2255B"/>
    <w:rsid w:val="00A22CF8"/>
    <w:rsid w:val="00A22EAE"/>
    <w:rsid w:val="00A23878"/>
    <w:rsid w:val="00A23990"/>
    <w:rsid w:val="00A23E82"/>
    <w:rsid w:val="00A23F96"/>
    <w:rsid w:val="00A24D9C"/>
    <w:rsid w:val="00A24F11"/>
    <w:rsid w:val="00A25102"/>
    <w:rsid w:val="00A25E45"/>
    <w:rsid w:val="00A25E60"/>
    <w:rsid w:val="00A25FDA"/>
    <w:rsid w:val="00A26254"/>
    <w:rsid w:val="00A262F3"/>
    <w:rsid w:val="00A26F23"/>
    <w:rsid w:val="00A306B4"/>
    <w:rsid w:val="00A306D2"/>
    <w:rsid w:val="00A30741"/>
    <w:rsid w:val="00A30A68"/>
    <w:rsid w:val="00A3159B"/>
    <w:rsid w:val="00A3168D"/>
    <w:rsid w:val="00A322A9"/>
    <w:rsid w:val="00A3278D"/>
    <w:rsid w:val="00A32BBE"/>
    <w:rsid w:val="00A32BBF"/>
    <w:rsid w:val="00A32D1F"/>
    <w:rsid w:val="00A32E08"/>
    <w:rsid w:val="00A33B9F"/>
    <w:rsid w:val="00A33C37"/>
    <w:rsid w:val="00A33C9E"/>
    <w:rsid w:val="00A33FD9"/>
    <w:rsid w:val="00A34729"/>
    <w:rsid w:val="00A34F9A"/>
    <w:rsid w:val="00A358C1"/>
    <w:rsid w:val="00A35FAB"/>
    <w:rsid w:val="00A3619E"/>
    <w:rsid w:val="00A36330"/>
    <w:rsid w:val="00A364F9"/>
    <w:rsid w:val="00A36703"/>
    <w:rsid w:val="00A373FD"/>
    <w:rsid w:val="00A409AC"/>
    <w:rsid w:val="00A40C43"/>
    <w:rsid w:val="00A41F57"/>
    <w:rsid w:val="00A42232"/>
    <w:rsid w:val="00A4286E"/>
    <w:rsid w:val="00A42B10"/>
    <w:rsid w:val="00A43394"/>
    <w:rsid w:val="00A43CFC"/>
    <w:rsid w:val="00A444EA"/>
    <w:rsid w:val="00A44EF0"/>
    <w:rsid w:val="00A45B03"/>
    <w:rsid w:val="00A45C4D"/>
    <w:rsid w:val="00A467DA"/>
    <w:rsid w:val="00A46C97"/>
    <w:rsid w:val="00A46DEF"/>
    <w:rsid w:val="00A473BC"/>
    <w:rsid w:val="00A47547"/>
    <w:rsid w:val="00A4754D"/>
    <w:rsid w:val="00A5045B"/>
    <w:rsid w:val="00A50834"/>
    <w:rsid w:val="00A51010"/>
    <w:rsid w:val="00A52748"/>
    <w:rsid w:val="00A5282D"/>
    <w:rsid w:val="00A52B8F"/>
    <w:rsid w:val="00A533C0"/>
    <w:rsid w:val="00A54DBC"/>
    <w:rsid w:val="00A556EF"/>
    <w:rsid w:val="00A5652E"/>
    <w:rsid w:val="00A56857"/>
    <w:rsid w:val="00A56BB1"/>
    <w:rsid w:val="00A570D1"/>
    <w:rsid w:val="00A574A6"/>
    <w:rsid w:val="00A577C0"/>
    <w:rsid w:val="00A57D28"/>
    <w:rsid w:val="00A57F0B"/>
    <w:rsid w:val="00A57F9B"/>
    <w:rsid w:val="00A6086C"/>
    <w:rsid w:val="00A608AB"/>
    <w:rsid w:val="00A60AFE"/>
    <w:rsid w:val="00A60D87"/>
    <w:rsid w:val="00A60DD4"/>
    <w:rsid w:val="00A6197C"/>
    <w:rsid w:val="00A6239B"/>
    <w:rsid w:val="00A62AA8"/>
    <w:rsid w:val="00A638B7"/>
    <w:rsid w:val="00A63978"/>
    <w:rsid w:val="00A63A45"/>
    <w:rsid w:val="00A64128"/>
    <w:rsid w:val="00A64917"/>
    <w:rsid w:val="00A65731"/>
    <w:rsid w:val="00A65955"/>
    <w:rsid w:val="00A66506"/>
    <w:rsid w:val="00A669EF"/>
    <w:rsid w:val="00A66DDB"/>
    <w:rsid w:val="00A67079"/>
    <w:rsid w:val="00A67961"/>
    <w:rsid w:val="00A679EF"/>
    <w:rsid w:val="00A72053"/>
    <w:rsid w:val="00A723AC"/>
    <w:rsid w:val="00A72B6B"/>
    <w:rsid w:val="00A73187"/>
    <w:rsid w:val="00A733B5"/>
    <w:rsid w:val="00A7368C"/>
    <w:rsid w:val="00A73815"/>
    <w:rsid w:val="00A73F66"/>
    <w:rsid w:val="00A744C2"/>
    <w:rsid w:val="00A74EB5"/>
    <w:rsid w:val="00A75071"/>
    <w:rsid w:val="00A756D1"/>
    <w:rsid w:val="00A7571C"/>
    <w:rsid w:val="00A75A8D"/>
    <w:rsid w:val="00A75E58"/>
    <w:rsid w:val="00A75E5A"/>
    <w:rsid w:val="00A76391"/>
    <w:rsid w:val="00A76F54"/>
    <w:rsid w:val="00A775E2"/>
    <w:rsid w:val="00A77EBB"/>
    <w:rsid w:val="00A8086B"/>
    <w:rsid w:val="00A809FA"/>
    <w:rsid w:val="00A812C3"/>
    <w:rsid w:val="00A814F9"/>
    <w:rsid w:val="00A817E4"/>
    <w:rsid w:val="00A8180B"/>
    <w:rsid w:val="00A81C7F"/>
    <w:rsid w:val="00A821C0"/>
    <w:rsid w:val="00A8233F"/>
    <w:rsid w:val="00A82B7C"/>
    <w:rsid w:val="00A82B89"/>
    <w:rsid w:val="00A82CBA"/>
    <w:rsid w:val="00A82E80"/>
    <w:rsid w:val="00A82FE4"/>
    <w:rsid w:val="00A8313D"/>
    <w:rsid w:val="00A83520"/>
    <w:rsid w:val="00A83821"/>
    <w:rsid w:val="00A86129"/>
    <w:rsid w:val="00A868D8"/>
    <w:rsid w:val="00A87167"/>
    <w:rsid w:val="00A8720C"/>
    <w:rsid w:val="00A8746A"/>
    <w:rsid w:val="00A87A0B"/>
    <w:rsid w:val="00A87F30"/>
    <w:rsid w:val="00A903F7"/>
    <w:rsid w:val="00A9070F"/>
    <w:rsid w:val="00A907EB"/>
    <w:rsid w:val="00A913A5"/>
    <w:rsid w:val="00A91590"/>
    <w:rsid w:val="00A92059"/>
    <w:rsid w:val="00A922B5"/>
    <w:rsid w:val="00A923F4"/>
    <w:rsid w:val="00A929CC"/>
    <w:rsid w:val="00A92DA8"/>
    <w:rsid w:val="00A94383"/>
    <w:rsid w:val="00A9467E"/>
    <w:rsid w:val="00A9485A"/>
    <w:rsid w:val="00A94C81"/>
    <w:rsid w:val="00A9502B"/>
    <w:rsid w:val="00A952FC"/>
    <w:rsid w:val="00A953B8"/>
    <w:rsid w:val="00A9566D"/>
    <w:rsid w:val="00A95785"/>
    <w:rsid w:val="00A9582F"/>
    <w:rsid w:val="00A95F33"/>
    <w:rsid w:val="00A95FBD"/>
    <w:rsid w:val="00A9604D"/>
    <w:rsid w:val="00A9659F"/>
    <w:rsid w:val="00A96AE7"/>
    <w:rsid w:val="00A97436"/>
    <w:rsid w:val="00A97BFA"/>
    <w:rsid w:val="00A97E0C"/>
    <w:rsid w:val="00AA04F7"/>
    <w:rsid w:val="00AA186C"/>
    <w:rsid w:val="00AA27FA"/>
    <w:rsid w:val="00AA298B"/>
    <w:rsid w:val="00AA2F94"/>
    <w:rsid w:val="00AA3175"/>
    <w:rsid w:val="00AA3F6A"/>
    <w:rsid w:val="00AA3F88"/>
    <w:rsid w:val="00AA4085"/>
    <w:rsid w:val="00AA5CE0"/>
    <w:rsid w:val="00AA64BE"/>
    <w:rsid w:val="00AA66F7"/>
    <w:rsid w:val="00AA690D"/>
    <w:rsid w:val="00AA74CF"/>
    <w:rsid w:val="00AA7CA7"/>
    <w:rsid w:val="00AA7ECC"/>
    <w:rsid w:val="00AB0670"/>
    <w:rsid w:val="00AB0798"/>
    <w:rsid w:val="00AB0883"/>
    <w:rsid w:val="00AB08BF"/>
    <w:rsid w:val="00AB1066"/>
    <w:rsid w:val="00AB14CA"/>
    <w:rsid w:val="00AB18BC"/>
    <w:rsid w:val="00AB19F5"/>
    <w:rsid w:val="00AB2E53"/>
    <w:rsid w:val="00AB310A"/>
    <w:rsid w:val="00AB523E"/>
    <w:rsid w:val="00AB54D3"/>
    <w:rsid w:val="00AB63AD"/>
    <w:rsid w:val="00AB6D62"/>
    <w:rsid w:val="00AB7C9C"/>
    <w:rsid w:val="00AB7E1D"/>
    <w:rsid w:val="00AC019D"/>
    <w:rsid w:val="00AC195F"/>
    <w:rsid w:val="00AC1F2C"/>
    <w:rsid w:val="00AC2066"/>
    <w:rsid w:val="00AC2075"/>
    <w:rsid w:val="00AC2267"/>
    <w:rsid w:val="00AC277A"/>
    <w:rsid w:val="00AC30F5"/>
    <w:rsid w:val="00AC32C1"/>
    <w:rsid w:val="00AC3853"/>
    <w:rsid w:val="00AC3AC6"/>
    <w:rsid w:val="00AC4156"/>
    <w:rsid w:val="00AC4D9F"/>
    <w:rsid w:val="00AC51E5"/>
    <w:rsid w:val="00AC52AD"/>
    <w:rsid w:val="00AC5B89"/>
    <w:rsid w:val="00AC5EC7"/>
    <w:rsid w:val="00AC663D"/>
    <w:rsid w:val="00AC6D9E"/>
    <w:rsid w:val="00AC7D48"/>
    <w:rsid w:val="00AD00A1"/>
    <w:rsid w:val="00AD04A0"/>
    <w:rsid w:val="00AD07AC"/>
    <w:rsid w:val="00AD182A"/>
    <w:rsid w:val="00AD1EAB"/>
    <w:rsid w:val="00AD2128"/>
    <w:rsid w:val="00AD2193"/>
    <w:rsid w:val="00AD2DF9"/>
    <w:rsid w:val="00AD2EC5"/>
    <w:rsid w:val="00AD32C5"/>
    <w:rsid w:val="00AD374E"/>
    <w:rsid w:val="00AD3CF8"/>
    <w:rsid w:val="00AD417A"/>
    <w:rsid w:val="00AD4586"/>
    <w:rsid w:val="00AD4759"/>
    <w:rsid w:val="00AD516A"/>
    <w:rsid w:val="00AD563F"/>
    <w:rsid w:val="00AD56A9"/>
    <w:rsid w:val="00AD5CED"/>
    <w:rsid w:val="00AD6779"/>
    <w:rsid w:val="00AD67DE"/>
    <w:rsid w:val="00AD724B"/>
    <w:rsid w:val="00AD72A1"/>
    <w:rsid w:val="00AD7912"/>
    <w:rsid w:val="00AD7FDC"/>
    <w:rsid w:val="00AE04AF"/>
    <w:rsid w:val="00AE0EA5"/>
    <w:rsid w:val="00AE19A4"/>
    <w:rsid w:val="00AE1BB5"/>
    <w:rsid w:val="00AE1C63"/>
    <w:rsid w:val="00AE1F62"/>
    <w:rsid w:val="00AE23E5"/>
    <w:rsid w:val="00AE242D"/>
    <w:rsid w:val="00AE35A0"/>
    <w:rsid w:val="00AE3692"/>
    <w:rsid w:val="00AE3B4E"/>
    <w:rsid w:val="00AE3D0F"/>
    <w:rsid w:val="00AE433D"/>
    <w:rsid w:val="00AE537F"/>
    <w:rsid w:val="00AE5570"/>
    <w:rsid w:val="00AE578C"/>
    <w:rsid w:val="00AE5F93"/>
    <w:rsid w:val="00AE7BBC"/>
    <w:rsid w:val="00AE7BD3"/>
    <w:rsid w:val="00AF0AF0"/>
    <w:rsid w:val="00AF2157"/>
    <w:rsid w:val="00AF27B6"/>
    <w:rsid w:val="00AF2D57"/>
    <w:rsid w:val="00AF34D5"/>
    <w:rsid w:val="00AF3789"/>
    <w:rsid w:val="00AF3F7D"/>
    <w:rsid w:val="00AF47FE"/>
    <w:rsid w:val="00AF4814"/>
    <w:rsid w:val="00AF54A2"/>
    <w:rsid w:val="00AF54DD"/>
    <w:rsid w:val="00AF655E"/>
    <w:rsid w:val="00AF688A"/>
    <w:rsid w:val="00AF6BCB"/>
    <w:rsid w:val="00AF6FA2"/>
    <w:rsid w:val="00AF7C6D"/>
    <w:rsid w:val="00B003D4"/>
    <w:rsid w:val="00B007DA"/>
    <w:rsid w:val="00B00AD0"/>
    <w:rsid w:val="00B0166F"/>
    <w:rsid w:val="00B01907"/>
    <w:rsid w:val="00B01B84"/>
    <w:rsid w:val="00B02982"/>
    <w:rsid w:val="00B02BDE"/>
    <w:rsid w:val="00B03F61"/>
    <w:rsid w:val="00B0521E"/>
    <w:rsid w:val="00B0585C"/>
    <w:rsid w:val="00B05A96"/>
    <w:rsid w:val="00B0608F"/>
    <w:rsid w:val="00B0783B"/>
    <w:rsid w:val="00B100A9"/>
    <w:rsid w:val="00B1091C"/>
    <w:rsid w:val="00B10A5E"/>
    <w:rsid w:val="00B10D52"/>
    <w:rsid w:val="00B110B0"/>
    <w:rsid w:val="00B1191D"/>
    <w:rsid w:val="00B11E4E"/>
    <w:rsid w:val="00B11F06"/>
    <w:rsid w:val="00B12332"/>
    <w:rsid w:val="00B124EF"/>
    <w:rsid w:val="00B127B2"/>
    <w:rsid w:val="00B12A7A"/>
    <w:rsid w:val="00B13256"/>
    <w:rsid w:val="00B134C9"/>
    <w:rsid w:val="00B13FAE"/>
    <w:rsid w:val="00B140D0"/>
    <w:rsid w:val="00B14544"/>
    <w:rsid w:val="00B14935"/>
    <w:rsid w:val="00B14E6A"/>
    <w:rsid w:val="00B15544"/>
    <w:rsid w:val="00B1572C"/>
    <w:rsid w:val="00B15A1B"/>
    <w:rsid w:val="00B1623B"/>
    <w:rsid w:val="00B16514"/>
    <w:rsid w:val="00B166E2"/>
    <w:rsid w:val="00B1671D"/>
    <w:rsid w:val="00B178B1"/>
    <w:rsid w:val="00B2004F"/>
    <w:rsid w:val="00B20056"/>
    <w:rsid w:val="00B20293"/>
    <w:rsid w:val="00B20F4D"/>
    <w:rsid w:val="00B210AC"/>
    <w:rsid w:val="00B21174"/>
    <w:rsid w:val="00B21462"/>
    <w:rsid w:val="00B2156D"/>
    <w:rsid w:val="00B21AE6"/>
    <w:rsid w:val="00B21FA0"/>
    <w:rsid w:val="00B22356"/>
    <w:rsid w:val="00B2239F"/>
    <w:rsid w:val="00B2242D"/>
    <w:rsid w:val="00B23455"/>
    <w:rsid w:val="00B2347B"/>
    <w:rsid w:val="00B23B8D"/>
    <w:rsid w:val="00B2454C"/>
    <w:rsid w:val="00B2464C"/>
    <w:rsid w:val="00B2471A"/>
    <w:rsid w:val="00B24914"/>
    <w:rsid w:val="00B24982"/>
    <w:rsid w:val="00B258A4"/>
    <w:rsid w:val="00B25AD3"/>
    <w:rsid w:val="00B25B47"/>
    <w:rsid w:val="00B25C73"/>
    <w:rsid w:val="00B27131"/>
    <w:rsid w:val="00B27C5A"/>
    <w:rsid w:val="00B27D07"/>
    <w:rsid w:val="00B27DDD"/>
    <w:rsid w:val="00B300E6"/>
    <w:rsid w:val="00B301A9"/>
    <w:rsid w:val="00B30C3F"/>
    <w:rsid w:val="00B3137F"/>
    <w:rsid w:val="00B31508"/>
    <w:rsid w:val="00B31736"/>
    <w:rsid w:val="00B3194F"/>
    <w:rsid w:val="00B31A3E"/>
    <w:rsid w:val="00B31EB2"/>
    <w:rsid w:val="00B32082"/>
    <w:rsid w:val="00B3213F"/>
    <w:rsid w:val="00B32223"/>
    <w:rsid w:val="00B3378F"/>
    <w:rsid w:val="00B33AE2"/>
    <w:rsid w:val="00B33B72"/>
    <w:rsid w:val="00B34092"/>
    <w:rsid w:val="00B34304"/>
    <w:rsid w:val="00B351A4"/>
    <w:rsid w:val="00B35841"/>
    <w:rsid w:val="00B36722"/>
    <w:rsid w:val="00B369F1"/>
    <w:rsid w:val="00B36C2C"/>
    <w:rsid w:val="00B36FD2"/>
    <w:rsid w:val="00B3704D"/>
    <w:rsid w:val="00B379DB"/>
    <w:rsid w:val="00B37AFB"/>
    <w:rsid w:val="00B37C77"/>
    <w:rsid w:val="00B40683"/>
    <w:rsid w:val="00B40885"/>
    <w:rsid w:val="00B40B69"/>
    <w:rsid w:val="00B4299C"/>
    <w:rsid w:val="00B4499D"/>
    <w:rsid w:val="00B44E09"/>
    <w:rsid w:val="00B451A9"/>
    <w:rsid w:val="00B4536A"/>
    <w:rsid w:val="00B455D6"/>
    <w:rsid w:val="00B467DB"/>
    <w:rsid w:val="00B477D1"/>
    <w:rsid w:val="00B47865"/>
    <w:rsid w:val="00B47918"/>
    <w:rsid w:val="00B512F7"/>
    <w:rsid w:val="00B51F46"/>
    <w:rsid w:val="00B53116"/>
    <w:rsid w:val="00B53426"/>
    <w:rsid w:val="00B53AC3"/>
    <w:rsid w:val="00B543BE"/>
    <w:rsid w:val="00B5550C"/>
    <w:rsid w:val="00B55B45"/>
    <w:rsid w:val="00B56816"/>
    <w:rsid w:val="00B57BBB"/>
    <w:rsid w:val="00B57C18"/>
    <w:rsid w:val="00B57CF4"/>
    <w:rsid w:val="00B6032B"/>
    <w:rsid w:val="00B60C11"/>
    <w:rsid w:val="00B60C91"/>
    <w:rsid w:val="00B612B9"/>
    <w:rsid w:val="00B62552"/>
    <w:rsid w:val="00B62A59"/>
    <w:rsid w:val="00B631B2"/>
    <w:rsid w:val="00B6339A"/>
    <w:rsid w:val="00B649B8"/>
    <w:rsid w:val="00B654C1"/>
    <w:rsid w:val="00B65D9A"/>
    <w:rsid w:val="00B66249"/>
    <w:rsid w:val="00B6730F"/>
    <w:rsid w:val="00B67698"/>
    <w:rsid w:val="00B67BB8"/>
    <w:rsid w:val="00B67F03"/>
    <w:rsid w:val="00B712F1"/>
    <w:rsid w:val="00B7152C"/>
    <w:rsid w:val="00B7163D"/>
    <w:rsid w:val="00B71AC1"/>
    <w:rsid w:val="00B724F0"/>
    <w:rsid w:val="00B72BF5"/>
    <w:rsid w:val="00B72E9B"/>
    <w:rsid w:val="00B73015"/>
    <w:rsid w:val="00B73A89"/>
    <w:rsid w:val="00B73C23"/>
    <w:rsid w:val="00B740FC"/>
    <w:rsid w:val="00B74274"/>
    <w:rsid w:val="00B745D4"/>
    <w:rsid w:val="00B7496B"/>
    <w:rsid w:val="00B759BC"/>
    <w:rsid w:val="00B75A26"/>
    <w:rsid w:val="00B75F2A"/>
    <w:rsid w:val="00B760C1"/>
    <w:rsid w:val="00B76DF1"/>
    <w:rsid w:val="00B76DF7"/>
    <w:rsid w:val="00B77026"/>
    <w:rsid w:val="00B7724D"/>
    <w:rsid w:val="00B776F2"/>
    <w:rsid w:val="00B7777A"/>
    <w:rsid w:val="00B77A40"/>
    <w:rsid w:val="00B805D0"/>
    <w:rsid w:val="00B814E5"/>
    <w:rsid w:val="00B815AA"/>
    <w:rsid w:val="00B8180B"/>
    <w:rsid w:val="00B81C59"/>
    <w:rsid w:val="00B81CAA"/>
    <w:rsid w:val="00B820FD"/>
    <w:rsid w:val="00B82B03"/>
    <w:rsid w:val="00B83047"/>
    <w:rsid w:val="00B832DB"/>
    <w:rsid w:val="00B83484"/>
    <w:rsid w:val="00B8458F"/>
    <w:rsid w:val="00B84742"/>
    <w:rsid w:val="00B84767"/>
    <w:rsid w:val="00B84E9E"/>
    <w:rsid w:val="00B854B2"/>
    <w:rsid w:val="00B85521"/>
    <w:rsid w:val="00B85BC4"/>
    <w:rsid w:val="00B864E8"/>
    <w:rsid w:val="00B867A7"/>
    <w:rsid w:val="00B86C92"/>
    <w:rsid w:val="00B87204"/>
    <w:rsid w:val="00B8755B"/>
    <w:rsid w:val="00B875A5"/>
    <w:rsid w:val="00B87972"/>
    <w:rsid w:val="00B90A13"/>
    <w:rsid w:val="00B90F66"/>
    <w:rsid w:val="00B91664"/>
    <w:rsid w:val="00B91DEC"/>
    <w:rsid w:val="00B92259"/>
    <w:rsid w:val="00B927E7"/>
    <w:rsid w:val="00B92CD8"/>
    <w:rsid w:val="00B9327E"/>
    <w:rsid w:val="00B93425"/>
    <w:rsid w:val="00B9342F"/>
    <w:rsid w:val="00B93A7D"/>
    <w:rsid w:val="00B940A6"/>
    <w:rsid w:val="00B944E2"/>
    <w:rsid w:val="00B9499A"/>
    <w:rsid w:val="00B95433"/>
    <w:rsid w:val="00B9544F"/>
    <w:rsid w:val="00B954A2"/>
    <w:rsid w:val="00B95F1E"/>
    <w:rsid w:val="00B96657"/>
    <w:rsid w:val="00B96773"/>
    <w:rsid w:val="00B96AEF"/>
    <w:rsid w:val="00B974D6"/>
    <w:rsid w:val="00B97A63"/>
    <w:rsid w:val="00BA01B3"/>
    <w:rsid w:val="00BA01BB"/>
    <w:rsid w:val="00BA0622"/>
    <w:rsid w:val="00BA089A"/>
    <w:rsid w:val="00BA0C7B"/>
    <w:rsid w:val="00BA1456"/>
    <w:rsid w:val="00BA1BF5"/>
    <w:rsid w:val="00BA221A"/>
    <w:rsid w:val="00BA2984"/>
    <w:rsid w:val="00BA30DD"/>
    <w:rsid w:val="00BA3185"/>
    <w:rsid w:val="00BA3645"/>
    <w:rsid w:val="00BA39F8"/>
    <w:rsid w:val="00BA40C6"/>
    <w:rsid w:val="00BA4171"/>
    <w:rsid w:val="00BA4963"/>
    <w:rsid w:val="00BA4E90"/>
    <w:rsid w:val="00BA57F5"/>
    <w:rsid w:val="00BA6897"/>
    <w:rsid w:val="00BA7CF0"/>
    <w:rsid w:val="00BA7D27"/>
    <w:rsid w:val="00BB0DE3"/>
    <w:rsid w:val="00BB17E3"/>
    <w:rsid w:val="00BB1DCC"/>
    <w:rsid w:val="00BB1DCE"/>
    <w:rsid w:val="00BB2116"/>
    <w:rsid w:val="00BB28AE"/>
    <w:rsid w:val="00BB4C26"/>
    <w:rsid w:val="00BB4DD6"/>
    <w:rsid w:val="00BB5AB7"/>
    <w:rsid w:val="00BB60F5"/>
    <w:rsid w:val="00BB6E28"/>
    <w:rsid w:val="00BB70FE"/>
    <w:rsid w:val="00BB7447"/>
    <w:rsid w:val="00BB7820"/>
    <w:rsid w:val="00BB79D2"/>
    <w:rsid w:val="00BC07AA"/>
    <w:rsid w:val="00BC197C"/>
    <w:rsid w:val="00BC1FD6"/>
    <w:rsid w:val="00BC21D1"/>
    <w:rsid w:val="00BC24FA"/>
    <w:rsid w:val="00BC26AF"/>
    <w:rsid w:val="00BC2D92"/>
    <w:rsid w:val="00BC2DED"/>
    <w:rsid w:val="00BC2E0A"/>
    <w:rsid w:val="00BC3157"/>
    <w:rsid w:val="00BC34E8"/>
    <w:rsid w:val="00BC3B70"/>
    <w:rsid w:val="00BC4579"/>
    <w:rsid w:val="00BC4CF9"/>
    <w:rsid w:val="00BC5D69"/>
    <w:rsid w:val="00BC605A"/>
    <w:rsid w:val="00BC622D"/>
    <w:rsid w:val="00BC752B"/>
    <w:rsid w:val="00BC7887"/>
    <w:rsid w:val="00BC7C94"/>
    <w:rsid w:val="00BD03D0"/>
    <w:rsid w:val="00BD17C0"/>
    <w:rsid w:val="00BD20B8"/>
    <w:rsid w:val="00BD21EC"/>
    <w:rsid w:val="00BD2614"/>
    <w:rsid w:val="00BD31A3"/>
    <w:rsid w:val="00BD354F"/>
    <w:rsid w:val="00BD37BF"/>
    <w:rsid w:val="00BD38A9"/>
    <w:rsid w:val="00BD39CF"/>
    <w:rsid w:val="00BD3AC7"/>
    <w:rsid w:val="00BD3BBC"/>
    <w:rsid w:val="00BD3E45"/>
    <w:rsid w:val="00BD4706"/>
    <w:rsid w:val="00BD51D2"/>
    <w:rsid w:val="00BD525A"/>
    <w:rsid w:val="00BD5280"/>
    <w:rsid w:val="00BD6533"/>
    <w:rsid w:val="00BD6566"/>
    <w:rsid w:val="00BD6FC6"/>
    <w:rsid w:val="00BD7558"/>
    <w:rsid w:val="00BD7C2B"/>
    <w:rsid w:val="00BD7C2F"/>
    <w:rsid w:val="00BE1806"/>
    <w:rsid w:val="00BE1A29"/>
    <w:rsid w:val="00BE1AF3"/>
    <w:rsid w:val="00BE2390"/>
    <w:rsid w:val="00BE262D"/>
    <w:rsid w:val="00BE2910"/>
    <w:rsid w:val="00BE2A78"/>
    <w:rsid w:val="00BE2AB3"/>
    <w:rsid w:val="00BE2F6E"/>
    <w:rsid w:val="00BE30A8"/>
    <w:rsid w:val="00BE3253"/>
    <w:rsid w:val="00BE32FD"/>
    <w:rsid w:val="00BE3323"/>
    <w:rsid w:val="00BE3405"/>
    <w:rsid w:val="00BE3484"/>
    <w:rsid w:val="00BE394D"/>
    <w:rsid w:val="00BE39E3"/>
    <w:rsid w:val="00BE3A30"/>
    <w:rsid w:val="00BE3B3A"/>
    <w:rsid w:val="00BE3E00"/>
    <w:rsid w:val="00BE3F26"/>
    <w:rsid w:val="00BE418C"/>
    <w:rsid w:val="00BE52CC"/>
    <w:rsid w:val="00BE5698"/>
    <w:rsid w:val="00BE5AB6"/>
    <w:rsid w:val="00BE62B1"/>
    <w:rsid w:val="00BE6594"/>
    <w:rsid w:val="00BE67D6"/>
    <w:rsid w:val="00BE6AB1"/>
    <w:rsid w:val="00BE6BA8"/>
    <w:rsid w:val="00BE7658"/>
    <w:rsid w:val="00BE7D90"/>
    <w:rsid w:val="00BF0A7E"/>
    <w:rsid w:val="00BF0C0D"/>
    <w:rsid w:val="00BF0FDA"/>
    <w:rsid w:val="00BF20C3"/>
    <w:rsid w:val="00BF2323"/>
    <w:rsid w:val="00BF296A"/>
    <w:rsid w:val="00BF29C2"/>
    <w:rsid w:val="00BF3D88"/>
    <w:rsid w:val="00BF4545"/>
    <w:rsid w:val="00BF4BB3"/>
    <w:rsid w:val="00BF51EA"/>
    <w:rsid w:val="00BF5903"/>
    <w:rsid w:val="00BF5B5A"/>
    <w:rsid w:val="00BF6307"/>
    <w:rsid w:val="00BF6601"/>
    <w:rsid w:val="00BF6744"/>
    <w:rsid w:val="00BF6A24"/>
    <w:rsid w:val="00BF6F82"/>
    <w:rsid w:val="00BF743E"/>
    <w:rsid w:val="00BF7618"/>
    <w:rsid w:val="00BF79B7"/>
    <w:rsid w:val="00BF7A64"/>
    <w:rsid w:val="00C00185"/>
    <w:rsid w:val="00C00FB0"/>
    <w:rsid w:val="00C010E2"/>
    <w:rsid w:val="00C01326"/>
    <w:rsid w:val="00C016E1"/>
    <w:rsid w:val="00C01F43"/>
    <w:rsid w:val="00C01FCD"/>
    <w:rsid w:val="00C027D3"/>
    <w:rsid w:val="00C02B0E"/>
    <w:rsid w:val="00C02EBA"/>
    <w:rsid w:val="00C03329"/>
    <w:rsid w:val="00C0410D"/>
    <w:rsid w:val="00C04A7D"/>
    <w:rsid w:val="00C04EFD"/>
    <w:rsid w:val="00C0543F"/>
    <w:rsid w:val="00C056FA"/>
    <w:rsid w:val="00C05DAC"/>
    <w:rsid w:val="00C06268"/>
    <w:rsid w:val="00C06993"/>
    <w:rsid w:val="00C069FA"/>
    <w:rsid w:val="00C071F0"/>
    <w:rsid w:val="00C07325"/>
    <w:rsid w:val="00C1000A"/>
    <w:rsid w:val="00C10124"/>
    <w:rsid w:val="00C10598"/>
    <w:rsid w:val="00C10E07"/>
    <w:rsid w:val="00C11554"/>
    <w:rsid w:val="00C11CF7"/>
    <w:rsid w:val="00C12705"/>
    <w:rsid w:val="00C135A3"/>
    <w:rsid w:val="00C13B58"/>
    <w:rsid w:val="00C13E64"/>
    <w:rsid w:val="00C14061"/>
    <w:rsid w:val="00C14E00"/>
    <w:rsid w:val="00C15315"/>
    <w:rsid w:val="00C15410"/>
    <w:rsid w:val="00C15531"/>
    <w:rsid w:val="00C158A1"/>
    <w:rsid w:val="00C15B39"/>
    <w:rsid w:val="00C16A89"/>
    <w:rsid w:val="00C16FC4"/>
    <w:rsid w:val="00C1727B"/>
    <w:rsid w:val="00C20FBA"/>
    <w:rsid w:val="00C217B1"/>
    <w:rsid w:val="00C21A81"/>
    <w:rsid w:val="00C226B0"/>
    <w:rsid w:val="00C22A88"/>
    <w:rsid w:val="00C23003"/>
    <w:rsid w:val="00C23020"/>
    <w:rsid w:val="00C23762"/>
    <w:rsid w:val="00C23AF7"/>
    <w:rsid w:val="00C23B4B"/>
    <w:rsid w:val="00C24C63"/>
    <w:rsid w:val="00C24D7F"/>
    <w:rsid w:val="00C24F54"/>
    <w:rsid w:val="00C24F72"/>
    <w:rsid w:val="00C25187"/>
    <w:rsid w:val="00C25769"/>
    <w:rsid w:val="00C25E5A"/>
    <w:rsid w:val="00C26A78"/>
    <w:rsid w:val="00C26FA7"/>
    <w:rsid w:val="00C27069"/>
    <w:rsid w:val="00C27859"/>
    <w:rsid w:val="00C27FA6"/>
    <w:rsid w:val="00C301A2"/>
    <w:rsid w:val="00C30D69"/>
    <w:rsid w:val="00C31450"/>
    <w:rsid w:val="00C314D6"/>
    <w:rsid w:val="00C31EAD"/>
    <w:rsid w:val="00C320BD"/>
    <w:rsid w:val="00C320C5"/>
    <w:rsid w:val="00C321E6"/>
    <w:rsid w:val="00C32419"/>
    <w:rsid w:val="00C32E4E"/>
    <w:rsid w:val="00C335A1"/>
    <w:rsid w:val="00C33BDE"/>
    <w:rsid w:val="00C3423B"/>
    <w:rsid w:val="00C34541"/>
    <w:rsid w:val="00C34818"/>
    <w:rsid w:val="00C351A6"/>
    <w:rsid w:val="00C35940"/>
    <w:rsid w:val="00C35995"/>
    <w:rsid w:val="00C35AE3"/>
    <w:rsid w:val="00C3679E"/>
    <w:rsid w:val="00C36919"/>
    <w:rsid w:val="00C36B29"/>
    <w:rsid w:val="00C37179"/>
    <w:rsid w:val="00C373A4"/>
    <w:rsid w:val="00C37660"/>
    <w:rsid w:val="00C3798F"/>
    <w:rsid w:val="00C37A9D"/>
    <w:rsid w:val="00C37B3B"/>
    <w:rsid w:val="00C37E77"/>
    <w:rsid w:val="00C4070E"/>
    <w:rsid w:val="00C40ABD"/>
    <w:rsid w:val="00C40AD0"/>
    <w:rsid w:val="00C40BAB"/>
    <w:rsid w:val="00C4114B"/>
    <w:rsid w:val="00C411C3"/>
    <w:rsid w:val="00C41286"/>
    <w:rsid w:val="00C41CD6"/>
    <w:rsid w:val="00C41DC6"/>
    <w:rsid w:val="00C42254"/>
    <w:rsid w:val="00C42391"/>
    <w:rsid w:val="00C42601"/>
    <w:rsid w:val="00C42723"/>
    <w:rsid w:val="00C42914"/>
    <w:rsid w:val="00C43779"/>
    <w:rsid w:val="00C439FB"/>
    <w:rsid w:val="00C44878"/>
    <w:rsid w:val="00C44B01"/>
    <w:rsid w:val="00C45603"/>
    <w:rsid w:val="00C45BA4"/>
    <w:rsid w:val="00C45C23"/>
    <w:rsid w:val="00C45DF7"/>
    <w:rsid w:val="00C45F76"/>
    <w:rsid w:val="00C46C55"/>
    <w:rsid w:val="00C46DCE"/>
    <w:rsid w:val="00C46E15"/>
    <w:rsid w:val="00C46E75"/>
    <w:rsid w:val="00C478E1"/>
    <w:rsid w:val="00C47A73"/>
    <w:rsid w:val="00C47B25"/>
    <w:rsid w:val="00C5072C"/>
    <w:rsid w:val="00C50925"/>
    <w:rsid w:val="00C50F56"/>
    <w:rsid w:val="00C5141C"/>
    <w:rsid w:val="00C51858"/>
    <w:rsid w:val="00C51AA2"/>
    <w:rsid w:val="00C51CF9"/>
    <w:rsid w:val="00C5212B"/>
    <w:rsid w:val="00C52565"/>
    <w:rsid w:val="00C52994"/>
    <w:rsid w:val="00C52A72"/>
    <w:rsid w:val="00C52AC9"/>
    <w:rsid w:val="00C52FA6"/>
    <w:rsid w:val="00C5324B"/>
    <w:rsid w:val="00C54B2C"/>
    <w:rsid w:val="00C54B7B"/>
    <w:rsid w:val="00C54C2F"/>
    <w:rsid w:val="00C54C8F"/>
    <w:rsid w:val="00C55202"/>
    <w:rsid w:val="00C57435"/>
    <w:rsid w:val="00C57C56"/>
    <w:rsid w:val="00C57CCD"/>
    <w:rsid w:val="00C57F35"/>
    <w:rsid w:val="00C6086E"/>
    <w:rsid w:val="00C60C85"/>
    <w:rsid w:val="00C60DD3"/>
    <w:rsid w:val="00C610DD"/>
    <w:rsid w:val="00C611AF"/>
    <w:rsid w:val="00C61981"/>
    <w:rsid w:val="00C61BD0"/>
    <w:rsid w:val="00C61C81"/>
    <w:rsid w:val="00C61EFD"/>
    <w:rsid w:val="00C62B41"/>
    <w:rsid w:val="00C62DBF"/>
    <w:rsid w:val="00C632F9"/>
    <w:rsid w:val="00C64036"/>
    <w:rsid w:val="00C64093"/>
    <w:rsid w:val="00C65206"/>
    <w:rsid w:val="00C6575B"/>
    <w:rsid w:val="00C6604C"/>
    <w:rsid w:val="00C67698"/>
    <w:rsid w:val="00C70228"/>
    <w:rsid w:val="00C703A2"/>
    <w:rsid w:val="00C708FD"/>
    <w:rsid w:val="00C71340"/>
    <w:rsid w:val="00C7285C"/>
    <w:rsid w:val="00C7299E"/>
    <w:rsid w:val="00C73068"/>
    <w:rsid w:val="00C73419"/>
    <w:rsid w:val="00C73E52"/>
    <w:rsid w:val="00C7414B"/>
    <w:rsid w:val="00C7416F"/>
    <w:rsid w:val="00C743EF"/>
    <w:rsid w:val="00C74438"/>
    <w:rsid w:val="00C75A2C"/>
    <w:rsid w:val="00C75A5F"/>
    <w:rsid w:val="00C75E69"/>
    <w:rsid w:val="00C7619F"/>
    <w:rsid w:val="00C76725"/>
    <w:rsid w:val="00C767F7"/>
    <w:rsid w:val="00C76988"/>
    <w:rsid w:val="00C76E6C"/>
    <w:rsid w:val="00C77227"/>
    <w:rsid w:val="00C77D74"/>
    <w:rsid w:val="00C77E6E"/>
    <w:rsid w:val="00C801E2"/>
    <w:rsid w:val="00C80309"/>
    <w:rsid w:val="00C80857"/>
    <w:rsid w:val="00C8140A"/>
    <w:rsid w:val="00C81BD5"/>
    <w:rsid w:val="00C8218F"/>
    <w:rsid w:val="00C825CD"/>
    <w:rsid w:val="00C8271D"/>
    <w:rsid w:val="00C83626"/>
    <w:rsid w:val="00C836B0"/>
    <w:rsid w:val="00C83A55"/>
    <w:rsid w:val="00C83D63"/>
    <w:rsid w:val="00C83E8C"/>
    <w:rsid w:val="00C84CAF"/>
    <w:rsid w:val="00C85281"/>
    <w:rsid w:val="00C8534A"/>
    <w:rsid w:val="00C8544D"/>
    <w:rsid w:val="00C8555C"/>
    <w:rsid w:val="00C85B33"/>
    <w:rsid w:val="00C86656"/>
    <w:rsid w:val="00C866AA"/>
    <w:rsid w:val="00C8771F"/>
    <w:rsid w:val="00C904E7"/>
    <w:rsid w:val="00C90DA3"/>
    <w:rsid w:val="00C90FD7"/>
    <w:rsid w:val="00C911DB"/>
    <w:rsid w:val="00C915D7"/>
    <w:rsid w:val="00C91C17"/>
    <w:rsid w:val="00C91C80"/>
    <w:rsid w:val="00C926A0"/>
    <w:rsid w:val="00C92B23"/>
    <w:rsid w:val="00C93120"/>
    <w:rsid w:val="00C93182"/>
    <w:rsid w:val="00C93300"/>
    <w:rsid w:val="00C93D49"/>
    <w:rsid w:val="00C94DFE"/>
    <w:rsid w:val="00C95375"/>
    <w:rsid w:val="00C95418"/>
    <w:rsid w:val="00C95DDD"/>
    <w:rsid w:val="00CA0164"/>
    <w:rsid w:val="00CA0D59"/>
    <w:rsid w:val="00CA0F04"/>
    <w:rsid w:val="00CA18CC"/>
    <w:rsid w:val="00CA1D3E"/>
    <w:rsid w:val="00CA2235"/>
    <w:rsid w:val="00CA2711"/>
    <w:rsid w:val="00CA27AA"/>
    <w:rsid w:val="00CA3FC4"/>
    <w:rsid w:val="00CA4417"/>
    <w:rsid w:val="00CA46C3"/>
    <w:rsid w:val="00CA4F0F"/>
    <w:rsid w:val="00CA515A"/>
    <w:rsid w:val="00CA5F73"/>
    <w:rsid w:val="00CA61F3"/>
    <w:rsid w:val="00CA68AF"/>
    <w:rsid w:val="00CA6D65"/>
    <w:rsid w:val="00CA6DE5"/>
    <w:rsid w:val="00CA7F99"/>
    <w:rsid w:val="00CB00EE"/>
    <w:rsid w:val="00CB0542"/>
    <w:rsid w:val="00CB1287"/>
    <w:rsid w:val="00CB1ED7"/>
    <w:rsid w:val="00CB23AC"/>
    <w:rsid w:val="00CB2529"/>
    <w:rsid w:val="00CB28D4"/>
    <w:rsid w:val="00CB2A2D"/>
    <w:rsid w:val="00CB2CA4"/>
    <w:rsid w:val="00CB3DC2"/>
    <w:rsid w:val="00CB3FB2"/>
    <w:rsid w:val="00CB4367"/>
    <w:rsid w:val="00CB4387"/>
    <w:rsid w:val="00CB43B2"/>
    <w:rsid w:val="00CB5609"/>
    <w:rsid w:val="00CB5E4B"/>
    <w:rsid w:val="00CB62A4"/>
    <w:rsid w:val="00CB7147"/>
    <w:rsid w:val="00CB74E5"/>
    <w:rsid w:val="00CB7650"/>
    <w:rsid w:val="00CB7C98"/>
    <w:rsid w:val="00CC0184"/>
    <w:rsid w:val="00CC029B"/>
    <w:rsid w:val="00CC058A"/>
    <w:rsid w:val="00CC058D"/>
    <w:rsid w:val="00CC18FF"/>
    <w:rsid w:val="00CC2713"/>
    <w:rsid w:val="00CC3601"/>
    <w:rsid w:val="00CC4D16"/>
    <w:rsid w:val="00CC4E4C"/>
    <w:rsid w:val="00CC4F16"/>
    <w:rsid w:val="00CC554D"/>
    <w:rsid w:val="00CC57DF"/>
    <w:rsid w:val="00CC6318"/>
    <w:rsid w:val="00CC637E"/>
    <w:rsid w:val="00CC6C76"/>
    <w:rsid w:val="00CC7250"/>
    <w:rsid w:val="00CC741F"/>
    <w:rsid w:val="00CD004F"/>
    <w:rsid w:val="00CD05D5"/>
    <w:rsid w:val="00CD05F2"/>
    <w:rsid w:val="00CD0745"/>
    <w:rsid w:val="00CD0CE4"/>
    <w:rsid w:val="00CD1116"/>
    <w:rsid w:val="00CD1212"/>
    <w:rsid w:val="00CD186A"/>
    <w:rsid w:val="00CD1E0C"/>
    <w:rsid w:val="00CD1E41"/>
    <w:rsid w:val="00CD1FFE"/>
    <w:rsid w:val="00CD31A4"/>
    <w:rsid w:val="00CD3459"/>
    <w:rsid w:val="00CD34FC"/>
    <w:rsid w:val="00CD3BE8"/>
    <w:rsid w:val="00CD417B"/>
    <w:rsid w:val="00CD4D6A"/>
    <w:rsid w:val="00CD53D0"/>
    <w:rsid w:val="00CD5504"/>
    <w:rsid w:val="00CD5916"/>
    <w:rsid w:val="00CD608F"/>
    <w:rsid w:val="00CD6402"/>
    <w:rsid w:val="00CD66D9"/>
    <w:rsid w:val="00CD7089"/>
    <w:rsid w:val="00CD72CD"/>
    <w:rsid w:val="00CD7948"/>
    <w:rsid w:val="00CD7E70"/>
    <w:rsid w:val="00CE0228"/>
    <w:rsid w:val="00CE0CC5"/>
    <w:rsid w:val="00CE19F7"/>
    <w:rsid w:val="00CE2267"/>
    <w:rsid w:val="00CE254E"/>
    <w:rsid w:val="00CE27E1"/>
    <w:rsid w:val="00CE3138"/>
    <w:rsid w:val="00CE3333"/>
    <w:rsid w:val="00CE36A6"/>
    <w:rsid w:val="00CE372E"/>
    <w:rsid w:val="00CE378F"/>
    <w:rsid w:val="00CE38FA"/>
    <w:rsid w:val="00CE38FF"/>
    <w:rsid w:val="00CE4DFF"/>
    <w:rsid w:val="00CE4F67"/>
    <w:rsid w:val="00CE52F1"/>
    <w:rsid w:val="00CE541A"/>
    <w:rsid w:val="00CE6017"/>
    <w:rsid w:val="00CE673A"/>
    <w:rsid w:val="00CE67D8"/>
    <w:rsid w:val="00CE71C6"/>
    <w:rsid w:val="00CE7579"/>
    <w:rsid w:val="00CE7DB3"/>
    <w:rsid w:val="00CF0980"/>
    <w:rsid w:val="00CF0B0E"/>
    <w:rsid w:val="00CF1887"/>
    <w:rsid w:val="00CF2954"/>
    <w:rsid w:val="00CF36A9"/>
    <w:rsid w:val="00CF3AFF"/>
    <w:rsid w:val="00CF3C6B"/>
    <w:rsid w:val="00CF3C71"/>
    <w:rsid w:val="00CF3FB0"/>
    <w:rsid w:val="00CF43C2"/>
    <w:rsid w:val="00CF4540"/>
    <w:rsid w:val="00CF48E4"/>
    <w:rsid w:val="00CF4973"/>
    <w:rsid w:val="00CF552B"/>
    <w:rsid w:val="00CF56E7"/>
    <w:rsid w:val="00CF5E9D"/>
    <w:rsid w:val="00CF6733"/>
    <w:rsid w:val="00CF6C52"/>
    <w:rsid w:val="00CF70CA"/>
    <w:rsid w:val="00CF73DB"/>
    <w:rsid w:val="00CF742D"/>
    <w:rsid w:val="00D0063A"/>
    <w:rsid w:val="00D00C1C"/>
    <w:rsid w:val="00D02377"/>
    <w:rsid w:val="00D023B7"/>
    <w:rsid w:val="00D02666"/>
    <w:rsid w:val="00D03BE8"/>
    <w:rsid w:val="00D04495"/>
    <w:rsid w:val="00D048B9"/>
    <w:rsid w:val="00D04F93"/>
    <w:rsid w:val="00D05235"/>
    <w:rsid w:val="00D05255"/>
    <w:rsid w:val="00D05646"/>
    <w:rsid w:val="00D0597D"/>
    <w:rsid w:val="00D05E37"/>
    <w:rsid w:val="00D060FC"/>
    <w:rsid w:val="00D06293"/>
    <w:rsid w:val="00D0676B"/>
    <w:rsid w:val="00D0691B"/>
    <w:rsid w:val="00D069C9"/>
    <w:rsid w:val="00D06A34"/>
    <w:rsid w:val="00D06F81"/>
    <w:rsid w:val="00D073D9"/>
    <w:rsid w:val="00D0792E"/>
    <w:rsid w:val="00D07A41"/>
    <w:rsid w:val="00D07B49"/>
    <w:rsid w:val="00D07D7A"/>
    <w:rsid w:val="00D1025E"/>
    <w:rsid w:val="00D10F78"/>
    <w:rsid w:val="00D11442"/>
    <w:rsid w:val="00D1150D"/>
    <w:rsid w:val="00D11599"/>
    <w:rsid w:val="00D133A3"/>
    <w:rsid w:val="00D133DB"/>
    <w:rsid w:val="00D135F5"/>
    <w:rsid w:val="00D137AC"/>
    <w:rsid w:val="00D13C22"/>
    <w:rsid w:val="00D13DAD"/>
    <w:rsid w:val="00D13DDE"/>
    <w:rsid w:val="00D1452E"/>
    <w:rsid w:val="00D148A5"/>
    <w:rsid w:val="00D152D4"/>
    <w:rsid w:val="00D15306"/>
    <w:rsid w:val="00D15313"/>
    <w:rsid w:val="00D1546E"/>
    <w:rsid w:val="00D155AD"/>
    <w:rsid w:val="00D156E2"/>
    <w:rsid w:val="00D15ABB"/>
    <w:rsid w:val="00D16120"/>
    <w:rsid w:val="00D167AF"/>
    <w:rsid w:val="00D1698E"/>
    <w:rsid w:val="00D16BF0"/>
    <w:rsid w:val="00D17213"/>
    <w:rsid w:val="00D1780C"/>
    <w:rsid w:val="00D17B1E"/>
    <w:rsid w:val="00D205AC"/>
    <w:rsid w:val="00D20688"/>
    <w:rsid w:val="00D2080D"/>
    <w:rsid w:val="00D20A05"/>
    <w:rsid w:val="00D20A8B"/>
    <w:rsid w:val="00D211E0"/>
    <w:rsid w:val="00D21594"/>
    <w:rsid w:val="00D21608"/>
    <w:rsid w:val="00D2175C"/>
    <w:rsid w:val="00D2193D"/>
    <w:rsid w:val="00D21A66"/>
    <w:rsid w:val="00D22005"/>
    <w:rsid w:val="00D229E0"/>
    <w:rsid w:val="00D22E77"/>
    <w:rsid w:val="00D23258"/>
    <w:rsid w:val="00D241A8"/>
    <w:rsid w:val="00D24CAD"/>
    <w:rsid w:val="00D2528C"/>
    <w:rsid w:val="00D254C0"/>
    <w:rsid w:val="00D25558"/>
    <w:rsid w:val="00D26832"/>
    <w:rsid w:val="00D26F50"/>
    <w:rsid w:val="00D2722E"/>
    <w:rsid w:val="00D272B1"/>
    <w:rsid w:val="00D2774B"/>
    <w:rsid w:val="00D27C82"/>
    <w:rsid w:val="00D304FE"/>
    <w:rsid w:val="00D30556"/>
    <w:rsid w:val="00D30D8B"/>
    <w:rsid w:val="00D31223"/>
    <w:rsid w:val="00D31A39"/>
    <w:rsid w:val="00D32434"/>
    <w:rsid w:val="00D32BAB"/>
    <w:rsid w:val="00D32F5C"/>
    <w:rsid w:val="00D32FB9"/>
    <w:rsid w:val="00D33390"/>
    <w:rsid w:val="00D33537"/>
    <w:rsid w:val="00D335F6"/>
    <w:rsid w:val="00D34A96"/>
    <w:rsid w:val="00D34F34"/>
    <w:rsid w:val="00D3538A"/>
    <w:rsid w:val="00D35778"/>
    <w:rsid w:val="00D36F3C"/>
    <w:rsid w:val="00D374D9"/>
    <w:rsid w:val="00D37829"/>
    <w:rsid w:val="00D37C48"/>
    <w:rsid w:val="00D408D2"/>
    <w:rsid w:val="00D40A76"/>
    <w:rsid w:val="00D40AC9"/>
    <w:rsid w:val="00D40BCF"/>
    <w:rsid w:val="00D40C77"/>
    <w:rsid w:val="00D40F82"/>
    <w:rsid w:val="00D417C4"/>
    <w:rsid w:val="00D41B54"/>
    <w:rsid w:val="00D425DE"/>
    <w:rsid w:val="00D42671"/>
    <w:rsid w:val="00D4309B"/>
    <w:rsid w:val="00D43249"/>
    <w:rsid w:val="00D43286"/>
    <w:rsid w:val="00D43E18"/>
    <w:rsid w:val="00D44773"/>
    <w:rsid w:val="00D44AF7"/>
    <w:rsid w:val="00D453A4"/>
    <w:rsid w:val="00D45543"/>
    <w:rsid w:val="00D4555E"/>
    <w:rsid w:val="00D45BFC"/>
    <w:rsid w:val="00D4611F"/>
    <w:rsid w:val="00D467E5"/>
    <w:rsid w:val="00D47AB7"/>
    <w:rsid w:val="00D47E5B"/>
    <w:rsid w:val="00D47EE5"/>
    <w:rsid w:val="00D5061F"/>
    <w:rsid w:val="00D50B99"/>
    <w:rsid w:val="00D50FAD"/>
    <w:rsid w:val="00D511F9"/>
    <w:rsid w:val="00D514BC"/>
    <w:rsid w:val="00D51D62"/>
    <w:rsid w:val="00D5228C"/>
    <w:rsid w:val="00D524DD"/>
    <w:rsid w:val="00D52D0D"/>
    <w:rsid w:val="00D5414C"/>
    <w:rsid w:val="00D54604"/>
    <w:rsid w:val="00D54A0F"/>
    <w:rsid w:val="00D54DBA"/>
    <w:rsid w:val="00D554D6"/>
    <w:rsid w:val="00D55C97"/>
    <w:rsid w:val="00D5678F"/>
    <w:rsid w:val="00D56C15"/>
    <w:rsid w:val="00D56C8E"/>
    <w:rsid w:val="00D577FB"/>
    <w:rsid w:val="00D61112"/>
    <w:rsid w:val="00D62387"/>
    <w:rsid w:val="00D62EBC"/>
    <w:rsid w:val="00D63BC9"/>
    <w:rsid w:val="00D63C39"/>
    <w:rsid w:val="00D64019"/>
    <w:rsid w:val="00D649AC"/>
    <w:rsid w:val="00D650D6"/>
    <w:rsid w:val="00D6641C"/>
    <w:rsid w:val="00D66B75"/>
    <w:rsid w:val="00D6741B"/>
    <w:rsid w:val="00D67EE1"/>
    <w:rsid w:val="00D67F0D"/>
    <w:rsid w:val="00D70346"/>
    <w:rsid w:val="00D70631"/>
    <w:rsid w:val="00D70AF3"/>
    <w:rsid w:val="00D70C93"/>
    <w:rsid w:val="00D70FE0"/>
    <w:rsid w:val="00D71A17"/>
    <w:rsid w:val="00D72323"/>
    <w:rsid w:val="00D728E8"/>
    <w:rsid w:val="00D72E43"/>
    <w:rsid w:val="00D733F0"/>
    <w:rsid w:val="00D74C51"/>
    <w:rsid w:val="00D75210"/>
    <w:rsid w:val="00D755C5"/>
    <w:rsid w:val="00D75C7D"/>
    <w:rsid w:val="00D763A2"/>
    <w:rsid w:val="00D76F4A"/>
    <w:rsid w:val="00D77035"/>
    <w:rsid w:val="00D77367"/>
    <w:rsid w:val="00D7746D"/>
    <w:rsid w:val="00D7793D"/>
    <w:rsid w:val="00D77AC6"/>
    <w:rsid w:val="00D77CBB"/>
    <w:rsid w:val="00D8014A"/>
    <w:rsid w:val="00D80834"/>
    <w:rsid w:val="00D8084A"/>
    <w:rsid w:val="00D80943"/>
    <w:rsid w:val="00D80CC3"/>
    <w:rsid w:val="00D81403"/>
    <w:rsid w:val="00D81452"/>
    <w:rsid w:val="00D814EB"/>
    <w:rsid w:val="00D81515"/>
    <w:rsid w:val="00D81704"/>
    <w:rsid w:val="00D817CE"/>
    <w:rsid w:val="00D81F5F"/>
    <w:rsid w:val="00D82024"/>
    <w:rsid w:val="00D820BD"/>
    <w:rsid w:val="00D828F4"/>
    <w:rsid w:val="00D835B5"/>
    <w:rsid w:val="00D83938"/>
    <w:rsid w:val="00D8399A"/>
    <w:rsid w:val="00D8413C"/>
    <w:rsid w:val="00D84353"/>
    <w:rsid w:val="00D8606E"/>
    <w:rsid w:val="00D8618C"/>
    <w:rsid w:val="00D86387"/>
    <w:rsid w:val="00D863FB"/>
    <w:rsid w:val="00D86C63"/>
    <w:rsid w:val="00D87422"/>
    <w:rsid w:val="00D87DD9"/>
    <w:rsid w:val="00D90149"/>
    <w:rsid w:val="00D90758"/>
    <w:rsid w:val="00D908DE"/>
    <w:rsid w:val="00D90B9E"/>
    <w:rsid w:val="00D90E5C"/>
    <w:rsid w:val="00D91015"/>
    <w:rsid w:val="00D9126B"/>
    <w:rsid w:val="00D92ECF"/>
    <w:rsid w:val="00D938ED"/>
    <w:rsid w:val="00D94521"/>
    <w:rsid w:val="00D949A0"/>
    <w:rsid w:val="00D94B45"/>
    <w:rsid w:val="00D9565D"/>
    <w:rsid w:val="00D964DA"/>
    <w:rsid w:val="00D96B37"/>
    <w:rsid w:val="00D96E10"/>
    <w:rsid w:val="00D97632"/>
    <w:rsid w:val="00D978A9"/>
    <w:rsid w:val="00D97902"/>
    <w:rsid w:val="00D97E73"/>
    <w:rsid w:val="00D97EA3"/>
    <w:rsid w:val="00DA0174"/>
    <w:rsid w:val="00DA01C2"/>
    <w:rsid w:val="00DA054A"/>
    <w:rsid w:val="00DA0954"/>
    <w:rsid w:val="00DA09E7"/>
    <w:rsid w:val="00DA0A35"/>
    <w:rsid w:val="00DA0CF9"/>
    <w:rsid w:val="00DA0D5E"/>
    <w:rsid w:val="00DA114C"/>
    <w:rsid w:val="00DA1661"/>
    <w:rsid w:val="00DA18BD"/>
    <w:rsid w:val="00DA18E4"/>
    <w:rsid w:val="00DA2009"/>
    <w:rsid w:val="00DA2261"/>
    <w:rsid w:val="00DA2A21"/>
    <w:rsid w:val="00DA2C6B"/>
    <w:rsid w:val="00DA32D3"/>
    <w:rsid w:val="00DA3315"/>
    <w:rsid w:val="00DA36D0"/>
    <w:rsid w:val="00DA4293"/>
    <w:rsid w:val="00DA4B7C"/>
    <w:rsid w:val="00DA53B8"/>
    <w:rsid w:val="00DA5E7B"/>
    <w:rsid w:val="00DA62AA"/>
    <w:rsid w:val="00DA62AD"/>
    <w:rsid w:val="00DA69DD"/>
    <w:rsid w:val="00DA6DEB"/>
    <w:rsid w:val="00DA79CF"/>
    <w:rsid w:val="00DA7B1A"/>
    <w:rsid w:val="00DA7C4F"/>
    <w:rsid w:val="00DA7CA2"/>
    <w:rsid w:val="00DB0244"/>
    <w:rsid w:val="00DB0C6B"/>
    <w:rsid w:val="00DB158F"/>
    <w:rsid w:val="00DB16B2"/>
    <w:rsid w:val="00DB1A55"/>
    <w:rsid w:val="00DB2CAD"/>
    <w:rsid w:val="00DB41B4"/>
    <w:rsid w:val="00DB4535"/>
    <w:rsid w:val="00DB47A6"/>
    <w:rsid w:val="00DB4C51"/>
    <w:rsid w:val="00DB4FA4"/>
    <w:rsid w:val="00DB525A"/>
    <w:rsid w:val="00DB5A94"/>
    <w:rsid w:val="00DB5CAE"/>
    <w:rsid w:val="00DB62A6"/>
    <w:rsid w:val="00DB698F"/>
    <w:rsid w:val="00DB69E1"/>
    <w:rsid w:val="00DB6F8F"/>
    <w:rsid w:val="00DB7181"/>
    <w:rsid w:val="00DB751D"/>
    <w:rsid w:val="00DC0034"/>
    <w:rsid w:val="00DC0487"/>
    <w:rsid w:val="00DC0621"/>
    <w:rsid w:val="00DC0DD2"/>
    <w:rsid w:val="00DC2EAB"/>
    <w:rsid w:val="00DC462A"/>
    <w:rsid w:val="00DC5C81"/>
    <w:rsid w:val="00DC5F59"/>
    <w:rsid w:val="00DC66C0"/>
    <w:rsid w:val="00DC672F"/>
    <w:rsid w:val="00DC6929"/>
    <w:rsid w:val="00DC7BF3"/>
    <w:rsid w:val="00DC7C33"/>
    <w:rsid w:val="00DC7EC5"/>
    <w:rsid w:val="00DD0469"/>
    <w:rsid w:val="00DD0668"/>
    <w:rsid w:val="00DD077B"/>
    <w:rsid w:val="00DD1185"/>
    <w:rsid w:val="00DD11AD"/>
    <w:rsid w:val="00DD11CB"/>
    <w:rsid w:val="00DD1A68"/>
    <w:rsid w:val="00DD1D9D"/>
    <w:rsid w:val="00DD1DFD"/>
    <w:rsid w:val="00DD23EA"/>
    <w:rsid w:val="00DD2B72"/>
    <w:rsid w:val="00DD2D09"/>
    <w:rsid w:val="00DD35EF"/>
    <w:rsid w:val="00DD497E"/>
    <w:rsid w:val="00DD4A22"/>
    <w:rsid w:val="00DD5409"/>
    <w:rsid w:val="00DD6351"/>
    <w:rsid w:val="00DD6413"/>
    <w:rsid w:val="00DD6745"/>
    <w:rsid w:val="00DD6810"/>
    <w:rsid w:val="00DD6A95"/>
    <w:rsid w:val="00DD7C2D"/>
    <w:rsid w:val="00DD7D43"/>
    <w:rsid w:val="00DD7E85"/>
    <w:rsid w:val="00DE07A2"/>
    <w:rsid w:val="00DE27EB"/>
    <w:rsid w:val="00DE3855"/>
    <w:rsid w:val="00DE387E"/>
    <w:rsid w:val="00DE3CED"/>
    <w:rsid w:val="00DE3D03"/>
    <w:rsid w:val="00DE40CB"/>
    <w:rsid w:val="00DE4374"/>
    <w:rsid w:val="00DE46E8"/>
    <w:rsid w:val="00DE46F1"/>
    <w:rsid w:val="00DE4C24"/>
    <w:rsid w:val="00DE5820"/>
    <w:rsid w:val="00DE58DC"/>
    <w:rsid w:val="00DE6967"/>
    <w:rsid w:val="00DE6E19"/>
    <w:rsid w:val="00DE71F4"/>
    <w:rsid w:val="00DE7429"/>
    <w:rsid w:val="00DE75B2"/>
    <w:rsid w:val="00DF0A0B"/>
    <w:rsid w:val="00DF0D97"/>
    <w:rsid w:val="00DF16C9"/>
    <w:rsid w:val="00DF1B46"/>
    <w:rsid w:val="00DF231D"/>
    <w:rsid w:val="00DF25D9"/>
    <w:rsid w:val="00DF28E6"/>
    <w:rsid w:val="00DF3AB4"/>
    <w:rsid w:val="00DF3B1E"/>
    <w:rsid w:val="00DF4172"/>
    <w:rsid w:val="00DF4304"/>
    <w:rsid w:val="00DF45FD"/>
    <w:rsid w:val="00DF471E"/>
    <w:rsid w:val="00DF4B8B"/>
    <w:rsid w:val="00DF4FC2"/>
    <w:rsid w:val="00DF520B"/>
    <w:rsid w:val="00DF56C0"/>
    <w:rsid w:val="00DF6096"/>
    <w:rsid w:val="00DF633B"/>
    <w:rsid w:val="00DF6906"/>
    <w:rsid w:val="00DF70B1"/>
    <w:rsid w:val="00DF76C2"/>
    <w:rsid w:val="00DF7831"/>
    <w:rsid w:val="00E00E64"/>
    <w:rsid w:val="00E012C3"/>
    <w:rsid w:val="00E01887"/>
    <w:rsid w:val="00E01984"/>
    <w:rsid w:val="00E01A10"/>
    <w:rsid w:val="00E01A2D"/>
    <w:rsid w:val="00E02545"/>
    <w:rsid w:val="00E041DB"/>
    <w:rsid w:val="00E0423D"/>
    <w:rsid w:val="00E043C9"/>
    <w:rsid w:val="00E0450A"/>
    <w:rsid w:val="00E04B9D"/>
    <w:rsid w:val="00E04FC6"/>
    <w:rsid w:val="00E06134"/>
    <w:rsid w:val="00E06221"/>
    <w:rsid w:val="00E0623A"/>
    <w:rsid w:val="00E0681E"/>
    <w:rsid w:val="00E06841"/>
    <w:rsid w:val="00E06B96"/>
    <w:rsid w:val="00E07002"/>
    <w:rsid w:val="00E07721"/>
    <w:rsid w:val="00E07728"/>
    <w:rsid w:val="00E07F58"/>
    <w:rsid w:val="00E10121"/>
    <w:rsid w:val="00E103D5"/>
    <w:rsid w:val="00E10D4E"/>
    <w:rsid w:val="00E10E21"/>
    <w:rsid w:val="00E12253"/>
    <w:rsid w:val="00E12BE0"/>
    <w:rsid w:val="00E136D3"/>
    <w:rsid w:val="00E1388A"/>
    <w:rsid w:val="00E13A10"/>
    <w:rsid w:val="00E13F24"/>
    <w:rsid w:val="00E144D4"/>
    <w:rsid w:val="00E14AC2"/>
    <w:rsid w:val="00E14B88"/>
    <w:rsid w:val="00E15480"/>
    <w:rsid w:val="00E156CC"/>
    <w:rsid w:val="00E15F78"/>
    <w:rsid w:val="00E16EB0"/>
    <w:rsid w:val="00E17571"/>
    <w:rsid w:val="00E176BC"/>
    <w:rsid w:val="00E17876"/>
    <w:rsid w:val="00E207FB"/>
    <w:rsid w:val="00E20D63"/>
    <w:rsid w:val="00E20DBB"/>
    <w:rsid w:val="00E20E0C"/>
    <w:rsid w:val="00E21340"/>
    <w:rsid w:val="00E22B3A"/>
    <w:rsid w:val="00E22DF2"/>
    <w:rsid w:val="00E233FE"/>
    <w:rsid w:val="00E23AA8"/>
    <w:rsid w:val="00E2444C"/>
    <w:rsid w:val="00E24B5D"/>
    <w:rsid w:val="00E2511E"/>
    <w:rsid w:val="00E258DE"/>
    <w:rsid w:val="00E25ED9"/>
    <w:rsid w:val="00E26363"/>
    <w:rsid w:val="00E26B74"/>
    <w:rsid w:val="00E3011A"/>
    <w:rsid w:val="00E30B21"/>
    <w:rsid w:val="00E31010"/>
    <w:rsid w:val="00E311F1"/>
    <w:rsid w:val="00E31D91"/>
    <w:rsid w:val="00E336C5"/>
    <w:rsid w:val="00E33901"/>
    <w:rsid w:val="00E339DC"/>
    <w:rsid w:val="00E33DE7"/>
    <w:rsid w:val="00E33F6D"/>
    <w:rsid w:val="00E341E1"/>
    <w:rsid w:val="00E3466B"/>
    <w:rsid w:val="00E34EDE"/>
    <w:rsid w:val="00E35239"/>
    <w:rsid w:val="00E35FF0"/>
    <w:rsid w:val="00E36577"/>
    <w:rsid w:val="00E365F3"/>
    <w:rsid w:val="00E3693C"/>
    <w:rsid w:val="00E37690"/>
    <w:rsid w:val="00E37F4E"/>
    <w:rsid w:val="00E400BD"/>
    <w:rsid w:val="00E404C8"/>
    <w:rsid w:val="00E40A6F"/>
    <w:rsid w:val="00E41012"/>
    <w:rsid w:val="00E415B1"/>
    <w:rsid w:val="00E4198C"/>
    <w:rsid w:val="00E41992"/>
    <w:rsid w:val="00E42101"/>
    <w:rsid w:val="00E42262"/>
    <w:rsid w:val="00E426C3"/>
    <w:rsid w:val="00E43892"/>
    <w:rsid w:val="00E43E6B"/>
    <w:rsid w:val="00E43FED"/>
    <w:rsid w:val="00E448A5"/>
    <w:rsid w:val="00E44F5A"/>
    <w:rsid w:val="00E4549D"/>
    <w:rsid w:val="00E46AED"/>
    <w:rsid w:val="00E46BD6"/>
    <w:rsid w:val="00E4702F"/>
    <w:rsid w:val="00E50159"/>
    <w:rsid w:val="00E501D6"/>
    <w:rsid w:val="00E503A8"/>
    <w:rsid w:val="00E504C8"/>
    <w:rsid w:val="00E505F7"/>
    <w:rsid w:val="00E506BD"/>
    <w:rsid w:val="00E50D5B"/>
    <w:rsid w:val="00E50FDA"/>
    <w:rsid w:val="00E513B0"/>
    <w:rsid w:val="00E51601"/>
    <w:rsid w:val="00E517DF"/>
    <w:rsid w:val="00E51FB0"/>
    <w:rsid w:val="00E527C5"/>
    <w:rsid w:val="00E52CCA"/>
    <w:rsid w:val="00E539EE"/>
    <w:rsid w:val="00E543B4"/>
    <w:rsid w:val="00E54CD9"/>
    <w:rsid w:val="00E54CEA"/>
    <w:rsid w:val="00E54D2F"/>
    <w:rsid w:val="00E54D4E"/>
    <w:rsid w:val="00E55CC5"/>
    <w:rsid w:val="00E5605D"/>
    <w:rsid w:val="00E5795A"/>
    <w:rsid w:val="00E6023E"/>
    <w:rsid w:val="00E607ED"/>
    <w:rsid w:val="00E60E63"/>
    <w:rsid w:val="00E61C85"/>
    <w:rsid w:val="00E62F02"/>
    <w:rsid w:val="00E6310E"/>
    <w:rsid w:val="00E6364B"/>
    <w:rsid w:val="00E63B4E"/>
    <w:rsid w:val="00E64852"/>
    <w:rsid w:val="00E64CA9"/>
    <w:rsid w:val="00E65228"/>
    <w:rsid w:val="00E655E2"/>
    <w:rsid w:val="00E6640E"/>
    <w:rsid w:val="00E66D5F"/>
    <w:rsid w:val="00E66F2B"/>
    <w:rsid w:val="00E67129"/>
    <w:rsid w:val="00E672FC"/>
    <w:rsid w:val="00E6742B"/>
    <w:rsid w:val="00E6762C"/>
    <w:rsid w:val="00E67CEC"/>
    <w:rsid w:val="00E707EE"/>
    <w:rsid w:val="00E7188D"/>
    <w:rsid w:val="00E71D5A"/>
    <w:rsid w:val="00E71DFE"/>
    <w:rsid w:val="00E71E19"/>
    <w:rsid w:val="00E72E9D"/>
    <w:rsid w:val="00E7361E"/>
    <w:rsid w:val="00E73B1C"/>
    <w:rsid w:val="00E7407D"/>
    <w:rsid w:val="00E74995"/>
    <w:rsid w:val="00E74A2A"/>
    <w:rsid w:val="00E76079"/>
    <w:rsid w:val="00E766AD"/>
    <w:rsid w:val="00E76852"/>
    <w:rsid w:val="00E76B7B"/>
    <w:rsid w:val="00E778CC"/>
    <w:rsid w:val="00E77B82"/>
    <w:rsid w:val="00E77C38"/>
    <w:rsid w:val="00E77F79"/>
    <w:rsid w:val="00E80BE5"/>
    <w:rsid w:val="00E80C3D"/>
    <w:rsid w:val="00E80C4C"/>
    <w:rsid w:val="00E81421"/>
    <w:rsid w:val="00E823D7"/>
    <w:rsid w:val="00E82D6A"/>
    <w:rsid w:val="00E82DF7"/>
    <w:rsid w:val="00E82F3B"/>
    <w:rsid w:val="00E834D0"/>
    <w:rsid w:val="00E83CAA"/>
    <w:rsid w:val="00E83DDB"/>
    <w:rsid w:val="00E83DF4"/>
    <w:rsid w:val="00E845C8"/>
    <w:rsid w:val="00E845EF"/>
    <w:rsid w:val="00E84AF3"/>
    <w:rsid w:val="00E8521E"/>
    <w:rsid w:val="00E85AEB"/>
    <w:rsid w:val="00E8601C"/>
    <w:rsid w:val="00E874E6"/>
    <w:rsid w:val="00E87BD6"/>
    <w:rsid w:val="00E87F24"/>
    <w:rsid w:val="00E9019D"/>
    <w:rsid w:val="00E9187B"/>
    <w:rsid w:val="00E91BA3"/>
    <w:rsid w:val="00E91C7E"/>
    <w:rsid w:val="00E921A5"/>
    <w:rsid w:val="00E92EE4"/>
    <w:rsid w:val="00E93351"/>
    <w:rsid w:val="00E93B3C"/>
    <w:rsid w:val="00E93F19"/>
    <w:rsid w:val="00E943FE"/>
    <w:rsid w:val="00E94868"/>
    <w:rsid w:val="00E95881"/>
    <w:rsid w:val="00E969E5"/>
    <w:rsid w:val="00E96EE5"/>
    <w:rsid w:val="00E976B5"/>
    <w:rsid w:val="00E97CC2"/>
    <w:rsid w:val="00E97EE0"/>
    <w:rsid w:val="00EA0048"/>
    <w:rsid w:val="00EA04F3"/>
    <w:rsid w:val="00EA0504"/>
    <w:rsid w:val="00EA06F6"/>
    <w:rsid w:val="00EA0A28"/>
    <w:rsid w:val="00EA0B94"/>
    <w:rsid w:val="00EA18C8"/>
    <w:rsid w:val="00EA1D70"/>
    <w:rsid w:val="00EA2814"/>
    <w:rsid w:val="00EA2831"/>
    <w:rsid w:val="00EA3040"/>
    <w:rsid w:val="00EA35EB"/>
    <w:rsid w:val="00EA396C"/>
    <w:rsid w:val="00EA3E11"/>
    <w:rsid w:val="00EA4366"/>
    <w:rsid w:val="00EA47F9"/>
    <w:rsid w:val="00EA48A1"/>
    <w:rsid w:val="00EA4D02"/>
    <w:rsid w:val="00EA5003"/>
    <w:rsid w:val="00EA56A4"/>
    <w:rsid w:val="00EA5FDF"/>
    <w:rsid w:val="00EA6471"/>
    <w:rsid w:val="00EA66CB"/>
    <w:rsid w:val="00EA689F"/>
    <w:rsid w:val="00EA7C4D"/>
    <w:rsid w:val="00EA7CF6"/>
    <w:rsid w:val="00EB005E"/>
    <w:rsid w:val="00EB0D15"/>
    <w:rsid w:val="00EB0D19"/>
    <w:rsid w:val="00EB1339"/>
    <w:rsid w:val="00EB1B2B"/>
    <w:rsid w:val="00EB2107"/>
    <w:rsid w:val="00EB2491"/>
    <w:rsid w:val="00EB24A6"/>
    <w:rsid w:val="00EB24DB"/>
    <w:rsid w:val="00EB2AE6"/>
    <w:rsid w:val="00EB2F39"/>
    <w:rsid w:val="00EB3436"/>
    <w:rsid w:val="00EB3A76"/>
    <w:rsid w:val="00EB3DC6"/>
    <w:rsid w:val="00EB3EFF"/>
    <w:rsid w:val="00EB4366"/>
    <w:rsid w:val="00EB4431"/>
    <w:rsid w:val="00EB4461"/>
    <w:rsid w:val="00EB4B37"/>
    <w:rsid w:val="00EB4EC8"/>
    <w:rsid w:val="00EB5162"/>
    <w:rsid w:val="00EB58C6"/>
    <w:rsid w:val="00EB59D8"/>
    <w:rsid w:val="00EB5D27"/>
    <w:rsid w:val="00EB6182"/>
    <w:rsid w:val="00EB78D8"/>
    <w:rsid w:val="00EC0393"/>
    <w:rsid w:val="00EC03E5"/>
    <w:rsid w:val="00EC0458"/>
    <w:rsid w:val="00EC12B4"/>
    <w:rsid w:val="00EC1A79"/>
    <w:rsid w:val="00EC27A1"/>
    <w:rsid w:val="00EC3819"/>
    <w:rsid w:val="00EC3F82"/>
    <w:rsid w:val="00EC40FC"/>
    <w:rsid w:val="00EC4416"/>
    <w:rsid w:val="00EC468C"/>
    <w:rsid w:val="00EC4CA9"/>
    <w:rsid w:val="00EC4F4D"/>
    <w:rsid w:val="00EC52E3"/>
    <w:rsid w:val="00EC55BE"/>
    <w:rsid w:val="00EC6206"/>
    <w:rsid w:val="00EC63E0"/>
    <w:rsid w:val="00EC66E0"/>
    <w:rsid w:val="00EC68D7"/>
    <w:rsid w:val="00EC6C88"/>
    <w:rsid w:val="00EC6DBE"/>
    <w:rsid w:val="00EC753A"/>
    <w:rsid w:val="00EC771F"/>
    <w:rsid w:val="00ED0C19"/>
    <w:rsid w:val="00ED0D0D"/>
    <w:rsid w:val="00ED105D"/>
    <w:rsid w:val="00ED14FA"/>
    <w:rsid w:val="00ED1602"/>
    <w:rsid w:val="00ED1896"/>
    <w:rsid w:val="00ED1B1D"/>
    <w:rsid w:val="00ED1C3D"/>
    <w:rsid w:val="00ED1EDA"/>
    <w:rsid w:val="00ED26D3"/>
    <w:rsid w:val="00ED38D5"/>
    <w:rsid w:val="00ED4173"/>
    <w:rsid w:val="00ED481E"/>
    <w:rsid w:val="00ED52CE"/>
    <w:rsid w:val="00ED5DE1"/>
    <w:rsid w:val="00ED5FE6"/>
    <w:rsid w:val="00ED6916"/>
    <w:rsid w:val="00ED6B89"/>
    <w:rsid w:val="00ED7017"/>
    <w:rsid w:val="00ED7165"/>
    <w:rsid w:val="00ED74E1"/>
    <w:rsid w:val="00ED7C8C"/>
    <w:rsid w:val="00EE0413"/>
    <w:rsid w:val="00EE0C44"/>
    <w:rsid w:val="00EE0CB0"/>
    <w:rsid w:val="00EE1113"/>
    <w:rsid w:val="00EE2391"/>
    <w:rsid w:val="00EE28F2"/>
    <w:rsid w:val="00EE35E9"/>
    <w:rsid w:val="00EE3E6F"/>
    <w:rsid w:val="00EE3E7D"/>
    <w:rsid w:val="00EE40B9"/>
    <w:rsid w:val="00EE40FA"/>
    <w:rsid w:val="00EE42DB"/>
    <w:rsid w:val="00EE43C7"/>
    <w:rsid w:val="00EE4940"/>
    <w:rsid w:val="00EE57D2"/>
    <w:rsid w:val="00EE7C56"/>
    <w:rsid w:val="00EE7CF2"/>
    <w:rsid w:val="00EF03FE"/>
    <w:rsid w:val="00EF0B71"/>
    <w:rsid w:val="00EF0C61"/>
    <w:rsid w:val="00EF13F9"/>
    <w:rsid w:val="00EF196A"/>
    <w:rsid w:val="00EF1A0D"/>
    <w:rsid w:val="00EF1E68"/>
    <w:rsid w:val="00EF20D2"/>
    <w:rsid w:val="00EF30F0"/>
    <w:rsid w:val="00EF317E"/>
    <w:rsid w:val="00EF3491"/>
    <w:rsid w:val="00EF35E0"/>
    <w:rsid w:val="00EF375D"/>
    <w:rsid w:val="00EF4CAE"/>
    <w:rsid w:val="00EF6C19"/>
    <w:rsid w:val="00EF70AD"/>
    <w:rsid w:val="00EF731C"/>
    <w:rsid w:val="00F001B3"/>
    <w:rsid w:val="00F00CF7"/>
    <w:rsid w:val="00F01B56"/>
    <w:rsid w:val="00F02109"/>
    <w:rsid w:val="00F022D0"/>
    <w:rsid w:val="00F02482"/>
    <w:rsid w:val="00F026CC"/>
    <w:rsid w:val="00F02726"/>
    <w:rsid w:val="00F02970"/>
    <w:rsid w:val="00F02A85"/>
    <w:rsid w:val="00F02B91"/>
    <w:rsid w:val="00F0410F"/>
    <w:rsid w:val="00F04118"/>
    <w:rsid w:val="00F04BA4"/>
    <w:rsid w:val="00F0521E"/>
    <w:rsid w:val="00F053C8"/>
    <w:rsid w:val="00F0586C"/>
    <w:rsid w:val="00F05BD7"/>
    <w:rsid w:val="00F05EFB"/>
    <w:rsid w:val="00F05FDA"/>
    <w:rsid w:val="00F07D01"/>
    <w:rsid w:val="00F1051A"/>
    <w:rsid w:val="00F10B6B"/>
    <w:rsid w:val="00F113FA"/>
    <w:rsid w:val="00F11CBC"/>
    <w:rsid w:val="00F121C1"/>
    <w:rsid w:val="00F126C4"/>
    <w:rsid w:val="00F12FAF"/>
    <w:rsid w:val="00F133D6"/>
    <w:rsid w:val="00F136AD"/>
    <w:rsid w:val="00F1398C"/>
    <w:rsid w:val="00F13990"/>
    <w:rsid w:val="00F13E47"/>
    <w:rsid w:val="00F13EB3"/>
    <w:rsid w:val="00F141A8"/>
    <w:rsid w:val="00F14C57"/>
    <w:rsid w:val="00F153CA"/>
    <w:rsid w:val="00F161BC"/>
    <w:rsid w:val="00F16EAF"/>
    <w:rsid w:val="00F1701B"/>
    <w:rsid w:val="00F17926"/>
    <w:rsid w:val="00F17C7D"/>
    <w:rsid w:val="00F17E47"/>
    <w:rsid w:val="00F2045F"/>
    <w:rsid w:val="00F2095B"/>
    <w:rsid w:val="00F21460"/>
    <w:rsid w:val="00F215FF"/>
    <w:rsid w:val="00F22EAF"/>
    <w:rsid w:val="00F22EC4"/>
    <w:rsid w:val="00F2302F"/>
    <w:rsid w:val="00F23914"/>
    <w:rsid w:val="00F2499E"/>
    <w:rsid w:val="00F24B27"/>
    <w:rsid w:val="00F24EF2"/>
    <w:rsid w:val="00F25291"/>
    <w:rsid w:val="00F25DBF"/>
    <w:rsid w:val="00F26383"/>
    <w:rsid w:val="00F26B18"/>
    <w:rsid w:val="00F26C19"/>
    <w:rsid w:val="00F27132"/>
    <w:rsid w:val="00F27247"/>
    <w:rsid w:val="00F274CA"/>
    <w:rsid w:val="00F27598"/>
    <w:rsid w:val="00F27CFA"/>
    <w:rsid w:val="00F30015"/>
    <w:rsid w:val="00F307DB"/>
    <w:rsid w:val="00F30B9E"/>
    <w:rsid w:val="00F30C91"/>
    <w:rsid w:val="00F30D78"/>
    <w:rsid w:val="00F30E3B"/>
    <w:rsid w:val="00F30ECA"/>
    <w:rsid w:val="00F3126A"/>
    <w:rsid w:val="00F3166D"/>
    <w:rsid w:val="00F31AF3"/>
    <w:rsid w:val="00F31DBA"/>
    <w:rsid w:val="00F31E35"/>
    <w:rsid w:val="00F32501"/>
    <w:rsid w:val="00F329AC"/>
    <w:rsid w:val="00F32DF1"/>
    <w:rsid w:val="00F332D1"/>
    <w:rsid w:val="00F334C7"/>
    <w:rsid w:val="00F346EA"/>
    <w:rsid w:val="00F34EDA"/>
    <w:rsid w:val="00F354B4"/>
    <w:rsid w:val="00F36239"/>
    <w:rsid w:val="00F3650B"/>
    <w:rsid w:val="00F37662"/>
    <w:rsid w:val="00F37B8A"/>
    <w:rsid w:val="00F37EB1"/>
    <w:rsid w:val="00F4002A"/>
    <w:rsid w:val="00F40306"/>
    <w:rsid w:val="00F40AE8"/>
    <w:rsid w:val="00F41BCA"/>
    <w:rsid w:val="00F420A6"/>
    <w:rsid w:val="00F42917"/>
    <w:rsid w:val="00F42F46"/>
    <w:rsid w:val="00F430E5"/>
    <w:rsid w:val="00F431FA"/>
    <w:rsid w:val="00F438FD"/>
    <w:rsid w:val="00F44642"/>
    <w:rsid w:val="00F4491E"/>
    <w:rsid w:val="00F4525F"/>
    <w:rsid w:val="00F46932"/>
    <w:rsid w:val="00F46E09"/>
    <w:rsid w:val="00F46F0E"/>
    <w:rsid w:val="00F500BE"/>
    <w:rsid w:val="00F50260"/>
    <w:rsid w:val="00F504D6"/>
    <w:rsid w:val="00F5092F"/>
    <w:rsid w:val="00F510FA"/>
    <w:rsid w:val="00F52249"/>
    <w:rsid w:val="00F52AF4"/>
    <w:rsid w:val="00F52B71"/>
    <w:rsid w:val="00F52FE2"/>
    <w:rsid w:val="00F53197"/>
    <w:rsid w:val="00F53406"/>
    <w:rsid w:val="00F53728"/>
    <w:rsid w:val="00F537FF"/>
    <w:rsid w:val="00F53E37"/>
    <w:rsid w:val="00F548BA"/>
    <w:rsid w:val="00F550BC"/>
    <w:rsid w:val="00F55BDB"/>
    <w:rsid w:val="00F56E50"/>
    <w:rsid w:val="00F5723A"/>
    <w:rsid w:val="00F57B40"/>
    <w:rsid w:val="00F57B41"/>
    <w:rsid w:val="00F57D71"/>
    <w:rsid w:val="00F604F0"/>
    <w:rsid w:val="00F60A94"/>
    <w:rsid w:val="00F60AF6"/>
    <w:rsid w:val="00F60D85"/>
    <w:rsid w:val="00F61EAF"/>
    <w:rsid w:val="00F625F8"/>
    <w:rsid w:val="00F628F1"/>
    <w:rsid w:val="00F62D5A"/>
    <w:rsid w:val="00F62ED0"/>
    <w:rsid w:val="00F632AE"/>
    <w:rsid w:val="00F63BE6"/>
    <w:rsid w:val="00F644B7"/>
    <w:rsid w:val="00F651BE"/>
    <w:rsid w:val="00F65BAE"/>
    <w:rsid w:val="00F65E58"/>
    <w:rsid w:val="00F65ED6"/>
    <w:rsid w:val="00F65F0C"/>
    <w:rsid w:val="00F66049"/>
    <w:rsid w:val="00F66D09"/>
    <w:rsid w:val="00F675EF"/>
    <w:rsid w:val="00F67870"/>
    <w:rsid w:val="00F7006E"/>
    <w:rsid w:val="00F7034E"/>
    <w:rsid w:val="00F7070F"/>
    <w:rsid w:val="00F70A0D"/>
    <w:rsid w:val="00F70BA5"/>
    <w:rsid w:val="00F716F4"/>
    <w:rsid w:val="00F71887"/>
    <w:rsid w:val="00F7188A"/>
    <w:rsid w:val="00F71962"/>
    <w:rsid w:val="00F71E82"/>
    <w:rsid w:val="00F720C6"/>
    <w:rsid w:val="00F723BA"/>
    <w:rsid w:val="00F72739"/>
    <w:rsid w:val="00F7288C"/>
    <w:rsid w:val="00F72C91"/>
    <w:rsid w:val="00F7304C"/>
    <w:rsid w:val="00F7377E"/>
    <w:rsid w:val="00F73AFC"/>
    <w:rsid w:val="00F73F44"/>
    <w:rsid w:val="00F74469"/>
    <w:rsid w:val="00F748DF"/>
    <w:rsid w:val="00F74A14"/>
    <w:rsid w:val="00F74B2C"/>
    <w:rsid w:val="00F750B4"/>
    <w:rsid w:val="00F751D8"/>
    <w:rsid w:val="00F75A5A"/>
    <w:rsid w:val="00F76839"/>
    <w:rsid w:val="00F76871"/>
    <w:rsid w:val="00F777D7"/>
    <w:rsid w:val="00F77EB4"/>
    <w:rsid w:val="00F77EF9"/>
    <w:rsid w:val="00F80128"/>
    <w:rsid w:val="00F8014F"/>
    <w:rsid w:val="00F802C4"/>
    <w:rsid w:val="00F81BB0"/>
    <w:rsid w:val="00F81DC4"/>
    <w:rsid w:val="00F8227D"/>
    <w:rsid w:val="00F823AB"/>
    <w:rsid w:val="00F82537"/>
    <w:rsid w:val="00F82538"/>
    <w:rsid w:val="00F82556"/>
    <w:rsid w:val="00F8284E"/>
    <w:rsid w:val="00F82D96"/>
    <w:rsid w:val="00F83A72"/>
    <w:rsid w:val="00F83EEC"/>
    <w:rsid w:val="00F8402D"/>
    <w:rsid w:val="00F84506"/>
    <w:rsid w:val="00F848BC"/>
    <w:rsid w:val="00F84A3E"/>
    <w:rsid w:val="00F84A65"/>
    <w:rsid w:val="00F850C1"/>
    <w:rsid w:val="00F85690"/>
    <w:rsid w:val="00F86491"/>
    <w:rsid w:val="00F8657D"/>
    <w:rsid w:val="00F86BCA"/>
    <w:rsid w:val="00F87246"/>
    <w:rsid w:val="00F9064E"/>
    <w:rsid w:val="00F908B1"/>
    <w:rsid w:val="00F90DC1"/>
    <w:rsid w:val="00F9124A"/>
    <w:rsid w:val="00F91581"/>
    <w:rsid w:val="00F91F8F"/>
    <w:rsid w:val="00F920A9"/>
    <w:rsid w:val="00F92348"/>
    <w:rsid w:val="00F92C06"/>
    <w:rsid w:val="00F92F11"/>
    <w:rsid w:val="00F93571"/>
    <w:rsid w:val="00F93ACC"/>
    <w:rsid w:val="00F93CD9"/>
    <w:rsid w:val="00F94157"/>
    <w:rsid w:val="00F9426D"/>
    <w:rsid w:val="00F94275"/>
    <w:rsid w:val="00F94D17"/>
    <w:rsid w:val="00F957C5"/>
    <w:rsid w:val="00F95E57"/>
    <w:rsid w:val="00F960D2"/>
    <w:rsid w:val="00F963D9"/>
    <w:rsid w:val="00F96ABB"/>
    <w:rsid w:val="00F96F41"/>
    <w:rsid w:val="00F97A16"/>
    <w:rsid w:val="00FA0359"/>
    <w:rsid w:val="00FA0D2D"/>
    <w:rsid w:val="00FA0DEC"/>
    <w:rsid w:val="00FA0F52"/>
    <w:rsid w:val="00FA1062"/>
    <w:rsid w:val="00FA1357"/>
    <w:rsid w:val="00FA1949"/>
    <w:rsid w:val="00FA1B8F"/>
    <w:rsid w:val="00FA1C2E"/>
    <w:rsid w:val="00FA1C8B"/>
    <w:rsid w:val="00FA276C"/>
    <w:rsid w:val="00FA3301"/>
    <w:rsid w:val="00FA33F0"/>
    <w:rsid w:val="00FA3B44"/>
    <w:rsid w:val="00FA3C7D"/>
    <w:rsid w:val="00FA4650"/>
    <w:rsid w:val="00FA47BE"/>
    <w:rsid w:val="00FA482D"/>
    <w:rsid w:val="00FA4A51"/>
    <w:rsid w:val="00FA5637"/>
    <w:rsid w:val="00FA5B48"/>
    <w:rsid w:val="00FA6F10"/>
    <w:rsid w:val="00FA75EF"/>
    <w:rsid w:val="00FA7B9E"/>
    <w:rsid w:val="00FA7C1A"/>
    <w:rsid w:val="00FB00EA"/>
    <w:rsid w:val="00FB02FF"/>
    <w:rsid w:val="00FB03B4"/>
    <w:rsid w:val="00FB04AE"/>
    <w:rsid w:val="00FB0707"/>
    <w:rsid w:val="00FB0D61"/>
    <w:rsid w:val="00FB1006"/>
    <w:rsid w:val="00FB1390"/>
    <w:rsid w:val="00FB18EB"/>
    <w:rsid w:val="00FB231A"/>
    <w:rsid w:val="00FB2C4B"/>
    <w:rsid w:val="00FB3A31"/>
    <w:rsid w:val="00FB3BC4"/>
    <w:rsid w:val="00FB3BD9"/>
    <w:rsid w:val="00FB3F16"/>
    <w:rsid w:val="00FB41D0"/>
    <w:rsid w:val="00FB45B0"/>
    <w:rsid w:val="00FB4B9C"/>
    <w:rsid w:val="00FB5B45"/>
    <w:rsid w:val="00FB5F84"/>
    <w:rsid w:val="00FB6969"/>
    <w:rsid w:val="00FB6BF9"/>
    <w:rsid w:val="00FB6E52"/>
    <w:rsid w:val="00FB7EF5"/>
    <w:rsid w:val="00FC03CC"/>
    <w:rsid w:val="00FC03D3"/>
    <w:rsid w:val="00FC1980"/>
    <w:rsid w:val="00FC1A6E"/>
    <w:rsid w:val="00FC22CC"/>
    <w:rsid w:val="00FC245A"/>
    <w:rsid w:val="00FC286C"/>
    <w:rsid w:val="00FC2C32"/>
    <w:rsid w:val="00FC2F5A"/>
    <w:rsid w:val="00FC377B"/>
    <w:rsid w:val="00FC46D7"/>
    <w:rsid w:val="00FC4BFC"/>
    <w:rsid w:val="00FC6260"/>
    <w:rsid w:val="00FC6918"/>
    <w:rsid w:val="00FC697C"/>
    <w:rsid w:val="00FC7355"/>
    <w:rsid w:val="00FD02D6"/>
    <w:rsid w:val="00FD058B"/>
    <w:rsid w:val="00FD0955"/>
    <w:rsid w:val="00FD0C0A"/>
    <w:rsid w:val="00FD1420"/>
    <w:rsid w:val="00FD14A3"/>
    <w:rsid w:val="00FD16CD"/>
    <w:rsid w:val="00FD1D5F"/>
    <w:rsid w:val="00FD2124"/>
    <w:rsid w:val="00FD2274"/>
    <w:rsid w:val="00FD2DF3"/>
    <w:rsid w:val="00FD35D0"/>
    <w:rsid w:val="00FD3701"/>
    <w:rsid w:val="00FD409C"/>
    <w:rsid w:val="00FD42A1"/>
    <w:rsid w:val="00FD4700"/>
    <w:rsid w:val="00FD4B3B"/>
    <w:rsid w:val="00FD4D99"/>
    <w:rsid w:val="00FD4EDF"/>
    <w:rsid w:val="00FD518E"/>
    <w:rsid w:val="00FD6670"/>
    <w:rsid w:val="00FD6BBF"/>
    <w:rsid w:val="00FD6E7C"/>
    <w:rsid w:val="00FD700F"/>
    <w:rsid w:val="00FD744B"/>
    <w:rsid w:val="00FD7837"/>
    <w:rsid w:val="00FE0575"/>
    <w:rsid w:val="00FE1564"/>
    <w:rsid w:val="00FE166C"/>
    <w:rsid w:val="00FE1E9E"/>
    <w:rsid w:val="00FE31A0"/>
    <w:rsid w:val="00FE4104"/>
    <w:rsid w:val="00FE41D5"/>
    <w:rsid w:val="00FE45A3"/>
    <w:rsid w:val="00FE469F"/>
    <w:rsid w:val="00FE49B4"/>
    <w:rsid w:val="00FE5903"/>
    <w:rsid w:val="00FE5B07"/>
    <w:rsid w:val="00FE60DA"/>
    <w:rsid w:val="00FE6A3F"/>
    <w:rsid w:val="00FE6D16"/>
    <w:rsid w:val="00FE6DCF"/>
    <w:rsid w:val="00FE71A2"/>
    <w:rsid w:val="00FE78CC"/>
    <w:rsid w:val="00FE7B52"/>
    <w:rsid w:val="00FF0822"/>
    <w:rsid w:val="00FF08DD"/>
    <w:rsid w:val="00FF15D4"/>
    <w:rsid w:val="00FF1C57"/>
    <w:rsid w:val="00FF1EF4"/>
    <w:rsid w:val="00FF3569"/>
    <w:rsid w:val="00FF57CE"/>
    <w:rsid w:val="00FF5E52"/>
    <w:rsid w:val="00FF5F2F"/>
    <w:rsid w:val="00FF65B6"/>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380CD699-4695-48BF-9396-E5BB8051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AAF"/>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1132CB"/>
    <w:pPr>
      <w:keepNext/>
      <w:keepLines/>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C663D"/>
    <w:p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rsid w:val="002F3A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3AAF"/>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99"/>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3B585C"/>
    <w:rPr>
      <w:rFonts w:ascii="Calibri" w:eastAsiaTheme="minorHAnsi" w:hAnsi="Calibri" w:cstheme="minorBidi"/>
      <w:szCs w:val="22"/>
      <w:lang w:eastAsia="en-US"/>
    </w:rPr>
  </w:style>
  <w:style w:type="paragraph" w:styleId="Footer">
    <w:name w:val="footer"/>
    <w:basedOn w:val="Normal"/>
    <w:link w:val="FooterChar"/>
    <w:uiPriority w:val="99"/>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3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1132CB"/>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customStyle="1" w:styleId="Style1">
    <w:name w:val="Style1"/>
    <w:basedOn w:val="Heading2"/>
    <w:qFormat/>
    <w:rsid w:val="003B585C"/>
    <w:pPr>
      <w:numPr>
        <w:numId w:val="0"/>
      </w:numPr>
      <w:ind w:left="720" w:hanging="720"/>
    </w:pPr>
  </w:style>
  <w:style w:type="paragraph" w:styleId="Subtitle">
    <w:name w:val="Subtitle"/>
    <w:basedOn w:val="Normal"/>
    <w:next w:val="Normal"/>
    <w:link w:val="SubtitleChar"/>
    <w:uiPriority w:val="23"/>
    <w:qFormat/>
    <w:rsid w:val="004C480F"/>
    <w:pPr>
      <w:spacing w:after="120" w:line="240" w:lineRule="auto"/>
    </w:pPr>
    <w:rPr>
      <w:rFonts w:ascii="Calibri" w:hAnsi="Calibri"/>
      <w:bCs/>
      <w:sz w:val="56"/>
      <w:szCs w:val="26"/>
    </w:rPr>
  </w:style>
  <w:style w:type="character" w:customStyle="1" w:styleId="SubtitleChar">
    <w:name w:val="Subtitle Char"/>
    <w:basedOn w:val="DefaultParagraphFont"/>
    <w:link w:val="Subtitle"/>
    <w:uiPriority w:val="23"/>
    <w:rsid w:val="004C480F"/>
    <w:rPr>
      <w:rFonts w:ascii="Calibri" w:eastAsiaTheme="minorHAnsi" w:hAnsi="Calibri" w:cstheme="minorBidi"/>
      <w:bCs/>
      <w:sz w:val="56"/>
      <w:szCs w:val="2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3A3DF6"/>
    <w:pPr>
      <w:numPr>
        <w:ilvl w:val="1"/>
        <w:numId w:val="7"/>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3A3DF6"/>
    <w:pPr>
      <w:numPr>
        <w:ilvl w:val="2"/>
        <w:numId w:val="7"/>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20"/>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Heading">
    <w:name w:val="Heading"/>
    <w:basedOn w:val="Subtitle"/>
    <w:rsid w:val="003B585C"/>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34"/>
    <w:qFormat/>
    <w:rsid w:val="00C07325"/>
    <w:pPr>
      <w:ind w:left="720"/>
      <w:contextualSpacing/>
    </w:pPr>
  </w:style>
  <w:style w:type="paragraph" w:customStyle="1" w:styleId="Default">
    <w:name w:val="Default"/>
    <w:rsid w:val="0027705A"/>
    <w:pPr>
      <w:autoSpaceDE w:val="0"/>
      <w:autoSpaceDN w:val="0"/>
      <w:adjustRightInd w:val="0"/>
    </w:pPr>
    <w:rPr>
      <w:rFonts w:eastAsiaTheme="minorHAnsi" w:cs="Cambria"/>
      <w:color w:val="000000"/>
      <w:sz w:val="24"/>
      <w:szCs w:val="24"/>
      <w:lang w:eastAsia="en-US"/>
    </w:rPr>
  </w:style>
  <w:style w:type="paragraph" w:customStyle="1" w:styleId="Boxedtext">
    <w:name w:val="Boxed text"/>
    <w:basedOn w:val="Normal"/>
    <w:qFormat/>
    <w:rsid w:val="003E241F"/>
    <w:pPr>
      <w:keepNext/>
      <w:keepLines/>
      <w:pBdr>
        <w:top w:val="single" w:sz="18" w:space="1" w:color="auto"/>
        <w:left w:val="single" w:sz="18" w:space="4" w:color="auto"/>
        <w:bottom w:val="single" w:sz="18" w:space="1" w:color="auto"/>
        <w:right w:val="single" w:sz="18" w:space="4" w:color="auto"/>
      </w:pBdr>
      <w:shd w:val="clear" w:color="auto" w:fill="DBE5F1" w:themeFill="accent1" w:themeFillTint="33"/>
      <w:tabs>
        <w:tab w:val="left" w:pos="426"/>
      </w:tabs>
      <w:spacing w:before="120" w:after="120" w:line="240" w:lineRule="auto"/>
      <w:ind w:left="142" w:right="112"/>
    </w:pPr>
    <w:rPr>
      <w:rFonts w:eastAsia="Cambria" w:cs="Cambria"/>
      <w:lang w:val="en-US"/>
    </w:rPr>
  </w:style>
  <w:style w:type="character" w:customStyle="1" w:styleId="A5">
    <w:name w:val="A5"/>
    <w:uiPriority w:val="99"/>
    <w:rsid w:val="00471CBA"/>
    <w:rPr>
      <w:rFonts w:cs="HelveticaNeueLT Std Lt"/>
      <w:color w:val="000000"/>
      <w:sz w:val="18"/>
      <w:szCs w:val="18"/>
    </w:rPr>
  </w:style>
  <w:style w:type="character" w:styleId="HTMLCite">
    <w:name w:val="HTML Cite"/>
    <w:basedOn w:val="DefaultParagraphFont"/>
    <w:uiPriority w:val="99"/>
    <w:semiHidden/>
    <w:unhideWhenUsed/>
    <w:rsid w:val="00D115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926048">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legalcode" TargetMode="External"/><Relationship Id="rId18" Type="http://schemas.openxmlformats.org/officeDocument/2006/relationships/footer" Target="footer1.xml"/><Relationship Id="rId26" Type="http://schemas.openxmlformats.org/officeDocument/2006/relationships/image" Target="media/image4.jpe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jpg"/><Relationship Id="rId34" Type="http://schemas.openxmlformats.org/officeDocument/2006/relationships/hyperlink" Target="http://agriculture.gov.au/about/publications/quarantine-biosecurity-report-and-preliminary-response" TargetMode="External"/><Relationship Id="rId7" Type="http://schemas.openxmlformats.org/officeDocument/2006/relationships/settings" Target="settings.xml"/><Relationship Id="rId12" Type="http://schemas.openxmlformats.org/officeDocument/2006/relationships/hyperlink" Target="http://creativecommons.org/licenses/by/3.0/au/deed.en" TargetMode="External"/><Relationship Id="rId17" Type="http://schemas.openxmlformats.org/officeDocument/2006/relationships/header" Target="header1.xml"/><Relationship Id="rId25" Type="http://schemas.openxmlformats.org/officeDocument/2006/relationships/hyperlink" Target="http://www.agriculture.gov.au/biosecurity/partnerships" TargetMode="External"/><Relationship Id="rId33" Type="http://schemas.openxmlformats.org/officeDocument/2006/relationships/hyperlink" Target="http://www.abs.gov.au/ausstats/abs@.nsf/mf/7503.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yperlink" Target="http://www.agriculture.gov.au/biosecurity/partnerships" TargetMode="External"/><Relationship Id="rId29" Type="http://schemas.openxmlformats.org/officeDocument/2006/relationships/hyperlink" Target="mailto:igabreview@agricultur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oag.gov.au/node/74" TargetMode="External"/><Relationship Id="rId32" Type="http://schemas.openxmlformats.org/officeDocument/2006/relationships/hyperlink" Target="http://www.agriculture.gov.au/abares/publications" TargetMode="External"/><Relationship Id="rId37" Type="http://schemas.openxmlformats.org/officeDocument/2006/relationships/hyperlink" Target="http://www.audit.vic.gov.au/publications/20150819-Biosecurity/20150819-Biosecurity.html" TargetMode="External"/><Relationship Id="rId5" Type="http://schemas.openxmlformats.org/officeDocument/2006/relationships/numbering" Target="numbering.xml"/><Relationship Id="rId15" Type="http://schemas.openxmlformats.org/officeDocument/2006/relationships/hyperlink" Target="mailto:copyright@agriculture.gov.au" TargetMode="External"/><Relationship Id="rId23" Type="http://schemas.openxmlformats.org/officeDocument/2006/relationships/image" Target="media/image3.emf"/><Relationship Id="rId28" Type="http://schemas.openxmlformats.org/officeDocument/2006/relationships/hyperlink" Target="http://www.agriculture.gov.au/igabreview" TargetMode="External"/><Relationship Id="rId36" Type="http://schemas.openxmlformats.org/officeDocument/2006/relationships/hyperlink" Target="http://www.agriculture.gov.au/biosecurity/australia/reports-pubs/nairn" TargetMode="External"/><Relationship Id="rId10" Type="http://schemas.openxmlformats.org/officeDocument/2006/relationships/endnotes" Target="endnotes.xml"/><Relationship Id="rId19" Type="http://schemas.openxmlformats.org/officeDocument/2006/relationships/hyperlink" Target="http://www.coag.gov.au/node/47" TargetMode="External"/><Relationship Id="rId31" Type="http://schemas.openxmlformats.org/officeDocument/2006/relationships/hyperlink" Target="http://www.agriculture.gov.au/about/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igabreview" TargetMode="External"/><Relationship Id="rId22" Type="http://schemas.openxmlformats.org/officeDocument/2006/relationships/hyperlink" Target="http://www.agriculture.gov.au/biosecurity/partnerships/nbc" TargetMode="External"/><Relationship Id="rId27" Type="http://schemas.openxmlformats.org/officeDocument/2006/relationships/hyperlink" Target="http://www.agriculture.gov.au/igabreview" TargetMode="External"/><Relationship Id="rId30" Type="http://schemas.openxmlformats.org/officeDocument/2006/relationships/hyperlink" Target="http://www.agriculture.gov.au/igabreview" TargetMode="External"/><Relationship Id="rId35" Type="http://schemas.openxmlformats.org/officeDocument/2006/relationships/hyperlink" Target="http://www.parliament.qld.gov.au/apps/TabledPapers/RelatedDocs.asp?RefNo=5516T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B820919-7897-4FB4-AA33-C52DEC54F889}"/>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A3047463-31FC-43A5-806C-235E1B52F488}"/>
</file>

<file path=customXml/itemProps4.xml><?xml version="1.0" encoding="utf-8"?>
<ds:datastoreItem xmlns:ds="http://schemas.openxmlformats.org/officeDocument/2006/customXml" ds:itemID="{9D1CAD33-3B39-4665-A5E6-666D035120E9}"/>
</file>

<file path=docProps/app.xml><?xml version="1.0" encoding="utf-8"?>
<Properties xmlns="http://schemas.openxmlformats.org/officeDocument/2006/extended-properties" xmlns:vt="http://schemas.openxmlformats.org/officeDocument/2006/docPropsVTypes">
  <Template>Normal.dotm</Template>
  <TotalTime>2365</TotalTime>
  <Pages>29</Pages>
  <Words>10916</Words>
  <Characters>62223</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Standard report template with sample content</vt:lpstr>
    </vt:vector>
  </TitlesOfParts>
  <Company>Department of Agriculture Fisheries &amp; Forestry</Company>
  <LinksUpToDate>false</LinksUpToDate>
  <CharactersWithSpaces>72994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report template with sample content</dc:title>
  <dc:creator>Department</dc:creator>
  <cp:lastModifiedBy>Department</cp:lastModifiedBy>
  <cp:revision>2147</cp:revision>
  <cp:lastPrinted>2016-05-03T04:52:00Z</cp:lastPrinted>
  <dcterms:created xsi:type="dcterms:W3CDTF">2016-04-26T00:47:00Z</dcterms:created>
  <dcterms:modified xsi:type="dcterms:W3CDTF">2016-05-04T02:03:00Z</dcterms:modified>
  <cp:contentStatus>Updated September 2015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